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00D" w:rsidRDefault="00882FB8" w:rsidP="00C6000D">
      <w:pPr>
        <w:pStyle w:val="Title"/>
      </w:pPr>
      <w:r>
        <w:t>CFD analysis of air</w:t>
      </w:r>
      <w:r w:rsidR="00C6000D" w:rsidRPr="00C6000D">
        <w:t xml:space="preserve">flow in voids for better cross ventilation in </w:t>
      </w:r>
      <w:r>
        <w:t>midrise</w:t>
      </w:r>
      <w:r w:rsidR="00C6000D" w:rsidRPr="00C6000D">
        <w:t xml:space="preserve"> buildings in hot and humid climates.</w:t>
      </w:r>
    </w:p>
    <w:p w:rsidR="00815289" w:rsidRPr="00C6000D" w:rsidRDefault="00815289" w:rsidP="00C6000D">
      <w:pPr>
        <w:pStyle w:val="Title"/>
        <w:rPr>
          <w:sz w:val="22"/>
        </w:rPr>
      </w:pPr>
    </w:p>
    <w:p w:rsidR="00C6000D" w:rsidRPr="00815289" w:rsidRDefault="00E848BD" w:rsidP="00C6000D">
      <w:pPr>
        <w:pStyle w:val="Title"/>
        <w:rPr>
          <w:b w:val="0"/>
          <w:vertAlign w:val="superscript"/>
        </w:rPr>
      </w:pPr>
      <w:r>
        <w:rPr>
          <w:b w:val="0"/>
        </w:rPr>
        <w:t>Nikhil Kumar</w:t>
      </w:r>
      <w:r>
        <w:rPr>
          <w:b w:val="0"/>
          <w:vertAlign w:val="superscript"/>
        </w:rPr>
        <w:t>1</w:t>
      </w:r>
      <w:r>
        <w:rPr>
          <w:b w:val="0"/>
        </w:rPr>
        <w:t>, Tetsu Kubota</w:t>
      </w:r>
      <w:r>
        <w:rPr>
          <w:b w:val="0"/>
          <w:vertAlign w:val="superscript"/>
        </w:rPr>
        <w:t>2</w:t>
      </w:r>
      <w:r>
        <w:rPr>
          <w:b w:val="0"/>
        </w:rPr>
        <w:t>, Ronita Bardhan</w:t>
      </w:r>
      <w:r>
        <w:rPr>
          <w:b w:val="0"/>
          <w:vertAlign w:val="superscript"/>
        </w:rPr>
        <w:t>1</w:t>
      </w:r>
      <w:r w:rsidR="00815289">
        <w:rPr>
          <w:b w:val="0"/>
          <w:vertAlign w:val="superscript"/>
        </w:rPr>
        <w:t>, 3</w:t>
      </w:r>
      <w:r>
        <w:rPr>
          <w:b w:val="0"/>
        </w:rPr>
        <w:t>, Yoshihide Tominaga</w:t>
      </w:r>
      <w:r w:rsidR="00815289">
        <w:rPr>
          <w:b w:val="0"/>
          <w:vertAlign w:val="superscript"/>
        </w:rPr>
        <w:t>4</w:t>
      </w:r>
    </w:p>
    <w:p w:rsidR="007C16E3" w:rsidRDefault="00E848BD" w:rsidP="00C6000D">
      <w:pPr>
        <w:pStyle w:val="Authors"/>
      </w:pPr>
      <w:r>
        <w:rPr>
          <w:vertAlign w:val="superscript"/>
        </w:rPr>
        <w:t xml:space="preserve">1 </w:t>
      </w:r>
      <w:r>
        <w:t>Centre for Urban Science and Engineering, Indian Institute of Technology Bombay, India</w:t>
      </w:r>
      <w:r w:rsidR="007C16E3">
        <w:t>;</w:t>
      </w:r>
    </w:p>
    <w:p w:rsidR="00C6000D" w:rsidRDefault="007C16E3" w:rsidP="00C6000D">
      <w:pPr>
        <w:pStyle w:val="Authors"/>
      </w:pPr>
      <w:r>
        <w:t xml:space="preserve"> </w:t>
      </w:r>
      <w:r w:rsidR="00E848BD">
        <w:rPr>
          <w:vertAlign w:val="superscript"/>
        </w:rPr>
        <w:t xml:space="preserve">2 </w:t>
      </w:r>
      <w:r w:rsidR="00E848BD">
        <w:t xml:space="preserve">International Development and Cooperation, Hiroshima University, </w:t>
      </w:r>
      <w:r>
        <w:t xml:space="preserve">Japan; </w:t>
      </w:r>
    </w:p>
    <w:p w:rsidR="00815289" w:rsidRDefault="00815289" w:rsidP="00C6000D">
      <w:pPr>
        <w:pStyle w:val="Authors"/>
      </w:pPr>
      <w:r>
        <w:rPr>
          <w:vertAlign w:val="superscript"/>
        </w:rPr>
        <w:t>3</w:t>
      </w:r>
      <w:r w:rsidRPr="00815289">
        <w:t>Behaviour and Building Performance Group and Sustainable Design Group, University of Cambridge, United Kingdom</w:t>
      </w:r>
    </w:p>
    <w:p w:rsidR="00C6000D" w:rsidRPr="00E848BD" w:rsidRDefault="00815289" w:rsidP="00C6000D">
      <w:pPr>
        <w:pStyle w:val="Authors"/>
      </w:pPr>
      <w:r>
        <w:rPr>
          <w:vertAlign w:val="superscript"/>
        </w:rPr>
        <w:t>4</w:t>
      </w:r>
      <w:r w:rsidR="007C16E3">
        <w:t xml:space="preserve"> Wind and Fluid Engineering Research Centre, Niigata Institute of Technology, Japan</w:t>
      </w:r>
    </w:p>
    <w:p w:rsidR="00C6000D" w:rsidRPr="006E4655" w:rsidRDefault="00C6000D" w:rsidP="00C6000D">
      <w:pPr>
        <w:pStyle w:val="Authors"/>
        <w:rPr>
          <w:i/>
        </w:rPr>
      </w:pPr>
    </w:p>
    <w:p w:rsidR="00C6000D" w:rsidRPr="00D611C6" w:rsidRDefault="00C6000D" w:rsidP="00C6000D">
      <w:pPr>
        <w:pStyle w:val="Authors"/>
        <w:sectPr w:rsidR="00C6000D" w:rsidRPr="00D611C6" w:rsidSect="003D6F8B">
          <w:pgSz w:w="11894" w:h="16834" w:code="9"/>
          <w:pgMar w:top="1418" w:right="1134" w:bottom="1418" w:left="1134" w:header="720" w:footer="720" w:gutter="0"/>
          <w:cols w:space="720"/>
          <w:docGrid w:linePitch="272"/>
        </w:sectPr>
      </w:pPr>
    </w:p>
    <w:p w:rsidR="00C6000D" w:rsidRPr="00B65580" w:rsidRDefault="00C6000D" w:rsidP="00C6000D">
      <w:pPr>
        <w:pStyle w:val="Heading1"/>
      </w:pPr>
      <w:r w:rsidRPr="00B65580">
        <w:t>Abstract</w:t>
      </w:r>
    </w:p>
    <w:p w:rsidR="003063FE" w:rsidRDefault="003063FE" w:rsidP="003063FE">
      <w:r>
        <w:t xml:space="preserve">There is an increase in </w:t>
      </w:r>
      <w:r w:rsidR="001E5D10">
        <w:t xml:space="preserve">the </w:t>
      </w:r>
      <w:r>
        <w:t>middle</w:t>
      </w:r>
      <w:r w:rsidR="00B8517D">
        <w:t xml:space="preserve"> income </w:t>
      </w:r>
      <w:r>
        <w:t>class</w:t>
      </w:r>
      <w:r w:rsidR="00B8517D">
        <w:t xml:space="preserve"> in the tropical cities of the global south</w:t>
      </w:r>
      <w:r w:rsidR="00DF762F">
        <w:t xml:space="preserve">. Which </w:t>
      </w:r>
      <w:r>
        <w:t xml:space="preserve">has lead governments to focus on the provision of sustainable housing stocks. The design of these houses is a concern as they are often designed </w:t>
      </w:r>
      <w:r w:rsidR="00DF762F">
        <w:t xml:space="preserve">to </w:t>
      </w:r>
      <w:r>
        <w:t>maximi</w:t>
      </w:r>
      <w:r w:rsidR="00882FB8">
        <w:t>z</w:t>
      </w:r>
      <w:r w:rsidR="00B8517D">
        <w:t>e</w:t>
      </w:r>
      <w:r>
        <w:t xml:space="preserve"> </w:t>
      </w:r>
      <w:r w:rsidR="00B8517D">
        <w:t>occupancy</w:t>
      </w:r>
      <w:r>
        <w:t xml:space="preserve">. </w:t>
      </w:r>
      <w:r w:rsidR="007A1F11">
        <w:t>Based on analysis of existing building design</w:t>
      </w:r>
      <w:r w:rsidR="0016611E">
        <w:t>,</w:t>
      </w:r>
      <w:r w:rsidR="007A1F11">
        <w:t xml:space="preserve"> the </w:t>
      </w:r>
      <w:r>
        <w:t xml:space="preserve">standard </w:t>
      </w:r>
      <w:r w:rsidR="00882FB8">
        <w:t xml:space="preserve">midrise buildings </w:t>
      </w:r>
      <w:r>
        <w:t>of Indonesia and Mumbai, India consist</w:t>
      </w:r>
      <w:r w:rsidR="0016611E">
        <w:t>s</w:t>
      </w:r>
      <w:r>
        <w:t xml:space="preserve"> of double-loaded </w:t>
      </w:r>
      <w:r w:rsidR="00A01D3C">
        <w:t>buildings</w:t>
      </w:r>
      <w:r>
        <w:t xml:space="preserve"> to optimize the spaces. In such double-loaded </w:t>
      </w:r>
      <w:r w:rsidR="00A01D3C">
        <w:t>building</w:t>
      </w:r>
      <w:r>
        <w:t xml:space="preserve">s, the occupants living on the leeward side of the building may encounter poor cross-ventilation. This study aims to determine the optimum void design allowing sufficient cross-ventilation in naturally ventilated multi-story buildings. </w:t>
      </w:r>
      <w:r w:rsidR="00DE29CA">
        <w:t xml:space="preserve">Computational </w:t>
      </w:r>
      <w:r w:rsidR="00FD1E32">
        <w:t>F</w:t>
      </w:r>
      <w:r w:rsidR="00DE29CA">
        <w:t xml:space="preserve">luid </w:t>
      </w:r>
      <w:r w:rsidR="00FD1E32">
        <w:t>D</w:t>
      </w:r>
      <w:r w:rsidR="00DE29CA">
        <w:t>ynamics (</w:t>
      </w:r>
      <w:r>
        <w:t>CFD</w:t>
      </w:r>
      <w:r w:rsidR="00DE29CA">
        <w:t>)</w:t>
      </w:r>
      <w:r>
        <w:t xml:space="preserve"> is used to study the ventilation effect of voids with differen</w:t>
      </w:r>
      <w:r w:rsidR="00D377CF">
        <w:t>t sizes, wind</w:t>
      </w:r>
      <w:r>
        <w:t>catcher</w:t>
      </w:r>
      <w:r w:rsidR="0016611E">
        <w:t>,</w:t>
      </w:r>
      <w:r>
        <w:t xml:space="preserve"> and window size.</w:t>
      </w:r>
      <w:r w:rsidR="00067B2F">
        <w:t xml:space="preserve"> </w:t>
      </w:r>
      <w:r w:rsidR="00DF762F">
        <w:t xml:space="preserve">CFD simulations are validated </w:t>
      </w:r>
      <w:r w:rsidR="00AE7388">
        <w:t>with the help of a W</w:t>
      </w:r>
      <w:r w:rsidR="00067B2F">
        <w:t xml:space="preserve">ind </w:t>
      </w:r>
      <w:r w:rsidR="00AE7388">
        <w:t>Tunnel E</w:t>
      </w:r>
      <w:r w:rsidR="00067B2F">
        <w:t>xperiment</w:t>
      </w:r>
      <w:r w:rsidR="00AE7388">
        <w:t xml:space="preserve"> (WTE)</w:t>
      </w:r>
      <w:r w:rsidR="00067B2F">
        <w:t>.</w:t>
      </w:r>
      <w:r>
        <w:t xml:space="preserve"> The results conclude that </w:t>
      </w:r>
      <w:r w:rsidR="00DF762F">
        <w:t>the provision of a void ca</w:t>
      </w:r>
      <w:r w:rsidR="00AE7388">
        <w:t>n increase natural ventilation i</w:t>
      </w:r>
      <w:r w:rsidR="00DF762F">
        <w:t xml:space="preserve">n the leeward </w:t>
      </w:r>
      <w:r w:rsidR="00AE7388">
        <w:t>units</w:t>
      </w:r>
      <w:r w:rsidR="00DF762F">
        <w:t xml:space="preserve"> of the building</w:t>
      </w:r>
      <w:r>
        <w:t>. The smallest void size showed the highest win</w:t>
      </w:r>
      <w:r w:rsidR="00D377CF">
        <w:t>d velocities. Provision of wind</w:t>
      </w:r>
      <w:r>
        <w:t xml:space="preserve">catcher and </w:t>
      </w:r>
      <w:r w:rsidR="00AE7388">
        <w:t>bigger</w:t>
      </w:r>
      <w:r>
        <w:t xml:space="preserve">-sized window further increased the natural ventilation on the leeward </w:t>
      </w:r>
      <w:r w:rsidR="00AE7388">
        <w:t>units</w:t>
      </w:r>
      <w:r>
        <w:t xml:space="preserve"> of the building.</w:t>
      </w:r>
    </w:p>
    <w:p w:rsidR="00411AD5" w:rsidRDefault="00411AD5" w:rsidP="00C6000D"/>
    <w:p w:rsidR="00C6000D" w:rsidRPr="00C77029" w:rsidRDefault="00C6000D" w:rsidP="00C6000D">
      <w:pPr>
        <w:pStyle w:val="Heading1"/>
      </w:pPr>
      <w:r w:rsidRPr="00C77029">
        <w:t>Introduction</w:t>
      </w:r>
    </w:p>
    <w:p w:rsidR="003063FE" w:rsidRDefault="003063FE" w:rsidP="003063FE">
      <w:r>
        <w:t xml:space="preserve">The majority of the developing nations are experiencing rapid population growth in urban areas. It is projected that almost half of the population increase </w:t>
      </w:r>
      <w:r w:rsidR="00D9071E">
        <w:t xml:space="preserve">from </w:t>
      </w:r>
      <w:r>
        <w:t>2017 to 2050 is going to happen in ten developing nations</w:t>
      </w:r>
      <w:r w:rsidR="0016611E">
        <w:t>,</w:t>
      </w:r>
      <w:r>
        <w:t xml:space="preserve"> which include India and Indonesia</w:t>
      </w:r>
      <w:r w:rsidR="00C54900">
        <w:t>.</w:t>
      </w:r>
      <w:r>
        <w:t xml:space="preserve"> The increase in population is seen mainly in the middle-income group</w:t>
      </w:r>
      <w:r w:rsidR="0016611E">
        <w:t>,</w:t>
      </w:r>
      <w:r>
        <w:t xml:space="preserve"> which has risen to 46.8% of the total in the case of Indonesia. The government is </w:t>
      </w:r>
      <w:r w:rsidR="00B8517D">
        <w:t xml:space="preserve">committed to </w:t>
      </w:r>
      <w:r>
        <w:t>provid</w:t>
      </w:r>
      <w:r w:rsidR="00B8517D">
        <w:t>e</w:t>
      </w:r>
      <w:r>
        <w:t xml:space="preserve"> low-cost sustainable housing to accommodate the growing </w:t>
      </w:r>
      <w:r w:rsidR="00B8517D">
        <w:t>urban population</w:t>
      </w:r>
      <w:r>
        <w:t>.</w:t>
      </w:r>
    </w:p>
    <w:p w:rsidR="003063FE" w:rsidRDefault="003063FE" w:rsidP="003063FE">
      <w:r>
        <w:t xml:space="preserve">In the northern hemisphere, one of the </w:t>
      </w:r>
      <w:r w:rsidR="00D9071E">
        <w:t xml:space="preserve">primary </w:t>
      </w:r>
      <w:r>
        <w:t xml:space="preserve">focus in </w:t>
      </w:r>
      <w:r w:rsidR="00A01D3C">
        <w:t>building</w:t>
      </w:r>
      <w:r>
        <w:t xml:space="preserve"> design is</w:t>
      </w:r>
      <w:r w:rsidR="004E3E22">
        <w:t xml:space="preserve"> given</w:t>
      </w:r>
      <w:r>
        <w:t xml:space="preserve"> on </w:t>
      </w:r>
      <w:r w:rsidR="00B8517D">
        <w:t xml:space="preserve">maximizing </w:t>
      </w:r>
      <w:r>
        <w:t>sunlight during the winter months</w:t>
      </w:r>
      <w:r w:rsidR="00D9071E">
        <w:t>. H</w:t>
      </w:r>
      <w:r>
        <w:t xml:space="preserve">ence south-facing single-loaded </w:t>
      </w:r>
      <w:r w:rsidR="00A01D3C">
        <w:t>buildings</w:t>
      </w:r>
      <w:r>
        <w:t xml:space="preserve"> are preferred. Meanwhile, in the tropics, a</w:t>
      </w:r>
      <w:r w:rsidR="00D9071E">
        <w:t>n emphasis</w:t>
      </w:r>
      <w:r>
        <w:t xml:space="preserve"> should be given to better natural ventilation for thermal comfort. Traditionally, houses in Global South had architectural elements including voids that allow sufficient ventilation for thermal comfort while providing for solar shading (e.g., chawls of Mumbai). </w:t>
      </w:r>
      <w:r w:rsidR="003D217C">
        <w:t xml:space="preserve">The rising demand for housing has led government to compromise on the solar design and promote high dense vertical </w:t>
      </w:r>
      <w:r w:rsidR="003D217C">
        <w:t xml:space="preserve">structure with double loaded corridors having minimized ventilation. </w:t>
      </w:r>
      <w:r>
        <w:t>In such conditions, the occupants living on the leeward side of the buildings generally encounter poor to no cross-ventilation.</w:t>
      </w:r>
    </w:p>
    <w:p w:rsidR="003063FE" w:rsidRDefault="003063FE" w:rsidP="003063FE">
      <w:r w:rsidRPr="00E535D1">
        <w:t>Vertical void also known as air well, generally located in the cent</w:t>
      </w:r>
      <w:r w:rsidR="00882FB8">
        <w:t>e</w:t>
      </w:r>
      <w:r w:rsidRPr="00E535D1">
        <w:t xml:space="preserve">r of </w:t>
      </w:r>
      <w:r w:rsidR="00882FB8">
        <w:t xml:space="preserve">midrise </w:t>
      </w:r>
      <w:r w:rsidRPr="00E535D1">
        <w:t>buildings</w:t>
      </w:r>
      <w:r>
        <w:t xml:space="preserve">, </w:t>
      </w:r>
      <w:r w:rsidRPr="00E535D1">
        <w:t xml:space="preserve">is a passive architecture feature for ventilation and natural lighting </w:t>
      </w:r>
      <w:r w:rsidRPr="00E535D1">
        <w:fldChar w:fldCharType="begin" w:fldLock="1"/>
      </w:r>
      <w:r w:rsidR="00C54900">
        <w:instrText>ADDIN CSL_CITATION {"citationItems":[{"id":"ITEM-1","itemData":{"DOI":"10.1016/j.enbuild.2014.10.030","ISBN":"0378-7788","ISSN":"03787788","abstract":"Lightwell or deep courtyard is commonly used in high-rise deep layout plan buildings and are usually implemented to admit daylight and to induce natural ventilation into targeted spaces. Upward flow in the lightwell is dominant due to buoyancy effect; however, direct connection to the outdoor through horizontal void may assist or oppose the upward airflow in the lightwell. This article mainly investigates the effect of different vertical and horizontal positions of the void connected to the lightwell on the upward flow with different wind directions. Computational Fluid Dynamics (CFD) was employed to simulate the airflow inside the lightwell. The simulation results were validated and confirmed a good agreement with the experimental data. The configuration of the lightwell connection clearly indicate the strong influence on upward flow in the internal lightwell; however, the double-level void in cross-flow configuration was found more effective than other configurations in terms of airflow velocity and temperature. Wind direction is an important parameter which influences air flow patterns and velocity in the lightwell. This study provides proper guidelines to predict ventilation performance and to improve the design of naturally ventilated high-rise buildings.","author":[{"dropping-particle":"","family":"Farea","given":"Tareq Gaber","non-dropping-particle":"","parse-names":false,"suffix":""},{"dropping-particle":"","family":"Ossen","given":"Dilshan Remaz","non-dropping-particle":"","parse-names":false,"suffix":""},{"dropping-particle":"","family":"Alkaff","given":"Saqaff","non-dropping-particle":"","parse-names":false,"suffix":""},{"dropping-particle":"","family":"Kotani","given":"Hisashi","non-dropping-particle":"","parse-names":false,"suffix":""}],"container-title":"Energy and Buildings","id":"ITEM-1","issued":{"date-parts":[["2015"]]},"page":"502-513","publisher":"Elsevier B.V.","title":"CFD modeling for natural ventilation in a light well connected to outdoor through horizontal voids","type":"article-journal","volume":"86"},"uris":["http://www.mendeley.com/documents/?uuid=7b5ba355-11a5-448f-8f0b-d6fce6f43b4f"]}],"mendeley":{"formattedCitation":"(Farea, Ossen, Alkaff, &amp; Kotani, 2015)","manualFormatting":"(Farea et al., 2015","plainTextFormattedCitation":"(Farea, Ossen, Alkaff, &amp; Kotani, 2015)","previouslyFormattedCitation":"(Farea, Ossen, Alkaff, &amp; Kotani, 2015)"},"properties":{"noteIndex":0},"schema":"https://github.com/citation-style-language/schema/raw/master/csl-citation.json"}</w:instrText>
      </w:r>
      <w:r w:rsidRPr="00E535D1">
        <w:fldChar w:fldCharType="separate"/>
      </w:r>
      <w:r w:rsidRPr="00E535D1">
        <w:rPr>
          <w:noProof/>
        </w:rPr>
        <w:t>(Farea et al., 2015</w:t>
      </w:r>
      <w:r w:rsidRPr="00E535D1">
        <w:fldChar w:fldCharType="end"/>
      </w:r>
      <w:r w:rsidRPr="00E535D1">
        <w:fldChar w:fldCharType="begin" w:fldLock="1"/>
      </w:r>
      <w:r w:rsidR="00C54900">
        <w:instrText>ADDIN CSL_CITATION {"citationItems":[{"id":"ITEM-1","itemData":{"DOI":"10.1016/S0378-7788(02)00166-4","ISSN":"03787788","abstract":"Light wells in the centers of high-rise apartment buildings in Japan are called 'Voids'. Gas water-heaters built into Voids discharge exhaust gas so a large enough opening has to be designed at the bottom of a Void to keep the indoor air quality (IAQ) acceptable. In order to secure the IAQ in the Void from contamination, a simple calculation method of the ventilation rate induced by wind force and thermal buoyancy through openings at the bottom, along with heat sources such as water-heaters, is presented. The accuracy of this calculation method was examined by wind tunnel testing. As a result, it turned out that the simple calculation methods introduced in this study were valid for predicting the vertical temperature distribution and ventilation rates in Voids. © 2002 Elsevier Science B.V. All rights reserved.","author":[{"dropping-particle":"","family":"Kotani","given":"Hisashi","non-dropping-particle":"","parse-names":false,"suffix":""},{"dropping-particle":"","family":"Satoh","given":"Ryuji","non-dropping-particle":"","parse-names":false,"suffix":""},{"dropping-particle":"","family":"Yamanaka","given":"Toshio","non-dropping-particle":"","parse-names":false,"suffix":""}],"container-title":"Energy and Buildings","id":"ITEM-1","issue":"4","issued":{"date-parts":[["2003"]]},"page":"427-434","title":"Natural ventilation of light well in high-rise apartment building","type":"article-journal","volume":"35"},"uris":["http://www.mendeley.com/documents/?uuid=8461fda6-bfe2-4792-b8bb-7e574aa2e1f5"]}],"mendeley":{"formattedCitation":"(Kotani, Satoh, &amp; Yamanaka, 2003)","manualFormatting":", Kotani et al., 2003)","plainTextFormattedCitation":"(Kotani, Satoh, &amp; Yamanaka, 2003)","previouslyFormattedCitation":"(Kotani, Satoh, &amp; Yamanaka, 2003)"},"properties":{"noteIndex":0},"schema":"https://github.com/citation-style-language/schema/raw/master/csl-citation.json"}</w:instrText>
      </w:r>
      <w:r w:rsidRPr="00E535D1">
        <w:fldChar w:fldCharType="separate"/>
      </w:r>
      <w:r w:rsidRPr="00E535D1">
        <w:rPr>
          <w:noProof/>
        </w:rPr>
        <w:t>, Kotani et al., 2003)</w:t>
      </w:r>
      <w:r w:rsidRPr="00E535D1">
        <w:fldChar w:fldCharType="end"/>
      </w:r>
      <w:r w:rsidRPr="00E535D1">
        <w:t>. A well</w:t>
      </w:r>
      <w:r w:rsidR="00882FB8">
        <w:t>-</w:t>
      </w:r>
      <w:r w:rsidRPr="00E535D1">
        <w:t xml:space="preserve">designed void can help to improve the indoor air quality and maintenance of </w:t>
      </w:r>
      <w:r w:rsidR="00D9071E">
        <w:t>excellent</w:t>
      </w:r>
      <w:r w:rsidRPr="00E535D1">
        <w:t xml:space="preserve"> indoor thermal comfort for </w:t>
      </w:r>
      <w:r w:rsidR="00882FB8">
        <w:t>midrise</w:t>
      </w:r>
      <w:r w:rsidRPr="00E535D1">
        <w:t xml:space="preserve"> buildings particularly under hot-humid climates </w:t>
      </w:r>
      <w:r w:rsidRPr="00E535D1">
        <w:fldChar w:fldCharType="begin" w:fldLock="1"/>
      </w:r>
      <w:r w:rsidR="00C54900">
        <w:instrText>ADDIN CSL_CITATION {"citationItems":[{"id":"ITEM-1","itemData":{"DOI":"10.1016/j.enbuild.2003.08.001","ISBN":"8145566177","ISSN":"03787788","abstract":"The purpose of this study is to propose a residential building model with voids which is appropriate for hot and humid regions of Asia with high population densities that also reduces the environmental load of buildings. This paper will explain an outline of a porous-type residential building model in Hanoi and the design process for introducing voids in buildings in order to improve natural cross ventilation effectively. Furthermore, the effects of natural ventilation, solar shading, and some devices for air conditioning systems for reduction the cooling and environmental load are estimated. © 2004 Elsevier B.V. All rights reserved.","author":[{"dropping-particle":"","family":"Murakami","given":"Shuzo","non-dropping-particle":"","parse-names":false,"suffix":""},{"dropping-particle":"","family":"Kato","given":"Shinsuke","non-dropping-particle":"","parse-names":false,"suffix":""},{"dropping-particle":"","family":"Ooka","given":"Ryozo","non-dropping-particle":"","parse-names":false,"suffix":""},{"dropping-particle":"","family":"Shiraishi","given":"Yasuyuki","non-dropping-particle":"","parse-names":false,"suffix":""}],"container-title":"Energy and Buildings","id":"ITEM-1","issue":"12","issued":{"date-parts":[["2004"]]},"page":"1181-1189","title":"Design of a porous-type residential building model with low environmental load in hot and humid Asia","type":"article-journal","volume":"36"},"uris":["http://www.mendeley.com/documents/?uuid=0278100f-a0ce-4588-abbb-e500be5f915e"]},{"id":"ITEM-2","itemData":{"DOI":"10.1016/j.buildenv.2005.01.018","ISBN":"0360-1323","ISSN":"03601323","abstract":"This study targets environmental load reduction in hot and humid regions. It reveals the effects that porous residential buildings have on the natural ventilation performance and, consequently, the cooling load reduction. Two residential building models, namely a model with a void ratio of 0% and a model with a void ratio of 50%, are evaluated using computational fluid dynamics (CFD) analysis and thermal and airflow network analysis. The analysis on components of the heat load indicates that improvements in the natural ventilation performance would significantly reduce the cooling load. © 2005 Elsevier Ltd. All rights reserved.","author":[{"dropping-particle":"","family":"Hirano","given":"Tomoko","non-dropping-particle":"","parse-names":false,"suffix":""},{"dropping-particle":"","family":"Kato","given":"Shinsuke","non-dropping-particle":"","parse-names":false,"suffix":""},{"dropping-particle":"","family":"Murakami","given":"Shuzo","non-dropping-particle":"","parse-names":false,"suffix":""},{"dropping-particle":"","family":"Ikaga","given":"Toshiharu","non-dropping-particle":"","parse-names":false,"suffix":""},{"dropping-particle":"","family":"Shiraishi","given":"Yasuyuki","non-dropping-particle":"","parse-names":false,"suffix":""}],"container-title":"Building and Environment","id":"ITEM-2","issue":"1","issued":{"date-parts":[["2006"]]},"page":"21-32","title":"A study on a porous residential building model in hot and humid regions: Part 1 - The natural ventilation performance and the cooling load reduction effect of the building model","type":"article-journal","volume":"41"},"uris":["http://www.mendeley.com/documents/?uuid=89b37dc7-e1b0-4a71-b831-9187f3fed159"]}],"mendeley":{"formattedCitation":"(Hirano, Kato, Murakami, Ikaga, &amp; Shiraishi, 2006; Murakami, Kato, Ooka, &amp; Shiraishi, 2004)","manualFormatting":"(Hirano et al., 2006; Murakami et al, 2004)","plainTextFormattedCitation":"(Hirano, Kato, Murakami, Ikaga, &amp; Shiraishi, 2006; Murakami, Kato, Ooka, &amp; Shiraishi, 2004)","previouslyFormattedCitation":"(Hirano, Kato, Murakami, Ikaga, &amp; Shiraishi, 2006; Murakami, Kato, Ooka, &amp; Shiraishi, 2004)"},"properties":{"noteIndex":0},"schema":"https://github.com/citation-style-language/schema/raw/master/csl-citation.json"}</w:instrText>
      </w:r>
      <w:r w:rsidRPr="00E535D1">
        <w:fldChar w:fldCharType="separate"/>
      </w:r>
      <w:r w:rsidRPr="00E535D1">
        <w:rPr>
          <w:noProof/>
        </w:rPr>
        <w:t>(Hirano et al., 2006; Murakami et al, 2004)</w:t>
      </w:r>
      <w:r w:rsidRPr="00E535D1">
        <w:fldChar w:fldCharType="end"/>
      </w:r>
      <w:r w:rsidRPr="00E535D1">
        <w:t>.</w:t>
      </w:r>
    </w:p>
    <w:p w:rsidR="00411AD5" w:rsidRDefault="003063FE" w:rsidP="003063FE">
      <w:r>
        <w:t xml:space="preserve">This study aims to reintroduce the voids in the </w:t>
      </w:r>
      <w:r w:rsidR="00B8517D">
        <w:t xml:space="preserve">high dense </w:t>
      </w:r>
      <w:r>
        <w:t xml:space="preserve">vertical </w:t>
      </w:r>
      <w:r w:rsidR="00882FB8">
        <w:t>midrise</w:t>
      </w:r>
      <w:r>
        <w:t xml:space="preserve"> buildings and determine the optimum void </w:t>
      </w:r>
      <w:r w:rsidR="003D217C">
        <w:t xml:space="preserve">size for </w:t>
      </w:r>
      <w:r>
        <w:t xml:space="preserve">effective cross-ventilation </w:t>
      </w:r>
      <w:r w:rsidR="003D217C">
        <w:t>and indoor thermal comfort under</w:t>
      </w:r>
      <w:r>
        <w:t xml:space="preserve"> naturally ventilated condition. This paper presents the results of </w:t>
      </w:r>
      <w:r w:rsidR="00FD1E32">
        <w:t>C</w:t>
      </w:r>
      <w:r w:rsidR="00DE29CA">
        <w:t xml:space="preserve">omputational </w:t>
      </w:r>
      <w:r w:rsidR="00FD1E32">
        <w:t>F</w:t>
      </w:r>
      <w:r w:rsidR="00DE29CA">
        <w:t xml:space="preserve">luid </w:t>
      </w:r>
      <w:r w:rsidR="00FD1E32">
        <w:t>D</w:t>
      </w:r>
      <w:r w:rsidR="00DE29CA">
        <w:t>ynamics (</w:t>
      </w:r>
      <w:r>
        <w:t>CFD</w:t>
      </w:r>
      <w:r w:rsidR="00DE29CA">
        <w:t>)</w:t>
      </w:r>
      <w:r>
        <w:t xml:space="preserve"> simulations on ventilation effect with various void </w:t>
      </w:r>
      <w:r w:rsidR="004E3E22">
        <w:t xml:space="preserve">configurations </w:t>
      </w:r>
      <w:r w:rsidR="00882FB8">
        <w:t>in typical mid</w:t>
      </w:r>
      <w:r>
        <w:t xml:space="preserve">rise </w:t>
      </w:r>
      <w:r w:rsidR="00882FB8">
        <w:t xml:space="preserve">buildings. </w:t>
      </w:r>
      <w:r w:rsidR="0030195C">
        <w:t xml:space="preserve">The results </w:t>
      </w:r>
      <w:r w:rsidR="00D9071E">
        <w:t>are</w:t>
      </w:r>
      <w:r w:rsidR="0030195C">
        <w:t xml:space="preserve"> validated with the help of a wind tunnel experiment conducted at Ni</w:t>
      </w:r>
      <w:r w:rsidR="00FD66D8">
        <w:t>i</w:t>
      </w:r>
      <w:r w:rsidR="0016611E">
        <w:t>gata I</w:t>
      </w:r>
      <w:r w:rsidR="0030195C">
        <w:t xml:space="preserve">nstitute of technology wind tunnel facility. </w:t>
      </w:r>
      <w:r>
        <w:t>The novelty of the study lies in reintroducing a traditi</w:t>
      </w:r>
      <w:r w:rsidR="00D9071E">
        <w:t>onal building design element, i.e.</w:t>
      </w:r>
      <w:r w:rsidR="0016611E">
        <w:t>,</w:t>
      </w:r>
      <w:r>
        <w:t xml:space="preserve"> void, in modern </w:t>
      </w:r>
      <w:r w:rsidR="00882FB8">
        <w:t>midrise buildings</w:t>
      </w:r>
      <w:r>
        <w:t>.</w:t>
      </w:r>
    </w:p>
    <w:p w:rsidR="003063FE" w:rsidRDefault="003063FE" w:rsidP="003063FE"/>
    <w:p w:rsidR="00C37C48" w:rsidRDefault="00C43354" w:rsidP="003063FE">
      <w:pPr>
        <w:rPr>
          <w:rStyle w:val="Heading2Char"/>
        </w:rPr>
      </w:pPr>
      <w:r>
        <w:rPr>
          <w:rStyle w:val="Heading2Char"/>
        </w:rPr>
        <w:t>Prevailing</w:t>
      </w:r>
      <w:r w:rsidR="00C37C48">
        <w:rPr>
          <w:rStyle w:val="Heading2Char"/>
        </w:rPr>
        <w:t xml:space="preserve"> building design in </w:t>
      </w:r>
      <w:r w:rsidR="00F7495B">
        <w:rPr>
          <w:rStyle w:val="Heading2Char"/>
        </w:rPr>
        <w:t>Indonesia and Mumbai</w:t>
      </w:r>
      <w:r w:rsidR="00C37C48">
        <w:rPr>
          <w:rStyle w:val="Heading2Char"/>
        </w:rPr>
        <w:t>.</w:t>
      </w:r>
    </w:p>
    <w:p w:rsidR="003D217C" w:rsidRDefault="00FD5684" w:rsidP="003063FE">
      <w:r>
        <w:t>A study is conducted to reckon the building design of midrise multi-unit buildings existing in Indonesia and Mumbai. 168</w:t>
      </w:r>
      <w:r w:rsidR="003D217C">
        <w:t xml:space="preserve"> housing site </w:t>
      </w:r>
      <w:r>
        <w:t xml:space="preserve">are studied for the cities of Mumbai (102), Jabodetabek (40), Surabaya (15) and Bandug (11) with around 794 building units. Data </w:t>
      </w:r>
      <w:r w:rsidR="003D217C">
        <w:t xml:space="preserve">for Mumbai </w:t>
      </w:r>
      <w:r>
        <w:t xml:space="preserve">was collected from secondary sources and government websites </w:t>
      </w:r>
      <w:r w:rsidR="00F7495B">
        <w:t>i.e.</w:t>
      </w:r>
      <w:r w:rsidR="0016611E">
        <w:t>,</w:t>
      </w:r>
      <w:r w:rsidR="00417B9B">
        <w:t xml:space="preserve"> Maharashtra Housing and Area </w:t>
      </w:r>
      <w:r w:rsidR="00417B9B" w:rsidRPr="0086401E">
        <w:t>Development Authority. (M</w:t>
      </w:r>
      <w:r w:rsidRPr="0086401E">
        <w:t xml:space="preserve">HADA), </w:t>
      </w:r>
      <w:r w:rsidR="00417B9B" w:rsidRPr="0086401E">
        <w:t xml:space="preserve">Maharashtra Real </w:t>
      </w:r>
      <w:r w:rsidR="00417B9B">
        <w:t xml:space="preserve">Estate Regulatory Authority </w:t>
      </w:r>
      <w:r w:rsidR="0086401E">
        <w:t>(MRERA).</w:t>
      </w:r>
    </w:p>
    <w:p w:rsidR="0086401E" w:rsidRDefault="0086401E" w:rsidP="003063FE">
      <w:r>
        <w:t xml:space="preserve">The </w:t>
      </w:r>
      <w:r w:rsidR="00BB4210">
        <w:t xml:space="preserve">architectural </w:t>
      </w:r>
      <w:r>
        <w:t xml:space="preserve">elements </w:t>
      </w:r>
      <w:r w:rsidR="00BB4210">
        <w:t>considered for the study are:</w:t>
      </w:r>
    </w:p>
    <w:p w:rsidR="0086401E" w:rsidRPr="0086401E" w:rsidRDefault="00BB4210" w:rsidP="0086401E">
      <w:pPr>
        <w:pStyle w:val="ListParagraph"/>
        <w:numPr>
          <w:ilvl w:val="0"/>
          <w:numId w:val="5"/>
        </w:numPr>
      </w:pPr>
      <w:r>
        <w:t xml:space="preserve">Number of </w:t>
      </w:r>
      <w:r w:rsidR="0086401E" w:rsidRPr="0086401E">
        <w:t>Core</w:t>
      </w:r>
      <w:r>
        <w:t>s</w:t>
      </w:r>
      <w:r w:rsidR="0086401E">
        <w:t xml:space="preserve">: </w:t>
      </w:r>
      <w:r w:rsidR="001D3176">
        <w:t xml:space="preserve">It </w:t>
      </w:r>
      <w:r w:rsidR="0086401E" w:rsidRPr="0086401E">
        <w:t>refers to the number of movement core (Stairs and lift combined to make a core) in the building. More than 80 percent of the buildings have a single core</w:t>
      </w:r>
      <w:r w:rsidR="001D3176">
        <w:t xml:space="preserve"> all together</w:t>
      </w:r>
      <w:r w:rsidR="0086401E" w:rsidRPr="0086401E">
        <w:t>.</w:t>
      </w:r>
    </w:p>
    <w:p w:rsidR="00841F62" w:rsidRPr="00A63EFD" w:rsidRDefault="0086401E" w:rsidP="002316CF">
      <w:pPr>
        <w:pStyle w:val="ListParagraph"/>
        <w:numPr>
          <w:ilvl w:val="0"/>
          <w:numId w:val="5"/>
        </w:numPr>
      </w:pPr>
      <w:r w:rsidRPr="00A63EFD">
        <w:t>Corridor</w:t>
      </w:r>
      <w:r w:rsidR="00BB4210" w:rsidRPr="00A63EFD">
        <w:t xml:space="preserve"> </w:t>
      </w:r>
      <w:r w:rsidR="00841F62" w:rsidRPr="00A63EFD">
        <w:t xml:space="preserve">type: </w:t>
      </w:r>
      <w:r w:rsidR="001D3176">
        <w:t xml:space="preserve">It </w:t>
      </w:r>
      <w:r w:rsidR="00841F62" w:rsidRPr="00A63EFD">
        <w:t>refers to the location of units around the corridor, double</w:t>
      </w:r>
      <w:r w:rsidR="0016611E">
        <w:t>-</w:t>
      </w:r>
      <w:r w:rsidR="00841F62" w:rsidRPr="00A63EFD">
        <w:t>loaded corridor is the most common type with over 80 percent of the buildings having it.</w:t>
      </w:r>
    </w:p>
    <w:p w:rsidR="00841F62" w:rsidRPr="00A63EFD" w:rsidRDefault="00841F62" w:rsidP="002316CF">
      <w:pPr>
        <w:pStyle w:val="ListParagraph"/>
        <w:numPr>
          <w:ilvl w:val="0"/>
          <w:numId w:val="5"/>
        </w:numPr>
      </w:pPr>
      <w:r w:rsidRPr="00A63EFD">
        <w:lastRenderedPageBreak/>
        <w:t>Building shape: ‘I’ shaped buildings are the most common. 30 percent of the buildings are I shaped.</w:t>
      </w:r>
    </w:p>
    <w:p w:rsidR="00841F62" w:rsidRPr="00A63EFD" w:rsidRDefault="00841F62" w:rsidP="002316CF">
      <w:pPr>
        <w:pStyle w:val="ListParagraph"/>
        <w:numPr>
          <w:ilvl w:val="0"/>
          <w:numId w:val="5"/>
        </w:numPr>
      </w:pPr>
      <w:r w:rsidRPr="00A63EFD">
        <w:t>Building floors: The average number of floors in Mumbai is 12.38 as for Indonesia it is 21.32.</w:t>
      </w:r>
    </w:p>
    <w:p w:rsidR="00A63EFD" w:rsidRPr="00A63EFD" w:rsidRDefault="00841F62" w:rsidP="002316CF">
      <w:pPr>
        <w:pStyle w:val="ListParagraph"/>
        <w:numPr>
          <w:ilvl w:val="0"/>
          <w:numId w:val="5"/>
        </w:numPr>
      </w:pPr>
      <w:r w:rsidRPr="00A63EFD">
        <w:t>Location of balcony: In case of Mumbai</w:t>
      </w:r>
      <w:r w:rsidR="0016611E">
        <w:t>,</w:t>
      </w:r>
      <w:r w:rsidRPr="00A63EFD">
        <w:t xml:space="preserve"> 75 percent of the units don’t have a balcony </w:t>
      </w:r>
      <w:r w:rsidR="00A63EFD" w:rsidRPr="00A63EFD">
        <w:t>where as it is compulsory to provide one in Indonesia.</w:t>
      </w:r>
    </w:p>
    <w:p w:rsidR="00841F62" w:rsidRPr="00A63EFD" w:rsidRDefault="00841F62" w:rsidP="002316CF">
      <w:pPr>
        <w:pStyle w:val="ListParagraph"/>
        <w:numPr>
          <w:ilvl w:val="0"/>
          <w:numId w:val="5"/>
        </w:numPr>
      </w:pPr>
      <w:r w:rsidRPr="00A63EFD">
        <w:t>Location of toilet:</w:t>
      </w:r>
      <w:r w:rsidR="00A63EFD">
        <w:t xml:space="preserve"> Toilets are located on the exterior wall of the units for buildings in Mumbai. In Indonesian case</w:t>
      </w:r>
      <w:r w:rsidR="0016611E">
        <w:t>,</w:t>
      </w:r>
      <w:r w:rsidR="00A63EFD">
        <w:t xml:space="preserve"> they are located around the interior wall (corridor side).</w:t>
      </w:r>
    </w:p>
    <w:p w:rsidR="00841F62" w:rsidRPr="00A63EFD" w:rsidRDefault="00841F62" w:rsidP="0086401E">
      <w:pPr>
        <w:pStyle w:val="ListParagraph"/>
        <w:numPr>
          <w:ilvl w:val="0"/>
          <w:numId w:val="5"/>
        </w:numPr>
      </w:pPr>
      <w:r>
        <w:t xml:space="preserve">Size </w:t>
      </w:r>
      <w:r w:rsidRPr="00A63EFD">
        <w:t>of units:</w:t>
      </w:r>
      <w:r w:rsidR="00A63EFD" w:rsidRPr="00A63EFD">
        <w:t xml:space="preserve"> Based on the analysis the average size for one bedroom, two bedroom</w:t>
      </w:r>
      <w:r w:rsidR="0016611E">
        <w:t>s</w:t>
      </w:r>
      <w:r w:rsidR="00A63EFD" w:rsidRPr="00A63EFD">
        <w:t>, three bedroom</w:t>
      </w:r>
      <w:r w:rsidR="0016611E">
        <w:t>s</w:t>
      </w:r>
      <w:r w:rsidR="00A63EFD" w:rsidRPr="00A63EFD">
        <w:t xml:space="preserve"> unit are 25.3 m</w:t>
      </w:r>
      <w:r w:rsidR="00A63EFD" w:rsidRPr="00A63EFD">
        <w:rPr>
          <w:vertAlign w:val="superscript"/>
        </w:rPr>
        <w:t>2</w:t>
      </w:r>
      <w:r w:rsidR="00A63EFD" w:rsidRPr="00A63EFD">
        <w:t>, 34.4 m</w:t>
      </w:r>
      <w:r w:rsidR="00A63EFD" w:rsidRPr="00A63EFD">
        <w:rPr>
          <w:vertAlign w:val="superscript"/>
        </w:rPr>
        <w:t>2</w:t>
      </w:r>
      <w:r w:rsidR="00A63EFD" w:rsidRPr="00A63EFD">
        <w:t xml:space="preserve"> and 44.9 m</w:t>
      </w:r>
      <w:r w:rsidR="00A63EFD" w:rsidRPr="00A63EFD">
        <w:rPr>
          <w:vertAlign w:val="superscript"/>
        </w:rPr>
        <w:t>2</w:t>
      </w:r>
      <w:r w:rsidR="00A63EFD" w:rsidRPr="00A63EFD">
        <w:t xml:space="preserve"> for Indonesia and in case of Mumbai</w:t>
      </w:r>
      <w:r w:rsidR="0016611E">
        <w:t>,</w:t>
      </w:r>
      <w:r w:rsidR="00A63EFD" w:rsidRPr="00A63EFD">
        <w:t xml:space="preserve"> it is 19 m</w:t>
      </w:r>
      <w:r w:rsidR="00A63EFD" w:rsidRPr="00A63EFD">
        <w:rPr>
          <w:vertAlign w:val="superscript"/>
        </w:rPr>
        <w:t>2</w:t>
      </w:r>
      <w:r w:rsidR="00A63EFD" w:rsidRPr="00A63EFD">
        <w:t>, 33 m</w:t>
      </w:r>
      <w:r w:rsidR="00A63EFD" w:rsidRPr="00A63EFD">
        <w:rPr>
          <w:vertAlign w:val="superscript"/>
        </w:rPr>
        <w:t>2</w:t>
      </w:r>
      <w:r w:rsidR="00A63EFD" w:rsidRPr="00A63EFD">
        <w:t xml:space="preserve"> </w:t>
      </w:r>
      <w:r w:rsidR="0016611E">
        <w:t xml:space="preserve">, </w:t>
      </w:r>
      <w:r w:rsidR="00A63EFD" w:rsidRPr="00A63EFD">
        <w:t>and 56 m</w:t>
      </w:r>
      <w:r w:rsidR="00A63EFD" w:rsidRPr="00A63EFD">
        <w:rPr>
          <w:vertAlign w:val="superscript"/>
        </w:rPr>
        <w:t>2</w:t>
      </w:r>
      <w:r w:rsidR="00A63EFD" w:rsidRPr="00A63EFD">
        <w:t>.</w:t>
      </w:r>
    </w:p>
    <w:p w:rsidR="00A63EFD" w:rsidRDefault="001D3176" w:rsidP="00A63EFD">
      <w:r w:rsidRPr="00E553F0">
        <w:rPr>
          <w:noProof/>
          <w:lang w:val="en-US"/>
        </w:rPr>
        <w:drawing>
          <wp:anchor distT="0" distB="0" distL="114300" distR="114300" simplePos="0" relativeHeight="251702272" behindDoc="0" locked="0" layoutInCell="1" allowOverlap="1">
            <wp:simplePos x="0" y="0"/>
            <wp:positionH relativeFrom="margin">
              <wp:align>left</wp:align>
            </wp:positionH>
            <wp:positionV relativeFrom="paragraph">
              <wp:posOffset>2048510</wp:posOffset>
            </wp:positionV>
            <wp:extent cx="2912110" cy="3810000"/>
            <wp:effectExtent l="0" t="0" r="254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2110" cy="3810000"/>
                    </a:xfrm>
                    <a:prstGeom prst="rect">
                      <a:avLst/>
                    </a:prstGeom>
                  </pic:spPr>
                </pic:pic>
              </a:graphicData>
            </a:graphic>
            <wp14:sizeRelV relativeFrom="margin">
              <wp14:pctHeight>0</wp14:pctHeight>
            </wp14:sizeRelV>
          </wp:anchor>
        </w:drawing>
      </w:r>
      <w:r w:rsidR="007C16E3">
        <w:rPr>
          <w:rStyle w:val="Heading2Char"/>
          <w:noProof/>
          <w:lang w:val="en-US"/>
        </w:rPr>
        <w:drawing>
          <wp:anchor distT="0" distB="0" distL="114300" distR="114300" simplePos="0" relativeHeight="251721728" behindDoc="0" locked="0" layoutInCell="1" allowOverlap="1">
            <wp:simplePos x="0" y="0"/>
            <wp:positionH relativeFrom="margin">
              <wp:posOffset>3183255</wp:posOffset>
            </wp:positionH>
            <wp:positionV relativeFrom="paragraph">
              <wp:posOffset>3734435</wp:posOffset>
            </wp:positionV>
            <wp:extent cx="2932430" cy="2095500"/>
            <wp:effectExtent l="0" t="0" r="127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2430" cy="2095500"/>
                    </a:xfrm>
                    <a:prstGeom prst="rect">
                      <a:avLst/>
                    </a:prstGeom>
                    <a:noFill/>
                  </pic:spPr>
                </pic:pic>
              </a:graphicData>
            </a:graphic>
            <wp14:sizeRelH relativeFrom="margin">
              <wp14:pctWidth>0</wp14:pctWidth>
            </wp14:sizeRelH>
            <wp14:sizeRelV relativeFrom="margin">
              <wp14:pctHeight>0</wp14:pctHeight>
            </wp14:sizeRelV>
          </wp:anchor>
        </w:drawing>
      </w:r>
      <w:r w:rsidR="007C16E3" w:rsidRPr="00E553F0">
        <w:rPr>
          <w:noProof/>
          <w:lang w:val="en-US"/>
        </w:rPr>
        <mc:AlternateContent>
          <mc:Choice Requires="wps">
            <w:drawing>
              <wp:anchor distT="0" distB="0" distL="114300" distR="114300" simplePos="0" relativeHeight="251709440" behindDoc="0" locked="0" layoutInCell="1" allowOverlap="1" wp14:anchorId="46E1488C" wp14:editId="4BA8F462">
                <wp:simplePos x="0" y="0"/>
                <wp:positionH relativeFrom="margin">
                  <wp:posOffset>3298190</wp:posOffset>
                </wp:positionH>
                <wp:positionV relativeFrom="paragraph">
                  <wp:posOffset>5862320</wp:posOffset>
                </wp:positionV>
                <wp:extent cx="2708275" cy="635"/>
                <wp:effectExtent l="0" t="0" r="0" b="8255"/>
                <wp:wrapTopAndBottom/>
                <wp:docPr id="8" name="Text Box 8"/>
                <wp:cNvGraphicFramePr/>
                <a:graphic xmlns:a="http://schemas.openxmlformats.org/drawingml/2006/main">
                  <a:graphicData uri="http://schemas.microsoft.com/office/word/2010/wordprocessingShape">
                    <wps:wsp>
                      <wps:cNvSpPr txBox="1"/>
                      <wps:spPr>
                        <a:xfrm>
                          <a:off x="0" y="0"/>
                          <a:ext cx="2708275" cy="635"/>
                        </a:xfrm>
                        <a:prstGeom prst="rect">
                          <a:avLst/>
                        </a:prstGeom>
                        <a:solidFill>
                          <a:prstClr val="white"/>
                        </a:solidFill>
                        <a:ln>
                          <a:noFill/>
                        </a:ln>
                        <a:effectLst/>
                      </wps:spPr>
                      <wps:txbx>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3</w:t>
                            </w:r>
                            <w:r w:rsidR="00B92F97" w:rsidRPr="00B92F97">
                              <w:rPr>
                                <w:color w:val="000000" w:themeColor="text1"/>
                              </w:rPr>
                              <w:t>:</w:t>
                            </w:r>
                            <w:r w:rsidRPr="00B92F97">
                              <w:rPr>
                                <w:color w:val="000000" w:themeColor="text1"/>
                              </w:rPr>
                              <w:t xml:space="preserve"> Incident profiles of mean velocity ū and turbulent kinetic energy k</w:t>
                            </w:r>
                            <w:r w:rsidR="00B92F97" w:rsidRPr="00B92F97">
                              <w:rPr>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6E1488C" id="_x0000_t202" coordsize="21600,21600" o:spt="202" path="m,l,21600r21600,l21600,xe">
                <v:stroke joinstyle="miter"/>
                <v:path gradientshapeok="t" o:connecttype="rect"/>
              </v:shapetype>
              <v:shape id="Text Box 8" o:spid="_x0000_s1026" type="#_x0000_t202" style="position:absolute;left:0;text-align:left;margin-left:259.7pt;margin-top:461.6pt;width:213.25pt;height:.05pt;z-index:2517094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" stroked="f">
                <v:textbox style="mso-fit-shape-to-text:t" inset="0,0,0,0">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3</w:t>
                      </w:r>
                      <w:r w:rsidR="00B92F97" w:rsidRPr="00B92F97">
                        <w:rPr>
                          <w:color w:val="000000" w:themeColor="text1"/>
                        </w:rPr>
                        <w:t>:</w:t>
                      </w:r>
                      <w:r w:rsidRPr="00B92F97">
                        <w:rPr>
                          <w:color w:val="000000" w:themeColor="text1"/>
                        </w:rPr>
                        <w:t xml:space="preserve"> Incident profiles of mean velocity ū and turbulent kinetic energy k</w:t>
                      </w:r>
                      <w:r w:rsidR="00B92F97" w:rsidRPr="00B92F97">
                        <w:rPr>
                          <w:color w:val="000000" w:themeColor="text1"/>
                        </w:rPr>
                        <w:t>.</w:t>
                      </w:r>
                    </w:p>
                  </w:txbxContent>
                </v:textbox>
                <w10:wrap type="topAndBottom" anchorx="margin"/>
              </v:shape>
            </w:pict>
          </mc:Fallback>
        </mc:AlternateContent>
      </w:r>
      <w:r w:rsidR="007C16E3" w:rsidRPr="00B274F7">
        <w:rPr>
          <w:noProof/>
          <w:lang w:val="en-US"/>
        </w:rPr>
        <w:drawing>
          <wp:anchor distT="0" distB="0" distL="114300" distR="114300" simplePos="0" relativeHeight="251671552" behindDoc="1" locked="0" layoutInCell="1" allowOverlap="1">
            <wp:simplePos x="0" y="0"/>
            <wp:positionH relativeFrom="margin">
              <wp:posOffset>3265170</wp:posOffset>
            </wp:positionH>
            <wp:positionV relativeFrom="paragraph">
              <wp:posOffset>247650</wp:posOffset>
            </wp:positionV>
            <wp:extent cx="2825115" cy="3419475"/>
            <wp:effectExtent l="0" t="0" r="0" b="9525"/>
            <wp:wrapTight wrapText="bothSides">
              <wp:wrapPolygon edited="0">
                <wp:start x="0" y="0"/>
                <wp:lineTo x="0" y="21540"/>
                <wp:lineTo x="21411" y="21540"/>
                <wp:lineTo x="214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5115" cy="3419475"/>
                    </a:xfrm>
                    <a:prstGeom prst="rect">
                      <a:avLst/>
                    </a:prstGeom>
                  </pic:spPr>
                </pic:pic>
              </a:graphicData>
            </a:graphic>
            <wp14:sizeRelH relativeFrom="margin">
              <wp14:pctWidth>0</wp14:pctWidth>
            </wp14:sizeRelH>
            <wp14:sizeRelV relativeFrom="margin">
              <wp14:pctHeight>0</wp14:pctHeight>
            </wp14:sizeRelV>
          </wp:anchor>
        </w:drawing>
      </w:r>
      <w:r w:rsidR="007C16E3" w:rsidRPr="00E553F0">
        <w:rPr>
          <w:noProof/>
          <w:lang w:val="en-US"/>
        </w:rPr>
        <mc:AlternateContent>
          <mc:Choice Requires="wps">
            <w:drawing>
              <wp:anchor distT="0" distB="0" distL="114300" distR="114300" simplePos="0" relativeHeight="251707392" behindDoc="1" locked="0" layoutInCell="1" allowOverlap="1" wp14:anchorId="4AEA60D8" wp14:editId="1C922A25">
                <wp:simplePos x="0" y="0"/>
                <wp:positionH relativeFrom="margin">
                  <wp:align>right</wp:align>
                </wp:positionH>
                <wp:positionV relativeFrom="paragraph">
                  <wp:posOffset>3504565</wp:posOffset>
                </wp:positionV>
                <wp:extent cx="2910840" cy="635"/>
                <wp:effectExtent l="0" t="0" r="3810" b="0"/>
                <wp:wrapTight wrapText="bothSides">
                  <wp:wrapPolygon edited="0">
                    <wp:start x="0" y="0"/>
                    <wp:lineTo x="0" y="20052"/>
                    <wp:lineTo x="21487" y="20052"/>
                    <wp:lineTo x="21487"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2910840" cy="635"/>
                        </a:xfrm>
                        <a:prstGeom prst="rect">
                          <a:avLst/>
                        </a:prstGeom>
                        <a:solidFill>
                          <a:prstClr val="white"/>
                        </a:solidFill>
                        <a:ln>
                          <a:noFill/>
                        </a:ln>
                        <a:effectLst/>
                      </wps:spPr>
                      <wps:txbx>
                        <w:txbxContent>
                          <w:p w:rsidR="007C16E3" w:rsidRPr="00B92F97" w:rsidRDefault="00E848BD" w:rsidP="00B92F97">
                            <w:pPr>
                              <w:pStyle w:val="Caption"/>
                              <w:jc w:val="center"/>
                              <w:rPr>
                                <w:color w:val="000000" w:themeColor="text1"/>
                              </w:rPr>
                            </w:pPr>
                            <w:r w:rsidRPr="00B92F97">
                              <w:rPr>
                                <w:color w:val="000000" w:themeColor="text1"/>
                              </w:rPr>
                              <w:t>Figure 2</w:t>
                            </w:r>
                            <w:r w:rsidR="00C844D8" w:rsidRPr="00B92F97">
                              <w:rPr>
                                <w:color w:val="000000" w:themeColor="text1"/>
                              </w:rPr>
                              <w:t xml:space="preserve">: </w:t>
                            </w:r>
                            <w:r w:rsidRPr="00B92F97">
                              <w:rPr>
                                <w:color w:val="000000" w:themeColor="text1"/>
                              </w:rPr>
                              <w:t>Experimental setup in the wind tunnel for the collection of wind velocity.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EA60D8" id="Text Box 7" o:spid="_x0000_s1027" type="#_x0000_t202" style="position:absolute;left:0;text-align:left;margin-left:178pt;margin-top:275.95pt;width:229.2pt;height:.05pt;z-index:-251609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" stroked="f">
                <v:textbox style="mso-fit-shape-to-text:t" inset="0,0,0,0">
                  <w:txbxContent>
                    <w:p w:rsidR="007C16E3" w:rsidRPr="00B92F97" w:rsidRDefault="00E848BD" w:rsidP="00B92F97">
                      <w:pPr>
                        <w:pStyle w:val="Caption"/>
                        <w:jc w:val="center"/>
                        <w:rPr>
                          <w:color w:val="000000" w:themeColor="text1"/>
                        </w:rPr>
                      </w:pPr>
                      <w:r w:rsidRPr="00B92F97">
                        <w:rPr>
                          <w:color w:val="000000" w:themeColor="text1"/>
                        </w:rPr>
                        <w:t>Figure 2</w:t>
                      </w:r>
                      <w:r w:rsidR="00C844D8" w:rsidRPr="00B92F97">
                        <w:rPr>
                          <w:color w:val="000000" w:themeColor="text1"/>
                        </w:rPr>
                        <w:t xml:space="preserve">: </w:t>
                      </w:r>
                      <w:r w:rsidRPr="00B92F97">
                        <w:rPr>
                          <w:color w:val="000000" w:themeColor="text1"/>
                        </w:rPr>
                        <w:t>Experimental setup in the wind tunnel for the collection of wind velocity.</w:t>
                      </w:r>
                    </w:p>
                  </w:txbxContent>
                </v:textbox>
                <w10:wrap type="tight" anchorx="margin"/>
              </v:shape>
            </w:pict>
          </mc:Fallback>
        </mc:AlternateContent>
      </w:r>
      <w:r w:rsidR="007C16E3" w:rsidRPr="00E553F0">
        <w:rPr>
          <w:noProof/>
          <w:lang w:val="en-US"/>
        </w:rPr>
        <mc:AlternateContent>
          <mc:Choice Requires="wps">
            <w:drawing>
              <wp:anchor distT="0" distB="0" distL="114300" distR="114300" simplePos="0" relativeHeight="251705344" behindDoc="0" locked="0" layoutInCell="1" allowOverlap="1" wp14:anchorId="34B2E3A6" wp14:editId="4DD4357D">
                <wp:simplePos x="0" y="0"/>
                <wp:positionH relativeFrom="margin">
                  <wp:align>left</wp:align>
                </wp:positionH>
                <wp:positionV relativeFrom="paragraph">
                  <wp:posOffset>5895340</wp:posOffset>
                </wp:positionV>
                <wp:extent cx="2912110" cy="635"/>
                <wp:effectExtent l="0" t="0" r="2540" b="0"/>
                <wp:wrapTopAndBottom/>
                <wp:docPr id="6" name="Text Box 6"/>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a:effectLst/>
                      </wps:spPr>
                      <wps:txbx>
                        <w:txbxContent>
                          <w:p w:rsidR="00E848BD" w:rsidRPr="00B92F97" w:rsidRDefault="00E848BD" w:rsidP="00B92F97">
                            <w:pPr>
                              <w:pStyle w:val="Caption"/>
                              <w:jc w:val="center"/>
                              <w:rPr>
                                <w:b/>
                                <w:noProof/>
                                <w:color w:val="000000" w:themeColor="text1"/>
                                <w:sz w:val="20"/>
                                <w:szCs w:val="20"/>
                              </w:rPr>
                            </w:pPr>
                            <w:r w:rsidRPr="00B92F97">
                              <w:rPr>
                                <w:color w:val="000000" w:themeColor="text1"/>
                              </w:rPr>
                              <w:t>Figure 1</w:t>
                            </w:r>
                            <w:r w:rsidR="00B92F97" w:rsidRPr="00B92F97">
                              <w:rPr>
                                <w:color w:val="000000" w:themeColor="text1"/>
                              </w:rPr>
                              <w:t>:</w:t>
                            </w:r>
                            <w:r w:rsidRPr="00B92F97">
                              <w:rPr>
                                <w:color w:val="000000" w:themeColor="text1"/>
                              </w:rPr>
                              <w:t xml:space="preserve"> Typical plan of multi storey buildings in Indonesia (Type A) and Mumbai (Type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2E3A6" id="Text Box 6" o:spid="_x0000_s1028" type="#_x0000_t202" style="position:absolute;left:0;text-align:left;margin-left:0;margin-top:464.2pt;width:229.3pt;height:.05pt;z-index:251705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" stroked="f">
                <v:textbox style="mso-fit-shape-to-text:t" inset="0,0,0,0">
                  <w:txbxContent>
                    <w:p w:rsidR="00E848BD" w:rsidRPr="00B92F97" w:rsidRDefault="00E848BD" w:rsidP="00B92F97">
                      <w:pPr>
                        <w:pStyle w:val="Caption"/>
                        <w:jc w:val="center"/>
                        <w:rPr>
                          <w:b/>
                          <w:noProof/>
                          <w:color w:val="000000" w:themeColor="text1"/>
                          <w:sz w:val="20"/>
                          <w:szCs w:val="20"/>
                        </w:rPr>
                      </w:pPr>
                      <w:r w:rsidRPr="00B92F97">
                        <w:rPr>
                          <w:color w:val="000000" w:themeColor="text1"/>
                        </w:rPr>
                        <w:t>Figure 1</w:t>
                      </w:r>
                      <w:r w:rsidR="00B92F97" w:rsidRPr="00B92F97">
                        <w:rPr>
                          <w:color w:val="000000" w:themeColor="text1"/>
                        </w:rPr>
                        <w:t>:</w:t>
                      </w:r>
                      <w:r w:rsidRPr="00B92F97">
                        <w:rPr>
                          <w:color w:val="000000" w:themeColor="text1"/>
                        </w:rPr>
                        <w:t xml:space="preserve"> Typical plan of multi storey buildings in Indonesia (Type A) and Mumbai (Type B).</w:t>
                      </w:r>
                    </w:p>
                  </w:txbxContent>
                </v:textbox>
                <w10:wrap type="topAndBottom" anchorx="margin"/>
              </v:shape>
            </w:pict>
          </mc:Fallback>
        </mc:AlternateContent>
      </w:r>
      <w:r w:rsidR="00D72AF8" w:rsidRPr="00E553F0">
        <w:t>Figure 1</w:t>
      </w:r>
      <w:r w:rsidR="00A63EFD" w:rsidRPr="00E553F0">
        <w:t xml:space="preserve"> shows </w:t>
      </w:r>
      <w:r w:rsidR="00A63EFD">
        <w:t xml:space="preserve">the typical plan of a building in Indonesia (Type A) and that of a building in Mumbai (Type B). </w:t>
      </w:r>
      <w:r w:rsidR="00BF067A">
        <w:t xml:space="preserve">Both the building designs were studied for their natural ventilation performance with the help of Wind Tunnel and CFD simulations. </w:t>
      </w:r>
      <w:r w:rsidR="00A63EFD">
        <w:t>The</w:t>
      </w:r>
      <w:r w:rsidR="00BF067A">
        <w:t xml:space="preserve"> results showed satisfactory natural ventilation on the windward side of the building</w:t>
      </w:r>
      <w:r w:rsidR="0016611E">
        <w:t>,</w:t>
      </w:r>
      <w:r w:rsidR="00BF067A">
        <w:t xml:space="preserve"> but on the leeward side</w:t>
      </w:r>
      <w:r w:rsidR="0016611E">
        <w:t>,</w:t>
      </w:r>
      <w:r>
        <w:t xml:space="preserve"> the recorded wind velocities inside the units was approximately zero in both the types, hence it can be said </w:t>
      </w:r>
      <w:r w:rsidR="00BF067A">
        <w:t>there is no natural ventilation. Thereby suggesting a need for a better building design for natural ventilation for the leeward side. A new building design Type C</w:t>
      </w:r>
      <w:r w:rsidR="003D217C">
        <w:t xml:space="preserve"> is introduced with a </w:t>
      </w:r>
      <w:r w:rsidR="00BF067A">
        <w:t xml:space="preserve">void in between </w:t>
      </w:r>
      <w:r w:rsidR="00807D5C">
        <w:t>the windward and leeward side is studied with different configurations to suggest a better buildin</w:t>
      </w:r>
      <w:r w:rsidR="00C170E0">
        <w:t>g design as shown in Figure 4.</w:t>
      </w:r>
    </w:p>
    <w:p w:rsidR="00C37C48" w:rsidRPr="00A63EFD" w:rsidRDefault="00746A2A" w:rsidP="00C37C48">
      <w:pPr>
        <w:pStyle w:val="Heading1"/>
      </w:pPr>
      <w:r w:rsidRPr="00A63EFD">
        <w:t>Methods</w:t>
      </w:r>
      <w:r w:rsidR="00C37C48" w:rsidRPr="00A63EFD">
        <w:t xml:space="preserve"> </w:t>
      </w:r>
    </w:p>
    <w:p w:rsidR="00D72AF8" w:rsidRPr="00115E17" w:rsidRDefault="00953F9B" w:rsidP="003063FE">
      <w:r w:rsidRPr="00A63EFD">
        <w:rPr>
          <w:rStyle w:val="Heading2Char"/>
        </w:rPr>
        <w:t>Experimental description:</w:t>
      </w:r>
      <w:r w:rsidRPr="00A63EFD">
        <w:t xml:space="preserve"> In this study, a wind tunnel is used to measure wind velocity in the </w:t>
      </w:r>
      <w:r>
        <w:t xml:space="preserve">center of the units using a constant temperature anemometry (CTA) module (Dantec Dynamics; 90C10) for validating the simulated results. The experiments were carried in atmospheric boundary layer wind tunnel at Niigata Institute of Technology </w:t>
      </w:r>
      <w:r>
        <w:fldChar w:fldCharType="begin" w:fldLock="1"/>
      </w:r>
      <w:r>
        <w:instrText>ADDIN CSL_CITATION {"citationItems":[{"id":"ITEM-1","itemData":{"abstract":"A new boundary layer wind tunnel has been constructed at Niigata Institute of Technology. The size of its working section is 1.8m in height,1.8m in width and 13m in length. The range of wind speed is O.5m/s^-25m/s. This paper reports on the basic performance of this wind tunnel with the results of a series of model experiments conducted at the design stage of this facility","author":[{"dropping-particle":"","family":"S. Akabayashi; A. Mochida; Y. Tominaga; M. Yoshida; J. Sakaguchi","given":"","non-dropping-particle":"","parse-names":false,"suffix":""}],"container-title":"JWE","id":"ITEM-1","issued":{"date-parts":[["1996"]]},"page":"95-106","publisher":"JWE 1996","publisher-place":"Nigata","title":"Performance of New Wind Tunnel of Niigata Institute of Technology","type":"article"},"uris":["http://www.mendeley.com/documents/?uuid=fac6c019-e0b7-4f4d-b066-2e97b2c38b24"]},{"id":"ITEM-2","itemData":{"DOI":"10.1016/j.buildenv.2015.05.026","ISSN":"0360-1323","author":[{"dropping-particle":"","family":"Tominaga","given":"Yoshihide","non-dropping-particle":"","parse-names":false,"suffix":""},{"dropping-particle":"","family":"Blocken","given":"Bert","non-dropping-particle":"","parse-names":false,"suffix":""}],"container-title":"Building and Environment","id":"ITEM-2","issued":{"date-parts":[["2015"]]},"page":"452-461","publisher":"Elsevier Ltd","title":"Wind tunnel experiments on cross-ventilation fl ow of a generic building with contaminant dispersion in unsheltered and sheltered conditions","type":"article-journal","volume":"92"},"uris":["http://www.mendeley.com/documents/?uuid=58f499c5-8f6d-4ef0-b5f8-fadda84d3653"]}],"mendeley":{"formattedCitation":"(S. Akabayashi; A. Mochida; Y. Tominaga; M. Yoshida; J. Sakaguchi, 1996; Tominaga &amp; Blocken, 2015)","plainTextFormattedCitation":"(S. Akabayashi; A. Mochida; Y. Tominaga; M. Yoshida; J. Sakaguchi, 1996; Tominaga &amp; Blocken, 2015)","previouslyFormattedCitation":"(S. Akabayashi; A. Mochida; Y. Tominaga; M. Yoshida; J. Sakaguchi, 1996; Tominaga &amp; Blocken, 2015)"},"properties":{"noteIndex":0},"schema":"https://github.com/citation-style-language/schema/raw/master/csl-citation.json"}</w:instrText>
      </w:r>
      <w:r>
        <w:fldChar w:fldCharType="separate"/>
      </w:r>
      <w:r w:rsidRPr="00F15282">
        <w:rPr>
          <w:noProof/>
        </w:rPr>
        <w:t>(S. Akabayashi</w:t>
      </w:r>
      <w:r w:rsidR="000B6D39">
        <w:rPr>
          <w:noProof/>
        </w:rPr>
        <w:t xml:space="preserve"> et al.</w:t>
      </w:r>
      <w:r w:rsidRPr="00F15282">
        <w:rPr>
          <w:noProof/>
        </w:rPr>
        <w:t xml:space="preserve">; 1996; Tominaga </w:t>
      </w:r>
      <w:r w:rsidR="00B92F97">
        <w:rPr>
          <w:noProof/>
        </w:rPr>
        <w:t>and</w:t>
      </w:r>
      <w:r w:rsidRPr="00F15282">
        <w:rPr>
          <w:noProof/>
        </w:rPr>
        <w:t xml:space="preserve"> Blocken, 2015)</w:t>
      </w:r>
      <w:r>
        <w:fldChar w:fldCharType="end"/>
      </w:r>
      <w:r>
        <w:t xml:space="preserve">. The wind tunnel boundary layer has a test section of 13m, working cross section of 1.8m height and 1.8m width. </w:t>
      </w:r>
      <w:r w:rsidRPr="0000001A">
        <w:t xml:space="preserve">Figure </w:t>
      </w:r>
      <w:r w:rsidR="006C3A02" w:rsidRPr="0000001A">
        <w:t>2</w:t>
      </w:r>
      <w:r w:rsidRPr="0000001A">
        <w:t xml:space="preserve"> shows </w:t>
      </w:r>
      <w:r w:rsidRPr="001B4E83">
        <w:t>the experimental setup for wind speed measurements</w:t>
      </w:r>
      <w:r>
        <w:t xml:space="preserve">. The model is made at a scale of 1:75 from 2mm acrylic sheet. The wind tunnel is setup using a combination of wooden blocks and surface roughness to create a wind profile representative of the neutral atmospheric boundary layer. </w:t>
      </w:r>
      <w:r w:rsidRPr="0000001A">
        <w:t xml:space="preserve">Figure </w:t>
      </w:r>
      <w:r w:rsidR="004E4949" w:rsidRPr="0000001A">
        <w:t>3</w:t>
      </w:r>
      <w:r w:rsidRPr="0000001A">
        <w:t xml:space="preserve"> shows </w:t>
      </w:r>
      <w:r>
        <w:t xml:space="preserve">the </w:t>
      </w:r>
      <w:r w:rsidR="00115E17">
        <w:t xml:space="preserve">normalized </w:t>
      </w:r>
      <w:r>
        <w:t xml:space="preserve">vertical profile of mean velocity ū and turbulent kinetic energy </w:t>
      </w:r>
      <w:r w:rsidR="00EE42D7">
        <w:t>k</w:t>
      </w:r>
      <w:r>
        <w:t xml:space="preserve"> for the incident flow measured </w:t>
      </w:r>
      <w:r>
        <w:lastRenderedPageBreak/>
        <w:t>at the center o</w:t>
      </w:r>
      <w:r w:rsidR="00D72AF8">
        <w:t>f the wind tunnel cross-section</w:t>
      </w:r>
      <w:r w:rsidR="00017F06">
        <w:t>.</w:t>
      </w:r>
      <w:r w:rsidR="00115E17">
        <w:t xml:space="preserve"> Normalization is done with the reference velocity at the building height 252mm which is 3.95ms</w:t>
      </w:r>
      <w:r w:rsidR="00115E17">
        <w:rPr>
          <w:vertAlign w:val="superscript"/>
        </w:rPr>
        <w:t>-1</w:t>
      </w:r>
      <w:r w:rsidR="00115E17">
        <w:t xml:space="preserve"> and 0.367 m</w:t>
      </w:r>
      <w:r w:rsidR="00115E17">
        <w:rPr>
          <w:vertAlign w:val="superscript"/>
        </w:rPr>
        <w:t>2</w:t>
      </w:r>
      <w:r w:rsidR="00115E17">
        <w:t>s</w:t>
      </w:r>
      <w:r w:rsidR="00115E17">
        <w:rPr>
          <w:vertAlign w:val="superscript"/>
        </w:rPr>
        <w:t>-2</w:t>
      </w:r>
      <w:r w:rsidR="00115E17">
        <w:t xml:space="preserve"> for mean velocity and turbulent kinetic energy respectively.</w:t>
      </w:r>
    </w:p>
    <w:p w:rsidR="00FD784D" w:rsidRDefault="001B1D4A" w:rsidP="003063FE">
      <w:r>
        <w:rPr>
          <w:rStyle w:val="Heading2Char"/>
        </w:rPr>
        <w:t>Model description</w:t>
      </w:r>
      <w:r w:rsidRPr="0021363B">
        <w:rPr>
          <w:rStyle w:val="Heading2Char"/>
        </w:rPr>
        <w:t>:</w:t>
      </w:r>
      <w:r w:rsidRPr="00BB3956">
        <w:t xml:space="preserve"> </w:t>
      </w:r>
      <w:r>
        <w:t xml:space="preserve">To study the most </w:t>
      </w:r>
      <w:r w:rsidR="003D217C">
        <w:t>optimized</w:t>
      </w:r>
      <w:r>
        <w:t xml:space="preserve"> void configuration</w:t>
      </w:r>
      <w:r w:rsidR="003D217C">
        <w:t xml:space="preserve"> concerning natural ventilation,</w:t>
      </w:r>
      <w:r>
        <w:t xml:space="preserve"> </w:t>
      </w:r>
      <w:r w:rsidR="005C64F1">
        <w:t>t</w:t>
      </w:r>
      <w:r>
        <w:t>he</w:t>
      </w:r>
      <w:r w:rsidR="00C13B14">
        <w:t xml:space="preserve"> </w:t>
      </w:r>
      <w:r w:rsidR="003063FE">
        <w:t>present study</w:t>
      </w:r>
      <w:r w:rsidR="003D217C">
        <w:t xml:space="preserve"> were examined in increasing the </w:t>
      </w:r>
      <w:r w:rsidR="003063FE">
        <w:t xml:space="preserve">performance of voids and wind-catcher to increase natural ventilation in the leeward units of buildings. The </w:t>
      </w:r>
      <w:r w:rsidR="00807B90">
        <w:t xml:space="preserve">standard </w:t>
      </w:r>
      <w:r w:rsidR="00C13B14">
        <w:t xml:space="preserve">building </w:t>
      </w:r>
      <w:r w:rsidR="003063FE">
        <w:t>design, i.e., a six-</w:t>
      </w:r>
      <w:r w:rsidR="00C13B14">
        <w:t xml:space="preserve">floor building </w:t>
      </w:r>
      <w:r w:rsidR="003063FE">
        <w:t xml:space="preserve">with pilotis on the </w:t>
      </w:r>
      <w:r w:rsidR="00C13B14">
        <w:t>first</w:t>
      </w:r>
      <w:r w:rsidR="003063FE">
        <w:t xml:space="preserve"> floor, was used for the simulations. It is a double-loaded </w:t>
      </w:r>
      <w:r w:rsidR="00C13B14">
        <w:t xml:space="preserve">building </w:t>
      </w:r>
      <w:r w:rsidR="003063FE">
        <w:t>with</w:t>
      </w:r>
      <w:r w:rsidR="004E3E22">
        <w:t xml:space="preserve"> an internal void space</w:t>
      </w:r>
      <w:r w:rsidR="003063FE">
        <w:t xml:space="preserve"> in the </w:t>
      </w:r>
      <w:r w:rsidR="004E3E22">
        <w:t>middle</w:t>
      </w:r>
      <w:r w:rsidR="0021363B">
        <w:t xml:space="preserve"> of</w:t>
      </w:r>
      <w:r w:rsidR="00B67263">
        <w:t xml:space="preserve"> the</w:t>
      </w:r>
      <w:r w:rsidR="0021363B">
        <w:t xml:space="preserve"> building</w:t>
      </w:r>
      <w:r w:rsidR="00D4778E">
        <w:t>.</w:t>
      </w:r>
      <w:r w:rsidR="0021363B">
        <w:t xml:space="preserve"> </w:t>
      </w:r>
      <w:r w:rsidR="00C13B14">
        <w:t>T</w:t>
      </w:r>
      <w:r w:rsidR="003063FE">
        <w:t>he unit siz</w:t>
      </w:r>
      <w:r w:rsidR="004E3E22">
        <w:t>e</w:t>
      </w:r>
      <w:r w:rsidR="003063FE">
        <w:t xml:space="preserve"> </w:t>
      </w:r>
      <w:r w:rsidR="00D4778E">
        <w:t xml:space="preserve">is </w:t>
      </w:r>
      <w:r w:rsidR="003063FE">
        <w:t>45 m</w:t>
      </w:r>
      <w:r w:rsidR="003063FE">
        <w:rPr>
          <w:vertAlign w:val="superscript"/>
        </w:rPr>
        <w:t>2</w:t>
      </w:r>
      <w:r w:rsidR="00807B90">
        <w:t>,</w:t>
      </w:r>
      <w:r w:rsidR="003063FE">
        <w:t xml:space="preserve"> and the </w:t>
      </w:r>
      <w:r w:rsidR="004E3E22">
        <w:t xml:space="preserve">floor </w:t>
      </w:r>
      <w:r w:rsidR="00D4778E">
        <w:t xml:space="preserve">height is </w:t>
      </w:r>
      <w:r w:rsidR="003063FE">
        <w:t xml:space="preserve">3m. All the units have an open ventilator shaft of </w:t>
      </w:r>
      <w:r w:rsidR="004E3E22">
        <w:t>0</w:t>
      </w:r>
      <w:r w:rsidR="00C54900">
        <w:t>.8m</w:t>
      </w:r>
      <w:r w:rsidR="004E3E22">
        <w:t>x</w:t>
      </w:r>
      <w:r w:rsidR="00C54900">
        <w:t>2m</w:t>
      </w:r>
      <w:r w:rsidR="00C13B14">
        <w:t xml:space="preserve"> at </w:t>
      </w:r>
      <w:r w:rsidR="00D377CF">
        <w:t>the</w:t>
      </w:r>
      <w:r w:rsidR="00C13B14">
        <w:t xml:space="preserve"> height of 2.2m</w:t>
      </w:r>
      <w:r w:rsidR="00C54900">
        <w:t xml:space="preserve"> </w:t>
      </w:r>
      <w:r w:rsidR="00C13B14">
        <w:t>which open</w:t>
      </w:r>
      <w:r w:rsidR="0021363B">
        <w:t>s</w:t>
      </w:r>
      <w:r w:rsidR="00C13B14">
        <w:t xml:space="preserve"> </w:t>
      </w:r>
      <w:r w:rsidR="00FE2BC7">
        <w:t xml:space="preserve">towards </w:t>
      </w:r>
      <w:r w:rsidR="00C13B14">
        <w:t xml:space="preserve">the </w:t>
      </w:r>
      <w:r w:rsidR="00C13B14">
        <w:t>void</w:t>
      </w:r>
      <w:r w:rsidR="0021363B">
        <w:t xml:space="preserve"> space</w:t>
      </w:r>
      <w:r w:rsidR="00C13B14" w:rsidRPr="00E51DCF">
        <w:t>.</w:t>
      </w:r>
      <w:r w:rsidR="003063FE" w:rsidRPr="00E51DCF">
        <w:t xml:space="preserve"> Fig</w:t>
      </w:r>
      <w:r w:rsidR="0021363B" w:rsidRPr="00E51DCF">
        <w:t xml:space="preserve">ure </w:t>
      </w:r>
      <w:r w:rsidR="00E51DCF" w:rsidRPr="00E51DCF">
        <w:t>4</w:t>
      </w:r>
      <w:r w:rsidR="0021363B" w:rsidRPr="00E51DCF">
        <w:t xml:space="preserve"> shows </w:t>
      </w:r>
      <w:r w:rsidR="0021363B">
        <w:t>the building 3D, Plan</w:t>
      </w:r>
      <w:r w:rsidR="00B67263">
        <w:t>,</w:t>
      </w:r>
      <w:r w:rsidR="0021363B">
        <w:t xml:space="preserve"> and Section </w:t>
      </w:r>
      <w:r w:rsidR="003063FE">
        <w:t xml:space="preserve">used for CFD. A total of </w:t>
      </w:r>
      <w:r w:rsidR="004E3E22">
        <w:t>27</w:t>
      </w:r>
      <w:r w:rsidR="003063FE">
        <w:t xml:space="preserve"> cases </w:t>
      </w:r>
      <w:r w:rsidR="00D377CF">
        <w:t xml:space="preserve">are </w:t>
      </w:r>
      <w:r w:rsidR="003063FE">
        <w:t>considered for the CFD simulation w</w:t>
      </w:r>
      <w:r w:rsidR="004E3E22">
        <w:t xml:space="preserve">ith </w:t>
      </w:r>
      <w:r w:rsidR="00ED6AB6">
        <w:t xml:space="preserve">a </w:t>
      </w:r>
      <w:r w:rsidR="005C64F1">
        <w:t xml:space="preserve">varying </w:t>
      </w:r>
      <w:r w:rsidR="004E3E22">
        <w:t xml:space="preserve">in </w:t>
      </w:r>
      <w:r w:rsidR="003063FE">
        <w:t xml:space="preserve">void width (small </w:t>
      </w:r>
      <w:r w:rsidR="00FE2BC7">
        <w:t xml:space="preserve">1.2 </w:t>
      </w:r>
      <w:r w:rsidR="00C54900">
        <w:t>m</w:t>
      </w:r>
      <w:r w:rsidR="003063FE">
        <w:t xml:space="preserve">, Medium </w:t>
      </w:r>
      <w:r w:rsidR="00FE2BC7">
        <w:t xml:space="preserve">3 </w:t>
      </w:r>
      <w:r w:rsidR="00C54900">
        <w:t>m</w:t>
      </w:r>
      <w:r w:rsidR="003063FE">
        <w:t xml:space="preserve">, large </w:t>
      </w:r>
      <w:r w:rsidR="00C54900">
        <w:t>6</w:t>
      </w:r>
      <w:r w:rsidR="00FE2BC7">
        <w:t xml:space="preserve"> </w:t>
      </w:r>
      <w:r w:rsidR="00C54900">
        <w:t>m</w:t>
      </w:r>
      <w:r w:rsidR="003063FE">
        <w:t>) and window size (no window, WWR 15%, WWR 25%)</w:t>
      </w:r>
      <w:r w:rsidR="005C64F1">
        <w:t xml:space="preserve"> as shown in Table1.</w:t>
      </w:r>
    </w:p>
    <w:p w:rsidR="00E16541" w:rsidRDefault="005C64F1" w:rsidP="00E16541">
      <w:r>
        <w:t xml:space="preserve">The </w:t>
      </w:r>
      <w:r w:rsidR="00E16541">
        <w:t>commercial software ANSYS Fluent 16.2 was used for</w:t>
      </w:r>
      <w:r>
        <w:t xml:space="preserve"> simulating the wind speed and pressure. A scaled building model of </w:t>
      </w:r>
      <w:r w:rsidR="00E16541">
        <w:t xml:space="preserve">1:75 </w:t>
      </w:r>
      <w:r>
        <w:t>was</w:t>
      </w:r>
      <w:r w:rsidR="00E16541">
        <w:t xml:space="preserve"> prepared for CFD </w:t>
      </w:r>
      <w:r>
        <w:t>simulations</w:t>
      </w:r>
      <w:r w:rsidR="00E16541">
        <w:t>. The scale</w:t>
      </w:r>
      <w:r>
        <w:t xml:space="preserve"> 1:75 was chosen to keep parity with the model used for the </w:t>
      </w:r>
      <w:r w:rsidR="00E16541">
        <w:t xml:space="preserve">wind tunnel </w:t>
      </w:r>
      <w:r>
        <w:t>experiments.</w:t>
      </w:r>
      <w:r w:rsidR="00E16541">
        <w:t xml:space="preserve"> </w:t>
      </w:r>
    </w:p>
    <w:p w:rsidR="00047963" w:rsidRDefault="00E16541" w:rsidP="00616B6D">
      <w:pPr>
        <w:rPr>
          <w:lang w:val="en-US"/>
        </w:rPr>
      </w:pPr>
      <w:r>
        <w:t xml:space="preserve">The computational domain was set according to the best practices guidelines for CFD </w:t>
      </w:r>
      <w:r>
        <w:fldChar w:fldCharType="begin" w:fldLock="1"/>
      </w:r>
      <w:r>
        <w:instrText>ADDIN CSL_CITATION {"citationItems":[{"id":"ITEM-1","itemData":{"DOI":"10.1016/j.jweia.2008.02.058","ISBN":"0167-6105","ISSN":"01676105","PMID":"17207996","abstract":"Significant improvements of computer facilities and computational fluid dynamics (CFD) software in recent years have enabled prediction and assessment of the pedestrian wind environment around buildings in the design stage. Therefore, guidelines are required that summarize important points in using the CFD technique for this purpose. This paper describes guidelines proposed by the Working Group of the Architectural Institute of Japan (AIJ). The feature of these guidelines is that they are based on cross-comparison between CFD predictions, wind tunnel test results and field measurements for seven test cases used to investigate the influence of many kinds of computational conditions for various flow fields. © 2008 Elsevier Ltd. All rights reserved.","author":[{"dropping-particle":"","family":"Tominaga","given":"Yoshihide","non-dropping-particle":"","parse-names":false,"suffix":""},{"dropping-particle":"","family":"Mochida","given":"Akashi","non-dropping-particle":"","parse-names":false,"suffix":""},{"dropping-particle":"","family":"Yoshie","given":"Ryuichiro","non-dropping-particle":"","parse-names":false,"suffix":""},{"dropping-particle":"","family":"Kataoka","given":"Hiroto","non-dropping-particle":"","parse-names":false,"suffix":""},{"dropping-particle":"","family":"Nozu","given":"Tsuyoshi","non-dropping-particle":"","parse-names":false,"suffix":""},{"dropping-particle":"","family":"Yoshikawa","given":"Masaru","non-dropping-particle":"","parse-names":false,"suffix":""},{"dropping-particle":"","family":"Shirasawa","given":"Taichi","non-dropping-particle":"","parse-names":false,"suffix":""}],"container-title":"Journal of Wind Engineering and Industrial Aerodynamics","id":"ITEM-1","issue":"10-11","issued":{"date-parts":[["2008"]]},"page":"1749-1761","title":"AIJ guidelines for practical applications of CFD to pedestrian wind environment around buildings","type":"article-journal","volume":"96"},"uris":["http://www.mendeley.com/documents/?uuid=8c04db64-f61a-4dc7-a960-fdfe07e1bb14"]},{"id":"ITEM-2","itemData":{"abstract":"Recommendations on the proper use of CFD for the prediction of pedestrian winds are presented. They are restricted to statistically steady turbulent flows modelled by the RANS equations and based on a comprehensive literature review. Furthermore, only aspects of the boundary conditions and the numerical parameters which influence the accuracy of the solutions are addressed.","author":[{"dropping-particle":"","family":"Franke","given":"Joerg","non-dropping-particle":"","parse-names":false,"suffix":""}],"container-title":"The Fourth International Symposium on Computational Wind Engineering","id":"ITEM-2","issued":{"date-parts":[["2006"]]},"page":"529-532","title":"Recommendations of the COST action C14 on the use of CFD in predicting pedestrian wind environment","type":"article-journal"},"uris":["http://www.mendeley.com/documents/?uuid=08eadbe2-d71d-42a9-a78b-b88e81c0aa48"]},{"id":"ITEM-3","itemData":{"ISBN":"3000183124","ISSN":"09574352","abstract":"This paper is a summary of the \"Best Practice Guideline\" (BPG) document (Franke et al., 2007) produced in the framework of the European COST Action 732 \"Quality assurance and improvement of micro-scale meteorological models\", available from the site given in the reference section. The full document provides guidelines for undertaking simulations that are used to evaluate micro-scale obstacle-accommodating meteorological models. This paper provides an overview of the topics covered in the full document without reproducing the specific recommendations.","author":[{"dropping-particle":"","family":"Franke","given":"Jorg","non-dropping-particle":"","parse-names":false,"suffix":""},{"dropping-particle":"","family":"Hellsten","given":"Antti","non-dropping-particle":"","parse-names":false,"suffix":""},{"dropping-particle":"","family":"Schlünzen","given":"H","non-dropping-particle":"","parse-names":false,"suffix":""},{"dropping-particle":"","family":"Carissimo","given":"Bertrand","non-dropping-particle":"","parse-names":false,"suffix":""}],"container-title":"COST action","id":"ITEM-3","issue":"May","issued":{"date-parts":[["2007"]]},"number-of-pages":"1-52","title":"Best practice guideline for the CFD simulation of flows in the urban environment","type":"book","volume":"44"},"uris":["http://www.mendeley.com/documents/?uuid=c1789d24-3827-42b0-b6e6-46574c5759c3"]}],"mendeley":{"formattedCitation":"(Joerg Franke, 2006; Jorg Franke, Hellsten, Schlünzen, &amp; Carissimo, 2007; Tominaga et al., 2008)","plainTextFormattedCitation":"(Joerg Franke, 2006; Jorg Franke, Hellsten, Schlünzen, &amp; Carissimo, 2007; Tominaga et al., 2008)","previouslyFormattedCitation":"(Joerg Franke, 2006; Jorg Franke, Hellsten, Schlünzen, &amp; Carissimo, 2007; Tominaga et al., 2008)"},"properties":{"noteIndex":0},"schema":"https://github.com/citation-style-language/schema/raw/master/csl-citation.json"}</w:instrText>
      </w:r>
      <w:r>
        <w:fldChar w:fldCharType="separate"/>
      </w:r>
      <w:r w:rsidRPr="003C581F">
        <w:rPr>
          <w:noProof/>
        </w:rPr>
        <w:t xml:space="preserve">(Joerg Franke, 2006; Jorg Franke, Hellsten, Schlünzen, </w:t>
      </w:r>
      <w:r w:rsidR="00961321">
        <w:rPr>
          <w:noProof/>
        </w:rPr>
        <w:t>and</w:t>
      </w:r>
      <w:r w:rsidRPr="003C581F">
        <w:rPr>
          <w:noProof/>
        </w:rPr>
        <w:t xml:space="preserve"> Carissimo, 2007; Tominaga et al., 2008)</w:t>
      </w:r>
      <w:r>
        <w:fldChar w:fldCharType="end"/>
      </w:r>
      <w:r>
        <w:t>.</w:t>
      </w:r>
    </w:p>
    <w:p w:rsidR="004D5B46" w:rsidRDefault="004D5B46" w:rsidP="00616B6D">
      <w:pPr>
        <w:rPr>
          <w:lang w:val="en-US"/>
        </w:rPr>
        <w:sectPr w:rsidR="004D5B46" w:rsidSect="003D6F8B">
          <w:type w:val="continuous"/>
          <w:pgSz w:w="11894" w:h="16834" w:code="9"/>
          <w:pgMar w:top="1418" w:right="1134" w:bottom="1418" w:left="1134" w:header="720" w:footer="720" w:gutter="0"/>
          <w:cols w:num="2" w:space="454"/>
          <w:docGrid w:linePitch="272"/>
        </w:sectPr>
      </w:pPr>
    </w:p>
    <w:p w:rsidR="004E4949" w:rsidRPr="00B92F97" w:rsidRDefault="004E4949" w:rsidP="00B92F97">
      <w:pPr>
        <w:pStyle w:val="Caption"/>
        <w:keepNext/>
        <w:jc w:val="center"/>
        <w:rPr>
          <w:color w:val="000000" w:themeColor="text1"/>
        </w:rPr>
      </w:pPr>
      <w:r w:rsidRPr="00B92F97">
        <w:rPr>
          <w:color w:val="000000" w:themeColor="text1"/>
        </w:rPr>
        <w:t xml:space="preserve">Table </w:t>
      </w:r>
      <w:r w:rsidRPr="00B92F97">
        <w:rPr>
          <w:color w:val="000000" w:themeColor="text1"/>
        </w:rPr>
        <w:fldChar w:fldCharType="begin"/>
      </w:r>
      <w:r w:rsidRPr="00B92F97">
        <w:rPr>
          <w:color w:val="000000" w:themeColor="text1"/>
        </w:rPr>
        <w:instrText xml:space="preserve"> SEQ Table \* ARABIC </w:instrText>
      </w:r>
      <w:r w:rsidRPr="00B92F97">
        <w:rPr>
          <w:color w:val="000000" w:themeColor="text1"/>
        </w:rPr>
        <w:fldChar w:fldCharType="separate"/>
      </w:r>
      <w:r w:rsidR="00636C02" w:rsidRPr="00B92F97">
        <w:rPr>
          <w:noProof/>
          <w:color w:val="000000" w:themeColor="text1"/>
        </w:rPr>
        <w:t>1</w:t>
      </w:r>
      <w:r w:rsidRPr="00B92F97">
        <w:rPr>
          <w:color w:val="000000" w:themeColor="text1"/>
        </w:rPr>
        <w:fldChar w:fldCharType="end"/>
      </w:r>
      <w:r w:rsidR="00B92F97" w:rsidRPr="00B92F97">
        <w:rPr>
          <w:color w:val="000000" w:themeColor="text1"/>
        </w:rPr>
        <w:t xml:space="preserve">: </w:t>
      </w:r>
      <w:r w:rsidR="00A30C6A" w:rsidRPr="00B92F97">
        <w:rPr>
          <w:color w:val="000000" w:themeColor="text1"/>
        </w:rPr>
        <w:t>CFD simulation cases</w:t>
      </w:r>
      <w:r w:rsidR="00B92F97" w:rsidRPr="00B92F97">
        <w:rPr>
          <w:color w:val="000000" w:themeColor="text1"/>
        </w:rPr>
        <w:t>.</w:t>
      </w:r>
    </w:p>
    <w:tbl>
      <w:tblPr>
        <w:tblpPr w:leftFromText="180" w:rightFromText="180" w:vertAnchor="text" w:horzAnchor="margin" w:tblpY="43"/>
        <w:tblW w:w="5000" w:type="pct"/>
        <w:tblCellMar>
          <w:left w:w="0" w:type="dxa"/>
          <w:right w:w="0" w:type="dxa"/>
        </w:tblCellMar>
        <w:tblLook w:val="0600" w:firstRow="0" w:lastRow="0" w:firstColumn="0" w:lastColumn="0" w:noHBand="1" w:noVBand="1"/>
      </w:tblPr>
      <w:tblGrid>
        <w:gridCol w:w="1063"/>
        <w:gridCol w:w="210"/>
        <w:gridCol w:w="254"/>
        <w:gridCol w:w="254"/>
        <w:gridCol w:w="360"/>
        <w:gridCol w:w="360"/>
        <w:gridCol w:w="360"/>
        <w:gridCol w:w="360"/>
        <w:gridCol w:w="360"/>
        <w:gridCol w:w="289"/>
        <w:gridCol w:w="281"/>
        <w:gridCol w:w="254"/>
        <w:gridCol w:w="254"/>
        <w:gridCol w:w="210"/>
        <w:gridCol w:w="210"/>
        <w:gridCol w:w="227"/>
        <w:gridCol w:w="360"/>
        <w:gridCol w:w="360"/>
        <w:gridCol w:w="360"/>
        <w:gridCol w:w="360"/>
        <w:gridCol w:w="360"/>
        <w:gridCol w:w="360"/>
        <w:gridCol w:w="360"/>
        <w:gridCol w:w="360"/>
        <w:gridCol w:w="360"/>
        <w:gridCol w:w="360"/>
        <w:gridCol w:w="360"/>
        <w:gridCol w:w="360"/>
      </w:tblGrid>
      <w:tr w:rsidR="004E4949" w:rsidRPr="00D13A5C" w:rsidTr="002316CF">
        <w:trPr>
          <w:trHeight w:val="308"/>
        </w:trPr>
        <w:tc>
          <w:tcPr>
            <w:tcW w:w="552"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spacing w:after="0"/>
              <w:rPr>
                <w:color w:val="000000"/>
                <w:sz w:val="18"/>
                <w:szCs w:val="18"/>
                <w:lang w:val="en-US"/>
              </w:rPr>
            </w:pPr>
            <w:r>
              <w:rPr>
                <w:color w:val="000000"/>
                <w:sz w:val="18"/>
                <w:szCs w:val="18"/>
              </w:rPr>
              <w:t>Cases</w:t>
            </w:r>
          </w:p>
        </w:tc>
        <w:tc>
          <w:tcPr>
            <w:tcW w:w="109"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w:t>
            </w:r>
          </w:p>
        </w:tc>
        <w:tc>
          <w:tcPr>
            <w:tcW w:w="132"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w:t>
            </w:r>
          </w:p>
        </w:tc>
        <w:tc>
          <w:tcPr>
            <w:tcW w:w="132"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3</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4</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5</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6</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7</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8</w:t>
            </w:r>
          </w:p>
        </w:tc>
        <w:tc>
          <w:tcPr>
            <w:tcW w:w="150"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9</w:t>
            </w:r>
          </w:p>
        </w:tc>
        <w:tc>
          <w:tcPr>
            <w:tcW w:w="146"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10</w:t>
            </w:r>
          </w:p>
        </w:tc>
        <w:tc>
          <w:tcPr>
            <w:tcW w:w="132"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11</w:t>
            </w:r>
          </w:p>
        </w:tc>
        <w:tc>
          <w:tcPr>
            <w:tcW w:w="132"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12</w:t>
            </w:r>
          </w:p>
        </w:tc>
        <w:tc>
          <w:tcPr>
            <w:tcW w:w="109"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13</w:t>
            </w:r>
          </w:p>
        </w:tc>
        <w:tc>
          <w:tcPr>
            <w:tcW w:w="109"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14</w:t>
            </w:r>
          </w:p>
        </w:tc>
        <w:tc>
          <w:tcPr>
            <w:tcW w:w="118"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15</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16</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17</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18</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19</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20</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21</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22</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23</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24</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25</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26</w:t>
            </w:r>
          </w:p>
        </w:tc>
        <w:tc>
          <w:tcPr>
            <w:tcW w:w="187" w:type="pct"/>
            <w:tcBorders>
              <w:top w:val="single" w:sz="18" w:space="0" w:color="000000"/>
              <w:left w:val="nil"/>
              <w:bottom w:val="nil"/>
              <w:right w:val="nil"/>
            </w:tcBorders>
            <w:shd w:val="clear" w:color="auto" w:fill="FFFFFF"/>
            <w:tcMar>
              <w:top w:w="15" w:type="dxa"/>
              <w:left w:w="15" w:type="dxa"/>
              <w:bottom w:w="0" w:type="dxa"/>
              <w:right w:w="15" w:type="dxa"/>
            </w:tcMar>
            <w:vAlign w:val="center"/>
            <w:hideMark/>
          </w:tcPr>
          <w:p w:rsidR="00047963" w:rsidRDefault="00047963" w:rsidP="002316CF">
            <w:pPr>
              <w:rPr>
                <w:color w:val="000000"/>
                <w:sz w:val="18"/>
                <w:szCs w:val="18"/>
              </w:rPr>
            </w:pPr>
            <w:r>
              <w:rPr>
                <w:color w:val="000000"/>
                <w:sz w:val="18"/>
                <w:szCs w:val="18"/>
              </w:rPr>
              <w:t>27</w:t>
            </w:r>
          </w:p>
        </w:tc>
      </w:tr>
      <w:tr w:rsidR="004E4949" w:rsidRPr="00D13A5C" w:rsidTr="002316CF">
        <w:trPr>
          <w:trHeight w:val="308"/>
        </w:trPr>
        <w:tc>
          <w:tcPr>
            <w:tcW w:w="55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Void Size</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50"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46"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18"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S</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r>
      <w:tr w:rsidR="004E4949" w:rsidRPr="00D13A5C" w:rsidTr="002316CF">
        <w:trPr>
          <w:trHeight w:val="308"/>
        </w:trPr>
        <w:tc>
          <w:tcPr>
            <w:tcW w:w="55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Catcher Size</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50"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46"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18"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r>
      <w:tr w:rsidR="004E4949" w:rsidRPr="00D13A5C" w:rsidTr="002316CF">
        <w:trPr>
          <w:trHeight w:val="308"/>
        </w:trPr>
        <w:tc>
          <w:tcPr>
            <w:tcW w:w="55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Window size</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50"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N</w:t>
            </w:r>
          </w:p>
        </w:tc>
        <w:tc>
          <w:tcPr>
            <w:tcW w:w="146"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32"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09"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18"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M</w:t>
            </w:r>
          </w:p>
        </w:tc>
        <w:tc>
          <w:tcPr>
            <w:tcW w:w="187" w:type="pct"/>
            <w:tcBorders>
              <w:top w:val="nil"/>
              <w:left w:val="nil"/>
              <w:bottom w:val="nil"/>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L</w:t>
            </w:r>
          </w:p>
        </w:tc>
      </w:tr>
      <w:tr w:rsidR="00047963" w:rsidRPr="00D13A5C" w:rsidTr="002316CF">
        <w:trPr>
          <w:trHeight w:val="308"/>
        </w:trPr>
        <w:tc>
          <w:tcPr>
            <w:tcW w:w="5000" w:type="pct"/>
            <w:gridSpan w:val="28"/>
            <w:tcBorders>
              <w:top w:val="nil"/>
              <w:left w:val="nil"/>
              <w:bottom w:val="single" w:sz="18" w:space="0" w:color="000000"/>
              <w:right w:val="nil"/>
            </w:tcBorders>
            <w:shd w:val="clear" w:color="auto" w:fill="FFFFFF"/>
            <w:tcMar>
              <w:top w:w="15" w:type="dxa"/>
              <w:left w:w="15" w:type="dxa"/>
              <w:bottom w:w="0" w:type="dxa"/>
              <w:right w:w="15" w:type="dxa"/>
            </w:tcMar>
            <w:vAlign w:val="center"/>
          </w:tcPr>
          <w:p w:rsidR="00047963" w:rsidRDefault="00047963" w:rsidP="002316CF">
            <w:pPr>
              <w:rPr>
                <w:color w:val="000000"/>
                <w:sz w:val="18"/>
                <w:szCs w:val="18"/>
              </w:rPr>
            </w:pPr>
            <w:r>
              <w:rPr>
                <w:color w:val="000000"/>
                <w:sz w:val="18"/>
                <w:szCs w:val="18"/>
              </w:rPr>
              <w:t>Void (S: Small void, M: Medium void, L: Large void) Windcatcher (N: No windcatcher, M: Half-size windcatcher, L: Large size windcatcher) Window (N: No window, M: 15% WWR, L: 25% WWR).</w:t>
            </w:r>
          </w:p>
        </w:tc>
      </w:tr>
    </w:tbl>
    <w:p w:rsidR="00047963" w:rsidRPr="002003AA" w:rsidRDefault="004E4949" w:rsidP="002003AA">
      <w:r>
        <w:rPr>
          <w:noProof/>
          <w:lang w:val="en-US"/>
        </w:rPr>
        <mc:AlternateContent>
          <mc:Choice Requires="wps">
            <w:drawing>
              <wp:anchor distT="0" distB="0" distL="114300" distR="114300" simplePos="0" relativeHeight="251711488" behindDoc="0" locked="0" layoutInCell="1" allowOverlap="1" wp14:anchorId="656E9652" wp14:editId="5E89A3A6">
                <wp:simplePos x="0" y="0"/>
                <wp:positionH relativeFrom="column">
                  <wp:posOffset>0</wp:posOffset>
                </wp:positionH>
                <wp:positionV relativeFrom="paragraph">
                  <wp:posOffset>5212080</wp:posOffset>
                </wp:positionV>
                <wp:extent cx="6092190"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6092190" cy="635"/>
                        </a:xfrm>
                        <a:prstGeom prst="rect">
                          <a:avLst/>
                        </a:prstGeom>
                        <a:solidFill>
                          <a:prstClr val="white"/>
                        </a:solidFill>
                        <a:ln>
                          <a:noFill/>
                        </a:ln>
                        <a:effectLst/>
                      </wps:spPr>
                      <wps:txbx>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4</w:t>
                            </w:r>
                            <w:r w:rsidR="00B92F97" w:rsidRPr="00B92F97">
                              <w:rPr>
                                <w:color w:val="000000" w:themeColor="text1"/>
                              </w:rPr>
                              <w:t>:</w:t>
                            </w:r>
                            <w:r w:rsidRPr="00B92F97">
                              <w:rPr>
                                <w:color w:val="000000" w:themeColor="text1"/>
                              </w:rPr>
                              <w:t xml:space="preserve"> 3D model, plan, and section of the model used for CFD simulations and wind tunnel experiments.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E9652" id="Text Box 9" o:spid="_x0000_s1029" type="#_x0000_t202" style="position:absolute;left:0;text-align:left;margin-left:0;margin-top:410.4pt;width:479.7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" stroked="f">
                <v:textbox style="mso-fit-shape-to-text:t" inset="0,0,0,0">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4</w:t>
                      </w:r>
                      <w:r w:rsidR="00B92F97" w:rsidRPr="00B92F97">
                        <w:rPr>
                          <w:color w:val="000000" w:themeColor="text1"/>
                        </w:rPr>
                        <w:t>:</w:t>
                      </w:r>
                      <w:r w:rsidRPr="00B92F97">
                        <w:rPr>
                          <w:color w:val="000000" w:themeColor="text1"/>
                        </w:rPr>
                        <w:t xml:space="preserve"> 3D model, plan, and section of the model used for CFD simulations and wind tunnel experiments.</w:t>
                      </w:r>
                    </w:p>
                  </w:txbxContent>
                </v:textbox>
                <w10:wrap type="topAndBottom"/>
              </v:shape>
            </w:pict>
          </mc:Fallback>
        </mc:AlternateContent>
      </w:r>
      <w:r>
        <w:rPr>
          <w:noProof/>
          <w:lang w:val="en-US"/>
        </w:rPr>
        <w:drawing>
          <wp:anchor distT="0" distB="0" distL="114300" distR="114300" simplePos="0" relativeHeight="251701248" behindDoc="0" locked="0" layoutInCell="1" allowOverlap="1">
            <wp:simplePos x="0" y="0"/>
            <wp:positionH relativeFrom="margin">
              <wp:align>left</wp:align>
            </wp:positionH>
            <wp:positionV relativeFrom="paragraph">
              <wp:posOffset>1501223</wp:posOffset>
            </wp:positionV>
            <wp:extent cx="6092190" cy="3653790"/>
            <wp:effectExtent l="0" t="0" r="381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2190" cy="3653790"/>
                    </a:xfrm>
                    <a:prstGeom prst="rect">
                      <a:avLst/>
                    </a:prstGeom>
                    <a:noFill/>
                  </pic:spPr>
                </pic:pic>
              </a:graphicData>
            </a:graphic>
            <wp14:sizeRelH relativeFrom="page">
              <wp14:pctWidth>0</wp14:pctWidth>
            </wp14:sizeRelH>
            <wp14:sizeRelV relativeFrom="page">
              <wp14:pctHeight>0</wp14:pctHeight>
            </wp14:sizeRelV>
          </wp:anchor>
        </w:drawing>
      </w:r>
    </w:p>
    <w:p w:rsidR="005B2586" w:rsidRDefault="005B2586" w:rsidP="005F6BDB">
      <w:pPr>
        <w:sectPr w:rsidR="005B2586" w:rsidSect="005B2586">
          <w:type w:val="continuous"/>
          <w:pgSz w:w="11894" w:h="16834" w:code="9"/>
          <w:pgMar w:top="1418" w:right="1134" w:bottom="1418" w:left="1134" w:header="720" w:footer="720" w:gutter="0"/>
          <w:cols w:space="454"/>
          <w:docGrid w:linePitch="272"/>
        </w:sectPr>
      </w:pPr>
    </w:p>
    <w:p w:rsidR="004E4949" w:rsidRDefault="004E4949" w:rsidP="004E4949">
      <w:r w:rsidRPr="005F394A">
        <w:rPr>
          <w:rStyle w:val="Heading2Char"/>
        </w:rPr>
        <w:t>Flow domain:</w:t>
      </w:r>
      <w:r>
        <w:t xml:space="preserve"> The size </w:t>
      </w:r>
      <w:r w:rsidR="00BF0199">
        <w:t>of</w:t>
      </w:r>
      <w:r>
        <w:t xml:space="preserve"> </w:t>
      </w:r>
      <w:r w:rsidRPr="00C54900">
        <w:t xml:space="preserve">(Length </w:t>
      </w:r>
      <w:r>
        <w:t>4.8</w:t>
      </w:r>
      <w:r w:rsidRPr="00C54900">
        <w:t xml:space="preserve">m, Breath </w:t>
      </w:r>
      <w:r>
        <w:t>3m</w:t>
      </w:r>
      <w:r w:rsidRPr="00C54900">
        <w:t xml:space="preserve">, Height </w:t>
      </w:r>
      <w:r>
        <w:t>1.5</w:t>
      </w:r>
      <w:r w:rsidRPr="00C54900">
        <w:t>m)</w:t>
      </w:r>
      <w:r>
        <w:t xml:space="preserve"> 5H from the inlet to the building wall on the windward </w:t>
      </w:r>
      <w:r w:rsidRPr="00BB3956">
        <w:t>side, 15H from the leeward wall to the outlet, 5H on both sides of the building and 5H from the roof of the bu</w:t>
      </w:r>
      <w:r w:rsidR="00BF0199">
        <w:t>ilding to the top of the domain</w:t>
      </w:r>
      <w:r w:rsidRPr="00BB3956">
        <w:t xml:space="preserve"> </w:t>
      </w:r>
      <w:r w:rsidR="00BF0199">
        <w:t>was fixed (</w:t>
      </w:r>
      <w:r w:rsidRPr="00BB3956">
        <w:t>Where H</w:t>
      </w:r>
      <w:r w:rsidR="00BF0199">
        <w:t xml:space="preserve"> refers to the building height)</w:t>
      </w:r>
      <w:r w:rsidRPr="00BB3956">
        <w:t xml:space="preserve"> </w:t>
      </w:r>
      <w:r>
        <w:t>t</w:t>
      </w:r>
      <w:r w:rsidRPr="00BB3956">
        <w:t>he flow domain was discretized using tetrahedron grids with</w:t>
      </w:r>
      <w:r>
        <w:t xml:space="preserve"> a</w:t>
      </w:r>
      <w:r w:rsidRPr="00BB3956">
        <w:t xml:space="preserve"> high resolution near the building area. An inflation </w:t>
      </w:r>
      <w:r>
        <w:t>layer i</w:t>
      </w:r>
      <w:r w:rsidRPr="00BB3956">
        <w:t>s added to the bottom layer of the domain. The maximu</w:t>
      </w:r>
      <w:r>
        <w:t xml:space="preserve">m grid size for </w:t>
      </w:r>
      <w:r>
        <w:lastRenderedPageBreak/>
        <w:t>the flow area i</w:t>
      </w:r>
      <w:r w:rsidRPr="00BB3956">
        <w:t>s set at 30mm and 2.5 mm for the b</w:t>
      </w:r>
      <w:r>
        <w:t>uilding with a growth rate of 1</w:t>
      </w:r>
      <w:r w:rsidRPr="00BB3956">
        <w:t>2</w:t>
      </w:r>
      <w:r>
        <w:t>0</w:t>
      </w:r>
      <w:r w:rsidRPr="00BB3956">
        <w:t xml:space="preserve">% in all directions. </w:t>
      </w:r>
    </w:p>
    <w:p w:rsidR="004E4949" w:rsidRDefault="004E4949" w:rsidP="004E4949">
      <w:r w:rsidRPr="00BB3956">
        <w:rPr>
          <w:rStyle w:val="Heading2Char"/>
        </w:rPr>
        <w:t>Boundary condition:</w:t>
      </w:r>
      <w:r w:rsidRPr="00BB3956">
        <w:t xml:space="preserve"> The inlet wind profile </w:t>
      </w:r>
      <w:r>
        <w:t>is</w:t>
      </w:r>
      <w:r w:rsidRPr="00BB3956">
        <w:t xml:space="preserve"> generated with reference to the wind tunnel at Ni</w:t>
      </w:r>
      <w:r>
        <w:t>i</w:t>
      </w:r>
      <w:r w:rsidRPr="00BB3956">
        <w:t>gata Institute of Technology</w:t>
      </w:r>
      <w:r w:rsidRPr="00BB3956">
        <w:fldChar w:fldCharType="begin" w:fldLock="1"/>
      </w:r>
      <w:r w:rsidRPr="00BB3956">
        <w:instrText>ADDIN CSL_CITATION {"citationItems":[{"id":"ITEM-1","itemData":{"DOI":"10.1016/j.buildenv.2007.10.015","ISBN":"0360-1323","ISSN":"03601323","abstract":"The main purpose of this study is to reveal the relationship between the building density and the average wind velocity at pedestrian level in residential neighborhoods. This paper firstly presents the results of wind tunnel tests on 22 residential neighborhoods selected from actual Japanese cities. The results show that there is a strong relationship between the gross building coverage ratio and the mean wind velocity ratio. Secondly, the wind environment evaluation for case study areas is performed by using the wind tunnel results and the climatic conditions of several major Japanese cities. The development method of guidelines for realizing acceptable wind environment in residential neighborhoods using the gross building coverage ratio is proposed. © 2007 Elsevier Ltd. All rights reserved.","author":[{"dropping-particle":"","family":"Kubota","given":"Tetsu","non-dropping-particle":"","parse-names":false,"suffix":""},{"dropping-particle":"","family":"Miura","given":"Masao","non-dropping-particle":"","parse-names":false,"suffix":""},{"dropping-particle":"","family":"Tominaga","given":"Yoshihide","non-dropping-particle":"","parse-names":false,"suffix":""},{"dropping-particle":"","family":"Mochida","given":"Akashi","non-dropping-particle":"","parse-names":false,"suffix":""}],"container-title":"Building and Environment","id":"ITEM-1","issue":"10","issued":{"date-parts":[["2008"]]},"page":"1699-1708","title":"Wind tunnel tests on the relationship between building density and pedestrian-level wind velocity: Development of guidelines for realizing acceptable wind environment in residential neighborhoods","type":"article-journal","volume":"43"},"uris":["http://www.mendeley.com/documents/?uuid=b1c28ed3-0833-42a3-a39c-661d661a69b8"]}],"mendeley":{"formattedCitation":"(Kubota, Miura, Tominaga, &amp; Mochida, 2008)","plainTextFormattedCitation":"(Kubota, Miura, Tominaga, &amp; Mochida, 2008)","previouslyFormattedCitation":"(Kubota, Miura, Tominaga, &amp; Mochida, 2008)"},"properties":{"noteIndex":0},"schema":"https://github.com/citation-style-language/schema/raw/master/csl-citation.json"}</w:instrText>
      </w:r>
      <w:r w:rsidRPr="00BB3956">
        <w:fldChar w:fldCharType="separate"/>
      </w:r>
      <w:r w:rsidRPr="00BB3956">
        <w:rPr>
          <w:noProof/>
        </w:rPr>
        <w:t xml:space="preserve">(Kubota, Miura, Tominaga, </w:t>
      </w:r>
      <w:r w:rsidR="00961321">
        <w:rPr>
          <w:noProof/>
        </w:rPr>
        <w:t>and</w:t>
      </w:r>
      <w:r w:rsidRPr="00BB3956">
        <w:rPr>
          <w:noProof/>
        </w:rPr>
        <w:t xml:space="preserve"> Mochida, 2008)</w:t>
      </w:r>
      <w:r w:rsidRPr="00BB3956">
        <w:fldChar w:fldCharType="end"/>
      </w:r>
      <w:r w:rsidRPr="00BB3956">
        <w:t>. The one fo</w:t>
      </w:r>
      <w:r>
        <w:t>urth power law wind profile is</w:t>
      </w:r>
      <w:r w:rsidRPr="00BB3956">
        <w:t xml:space="preserve"> generated for a referenced velocity of </w:t>
      </w:r>
      <w:r>
        <w:t xml:space="preserve">3.95 </w:t>
      </w:r>
      <w:r w:rsidRPr="00BB3956">
        <w:t>ms</w:t>
      </w:r>
      <w:r w:rsidRPr="00BB3956">
        <w:rPr>
          <w:vertAlign w:val="superscript"/>
        </w:rPr>
        <w:t>-1</w:t>
      </w:r>
      <w:r w:rsidRPr="00BB3956">
        <w:t xml:space="preserve"> at </w:t>
      </w:r>
      <w:r>
        <w:t>the building height of .252 m</w:t>
      </w:r>
      <w:r w:rsidRPr="00BB3956">
        <w:t>.</w:t>
      </w:r>
      <w:r>
        <w:t xml:space="preserve"> turbulent kinetic energy profile is obtained from the wind tunnel as shown in </w:t>
      </w:r>
      <w:r w:rsidRPr="00E51DCF">
        <w:t xml:space="preserve">Figure </w:t>
      </w:r>
      <w:r w:rsidR="00E51DCF" w:rsidRPr="00E51DCF">
        <w:t>3</w:t>
      </w:r>
      <w:r>
        <w:t>.</w:t>
      </w:r>
      <w:r w:rsidRPr="00BB3956">
        <w:t xml:space="preserve"> </w:t>
      </w:r>
      <w:r w:rsidRPr="00BB3956">
        <w:rPr>
          <w:i/>
        </w:rPr>
        <w:t>ε</w:t>
      </w:r>
      <w:r w:rsidRPr="00BB3956">
        <w:t xml:space="preserve"> profiles</w:t>
      </w:r>
      <w:r w:rsidR="0033656B">
        <w:t xml:space="preserve"> are given by assuming local equilibrium of the production term for k equation.</w:t>
      </w:r>
    </w:p>
    <w:p w:rsidR="00991C25" w:rsidRPr="00BB3956" w:rsidRDefault="00991C25" w:rsidP="00991C25">
      <w:r>
        <w:rPr>
          <w:rStyle w:val="Heading2Char"/>
        </w:rPr>
        <w:t>Turbulent mode</w:t>
      </w:r>
      <w:r w:rsidRPr="0021363B">
        <w:rPr>
          <w:rStyle w:val="Heading2Char"/>
        </w:rPr>
        <w:t>ling:</w:t>
      </w:r>
      <w:r w:rsidR="00BF0199">
        <w:rPr>
          <w:rStyle w:val="Heading2Char"/>
        </w:rPr>
        <w:t xml:space="preserve"> </w:t>
      </w:r>
      <w:r w:rsidRPr="00BB3956">
        <w:t>The current study employ</w:t>
      </w:r>
      <w:r w:rsidR="00BF0199">
        <w:t>ed</w:t>
      </w:r>
      <w:r w:rsidRPr="00BB3956">
        <w:t xml:space="preserve"> the </w:t>
      </w:r>
      <w:r>
        <w:t>s</w:t>
      </w:r>
      <w:r w:rsidR="00BF0199">
        <w:t>tandard k ε model</w:t>
      </w:r>
      <w:r>
        <w:t xml:space="preserve">. </w:t>
      </w:r>
      <w:r w:rsidRPr="00BB3956">
        <w:t>A convergence of scaled residuals down to 10</w:t>
      </w:r>
      <w:r>
        <w:rPr>
          <w:vertAlign w:val="superscript"/>
        </w:rPr>
        <w:t>-</w:t>
      </w:r>
      <w:r w:rsidR="00817673">
        <w:rPr>
          <w:vertAlign w:val="superscript"/>
        </w:rPr>
        <w:t>5</w:t>
      </w:r>
      <w:r w:rsidR="00817673" w:rsidRPr="00BB3956">
        <w:rPr>
          <w:vertAlign w:val="superscript"/>
        </w:rPr>
        <w:t xml:space="preserve"> </w:t>
      </w:r>
      <w:r w:rsidR="00817673">
        <w:t>is</w:t>
      </w:r>
      <w:r w:rsidRPr="00BB3956">
        <w:t xml:space="preserve"> employed.</w:t>
      </w:r>
    </w:p>
    <w:p w:rsidR="00DE3F46" w:rsidRDefault="00DE3F46" w:rsidP="00C70843">
      <w:pPr>
        <w:pStyle w:val="Heading1"/>
      </w:pPr>
      <w:r>
        <w:t>Validation</w:t>
      </w:r>
    </w:p>
    <w:p w:rsidR="006B1B62" w:rsidRDefault="006B1B62" w:rsidP="00DE3F46">
      <w:r>
        <w:t>The experimental data of wind velocity at the cent</w:t>
      </w:r>
      <w:r w:rsidR="001E1C3C">
        <w:t>e</w:t>
      </w:r>
      <w:r>
        <w:t xml:space="preserve">r of the living units as shown </w:t>
      </w:r>
      <w:r w:rsidRPr="00E51DCF">
        <w:t xml:space="preserve">in Figure </w:t>
      </w:r>
      <w:r w:rsidR="00E51DCF" w:rsidRPr="00E51DCF">
        <w:t>4</w:t>
      </w:r>
      <w:r w:rsidR="00D4646D" w:rsidRPr="00E51DCF">
        <w:t xml:space="preserve"> </w:t>
      </w:r>
      <w:r w:rsidR="00BF0199">
        <w:t xml:space="preserve">were </w:t>
      </w:r>
      <w:r>
        <w:t>collected for a total of twelve cases with variation in void, window</w:t>
      </w:r>
      <w:r w:rsidR="00140971">
        <w:t>,</w:t>
      </w:r>
      <w:r>
        <w:t xml:space="preserve"> and </w:t>
      </w:r>
      <w:r w:rsidR="00D377CF">
        <w:t>wind</w:t>
      </w:r>
      <w:r w:rsidR="00184891">
        <w:t>catcher</w:t>
      </w:r>
      <w:r>
        <w:t xml:space="preserve"> sizes</w:t>
      </w:r>
      <w:r w:rsidR="00EE42D7">
        <w:t xml:space="preserve"> eight points were measured in each of the cases (Mid points on Ground-floor, 1</w:t>
      </w:r>
      <w:r w:rsidR="00EE42D7" w:rsidRPr="00EE42D7">
        <w:rPr>
          <w:vertAlign w:val="superscript"/>
        </w:rPr>
        <w:t>st</w:t>
      </w:r>
      <w:r w:rsidR="00EE42D7">
        <w:t xml:space="preserve"> floor, 3</w:t>
      </w:r>
      <w:r w:rsidR="00EE42D7" w:rsidRPr="00EE42D7">
        <w:rPr>
          <w:vertAlign w:val="superscript"/>
        </w:rPr>
        <w:t>rd</w:t>
      </w:r>
      <w:r w:rsidR="00EE42D7">
        <w:t xml:space="preserve"> floor, and 5</w:t>
      </w:r>
      <w:r w:rsidR="00EE42D7" w:rsidRPr="00EE42D7">
        <w:rPr>
          <w:vertAlign w:val="superscript"/>
        </w:rPr>
        <w:t>th</w:t>
      </w:r>
      <w:r w:rsidR="00EE42D7">
        <w:t xml:space="preserve"> floor on the windward and leeward side of the building). </w:t>
      </w:r>
      <w:r>
        <w:t xml:space="preserve">A total of </w:t>
      </w:r>
      <w:r w:rsidR="00EE42D7">
        <w:t>12 cases with 8</w:t>
      </w:r>
      <w:r>
        <w:t xml:space="preserve"> p</w:t>
      </w:r>
      <w:r w:rsidR="00140971">
        <w:t>oints</w:t>
      </w:r>
      <w:r w:rsidR="00EE42D7">
        <w:t xml:space="preserve"> in each resulted in 96 points for validation</w:t>
      </w:r>
      <w:r>
        <w:t xml:space="preserve">. </w:t>
      </w:r>
      <w:r w:rsidR="009E734A">
        <w:t xml:space="preserve">The model used for validation was the same as that used in the wind tunnel experiment. </w:t>
      </w:r>
      <w:r>
        <w:t xml:space="preserve">The comparison between the measured and simulated wind velocity </w:t>
      </w:r>
      <w:r w:rsidR="00BF1797">
        <w:t>for all 96 points is</w:t>
      </w:r>
      <w:r w:rsidR="00D4646D">
        <w:t xml:space="preserve"> made</w:t>
      </w:r>
      <w:r>
        <w:t xml:space="preserve"> using the two indicative </w:t>
      </w:r>
      <w:r w:rsidR="00FB628E">
        <w:t>parameters i.e. mean</w:t>
      </w:r>
      <w:r>
        <w:t xml:space="preserve"> bias error (MBE), and cumulative variation of root mean square (CVRMSE) which are calculated by</w:t>
      </w:r>
    </w:p>
    <w:p w:rsidR="00B92F97" w:rsidRDefault="00871FDA" w:rsidP="00B92F97">
      <w:pPr>
        <w:ind w:firstLine="720"/>
        <w:jc w:val="right"/>
      </w:pPr>
      <m:oMath>
        <m:r>
          <w:rPr>
            <w:rFonts w:ascii="Cambria Math" w:hAnsi="Cambria Math" w:cs="Cambria Math"/>
          </w:rPr>
          <m:t>MBE</m:t>
        </m:r>
        <m:r>
          <m:rPr>
            <m:sty m:val="p"/>
          </m:rPr>
          <w:rPr>
            <w:rFonts w:ascii="Cambria Math" w:hAnsi="Cambria Math" w:cs="Cambria Math"/>
          </w:rPr>
          <m:t>=</m:t>
        </m:r>
        <m:f>
          <m:fPr>
            <m:ctrlPr>
              <w:rPr>
                <w:rFonts w:ascii="Cambria Math" w:hAnsi="Cambria Math" w:cs="Cambria Math"/>
              </w:rPr>
            </m:ctrlPr>
          </m:fPr>
          <m:num>
            <m:r>
              <w:rPr>
                <w:rFonts w:ascii="Cambria Math" w:hAnsi="Cambria Math" w:cs="Cambria Math"/>
              </w:rPr>
              <m:t>1</m:t>
            </m:r>
          </m:num>
          <m:den>
            <m:r>
              <w:rPr>
                <w:rFonts w:ascii="Cambria Math" w:hAnsi="Cambria Math" w:cs="Cambria Math"/>
              </w:rPr>
              <m:t>n</m:t>
            </m:r>
          </m:den>
        </m:f>
        <m:nary>
          <m:naryPr>
            <m:chr m:val="∑"/>
            <m:limLoc m:val="undOvr"/>
            <m:ctrlPr>
              <w:rPr>
                <w:rFonts w:ascii="Cambria Math" w:hAnsi="Cambria Math" w:cs="Cambria Math"/>
                <w:i/>
              </w:rPr>
            </m:ctrlPr>
          </m:naryPr>
          <m:sub>
            <m:r>
              <w:rPr>
                <w:rFonts w:ascii="Cambria Math" w:hAnsi="Cambria Math" w:cs="Cambria Math"/>
              </w:rPr>
              <m:t>i=1</m:t>
            </m:r>
          </m:sub>
          <m:sup>
            <m:r>
              <w:rPr>
                <w:rFonts w:ascii="Cambria Math" w:hAnsi="Cambria Math" w:cs="Cambria Math"/>
              </w:rPr>
              <m:t>n</m:t>
            </m:r>
          </m:sup>
          <m:e>
            <m:r>
              <w:rPr>
                <w:rFonts w:ascii="Cambria Math" w:hAnsi="Cambria Math" w:cs="Cambria Math"/>
              </w:rPr>
              <m:t>(</m:t>
            </m:r>
          </m:e>
        </m:nary>
        <m:f>
          <m:fPr>
            <m:ctrlPr>
              <w:rPr>
                <w:rFonts w:ascii="Cambria Math" w:hAnsi="Cambria Math" w:cs="Cambria Math"/>
                <w:i/>
              </w:rPr>
            </m:ctrlPr>
          </m:fPr>
          <m:num>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i</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i</m:t>
                </m:r>
              </m:sub>
            </m:sSub>
          </m:num>
          <m:den>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i</m:t>
                </m:r>
              </m:sub>
            </m:sSub>
          </m:den>
        </m:f>
        <m:r>
          <w:rPr>
            <w:rFonts w:ascii="Cambria Math" w:hAnsi="Cambria Math" w:cs="Cambria Math"/>
          </w:rPr>
          <m:t xml:space="preserve">) </m:t>
        </m:r>
      </m:oMath>
      <w:r w:rsidR="00B92F97">
        <w:tab/>
      </w:r>
      <w:r w:rsidR="00B92F97">
        <w:tab/>
      </w:r>
      <w:r w:rsidR="000D0161">
        <w:t>(</w:t>
      </w:r>
      <w:r w:rsidR="00B92F97">
        <w:t>1</w:t>
      </w:r>
      <w:r w:rsidR="000D1B7D">
        <w:t>)</w:t>
      </w:r>
    </w:p>
    <w:p w:rsidR="00FD053E" w:rsidRPr="00FD053E" w:rsidRDefault="00FB628E" w:rsidP="00B92F97">
      <w:pPr>
        <w:ind w:firstLine="720"/>
        <w:jc w:val="center"/>
      </w:pPr>
      <m:oMath>
        <m:r>
          <w:rPr>
            <w:rFonts w:ascii="Cambria Math" w:hAnsi="Cambria Math" w:cs="Cambria Math"/>
          </w:rPr>
          <m:t>CVRMSE</m:t>
        </m:r>
        <m:r>
          <m:rPr>
            <m:sty m:val="p"/>
          </m:rPr>
          <w:rPr>
            <w:rFonts w:ascii="Cambria Math" w:hAnsi="Cambria Math" w:cs="Cambria Math"/>
          </w:rPr>
          <m:t>=</m:t>
        </m:r>
        <m:rad>
          <m:radPr>
            <m:degHide m:val="1"/>
            <m:ctrlPr>
              <w:rPr>
                <w:rFonts w:ascii="Cambria Math" w:hAnsi="Cambria Math" w:cs="Cambria Math"/>
              </w:rPr>
            </m:ctrlPr>
          </m:radPr>
          <m:deg/>
          <m:e>
            <m:f>
              <m:fPr>
                <m:ctrlPr>
                  <w:rPr>
                    <w:rFonts w:ascii="Cambria Math" w:hAnsi="Cambria Math" w:cs="Cambria Math"/>
                    <w:i/>
                  </w:rPr>
                </m:ctrlPr>
              </m:fPr>
              <m:num>
                <m:r>
                  <w:rPr>
                    <w:rFonts w:ascii="Cambria Math" w:hAnsi="Cambria Math" w:cs="Cambria Math"/>
                  </w:rPr>
                  <m:t>1</m:t>
                </m:r>
              </m:num>
              <m:den>
                <m:r>
                  <w:rPr>
                    <w:rFonts w:ascii="Cambria Math" w:hAnsi="Cambria Math" w:cs="Cambria Math"/>
                  </w:rPr>
                  <m:t>n</m:t>
                </m:r>
              </m:den>
            </m:f>
            <m:nary>
              <m:naryPr>
                <m:chr m:val="∑"/>
                <m:limLoc m:val="undOvr"/>
                <m:ctrlPr>
                  <w:rPr>
                    <w:rFonts w:ascii="Cambria Math" w:hAnsi="Cambria Math" w:cs="Cambria Math"/>
                    <w:i/>
                  </w:rPr>
                </m:ctrlPr>
              </m:naryPr>
              <m:sub>
                <m:r>
                  <w:rPr>
                    <w:rFonts w:ascii="Cambria Math" w:hAnsi="Cambria Math" w:cs="Cambria Math"/>
                  </w:rPr>
                  <m:t>i=1</m:t>
                </m:r>
              </m:sub>
              <m:sup>
                <m:r>
                  <w:rPr>
                    <w:rFonts w:ascii="Cambria Math" w:hAnsi="Cambria Math" w:cs="Cambria Math"/>
                  </w:rPr>
                  <m:t>n</m:t>
                </m:r>
              </m:sup>
              <m:e>
                <m:r>
                  <w:rPr>
                    <w:rFonts w:ascii="Cambria Math" w:hAnsi="Cambria Math" w:cs="Cambria Math"/>
                  </w:rPr>
                  <m:t>(</m:t>
                </m:r>
              </m:e>
            </m:nary>
            <m:sSup>
              <m:sSupPr>
                <m:ctrlPr>
                  <w:rPr>
                    <w:rFonts w:ascii="Cambria Math" w:hAnsi="Cambria Math" w:cs="Cambria Math"/>
                    <w:i/>
                  </w:rPr>
                </m:ctrlPr>
              </m:sSupPr>
              <m:e>
                <m:f>
                  <m:fPr>
                    <m:ctrlPr>
                      <w:rPr>
                        <w:rFonts w:ascii="Cambria Math" w:hAnsi="Cambria Math" w:cs="Cambria Math"/>
                        <w:i/>
                      </w:rPr>
                    </m:ctrlPr>
                  </m:fPr>
                  <m:num>
                    <m:sSub>
                      <m:sSubPr>
                        <m:ctrlPr>
                          <w:rPr>
                            <w:rFonts w:ascii="Cambria Math" w:hAnsi="Cambria Math" w:cs="Cambria Math"/>
                            <w:i/>
                          </w:rPr>
                        </m:ctrlPr>
                      </m:sSubPr>
                      <m:e>
                        <m:r>
                          <w:rPr>
                            <w:rFonts w:ascii="Cambria Math" w:hAnsi="Cambria Math" w:cs="Cambria Math"/>
                          </w:rPr>
                          <m:t>S</m:t>
                        </m:r>
                      </m:e>
                      <m:sub>
                        <m:r>
                          <w:rPr>
                            <w:rFonts w:ascii="Cambria Math" w:hAnsi="Cambria Math" w:cs="Cambria Math"/>
                          </w:rPr>
                          <m:t>i</m:t>
                        </m:r>
                      </m:sub>
                    </m:sSub>
                    <m:r>
                      <w:rPr>
                        <w:rFonts w:ascii="Cambria Math" w:hAnsi="Cambria Math" w:cs="Cambria Math"/>
                      </w:rPr>
                      <m:t>-</m:t>
                    </m:r>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i</m:t>
                        </m:r>
                      </m:sub>
                    </m:sSub>
                  </m:num>
                  <m:den>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i</m:t>
                        </m:r>
                      </m:sub>
                    </m:sSub>
                  </m:den>
                </m:f>
                <m:r>
                  <w:rPr>
                    <w:rFonts w:ascii="Cambria Math" w:hAnsi="Cambria Math" w:cs="Cambria Math"/>
                  </w:rPr>
                  <m:t>)</m:t>
                </m:r>
              </m:e>
              <m:sup>
                <m:r>
                  <w:rPr>
                    <w:rFonts w:ascii="Cambria Math" w:hAnsi="Cambria Math" w:cs="Cambria Math"/>
                  </w:rPr>
                  <m:t>2</m:t>
                </m:r>
              </m:sup>
            </m:sSup>
            <m:r>
              <w:rPr>
                <w:rFonts w:ascii="Cambria Math" w:hAnsi="Cambria Math" w:cs="Cambria Math"/>
              </w:rPr>
              <m:t xml:space="preserve">  </m:t>
            </m:r>
          </m:e>
        </m:rad>
      </m:oMath>
      <w:r w:rsidR="000D1B7D">
        <w:tab/>
      </w:r>
      <w:r w:rsidR="00A90C41">
        <w:tab/>
      </w:r>
      <w:r w:rsidR="000D0161">
        <w:t>(</w:t>
      </w:r>
      <w:r w:rsidR="00B92F97">
        <w:t>2</w:t>
      </w:r>
      <w:r w:rsidR="000D1B7D">
        <w:t>)</w:t>
      </w:r>
    </w:p>
    <w:p w:rsidR="00DE3F46" w:rsidRPr="00DE3F46" w:rsidRDefault="000D1B7D" w:rsidP="00DE3F46">
      <w:r>
        <w:t>Where M</w:t>
      </w:r>
      <w:r>
        <w:rPr>
          <w:vertAlign w:val="subscript"/>
        </w:rPr>
        <w:t xml:space="preserve">i </w:t>
      </w:r>
      <w:r>
        <w:t>and S</w:t>
      </w:r>
      <w:r>
        <w:rPr>
          <w:vertAlign w:val="subscript"/>
        </w:rPr>
        <w:t>i</w:t>
      </w:r>
      <w:r>
        <w:t xml:space="preserve"> are the measured and simulated results respectively. The MBEs in all the cases came below</w:t>
      </w:r>
      <w:r w:rsidR="001608C4">
        <w:t xml:space="preserve"> </w:t>
      </w:r>
      <w:r w:rsidR="00C45BE1">
        <w:t>4</w:t>
      </w:r>
      <w:r w:rsidR="001608C4">
        <w:t>%</w:t>
      </w:r>
      <w:r>
        <w:t xml:space="preserve"> </w:t>
      </w:r>
      <w:r w:rsidRPr="000D1B7D">
        <w:t xml:space="preserve">and all </w:t>
      </w:r>
      <w:r w:rsidR="00A90C41">
        <w:t xml:space="preserve">the </w:t>
      </w:r>
      <w:r>
        <w:t xml:space="preserve">RMSEs were less than </w:t>
      </w:r>
      <w:r w:rsidR="00C45BE1">
        <w:t>7</w:t>
      </w:r>
      <w:r w:rsidR="00F102BB">
        <w:t>%</w:t>
      </w:r>
      <w:r w:rsidRPr="009E734A">
        <w:t xml:space="preserve"> </w:t>
      </w:r>
      <w:r>
        <w:t>According</w:t>
      </w:r>
      <w:r w:rsidR="009E734A">
        <w:t xml:space="preserve"> to ASHRAE criteria </w:t>
      </w:r>
      <w:r w:rsidR="00EA59F8">
        <w:fldChar w:fldCharType="begin" w:fldLock="1"/>
      </w:r>
      <w:r w:rsidR="00EA59F8">
        <w:instrText>ADDIN CSL_CITATION {"citationItems":[{"id":"ITEM-1","itemData":{"author":[{"dropping-particle":"","family":"Gillespie","given":"Kenneth L","non-dropping-particle":"","parse-names":false,"suffix":""},{"dropping-particle":"","family":"Cowan","given":"John D","non-dropping-particle":"","parse-names":false,"suffix":""},{"dropping-particle":"","family":"Frazell","given":"Charles Wayne","non-dropping-particle":"","parse-names":false,"suffix":""},{"dropping-particle":"","family":"Haberl","given":"Jeff S","non-dropping-particle":"","parse-names":false,"suffix":""},{"dropping-particle":"","family":"Heinemeier","given":"Kristin H","non-dropping-particle":"","parse-names":false,"suffix":""},{"dropping-particle":"","family":"Kummer","given":"James P","non-dropping-particle":"","parse-names":false,"suffix":""},{"dropping-particle":"","family":"Culp","given":"Charles H","non-dropping-particle":"","parse-names":false,"suffix":""},{"dropping-particle":"","family":"Watson","given":"Thomas E","non-dropping-particle":"","parse-names":false,"suffix":""},{"dropping-particle":"","family":"Arnold","given":"Charles G","non-dropping-particle":"","parse-names":false,"suffix":""},{"dropping-particle":"","family":"Baxter","given":"Van D","non-dropping-particle":"","parse-names":false,"suffix":""},{"dropping-particle":"","family":"Evans","given":"Richard A","non-dropping-particle":"","parse-names":false,"suffix":""},{"dropping-particle":"","family":"Hogan","given":"John F","non-dropping-particle":"","parse-names":false,"suffix":""},{"dropping-particle":"","family":"Kohloss","given":"Frederick H","non-dropping-particle":"","parse-names":false,"suffix":""},{"dropping-particle":"","family":"Montgomery","given":"Ross D","non-dropping-particle":"","parse-names":false,"suffix":""}],"id":"ITEM-1","issued":{"date-parts":[["2002"]]},"title":"Measurement of Energy and Demand Savings","type":"article-journal","volume":"8400"},"uris":["http://www.mendeley.com/documents/?uuid=8db3f7b2-4aa0-4844-b9ba-7fec43859069"]}],"mendeley":{"formattedCitation":"(Gillespie et al., 2002)","plainTextFormattedCitation":"(Gillespie et al., 2002)","previouslyFormattedCitation":"(Gillespie et al., 2002)"},"properties":{"noteIndex":0},"schema":"https://github.com/citation-style-language/schema/raw/master/csl-citation.json"}</w:instrText>
      </w:r>
      <w:r w:rsidR="00EA59F8">
        <w:fldChar w:fldCharType="separate"/>
      </w:r>
      <w:r w:rsidR="00EA59F8" w:rsidRPr="00EA59F8">
        <w:rPr>
          <w:noProof/>
        </w:rPr>
        <w:t>(Gillespie et al., 2002)</w:t>
      </w:r>
      <w:r w:rsidR="00EA59F8">
        <w:fldChar w:fldCharType="end"/>
      </w:r>
      <w:r w:rsidR="009E734A">
        <w:t xml:space="preserve"> the model is validate</w:t>
      </w:r>
      <w:r w:rsidR="00A90C41">
        <w:t xml:space="preserve">d if MBE is less than 10% and </w:t>
      </w:r>
      <w:r w:rsidR="009E734A">
        <w:t xml:space="preserve">RMSE is below 30%. The results of the measured and simulated wind velocity were in clear agreement. </w:t>
      </w:r>
      <w:r w:rsidR="006B1B62" w:rsidRPr="00BB3956">
        <w:t xml:space="preserve"> </w:t>
      </w:r>
    </w:p>
    <w:p w:rsidR="00C13B14" w:rsidRDefault="00892EF8" w:rsidP="00CA044F">
      <w:pPr>
        <w:pStyle w:val="Heading1"/>
      </w:pPr>
      <w:r>
        <w:t>Results</w:t>
      </w:r>
      <w:r w:rsidR="00A0640E">
        <w:t xml:space="preserve"> </w:t>
      </w:r>
      <w:r w:rsidR="00E64820">
        <w:t xml:space="preserve">and discussions </w:t>
      </w:r>
    </w:p>
    <w:p w:rsidR="00746A2A" w:rsidRDefault="00DD5BF6" w:rsidP="00760F43">
      <w:r>
        <w:t>Studying natural ventilation performance of a building design needs detailed airflow information in and around the building. The ventilation rates can be determined based on the wind velocities at inlets and outlets of the units. This section presents the results of parametric CFD simulations done by changing the void size, window size and introduction of windcatcher.</w:t>
      </w:r>
    </w:p>
    <w:p w:rsidR="00C8729F" w:rsidRDefault="003F5A2C" w:rsidP="00760F43">
      <w:r>
        <w:rPr>
          <w:rStyle w:val="Heading2Char"/>
        </w:rPr>
        <w:t xml:space="preserve">Wind </w:t>
      </w:r>
      <w:r w:rsidR="00C43C98">
        <w:rPr>
          <w:rStyle w:val="Heading2Char"/>
        </w:rPr>
        <w:t>velocity:</w:t>
      </w:r>
      <w:r>
        <w:rPr>
          <w:rStyle w:val="Heading2Char"/>
        </w:rPr>
        <w:t xml:space="preserve"> </w:t>
      </w:r>
      <w:r>
        <w:t xml:space="preserve">Wind velocity data from CFD simulations </w:t>
      </w:r>
      <w:r w:rsidR="00BF0199">
        <w:t>was</w:t>
      </w:r>
      <w:r>
        <w:t xml:space="preserve"> measured at the middle of the windward units, leeward unit</w:t>
      </w:r>
      <w:r w:rsidR="00DA2B0E">
        <w:t>s</w:t>
      </w:r>
      <w:r w:rsidR="0033656B">
        <w:t xml:space="preserve"> and center of the void.</w:t>
      </w:r>
      <w:r w:rsidRPr="00E51DCF">
        <w:t xml:space="preserve"> </w:t>
      </w:r>
      <w:r>
        <w:t xml:space="preserve">Wind </w:t>
      </w:r>
      <w:r w:rsidR="00DF73CA">
        <w:t>Speed R</w:t>
      </w:r>
      <w:r>
        <w:t>atio</w:t>
      </w:r>
      <w:r w:rsidR="00D81EF5">
        <w:t xml:space="preserve"> (WSR)</w:t>
      </w:r>
      <w:r w:rsidR="00DA2B0E">
        <w:t xml:space="preserve"> was</w:t>
      </w:r>
      <w:r>
        <w:t xml:space="preserve"> calculated as the ratio between wind </w:t>
      </w:r>
      <w:r w:rsidR="00AF324A">
        <w:t>velocity</w:t>
      </w:r>
      <w:r>
        <w:t xml:space="preserve"> at a point</w:t>
      </w:r>
      <w:r w:rsidR="00AF324A">
        <w:t xml:space="preserve"> (U</w:t>
      </w:r>
      <w:r w:rsidR="00AF324A">
        <w:rPr>
          <w:vertAlign w:val="subscript"/>
        </w:rPr>
        <w:t>h</w:t>
      </w:r>
      <w:r w:rsidR="00AF324A">
        <w:t>)</w:t>
      </w:r>
      <w:r w:rsidR="00AF324A">
        <w:rPr>
          <w:vertAlign w:val="subscript"/>
        </w:rPr>
        <w:t>I</w:t>
      </w:r>
      <w:r w:rsidR="00AF324A">
        <w:t xml:space="preserve"> and the reference point placed at the height of the building U</w:t>
      </w:r>
      <w:r w:rsidR="00AF324A">
        <w:rPr>
          <w:vertAlign w:val="subscript"/>
        </w:rPr>
        <w:t>r</w:t>
      </w:r>
      <w:r w:rsidR="00AF324A">
        <w:t>.</w:t>
      </w:r>
      <w:r w:rsidR="003C389F">
        <w:t xml:space="preserve"> </w:t>
      </w:r>
      <w:r w:rsidR="00654727">
        <w:t>Cases 1-9 emphasis</w:t>
      </w:r>
      <w:r w:rsidR="00DA2B0E">
        <w:t>es</w:t>
      </w:r>
      <w:r w:rsidR="00654727">
        <w:t xml:space="preserve"> on </w:t>
      </w:r>
      <w:r w:rsidR="00DA2B0E">
        <w:t xml:space="preserve">the </w:t>
      </w:r>
      <w:r w:rsidR="00654727">
        <w:t xml:space="preserve">wind velocity in the void, </w:t>
      </w:r>
      <w:r w:rsidR="00DA2B0E">
        <w:t>the</w:t>
      </w:r>
      <w:r w:rsidR="00654727">
        <w:t xml:space="preserve"> average </w:t>
      </w:r>
      <w:r w:rsidR="00DF73CA">
        <w:t>WSR</w:t>
      </w:r>
      <w:r w:rsidR="00654727">
        <w:t xml:space="preserve"> in the centre of the void for cases</w:t>
      </w:r>
      <w:r w:rsidR="00DF73CA">
        <w:t xml:space="preserve"> 7-9,</w:t>
      </w:r>
      <w:r w:rsidR="00654727">
        <w:t xml:space="preserve"> </w:t>
      </w:r>
      <w:r w:rsidR="00DF73CA">
        <w:t>with the full size windcatcher is the highest compared to the cases 4-6 with a half size windcatcher and the lowest WSR is seen in cases 1-3 with no windcatcher. Case 7 which has a small void and full size windcatcher has the largest average WSR in the void area.</w:t>
      </w:r>
      <w:r w:rsidR="00654727">
        <w:t xml:space="preserve"> </w:t>
      </w:r>
      <w:r w:rsidR="001C7C1B">
        <w:t>In c</w:t>
      </w:r>
      <w:r w:rsidR="00654727">
        <w:t xml:space="preserve">ases 10-27 </w:t>
      </w:r>
      <w:r w:rsidR="001C7C1B">
        <w:t xml:space="preserve">the wind velocity is measured in the </w:t>
      </w:r>
      <w:r w:rsidR="00DA2B0E">
        <w:t xml:space="preserve">building </w:t>
      </w:r>
      <w:r w:rsidR="001C7C1B">
        <w:t xml:space="preserve">units. The </w:t>
      </w:r>
      <w:r w:rsidR="00205977">
        <w:t>average WSR</w:t>
      </w:r>
      <w:r w:rsidR="001C7C1B">
        <w:t xml:space="preserve"> in the centre of the unit is calculated for windward and leeward units</w:t>
      </w:r>
      <w:r w:rsidR="001C7C1B" w:rsidRPr="00E51DCF">
        <w:t>. Table</w:t>
      </w:r>
      <w:r w:rsidR="003C389F" w:rsidRPr="00E51DCF">
        <w:t xml:space="preserve"> 2</w:t>
      </w:r>
      <w:r w:rsidR="001C7C1B" w:rsidRPr="00E51DCF">
        <w:t xml:space="preserve"> shows </w:t>
      </w:r>
      <w:r w:rsidR="001C7C1B" w:rsidRPr="001C7C1B">
        <w:t>the</w:t>
      </w:r>
      <w:r w:rsidR="001C7C1B">
        <w:t xml:space="preserve"> wind speed ratio fro</w:t>
      </w:r>
      <w:r w:rsidR="00394AF7">
        <w:t>m cases 10-27 for</w:t>
      </w:r>
      <w:r w:rsidR="001C7C1B">
        <w:t xml:space="preserve"> units</w:t>
      </w:r>
      <w:r w:rsidR="00394AF7">
        <w:t xml:space="preserve"> on each floor.</w:t>
      </w:r>
      <w:r w:rsidR="001C7C1B">
        <w:t xml:space="preserve"> </w:t>
      </w:r>
    </w:p>
    <w:p w:rsidR="001B2F2B" w:rsidRDefault="001B2F2B" w:rsidP="001B2F2B">
      <w:pPr>
        <w:spacing w:after="0"/>
        <w:jc w:val="center"/>
        <w:rPr>
          <w:rFonts w:ascii="Calibri" w:hAnsi="Calibri" w:cs="Calibri"/>
          <w:color w:val="000000"/>
          <w:sz w:val="22"/>
          <w:szCs w:val="22"/>
          <w:lang w:val="en-US"/>
        </w:rPr>
        <w:sectPr w:rsidR="001B2F2B" w:rsidSect="00616B6D">
          <w:type w:val="continuous"/>
          <w:pgSz w:w="11894" w:h="16834" w:code="9"/>
          <w:pgMar w:top="1418" w:right="1134" w:bottom="1418" w:left="1134" w:header="720" w:footer="720" w:gutter="0"/>
          <w:cols w:num="2" w:space="454"/>
          <w:docGrid w:linePitch="272"/>
        </w:sectPr>
      </w:pPr>
    </w:p>
    <w:p w:rsidR="003C389F" w:rsidRPr="00B92F97" w:rsidRDefault="003C389F" w:rsidP="00B92F97">
      <w:pPr>
        <w:pStyle w:val="Caption"/>
        <w:keepNext/>
        <w:jc w:val="center"/>
        <w:rPr>
          <w:color w:val="000000" w:themeColor="text1"/>
        </w:rPr>
      </w:pPr>
      <w:r w:rsidRPr="00B92F97">
        <w:rPr>
          <w:color w:val="000000" w:themeColor="text1"/>
        </w:rPr>
        <w:t xml:space="preserve">Table </w:t>
      </w:r>
      <w:r w:rsidRPr="00B92F97">
        <w:rPr>
          <w:color w:val="000000" w:themeColor="text1"/>
        </w:rPr>
        <w:fldChar w:fldCharType="begin"/>
      </w:r>
      <w:r w:rsidRPr="00B92F97">
        <w:rPr>
          <w:color w:val="000000" w:themeColor="text1"/>
        </w:rPr>
        <w:instrText xml:space="preserve"> SEQ Table \* ARABIC </w:instrText>
      </w:r>
      <w:r w:rsidRPr="00B92F97">
        <w:rPr>
          <w:color w:val="000000" w:themeColor="text1"/>
        </w:rPr>
        <w:fldChar w:fldCharType="separate"/>
      </w:r>
      <w:r w:rsidR="00636C02" w:rsidRPr="00B92F97">
        <w:rPr>
          <w:noProof/>
          <w:color w:val="000000" w:themeColor="text1"/>
        </w:rPr>
        <w:t>2</w:t>
      </w:r>
      <w:r w:rsidRPr="00B92F97">
        <w:rPr>
          <w:color w:val="000000" w:themeColor="text1"/>
        </w:rPr>
        <w:fldChar w:fldCharType="end"/>
      </w:r>
      <w:r w:rsidR="00B92F97" w:rsidRPr="00B92F97">
        <w:rPr>
          <w:color w:val="000000" w:themeColor="text1"/>
        </w:rPr>
        <w:t>:</w:t>
      </w:r>
      <w:r w:rsidR="00A30C6A" w:rsidRPr="00B92F97">
        <w:rPr>
          <w:color w:val="000000" w:themeColor="text1"/>
        </w:rPr>
        <w:t xml:space="preserve"> Wind speed ratio of windward and leeward units for all the cases.</w:t>
      </w:r>
    </w:p>
    <w:tbl>
      <w:tblPr>
        <w:tblW w:w="5000" w:type="pct"/>
        <w:jc w:val="center"/>
        <w:tblLook w:val="04A0" w:firstRow="1" w:lastRow="0" w:firstColumn="1" w:lastColumn="0" w:noHBand="0" w:noVBand="1"/>
      </w:tblPr>
      <w:tblGrid>
        <w:gridCol w:w="457"/>
        <w:gridCol w:w="509"/>
        <w:gridCol w:w="509"/>
        <w:gridCol w:w="509"/>
        <w:gridCol w:w="509"/>
        <w:gridCol w:w="510"/>
        <w:gridCol w:w="508"/>
        <w:gridCol w:w="508"/>
        <w:gridCol w:w="508"/>
        <w:gridCol w:w="508"/>
        <w:gridCol w:w="508"/>
        <w:gridCol w:w="508"/>
        <w:gridCol w:w="508"/>
        <w:gridCol w:w="508"/>
        <w:gridCol w:w="508"/>
        <w:gridCol w:w="508"/>
        <w:gridCol w:w="508"/>
        <w:gridCol w:w="508"/>
        <w:gridCol w:w="517"/>
      </w:tblGrid>
      <w:tr w:rsidR="001B2F2B" w:rsidRPr="001B2F2B" w:rsidTr="001B2F2B">
        <w:trPr>
          <w:trHeight w:val="315"/>
          <w:jc w:val="center"/>
        </w:trPr>
        <w:tc>
          <w:tcPr>
            <w:tcW w:w="5000" w:type="pct"/>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B2F2B" w:rsidRPr="001B2F2B" w:rsidRDefault="001B2F2B" w:rsidP="001B2F2B">
            <w:pPr>
              <w:spacing w:after="0"/>
              <w:jc w:val="center"/>
              <w:rPr>
                <w:b/>
                <w:color w:val="000000"/>
                <w:sz w:val="16"/>
                <w:szCs w:val="16"/>
                <w:lang w:val="en-US"/>
              </w:rPr>
            </w:pPr>
            <w:r w:rsidRPr="001B2F2B">
              <w:rPr>
                <w:b/>
                <w:color w:val="000000"/>
                <w:sz w:val="16"/>
                <w:szCs w:val="16"/>
                <w:lang w:val="en-US"/>
              </w:rPr>
              <w:t>Windward</w:t>
            </w:r>
            <w:r w:rsidR="004019B2">
              <w:rPr>
                <w:b/>
                <w:color w:val="000000"/>
                <w:sz w:val="16"/>
                <w:szCs w:val="16"/>
                <w:lang w:val="en-US"/>
              </w:rPr>
              <w:t xml:space="preserve"> units</w:t>
            </w:r>
          </w:p>
        </w:tc>
      </w:tr>
      <w:tr w:rsidR="001B2F2B" w:rsidRPr="001B2F2B" w:rsidTr="003C389F">
        <w:trPr>
          <w:trHeight w:val="315"/>
          <w:jc w:val="center"/>
        </w:trPr>
        <w:tc>
          <w:tcPr>
            <w:tcW w:w="238" w:type="pct"/>
            <w:tcBorders>
              <w:top w:val="single" w:sz="4" w:space="0" w:color="000000"/>
              <w:left w:val="single" w:sz="8" w:space="0" w:color="auto"/>
              <w:bottom w:val="single" w:sz="4" w:space="0" w:color="FFFFFF" w:themeColor="background1"/>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6-F</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rPr>
              <w:t>0.17</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0.18</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0.11</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r>
      <w:tr w:rsidR="001B2F2B" w:rsidRPr="001B2F2B" w:rsidTr="003C389F">
        <w:trPr>
          <w:trHeight w:val="300"/>
          <w:jc w:val="center"/>
        </w:trPr>
        <w:tc>
          <w:tcPr>
            <w:tcW w:w="238" w:type="pct"/>
            <w:tcBorders>
              <w:top w:val="single" w:sz="4" w:space="0" w:color="FFFFFF" w:themeColor="background1"/>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5-F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r>
      <w:tr w:rsidR="001B2F2B" w:rsidRPr="001B2F2B" w:rsidTr="003C389F">
        <w:trPr>
          <w:trHeight w:val="300"/>
          <w:jc w:val="center"/>
        </w:trPr>
        <w:tc>
          <w:tcPr>
            <w:tcW w:w="238" w:type="pct"/>
            <w:tcBorders>
              <w:top w:val="nil"/>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4-F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0.16</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r>
      <w:tr w:rsidR="001B2F2B" w:rsidRPr="001B2F2B" w:rsidTr="003C389F">
        <w:trPr>
          <w:trHeight w:val="300"/>
          <w:jc w:val="center"/>
        </w:trPr>
        <w:tc>
          <w:tcPr>
            <w:tcW w:w="238" w:type="pct"/>
            <w:tcBorders>
              <w:top w:val="nil"/>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3-F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r>
      <w:tr w:rsidR="001B2F2B" w:rsidRPr="001B2F2B" w:rsidTr="003C389F">
        <w:trPr>
          <w:trHeight w:val="315"/>
          <w:jc w:val="center"/>
        </w:trPr>
        <w:tc>
          <w:tcPr>
            <w:tcW w:w="238" w:type="pct"/>
            <w:tcBorders>
              <w:top w:val="nil"/>
              <w:left w:val="single" w:sz="8" w:space="0" w:color="auto"/>
              <w:bottom w:val="single" w:sz="8" w:space="0" w:color="auto"/>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2-F</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0.17</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0.15</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0.12</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0.14</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0.10</w:t>
            </w:r>
          </w:p>
        </w:tc>
        <w:tc>
          <w:tcPr>
            <w:tcW w:w="269" w:type="pct"/>
            <w:tcBorders>
              <w:top w:val="nil"/>
              <w:left w:val="nil"/>
              <w:bottom w:val="single" w:sz="4" w:space="0" w:color="000000"/>
              <w:right w:val="single" w:sz="4" w:space="0" w:color="000000"/>
            </w:tcBorders>
            <w:shd w:val="clear" w:color="auto" w:fill="auto"/>
            <w:noWrap/>
            <w:vAlign w:val="bottom"/>
            <w:hideMark/>
          </w:tcPr>
          <w:p w:rsidR="001B2F2B" w:rsidRPr="001B2F2B" w:rsidRDefault="001B2F2B" w:rsidP="001B2F2B">
            <w:pPr>
              <w:jc w:val="right"/>
              <w:rPr>
                <w:color w:val="000000"/>
                <w:sz w:val="16"/>
                <w:szCs w:val="16"/>
              </w:rPr>
            </w:pPr>
            <w:r w:rsidRPr="001B2F2B">
              <w:rPr>
                <w:color w:val="000000"/>
                <w:sz w:val="16"/>
                <w:szCs w:val="16"/>
              </w:rPr>
              <w:t>0.09</w:t>
            </w:r>
          </w:p>
        </w:tc>
      </w:tr>
      <w:tr w:rsidR="001B2F2B" w:rsidRPr="001B2F2B" w:rsidTr="003C389F">
        <w:trPr>
          <w:trHeight w:val="1560"/>
          <w:jc w:val="center"/>
        </w:trPr>
        <w:tc>
          <w:tcPr>
            <w:tcW w:w="238" w:type="pct"/>
            <w:tcBorders>
              <w:top w:val="nil"/>
              <w:left w:val="single" w:sz="4" w:space="0" w:color="000000"/>
              <w:bottom w:val="nil"/>
              <w:right w:val="single" w:sz="4" w:space="0" w:color="000000"/>
            </w:tcBorders>
            <w:shd w:val="clear" w:color="auto" w:fill="auto"/>
            <w:noWrap/>
            <w:textDirection w:val="btLr"/>
            <w:vAlign w:val="bottom"/>
            <w:hideMark/>
          </w:tcPr>
          <w:p w:rsidR="001B2F2B" w:rsidRPr="001B2F2B" w:rsidRDefault="001B2F2B" w:rsidP="001B2F2B">
            <w:pPr>
              <w:spacing w:after="0"/>
              <w:jc w:val="center"/>
              <w:rPr>
                <w:b/>
                <w:color w:val="000000"/>
                <w:sz w:val="16"/>
                <w:szCs w:val="16"/>
                <w:lang w:val="en-US"/>
              </w:rPr>
            </w:pPr>
            <w:r w:rsidRPr="001B2F2B">
              <w:rPr>
                <w:b/>
                <w:color w:val="000000"/>
                <w:sz w:val="16"/>
                <w:szCs w:val="16"/>
                <w:lang w:val="en-US"/>
              </w:rPr>
              <w:t>Cases</w:t>
            </w:r>
          </w:p>
        </w:tc>
        <w:tc>
          <w:tcPr>
            <w:tcW w:w="265" w:type="pct"/>
            <w:tcBorders>
              <w:top w:val="single" w:sz="4" w:space="0" w:color="000000"/>
              <w:left w:val="single" w:sz="4" w:space="0" w:color="000000"/>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10 (SNM)</w:t>
            </w:r>
          </w:p>
        </w:tc>
        <w:tc>
          <w:tcPr>
            <w:tcW w:w="265"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11 (SNL)</w:t>
            </w:r>
          </w:p>
        </w:tc>
        <w:tc>
          <w:tcPr>
            <w:tcW w:w="265"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12 (MNM)</w:t>
            </w:r>
          </w:p>
        </w:tc>
        <w:tc>
          <w:tcPr>
            <w:tcW w:w="265"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13 (MNL)</w:t>
            </w:r>
          </w:p>
        </w:tc>
        <w:tc>
          <w:tcPr>
            <w:tcW w:w="265"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14 (LNM)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15 (LNL)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16 (SMM)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17 (SML)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18 (MMM)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19 (MML)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20 (LMM)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21 (LML)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22 (SLM)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23 (SLL)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24 (MLM)</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25 (MLL)</w:t>
            </w:r>
          </w:p>
        </w:tc>
        <w:tc>
          <w:tcPr>
            <w:tcW w:w="264" w:type="pct"/>
            <w:tcBorders>
              <w:top w:val="single" w:sz="4" w:space="0" w:color="000000"/>
              <w:left w:val="nil"/>
              <w:bottom w:val="single" w:sz="4" w:space="0" w:color="000000"/>
              <w:right w:val="nil"/>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26 (LLM)</w:t>
            </w:r>
          </w:p>
        </w:tc>
        <w:tc>
          <w:tcPr>
            <w:tcW w:w="269" w:type="pct"/>
            <w:tcBorders>
              <w:top w:val="single" w:sz="4" w:space="0" w:color="000000"/>
              <w:left w:val="nil"/>
              <w:bottom w:val="single" w:sz="4" w:space="0" w:color="000000"/>
              <w:right w:val="single" w:sz="4" w:space="0" w:color="000000"/>
            </w:tcBorders>
            <w:shd w:val="clear" w:color="auto" w:fill="auto"/>
            <w:noWrap/>
            <w:textDirection w:val="btLr"/>
            <w:vAlign w:val="bottom"/>
            <w:hideMark/>
          </w:tcPr>
          <w:p w:rsidR="001B2F2B" w:rsidRPr="001B2F2B" w:rsidRDefault="001B2F2B" w:rsidP="00A83AB4">
            <w:pPr>
              <w:spacing w:after="0"/>
              <w:jc w:val="center"/>
              <w:rPr>
                <w:b/>
                <w:color w:val="000000"/>
                <w:sz w:val="16"/>
                <w:szCs w:val="16"/>
                <w:lang w:val="en-US"/>
              </w:rPr>
            </w:pPr>
            <w:r w:rsidRPr="001B2F2B">
              <w:rPr>
                <w:b/>
                <w:color w:val="000000"/>
                <w:sz w:val="16"/>
                <w:szCs w:val="16"/>
                <w:lang w:val="en-US"/>
              </w:rPr>
              <w:t>Case 27 (LLL)</w:t>
            </w:r>
          </w:p>
        </w:tc>
      </w:tr>
      <w:tr w:rsidR="001B2F2B" w:rsidRPr="001B2F2B" w:rsidTr="003C389F">
        <w:trPr>
          <w:trHeight w:val="315"/>
          <w:jc w:val="center"/>
        </w:trPr>
        <w:tc>
          <w:tcPr>
            <w:tcW w:w="238" w:type="pct"/>
            <w:tcBorders>
              <w:top w:val="single" w:sz="8" w:space="0" w:color="auto"/>
              <w:left w:val="single" w:sz="8" w:space="0" w:color="auto"/>
              <w:bottom w:val="single" w:sz="4" w:space="0" w:color="FFFFFF" w:themeColor="background1"/>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6-F</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0.03</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0.12</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0.11</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0.13</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0.12</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0.13</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0.20</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0.24</w:t>
            </w:r>
          </w:p>
        </w:tc>
        <w:tc>
          <w:tcPr>
            <w:tcW w:w="264" w:type="pct"/>
            <w:tcBorders>
              <w:top w:val="single" w:sz="4" w:space="0" w:color="000000"/>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9" w:type="pct"/>
            <w:tcBorders>
              <w:top w:val="single" w:sz="4" w:space="0" w:color="000000"/>
              <w:left w:val="nil"/>
              <w:bottom w:val="nil"/>
              <w:right w:val="single" w:sz="4" w:space="0" w:color="000000"/>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0.21</w:t>
            </w:r>
          </w:p>
        </w:tc>
      </w:tr>
      <w:tr w:rsidR="001B2F2B" w:rsidRPr="001B2F2B" w:rsidTr="003C389F">
        <w:trPr>
          <w:trHeight w:val="300"/>
          <w:jc w:val="center"/>
        </w:trPr>
        <w:tc>
          <w:tcPr>
            <w:tcW w:w="238" w:type="pct"/>
            <w:tcBorders>
              <w:top w:val="single" w:sz="4" w:space="0" w:color="FFFFFF" w:themeColor="background1"/>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5-F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0.03</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0.00</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0.07</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0.06</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0.16</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0.21</w:t>
            </w:r>
          </w:p>
        </w:tc>
      </w:tr>
      <w:tr w:rsidR="001B2F2B" w:rsidRPr="001B2F2B" w:rsidTr="003C389F">
        <w:trPr>
          <w:trHeight w:val="300"/>
          <w:jc w:val="center"/>
        </w:trPr>
        <w:tc>
          <w:tcPr>
            <w:tcW w:w="238" w:type="pct"/>
            <w:tcBorders>
              <w:top w:val="nil"/>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4-F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0.03</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0.16</w:t>
            </w:r>
          </w:p>
        </w:tc>
      </w:tr>
      <w:tr w:rsidR="001B2F2B" w:rsidRPr="001B2F2B" w:rsidTr="003C389F">
        <w:trPr>
          <w:trHeight w:val="300"/>
          <w:jc w:val="center"/>
        </w:trPr>
        <w:tc>
          <w:tcPr>
            <w:tcW w:w="238" w:type="pct"/>
            <w:tcBorders>
              <w:top w:val="nil"/>
              <w:left w:val="single" w:sz="8" w:space="0" w:color="auto"/>
              <w:bottom w:val="nil"/>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3-F</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0.19</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0.04</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0.08</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0.05</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0.17</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0.22</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0.17</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0.20</w:t>
            </w:r>
          </w:p>
        </w:tc>
        <w:tc>
          <w:tcPr>
            <w:tcW w:w="264" w:type="pct"/>
            <w:tcBorders>
              <w:top w:val="nil"/>
              <w:left w:val="nil"/>
              <w:bottom w:val="nil"/>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0.16</w:t>
            </w:r>
          </w:p>
        </w:tc>
        <w:tc>
          <w:tcPr>
            <w:tcW w:w="269" w:type="pct"/>
            <w:tcBorders>
              <w:top w:val="nil"/>
              <w:left w:val="nil"/>
              <w:bottom w:val="nil"/>
              <w:right w:val="single" w:sz="4" w:space="0" w:color="000000"/>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0.20</w:t>
            </w:r>
          </w:p>
        </w:tc>
      </w:tr>
      <w:tr w:rsidR="001B2F2B" w:rsidRPr="001B2F2B" w:rsidTr="003C389F">
        <w:trPr>
          <w:trHeight w:val="315"/>
          <w:jc w:val="center"/>
        </w:trPr>
        <w:tc>
          <w:tcPr>
            <w:tcW w:w="238" w:type="pct"/>
            <w:tcBorders>
              <w:top w:val="nil"/>
              <w:left w:val="single" w:sz="8" w:space="0" w:color="auto"/>
              <w:bottom w:val="single" w:sz="8" w:space="0" w:color="auto"/>
              <w:right w:val="single" w:sz="8" w:space="0" w:color="auto"/>
            </w:tcBorders>
            <w:shd w:val="clear" w:color="auto" w:fill="auto"/>
            <w:noWrap/>
            <w:vAlign w:val="center"/>
            <w:hideMark/>
          </w:tcPr>
          <w:p w:rsidR="001B2F2B" w:rsidRPr="001B2F2B" w:rsidRDefault="001B2F2B" w:rsidP="001B2F2B">
            <w:pPr>
              <w:spacing w:after="0"/>
              <w:jc w:val="left"/>
              <w:rPr>
                <w:b/>
                <w:bCs/>
                <w:iCs/>
                <w:color w:val="000000"/>
                <w:sz w:val="16"/>
                <w:szCs w:val="16"/>
                <w:lang w:val="en-US"/>
              </w:rPr>
            </w:pPr>
            <w:r w:rsidRPr="001B2F2B">
              <w:rPr>
                <w:b/>
                <w:bCs/>
                <w:iCs/>
                <w:color w:val="000000"/>
                <w:sz w:val="16"/>
                <w:szCs w:val="16"/>
                <w:lang w:val="en-US"/>
              </w:rPr>
              <w:t>2-F</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0.02</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0.01</w:t>
            </w:r>
          </w:p>
        </w:tc>
        <w:tc>
          <w:tcPr>
            <w:tcW w:w="265"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0.04</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0.12</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0.12</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0.16</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0.18</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0.22</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0.17</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0.23</w:t>
            </w:r>
          </w:p>
        </w:tc>
        <w:tc>
          <w:tcPr>
            <w:tcW w:w="264" w:type="pct"/>
            <w:tcBorders>
              <w:top w:val="nil"/>
              <w:left w:val="nil"/>
              <w:bottom w:val="single" w:sz="4" w:space="0" w:color="000000"/>
              <w:right w:val="nil"/>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0.15</w:t>
            </w:r>
          </w:p>
        </w:tc>
        <w:tc>
          <w:tcPr>
            <w:tcW w:w="269" w:type="pct"/>
            <w:tcBorders>
              <w:top w:val="nil"/>
              <w:left w:val="nil"/>
              <w:bottom w:val="single" w:sz="4" w:space="0" w:color="000000"/>
              <w:right w:val="single" w:sz="4" w:space="0" w:color="000000"/>
            </w:tcBorders>
            <w:shd w:val="clear" w:color="auto" w:fill="auto"/>
            <w:noWrap/>
            <w:vAlign w:val="bottom"/>
            <w:hideMark/>
          </w:tcPr>
          <w:p w:rsidR="001B2F2B" w:rsidRPr="001B2F2B" w:rsidRDefault="001B2F2B" w:rsidP="001B2F2B">
            <w:pPr>
              <w:spacing w:after="0"/>
              <w:jc w:val="right"/>
              <w:rPr>
                <w:color w:val="000000"/>
                <w:sz w:val="16"/>
                <w:szCs w:val="16"/>
                <w:lang w:val="en-US"/>
              </w:rPr>
            </w:pPr>
            <w:r w:rsidRPr="001B2F2B">
              <w:rPr>
                <w:color w:val="000000"/>
                <w:sz w:val="16"/>
                <w:szCs w:val="16"/>
                <w:lang w:val="en-US"/>
              </w:rPr>
              <w:t>0.21</w:t>
            </w:r>
          </w:p>
        </w:tc>
      </w:tr>
      <w:tr w:rsidR="001B2F2B" w:rsidRPr="001B2F2B" w:rsidTr="001C7C1B">
        <w:trPr>
          <w:trHeight w:val="300"/>
          <w:jc w:val="center"/>
        </w:trPr>
        <w:tc>
          <w:tcPr>
            <w:tcW w:w="5000" w:type="pct"/>
            <w:gridSpan w:val="19"/>
            <w:tcBorders>
              <w:top w:val="nil"/>
              <w:left w:val="single" w:sz="4" w:space="0" w:color="000000"/>
              <w:bottom w:val="single" w:sz="4" w:space="0" w:color="000000"/>
              <w:right w:val="single" w:sz="4" w:space="0" w:color="000000"/>
            </w:tcBorders>
            <w:shd w:val="clear" w:color="auto" w:fill="auto"/>
            <w:noWrap/>
            <w:vAlign w:val="bottom"/>
            <w:hideMark/>
          </w:tcPr>
          <w:p w:rsidR="001B2F2B" w:rsidRPr="001B2F2B" w:rsidRDefault="001B2F2B" w:rsidP="001B2F2B">
            <w:pPr>
              <w:spacing w:after="0"/>
              <w:jc w:val="center"/>
              <w:rPr>
                <w:b/>
                <w:color w:val="000000"/>
                <w:sz w:val="16"/>
                <w:szCs w:val="16"/>
                <w:lang w:val="en-US"/>
              </w:rPr>
            </w:pPr>
            <w:r w:rsidRPr="001B2F2B">
              <w:rPr>
                <w:b/>
                <w:color w:val="000000"/>
                <w:sz w:val="16"/>
                <w:szCs w:val="16"/>
                <w:lang w:val="en-US"/>
              </w:rPr>
              <w:t>Leeward</w:t>
            </w:r>
            <w:r w:rsidR="004019B2">
              <w:rPr>
                <w:b/>
                <w:color w:val="000000"/>
                <w:sz w:val="16"/>
                <w:szCs w:val="16"/>
                <w:lang w:val="en-US"/>
              </w:rPr>
              <w:t xml:space="preserve"> units</w:t>
            </w:r>
          </w:p>
        </w:tc>
      </w:tr>
    </w:tbl>
    <w:p w:rsidR="001B2F2B" w:rsidRDefault="001B2F2B" w:rsidP="00760F43">
      <w:pPr>
        <w:sectPr w:rsidR="001B2F2B" w:rsidSect="001B2F2B">
          <w:type w:val="continuous"/>
          <w:pgSz w:w="11894" w:h="16834" w:code="9"/>
          <w:pgMar w:top="1418" w:right="1134" w:bottom="1418" w:left="1134" w:header="720" w:footer="720" w:gutter="0"/>
          <w:cols w:space="454"/>
          <w:docGrid w:linePitch="272"/>
        </w:sectPr>
      </w:pPr>
    </w:p>
    <w:p w:rsidR="00482AF2" w:rsidRDefault="002316CF" w:rsidP="00482AF2">
      <w:pPr>
        <w:rPr>
          <w:lang w:val="en-US"/>
        </w:rPr>
      </w:pPr>
      <w:r w:rsidRPr="00E51DCF">
        <w:rPr>
          <w:noProof/>
          <w:lang w:val="en-US"/>
        </w:rPr>
        <w:lastRenderedPageBreak/>
        <w:drawing>
          <wp:anchor distT="0" distB="0" distL="114300" distR="114300" simplePos="0" relativeHeight="251712512" behindDoc="0" locked="0" layoutInCell="1" allowOverlap="1">
            <wp:simplePos x="0" y="0"/>
            <wp:positionH relativeFrom="margin">
              <wp:align>right</wp:align>
            </wp:positionH>
            <wp:positionV relativeFrom="paragraph">
              <wp:posOffset>8559</wp:posOffset>
            </wp:positionV>
            <wp:extent cx="2901950" cy="3305175"/>
            <wp:effectExtent l="0" t="0" r="0" b="952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1950" cy="3305175"/>
                    </a:xfrm>
                    <a:prstGeom prst="rect">
                      <a:avLst/>
                    </a:prstGeom>
                    <a:noFill/>
                  </pic:spPr>
                </pic:pic>
              </a:graphicData>
            </a:graphic>
            <wp14:sizeRelH relativeFrom="margin">
              <wp14:pctWidth>0</wp14:pctWidth>
            </wp14:sizeRelH>
            <wp14:sizeRelV relativeFrom="margin">
              <wp14:pctHeight>0</wp14:pctHeight>
            </wp14:sizeRelV>
          </wp:anchor>
        </w:drawing>
      </w:r>
      <w:r w:rsidR="00C43C98" w:rsidRPr="00E51DCF">
        <w:t xml:space="preserve">Figure </w:t>
      </w:r>
      <w:r w:rsidR="00E51DCF" w:rsidRPr="00E51DCF">
        <w:t>5</w:t>
      </w:r>
      <w:r w:rsidR="00C43C98" w:rsidRPr="00E51DCF">
        <w:t xml:space="preserve"> shows </w:t>
      </w:r>
      <w:r w:rsidR="00C43C98">
        <w:t>the wind velocity</w:t>
      </w:r>
      <w:r w:rsidR="00DA2B0E">
        <w:t xml:space="preserve"> profile</w:t>
      </w:r>
      <w:r w:rsidR="00C43C98">
        <w:t xml:space="preserve"> in the</w:t>
      </w:r>
      <w:r>
        <w:t xml:space="preserve"> 1</w:t>
      </w:r>
      <w:r w:rsidRPr="002316CF">
        <w:rPr>
          <w:vertAlign w:val="superscript"/>
        </w:rPr>
        <w:t>st</w:t>
      </w:r>
      <w:r>
        <w:t xml:space="preserve"> floor and 5</w:t>
      </w:r>
      <w:r w:rsidRPr="002316CF">
        <w:rPr>
          <w:vertAlign w:val="superscript"/>
        </w:rPr>
        <w:t>th</w:t>
      </w:r>
      <w:r>
        <w:t xml:space="preserve"> floor </w:t>
      </w:r>
      <w:r w:rsidR="00C43C98">
        <w:t xml:space="preserve">units for the </w:t>
      </w:r>
      <w:r w:rsidR="00394AF7">
        <w:t>C</w:t>
      </w:r>
      <w:r w:rsidR="00C43C98">
        <w:t>ase</w:t>
      </w:r>
      <w:r w:rsidR="00394AF7">
        <w:t xml:space="preserve"> 11 (SNL) and Case 23 (SLL). Case 11 has the highest wind velocity for the windward side and Case 23 for the leeward side.</w:t>
      </w:r>
    </w:p>
    <w:p w:rsidR="001B2F2B" w:rsidRDefault="002316CF" w:rsidP="00482AF2">
      <w:pPr>
        <w:rPr>
          <w:lang w:val="en-US"/>
        </w:rPr>
      </w:pPr>
      <w:r>
        <w:rPr>
          <w:lang w:val="en-US"/>
        </w:rPr>
        <w:t xml:space="preserve">The </w:t>
      </w:r>
      <w:r w:rsidR="00D81EF5">
        <w:rPr>
          <w:lang w:val="en-US"/>
        </w:rPr>
        <w:t>WSR</w:t>
      </w:r>
      <w:r>
        <w:rPr>
          <w:lang w:val="en-US"/>
        </w:rPr>
        <w:t xml:space="preserve"> in </w:t>
      </w:r>
      <w:r w:rsidR="00394AF7">
        <w:rPr>
          <w:lang w:val="en-US"/>
        </w:rPr>
        <w:t xml:space="preserve">windward units </w:t>
      </w:r>
      <w:r>
        <w:rPr>
          <w:lang w:val="en-US"/>
        </w:rPr>
        <w:t xml:space="preserve">remains constant with the increase in the void size as seen in Cases 10, 12 and 14. Increasing the window size decreases the </w:t>
      </w:r>
      <w:r w:rsidR="00D81EF5">
        <w:rPr>
          <w:lang w:val="en-US"/>
        </w:rPr>
        <w:t>WSR</w:t>
      </w:r>
      <w:r>
        <w:rPr>
          <w:lang w:val="en-US"/>
        </w:rPr>
        <w:t xml:space="preserve"> for the windward units for all cases. </w:t>
      </w:r>
      <w:r w:rsidR="00D81EF5">
        <w:rPr>
          <w:lang w:val="en-US"/>
        </w:rPr>
        <w:t xml:space="preserve">Adding windcatcher at the first floor decreases </w:t>
      </w:r>
      <w:r w:rsidR="00DA2B0E">
        <w:rPr>
          <w:lang w:val="en-US"/>
        </w:rPr>
        <w:t xml:space="preserve">the </w:t>
      </w:r>
      <w:r w:rsidR="00D81EF5">
        <w:rPr>
          <w:lang w:val="en-US"/>
        </w:rPr>
        <w:t>WSR on the windward side. Increasing the size of windcatcher further decreases the WSR.</w:t>
      </w:r>
      <w:r>
        <w:rPr>
          <w:lang w:val="en-US"/>
        </w:rPr>
        <w:t xml:space="preserve"> </w:t>
      </w:r>
      <w:r w:rsidR="00D81EF5">
        <w:rPr>
          <w:lang w:val="en-US"/>
        </w:rPr>
        <w:t xml:space="preserve">The minimum </w:t>
      </w:r>
      <w:r w:rsidR="00F554B2">
        <w:rPr>
          <w:lang w:val="en-US"/>
        </w:rPr>
        <w:t>WSR</w:t>
      </w:r>
      <w:r w:rsidR="00D81EF5">
        <w:rPr>
          <w:lang w:val="en-US"/>
        </w:rPr>
        <w:t xml:space="preserve"> for </w:t>
      </w:r>
      <w:r w:rsidR="00DA2B0E">
        <w:rPr>
          <w:lang w:val="en-US"/>
        </w:rPr>
        <w:t xml:space="preserve">the </w:t>
      </w:r>
      <w:r w:rsidR="00D81EF5">
        <w:rPr>
          <w:lang w:val="en-US"/>
        </w:rPr>
        <w:t>windward units can be seen in Cases 23 and 25.</w:t>
      </w:r>
      <w:r w:rsidR="00F554B2">
        <w:rPr>
          <w:lang w:val="en-US"/>
        </w:rPr>
        <w:t xml:space="preserve"> </w:t>
      </w:r>
      <w:r w:rsidR="00E91D6C">
        <w:rPr>
          <w:lang w:val="en-US"/>
        </w:rPr>
        <w:t>For a single building the WSR on the windward side is smaller in the 3</w:t>
      </w:r>
      <w:r w:rsidR="00E91D6C" w:rsidRPr="00E91D6C">
        <w:rPr>
          <w:vertAlign w:val="superscript"/>
          <w:lang w:val="en-US"/>
        </w:rPr>
        <w:t>rd</w:t>
      </w:r>
      <w:r w:rsidR="00E91D6C">
        <w:rPr>
          <w:lang w:val="en-US"/>
        </w:rPr>
        <w:t xml:space="preserve"> floor (middle units), bigger on the 1</w:t>
      </w:r>
      <w:r w:rsidR="00E91D6C" w:rsidRPr="00E91D6C">
        <w:rPr>
          <w:vertAlign w:val="superscript"/>
          <w:lang w:val="en-US"/>
        </w:rPr>
        <w:t>st</w:t>
      </w:r>
      <w:r w:rsidR="00E91D6C">
        <w:rPr>
          <w:lang w:val="en-US"/>
        </w:rPr>
        <w:t xml:space="preserve"> and 5</w:t>
      </w:r>
      <w:r w:rsidR="00E91D6C" w:rsidRPr="00E91D6C">
        <w:rPr>
          <w:vertAlign w:val="superscript"/>
          <w:lang w:val="en-US"/>
        </w:rPr>
        <w:t>th</w:t>
      </w:r>
      <w:r w:rsidR="00E91D6C">
        <w:rPr>
          <w:lang w:val="en-US"/>
        </w:rPr>
        <w:t xml:space="preserve"> floors (lower and upper floors). </w:t>
      </w:r>
    </w:p>
    <w:p w:rsidR="001B2F2B" w:rsidRDefault="00D81EF5" w:rsidP="00482AF2">
      <w:pPr>
        <w:rPr>
          <w:lang w:val="en-US"/>
        </w:rPr>
      </w:pPr>
      <w:r>
        <w:rPr>
          <w:lang w:val="en-US"/>
        </w:rPr>
        <w:t xml:space="preserve">In case of leeward </w:t>
      </w:r>
      <w:r w:rsidR="002520C6">
        <w:rPr>
          <w:lang w:val="en-US"/>
        </w:rPr>
        <w:t>units the smaller voids hav</w:t>
      </w:r>
      <w:r w:rsidR="007A0BB3">
        <w:rPr>
          <w:lang w:val="en-US"/>
        </w:rPr>
        <w:t>e better WSR. Increase in window size result</w:t>
      </w:r>
      <w:r w:rsidR="00DA2B0E">
        <w:rPr>
          <w:lang w:val="en-US"/>
        </w:rPr>
        <w:t>ed</w:t>
      </w:r>
      <w:r w:rsidR="007A0BB3">
        <w:rPr>
          <w:lang w:val="en-US"/>
        </w:rPr>
        <w:t xml:space="preserve"> in increase</w:t>
      </w:r>
      <w:r w:rsidR="00DA2B0E">
        <w:rPr>
          <w:lang w:val="en-US"/>
        </w:rPr>
        <w:t>d</w:t>
      </w:r>
      <w:r w:rsidR="007A0BB3">
        <w:rPr>
          <w:lang w:val="en-US"/>
        </w:rPr>
        <w:t xml:space="preserve"> WSR. Addition of windcatcher further increases the WSR as in Cases 22-27.WSR is highest in the 3</w:t>
      </w:r>
      <w:r w:rsidR="007A0BB3" w:rsidRPr="007A0BB3">
        <w:rPr>
          <w:vertAlign w:val="superscript"/>
          <w:lang w:val="en-US"/>
        </w:rPr>
        <w:t>rd</w:t>
      </w:r>
      <w:r w:rsidR="007A0BB3">
        <w:rPr>
          <w:lang w:val="en-US"/>
        </w:rPr>
        <w:t xml:space="preserve"> floor (mid units) compared to the 5</w:t>
      </w:r>
      <w:r w:rsidR="007A0BB3" w:rsidRPr="007A0BB3">
        <w:rPr>
          <w:vertAlign w:val="superscript"/>
          <w:lang w:val="en-US"/>
        </w:rPr>
        <w:t>th</w:t>
      </w:r>
      <w:r w:rsidR="007A0BB3">
        <w:rPr>
          <w:lang w:val="en-US"/>
        </w:rPr>
        <w:t xml:space="preserve"> and 1</w:t>
      </w:r>
      <w:r w:rsidR="007A0BB3" w:rsidRPr="007A0BB3">
        <w:rPr>
          <w:vertAlign w:val="superscript"/>
          <w:lang w:val="en-US"/>
        </w:rPr>
        <w:t>st</w:t>
      </w:r>
      <w:r w:rsidR="007A0BB3">
        <w:rPr>
          <w:lang w:val="en-US"/>
        </w:rPr>
        <w:t xml:space="preserve"> floors (upper and lower units).</w:t>
      </w:r>
    </w:p>
    <w:p w:rsidR="003C389F" w:rsidRDefault="004250D5" w:rsidP="003C389F">
      <w:r>
        <w:rPr>
          <w:noProof/>
          <w:lang w:val="en-US"/>
        </w:rPr>
        <mc:AlternateContent>
          <mc:Choice Requires="wps">
            <w:drawing>
              <wp:anchor distT="0" distB="0" distL="114300" distR="114300" simplePos="0" relativeHeight="251716608" behindDoc="0" locked="0" layoutInCell="1" allowOverlap="1" wp14:anchorId="0EB83CD9" wp14:editId="4D03050E">
                <wp:simplePos x="0" y="0"/>
                <wp:positionH relativeFrom="margin">
                  <wp:align>right</wp:align>
                </wp:positionH>
                <wp:positionV relativeFrom="paragraph">
                  <wp:posOffset>176048</wp:posOffset>
                </wp:positionV>
                <wp:extent cx="290195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a:effectLst/>
                      </wps:spPr>
                      <wps:txbx>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5</w:t>
                            </w:r>
                            <w:r w:rsidR="00B92F97" w:rsidRPr="00B92F97">
                              <w:rPr>
                                <w:color w:val="000000" w:themeColor="text1"/>
                              </w:rPr>
                              <w:t>:</w:t>
                            </w:r>
                            <w:r w:rsidRPr="00B92F97">
                              <w:rPr>
                                <w:color w:val="000000" w:themeColor="text1"/>
                              </w:rPr>
                              <w:t xml:space="preserve"> Wind velocity in the 1</w:t>
                            </w:r>
                            <w:r w:rsidRPr="00B92F97">
                              <w:rPr>
                                <w:color w:val="000000" w:themeColor="text1"/>
                                <w:vertAlign w:val="superscript"/>
                              </w:rPr>
                              <w:t>st</w:t>
                            </w:r>
                            <w:r w:rsidRPr="00B92F97">
                              <w:rPr>
                                <w:color w:val="000000" w:themeColor="text1"/>
                              </w:rPr>
                              <w:t xml:space="preserve"> and 5</w:t>
                            </w:r>
                            <w:r w:rsidRPr="00B92F97">
                              <w:rPr>
                                <w:color w:val="000000" w:themeColor="text1"/>
                                <w:vertAlign w:val="superscript"/>
                              </w:rPr>
                              <w:t>th</w:t>
                            </w:r>
                            <w:r w:rsidRPr="00B92F97">
                              <w:rPr>
                                <w:color w:val="000000" w:themeColor="text1"/>
                              </w:rPr>
                              <w:t xml:space="preserve"> floor units of case 11 and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B83CD9" id="Text Box 2" o:spid="_x0000_s1030" type="#_x0000_t202" style="position:absolute;left:0;text-align:left;margin-left:177.3pt;margin-top:13.85pt;width:228.5pt;height:.05pt;z-index:2517166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" stroked="f">
                <v:textbox style="mso-fit-shape-to-text:t" inset="0,0,0,0">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5</w:t>
                      </w:r>
                      <w:r w:rsidR="00B92F97" w:rsidRPr="00B92F97">
                        <w:rPr>
                          <w:color w:val="000000" w:themeColor="text1"/>
                        </w:rPr>
                        <w:t>:</w:t>
                      </w:r>
                      <w:r w:rsidRPr="00B92F97">
                        <w:rPr>
                          <w:color w:val="000000" w:themeColor="text1"/>
                        </w:rPr>
                        <w:t xml:space="preserve"> Wind velocity in the 1</w:t>
                      </w:r>
                      <w:r w:rsidRPr="00B92F97">
                        <w:rPr>
                          <w:color w:val="000000" w:themeColor="text1"/>
                          <w:vertAlign w:val="superscript"/>
                        </w:rPr>
                        <w:t>st</w:t>
                      </w:r>
                      <w:r w:rsidRPr="00B92F97">
                        <w:rPr>
                          <w:color w:val="000000" w:themeColor="text1"/>
                        </w:rPr>
                        <w:t xml:space="preserve"> and 5</w:t>
                      </w:r>
                      <w:r w:rsidRPr="00B92F97">
                        <w:rPr>
                          <w:color w:val="000000" w:themeColor="text1"/>
                          <w:vertAlign w:val="superscript"/>
                        </w:rPr>
                        <w:t>th</w:t>
                      </w:r>
                      <w:r w:rsidRPr="00B92F97">
                        <w:rPr>
                          <w:color w:val="000000" w:themeColor="text1"/>
                        </w:rPr>
                        <w:t xml:space="preserve"> floor units of case 11 and 23.</w:t>
                      </w:r>
                    </w:p>
                  </w:txbxContent>
                </v:textbox>
                <w10:wrap type="topAndBottom" anchorx="margin"/>
              </v:shape>
            </w:pict>
          </mc:Fallback>
        </mc:AlternateContent>
      </w:r>
      <w:r w:rsidR="003C389F">
        <w:rPr>
          <w:rStyle w:val="Heading2Char"/>
        </w:rPr>
        <w:t xml:space="preserve">Flow rates: </w:t>
      </w:r>
      <w:r w:rsidR="003C389F">
        <w:t xml:space="preserve">Air flow rates for the units were calculated using </w:t>
      </w:r>
      <w:r w:rsidR="00DA2B0E">
        <w:t xml:space="preserve">the formula </w:t>
      </w:r>
      <w:r w:rsidR="003C389F">
        <w:t>U</w:t>
      </w:r>
      <w:r w:rsidR="003C389F" w:rsidRPr="00C77A9B">
        <w:rPr>
          <w:vertAlign w:val="subscript"/>
        </w:rPr>
        <w:t>opening</w:t>
      </w:r>
      <w:r w:rsidR="003C389F">
        <w:rPr>
          <w:vertAlign w:val="subscript"/>
        </w:rPr>
        <w:t xml:space="preserve"> </w:t>
      </w:r>
      <w:r w:rsidR="003C389F">
        <w:t>*A where U</w:t>
      </w:r>
      <w:r w:rsidR="003C389F">
        <w:rPr>
          <w:vertAlign w:val="subscript"/>
        </w:rPr>
        <w:t xml:space="preserve">opening </w:t>
      </w:r>
      <w:r w:rsidR="003C389F">
        <w:t>is the area averaged velocity on window plane, and A is the</w:t>
      </w:r>
      <w:r w:rsidR="002C5A9C">
        <w:t xml:space="preserve"> geometric area of the opening. </w:t>
      </w:r>
      <w:r w:rsidR="00367388" w:rsidRPr="007A0BB3">
        <w:t>The unit of flow rate is m</w:t>
      </w:r>
      <w:r w:rsidR="00367388" w:rsidRPr="007A0BB3">
        <w:rPr>
          <w:vertAlign w:val="superscript"/>
        </w:rPr>
        <w:t>3</w:t>
      </w:r>
      <w:r w:rsidR="00367388" w:rsidRPr="007A0BB3">
        <w:t>s</w:t>
      </w:r>
      <w:r w:rsidR="00367388" w:rsidRPr="007A0BB3">
        <w:rPr>
          <w:vertAlign w:val="superscript"/>
        </w:rPr>
        <w:t>-1</w:t>
      </w:r>
      <w:r w:rsidR="00367388" w:rsidRPr="007A0BB3">
        <w:t>.</w:t>
      </w:r>
      <w:r w:rsidR="00DA2B0E">
        <w:t xml:space="preserve">The flow rates for </w:t>
      </w:r>
      <w:r w:rsidR="003C389F">
        <w:t xml:space="preserve">Cases 10-27 </w:t>
      </w:r>
      <w:r w:rsidR="00DA2B0E">
        <w:t>are</w:t>
      </w:r>
      <w:r w:rsidR="00367388">
        <w:t xml:space="preserve"> calculated and normalized using </w:t>
      </w:r>
      <w:r w:rsidR="002C5A9C">
        <w:t xml:space="preserve">2.6 </w:t>
      </w:r>
      <w:r w:rsidR="002C5A9C" w:rsidRPr="002C5A9C">
        <w:t>m</w:t>
      </w:r>
      <w:r w:rsidR="002C5A9C">
        <w:rPr>
          <w:vertAlign w:val="superscript"/>
        </w:rPr>
        <w:t>3</w:t>
      </w:r>
      <w:r w:rsidR="002C5A9C">
        <w:t>s</w:t>
      </w:r>
      <w:r w:rsidR="002C5A9C">
        <w:rPr>
          <w:vertAlign w:val="superscript"/>
        </w:rPr>
        <w:t>-1</w:t>
      </w:r>
      <w:r w:rsidR="002C5A9C">
        <w:t xml:space="preserve">, which is </w:t>
      </w:r>
      <w:r w:rsidR="00367388" w:rsidRPr="002C5A9C">
        <w:t>the</w:t>
      </w:r>
      <w:r w:rsidR="00367388">
        <w:t xml:space="preserve"> flow rate of middle unit on the windward side of Case 19 (MML) as the reference case. Table 3 shows the normalized flow rates of all the cases</w:t>
      </w:r>
      <w:r w:rsidR="003C389F" w:rsidRPr="007A0BB3">
        <w:t>.</w:t>
      </w:r>
      <w:r w:rsidR="007A0BB3" w:rsidRPr="007A0BB3">
        <w:t xml:space="preserve"> </w:t>
      </w:r>
    </w:p>
    <w:p w:rsidR="001B2F2B" w:rsidRDefault="001B2F2B" w:rsidP="00482AF2">
      <w:pPr>
        <w:rPr>
          <w:lang w:val="en-US"/>
        </w:rPr>
      </w:pPr>
    </w:p>
    <w:p w:rsidR="001B2F2B" w:rsidRDefault="001B2F2B" w:rsidP="00482AF2">
      <w:pPr>
        <w:rPr>
          <w:lang w:val="en-US"/>
        </w:rPr>
        <w:sectPr w:rsidR="001B2F2B" w:rsidSect="00616B6D">
          <w:type w:val="continuous"/>
          <w:pgSz w:w="11894" w:h="16834" w:code="9"/>
          <w:pgMar w:top="1418" w:right="1134" w:bottom="1418" w:left="1134" w:header="720" w:footer="720" w:gutter="0"/>
          <w:cols w:num="2" w:space="454"/>
          <w:docGrid w:linePitch="272"/>
        </w:sectPr>
      </w:pPr>
    </w:p>
    <w:p w:rsidR="003C389F" w:rsidRPr="00B92F97" w:rsidRDefault="003C389F" w:rsidP="00B92F97">
      <w:pPr>
        <w:pStyle w:val="Caption"/>
        <w:keepNext/>
        <w:jc w:val="center"/>
        <w:rPr>
          <w:color w:val="000000" w:themeColor="text1"/>
        </w:rPr>
      </w:pPr>
      <w:r w:rsidRPr="00B92F97">
        <w:rPr>
          <w:color w:val="000000" w:themeColor="text1"/>
        </w:rPr>
        <w:t xml:space="preserve">Table </w:t>
      </w:r>
      <w:r w:rsidRPr="00B92F97">
        <w:rPr>
          <w:color w:val="000000" w:themeColor="text1"/>
        </w:rPr>
        <w:fldChar w:fldCharType="begin"/>
      </w:r>
      <w:r w:rsidRPr="00B92F97">
        <w:rPr>
          <w:color w:val="000000" w:themeColor="text1"/>
        </w:rPr>
        <w:instrText xml:space="preserve"> SEQ Table \* ARABIC </w:instrText>
      </w:r>
      <w:r w:rsidRPr="00B92F97">
        <w:rPr>
          <w:color w:val="000000" w:themeColor="text1"/>
        </w:rPr>
        <w:fldChar w:fldCharType="separate"/>
      </w:r>
      <w:r w:rsidR="00636C02" w:rsidRPr="00B92F97">
        <w:rPr>
          <w:noProof/>
          <w:color w:val="000000" w:themeColor="text1"/>
        </w:rPr>
        <w:t>3</w:t>
      </w:r>
      <w:r w:rsidRPr="00B92F97">
        <w:rPr>
          <w:color w:val="000000" w:themeColor="text1"/>
        </w:rPr>
        <w:fldChar w:fldCharType="end"/>
      </w:r>
      <w:r w:rsidR="00B92F97" w:rsidRPr="00B92F97">
        <w:rPr>
          <w:color w:val="000000" w:themeColor="text1"/>
        </w:rPr>
        <w:t>:</w:t>
      </w:r>
      <w:r w:rsidR="004250D5" w:rsidRPr="00B92F97">
        <w:rPr>
          <w:color w:val="000000" w:themeColor="text1"/>
        </w:rPr>
        <w:t xml:space="preserve"> Flow rates in the windward and leeward units for all the cases.</w:t>
      </w:r>
    </w:p>
    <w:tbl>
      <w:tblPr>
        <w:tblStyle w:val="PlainTable5"/>
        <w:tblW w:w="5000" w:type="pct"/>
        <w:tblLook w:val="04A0" w:firstRow="1" w:lastRow="0" w:firstColumn="1" w:lastColumn="0" w:noHBand="0" w:noVBand="1"/>
      </w:tblPr>
      <w:tblGrid>
        <w:gridCol w:w="456"/>
        <w:gridCol w:w="496"/>
        <w:gridCol w:w="496"/>
        <w:gridCol w:w="553"/>
        <w:gridCol w:w="553"/>
        <w:gridCol w:w="555"/>
        <w:gridCol w:w="555"/>
        <w:gridCol w:w="496"/>
        <w:gridCol w:w="496"/>
        <w:gridCol w:w="496"/>
        <w:gridCol w:w="496"/>
        <w:gridCol w:w="496"/>
        <w:gridCol w:w="496"/>
        <w:gridCol w:w="496"/>
        <w:gridCol w:w="496"/>
        <w:gridCol w:w="496"/>
        <w:gridCol w:w="496"/>
        <w:gridCol w:w="496"/>
        <w:gridCol w:w="496"/>
      </w:tblGrid>
      <w:tr w:rsidR="00482AF2" w:rsidRPr="001B2F2B" w:rsidTr="008737D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000" w:type="pct"/>
            <w:gridSpan w:val="19"/>
            <w:tcBorders>
              <w:top w:val="single" w:sz="4" w:space="0" w:color="auto"/>
              <w:left w:val="single" w:sz="4" w:space="0" w:color="auto"/>
              <w:bottom w:val="single" w:sz="4" w:space="0" w:color="auto"/>
              <w:right w:val="single" w:sz="4" w:space="0" w:color="auto"/>
            </w:tcBorders>
            <w:shd w:val="clear" w:color="auto" w:fill="auto"/>
            <w:noWrap/>
            <w:hideMark/>
          </w:tcPr>
          <w:p w:rsidR="00482AF2" w:rsidRPr="001B2F2B" w:rsidRDefault="00AB2E80" w:rsidP="00482AF2">
            <w:pPr>
              <w:spacing w:after="0"/>
              <w:jc w:val="center"/>
              <w:rPr>
                <w:b/>
                <w:i w:val="0"/>
                <w:color w:val="000000"/>
                <w:sz w:val="16"/>
                <w:szCs w:val="16"/>
                <w:lang w:val="en-US"/>
              </w:rPr>
            </w:pPr>
            <w:r w:rsidRPr="001B2F2B">
              <w:rPr>
                <w:b/>
                <w:color w:val="000000"/>
                <w:sz w:val="16"/>
                <w:szCs w:val="16"/>
                <w:lang w:val="en-US"/>
              </w:rPr>
              <w:t>Windw</w:t>
            </w:r>
            <w:r w:rsidR="00482AF2" w:rsidRPr="001B2F2B">
              <w:rPr>
                <w:b/>
                <w:color w:val="000000"/>
                <w:sz w:val="16"/>
                <w:szCs w:val="16"/>
                <w:lang w:val="en-US"/>
              </w:rPr>
              <w:t>ard units</w:t>
            </w:r>
          </w:p>
        </w:tc>
      </w:tr>
      <w:tr w:rsidR="002108B8" w:rsidRPr="001B2F2B" w:rsidTr="00210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top w:val="single" w:sz="4" w:space="0" w:color="auto"/>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6-F</w:t>
            </w:r>
          </w:p>
        </w:tc>
        <w:tc>
          <w:tcPr>
            <w:tcW w:w="258" w:type="pct"/>
            <w:tcBorders>
              <w:top w:val="single" w:sz="4" w:space="0" w:color="auto"/>
              <w:left w:val="single" w:sz="4" w:space="0" w:color="auto"/>
            </w:tcBorders>
            <w:shd w:val="clear" w:color="auto" w:fill="auto"/>
            <w:noWrap/>
            <w:vAlign w:val="center"/>
            <w:hideMark/>
          </w:tcPr>
          <w:p w:rsidR="002108B8" w:rsidRDefault="002108B8" w:rsidP="002108B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rPr>
              <w:t>0.77</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1.12</w:t>
            </w:r>
          </w:p>
        </w:tc>
        <w:tc>
          <w:tcPr>
            <w:tcW w:w="28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0.81</w:t>
            </w:r>
          </w:p>
        </w:tc>
        <w:tc>
          <w:tcPr>
            <w:tcW w:w="28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1.15</w:t>
            </w:r>
          </w:p>
        </w:tc>
        <w:tc>
          <w:tcPr>
            <w:tcW w:w="289"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0.81</w:t>
            </w:r>
          </w:p>
        </w:tc>
        <w:tc>
          <w:tcPr>
            <w:tcW w:w="289"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0.62</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0.92</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1.35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0.42</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0.42</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0.46</w:t>
            </w:r>
          </w:p>
        </w:tc>
        <w:tc>
          <w:tcPr>
            <w:tcW w:w="258" w:type="pct"/>
            <w:tcBorders>
              <w:top w:val="single" w:sz="4" w:space="0" w:color="auto"/>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r>
      <w:tr w:rsidR="002108B8" w:rsidRPr="001B2F2B" w:rsidTr="002108B8">
        <w:trPr>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5-F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0.88</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1.23</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0.88</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1.23</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0.88</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1.23</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0.69</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1.50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0.77</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0.58</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r>
      <w:tr w:rsidR="002108B8" w:rsidRPr="001B2F2B" w:rsidTr="00210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4-F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0.85</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1.19</w:t>
            </w:r>
          </w:p>
        </w:tc>
        <w:tc>
          <w:tcPr>
            <w:tcW w:w="28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0.88</w:t>
            </w:r>
          </w:p>
        </w:tc>
        <w:tc>
          <w:tcPr>
            <w:tcW w:w="28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1.19</w:t>
            </w:r>
          </w:p>
        </w:tc>
        <w:tc>
          <w:tcPr>
            <w:tcW w:w="289"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0.88</w:t>
            </w:r>
          </w:p>
        </w:tc>
        <w:tc>
          <w:tcPr>
            <w:tcW w:w="289"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1.19</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1.46</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0.50</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0.50</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0.81</w:t>
            </w:r>
          </w:p>
        </w:tc>
      </w:tr>
      <w:tr w:rsidR="002108B8" w:rsidRPr="001B2F2B" w:rsidTr="002108B8">
        <w:trPr>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3-F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1.12</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1.12</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1.12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0.88</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0.65</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0.92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0.69</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1.35</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0.42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0.65</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0.42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0.50</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r>
      <w:tr w:rsidR="002108B8" w:rsidRPr="001B2F2B" w:rsidTr="002108B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bottom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2-F</w:t>
            </w:r>
          </w:p>
        </w:tc>
        <w:tc>
          <w:tcPr>
            <w:tcW w:w="258" w:type="pct"/>
            <w:tcBorders>
              <w:left w:val="single" w:sz="4" w:space="0" w:color="auto"/>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28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8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1.04</w:t>
            </w:r>
          </w:p>
        </w:tc>
        <w:tc>
          <w:tcPr>
            <w:tcW w:w="289"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89"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1.04</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0.54</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0.85</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0.62</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1.23</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0.38</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0.54</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0.38</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0.42</w:t>
            </w:r>
          </w:p>
        </w:tc>
        <w:tc>
          <w:tcPr>
            <w:tcW w:w="258" w:type="pct"/>
            <w:tcBorders>
              <w:bottom w:val="single" w:sz="4" w:space="0" w:color="auto"/>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0.62</w:t>
            </w:r>
          </w:p>
        </w:tc>
      </w:tr>
      <w:tr w:rsidR="00307DE8" w:rsidRPr="001B2F2B" w:rsidTr="002108B8">
        <w:trPr>
          <w:trHeight w:val="1545"/>
        </w:trPr>
        <w:tc>
          <w:tcPr>
            <w:cnfStyle w:val="001000000000" w:firstRow="0" w:lastRow="0" w:firstColumn="1" w:lastColumn="0" w:oddVBand="0" w:evenVBand="0" w:oddHBand="0" w:evenHBand="0" w:firstRowFirstColumn="0" w:firstRowLastColumn="0" w:lastRowFirstColumn="0" w:lastRowLastColumn="0"/>
            <w:tcW w:w="236" w:type="pct"/>
            <w:tcBorders>
              <w:top w:val="single" w:sz="4" w:space="0" w:color="auto"/>
              <w:left w:val="single" w:sz="4" w:space="0" w:color="auto"/>
              <w:bottom w:val="single" w:sz="4" w:space="0" w:color="auto"/>
              <w:right w:val="single" w:sz="4" w:space="0" w:color="auto"/>
            </w:tcBorders>
            <w:shd w:val="clear" w:color="auto" w:fill="auto"/>
            <w:noWrap/>
            <w:textDirection w:val="btLr"/>
            <w:hideMark/>
          </w:tcPr>
          <w:p w:rsidR="00482AF2" w:rsidRPr="001B2F2B" w:rsidRDefault="00482AF2" w:rsidP="00482AF2">
            <w:pPr>
              <w:spacing w:after="0"/>
              <w:jc w:val="center"/>
              <w:rPr>
                <w:b/>
                <w:i w:val="0"/>
                <w:color w:val="000000"/>
                <w:sz w:val="16"/>
                <w:szCs w:val="16"/>
                <w:lang w:val="en-US"/>
              </w:rPr>
            </w:pPr>
            <w:r w:rsidRPr="001B2F2B">
              <w:rPr>
                <w:b/>
                <w:color w:val="000000"/>
                <w:sz w:val="16"/>
                <w:szCs w:val="16"/>
                <w:lang w:val="en-US"/>
              </w:rPr>
              <w:t>Cases</w:t>
            </w:r>
          </w:p>
        </w:tc>
        <w:tc>
          <w:tcPr>
            <w:tcW w:w="258" w:type="pct"/>
            <w:tcBorders>
              <w:top w:val="single" w:sz="4" w:space="0" w:color="auto"/>
              <w:left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10 (SNM)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11 (SNL)</w:t>
            </w:r>
          </w:p>
        </w:tc>
        <w:tc>
          <w:tcPr>
            <w:tcW w:w="28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12 (MNM)</w:t>
            </w:r>
          </w:p>
        </w:tc>
        <w:tc>
          <w:tcPr>
            <w:tcW w:w="28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13 (MNL)</w:t>
            </w:r>
          </w:p>
        </w:tc>
        <w:tc>
          <w:tcPr>
            <w:tcW w:w="289"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14 (LNM)</w:t>
            </w:r>
          </w:p>
        </w:tc>
        <w:tc>
          <w:tcPr>
            <w:tcW w:w="289"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15 (LNL)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16 (SMM)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17 (SML)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18 (MMM)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19 (MML)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20 (LMM)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21 (LML)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22 (SLM)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23 (SLL)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24 (MLM)</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25 (MLL)</w:t>
            </w:r>
          </w:p>
        </w:tc>
        <w:tc>
          <w:tcPr>
            <w:tcW w:w="258" w:type="pct"/>
            <w:tcBorders>
              <w:top w:val="single" w:sz="4" w:space="0" w:color="auto"/>
              <w:bottom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26 (LLM)</w:t>
            </w:r>
          </w:p>
        </w:tc>
        <w:tc>
          <w:tcPr>
            <w:tcW w:w="258" w:type="pct"/>
            <w:tcBorders>
              <w:top w:val="single" w:sz="4" w:space="0" w:color="auto"/>
              <w:bottom w:val="single" w:sz="4" w:space="0" w:color="auto"/>
              <w:right w:val="single" w:sz="4" w:space="0" w:color="auto"/>
            </w:tcBorders>
            <w:shd w:val="clear" w:color="auto" w:fill="auto"/>
            <w:noWrap/>
            <w:textDirection w:val="btLr"/>
            <w:vAlign w:val="bottom"/>
            <w:hideMark/>
          </w:tcPr>
          <w:p w:rsidR="00482AF2" w:rsidRPr="001B2F2B" w:rsidRDefault="00482AF2" w:rsidP="00A83AB4">
            <w:pPr>
              <w:spacing w:after="0"/>
              <w:jc w:val="center"/>
              <w:cnfStyle w:val="000000000000" w:firstRow="0" w:lastRow="0" w:firstColumn="0" w:lastColumn="0" w:oddVBand="0" w:evenVBand="0" w:oddHBand="0" w:evenHBand="0" w:firstRowFirstColumn="0" w:firstRowLastColumn="0" w:lastRowFirstColumn="0" w:lastRowLastColumn="0"/>
              <w:rPr>
                <w:b/>
                <w:color w:val="000000"/>
                <w:sz w:val="16"/>
                <w:szCs w:val="16"/>
                <w:lang w:val="en-US"/>
              </w:rPr>
            </w:pPr>
            <w:r w:rsidRPr="001B2F2B">
              <w:rPr>
                <w:b/>
                <w:color w:val="000000"/>
                <w:sz w:val="16"/>
                <w:szCs w:val="16"/>
                <w:lang w:val="en-US"/>
              </w:rPr>
              <w:t>Case 27 (LLL)</w:t>
            </w:r>
          </w:p>
        </w:tc>
      </w:tr>
      <w:tr w:rsidR="002108B8" w:rsidRPr="001B2F2B" w:rsidTr="0057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top w:val="single" w:sz="4" w:space="0" w:color="auto"/>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6-F</w:t>
            </w:r>
          </w:p>
        </w:tc>
        <w:tc>
          <w:tcPr>
            <w:tcW w:w="258" w:type="pct"/>
            <w:tcBorders>
              <w:top w:val="single" w:sz="4" w:space="0" w:color="auto"/>
              <w:left w:val="single" w:sz="4" w:space="0" w:color="auto"/>
            </w:tcBorders>
            <w:shd w:val="clear" w:color="auto" w:fill="auto"/>
            <w:noWrap/>
            <w:vAlign w:val="center"/>
            <w:hideMark/>
          </w:tcPr>
          <w:p w:rsidR="002108B8" w:rsidRDefault="002108B8" w:rsidP="002108B8">
            <w:pPr>
              <w:spacing w:after="0"/>
              <w:jc w:val="center"/>
              <w:cnfStyle w:val="000000100000" w:firstRow="0" w:lastRow="0" w:firstColumn="0" w:lastColumn="0" w:oddVBand="0" w:evenVBand="0" w:oddHBand="1" w:evenHBand="0" w:firstRowFirstColumn="0" w:firstRowLastColumn="0" w:lastRowFirstColumn="0" w:lastRowLastColumn="0"/>
              <w:rPr>
                <w:color w:val="000000"/>
                <w:sz w:val="16"/>
                <w:szCs w:val="16"/>
                <w:lang w:val="en-US"/>
              </w:rPr>
            </w:pPr>
            <w:r>
              <w:rPr>
                <w:color w:val="000000"/>
                <w:sz w:val="16"/>
                <w:szCs w:val="16"/>
              </w:rPr>
              <w:t>0.15</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0.27</w:t>
            </w:r>
          </w:p>
        </w:tc>
        <w:tc>
          <w:tcPr>
            <w:tcW w:w="28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28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0.04</w:t>
            </w:r>
          </w:p>
        </w:tc>
        <w:tc>
          <w:tcPr>
            <w:tcW w:w="289"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-0.04</w:t>
            </w:r>
          </w:p>
        </w:tc>
        <w:tc>
          <w:tcPr>
            <w:tcW w:w="289"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0.00</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0.54</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0.50</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0.92</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1.00</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1.04</w:t>
            </w:r>
          </w:p>
        </w:tc>
        <w:tc>
          <w:tcPr>
            <w:tcW w:w="258" w:type="pct"/>
            <w:tcBorders>
              <w:top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tcBorders>
              <w:top w:val="single" w:sz="4" w:space="0" w:color="auto"/>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r>
      <w:tr w:rsidR="002108B8" w:rsidRPr="001B2F2B" w:rsidTr="00575B70">
        <w:trPr>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5-F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0.12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0.19</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-0.04</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-0.08</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0.58</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0.69</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0.46</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0.96</w:t>
            </w:r>
          </w:p>
        </w:tc>
      </w:tr>
      <w:tr w:rsidR="002108B8" w:rsidRPr="001B2F2B" w:rsidTr="0057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4-F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0.04</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0.15</w:t>
            </w:r>
          </w:p>
        </w:tc>
        <w:tc>
          <w:tcPr>
            <w:tcW w:w="28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-0.08</w:t>
            </w:r>
          </w:p>
        </w:tc>
        <w:tc>
          <w:tcPr>
            <w:tcW w:w="28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-0.04</w:t>
            </w:r>
          </w:p>
        </w:tc>
        <w:tc>
          <w:tcPr>
            <w:tcW w:w="289"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-0.12</w:t>
            </w:r>
          </w:p>
        </w:tc>
        <w:tc>
          <w:tcPr>
            <w:tcW w:w="289"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-0.08</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0.54</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0.46</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1.04</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0.81</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1.04</w:t>
            </w:r>
          </w:p>
        </w:tc>
        <w:tc>
          <w:tcPr>
            <w:tcW w:w="258" w:type="pct"/>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r>
      <w:tr w:rsidR="002108B8" w:rsidRPr="001B2F2B" w:rsidTr="00575B70">
        <w:trPr>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3-F</w:t>
            </w:r>
          </w:p>
        </w:tc>
        <w:tc>
          <w:tcPr>
            <w:tcW w:w="258" w:type="pct"/>
            <w:tcBorders>
              <w:lef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0.08</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0.12</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-0.04</w:t>
            </w:r>
          </w:p>
        </w:tc>
        <w:tc>
          <w:tcPr>
            <w:tcW w:w="28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0.00</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-0.08</w:t>
            </w:r>
          </w:p>
        </w:tc>
        <w:tc>
          <w:tcPr>
            <w:tcW w:w="289"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-0.04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0.62</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0.77</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0.54</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0.65</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0.50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0.88</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0.77</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0.77</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1.00</w:t>
            </w:r>
          </w:p>
        </w:tc>
        <w:tc>
          <w:tcPr>
            <w:tcW w:w="258" w:type="pct"/>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0.73</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0.92</w:t>
            </w:r>
          </w:p>
        </w:tc>
      </w:tr>
      <w:tr w:rsidR="002108B8" w:rsidRPr="001B2F2B" w:rsidTr="00575B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 w:type="pct"/>
            <w:tcBorders>
              <w:left w:val="single" w:sz="4" w:space="0" w:color="auto"/>
              <w:bottom w:val="single" w:sz="4" w:space="0" w:color="auto"/>
              <w:right w:val="single" w:sz="4" w:space="0" w:color="auto"/>
            </w:tcBorders>
            <w:shd w:val="clear" w:color="auto" w:fill="auto"/>
            <w:noWrap/>
            <w:hideMark/>
          </w:tcPr>
          <w:p w:rsidR="002108B8" w:rsidRPr="001B2F2B" w:rsidRDefault="002108B8" w:rsidP="002108B8">
            <w:pPr>
              <w:spacing w:after="0"/>
              <w:jc w:val="left"/>
              <w:rPr>
                <w:b/>
                <w:i w:val="0"/>
                <w:color w:val="000000"/>
                <w:sz w:val="16"/>
                <w:szCs w:val="16"/>
                <w:lang w:val="en-US"/>
              </w:rPr>
            </w:pPr>
            <w:r w:rsidRPr="001B2F2B">
              <w:rPr>
                <w:b/>
                <w:color w:val="000000"/>
                <w:sz w:val="16"/>
                <w:szCs w:val="16"/>
                <w:lang w:val="en-US"/>
              </w:rPr>
              <w:t>2-F</w:t>
            </w:r>
          </w:p>
        </w:tc>
        <w:tc>
          <w:tcPr>
            <w:tcW w:w="258" w:type="pct"/>
            <w:tcBorders>
              <w:left w:val="single" w:sz="4" w:space="0" w:color="auto"/>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0.12</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0.15</w:t>
            </w:r>
          </w:p>
        </w:tc>
        <w:tc>
          <w:tcPr>
            <w:tcW w:w="28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0.04</w:t>
            </w:r>
          </w:p>
        </w:tc>
        <w:tc>
          <w:tcPr>
            <w:tcW w:w="28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0.08</w:t>
            </w:r>
          </w:p>
        </w:tc>
        <w:tc>
          <w:tcPr>
            <w:tcW w:w="289"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0.08</w:t>
            </w:r>
          </w:p>
        </w:tc>
        <w:tc>
          <w:tcPr>
            <w:tcW w:w="289"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0.15</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0.58</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0.54</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0.65</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0.50</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0.77</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0.73</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0.96</w:t>
            </w:r>
          </w:p>
        </w:tc>
        <w:tc>
          <w:tcPr>
            <w:tcW w:w="258" w:type="pct"/>
            <w:tcBorders>
              <w:bottom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0.69</w:t>
            </w:r>
          </w:p>
        </w:tc>
        <w:tc>
          <w:tcPr>
            <w:tcW w:w="258" w:type="pct"/>
            <w:tcBorders>
              <w:right w:val="single" w:sz="4" w:space="0" w:color="auto"/>
            </w:tcBorders>
            <w:shd w:val="clear" w:color="auto" w:fill="auto"/>
            <w:noWrap/>
            <w:vAlign w:val="center"/>
            <w:hideMark/>
          </w:tcPr>
          <w:p w:rsidR="002108B8" w:rsidRDefault="002108B8" w:rsidP="002108B8">
            <w:pPr>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Pr>
                <w:color w:val="000000"/>
                <w:sz w:val="16"/>
                <w:szCs w:val="16"/>
              </w:rPr>
              <w:t>0.92</w:t>
            </w:r>
          </w:p>
        </w:tc>
      </w:tr>
      <w:tr w:rsidR="00482AF2" w:rsidRPr="001B2F2B" w:rsidTr="008737DA">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9"/>
            <w:tcBorders>
              <w:top w:val="single" w:sz="4" w:space="0" w:color="auto"/>
              <w:left w:val="single" w:sz="4" w:space="0" w:color="auto"/>
              <w:bottom w:val="single" w:sz="4" w:space="0" w:color="auto"/>
            </w:tcBorders>
            <w:shd w:val="clear" w:color="auto" w:fill="auto"/>
            <w:noWrap/>
            <w:hideMark/>
          </w:tcPr>
          <w:p w:rsidR="00482AF2" w:rsidRPr="001B2F2B" w:rsidRDefault="00482AF2" w:rsidP="00482AF2">
            <w:pPr>
              <w:spacing w:after="0"/>
              <w:jc w:val="center"/>
              <w:rPr>
                <w:b/>
                <w:i w:val="0"/>
                <w:color w:val="000000"/>
                <w:sz w:val="16"/>
                <w:szCs w:val="16"/>
                <w:lang w:val="en-US"/>
              </w:rPr>
            </w:pPr>
            <w:r w:rsidRPr="001B2F2B">
              <w:rPr>
                <w:b/>
                <w:color w:val="000000"/>
                <w:sz w:val="16"/>
                <w:szCs w:val="16"/>
                <w:lang w:val="en-US"/>
              </w:rPr>
              <w:t>Leeward units</w:t>
            </w:r>
          </w:p>
        </w:tc>
      </w:tr>
    </w:tbl>
    <w:p w:rsidR="00482AF2" w:rsidRDefault="00482AF2" w:rsidP="00726B2F">
      <w:pPr>
        <w:sectPr w:rsidR="00482AF2" w:rsidSect="00F65CF7">
          <w:type w:val="continuous"/>
          <w:pgSz w:w="11894" w:h="16834" w:code="9"/>
          <w:pgMar w:top="1418" w:right="1134" w:bottom="1418" w:left="1134" w:header="720" w:footer="720" w:gutter="0"/>
          <w:cols w:space="454"/>
          <w:docGrid w:linePitch="272"/>
        </w:sectPr>
      </w:pPr>
    </w:p>
    <w:p w:rsidR="001E28F1" w:rsidRDefault="005C2DF9" w:rsidP="001E28F1">
      <w:r>
        <w:t xml:space="preserve">In case of windward units the flow rate </w:t>
      </w:r>
      <w:r w:rsidR="001C6118">
        <w:t>is high in cases 10-21. I</w:t>
      </w:r>
      <w:r w:rsidR="008C306A">
        <w:t>ncrease in window size increased</w:t>
      </w:r>
      <w:r w:rsidR="001C6118">
        <w:t xml:space="preserve"> the flow rates. Addition of windcatcher reduce</w:t>
      </w:r>
      <w:r w:rsidR="006B7450">
        <w:t>d</w:t>
      </w:r>
      <w:r w:rsidR="001C6118">
        <w:t xml:space="preserve"> the flow rates </w:t>
      </w:r>
      <w:r w:rsidR="006B7450">
        <w:t xml:space="preserve">with </w:t>
      </w:r>
      <w:r w:rsidR="001C6118">
        <w:t xml:space="preserve">case 21 (LML) </w:t>
      </w:r>
      <w:r w:rsidR="006B7450">
        <w:t>a</w:t>
      </w:r>
      <w:r w:rsidR="001C6118">
        <w:t>s an exception.</w:t>
      </w:r>
    </w:p>
    <w:p w:rsidR="001E28F1" w:rsidRDefault="00C25F39" w:rsidP="001E28F1">
      <w:r>
        <w:t xml:space="preserve">In case of leeward units, </w:t>
      </w:r>
      <w:r w:rsidR="006B7450">
        <w:t xml:space="preserve">the </w:t>
      </w:r>
      <w:r>
        <w:t xml:space="preserve">existence of a void or the increase in void size does not impact the flow rates drastically. Cases 12-14 show negative flow rate i.e. direction of flow is opposite to the wind direction. Flow </w:t>
      </w:r>
      <w:r w:rsidR="00367388">
        <w:rPr>
          <w:noProof/>
          <w:lang w:val="en-US"/>
        </w:rPr>
        <w:lastRenderedPageBreak/>
        <mc:AlternateContent>
          <mc:Choice Requires="wps">
            <w:drawing>
              <wp:anchor distT="0" distB="0" distL="114300" distR="114300" simplePos="0" relativeHeight="251718656" behindDoc="0" locked="0" layoutInCell="1" allowOverlap="1" wp14:anchorId="7A4DFE75" wp14:editId="1D27BEC0">
                <wp:simplePos x="0" y="0"/>
                <wp:positionH relativeFrom="margin">
                  <wp:align>left</wp:align>
                </wp:positionH>
                <wp:positionV relativeFrom="paragraph">
                  <wp:posOffset>2559177</wp:posOffset>
                </wp:positionV>
                <wp:extent cx="6074410" cy="635"/>
                <wp:effectExtent l="0" t="0" r="2540" b="8255"/>
                <wp:wrapTopAndBottom/>
                <wp:docPr id="3" name="Text Box 3"/>
                <wp:cNvGraphicFramePr/>
                <a:graphic xmlns:a="http://schemas.openxmlformats.org/drawingml/2006/main">
                  <a:graphicData uri="http://schemas.microsoft.com/office/word/2010/wordprocessingShape">
                    <wps:wsp>
                      <wps:cNvSpPr txBox="1"/>
                      <wps:spPr>
                        <a:xfrm>
                          <a:off x="0" y="0"/>
                          <a:ext cx="6074410" cy="635"/>
                        </a:xfrm>
                        <a:prstGeom prst="rect">
                          <a:avLst/>
                        </a:prstGeom>
                        <a:solidFill>
                          <a:prstClr val="white"/>
                        </a:solidFill>
                        <a:ln>
                          <a:noFill/>
                        </a:ln>
                        <a:effectLst/>
                      </wps:spPr>
                      <wps:txbx>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6</w:t>
                            </w:r>
                            <w:r w:rsidR="00B92F97" w:rsidRPr="00B92F97">
                              <w:rPr>
                                <w:color w:val="000000" w:themeColor="text1"/>
                              </w:rPr>
                              <w:t>:</w:t>
                            </w:r>
                            <w:r w:rsidRPr="00B92F97">
                              <w:rPr>
                                <w:color w:val="000000" w:themeColor="text1"/>
                              </w:rPr>
                              <w:t xml:space="preserve"> Average per unit flow rate for the cases.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4DFE75" id="Text Box 3" o:spid="_x0000_s1031" type="#_x0000_t202" style="position:absolute;left:0;text-align:left;margin-left:0;margin-top:201.5pt;width:478.3pt;height:.05pt;z-index:251718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" stroked="f">
                <v:textbox style="mso-fit-shape-to-text:t" inset="0,0,0,0">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6</w:t>
                      </w:r>
                      <w:r w:rsidR="00B92F97" w:rsidRPr="00B92F97">
                        <w:rPr>
                          <w:color w:val="000000" w:themeColor="text1"/>
                        </w:rPr>
                        <w:t>:</w:t>
                      </w:r>
                      <w:r w:rsidRPr="00B92F97">
                        <w:rPr>
                          <w:color w:val="000000" w:themeColor="text1"/>
                        </w:rPr>
                        <w:t xml:space="preserve"> Average per unit flow rate for the cases.</w:t>
                      </w:r>
                    </w:p>
                  </w:txbxContent>
                </v:textbox>
                <w10:wrap type="topAndBottom" anchorx="margin"/>
              </v:shape>
            </w:pict>
          </mc:Fallback>
        </mc:AlternateContent>
      </w:r>
      <w:r w:rsidR="00367388">
        <w:rPr>
          <w:noProof/>
          <w:lang w:val="en-US"/>
        </w:rPr>
        <w:drawing>
          <wp:anchor distT="0" distB="0" distL="114300" distR="114300" simplePos="0" relativeHeight="251714560" behindDoc="0" locked="0" layoutInCell="1" allowOverlap="1">
            <wp:simplePos x="0" y="0"/>
            <wp:positionH relativeFrom="margin">
              <wp:align>left</wp:align>
            </wp:positionH>
            <wp:positionV relativeFrom="paragraph">
              <wp:posOffset>1016</wp:posOffset>
            </wp:positionV>
            <wp:extent cx="6074410" cy="27222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4410" cy="2722245"/>
                    </a:xfrm>
                    <a:prstGeom prst="rect">
                      <a:avLst/>
                    </a:prstGeom>
                    <a:noFill/>
                  </pic:spPr>
                </pic:pic>
              </a:graphicData>
            </a:graphic>
            <wp14:sizeRelH relativeFrom="page">
              <wp14:pctWidth>0</wp14:pctWidth>
            </wp14:sizeRelH>
            <wp14:sizeRelV relativeFrom="page">
              <wp14:pctHeight>0</wp14:pctHeight>
            </wp14:sizeRelV>
          </wp:anchor>
        </w:drawing>
      </w:r>
      <w:r>
        <w:t>rates drastically improve</w:t>
      </w:r>
      <w:r w:rsidR="006B7450">
        <w:t>d</w:t>
      </w:r>
      <w:r>
        <w:t xml:space="preserve"> with the addition of windcatcher.</w:t>
      </w:r>
    </w:p>
    <w:p w:rsidR="001E28F1" w:rsidRDefault="00BD3006" w:rsidP="001E28F1">
      <w:r>
        <w:rPr>
          <w:noProof/>
          <w:lang w:val="en-US"/>
        </w:rPr>
        <w:drawing>
          <wp:anchor distT="0" distB="0" distL="114300" distR="114300" simplePos="0" relativeHeight="251713536" behindDoc="0" locked="0" layoutInCell="1" allowOverlap="1">
            <wp:simplePos x="0" y="0"/>
            <wp:positionH relativeFrom="column">
              <wp:align>right</wp:align>
            </wp:positionH>
            <wp:positionV relativeFrom="paragraph">
              <wp:posOffset>1613535</wp:posOffset>
            </wp:positionV>
            <wp:extent cx="2901950" cy="354139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0" cy="3541395"/>
                    </a:xfrm>
                    <a:prstGeom prst="rect">
                      <a:avLst/>
                    </a:prstGeom>
                    <a:noFill/>
                  </pic:spPr>
                </pic:pic>
              </a:graphicData>
            </a:graphic>
            <wp14:sizeRelH relativeFrom="margin">
              <wp14:pctWidth>0</wp14:pctWidth>
            </wp14:sizeRelH>
            <wp14:sizeRelV relativeFrom="margin">
              <wp14:pctHeight>0</wp14:pctHeight>
            </wp14:sizeRelV>
          </wp:anchor>
        </w:drawing>
      </w:r>
      <w:r w:rsidR="00360C1E">
        <w:t>In the case of windward units, the middle floors</w:t>
      </w:r>
      <w:r w:rsidR="006B7450">
        <w:t xml:space="preserve"> (</w:t>
      </w:r>
      <w:r w:rsidR="00360C1E">
        <w:t>4</w:t>
      </w:r>
      <w:r w:rsidR="00360C1E" w:rsidRPr="00042DC7">
        <w:rPr>
          <w:vertAlign w:val="superscript"/>
        </w:rPr>
        <w:t>th</w:t>
      </w:r>
      <w:r w:rsidR="00360C1E">
        <w:t xml:space="preserve"> and 5</w:t>
      </w:r>
      <w:r w:rsidR="00360C1E" w:rsidRPr="00042DC7">
        <w:rPr>
          <w:vertAlign w:val="superscript"/>
        </w:rPr>
        <w:t>th</w:t>
      </w:r>
      <w:r w:rsidR="006B7450">
        <w:t xml:space="preserve">) </w:t>
      </w:r>
      <w:r w:rsidR="00360C1E">
        <w:t>have higher flow rates, the 2</w:t>
      </w:r>
      <w:r w:rsidR="00360C1E" w:rsidRPr="00042DC7">
        <w:rPr>
          <w:vertAlign w:val="superscript"/>
        </w:rPr>
        <w:t>nd</w:t>
      </w:r>
      <w:r w:rsidR="00360C1E">
        <w:t xml:space="preserve"> floor has the lowest flow rate compared to the other floors. </w:t>
      </w:r>
      <w:r w:rsidR="006B7450">
        <w:t>Deductively,</w:t>
      </w:r>
      <w:r w:rsidR="00360C1E">
        <w:t xml:space="preserve"> the flow rate gradually increase</w:t>
      </w:r>
      <w:r w:rsidR="006B7450">
        <w:t>d</w:t>
      </w:r>
      <w:r w:rsidR="00360C1E">
        <w:t xml:space="preserve"> from low</w:t>
      </w:r>
      <w:r w:rsidR="006B7450">
        <w:t>er</w:t>
      </w:r>
      <w:r w:rsidR="00360C1E">
        <w:t xml:space="preserve"> to middle floors and </w:t>
      </w:r>
      <w:r w:rsidR="006B7450">
        <w:t xml:space="preserve">decreased as it reached </w:t>
      </w:r>
      <w:r w:rsidR="00360C1E">
        <w:t>top floor in shape of a ‘D’. In the case of leeward units, the 2</w:t>
      </w:r>
      <w:r w:rsidR="00360C1E" w:rsidRPr="00042DC7">
        <w:rPr>
          <w:vertAlign w:val="superscript"/>
        </w:rPr>
        <w:t>nd</w:t>
      </w:r>
      <w:r w:rsidR="00360C1E">
        <w:t xml:space="preserve"> and 6</w:t>
      </w:r>
      <w:r w:rsidR="00360C1E" w:rsidRPr="00042DC7">
        <w:rPr>
          <w:vertAlign w:val="superscript"/>
        </w:rPr>
        <w:t>th</w:t>
      </w:r>
      <w:r w:rsidR="00360C1E">
        <w:t xml:space="preserve"> floor have higher flow rates compared to the middle units. The flow rate gradually decreases from bottom to middle increasing back again before reaching the top floor in shape of a ‘C’ though the flow rate differences are very marginal across the floors of the building</w:t>
      </w:r>
      <w:r w:rsidR="001C6118">
        <w:t>.</w:t>
      </w:r>
    </w:p>
    <w:p w:rsidR="001E28F1" w:rsidRDefault="005C2DF9" w:rsidP="001E28F1">
      <w:r>
        <w:t>Figure 6 shows the per unit average flow rates of all all the cases. Cases 17, 19 and 21 have good flow rates on the windward and the leeward side.</w:t>
      </w:r>
    </w:p>
    <w:p w:rsidR="001E28F1" w:rsidRDefault="005C2DF9" w:rsidP="001E28F1">
      <w:r>
        <w:t>Figure 7 shows Case 15 (LNL) with the best windward flow and negative or zero leeward flow i.e. wind is moving opposite to the wind direction. Case 23 (SLL) shows the best leeward flow in all the cases.</w:t>
      </w:r>
    </w:p>
    <w:p w:rsidR="00892EF8" w:rsidRDefault="00EA69FA" w:rsidP="00887649">
      <w:pPr>
        <w:pStyle w:val="Heading1"/>
      </w:pPr>
      <w:r>
        <w:t>Summary and c</w:t>
      </w:r>
      <w:r w:rsidR="00892EF8">
        <w:t>onclusion</w:t>
      </w:r>
    </w:p>
    <w:p w:rsidR="007758D2" w:rsidRDefault="007758D2" w:rsidP="007758D2">
      <w:r>
        <w:t xml:space="preserve">A total of 27 building </w:t>
      </w:r>
      <w:r w:rsidR="00F35B99">
        <w:t xml:space="preserve">design </w:t>
      </w:r>
      <w:r>
        <w:t>options were studied with the help of CFD and wind tunnel experiments to suggest measures for increasing natural ventilation performance of the building prioritizing its leeward side.</w:t>
      </w:r>
    </w:p>
    <w:p w:rsidR="0093699E" w:rsidRDefault="0093699E" w:rsidP="007758D2">
      <w:r>
        <w:t>The results can be summarized as:</w:t>
      </w:r>
    </w:p>
    <w:p w:rsidR="0093699E" w:rsidRDefault="0093699E" w:rsidP="002A4D0E">
      <w:pPr>
        <w:pStyle w:val="ListParagraph"/>
        <w:numPr>
          <w:ilvl w:val="0"/>
          <w:numId w:val="4"/>
        </w:numPr>
      </w:pPr>
      <w:r>
        <w:t>Introducing a void in the building design increase</w:t>
      </w:r>
      <w:r w:rsidR="006B7450">
        <w:t>d</w:t>
      </w:r>
      <w:r>
        <w:t xml:space="preserve"> </w:t>
      </w:r>
      <w:r w:rsidR="00F35B99">
        <w:t xml:space="preserve">the air flow </w:t>
      </w:r>
      <w:r w:rsidR="002316CF">
        <w:t xml:space="preserve">and wind speed ratio </w:t>
      </w:r>
      <w:r w:rsidR="00F35B99">
        <w:t>in the</w:t>
      </w:r>
      <w:r w:rsidR="002316CF">
        <w:t xml:space="preserve"> leeward</w:t>
      </w:r>
      <w:r w:rsidR="00F35B99">
        <w:t xml:space="preserve"> units</w:t>
      </w:r>
      <w:r w:rsidR="00991668">
        <w:t xml:space="preserve">. Small void of 1.2 </w:t>
      </w:r>
      <w:r>
        <w:t xml:space="preserve">m </w:t>
      </w:r>
      <w:r w:rsidR="006B7450">
        <w:t xml:space="preserve">is effective </w:t>
      </w:r>
      <w:r>
        <w:t>than mid and larger voids.</w:t>
      </w:r>
    </w:p>
    <w:p w:rsidR="0093699E" w:rsidRDefault="0093699E" w:rsidP="002A4D0E">
      <w:pPr>
        <w:pStyle w:val="ListParagraph"/>
        <w:numPr>
          <w:ilvl w:val="0"/>
          <w:numId w:val="4"/>
        </w:numPr>
      </w:pPr>
      <w:r>
        <w:t xml:space="preserve">Increasing the size of </w:t>
      </w:r>
      <w:r w:rsidR="006B7450">
        <w:t xml:space="preserve">the </w:t>
      </w:r>
      <w:r>
        <w:t xml:space="preserve">windows </w:t>
      </w:r>
      <w:r w:rsidR="006B7450">
        <w:t xml:space="preserve">was found to be </w:t>
      </w:r>
      <w:r>
        <w:t>directly proportional to the increase in</w:t>
      </w:r>
      <w:r w:rsidR="00F35B99">
        <w:t xml:space="preserve"> </w:t>
      </w:r>
      <w:r w:rsidR="006B7450">
        <w:t xml:space="preserve">the </w:t>
      </w:r>
      <w:r w:rsidR="00F35B99">
        <w:t>air</w:t>
      </w:r>
      <w:r w:rsidR="002316CF">
        <w:t xml:space="preserve"> flow rates in the units. </w:t>
      </w:r>
    </w:p>
    <w:p w:rsidR="0093699E" w:rsidRPr="007758D2" w:rsidRDefault="0093699E" w:rsidP="002A4D0E">
      <w:pPr>
        <w:pStyle w:val="ListParagraph"/>
        <w:numPr>
          <w:ilvl w:val="0"/>
          <w:numId w:val="4"/>
        </w:numPr>
      </w:pPr>
      <w:r>
        <w:t>Use of windcatche</w:t>
      </w:r>
      <w:r w:rsidR="006B7450">
        <w:t>r at the pilotis level increased</w:t>
      </w:r>
      <w:r>
        <w:t xml:space="preserve"> the flow rates </w:t>
      </w:r>
      <w:r w:rsidR="00FA6BA1">
        <w:t>in the leeward units while decreasing that on the windward units. Increasin</w:t>
      </w:r>
      <w:r w:rsidR="006B7450">
        <w:t>g the windcatcher size increased</w:t>
      </w:r>
      <w:r w:rsidR="00FA6BA1">
        <w:t xml:space="preserve"> the flow rates </w:t>
      </w:r>
      <w:r w:rsidR="002A4D0E">
        <w:t>on the le</w:t>
      </w:r>
      <w:r w:rsidR="006B7450">
        <w:t>eward side and further decreased</w:t>
      </w:r>
      <w:r w:rsidR="002A4D0E">
        <w:t xml:space="preserve"> the flow rates on the windward side.</w:t>
      </w:r>
    </w:p>
    <w:p w:rsidR="004250D5" w:rsidRDefault="00BD3006" w:rsidP="00C6000D">
      <w:r>
        <w:rPr>
          <w:noProof/>
          <w:lang w:val="en-US"/>
        </w:rPr>
        <mc:AlternateContent>
          <mc:Choice Requires="wps">
            <w:drawing>
              <wp:anchor distT="0" distB="0" distL="114300" distR="114300" simplePos="0" relativeHeight="251720704" behindDoc="0" locked="0" layoutInCell="1" allowOverlap="1" wp14:anchorId="61AE67D6" wp14:editId="7AD256BA">
                <wp:simplePos x="0" y="0"/>
                <wp:positionH relativeFrom="margin">
                  <wp:posOffset>-14630</wp:posOffset>
                </wp:positionH>
                <wp:positionV relativeFrom="paragraph">
                  <wp:posOffset>2102460</wp:posOffset>
                </wp:positionV>
                <wp:extent cx="2901950" cy="635"/>
                <wp:effectExtent l="0" t="0" r="0" b="0"/>
                <wp:wrapTopAndBottom/>
                <wp:docPr id="14" name="Text Box 14"/>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a:effectLst/>
                      </wps:spPr>
                      <wps:txbx>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7</w:t>
                            </w:r>
                            <w:r w:rsidR="00B92F97" w:rsidRPr="00B92F97">
                              <w:rPr>
                                <w:color w:val="000000" w:themeColor="text1"/>
                              </w:rPr>
                              <w:t>:</w:t>
                            </w:r>
                            <w:r w:rsidRPr="00B92F97">
                              <w:rPr>
                                <w:color w:val="000000" w:themeColor="text1"/>
                              </w:rPr>
                              <w:t xml:space="preserve"> wind velocity in case 15 and case 23 with minimum and maximum flow rates on the leeward side respectively.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AE67D6" id="Text Box 14" o:spid="_x0000_s1032" type="#_x0000_t202" style="position:absolute;left:0;text-align:left;margin-left:-1.15pt;margin-top:165.55pt;width:228.5pt;height:.05pt;z-index:2517207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" stroked="f">
                <v:textbox style="mso-fit-shape-to-text:t" inset="0,0,0,0">
                  <w:txbxContent>
                    <w:p w:rsidR="00E848BD" w:rsidRPr="00B92F97" w:rsidRDefault="00E848BD" w:rsidP="00B92F97">
                      <w:pPr>
                        <w:pStyle w:val="Caption"/>
                        <w:jc w:val="center"/>
                        <w:rPr>
                          <w:noProof/>
                          <w:color w:val="000000" w:themeColor="text1"/>
                          <w:sz w:val="20"/>
                          <w:szCs w:val="20"/>
                        </w:rPr>
                      </w:pPr>
                      <w:r w:rsidRPr="00B92F97">
                        <w:rPr>
                          <w:color w:val="000000" w:themeColor="text1"/>
                        </w:rPr>
                        <w:t>Figure 7</w:t>
                      </w:r>
                      <w:r w:rsidR="00B92F97" w:rsidRPr="00B92F97">
                        <w:rPr>
                          <w:color w:val="000000" w:themeColor="text1"/>
                        </w:rPr>
                        <w:t>:</w:t>
                      </w:r>
                      <w:r w:rsidRPr="00B92F97">
                        <w:rPr>
                          <w:color w:val="000000" w:themeColor="text1"/>
                        </w:rPr>
                        <w:t xml:space="preserve"> wind velocity in case 15 and case 23 with minimum and maximum flow rates on the leeward side respectively.</w:t>
                      </w:r>
                    </w:p>
                  </w:txbxContent>
                </v:textbox>
                <w10:wrap type="topAndBottom" anchorx="margin"/>
              </v:shape>
            </w:pict>
          </mc:Fallback>
        </mc:AlternateContent>
      </w:r>
      <w:r w:rsidR="006B7450">
        <w:t>Thus it can be concluded</w:t>
      </w:r>
      <w:r w:rsidR="001F4D10">
        <w:t xml:space="preserve"> that</w:t>
      </w:r>
      <w:r w:rsidR="006D616D">
        <w:t xml:space="preserve"> the</w:t>
      </w:r>
      <w:r w:rsidR="001F4D10">
        <w:t xml:space="preserve"> use of void can help</w:t>
      </w:r>
      <w:r w:rsidR="006B7450">
        <w:t xml:space="preserve"> in increasing </w:t>
      </w:r>
      <w:r w:rsidR="001F4D10">
        <w:t xml:space="preserve">natural ventilation </w:t>
      </w:r>
      <w:r w:rsidR="006B7450">
        <w:t>in</w:t>
      </w:r>
      <w:r w:rsidR="001F4D10">
        <w:t xml:space="preserve"> the </w:t>
      </w:r>
      <w:r w:rsidR="00A01D3C">
        <w:t>building</w:t>
      </w:r>
      <w:r w:rsidR="001F4D10">
        <w:t>. Small size vo</w:t>
      </w:r>
      <w:r w:rsidR="00770AB7">
        <w:t xml:space="preserve">id with </w:t>
      </w:r>
      <w:r w:rsidR="00FA6BA1">
        <w:t>25% WWR</w:t>
      </w:r>
      <w:r w:rsidR="00F35B99">
        <w:t xml:space="preserve"> and</w:t>
      </w:r>
      <w:r w:rsidR="00770AB7">
        <w:t xml:space="preserve"> </w:t>
      </w:r>
      <w:r w:rsidR="002810D2">
        <w:t>half-</w:t>
      </w:r>
      <w:r w:rsidR="0093699E">
        <w:t xml:space="preserve">size </w:t>
      </w:r>
      <w:r w:rsidR="00D377CF">
        <w:t>wind</w:t>
      </w:r>
      <w:r w:rsidR="00770AB7">
        <w:t xml:space="preserve">catcher </w:t>
      </w:r>
      <w:r w:rsidR="006B7450">
        <w:t xml:space="preserve">effectively </w:t>
      </w:r>
      <w:r w:rsidR="00770AB7">
        <w:t xml:space="preserve">placed could lead to better natural ventilation on </w:t>
      </w:r>
      <w:r w:rsidR="006B7450">
        <w:t xml:space="preserve">both </w:t>
      </w:r>
      <w:r w:rsidR="00770AB7">
        <w:t>the</w:t>
      </w:r>
      <w:r w:rsidR="0093699E">
        <w:t xml:space="preserve"> windward and </w:t>
      </w:r>
      <w:r w:rsidR="00770AB7">
        <w:t>leeward units</w:t>
      </w:r>
      <w:r w:rsidR="0093699E">
        <w:t xml:space="preserve"> equally</w:t>
      </w:r>
      <w:r w:rsidR="00770AB7">
        <w:t>.</w:t>
      </w:r>
      <w:r w:rsidR="00144E57">
        <w:t xml:space="preserve"> Furthermore</w:t>
      </w:r>
      <w:r w:rsidR="006D616D">
        <w:t>,</w:t>
      </w:r>
      <w:r w:rsidR="00144E57">
        <w:t xml:space="preserve"> there is a need to study the airflow patterns in </w:t>
      </w:r>
      <w:r w:rsidR="006D616D">
        <w:t xml:space="preserve">a </w:t>
      </w:r>
      <w:r w:rsidR="00144E57">
        <w:t xml:space="preserve">void with </w:t>
      </w:r>
      <w:r w:rsidR="006D616D">
        <w:t xml:space="preserve">the </w:t>
      </w:r>
      <w:r w:rsidR="00144E57">
        <w:t>change in wind direction and for high rise (20 to 40 floors) to produce much conclusive evidence on better naturally ventilated building design for the tropics.</w:t>
      </w:r>
    </w:p>
    <w:p w:rsidR="00892EF8" w:rsidRDefault="00892EF8" w:rsidP="00CA044F">
      <w:pPr>
        <w:pStyle w:val="Heading1"/>
      </w:pPr>
      <w:r>
        <w:lastRenderedPageBreak/>
        <w:t>Acknowledgment</w:t>
      </w:r>
    </w:p>
    <w:p w:rsidR="004250D5" w:rsidRDefault="00C54900" w:rsidP="00C6000D">
      <w:r>
        <w:t xml:space="preserve">We </w:t>
      </w:r>
      <w:r w:rsidR="00CF1F4C">
        <w:t xml:space="preserve">want </w:t>
      </w:r>
      <w:r>
        <w:t xml:space="preserve">to thank the supports from YKK AP </w:t>
      </w:r>
      <w:r w:rsidR="002C5A9C">
        <w:t>Corporation</w:t>
      </w:r>
      <w:r>
        <w:t>. In particula</w:t>
      </w:r>
      <w:bookmarkStart w:id="0" w:name="_GoBack"/>
      <w:bookmarkEnd w:id="0"/>
      <w:r>
        <w:t>r, special thanks are due to Mr. Inoue and Mr. Morita.</w:t>
      </w:r>
    </w:p>
    <w:p w:rsidR="00892EF8" w:rsidRDefault="00892EF8" w:rsidP="00CA044F">
      <w:pPr>
        <w:pStyle w:val="Heading1"/>
      </w:pPr>
      <w:r>
        <w:t>References</w:t>
      </w:r>
    </w:p>
    <w:p w:rsidR="00EA59F8" w:rsidRPr="00EA59F8" w:rsidRDefault="00EA59F8" w:rsidP="00EA59F8">
      <w:pPr>
        <w:widowControl w:val="0"/>
        <w:autoSpaceDE w:val="0"/>
        <w:autoSpaceDN w:val="0"/>
        <w:adjustRightInd w:val="0"/>
        <w:ind w:left="480" w:hanging="480"/>
        <w:rPr>
          <w:noProof/>
          <w:szCs w:val="24"/>
        </w:rPr>
      </w:pPr>
      <w:r>
        <w:fldChar w:fldCharType="begin" w:fldLock="1"/>
      </w:r>
      <w:r>
        <w:instrText xml:space="preserve">ADDIN Mendeley Bibliography CSL_BIBLIOGRAPHY </w:instrText>
      </w:r>
      <w:r>
        <w:fldChar w:fldCharType="separate"/>
      </w:r>
      <w:r w:rsidRPr="00EA59F8">
        <w:rPr>
          <w:noProof/>
          <w:szCs w:val="24"/>
        </w:rPr>
        <w:t xml:space="preserve">Farea, T. G., Ossen, D. R., Alkaff, S., </w:t>
      </w:r>
      <w:r w:rsidR="001F1215">
        <w:rPr>
          <w:noProof/>
          <w:szCs w:val="24"/>
        </w:rPr>
        <w:t>and</w:t>
      </w:r>
      <w:r w:rsidRPr="00EA59F8">
        <w:rPr>
          <w:noProof/>
          <w:szCs w:val="24"/>
        </w:rPr>
        <w:t xml:space="preserve"> Kotani, H. (2015). CFD modeling for natural ventilation in a light well connected to outdoor through horizontal voids. </w:t>
      </w:r>
      <w:r w:rsidRPr="00EA59F8">
        <w:rPr>
          <w:i/>
          <w:iCs/>
          <w:noProof/>
          <w:szCs w:val="24"/>
        </w:rPr>
        <w:t>Energy and Buildings</w:t>
      </w:r>
      <w:r w:rsidRPr="00EA59F8">
        <w:rPr>
          <w:noProof/>
          <w:szCs w:val="24"/>
        </w:rPr>
        <w:t xml:space="preserve">, </w:t>
      </w:r>
      <w:r w:rsidRPr="00EA59F8">
        <w:rPr>
          <w:i/>
          <w:iCs/>
          <w:noProof/>
          <w:szCs w:val="24"/>
        </w:rPr>
        <w:t>86</w:t>
      </w:r>
      <w:r w:rsidRPr="00EA59F8">
        <w:rPr>
          <w:noProof/>
          <w:szCs w:val="24"/>
        </w:rPr>
        <w:t>, 502–513. https://doi.org/10.1016/j.enbuild.2014.10.030</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 xml:space="preserve">Franke, J. (2006). Recommendations of the COST action C14 on the use of CFD in predicting pedestrian wind environment. </w:t>
      </w:r>
      <w:r w:rsidRPr="00EA59F8">
        <w:rPr>
          <w:i/>
          <w:iCs/>
          <w:noProof/>
          <w:szCs w:val="24"/>
        </w:rPr>
        <w:t>The Fourth International Symposium on Computational Wind Engineering</w:t>
      </w:r>
      <w:r w:rsidRPr="00EA59F8">
        <w:rPr>
          <w:noProof/>
          <w:szCs w:val="24"/>
        </w:rPr>
        <w:t>, 529–532.</w:t>
      </w:r>
    </w:p>
    <w:p w:rsidR="00EA59F8" w:rsidRPr="001F1215" w:rsidRDefault="00EA59F8" w:rsidP="00EA59F8">
      <w:pPr>
        <w:widowControl w:val="0"/>
        <w:autoSpaceDE w:val="0"/>
        <w:autoSpaceDN w:val="0"/>
        <w:adjustRightInd w:val="0"/>
        <w:ind w:left="480" w:hanging="480"/>
        <w:rPr>
          <w:i/>
          <w:noProof/>
          <w:szCs w:val="24"/>
        </w:rPr>
      </w:pPr>
      <w:r w:rsidRPr="00EA59F8">
        <w:rPr>
          <w:noProof/>
          <w:szCs w:val="24"/>
        </w:rPr>
        <w:t xml:space="preserve">Franke, J., Hellsten, A., Schlünzen, H., </w:t>
      </w:r>
      <w:r w:rsidR="001F1215">
        <w:rPr>
          <w:noProof/>
          <w:szCs w:val="24"/>
        </w:rPr>
        <w:t>and</w:t>
      </w:r>
      <w:r w:rsidRPr="00EA59F8">
        <w:rPr>
          <w:noProof/>
          <w:szCs w:val="24"/>
        </w:rPr>
        <w:t xml:space="preserve"> Carissimo, B. (2007). </w:t>
      </w:r>
      <w:r w:rsidRPr="00EA59F8">
        <w:rPr>
          <w:i/>
          <w:iCs/>
          <w:noProof/>
          <w:szCs w:val="24"/>
        </w:rPr>
        <w:t>Best practice guideline for the CFD simulation of flows in the urban environment</w:t>
      </w:r>
      <w:r w:rsidRPr="00EA59F8">
        <w:rPr>
          <w:noProof/>
          <w:szCs w:val="24"/>
        </w:rPr>
        <w:t xml:space="preserve">. </w:t>
      </w:r>
      <w:r w:rsidRPr="00EA59F8">
        <w:rPr>
          <w:i/>
          <w:iCs/>
          <w:noProof/>
          <w:szCs w:val="24"/>
        </w:rPr>
        <w:t>COST action</w:t>
      </w:r>
      <w:r w:rsidRPr="00EA59F8">
        <w:rPr>
          <w:noProof/>
          <w:szCs w:val="24"/>
        </w:rPr>
        <w:t xml:space="preserve"> (Vol. 44). </w:t>
      </w:r>
      <w:r w:rsidRPr="001F1215">
        <w:rPr>
          <w:i/>
          <w:noProof/>
          <w:szCs w:val="24"/>
        </w:rPr>
        <w:t>Retrieved from http://cat.inist.fr/?aModele=afficheN&amp;cpsidt=23892111%5Cnhttp://scholar.google.com/scholar?hl=en&amp;btnG=Search&amp;q=intitle:Best+practice+guideline+for+the+CFD+simulation+of+flows+in+the+urban+environment#0</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 xml:space="preserve">Gillespie, K. L., Cowan, J. D., Frazell, C. W., Haberl, J. S., Heinemeier, K. H., Kummer, J. P., … Montgomery, R. D. (2002). Measurement of Energy and Demand Savings, </w:t>
      </w:r>
      <w:r w:rsidRPr="00EA59F8">
        <w:rPr>
          <w:i/>
          <w:iCs/>
          <w:noProof/>
          <w:szCs w:val="24"/>
        </w:rPr>
        <w:t>8400</w:t>
      </w:r>
      <w:r w:rsidRPr="00EA59F8">
        <w:rPr>
          <w:noProof/>
          <w:szCs w:val="24"/>
        </w:rPr>
        <w:t>.</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 xml:space="preserve">Hirano, T., Kato, S., Murakami, S., Ikaga, T., </w:t>
      </w:r>
      <w:r w:rsidR="001F1215">
        <w:rPr>
          <w:noProof/>
          <w:szCs w:val="24"/>
        </w:rPr>
        <w:t>and</w:t>
      </w:r>
      <w:r w:rsidRPr="00EA59F8">
        <w:rPr>
          <w:noProof/>
          <w:szCs w:val="24"/>
        </w:rPr>
        <w:t xml:space="preserve"> Shiraishi, Y. (2006). A study on a porous residential building model in hot and humid regions: Part 1 - The natural ventilation performance and the cooling load reduction effect of the building model. </w:t>
      </w:r>
      <w:r w:rsidRPr="00EA59F8">
        <w:rPr>
          <w:i/>
          <w:iCs/>
          <w:noProof/>
          <w:szCs w:val="24"/>
        </w:rPr>
        <w:t>Building and Environment</w:t>
      </w:r>
      <w:r w:rsidRPr="00EA59F8">
        <w:rPr>
          <w:noProof/>
          <w:szCs w:val="24"/>
        </w:rPr>
        <w:t xml:space="preserve">, </w:t>
      </w:r>
      <w:r w:rsidRPr="00EA59F8">
        <w:rPr>
          <w:i/>
          <w:iCs/>
          <w:noProof/>
          <w:szCs w:val="24"/>
        </w:rPr>
        <w:t>41</w:t>
      </w:r>
      <w:r w:rsidRPr="00EA59F8">
        <w:rPr>
          <w:noProof/>
          <w:szCs w:val="24"/>
        </w:rPr>
        <w:t>(1), 21–32. https://doi.org/10.1016/j.buildenv.2005.01.018</w:t>
      </w:r>
    </w:p>
    <w:p w:rsidR="00EA59F8" w:rsidRPr="00EA59F8" w:rsidRDefault="001F1215" w:rsidP="00EA59F8">
      <w:pPr>
        <w:widowControl w:val="0"/>
        <w:autoSpaceDE w:val="0"/>
        <w:autoSpaceDN w:val="0"/>
        <w:adjustRightInd w:val="0"/>
        <w:ind w:left="480" w:hanging="480"/>
        <w:rPr>
          <w:noProof/>
          <w:szCs w:val="24"/>
        </w:rPr>
      </w:pPr>
      <w:r>
        <w:rPr>
          <w:noProof/>
          <w:szCs w:val="24"/>
        </w:rPr>
        <w:t>Kotani, H., Satoh, R., and</w:t>
      </w:r>
      <w:r w:rsidR="00EA59F8" w:rsidRPr="00EA59F8">
        <w:rPr>
          <w:noProof/>
          <w:szCs w:val="24"/>
        </w:rPr>
        <w:t xml:space="preserve"> Yamanaka, T. (2003). Natural ventilation of light well in high-rise apartment building. </w:t>
      </w:r>
      <w:r w:rsidR="00EA59F8" w:rsidRPr="00EA59F8">
        <w:rPr>
          <w:i/>
          <w:iCs/>
          <w:noProof/>
          <w:szCs w:val="24"/>
        </w:rPr>
        <w:t>Energy and Buildings</w:t>
      </w:r>
      <w:r w:rsidR="00EA59F8" w:rsidRPr="00EA59F8">
        <w:rPr>
          <w:noProof/>
          <w:szCs w:val="24"/>
        </w:rPr>
        <w:t xml:space="preserve">, </w:t>
      </w:r>
      <w:r w:rsidR="00EA59F8" w:rsidRPr="00EA59F8">
        <w:rPr>
          <w:i/>
          <w:iCs/>
          <w:noProof/>
          <w:szCs w:val="24"/>
        </w:rPr>
        <w:t>35</w:t>
      </w:r>
      <w:r w:rsidR="00EA59F8" w:rsidRPr="00EA59F8">
        <w:rPr>
          <w:noProof/>
          <w:szCs w:val="24"/>
        </w:rPr>
        <w:t>(4), 427–434. https://doi.org/10.1016/S0378-7788(02)00166-4</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Kubota, T., Miura, M., Tomina</w:t>
      </w:r>
      <w:r w:rsidR="001F1215">
        <w:rPr>
          <w:noProof/>
          <w:szCs w:val="24"/>
        </w:rPr>
        <w:t>ga, Y., and</w:t>
      </w:r>
      <w:r w:rsidRPr="00EA59F8">
        <w:rPr>
          <w:noProof/>
          <w:szCs w:val="24"/>
        </w:rPr>
        <w:t xml:space="preserve"> Mochida, A. (2008). Wind tunnel tests on the relationship between building density and pedestrian-level wind velocity: Development of guidelines for realizing acceptable wind environment in residential neighborhoods. </w:t>
      </w:r>
      <w:r w:rsidRPr="00EA59F8">
        <w:rPr>
          <w:i/>
          <w:iCs/>
          <w:noProof/>
          <w:szCs w:val="24"/>
        </w:rPr>
        <w:t>Building and Environment</w:t>
      </w:r>
      <w:r w:rsidRPr="00EA59F8">
        <w:rPr>
          <w:noProof/>
          <w:szCs w:val="24"/>
        </w:rPr>
        <w:t xml:space="preserve">, </w:t>
      </w:r>
      <w:r w:rsidRPr="00EA59F8">
        <w:rPr>
          <w:i/>
          <w:iCs/>
          <w:noProof/>
          <w:szCs w:val="24"/>
        </w:rPr>
        <w:t>43</w:t>
      </w:r>
      <w:r w:rsidRPr="00EA59F8">
        <w:rPr>
          <w:noProof/>
          <w:szCs w:val="24"/>
        </w:rPr>
        <w:t>(10), 1699–1708. https://doi.org/10.1016/j.buildenv.2007.10.015</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Mur</w:t>
      </w:r>
      <w:r w:rsidR="001F1215">
        <w:rPr>
          <w:noProof/>
          <w:szCs w:val="24"/>
        </w:rPr>
        <w:t>akami, S., Kato, S., Ooka, R., and</w:t>
      </w:r>
      <w:r w:rsidRPr="00EA59F8">
        <w:rPr>
          <w:noProof/>
          <w:szCs w:val="24"/>
        </w:rPr>
        <w:t xml:space="preserve"> Shiraishi, Y. (2004). Design of a porous-type residential building model with low environmental load in hot and humid Asia. </w:t>
      </w:r>
      <w:r w:rsidRPr="00EA59F8">
        <w:rPr>
          <w:i/>
          <w:iCs/>
          <w:noProof/>
          <w:szCs w:val="24"/>
        </w:rPr>
        <w:t>Energy and Buildings</w:t>
      </w:r>
      <w:r w:rsidRPr="00EA59F8">
        <w:rPr>
          <w:noProof/>
          <w:szCs w:val="24"/>
        </w:rPr>
        <w:t xml:space="preserve">, </w:t>
      </w:r>
      <w:r w:rsidRPr="00EA59F8">
        <w:rPr>
          <w:i/>
          <w:iCs/>
          <w:noProof/>
          <w:szCs w:val="24"/>
        </w:rPr>
        <w:t>36</w:t>
      </w:r>
      <w:r w:rsidRPr="00EA59F8">
        <w:rPr>
          <w:noProof/>
          <w:szCs w:val="24"/>
        </w:rPr>
        <w:t>(12), 1181–1189. https://doi.org/10.1016/j.enbuild.2003.08.001</w:t>
      </w:r>
    </w:p>
    <w:p w:rsidR="00EA59F8" w:rsidRPr="00EA59F8" w:rsidRDefault="00EA59F8" w:rsidP="00EA59F8">
      <w:pPr>
        <w:widowControl w:val="0"/>
        <w:autoSpaceDE w:val="0"/>
        <w:autoSpaceDN w:val="0"/>
        <w:adjustRightInd w:val="0"/>
        <w:ind w:left="480" w:hanging="480"/>
        <w:rPr>
          <w:noProof/>
          <w:szCs w:val="24"/>
        </w:rPr>
      </w:pPr>
      <w:r w:rsidRPr="00EA59F8">
        <w:rPr>
          <w:noProof/>
          <w:szCs w:val="24"/>
        </w:rPr>
        <w:t xml:space="preserve">S. Akabayashi; A. Mochida; Y. Tominaga; M. Yoshida; </w:t>
      </w:r>
      <w:r w:rsidR="001F1215">
        <w:rPr>
          <w:noProof/>
          <w:szCs w:val="24"/>
        </w:rPr>
        <w:t xml:space="preserve">and </w:t>
      </w:r>
      <w:r w:rsidRPr="00EA59F8">
        <w:rPr>
          <w:noProof/>
          <w:szCs w:val="24"/>
        </w:rPr>
        <w:t xml:space="preserve">J. Sakaguchi. (1996). Performance of New Wind Tunnel of Niigata Institute of Technology. </w:t>
      </w:r>
      <w:r w:rsidRPr="00EA59F8">
        <w:rPr>
          <w:i/>
          <w:iCs/>
          <w:noProof/>
          <w:szCs w:val="24"/>
        </w:rPr>
        <w:t>JWE</w:t>
      </w:r>
      <w:r w:rsidRPr="00EA59F8">
        <w:rPr>
          <w:noProof/>
          <w:szCs w:val="24"/>
        </w:rPr>
        <w:t>. Ni</w:t>
      </w:r>
      <w:r w:rsidR="00FD66D8">
        <w:rPr>
          <w:noProof/>
          <w:szCs w:val="24"/>
        </w:rPr>
        <w:t>i</w:t>
      </w:r>
      <w:r w:rsidRPr="00EA59F8">
        <w:rPr>
          <w:noProof/>
          <w:szCs w:val="24"/>
        </w:rPr>
        <w:t>gata: JWE 1996.</w:t>
      </w:r>
    </w:p>
    <w:p w:rsidR="00EA59F8" w:rsidRPr="00EA59F8" w:rsidRDefault="001F1215" w:rsidP="00EA59F8">
      <w:pPr>
        <w:widowControl w:val="0"/>
        <w:autoSpaceDE w:val="0"/>
        <w:autoSpaceDN w:val="0"/>
        <w:adjustRightInd w:val="0"/>
        <w:ind w:left="480" w:hanging="480"/>
        <w:rPr>
          <w:noProof/>
          <w:szCs w:val="24"/>
        </w:rPr>
      </w:pPr>
      <w:r>
        <w:rPr>
          <w:noProof/>
          <w:szCs w:val="24"/>
        </w:rPr>
        <w:t>Tominaga, Y., and</w:t>
      </w:r>
      <w:r w:rsidR="00EA59F8" w:rsidRPr="00EA59F8">
        <w:rPr>
          <w:noProof/>
          <w:szCs w:val="24"/>
        </w:rPr>
        <w:t xml:space="preserve"> Blocken, B. (2015). Wind tunnel experiments on cross-ventilation fl ow of a generic building with contaminant dispersion in unsheltered and sheltered conditions. </w:t>
      </w:r>
      <w:r w:rsidR="00EA59F8" w:rsidRPr="00EA59F8">
        <w:rPr>
          <w:i/>
          <w:iCs/>
          <w:noProof/>
          <w:szCs w:val="24"/>
        </w:rPr>
        <w:t>Building and Environment</w:t>
      </w:r>
      <w:r w:rsidR="00EA59F8" w:rsidRPr="00EA59F8">
        <w:rPr>
          <w:noProof/>
          <w:szCs w:val="24"/>
        </w:rPr>
        <w:t xml:space="preserve">, </w:t>
      </w:r>
      <w:r w:rsidR="00EA59F8" w:rsidRPr="00EA59F8">
        <w:rPr>
          <w:i/>
          <w:iCs/>
          <w:noProof/>
          <w:szCs w:val="24"/>
        </w:rPr>
        <w:t>92</w:t>
      </w:r>
      <w:r w:rsidR="00EA59F8" w:rsidRPr="00EA59F8">
        <w:rPr>
          <w:noProof/>
          <w:szCs w:val="24"/>
        </w:rPr>
        <w:t>, 452–461. https://doi.org/10.1016/j.buildenv.2015.05.026</w:t>
      </w:r>
    </w:p>
    <w:p w:rsidR="00EA59F8" w:rsidRPr="00EA59F8" w:rsidRDefault="00EA59F8" w:rsidP="00EA59F8">
      <w:pPr>
        <w:widowControl w:val="0"/>
        <w:autoSpaceDE w:val="0"/>
        <w:autoSpaceDN w:val="0"/>
        <w:adjustRightInd w:val="0"/>
        <w:ind w:left="480" w:hanging="480"/>
        <w:rPr>
          <w:noProof/>
        </w:rPr>
      </w:pPr>
      <w:r w:rsidRPr="00EA59F8">
        <w:rPr>
          <w:noProof/>
          <w:szCs w:val="24"/>
        </w:rPr>
        <w:t xml:space="preserve">Tominaga, Y., Mochida, A., Yoshie, R., Kataoka, H., Nozu, T., Yoshikawa, M., </w:t>
      </w:r>
      <w:r w:rsidR="001F1215">
        <w:rPr>
          <w:noProof/>
          <w:szCs w:val="24"/>
        </w:rPr>
        <w:t>and</w:t>
      </w:r>
      <w:r w:rsidRPr="00EA59F8">
        <w:rPr>
          <w:noProof/>
          <w:szCs w:val="24"/>
        </w:rPr>
        <w:t xml:space="preserve"> Shirasawa, T. (2008). AIJ guidelines for practical applications of CFD to pedestrian wind environment around buildings. </w:t>
      </w:r>
      <w:r w:rsidRPr="00EA59F8">
        <w:rPr>
          <w:i/>
          <w:iCs/>
          <w:noProof/>
          <w:szCs w:val="24"/>
        </w:rPr>
        <w:t>Journal of Wind Engineering and Industrial Aerodynamics</w:t>
      </w:r>
      <w:r w:rsidRPr="00EA59F8">
        <w:rPr>
          <w:noProof/>
          <w:szCs w:val="24"/>
        </w:rPr>
        <w:t xml:space="preserve">, </w:t>
      </w:r>
      <w:r w:rsidRPr="00EA59F8">
        <w:rPr>
          <w:i/>
          <w:iCs/>
          <w:noProof/>
          <w:szCs w:val="24"/>
        </w:rPr>
        <w:t>96</w:t>
      </w:r>
      <w:r w:rsidRPr="00EA59F8">
        <w:rPr>
          <w:noProof/>
          <w:szCs w:val="24"/>
        </w:rPr>
        <w:t>(10–11), 1749–1761. https://doi.org/10.1016/j.jweia.2008.02.058</w:t>
      </w:r>
    </w:p>
    <w:p w:rsidR="00C6000D" w:rsidRPr="00D611C6" w:rsidRDefault="00EA59F8" w:rsidP="00746A2A">
      <w:pPr>
        <w:widowControl w:val="0"/>
        <w:autoSpaceDE w:val="0"/>
        <w:autoSpaceDN w:val="0"/>
        <w:adjustRightInd w:val="0"/>
        <w:ind w:left="480" w:hanging="480"/>
        <w:sectPr w:rsidR="00C6000D" w:rsidRPr="00D611C6" w:rsidSect="00616B6D">
          <w:type w:val="continuous"/>
          <w:pgSz w:w="11894" w:h="16834" w:code="9"/>
          <w:pgMar w:top="1418" w:right="1134" w:bottom="1418" w:left="1134" w:header="720" w:footer="720" w:gutter="0"/>
          <w:cols w:num="2" w:space="454"/>
          <w:docGrid w:linePitch="272"/>
        </w:sectPr>
      </w:pPr>
      <w:r>
        <w:fldChar w:fldCharType="end"/>
      </w:r>
      <w:r w:rsidRPr="00D611C6">
        <w:t xml:space="preserve"> </w:t>
      </w:r>
    </w:p>
    <w:p w:rsidR="00C6000D" w:rsidRDefault="00C6000D" w:rsidP="00746A2A">
      <w:pPr>
        <w:spacing w:after="0"/>
      </w:pPr>
    </w:p>
    <w:sectPr w:rsidR="00C6000D" w:rsidSect="00616B6D">
      <w:type w:val="continuous"/>
      <w:pgSz w:w="11894" w:h="16834" w:code="9"/>
      <w:pgMar w:top="1418" w:right="1134" w:bottom="1418" w:left="1134" w:header="720" w:footer="720" w:gutter="0"/>
      <w:cols w:space="454"/>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341" w:rsidRDefault="00047341">
      <w:pPr>
        <w:spacing w:after="0"/>
      </w:pPr>
      <w:r>
        <w:separator/>
      </w:r>
    </w:p>
  </w:endnote>
  <w:endnote w:type="continuationSeparator" w:id="0">
    <w:p w:rsidR="00047341" w:rsidRDefault="000473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341" w:rsidRDefault="00047341">
      <w:pPr>
        <w:spacing w:after="0"/>
      </w:pPr>
      <w:r>
        <w:separator/>
      </w:r>
    </w:p>
  </w:footnote>
  <w:footnote w:type="continuationSeparator" w:id="0">
    <w:p w:rsidR="00047341" w:rsidRDefault="0004734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01441"/>
    <w:multiLevelType w:val="hybridMultilevel"/>
    <w:tmpl w:val="0EC4B614"/>
    <w:lvl w:ilvl="0" w:tplc="8EBA1F2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7204E"/>
    <w:multiLevelType w:val="hybridMultilevel"/>
    <w:tmpl w:val="E9785DE8"/>
    <w:lvl w:ilvl="0" w:tplc="2438056C">
      <w:start w:val="1"/>
      <w:numFmt w:val="decimal"/>
      <w:pStyle w:val="Listnumbered"/>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D417FEA"/>
    <w:multiLevelType w:val="hybridMultilevel"/>
    <w:tmpl w:val="262C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F37A21"/>
    <w:multiLevelType w:val="singleLevel"/>
    <w:tmpl w:val="820215C4"/>
    <w:lvl w:ilvl="0">
      <w:start w:val="1"/>
      <w:numFmt w:val="bullet"/>
      <w:pStyle w:val="Bulletwoindent"/>
      <w:lvlText w:val=""/>
      <w:lvlJc w:val="left"/>
      <w:pPr>
        <w:tabs>
          <w:tab w:val="num" w:pos="360"/>
        </w:tabs>
        <w:ind w:left="360" w:hanging="360"/>
      </w:pPr>
      <w:rPr>
        <w:rFonts w:ascii="Symbol" w:hAnsi="Symbol" w:hint="default"/>
      </w:rPr>
    </w:lvl>
  </w:abstractNum>
  <w:abstractNum w:abstractNumId="4" w15:restartNumberingAfterBreak="0">
    <w:nsid w:val="71DC4888"/>
    <w:multiLevelType w:val="hybridMultilevel"/>
    <w:tmpl w:val="E96A0A68"/>
    <w:lvl w:ilvl="0" w:tplc="C62ADB58">
      <w:start w:val="1"/>
      <w:numFmt w:val="decimal"/>
      <w:lvlText w:val="%1)"/>
      <w:lvlJc w:val="left"/>
      <w:pPr>
        <w:ind w:left="720" w:hanging="360"/>
      </w:pPr>
      <w:rPr>
        <w:rFonts w:hint="default"/>
      </w:rPr>
    </w:lvl>
    <w:lvl w:ilvl="1" w:tplc="375AD72E" w:tentative="1">
      <w:start w:val="1"/>
      <w:numFmt w:val="lowerLetter"/>
      <w:lvlText w:val="%2."/>
      <w:lvlJc w:val="left"/>
      <w:pPr>
        <w:ind w:left="1440" w:hanging="360"/>
      </w:pPr>
    </w:lvl>
    <w:lvl w:ilvl="2" w:tplc="AFA011E4" w:tentative="1">
      <w:start w:val="1"/>
      <w:numFmt w:val="lowerRoman"/>
      <w:lvlText w:val="%3."/>
      <w:lvlJc w:val="right"/>
      <w:pPr>
        <w:ind w:left="2160" w:hanging="180"/>
      </w:pPr>
    </w:lvl>
    <w:lvl w:ilvl="3" w:tplc="B43AA792" w:tentative="1">
      <w:start w:val="1"/>
      <w:numFmt w:val="decimal"/>
      <w:lvlText w:val="%4."/>
      <w:lvlJc w:val="left"/>
      <w:pPr>
        <w:ind w:left="2880" w:hanging="360"/>
      </w:pPr>
    </w:lvl>
    <w:lvl w:ilvl="4" w:tplc="01D6AB3C" w:tentative="1">
      <w:start w:val="1"/>
      <w:numFmt w:val="lowerLetter"/>
      <w:lvlText w:val="%5."/>
      <w:lvlJc w:val="left"/>
      <w:pPr>
        <w:ind w:left="3600" w:hanging="360"/>
      </w:pPr>
    </w:lvl>
    <w:lvl w:ilvl="5" w:tplc="B6F20AF0" w:tentative="1">
      <w:start w:val="1"/>
      <w:numFmt w:val="lowerRoman"/>
      <w:lvlText w:val="%6."/>
      <w:lvlJc w:val="right"/>
      <w:pPr>
        <w:ind w:left="4320" w:hanging="180"/>
      </w:pPr>
    </w:lvl>
    <w:lvl w:ilvl="6" w:tplc="FD6A8C64" w:tentative="1">
      <w:start w:val="1"/>
      <w:numFmt w:val="decimal"/>
      <w:lvlText w:val="%7."/>
      <w:lvlJc w:val="left"/>
      <w:pPr>
        <w:ind w:left="5040" w:hanging="360"/>
      </w:pPr>
    </w:lvl>
    <w:lvl w:ilvl="7" w:tplc="586C964C" w:tentative="1">
      <w:start w:val="1"/>
      <w:numFmt w:val="lowerLetter"/>
      <w:lvlText w:val="%8."/>
      <w:lvlJc w:val="left"/>
      <w:pPr>
        <w:ind w:left="5760" w:hanging="360"/>
      </w:pPr>
    </w:lvl>
    <w:lvl w:ilvl="8" w:tplc="5F0A7DE2"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017"/>
    <w:rsid w:val="0000001A"/>
    <w:rsid w:val="000022AD"/>
    <w:rsid w:val="00002ADA"/>
    <w:rsid w:val="00006BE3"/>
    <w:rsid w:val="00010720"/>
    <w:rsid w:val="00014911"/>
    <w:rsid w:val="00015446"/>
    <w:rsid w:val="00017F06"/>
    <w:rsid w:val="00020540"/>
    <w:rsid w:val="00023B0B"/>
    <w:rsid w:val="00026EAB"/>
    <w:rsid w:val="00035F81"/>
    <w:rsid w:val="00036307"/>
    <w:rsid w:val="00037C6F"/>
    <w:rsid w:val="000402CB"/>
    <w:rsid w:val="00040E68"/>
    <w:rsid w:val="00042DC7"/>
    <w:rsid w:val="00047341"/>
    <w:rsid w:val="00047963"/>
    <w:rsid w:val="00047C05"/>
    <w:rsid w:val="0005040F"/>
    <w:rsid w:val="000523E9"/>
    <w:rsid w:val="00054F76"/>
    <w:rsid w:val="00064DF3"/>
    <w:rsid w:val="000665E2"/>
    <w:rsid w:val="00067B2F"/>
    <w:rsid w:val="00071130"/>
    <w:rsid w:val="00071593"/>
    <w:rsid w:val="00074118"/>
    <w:rsid w:val="0007413A"/>
    <w:rsid w:val="0009306C"/>
    <w:rsid w:val="000930FE"/>
    <w:rsid w:val="000A728E"/>
    <w:rsid w:val="000B6D39"/>
    <w:rsid w:val="000C1225"/>
    <w:rsid w:val="000C31AE"/>
    <w:rsid w:val="000C55C6"/>
    <w:rsid w:val="000D0161"/>
    <w:rsid w:val="000D0682"/>
    <w:rsid w:val="000D1B7D"/>
    <w:rsid w:val="000E64A0"/>
    <w:rsid w:val="000F02B3"/>
    <w:rsid w:val="000F2973"/>
    <w:rsid w:val="000F481D"/>
    <w:rsid w:val="000F7141"/>
    <w:rsid w:val="00101E51"/>
    <w:rsid w:val="00115E17"/>
    <w:rsid w:val="001234EF"/>
    <w:rsid w:val="00125010"/>
    <w:rsid w:val="00125BF1"/>
    <w:rsid w:val="00140971"/>
    <w:rsid w:val="00144E57"/>
    <w:rsid w:val="0015563A"/>
    <w:rsid w:val="001608C4"/>
    <w:rsid w:val="00161144"/>
    <w:rsid w:val="0016611E"/>
    <w:rsid w:val="00170D72"/>
    <w:rsid w:val="001764C9"/>
    <w:rsid w:val="00184891"/>
    <w:rsid w:val="0018490A"/>
    <w:rsid w:val="001B0970"/>
    <w:rsid w:val="001B1D4A"/>
    <w:rsid w:val="001B2F2B"/>
    <w:rsid w:val="001B3073"/>
    <w:rsid w:val="001B4E3D"/>
    <w:rsid w:val="001B4E83"/>
    <w:rsid w:val="001C6118"/>
    <w:rsid w:val="001C7C1B"/>
    <w:rsid w:val="001D08D6"/>
    <w:rsid w:val="001D3176"/>
    <w:rsid w:val="001D61B0"/>
    <w:rsid w:val="001E1C3C"/>
    <w:rsid w:val="001E28F1"/>
    <w:rsid w:val="001E5D10"/>
    <w:rsid w:val="001F0163"/>
    <w:rsid w:val="001F1215"/>
    <w:rsid w:val="001F4D10"/>
    <w:rsid w:val="001F5035"/>
    <w:rsid w:val="002003AA"/>
    <w:rsid w:val="00200CC0"/>
    <w:rsid w:val="00202B07"/>
    <w:rsid w:val="00205977"/>
    <w:rsid w:val="002063F6"/>
    <w:rsid w:val="002108B8"/>
    <w:rsid w:val="0021363B"/>
    <w:rsid w:val="00215F8D"/>
    <w:rsid w:val="00221B50"/>
    <w:rsid w:val="00222BB4"/>
    <w:rsid w:val="002309A1"/>
    <w:rsid w:val="00230EC3"/>
    <w:rsid w:val="002316CF"/>
    <w:rsid w:val="002339DB"/>
    <w:rsid w:val="00241919"/>
    <w:rsid w:val="00242867"/>
    <w:rsid w:val="00242A80"/>
    <w:rsid w:val="002431C7"/>
    <w:rsid w:val="00246804"/>
    <w:rsid w:val="00246946"/>
    <w:rsid w:val="00251769"/>
    <w:rsid w:val="002520C6"/>
    <w:rsid w:val="00256B27"/>
    <w:rsid w:val="002578B5"/>
    <w:rsid w:val="002627A8"/>
    <w:rsid w:val="00264D81"/>
    <w:rsid w:val="002678D1"/>
    <w:rsid w:val="00270D15"/>
    <w:rsid w:val="002719F6"/>
    <w:rsid w:val="002810D2"/>
    <w:rsid w:val="00281DB2"/>
    <w:rsid w:val="002905CE"/>
    <w:rsid w:val="00296241"/>
    <w:rsid w:val="002A14A7"/>
    <w:rsid w:val="002A4D0E"/>
    <w:rsid w:val="002A71CB"/>
    <w:rsid w:val="002B1615"/>
    <w:rsid w:val="002C3B30"/>
    <w:rsid w:val="002C3DAC"/>
    <w:rsid w:val="002C4329"/>
    <w:rsid w:val="002C4885"/>
    <w:rsid w:val="002C5A9C"/>
    <w:rsid w:val="002C6F85"/>
    <w:rsid w:val="002C6FBC"/>
    <w:rsid w:val="002E058E"/>
    <w:rsid w:val="002E498A"/>
    <w:rsid w:val="002E578F"/>
    <w:rsid w:val="002F62AC"/>
    <w:rsid w:val="002F776E"/>
    <w:rsid w:val="0030195C"/>
    <w:rsid w:val="003063FE"/>
    <w:rsid w:val="00307DE8"/>
    <w:rsid w:val="00311842"/>
    <w:rsid w:val="00316C37"/>
    <w:rsid w:val="003269FF"/>
    <w:rsid w:val="003309EE"/>
    <w:rsid w:val="00333084"/>
    <w:rsid w:val="0033656B"/>
    <w:rsid w:val="0034025C"/>
    <w:rsid w:val="00354B14"/>
    <w:rsid w:val="0036045D"/>
    <w:rsid w:val="00360C0A"/>
    <w:rsid w:val="00360C1E"/>
    <w:rsid w:val="00367388"/>
    <w:rsid w:val="003676AB"/>
    <w:rsid w:val="00383572"/>
    <w:rsid w:val="00383CA3"/>
    <w:rsid w:val="00384AE4"/>
    <w:rsid w:val="0039120A"/>
    <w:rsid w:val="00394AF7"/>
    <w:rsid w:val="00396F35"/>
    <w:rsid w:val="003A5FDB"/>
    <w:rsid w:val="003B1017"/>
    <w:rsid w:val="003B5963"/>
    <w:rsid w:val="003C389F"/>
    <w:rsid w:val="003C581F"/>
    <w:rsid w:val="003D1654"/>
    <w:rsid w:val="003D217C"/>
    <w:rsid w:val="003D31A2"/>
    <w:rsid w:val="003D6F8B"/>
    <w:rsid w:val="003E2063"/>
    <w:rsid w:val="003E445B"/>
    <w:rsid w:val="003F5A2C"/>
    <w:rsid w:val="003F7DD8"/>
    <w:rsid w:val="004019B2"/>
    <w:rsid w:val="00411AD5"/>
    <w:rsid w:val="00417B9B"/>
    <w:rsid w:val="004202CE"/>
    <w:rsid w:val="00421ADB"/>
    <w:rsid w:val="004250D5"/>
    <w:rsid w:val="004335B5"/>
    <w:rsid w:val="00440630"/>
    <w:rsid w:val="00463FFF"/>
    <w:rsid w:val="004640D0"/>
    <w:rsid w:val="004644DF"/>
    <w:rsid w:val="00466ACA"/>
    <w:rsid w:val="00475212"/>
    <w:rsid w:val="00482AF2"/>
    <w:rsid w:val="00491534"/>
    <w:rsid w:val="00491DA0"/>
    <w:rsid w:val="00494A97"/>
    <w:rsid w:val="00496CF9"/>
    <w:rsid w:val="004A2F6C"/>
    <w:rsid w:val="004B1DB2"/>
    <w:rsid w:val="004B36AC"/>
    <w:rsid w:val="004B3C95"/>
    <w:rsid w:val="004C1D18"/>
    <w:rsid w:val="004C490A"/>
    <w:rsid w:val="004C5A1B"/>
    <w:rsid w:val="004C6EF4"/>
    <w:rsid w:val="004D5B46"/>
    <w:rsid w:val="004D7706"/>
    <w:rsid w:val="004E3E22"/>
    <w:rsid w:val="004E4949"/>
    <w:rsid w:val="004E516C"/>
    <w:rsid w:val="004F4364"/>
    <w:rsid w:val="004F676D"/>
    <w:rsid w:val="00501688"/>
    <w:rsid w:val="00501D15"/>
    <w:rsid w:val="005064E1"/>
    <w:rsid w:val="005070A8"/>
    <w:rsid w:val="0051736F"/>
    <w:rsid w:val="005201E1"/>
    <w:rsid w:val="00521E45"/>
    <w:rsid w:val="0052259B"/>
    <w:rsid w:val="00523AFD"/>
    <w:rsid w:val="005247BC"/>
    <w:rsid w:val="005335C0"/>
    <w:rsid w:val="00535C96"/>
    <w:rsid w:val="00547D22"/>
    <w:rsid w:val="00553C54"/>
    <w:rsid w:val="005543B6"/>
    <w:rsid w:val="00554BE7"/>
    <w:rsid w:val="00561D3B"/>
    <w:rsid w:val="00570B68"/>
    <w:rsid w:val="00572854"/>
    <w:rsid w:val="00573411"/>
    <w:rsid w:val="00575B70"/>
    <w:rsid w:val="00583E62"/>
    <w:rsid w:val="00585665"/>
    <w:rsid w:val="005903F7"/>
    <w:rsid w:val="00591ECF"/>
    <w:rsid w:val="0059747E"/>
    <w:rsid w:val="00597D2A"/>
    <w:rsid w:val="005A03D5"/>
    <w:rsid w:val="005A1B12"/>
    <w:rsid w:val="005A52FB"/>
    <w:rsid w:val="005A776C"/>
    <w:rsid w:val="005B1864"/>
    <w:rsid w:val="005B2586"/>
    <w:rsid w:val="005B25AD"/>
    <w:rsid w:val="005C2DF9"/>
    <w:rsid w:val="005C64F1"/>
    <w:rsid w:val="005D2541"/>
    <w:rsid w:val="005E3023"/>
    <w:rsid w:val="005E6AFB"/>
    <w:rsid w:val="005F394A"/>
    <w:rsid w:val="005F6BDB"/>
    <w:rsid w:val="006018C8"/>
    <w:rsid w:val="00602310"/>
    <w:rsid w:val="00602B9F"/>
    <w:rsid w:val="0060566B"/>
    <w:rsid w:val="00612A3A"/>
    <w:rsid w:val="00616B6D"/>
    <w:rsid w:val="0062049A"/>
    <w:rsid w:val="00623A1E"/>
    <w:rsid w:val="0062754C"/>
    <w:rsid w:val="006304BD"/>
    <w:rsid w:val="006362AB"/>
    <w:rsid w:val="00636C02"/>
    <w:rsid w:val="00643D8A"/>
    <w:rsid w:val="00646859"/>
    <w:rsid w:val="00647424"/>
    <w:rsid w:val="00654727"/>
    <w:rsid w:val="00656645"/>
    <w:rsid w:val="00662E3C"/>
    <w:rsid w:val="00665186"/>
    <w:rsid w:val="006653EF"/>
    <w:rsid w:val="00677616"/>
    <w:rsid w:val="00681260"/>
    <w:rsid w:val="00683770"/>
    <w:rsid w:val="00690E9D"/>
    <w:rsid w:val="00692882"/>
    <w:rsid w:val="006945F9"/>
    <w:rsid w:val="00694EC0"/>
    <w:rsid w:val="006B1B62"/>
    <w:rsid w:val="006B4217"/>
    <w:rsid w:val="006B7450"/>
    <w:rsid w:val="006C20F4"/>
    <w:rsid w:val="006C3A02"/>
    <w:rsid w:val="006C52A1"/>
    <w:rsid w:val="006D0CF2"/>
    <w:rsid w:val="006D1AAE"/>
    <w:rsid w:val="006D54DA"/>
    <w:rsid w:val="006D616D"/>
    <w:rsid w:val="006E10E6"/>
    <w:rsid w:val="006E647B"/>
    <w:rsid w:val="00702A8A"/>
    <w:rsid w:val="00706D94"/>
    <w:rsid w:val="00706DE4"/>
    <w:rsid w:val="007078E5"/>
    <w:rsid w:val="00713FE2"/>
    <w:rsid w:val="00726B2F"/>
    <w:rsid w:val="00730416"/>
    <w:rsid w:val="0073114F"/>
    <w:rsid w:val="00731B14"/>
    <w:rsid w:val="00733713"/>
    <w:rsid w:val="00736956"/>
    <w:rsid w:val="00737104"/>
    <w:rsid w:val="00746A2A"/>
    <w:rsid w:val="00754718"/>
    <w:rsid w:val="00760F43"/>
    <w:rsid w:val="00764ED0"/>
    <w:rsid w:val="00770AB7"/>
    <w:rsid w:val="00770DAE"/>
    <w:rsid w:val="00771D04"/>
    <w:rsid w:val="00773339"/>
    <w:rsid w:val="00774384"/>
    <w:rsid w:val="007758D2"/>
    <w:rsid w:val="007761EF"/>
    <w:rsid w:val="007A0BB3"/>
    <w:rsid w:val="007A18A0"/>
    <w:rsid w:val="007A1F11"/>
    <w:rsid w:val="007A1FEF"/>
    <w:rsid w:val="007A3C85"/>
    <w:rsid w:val="007A417C"/>
    <w:rsid w:val="007B0C16"/>
    <w:rsid w:val="007B5058"/>
    <w:rsid w:val="007C16E3"/>
    <w:rsid w:val="007C3CE5"/>
    <w:rsid w:val="007D3289"/>
    <w:rsid w:val="007D4D47"/>
    <w:rsid w:val="007D5254"/>
    <w:rsid w:val="007D7D0A"/>
    <w:rsid w:val="007E1F33"/>
    <w:rsid w:val="007E387B"/>
    <w:rsid w:val="007E4249"/>
    <w:rsid w:val="007F3BE2"/>
    <w:rsid w:val="007F3EF2"/>
    <w:rsid w:val="008004A2"/>
    <w:rsid w:val="00807B90"/>
    <w:rsid w:val="00807D5C"/>
    <w:rsid w:val="0081200A"/>
    <w:rsid w:val="00815289"/>
    <w:rsid w:val="00817673"/>
    <w:rsid w:val="00826D6F"/>
    <w:rsid w:val="00837B56"/>
    <w:rsid w:val="0084112C"/>
    <w:rsid w:val="00841F62"/>
    <w:rsid w:val="00847D70"/>
    <w:rsid w:val="00856734"/>
    <w:rsid w:val="00861038"/>
    <w:rsid w:val="0086353A"/>
    <w:rsid w:val="0086401E"/>
    <w:rsid w:val="008705DA"/>
    <w:rsid w:val="00871FDA"/>
    <w:rsid w:val="008737DA"/>
    <w:rsid w:val="00876776"/>
    <w:rsid w:val="008807A8"/>
    <w:rsid w:val="00882FB8"/>
    <w:rsid w:val="00887649"/>
    <w:rsid w:val="00892EF8"/>
    <w:rsid w:val="008A3A3B"/>
    <w:rsid w:val="008A3BE9"/>
    <w:rsid w:val="008A4195"/>
    <w:rsid w:val="008B4DEC"/>
    <w:rsid w:val="008B788D"/>
    <w:rsid w:val="008C306A"/>
    <w:rsid w:val="008C5D30"/>
    <w:rsid w:val="008E4F56"/>
    <w:rsid w:val="008F791D"/>
    <w:rsid w:val="00907C72"/>
    <w:rsid w:val="0091326A"/>
    <w:rsid w:val="00923C36"/>
    <w:rsid w:val="00924DA5"/>
    <w:rsid w:val="00931BA8"/>
    <w:rsid w:val="009332C1"/>
    <w:rsid w:val="009357F3"/>
    <w:rsid w:val="00936710"/>
    <w:rsid w:val="0093699E"/>
    <w:rsid w:val="00936F7B"/>
    <w:rsid w:val="009425A3"/>
    <w:rsid w:val="0095247A"/>
    <w:rsid w:val="00953F9B"/>
    <w:rsid w:val="00961321"/>
    <w:rsid w:val="00973DEE"/>
    <w:rsid w:val="00984D18"/>
    <w:rsid w:val="00991668"/>
    <w:rsid w:val="00991C25"/>
    <w:rsid w:val="00995961"/>
    <w:rsid w:val="009A3F95"/>
    <w:rsid w:val="009B093E"/>
    <w:rsid w:val="009B5617"/>
    <w:rsid w:val="009C21C3"/>
    <w:rsid w:val="009C2297"/>
    <w:rsid w:val="009D0C5A"/>
    <w:rsid w:val="009D0C5D"/>
    <w:rsid w:val="009D1DAA"/>
    <w:rsid w:val="009D4613"/>
    <w:rsid w:val="009D69AF"/>
    <w:rsid w:val="009E32A9"/>
    <w:rsid w:val="009E734A"/>
    <w:rsid w:val="00A01D3C"/>
    <w:rsid w:val="00A0640E"/>
    <w:rsid w:val="00A06EBD"/>
    <w:rsid w:val="00A115A0"/>
    <w:rsid w:val="00A15F75"/>
    <w:rsid w:val="00A16198"/>
    <w:rsid w:val="00A24224"/>
    <w:rsid w:val="00A27346"/>
    <w:rsid w:val="00A2734A"/>
    <w:rsid w:val="00A30C6A"/>
    <w:rsid w:val="00A41191"/>
    <w:rsid w:val="00A4765F"/>
    <w:rsid w:val="00A56F30"/>
    <w:rsid w:val="00A5795B"/>
    <w:rsid w:val="00A612FE"/>
    <w:rsid w:val="00A63EFD"/>
    <w:rsid w:val="00A67DEC"/>
    <w:rsid w:val="00A758E7"/>
    <w:rsid w:val="00A82002"/>
    <w:rsid w:val="00A83AB4"/>
    <w:rsid w:val="00A86E75"/>
    <w:rsid w:val="00A90C41"/>
    <w:rsid w:val="00AA1EDF"/>
    <w:rsid w:val="00AA3E88"/>
    <w:rsid w:val="00AB2E80"/>
    <w:rsid w:val="00AC2397"/>
    <w:rsid w:val="00AC2547"/>
    <w:rsid w:val="00AD1C68"/>
    <w:rsid w:val="00AE1C65"/>
    <w:rsid w:val="00AE24FA"/>
    <w:rsid w:val="00AE4313"/>
    <w:rsid w:val="00AE6BFE"/>
    <w:rsid w:val="00AE7388"/>
    <w:rsid w:val="00AF0D3C"/>
    <w:rsid w:val="00AF324A"/>
    <w:rsid w:val="00B04347"/>
    <w:rsid w:val="00B07374"/>
    <w:rsid w:val="00B13FED"/>
    <w:rsid w:val="00B14279"/>
    <w:rsid w:val="00B14D58"/>
    <w:rsid w:val="00B156F3"/>
    <w:rsid w:val="00B2535F"/>
    <w:rsid w:val="00B274F7"/>
    <w:rsid w:val="00B41303"/>
    <w:rsid w:val="00B41618"/>
    <w:rsid w:val="00B47734"/>
    <w:rsid w:val="00B4792E"/>
    <w:rsid w:val="00B507C2"/>
    <w:rsid w:val="00B52C5C"/>
    <w:rsid w:val="00B54BDA"/>
    <w:rsid w:val="00B63E1C"/>
    <w:rsid w:val="00B6506F"/>
    <w:rsid w:val="00B67263"/>
    <w:rsid w:val="00B6794D"/>
    <w:rsid w:val="00B701D6"/>
    <w:rsid w:val="00B70EE2"/>
    <w:rsid w:val="00B73772"/>
    <w:rsid w:val="00B779A3"/>
    <w:rsid w:val="00B8517D"/>
    <w:rsid w:val="00B87AE0"/>
    <w:rsid w:val="00B90CCB"/>
    <w:rsid w:val="00B92F97"/>
    <w:rsid w:val="00B94044"/>
    <w:rsid w:val="00B962AA"/>
    <w:rsid w:val="00BA18A7"/>
    <w:rsid w:val="00BA2E8B"/>
    <w:rsid w:val="00BA3598"/>
    <w:rsid w:val="00BB3956"/>
    <w:rsid w:val="00BB4210"/>
    <w:rsid w:val="00BB76DF"/>
    <w:rsid w:val="00BC0049"/>
    <w:rsid w:val="00BC2316"/>
    <w:rsid w:val="00BC6224"/>
    <w:rsid w:val="00BD206A"/>
    <w:rsid w:val="00BD3006"/>
    <w:rsid w:val="00BD59C1"/>
    <w:rsid w:val="00BE1715"/>
    <w:rsid w:val="00BE59A2"/>
    <w:rsid w:val="00BE6B18"/>
    <w:rsid w:val="00BF0199"/>
    <w:rsid w:val="00BF067A"/>
    <w:rsid w:val="00BF1797"/>
    <w:rsid w:val="00BF4DA1"/>
    <w:rsid w:val="00C05172"/>
    <w:rsid w:val="00C07C3A"/>
    <w:rsid w:val="00C10145"/>
    <w:rsid w:val="00C12456"/>
    <w:rsid w:val="00C13B14"/>
    <w:rsid w:val="00C153C8"/>
    <w:rsid w:val="00C170E0"/>
    <w:rsid w:val="00C25F39"/>
    <w:rsid w:val="00C32C15"/>
    <w:rsid w:val="00C3573B"/>
    <w:rsid w:val="00C375A3"/>
    <w:rsid w:val="00C37C48"/>
    <w:rsid w:val="00C40AF1"/>
    <w:rsid w:val="00C43354"/>
    <w:rsid w:val="00C43C98"/>
    <w:rsid w:val="00C43E3D"/>
    <w:rsid w:val="00C45539"/>
    <w:rsid w:val="00C45BE1"/>
    <w:rsid w:val="00C50041"/>
    <w:rsid w:val="00C506B1"/>
    <w:rsid w:val="00C50B90"/>
    <w:rsid w:val="00C53DAA"/>
    <w:rsid w:val="00C54900"/>
    <w:rsid w:val="00C6000D"/>
    <w:rsid w:val="00C60EAE"/>
    <w:rsid w:val="00C70843"/>
    <w:rsid w:val="00C73FEA"/>
    <w:rsid w:val="00C751E8"/>
    <w:rsid w:val="00C7768C"/>
    <w:rsid w:val="00C77A9B"/>
    <w:rsid w:val="00C844D8"/>
    <w:rsid w:val="00C8729F"/>
    <w:rsid w:val="00C91F0C"/>
    <w:rsid w:val="00C9241A"/>
    <w:rsid w:val="00C95554"/>
    <w:rsid w:val="00C9561A"/>
    <w:rsid w:val="00C95684"/>
    <w:rsid w:val="00CA044F"/>
    <w:rsid w:val="00CA4BA9"/>
    <w:rsid w:val="00CB37EF"/>
    <w:rsid w:val="00CC3BF4"/>
    <w:rsid w:val="00CE2A0E"/>
    <w:rsid w:val="00CF1F4C"/>
    <w:rsid w:val="00CF4099"/>
    <w:rsid w:val="00CF4C76"/>
    <w:rsid w:val="00D00387"/>
    <w:rsid w:val="00D00E26"/>
    <w:rsid w:val="00D041FC"/>
    <w:rsid w:val="00D13A5C"/>
    <w:rsid w:val="00D21C57"/>
    <w:rsid w:val="00D227CA"/>
    <w:rsid w:val="00D25F30"/>
    <w:rsid w:val="00D25F4F"/>
    <w:rsid w:val="00D27D20"/>
    <w:rsid w:val="00D34488"/>
    <w:rsid w:val="00D377CF"/>
    <w:rsid w:val="00D4219F"/>
    <w:rsid w:val="00D4646D"/>
    <w:rsid w:val="00D4778E"/>
    <w:rsid w:val="00D50000"/>
    <w:rsid w:val="00D50BB2"/>
    <w:rsid w:val="00D50DD6"/>
    <w:rsid w:val="00D55C07"/>
    <w:rsid w:val="00D65EB4"/>
    <w:rsid w:val="00D72AF8"/>
    <w:rsid w:val="00D741AE"/>
    <w:rsid w:val="00D74242"/>
    <w:rsid w:val="00D807F7"/>
    <w:rsid w:val="00D81EF5"/>
    <w:rsid w:val="00D839AE"/>
    <w:rsid w:val="00D83F4A"/>
    <w:rsid w:val="00D9071E"/>
    <w:rsid w:val="00D90CB6"/>
    <w:rsid w:val="00D9686C"/>
    <w:rsid w:val="00DA2B0E"/>
    <w:rsid w:val="00DB34E3"/>
    <w:rsid w:val="00DB4B39"/>
    <w:rsid w:val="00DC1AFF"/>
    <w:rsid w:val="00DD261E"/>
    <w:rsid w:val="00DD3CB8"/>
    <w:rsid w:val="00DD5BF6"/>
    <w:rsid w:val="00DD7242"/>
    <w:rsid w:val="00DE0F58"/>
    <w:rsid w:val="00DE29CA"/>
    <w:rsid w:val="00DE3F46"/>
    <w:rsid w:val="00DE5604"/>
    <w:rsid w:val="00DE5929"/>
    <w:rsid w:val="00DE6504"/>
    <w:rsid w:val="00DE6C4A"/>
    <w:rsid w:val="00DE6CDA"/>
    <w:rsid w:val="00DF1AFE"/>
    <w:rsid w:val="00DF204E"/>
    <w:rsid w:val="00DF73CA"/>
    <w:rsid w:val="00DF762F"/>
    <w:rsid w:val="00E05105"/>
    <w:rsid w:val="00E06A6C"/>
    <w:rsid w:val="00E071F8"/>
    <w:rsid w:val="00E07559"/>
    <w:rsid w:val="00E10B0E"/>
    <w:rsid w:val="00E16541"/>
    <w:rsid w:val="00E228E9"/>
    <w:rsid w:val="00E23629"/>
    <w:rsid w:val="00E30D07"/>
    <w:rsid w:val="00E322D2"/>
    <w:rsid w:val="00E3395B"/>
    <w:rsid w:val="00E363DA"/>
    <w:rsid w:val="00E43E6A"/>
    <w:rsid w:val="00E442BA"/>
    <w:rsid w:val="00E51DCF"/>
    <w:rsid w:val="00E553F0"/>
    <w:rsid w:val="00E55C7F"/>
    <w:rsid w:val="00E64820"/>
    <w:rsid w:val="00E714B4"/>
    <w:rsid w:val="00E81441"/>
    <w:rsid w:val="00E81ACA"/>
    <w:rsid w:val="00E82CCA"/>
    <w:rsid w:val="00E8396B"/>
    <w:rsid w:val="00E848BD"/>
    <w:rsid w:val="00E919C5"/>
    <w:rsid w:val="00E91D6C"/>
    <w:rsid w:val="00E934B4"/>
    <w:rsid w:val="00E96781"/>
    <w:rsid w:val="00EA59F8"/>
    <w:rsid w:val="00EA69FA"/>
    <w:rsid w:val="00EB182E"/>
    <w:rsid w:val="00EB5214"/>
    <w:rsid w:val="00EB5F46"/>
    <w:rsid w:val="00EB7EFD"/>
    <w:rsid w:val="00EC2154"/>
    <w:rsid w:val="00EC4E7E"/>
    <w:rsid w:val="00EC7118"/>
    <w:rsid w:val="00ED6AB6"/>
    <w:rsid w:val="00EE385B"/>
    <w:rsid w:val="00EE42D7"/>
    <w:rsid w:val="00EE5CAB"/>
    <w:rsid w:val="00EF7C76"/>
    <w:rsid w:val="00F01E96"/>
    <w:rsid w:val="00F065ED"/>
    <w:rsid w:val="00F06B8C"/>
    <w:rsid w:val="00F102BB"/>
    <w:rsid w:val="00F10F6C"/>
    <w:rsid w:val="00F132CA"/>
    <w:rsid w:val="00F15282"/>
    <w:rsid w:val="00F21E11"/>
    <w:rsid w:val="00F301D2"/>
    <w:rsid w:val="00F313AC"/>
    <w:rsid w:val="00F35B99"/>
    <w:rsid w:val="00F4309C"/>
    <w:rsid w:val="00F43CE0"/>
    <w:rsid w:val="00F470DC"/>
    <w:rsid w:val="00F554B2"/>
    <w:rsid w:val="00F57351"/>
    <w:rsid w:val="00F630E9"/>
    <w:rsid w:val="00F65CF7"/>
    <w:rsid w:val="00F74775"/>
    <w:rsid w:val="00F7495B"/>
    <w:rsid w:val="00F76795"/>
    <w:rsid w:val="00F81E69"/>
    <w:rsid w:val="00F82C2E"/>
    <w:rsid w:val="00F96DB8"/>
    <w:rsid w:val="00FA5108"/>
    <w:rsid w:val="00FA6BA1"/>
    <w:rsid w:val="00FB08F4"/>
    <w:rsid w:val="00FB608F"/>
    <w:rsid w:val="00FB628E"/>
    <w:rsid w:val="00FB7210"/>
    <w:rsid w:val="00FC3635"/>
    <w:rsid w:val="00FD053E"/>
    <w:rsid w:val="00FD1E32"/>
    <w:rsid w:val="00FD30F1"/>
    <w:rsid w:val="00FD5684"/>
    <w:rsid w:val="00FD66D8"/>
    <w:rsid w:val="00FD6B48"/>
    <w:rsid w:val="00FD784D"/>
    <w:rsid w:val="00FE2BC7"/>
    <w:rsid w:val="00FF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96A253-525F-4E83-BF50-4D1C5B50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00D"/>
    <w:pPr>
      <w:spacing w:after="60" w:line="240" w:lineRule="auto"/>
      <w:jc w:val="both"/>
    </w:pPr>
    <w:rPr>
      <w:rFonts w:ascii="Times New Roman" w:eastAsia="Times New Roman" w:hAnsi="Times New Roman" w:cs="Times New Roman"/>
      <w:sz w:val="20"/>
      <w:szCs w:val="20"/>
      <w:lang w:val="en-GB"/>
    </w:rPr>
  </w:style>
  <w:style w:type="paragraph" w:styleId="Heading1">
    <w:name w:val="heading 1"/>
    <w:basedOn w:val="Normal"/>
    <w:next w:val="Normal"/>
    <w:link w:val="Heading1Char"/>
    <w:qFormat/>
    <w:rsid w:val="00C6000D"/>
    <w:pPr>
      <w:keepNext/>
      <w:spacing w:before="60"/>
      <w:jc w:val="left"/>
      <w:outlineLvl w:val="0"/>
    </w:pPr>
    <w:rPr>
      <w:b/>
      <w:kern w:val="28"/>
      <w:sz w:val="24"/>
    </w:rPr>
  </w:style>
  <w:style w:type="paragraph" w:styleId="Heading2">
    <w:name w:val="heading 2"/>
    <w:basedOn w:val="Normal"/>
    <w:next w:val="Normal"/>
    <w:link w:val="Heading2Char"/>
    <w:qFormat/>
    <w:rsid w:val="00C6000D"/>
    <w:pPr>
      <w:keepNext/>
      <w:jc w:val="left"/>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000D"/>
    <w:rPr>
      <w:rFonts w:ascii="Times New Roman" w:eastAsia="Times New Roman" w:hAnsi="Times New Roman" w:cs="Times New Roman"/>
      <w:b/>
      <w:kern w:val="28"/>
      <w:sz w:val="24"/>
      <w:szCs w:val="20"/>
      <w:lang w:val="en-GB"/>
    </w:rPr>
  </w:style>
  <w:style w:type="character" w:customStyle="1" w:styleId="Heading2Char">
    <w:name w:val="Heading 2 Char"/>
    <w:basedOn w:val="DefaultParagraphFont"/>
    <w:link w:val="Heading2"/>
    <w:rsid w:val="00C6000D"/>
    <w:rPr>
      <w:rFonts w:ascii="Times New Roman" w:eastAsia="Times New Roman" w:hAnsi="Times New Roman" w:cs="Times New Roman"/>
      <w:b/>
      <w:sz w:val="20"/>
      <w:szCs w:val="20"/>
      <w:lang w:val="en-GB"/>
    </w:rPr>
  </w:style>
  <w:style w:type="paragraph" w:styleId="Header">
    <w:name w:val="header"/>
    <w:basedOn w:val="Normal"/>
    <w:link w:val="HeaderChar"/>
    <w:rsid w:val="00C6000D"/>
    <w:pPr>
      <w:tabs>
        <w:tab w:val="center" w:pos="4153"/>
        <w:tab w:val="right" w:pos="8306"/>
      </w:tabs>
    </w:pPr>
  </w:style>
  <w:style w:type="character" w:customStyle="1" w:styleId="HeaderChar">
    <w:name w:val="Header Char"/>
    <w:basedOn w:val="DefaultParagraphFont"/>
    <w:link w:val="Header"/>
    <w:rsid w:val="00C6000D"/>
    <w:rPr>
      <w:rFonts w:ascii="Times New Roman" w:eastAsia="Times New Roman" w:hAnsi="Times New Roman" w:cs="Times New Roman"/>
      <w:sz w:val="20"/>
      <w:szCs w:val="20"/>
      <w:lang w:val="en-GB"/>
    </w:rPr>
  </w:style>
  <w:style w:type="paragraph" w:styleId="Footer">
    <w:name w:val="footer"/>
    <w:basedOn w:val="Normal"/>
    <w:link w:val="FooterChar"/>
    <w:rsid w:val="00C6000D"/>
    <w:pPr>
      <w:tabs>
        <w:tab w:val="center" w:pos="4153"/>
        <w:tab w:val="right" w:pos="8306"/>
      </w:tabs>
    </w:pPr>
  </w:style>
  <w:style w:type="character" w:customStyle="1" w:styleId="FooterChar">
    <w:name w:val="Footer Char"/>
    <w:basedOn w:val="DefaultParagraphFont"/>
    <w:link w:val="Footer"/>
    <w:rsid w:val="00C6000D"/>
    <w:rPr>
      <w:rFonts w:ascii="Times New Roman" w:eastAsia="Times New Roman" w:hAnsi="Times New Roman" w:cs="Times New Roman"/>
      <w:sz w:val="20"/>
      <w:szCs w:val="20"/>
      <w:lang w:val="en-GB"/>
    </w:rPr>
  </w:style>
  <w:style w:type="paragraph" w:customStyle="1" w:styleId="Body">
    <w:name w:val="Body"/>
    <w:link w:val="BodyChar"/>
    <w:rsid w:val="00C6000D"/>
    <w:pPr>
      <w:spacing w:before="60" w:after="60" w:line="240" w:lineRule="auto"/>
      <w:jc w:val="both"/>
    </w:pPr>
    <w:rPr>
      <w:rFonts w:ascii="Times New Roman" w:eastAsia="Times New Roman" w:hAnsi="Times New Roman" w:cs="Times New Roman"/>
      <w:noProof/>
      <w:sz w:val="20"/>
      <w:szCs w:val="20"/>
    </w:rPr>
  </w:style>
  <w:style w:type="paragraph" w:customStyle="1" w:styleId="Bulletwoindent">
    <w:name w:val="Bullet w/o indent"/>
    <w:basedOn w:val="Body"/>
    <w:rsid w:val="00C6000D"/>
    <w:pPr>
      <w:numPr>
        <w:numId w:val="1"/>
      </w:numPr>
      <w:tabs>
        <w:tab w:val="clear" w:pos="360"/>
        <w:tab w:val="left" w:pos="340"/>
      </w:tabs>
      <w:spacing w:line="240" w:lineRule="exact"/>
      <w:ind w:left="340" w:hanging="340"/>
    </w:pPr>
  </w:style>
  <w:style w:type="paragraph" w:styleId="Title">
    <w:name w:val="Title"/>
    <w:basedOn w:val="Normal"/>
    <w:link w:val="TitleChar"/>
    <w:qFormat/>
    <w:rsid w:val="00C6000D"/>
    <w:pPr>
      <w:spacing w:after="0" w:line="280" w:lineRule="exact"/>
      <w:jc w:val="center"/>
      <w:outlineLvl w:val="0"/>
    </w:pPr>
    <w:rPr>
      <w:b/>
      <w:kern w:val="28"/>
      <w:sz w:val="24"/>
    </w:rPr>
  </w:style>
  <w:style w:type="character" w:customStyle="1" w:styleId="TitleChar">
    <w:name w:val="Title Char"/>
    <w:basedOn w:val="DefaultParagraphFont"/>
    <w:link w:val="Title"/>
    <w:rsid w:val="00C6000D"/>
    <w:rPr>
      <w:rFonts w:ascii="Times New Roman" w:eastAsia="Times New Roman" w:hAnsi="Times New Roman" w:cs="Times New Roman"/>
      <w:b/>
      <w:kern w:val="28"/>
      <w:sz w:val="24"/>
      <w:szCs w:val="20"/>
      <w:lang w:val="en-GB"/>
    </w:rPr>
  </w:style>
  <w:style w:type="paragraph" w:customStyle="1" w:styleId="Authors">
    <w:name w:val="Authors"/>
    <w:basedOn w:val="Normal"/>
    <w:qFormat/>
    <w:rsid w:val="00C6000D"/>
    <w:pPr>
      <w:spacing w:after="0" w:line="280" w:lineRule="exact"/>
      <w:jc w:val="center"/>
    </w:pPr>
    <w:rPr>
      <w:bCs/>
      <w:sz w:val="24"/>
    </w:rPr>
  </w:style>
  <w:style w:type="paragraph" w:customStyle="1" w:styleId="Reference">
    <w:name w:val="Reference"/>
    <w:basedOn w:val="Normal"/>
    <w:link w:val="ReferenceChar"/>
    <w:qFormat/>
    <w:rsid w:val="00C6000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pacing w:before="60" w:line="240" w:lineRule="exact"/>
      <w:ind w:left="284" w:hanging="284"/>
    </w:pPr>
    <w:rPr>
      <w:noProof/>
      <w:lang w:val="en-US"/>
    </w:rPr>
  </w:style>
  <w:style w:type="paragraph" w:customStyle="1" w:styleId="Equation">
    <w:name w:val="Equation"/>
    <w:basedOn w:val="Body"/>
    <w:next w:val="Body"/>
    <w:qFormat/>
    <w:rsid w:val="00C6000D"/>
    <w:pPr>
      <w:tabs>
        <w:tab w:val="center" w:pos="2268"/>
        <w:tab w:val="right" w:pos="4536"/>
      </w:tabs>
      <w:jc w:val="left"/>
    </w:pPr>
    <w:rPr>
      <w:lang w:val="en-GB"/>
    </w:rPr>
  </w:style>
  <w:style w:type="character" w:customStyle="1" w:styleId="BodyChar">
    <w:name w:val="Body Char"/>
    <w:basedOn w:val="DefaultParagraphFont"/>
    <w:link w:val="Body"/>
    <w:rsid w:val="00C6000D"/>
    <w:rPr>
      <w:rFonts w:ascii="Times New Roman" w:eastAsia="Times New Roman" w:hAnsi="Times New Roman" w:cs="Times New Roman"/>
      <w:noProof/>
      <w:sz w:val="20"/>
      <w:szCs w:val="20"/>
    </w:rPr>
  </w:style>
  <w:style w:type="character" w:customStyle="1" w:styleId="ReferenceChar">
    <w:name w:val="Reference Char"/>
    <w:basedOn w:val="DefaultParagraphFont"/>
    <w:link w:val="Reference"/>
    <w:rsid w:val="00C6000D"/>
    <w:rPr>
      <w:rFonts w:ascii="Times New Roman" w:eastAsia="Times New Roman" w:hAnsi="Times New Roman" w:cs="Times New Roman"/>
      <w:noProof/>
      <w:sz w:val="20"/>
      <w:szCs w:val="20"/>
    </w:rPr>
  </w:style>
  <w:style w:type="character" w:styleId="BookTitle">
    <w:name w:val="Book Title"/>
    <w:basedOn w:val="DefaultParagraphFont"/>
    <w:uiPriority w:val="33"/>
    <w:rsid w:val="00C6000D"/>
    <w:rPr>
      <w:b/>
      <w:bCs/>
      <w:i/>
      <w:iCs/>
      <w:spacing w:val="5"/>
    </w:rPr>
  </w:style>
  <w:style w:type="paragraph" w:customStyle="1" w:styleId="Listbulleted">
    <w:name w:val="List (bulleted)"/>
    <w:basedOn w:val="Bulletwoindent"/>
    <w:link w:val="ListbulletedChar"/>
    <w:qFormat/>
    <w:rsid w:val="00C6000D"/>
    <w:pPr>
      <w:spacing w:before="0" w:after="0"/>
      <w:ind w:left="284" w:hanging="284"/>
    </w:pPr>
  </w:style>
  <w:style w:type="paragraph" w:customStyle="1" w:styleId="Figure">
    <w:name w:val="Figure"/>
    <w:basedOn w:val="Normal"/>
    <w:link w:val="FigureChar"/>
    <w:qFormat/>
    <w:rsid w:val="00C6000D"/>
    <w:pPr>
      <w:spacing w:before="60"/>
      <w:jc w:val="center"/>
    </w:pPr>
  </w:style>
  <w:style w:type="character" w:customStyle="1" w:styleId="ListbulletedChar">
    <w:name w:val="List (bulleted) Char"/>
    <w:basedOn w:val="DefaultParagraphFont"/>
    <w:link w:val="Listbulleted"/>
    <w:rsid w:val="00C6000D"/>
    <w:rPr>
      <w:rFonts w:ascii="Times New Roman" w:eastAsia="Times New Roman" w:hAnsi="Times New Roman" w:cs="Times New Roman"/>
      <w:noProof/>
      <w:sz w:val="20"/>
      <w:szCs w:val="20"/>
    </w:rPr>
  </w:style>
  <w:style w:type="paragraph" w:customStyle="1" w:styleId="Captions">
    <w:name w:val="Captions"/>
    <w:basedOn w:val="Normal"/>
    <w:link w:val="CaptionsChar"/>
    <w:qFormat/>
    <w:rsid w:val="00C6000D"/>
    <w:pPr>
      <w:jc w:val="center"/>
    </w:pPr>
    <w:rPr>
      <w:i/>
    </w:rPr>
  </w:style>
  <w:style w:type="character" w:customStyle="1" w:styleId="FigureChar">
    <w:name w:val="Figure Char"/>
    <w:basedOn w:val="DefaultParagraphFont"/>
    <w:link w:val="Figure"/>
    <w:rsid w:val="00C6000D"/>
    <w:rPr>
      <w:rFonts w:ascii="Times New Roman" w:eastAsia="Times New Roman" w:hAnsi="Times New Roman" w:cs="Times New Roman"/>
      <w:sz w:val="20"/>
      <w:szCs w:val="20"/>
      <w:lang w:val="en-GB"/>
    </w:rPr>
  </w:style>
  <w:style w:type="paragraph" w:customStyle="1" w:styleId="Listnumbered">
    <w:name w:val="List (numbered)"/>
    <w:basedOn w:val="Listbulleted"/>
    <w:link w:val="ListnumberedChar"/>
    <w:qFormat/>
    <w:rsid w:val="00C6000D"/>
    <w:pPr>
      <w:numPr>
        <w:numId w:val="2"/>
      </w:numPr>
      <w:tabs>
        <w:tab w:val="left" w:pos="340"/>
      </w:tabs>
    </w:pPr>
  </w:style>
  <w:style w:type="character" w:customStyle="1" w:styleId="CaptionsChar">
    <w:name w:val="Captions Char"/>
    <w:basedOn w:val="DefaultParagraphFont"/>
    <w:link w:val="Captions"/>
    <w:rsid w:val="00C6000D"/>
    <w:rPr>
      <w:rFonts w:ascii="Times New Roman" w:eastAsia="Times New Roman" w:hAnsi="Times New Roman" w:cs="Times New Roman"/>
      <w:i/>
      <w:sz w:val="20"/>
      <w:szCs w:val="20"/>
      <w:lang w:val="en-GB"/>
    </w:rPr>
  </w:style>
  <w:style w:type="paragraph" w:customStyle="1" w:styleId="Tables">
    <w:name w:val="Tables"/>
    <w:basedOn w:val="Normal"/>
    <w:link w:val="TablesChar"/>
    <w:qFormat/>
    <w:rsid w:val="00C6000D"/>
    <w:pPr>
      <w:spacing w:after="0" w:line="220" w:lineRule="exact"/>
      <w:jc w:val="center"/>
      <w:outlineLvl w:val="0"/>
    </w:pPr>
    <w:rPr>
      <w:kern w:val="28"/>
      <w:sz w:val="18"/>
    </w:rPr>
  </w:style>
  <w:style w:type="character" w:customStyle="1" w:styleId="ListnumberedChar">
    <w:name w:val="List (numbered) Char"/>
    <w:basedOn w:val="ListbulletedChar"/>
    <w:link w:val="Listnumbered"/>
    <w:rsid w:val="00C6000D"/>
    <w:rPr>
      <w:rFonts w:ascii="Times New Roman" w:eastAsia="Times New Roman" w:hAnsi="Times New Roman" w:cs="Times New Roman"/>
      <w:noProof/>
      <w:sz w:val="20"/>
      <w:szCs w:val="20"/>
    </w:rPr>
  </w:style>
  <w:style w:type="character" w:customStyle="1" w:styleId="TablesChar">
    <w:name w:val="Tables Char"/>
    <w:basedOn w:val="DefaultParagraphFont"/>
    <w:link w:val="Tables"/>
    <w:rsid w:val="00C6000D"/>
    <w:rPr>
      <w:rFonts w:ascii="Times New Roman" w:eastAsia="Times New Roman" w:hAnsi="Times New Roman" w:cs="Times New Roman"/>
      <w:kern w:val="28"/>
      <w:sz w:val="18"/>
      <w:szCs w:val="20"/>
      <w:lang w:val="en-GB"/>
    </w:rPr>
  </w:style>
  <w:style w:type="character" w:styleId="LineNumber">
    <w:name w:val="line number"/>
    <w:basedOn w:val="DefaultParagraphFont"/>
    <w:uiPriority w:val="99"/>
    <w:semiHidden/>
    <w:unhideWhenUsed/>
    <w:rsid w:val="00C6000D"/>
  </w:style>
  <w:style w:type="character" w:styleId="PlaceholderText">
    <w:name w:val="Placeholder Text"/>
    <w:basedOn w:val="DefaultParagraphFont"/>
    <w:uiPriority w:val="99"/>
    <w:semiHidden/>
    <w:rsid w:val="00010720"/>
    <w:rPr>
      <w:color w:val="808080"/>
    </w:rPr>
  </w:style>
  <w:style w:type="paragraph" w:styleId="ListParagraph">
    <w:name w:val="List Paragraph"/>
    <w:basedOn w:val="Normal"/>
    <w:uiPriority w:val="34"/>
    <w:qFormat/>
    <w:rsid w:val="0062049A"/>
    <w:pPr>
      <w:spacing w:after="0"/>
      <w:ind w:left="720"/>
      <w:contextualSpacing/>
      <w:jc w:val="left"/>
    </w:pPr>
    <w:rPr>
      <w:rFonts w:eastAsia="Batang"/>
    </w:rPr>
  </w:style>
  <w:style w:type="table" w:styleId="PlainTable3">
    <w:name w:val="Plain Table 3"/>
    <w:basedOn w:val="TableNormal"/>
    <w:uiPriority w:val="43"/>
    <w:rsid w:val="00553C5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5247BC"/>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18490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90A"/>
    <w:rPr>
      <w:rFonts w:ascii="Segoe UI" w:eastAsia="Times New Roman" w:hAnsi="Segoe UI" w:cs="Segoe UI"/>
      <w:sz w:val="18"/>
      <w:szCs w:val="18"/>
      <w:lang w:val="en-GB"/>
    </w:rPr>
  </w:style>
  <w:style w:type="paragraph" w:styleId="Revision">
    <w:name w:val="Revision"/>
    <w:hidden/>
    <w:uiPriority w:val="99"/>
    <w:semiHidden/>
    <w:rsid w:val="00746A2A"/>
    <w:pPr>
      <w:spacing w:after="0" w:line="240" w:lineRule="auto"/>
    </w:pPr>
    <w:rPr>
      <w:rFonts w:ascii="Times New Roman" w:eastAsia="Times New Roman" w:hAnsi="Times New Roman" w:cs="Times New Roman"/>
      <w:sz w:val="20"/>
      <w:szCs w:val="20"/>
      <w:lang w:val="en-GB"/>
    </w:rPr>
  </w:style>
  <w:style w:type="character" w:styleId="CommentReference">
    <w:name w:val="annotation reference"/>
    <w:basedOn w:val="DefaultParagraphFont"/>
    <w:uiPriority w:val="99"/>
    <w:semiHidden/>
    <w:unhideWhenUsed/>
    <w:rsid w:val="00746A2A"/>
    <w:rPr>
      <w:sz w:val="16"/>
      <w:szCs w:val="16"/>
    </w:rPr>
  </w:style>
  <w:style w:type="paragraph" w:styleId="CommentText">
    <w:name w:val="annotation text"/>
    <w:basedOn w:val="Normal"/>
    <w:link w:val="CommentTextChar"/>
    <w:uiPriority w:val="99"/>
    <w:semiHidden/>
    <w:unhideWhenUsed/>
    <w:rsid w:val="00746A2A"/>
  </w:style>
  <w:style w:type="character" w:customStyle="1" w:styleId="CommentTextChar">
    <w:name w:val="Comment Text Char"/>
    <w:basedOn w:val="DefaultParagraphFont"/>
    <w:link w:val="CommentText"/>
    <w:uiPriority w:val="99"/>
    <w:semiHidden/>
    <w:rsid w:val="00746A2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46A2A"/>
    <w:rPr>
      <w:b/>
      <w:bCs/>
    </w:rPr>
  </w:style>
  <w:style w:type="character" w:customStyle="1" w:styleId="CommentSubjectChar">
    <w:name w:val="Comment Subject Char"/>
    <w:basedOn w:val="CommentTextChar"/>
    <w:link w:val="CommentSubject"/>
    <w:uiPriority w:val="99"/>
    <w:semiHidden/>
    <w:rsid w:val="00746A2A"/>
    <w:rPr>
      <w:rFonts w:ascii="Times New Roman" w:eastAsia="Times New Roman" w:hAnsi="Times New Roman" w:cs="Times New Roman"/>
      <w:b/>
      <w:bCs/>
      <w:sz w:val="20"/>
      <w:szCs w:val="20"/>
      <w:lang w:val="en-GB"/>
    </w:rPr>
  </w:style>
  <w:style w:type="table" w:styleId="GridTable3">
    <w:name w:val="Grid Table 3"/>
    <w:basedOn w:val="TableNormal"/>
    <w:uiPriority w:val="48"/>
    <w:rsid w:val="00D3448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2">
    <w:name w:val="Plain Table 2"/>
    <w:basedOn w:val="TableNormal"/>
    <w:uiPriority w:val="42"/>
    <w:rsid w:val="003D16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482AF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82AF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80260">
      <w:bodyDiv w:val="1"/>
      <w:marLeft w:val="0"/>
      <w:marRight w:val="0"/>
      <w:marTop w:val="0"/>
      <w:marBottom w:val="0"/>
      <w:divBdr>
        <w:top w:val="none" w:sz="0" w:space="0" w:color="auto"/>
        <w:left w:val="none" w:sz="0" w:space="0" w:color="auto"/>
        <w:bottom w:val="none" w:sz="0" w:space="0" w:color="auto"/>
        <w:right w:val="none" w:sz="0" w:space="0" w:color="auto"/>
      </w:divBdr>
    </w:div>
    <w:div w:id="668598939">
      <w:bodyDiv w:val="1"/>
      <w:marLeft w:val="0"/>
      <w:marRight w:val="0"/>
      <w:marTop w:val="0"/>
      <w:marBottom w:val="0"/>
      <w:divBdr>
        <w:top w:val="none" w:sz="0" w:space="0" w:color="auto"/>
        <w:left w:val="none" w:sz="0" w:space="0" w:color="auto"/>
        <w:bottom w:val="none" w:sz="0" w:space="0" w:color="auto"/>
        <w:right w:val="none" w:sz="0" w:space="0" w:color="auto"/>
      </w:divBdr>
    </w:div>
    <w:div w:id="799349480">
      <w:bodyDiv w:val="1"/>
      <w:marLeft w:val="0"/>
      <w:marRight w:val="0"/>
      <w:marTop w:val="0"/>
      <w:marBottom w:val="0"/>
      <w:divBdr>
        <w:top w:val="none" w:sz="0" w:space="0" w:color="auto"/>
        <w:left w:val="none" w:sz="0" w:space="0" w:color="auto"/>
        <w:bottom w:val="none" w:sz="0" w:space="0" w:color="auto"/>
        <w:right w:val="none" w:sz="0" w:space="0" w:color="auto"/>
      </w:divBdr>
    </w:div>
    <w:div w:id="1072242695">
      <w:bodyDiv w:val="1"/>
      <w:marLeft w:val="0"/>
      <w:marRight w:val="0"/>
      <w:marTop w:val="0"/>
      <w:marBottom w:val="0"/>
      <w:divBdr>
        <w:top w:val="none" w:sz="0" w:space="0" w:color="auto"/>
        <w:left w:val="none" w:sz="0" w:space="0" w:color="auto"/>
        <w:bottom w:val="none" w:sz="0" w:space="0" w:color="auto"/>
        <w:right w:val="none" w:sz="0" w:space="0" w:color="auto"/>
      </w:divBdr>
    </w:div>
    <w:div w:id="1491940189">
      <w:bodyDiv w:val="1"/>
      <w:marLeft w:val="0"/>
      <w:marRight w:val="0"/>
      <w:marTop w:val="0"/>
      <w:marBottom w:val="0"/>
      <w:divBdr>
        <w:top w:val="none" w:sz="0" w:space="0" w:color="auto"/>
        <w:left w:val="none" w:sz="0" w:space="0" w:color="auto"/>
        <w:bottom w:val="none" w:sz="0" w:space="0" w:color="auto"/>
        <w:right w:val="none" w:sz="0" w:space="0" w:color="auto"/>
      </w:divBdr>
    </w:div>
    <w:div w:id="1541241862">
      <w:bodyDiv w:val="1"/>
      <w:marLeft w:val="0"/>
      <w:marRight w:val="0"/>
      <w:marTop w:val="0"/>
      <w:marBottom w:val="0"/>
      <w:divBdr>
        <w:top w:val="none" w:sz="0" w:space="0" w:color="auto"/>
        <w:left w:val="none" w:sz="0" w:space="0" w:color="auto"/>
        <w:bottom w:val="none" w:sz="0" w:space="0" w:color="auto"/>
        <w:right w:val="none" w:sz="0" w:space="0" w:color="auto"/>
      </w:divBdr>
    </w:div>
    <w:div w:id="1583636933">
      <w:bodyDiv w:val="1"/>
      <w:marLeft w:val="0"/>
      <w:marRight w:val="0"/>
      <w:marTop w:val="0"/>
      <w:marBottom w:val="0"/>
      <w:divBdr>
        <w:top w:val="none" w:sz="0" w:space="0" w:color="auto"/>
        <w:left w:val="none" w:sz="0" w:space="0" w:color="auto"/>
        <w:bottom w:val="none" w:sz="0" w:space="0" w:color="auto"/>
        <w:right w:val="none" w:sz="0" w:space="0" w:color="auto"/>
      </w:divBdr>
    </w:div>
    <w:div w:id="1845048362">
      <w:bodyDiv w:val="1"/>
      <w:marLeft w:val="0"/>
      <w:marRight w:val="0"/>
      <w:marTop w:val="0"/>
      <w:marBottom w:val="0"/>
      <w:divBdr>
        <w:top w:val="none" w:sz="0" w:space="0" w:color="auto"/>
        <w:left w:val="none" w:sz="0" w:space="0" w:color="auto"/>
        <w:bottom w:val="none" w:sz="0" w:space="0" w:color="auto"/>
        <w:right w:val="none" w:sz="0" w:space="0" w:color="auto"/>
      </w:divBdr>
    </w:div>
    <w:div w:id="188097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4B319C9-BA23-411B-A017-BB9B3A512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9580</TotalTime>
  <Pages>7</Pages>
  <Words>6574</Words>
  <Characters>37474</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C-USE</dc:creator>
  <cp:keywords/>
  <dc:description/>
  <cp:lastModifiedBy>C-USE</cp:lastModifiedBy>
  <cp:revision>5</cp:revision>
  <cp:lastPrinted>2019-06-28T13:01:00Z</cp:lastPrinted>
  <dcterms:created xsi:type="dcterms:W3CDTF">2019-04-30T15:15:00Z</dcterms:created>
  <dcterms:modified xsi:type="dcterms:W3CDTF">2020-01-07T13:39:00Z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0a72ead6-9e80-37cc-9be8-8622e2492412</vt:lpwstr>
  </property>
  <property fmtid="{D5CDD505-2E9C-101B-9397-08002B2CF9AE}" pid="24" name="Mendeley Citation Style_1">
    <vt:lpwstr>http://www.zotero.org/styles/apa</vt:lpwstr>
  </property>
</Properties>
</file>