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1DF4" w14:textId="0095A09E" w:rsidR="001F2245" w:rsidRDefault="000E55B7" w:rsidP="00800EC4">
      <w:pPr>
        <w:rPr>
          <w:rFonts w:cs="Times New Roman"/>
          <w:b/>
        </w:rPr>
      </w:pPr>
      <w:r w:rsidRPr="00254BF5">
        <w:rPr>
          <w:rFonts w:cs="Times New Roman"/>
          <w:b/>
        </w:rPr>
        <w:t>Setting maximum levels for lead in game meat in EC regulations: an adjunct to</w:t>
      </w:r>
      <w:r>
        <w:rPr>
          <w:rFonts w:ascii="Times New Roman" w:hAnsi="Times New Roman" w:cs="Times New Roman"/>
          <w:b/>
          <w:sz w:val="24"/>
          <w:szCs w:val="24"/>
        </w:rPr>
        <w:t xml:space="preserve"> </w:t>
      </w:r>
      <w:r w:rsidRPr="00254BF5">
        <w:rPr>
          <w:rFonts w:cs="Times New Roman"/>
          <w:b/>
        </w:rPr>
        <w:t>replacement of lead ammunition</w:t>
      </w:r>
    </w:p>
    <w:p w14:paraId="5A4F2864" w14:textId="77777777" w:rsidR="00655B41" w:rsidRDefault="00655B41" w:rsidP="00800EC4">
      <w:pPr>
        <w:rPr>
          <w:rFonts w:cs="Times New Roman"/>
          <w:b/>
        </w:rPr>
      </w:pPr>
    </w:p>
    <w:p w14:paraId="7C4E8980" w14:textId="16282B70" w:rsidR="001E3319" w:rsidRPr="001E3319" w:rsidRDefault="00D12B10" w:rsidP="000E55B7">
      <w:pPr>
        <w:rPr>
          <w:rFonts w:cs="Times New Roman"/>
        </w:rPr>
      </w:pPr>
      <w:r w:rsidRPr="00B80150">
        <w:rPr>
          <w:rFonts w:cs="Times New Roman"/>
          <w:b/>
        </w:rPr>
        <w:t xml:space="preserve">Vernon </w:t>
      </w:r>
      <w:r w:rsidR="00B80150" w:rsidRPr="00B80150">
        <w:rPr>
          <w:rFonts w:cs="Times New Roman"/>
          <w:b/>
        </w:rPr>
        <w:t xml:space="preserve">G. </w:t>
      </w:r>
      <w:r w:rsidRPr="00B80150">
        <w:rPr>
          <w:rFonts w:cs="Times New Roman"/>
          <w:b/>
        </w:rPr>
        <w:t xml:space="preserve">Thomas, </w:t>
      </w:r>
      <w:r w:rsidR="000657C3" w:rsidRPr="0061589C">
        <w:rPr>
          <w:rFonts w:cs="Times New Roman"/>
        </w:rPr>
        <w:t>Professor Emeritus,</w:t>
      </w:r>
      <w:r w:rsidR="000657C3">
        <w:rPr>
          <w:rFonts w:cs="Times New Roman"/>
          <w:b/>
        </w:rPr>
        <w:t xml:space="preserve"> </w:t>
      </w:r>
      <w:r w:rsidR="001E3319" w:rsidRPr="001E3319">
        <w:rPr>
          <w:rFonts w:cs="Times New Roman"/>
        </w:rPr>
        <w:t>Department of Integrative Biology, College of Biological Science, University of Guelph, Guelph, Ontario N1G 2W1, Canada. Tel.: 1-519-824-4120. E-mail: vthomas@uoguelph.ca</w:t>
      </w:r>
    </w:p>
    <w:p w14:paraId="2E5359D4" w14:textId="33DEC7DE" w:rsidR="001E3319" w:rsidRDefault="00D12B10" w:rsidP="001E3319">
      <w:pPr>
        <w:autoSpaceDE w:val="0"/>
        <w:autoSpaceDN w:val="0"/>
        <w:adjustRightInd w:val="0"/>
        <w:spacing w:after="0" w:line="240" w:lineRule="auto"/>
        <w:jc w:val="both"/>
        <w:rPr>
          <w:rStyle w:val="Hyperlink"/>
          <w:rFonts w:cstheme="minorHAnsi"/>
        </w:rPr>
      </w:pPr>
      <w:r w:rsidRPr="00B80150">
        <w:rPr>
          <w:rFonts w:cs="Times New Roman"/>
          <w:b/>
        </w:rPr>
        <w:t xml:space="preserve">Deborah </w:t>
      </w:r>
      <w:r w:rsidR="00B80150" w:rsidRPr="00B80150">
        <w:rPr>
          <w:rFonts w:cs="Times New Roman"/>
          <w:b/>
        </w:rPr>
        <w:t xml:space="preserve">J. </w:t>
      </w:r>
      <w:r w:rsidRPr="00B80150">
        <w:rPr>
          <w:rFonts w:cs="Times New Roman"/>
          <w:b/>
        </w:rPr>
        <w:t>Pain</w:t>
      </w:r>
      <w:r w:rsidR="00B80150" w:rsidRPr="00B80150">
        <w:rPr>
          <w:rFonts w:cs="Times New Roman"/>
          <w:b/>
        </w:rPr>
        <w:t xml:space="preserve">, </w:t>
      </w:r>
      <w:r w:rsidR="006A2A80" w:rsidRPr="00EE6B50">
        <w:rPr>
          <w:rFonts w:cs="Times New Roman"/>
        </w:rPr>
        <w:t>Hon</w:t>
      </w:r>
      <w:r w:rsidR="003C7F86">
        <w:rPr>
          <w:rFonts w:cs="Times New Roman"/>
        </w:rPr>
        <w:t xml:space="preserve">orary </w:t>
      </w:r>
      <w:r w:rsidR="00645C4F">
        <w:rPr>
          <w:rFonts w:cs="Times New Roman"/>
        </w:rPr>
        <w:t>Research Fellow</w:t>
      </w:r>
      <w:r w:rsidR="006A2A80" w:rsidRPr="00EE6B50">
        <w:rPr>
          <w:rFonts w:cs="Times New Roman"/>
        </w:rPr>
        <w:t>,</w:t>
      </w:r>
      <w:r w:rsidR="006A2A80">
        <w:rPr>
          <w:rFonts w:cs="Times New Roman"/>
          <w:b/>
        </w:rPr>
        <w:t xml:space="preserve"> </w:t>
      </w:r>
      <w:r w:rsidR="001E3319" w:rsidRPr="003B65C0">
        <w:rPr>
          <w:rFonts w:cstheme="minorHAnsi"/>
        </w:rPr>
        <w:t>Department of Zoology, University of Cambridge, David</w:t>
      </w:r>
      <w:r w:rsidR="001E3319">
        <w:rPr>
          <w:rFonts w:cstheme="minorHAnsi"/>
        </w:rPr>
        <w:t xml:space="preserve"> </w:t>
      </w:r>
      <w:r w:rsidR="001E3319" w:rsidRPr="003B65C0">
        <w:rPr>
          <w:rFonts w:cstheme="minorHAnsi"/>
        </w:rPr>
        <w:t>Attenborough Building, Pembroke Street, Cambridge CB2 3QZ, UK.</w:t>
      </w:r>
      <w:r w:rsidR="001E3319">
        <w:rPr>
          <w:rFonts w:cstheme="minorHAnsi"/>
        </w:rPr>
        <w:t xml:space="preserve"> E</w:t>
      </w:r>
      <w:r w:rsidR="001E3319" w:rsidRPr="003B65C0">
        <w:rPr>
          <w:rFonts w:cstheme="minorHAnsi"/>
        </w:rPr>
        <w:t xml:space="preserve">-mail: </w:t>
      </w:r>
      <w:hyperlink r:id="rId9" w:history="1">
        <w:r w:rsidR="001E3319" w:rsidRPr="00407684">
          <w:rPr>
            <w:rStyle w:val="Hyperlink"/>
            <w:rFonts w:cstheme="minorHAnsi"/>
          </w:rPr>
          <w:t>pain.debbie@gmail.com</w:t>
        </w:r>
      </w:hyperlink>
      <w:r w:rsidR="001E3319">
        <w:rPr>
          <w:rStyle w:val="Hyperlink"/>
          <w:rFonts w:cstheme="minorHAnsi"/>
        </w:rPr>
        <w:t xml:space="preserve"> </w:t>
      </w:r>
    </w:p>
    <w:p w14:paraId="55436936" w14:textId="77777777" w:rsidR="000657C3" w:rsidRDefault="000657C3" w:rsidP="001E3319">
      <w:pPr>
        <w:autoSpaceDE w:val="0"/>
        <w:autoSpaceDN w:val="0"/>
        <w:adjustRightInd w:val="0"/>
        <w:spacing w:after="0" w:line="240" w:lineRule="auto"/>
        <w:jc w:val="both"/>
        <w:rPr>
          <w:rFonts w:cstheme="minorHAnsi"/>
        </w:rPr>
      </w:pPr>
    </w:p>
    <w:p w14:paraId="311C0950" w14:textId="3CC2C044" w:rsidR="000657C3" w:rsidRDefault="00B80150" w:rsidP="0061589C">
      <w:pPr>
        <w:autoSpaceDE w:val="0"/>
        <w:autoSpaceDN w:val="0"/>
        <w:adjustRightInd w:val="0"/>
        <w:spacing w:after="0" w:line="240" w:lineRule="auto"/>
        <w:rPr>
          <w:rStyle w:val="Hyperlink"/>
          <w:rFonts w:cstheme="minorHAnsi"/>
        </w:rPr>
      </w:pPr>
      <w:r w:rsidRPr="00B80150">
        <w:rPr>
          <w:rFonts w:cs="Times New Roman"/>
          <w:b/>
        </w:rPr>
        <w:t xml:space="preserve">Niels </w:t>
      </w:r>
      <w:proofErr w:type="spellStart"/>
      <w:r w:rsidRPr="00B80150">
        <w:rPr>
          <w:rFonts w:cs="Times New Roman"/>
          <w:b/>
        </w:rPr>
        <w:t>Kanstrup</w:t>
      </w:r>
      <w:proofErr w:type="spellEnd"/>
      <w:r w:rsidRPr="00B80150">
        <w:rPr>
          <w:rFonts w:cs="Times New Roman"/>
          <w:b/>
        </w:rPr>
        <w:t xml:space="preserve">, </w:t>
      </w:r>
      <w:r w:rsidR="000657C3">
        <w:rPr>
          <w:rFonts w:cs="Times New Roman"/>
        </w:rPr>
        <w:t xml:space="preserve">Adjunct </w:t>
      </w:r>
      <w:r w:rsidR="006A2A80">
        <w:rPr>
          <w:rFonts w:cs="Times New Roman"/>
        </w:rPr>
        <w:t>scientist</w:t>
      </w:r>
      <w:r w:rsidR="005D3073">
        <w:rPr>
          <w:rFonts w:cs="Times New Roman"/>
        </w:rPr>
        <w:t xml:space="preserve">, </w:t>
      </w:r>
      <w:r w:rsidR="000657C3" w:rsidRPr="009856DE">
        <w:rPr>
          <w:rFonts w:cstheme="minorHAnsi"/>
        </w:rPr>
        <w:t xml:space="preserve">Department of Bioscience, Aarhus University, </w:t>
      </w:r>
      <w:proofErr w:type="spellStart"/>
      <w:r w:rsidR="000657C3" w:rsidRPr="009856DE">
        <w:rPr>
          <w:rFonts w:cstheme="minorHAnsi"/>
        </w:rPr>
        <w:t>Gren</w:t>
      </w:r>
      <w:r w:rsidR="000657C3">
        <w:rPr>
          <w:rFonts w:ascii="Sitka Text" w:hAnsi="Sitka Text" w:cstheme="minorHAnsi"/>
        </w:rPr>
        <w:t>å</w:t>
      </w:r>
      <w:r w:rsidR="000657C3" w:rsidRPr="009856DE">
        <w:rPr>
          <w:rFonts w:cstheme="minorHAnsi"/>
        </w:rPr>
        <w:t>vej</w:t>
      </w:r>
      <w:proofErr w:type="spellEnd"/>
      <w:r w:rsidR="000657C3" w:rsidRPr="009856DE">
        <w:rPr>
          <w:rFonts w:cstheme="minorHAnsi"/>
        </w:rPr>
        <w:t xml:space="preserve"> 14,</w:t>
      </w:r>
      <w:r w:rsidR="000657C3">
        <w:rPr>
          <w:rFonts w:cstheme="minorHAnsi"/>
        </w:rPr>
        <w:t xml:space="preserve"> </w:t>
      </w:r>
      <w:r w:rsidR="000657C3" w:rsidRPr="009856DE">
        <w:rPr>
          <w:rFonts w:cstheme="minorHAnsi"/>
        </w:rPr>
        <w:t xml:space="preserve">8410 </w:t>
      </w:r>
      <w:proofErr w:type="spellStart"/>
      <w:r w:rsidR="000657C3" w:rsidRPr="009856DE">
        <w:rPr>
          <w:rFonts w:cstheme="minorHAnsi"/>
        </w:rPr>
        <w:t>Rønde</w:t>
      </w:r>
      <w:proofErr w:type="spellEnd"/>
      <w:r w:rsidR="000657C3" w:rsidRPr="009856DE">
        <w:rPr>
          <w:rFonts w:cstheme="minorHAnsi"/>
        </w:rPr>
        <w:t>, Denmark.</w:t>
      </w:r>
      <w:r w:rsidR="006A2A80">
        <w:rPr>
          <w:rFonts w:cstheme="minorHAnsi"/>
        </w:rPr>
        <w:t xml:space="preserve"> </w:t>
      </w:r>
      <w:r w:rsidR="0061589C">
        <w:rPr>
          <w:rFonts w:cstheme="minorHAnsi"/>
        </w:rPr>
        <w:t>E</w:t>
      </w:r>
      <w:r w:rsidR="000657C3" w:rsidRPr="009856DE">
        <w:rPr>
          <w:rFonts w:cstheme="minorHAnsi"/>
        </w:rPr>
        <w:t xml:space="preserve">-mail: </w:t>
      </w:r>
      <w:hyperlink r:id="rId10" w:history="1">
        <w:r w:rsidR="000657C3" w:rsidRPr="00407684">
          <w:rPr>
            <w:rStyle w:val="Hyperlink"/>
            <w:rFonts w:cstheme="minorHAnsi"/>
          </w:rPr>
          <w:t>nk@bios.au.dk</w:t>
        </w:r>
      </w:hyperlink>
    </w:p>
    <w:p w14:paraId="1CAFFECE" w14:textId="77777777" w:rsidR="0061589C" w:rsidRDefault="0061589C" w:rsidP="0061589C">
      <w:pPr>
        <w:autoSpaceDE w:val="0"/>
        <w:autoSpaceDN w:val="0"/>
        <w:adjustRightInd w:val="0"/>
        <w:spacing w:after="0" w:line="240" w:lineRule="auto"/>
        <w:rPr>
          <w:rFonts w:cstheme="minorHAnsi"/>
        </w:rPr>
      </w:pPr>
    </w:p>
    <w:p w14:paraId="7830FC4F" w14:textId="1D771198" w:rsidR="0061589C" w:rsidRPr="0061589C" w:rsidRDefault="00B80150" w:rsidP="0061589C">
      <w:pPr>
        <w:autoSpaceDE w:val="0"/>
        <w:autoSpaceDN w:val="0"/>
        <w:adjustRightInd w:val="0"/>
        <w:spacing w:after="0" w:line="240" w:lineRule="auto"/>
        <w:rPr>
          <w:rFonts w:cstheme="minorHAnsi"/>
        </w:rPr>
      </w:pPr>
      <w:r w:rsidRPr="00B80150">
        <w:rPr>
          <w:rFonts w:cs="Times New Roman"/>
          <w:b/>
        </w:rPr>
        <w:t>Rhys E. Green</w:t>
      </w:r>
      <w:r w:rsidR="0061589C">
        <w:rPr>
          <w:rFonts w:cs="Times New Roman"/>
          <w:b/>
        </w:rPr>
        <w:t xml:space="preserve">, </w:t>
      </w:r>
      <w:r w:rsidR="003A5C2E" w:rsidRPr="003A5C2E">
        <w:rPr>
          <w:rFonts w:cs="Times New Roman"/>
        </w:rPr>
        <w:t xml:space="preserve">Honorary </w:t>
      </w:r>
      <w:r w:rsidR="0061589C" w:rsidRPr="003A5C2E">
        <w:rPr>
          <w:rFonts w:cs="Times New Roman"/>
        </w:rPr>
        <w:t>Professor</w:t>
      </w:r>
      <w:r w:rsidR="0061589C">
        <w:rPr>
          <w:rFonts w:cs="Times New Roman"/>
        </w:rPr>
        <w:t xml:space="preserve">, </w:t>
      </w:r>
      <w:r w:rsidR="0061589C" w:rsidRPr="00786D9A">
        <w:rPr>
          <w:rFonts w:cstheme="minorHAnsi"/>
        </w:rPr>
        <w:t>Department of Zoology, University of Cambridge, David</w:t>
      </w:r>
      <w:r w:rsidR="0061589C">
        <w:rPr>
          <w:rFonts w:cstheme="minorHAnsi"/>
        </w:rPr>
        <w:t xml:space="preserve"> </w:t>
      </w:r>
      <w:r w:rsidR="0061589C" w:rsidRPr="00786D9A">
        <w:rPr>
          <w:rFonts w:cstheme="minorHAnsi"/>
        </w:rPr>
        <w:t>Attenborough Building, Pembroke Street, Cambridge CB2 3QZ, UK.</w:t>
      </w:r>
      <w:r w:rsidR="0061589C">
        <w:rPr>
          <w:rFonts w:cstheme="minorHAnsi"/>
        </w:rPr>
        <w:t xml:space="preserve"> E</w:t>
      </w:r>
      <w:r w:rsidR="0061589C" w:rsidRPr="00786D9A">
        <w:rPr>
          <w:rFonts w:cstheme="minorHAnsi"/>
        </w:rPr>
        <w:t>-mail: reg29@cam.ac.uk</w:t>
      </w:r>
    </w:p>
    <w:p w14:paraId="2C58A0DD" w14:textId="77777777" w:rsidR="00FF6663" w:rsidRDefault="00FF6663" w:rsidP="000E55B7">
      <w:pPr>
        <w:rPr>
          <w:rFonts w:cs="Times New Roman"/>
          <w:b/>
        </w:rPr>
      </w:pPr>
    </w:p>
    <w:p w14:paraId="7CFCF434" w14:textId="06A4AA63" w:rsidR="00B80150" w:rsidRPr="00B80150" w:rsidRDefault="00B80150" w:rsidP="000E55B7">
      <w:pPr>
        <w:rPr>
          <w:rFonts w:cs="Times New Roman"/>
        </w:rPr>
      </w:pPr>
    </w:p>
    <w:p w14:paraId="65A378AC" w14:textId="77777777" w:rsidR="000E55B7" w:rsidRPr="00254BF5" w:rsidRDefault="000E55B7" w:rsidP="000E55B7">
      <w:pPr>
        <w:rPr>
          <w:rFonts w:cs="Times New Roman"/>
        </w:rPr>
      </w:pPr>
      <w:r w:rsidRPr="00254BF5">
        <w:rPr>
          <w:rFonts w:cs="Times New Roman"/>
          <w:b/>
        </w:rPr>
        <w:t>Abstract</w:t>
      </w:r>
      <w:r w:rsidR="009B5170" w:rsidRPr="00254BF5">
        <w:rPr>
          <w:rFonts w:cs="Times New Roman"/>
          <w:b/>
        </w:rPr>
        <w:t xml:space="preserve"> </w:t>
      </w:r>
    </w:p>
    <w:p w14:paraId="4B593C72" w14:textId="08744F22" w:rsidR="00172F39" w:rsidRPr="00254BF5" w:rsidRDefault="00D35DC7" w:rsidP="000E55B7">
      <w:pPr>
        <w:rPr>
          <w:rFonts w:cs="Times New Roman"/>
        </w:rPr>
      </w:pPr>
      <w:r>
        <w:rPr>
          <w:rFonts w:cs="Times New Roman"/>
        </w:rPr>
        <w:t>Each year, h</w:t>
      </w:r>
      <w:r w:rsidR="0012453D" w:rsidRPr="00254BF5">
        <w:rPr>
          <w:rFonts w:cs="Times New Roman"/>
        </w:rPr>
        <w:t>unters</w:t>
      </w:r>
      <w:r w:rsidR="0098437B">
        <w:rPr>
          <w:rFonts w:cs="Times New Roman"/>
        </w:rPr>
        <w:t xml:space="preserve"> </w:t>
      </w:r>
      <w:r w:rsidR="00B30D59">
        <w:rPr>
          <w:rFonts w:cs="Times New Roman"/>
        </w:rPr>
        <w:t>from 13</w:t>
      </w:r>
      <w:r w:rsidR="0098437B">
        <w:rPr>
          <w:rFonts w:cs="Times New Roman"/>
        </w:rPr>
        <w:t xml:space="preserve"> </w:t>
      </w:r>
      <w:r w:rsidR="00FD07DC">
        <w:rPr>
          <w:rFonts w:cs="Times New Roman"/>
        </w:rPr>
        <w:t xml:space="preserve">of the 28 </w:t>
      </w:r>
      <w:r w:rsidR="0098437B">
        <w:rPr>
          <w:rFonts w:cs="Times New Roman"/>
        </w:rPr>
        <w:t>European Union</w:t>
      </w:r>
      <w:r w:rsidR="0012453D" w:rsidRPr="00254BF5">
        <w:rPr>
          <w:rFonts w:cs="Times New Roman"/>
        </w:rPr>
        <w:t xml:space="preserve"> </w:t>
      </w:r>
      <w:r w:rsidR="00354801">
        <w:rPr>
          <w:rFonts w:cs="Times New Roman"/>
        </w:rPr>
        <w:t xml:space="preserve">(EU) </w:t>
      </w:r>
      <w:r w:rsidR="00B30D59">
        <w:rPr>
          <w:rFonts w:cs="Times New Roman"/>
        </w:rPr>
        <w:t xml:space="preserve">countries </w:t>
      </w:r>
      <w:r w:rsidR="0012453D" w:rsidRPr="00254BF5">
        <w:rPr>
          <w:rFonts w:cs="Times New Roman"/>
        </w:rPr>
        <w:t>shoot</w:t>
      </w:r>
      <w:r w:rsidR="00E1183D" w:rsidRPr="00254BF5">
        <w:rPr>
          <w:rFonts w:cs="Times New Roman"/>
        </w:rPr>
        <w:t xml:space="preserve"> over </w:t>
      </w:r>
      <w:r w:rsidR="0023760B">
        <w:rPr>
          <w:rFonts w:cs="Times New Roman"/>
        </w:rPr>
        <w:t>6</w:t>
      </w:r>
      <w:r w:rsidR="00B30D59">
        <w:rPr>
          <w:rFonts w:cs="Times New Roman"/>
        </w:rPr>
        <w:t xml:space="preserve"> </w:t>
      </w:r>
      <w:r w:rsidR="0012453D" w:rsidRPr="00254BF5">
        <w:rPr>
          <w:rFonts w:cs="Times New Roman"/>
        </w:rPr>
        <w:t>million large game mammal</w:t>
      </w:r>
      <w:r w:rsidR="00172F39" w:rsidRPr="00254BF5">
        <w:rPr>
          <w:rFonts w:cs="Times New Roman"/>
        </w:rPr>
        <w:t>s</w:t>
      </w:r>
      <w:r w:rsidR="00884488">
        <w:rPr>
          <w:rFonts w:cs="Times New Roman"/>
        </w:rPr>
        <w:t>,</w:t>
      </w:r>
      <w:r w:rsidR="00AF1CF7">
        <w:rPr>
          <w:rFonts w:cs="Times New Roman"/>
        </w:rPr>
        <w:t xml:space="preserve"> </w:t>
      </w:r>
      <w:r w:rsidR="00B30D59">
        <w:rPr>
          <w:rFonts w:cs="Times New Roman"/>
        </w:rPr>
        <w:t>1</w:t>
      </w:r>
      <w:r w:rsidR="0023760B">
        <w:rPr>
          <w:rFonts w:cs="Times New Roman"/>
        </w:rPr>
        <w:t>2</w:t>
      </w:r>
      <w:r w:rsidR="00B30D59">
        <w:rPr>
          <w:rFonts w:cs="Times New Roman"/>
        </w:rPr>
        <w:t xml:space="preserve"> million </w:t>
      </w:r>
      <w:r w:rsidR="001C56EA">
        <w:rPr>
          <w:rFonts w:cs="Times New Roman"/>
        </w:rPr>
        <w:t>r</w:t>
      </w:r>
      <w:r w:rsidR="00B30D59">
        <w:rPr>
          <w:rFonts w:cs="Times New Roman"/>
        </w:rPr>
        <w:t xml:space="preserve">abbits and </w:t>
      </w:r>
      <w:r w:rsidR="001C56EA">
        <w:rPr>
          <w:rFonts w:cs="Times New Roman"/>
        </w:rPr>
        <w:t>h</w:t>
      </w:r>
      <w:r w:rsidR="00B30D59">
        <w:rPr>
          <w:rFonts w:cs="Times New Roman"/>
        </w:rPr>
        <w:t>ares</w:t>
      </w:r>
      <w:r w:rsidR="00884488">
        <w:rPr>
          <w:rFonts w:cs="Times New Roman"/>
        </w:rPr>
        <w:t>, and o</w:t>
      </w:r>
      <w:r w:rsidR="00F4166F">
        <w:rPr>
          <w:rFonts w:cs="Times New Roman"/>
        </w:rPr>
        <w:t xml:space="preserve">ver 80 </w:t>
      </w:r>
      <w:r w:rsidR="00172F39" w:rsidRPr="00254BF5">
        <w:rPr>
          <w:rFonts w:cs="Times New Roman"/>
        </w:rPr>
        <w:t>million birds</w:t>
      </w:r>
      <w:r w:rsidR="00884488">
        <w:rPr>
          <w:rFonts w:cs="Times New Roman"/>
        </w:rPr>
        <w:t>.</w:t>
      </w:r>
      <w:r w:rsidR="00354801">
        <w:rPr>
          <w:rFonts w:cs="Times New Roman"/>
        </w:rPr>
        <w:t xml:space="preserve"> </w:t>
      </w:r>
      <w:r w:rsidR="00174DB4">
        <w:rPr>
          <w:rFonts w:cs="Times New Roman"/>
        </w:rPr>
        <w:t>Th</w:t>
      </w:r>
      <w:r w:rsidR="00E66062">
        <w:rPr>
          <w:rFonts w:cs="Times New Roman"/>
        </w:rPr>
        <w:t>ey</w:t>
      </w:r>
      <w:r>
        <w:rPr>
          <w:rFonts w:cs="Times New Roman"/>
        </w:rPr>
        <w:t xml:space="preserve"> </w:t>
      </w:r>
      <w:r w:rsidR="00172F39" w:rsidRPr="00254BF5">
        <w:rPr>
          <w:rFonts w:cs="Times New Roman"/>
        </w:rPr>
        <w:t>support an international game meat m</w:t>
      </w:r>
      <w:r w:rsidR="00E1183D" w:rsidRPr="00254BF5">
        <w:rPr>
          <w:rFonts w:cs="Times New Roman"/>
        </w:rPr>
        <w:t xml:space="preserve">arket </w:t>
      </w:r>
      <w:r w:rsidR="00FE73ED">
        <w:rPr>
          <w:rFonts w:cs="Times New Roman"/>
        </w:rPr>
        <w:t>worth</w:t>
      </w:r>
      <w:r w:rsidR="00E1183D" w:rsidRPr="00254BF5">
        <w:rPr>
          <w:rFonts w:cs="Times New Roman"/>
        </w:rPr>
        <w:t xml:space="preserve"> over </w:t>
      </w:r>
      <w:r w:rsidR="00222F91">
        <w:rPr>
          <w:rFonts w:cs="Times New Roman"/>
        </w:rPr>
        <w:t>1.</w:t>
      </w:r>
      <w:r w:rsidR="008D3D9D">
        <w:rPr>
          <w:rFonts w:cs="Times New Roman"/>
        </w:rPr>
        <w:t>1</w:t>
      </w:r>
      <w:r w:rsidR="00222F91">
        <w:rPr>
          <w:rFonts w:cs="Times New Roman"/>
        </w:rPr>
        <w:t xml:space="preserve"> </w:t>
      </w:r>
      <w:r w:rsidR="002616AA">
        <w:rPr>
          <w:rFonts w:cs="Times New Roman"/>
        </w:rPr>
        <w:t>billion</w:t>
      </w:r>
      <w:r w:rsidR="00172F39" w:rsidRPr="00254BF5">
        <w:rPr>
          <w:rFonts w:cs="Times New Roman"/>
        </w:rPr>
        <w:t xml:space="preserve"> </w:t>
      </w:r>
      <w:r w:rsidR="008D3D9D">
        <w:rPr>
          <w:rFonts w:cs="Times New Roman"/>
        </w:rPr>
        <w:t>Euros</w:t>
      </w:r>
      <w:r w:rsidR="00172F39" w:rsidRPr="00254BF5">
        <w:rPr>
          <w:rFonts w:cs="Times New Roman"/>
        </w:rPr>
        <w:t xml:space="preserve">. </w:t>
      </w:r>
      <w:r w:rsidR="00174DB4">
        <w:rPr>
          <w:rFonts w:cs="Times New Roman"/>
        </w:rPr>
        <w:t>A</w:t>
      </w:r>
      <w:r w:rsidR="007672D1">
        <w:rPr>
          <w:rFonts w:cs="Times New Roman"/>
        </w:rPr>
        <w:t>nimals shot with</w:t>
      </w:r>
      <w:r w:rsidR="00E1183D" w:rsidRPr="00254BF5">
        <w:rPr>
          <w:rFonts w:cs="Times New Roman"/>
        </w:rPr>
        <w:t xml:space="preserve"> lead ammunition</w:t>
      </w:r>
      <w:r w:rsidR="00174DB4">
        <w:rPr>
          <w:rFonts w:cs="Times New Roman"/>
        </w:rPr>
        <w:t xml:space="preserve"> frequently contain</w:t>
      </w:r>
      <w:r w:rsidR="007672D1">
        <w:rPr>
          <w:rFonts w:cs="Times New Roman"/>
        </w:rPr>
        <w:t xml:space="preserve"> </w:t>
      </w:r>
      <w:r w:rsidR="002F2331" w:rsidRPr="00254BF5">
        <w:rPr>
          <w:rFonts w:cs="Times New Roman"/>
        </w:rPr>
        <w:t xml:space="preserve">lead </w:t>
      </w:r>
      <w:r w:rsidR="00174DB4">
        <w:rPr>
          <w:rFonts w:cs="Times New Roman"/>
        </w:rPr>
        <w:t xml:space="preserve">fragments </w:t>
      </w:r>
      <w:r w:rsidR="002F2331" w:rsidRPr="00254BF5">
        <w:rPr>
          <w:rFonts w:cs="Times New Roman"/>
        </w:rPr>
        <w:t>in</w:t>
      </w:r>
      <w:r w:rsidR="007672D1">
        <w:rPr>
          <w:rFonts w:cs="Times New Roman"/>
        </w:rPr>
        <w:t xml:space="preserve"> </w:t>
      </w:r>
      <w:r w:rsidR="00354801">
        <w:rPr>
          <w:rFonts w:cs="Times New Roman"/>
        </w:rPr>
        <w:t xml:space="preserve">the </w:t>
      </w:r>
      <w:r w:rsidR="002F2331" w:rsidRPr="00254BF5">
        <w:rPr>
          <w:rFonts w:cs="Times New Roman"/>
        </w:rPr>
        <w:t>carcass</w:t>
      </w:r>
      <w:r w:rsidR="00174DB4">
        <w:rPr>
          <w:rFonts w:cs="Times New Roman"/>
        </w:rPr>
        <w:t xml:space="preserve"> which</w:t>
      </w:r>
      <w:r w:rsidR="00172F39" w:rsidRPr="00254BF5">
        <w:rPr>
          <w:rFonts w:cs="Times New Roman"/>
        </w:rPr>
        <w:t xml:space="preserve"> contaminate</w:t>
      </w:r>
      <w:r w:rsidR="00132A53">
        <w:rPr>
          <w:rFonts w:cs="Times New Roman"/>
        </w:rPr>
        <w:t xml:space="preserve"> meals made from </w:t>
      </w:r>
      <w:r w:rsidR="00172F39" w:rsidRPr="00254BF5">
        <w:rPr>
          <w:rFonts w:cs="Times New Roman"/>
        </w:rPr>
        <w:t>game meat</w:t>
      </w:r>
      <w:r w:rsidR="00132A53">
        <w:rPr>
          <w:rFonts w:cs="Times New Roman"/>
        </w:rPr>
        <w:t xml:space="preserve"> with concentrations of lead</w:t>
      </w:r>
      <w:r w:rsidR="00172F39" w:rsidRPr="00254BF5">
        <w:rPr>
          <w:rFonts w:cs="Times New Roman"/>
        </w:rPr>
        <w:t xml:space="preserve"> </w:t>
      </w:r>
      <w:r w:rsidR="00F27749" w:rsidRPr="00254BF5">
        <w:rPr>
          <w:rFonts w:cs="Times New Roman"/>
        </w:rPr>
        <w:t xml:space="preserve">substantially </w:t>
      </w:r>
      <w:r w:rsidR="00132A53">
        <w:rPr>
          <w:rFonts w:cs="Times New Roman"/>
        </w:rPr>
        <w:t>above</w:t>
      </w:r>
      <w:r w:rsidR="00172F39" w:rsidRPr="00254BF5">
        <w:rPr>
          <w:rFonts w:cs="Times New Roman"/>
        </w:rPr>
        <w:t xml:space="preserve"> the maximum allowable level</w:t>
      </w:r>
      <w:r w:rsidR="00341276" w:rsidRPr="00254BF5">
        <w:rPr>
          <w:rFonts w:cs="Times New Roman"/>
        </w:rPr>
        <w:t xml:space="preserve"> (ML)</w:t>
      </w:r>
      <w:r w:rsidR="00172F39" w:rsidRPr="00254BF5">
        <w:rPr>
          <w:rFonts w:cs="Times New Roman"/>
        </w:rPr>
        <w:t xml:space="preserve"> set by European Commission</w:t>
      </w:r>
      <w:r w:rsidR="00341276" w:rsidRPr="00254BF5">
        <w:rPr>
          <w:rFonts w:cs="Times New Roman"/>
        </w:rPr>
        <w:t xml:space="preserve"> Regulation</w:t>
      </w:r>
      <w:r w:rsidR="00172F39" w:rsidRPr="00254BF5">
        <w:rPr>
          <w:rFonts w:cs="Times New Roman"/>
        </w:rPr>
        <w:t xml:space="preserve"> </w:t>
      </w:r>
      <w:r w:rsidR="00F27749" w:rsidRPr="00254BF5">
        <w:rPr>
          <w:rFonts w:cs="Times New Roman"/>
        </w:rPr>
        <w:t xml:space="preserve">EC1881/2006 </w:t>
      </w:r>
      <w:r w:rsidR="00172F39" w:rsidRPr="00254BF5">
        <w:rPr>
          <w:rFonts w:cs="Times New Roman"/>
        </w:rPr>
        <w:t xml:space="preserve">for </w:t>
      </w:r>
      <w:r w:rsidR="00132A53">
        <w:rPr>
          <w:rFonts w:cs="Times New Roman"/>
        </w:rPr>
        <w:t xml:space="preserve">meat from </w:t>
      </w:r>
      <w:r w:rsidR="00172F39" w:rsidRPr="00254BF5">
        <w:rPr>
          <w:rFonts w:cs="Times New Roman"/>
        </w:rPr>
        <w:t>domestica</w:t>
      </w:r>
      <w:r w:rsidR="00132A53">
        <w:rPr>
          <w:rFonts w:cs="Times New Roman"/>
        </w:rPr>
        <w:t>ted animals</w:t>
      </w:r>
      <w:r w:rsidR="00172F39" w:rsidRPr="00254BF5">
        <w:rPr>
          <w:rFonts w:cs="Times New Roman"/>
        </w:rPr>
        <w:t xml:space="preserve">. </w:t>
      </w:r>
      <w:r w:rsidR="00F93F28" w:rsidRPr="00254BF5">
        <w:rPr>
          <w:rFonts w:cs="Times New Roman"/>
        </w:rPr>
        <w:t xml:space="preserve">This poses a health risk to </w:t>
      </w:r>
      <w:r w:rsidR="00341276" w:rsidRPr="00254BF5">
        <w:rPr>
          <w:rFonts w:cs="Times New Roman"/>
        </w:rPr>
        <w:t>frequent consumers of wild-shot game meat</w:t>
      </w:r>
      <w:r w:rsidR="00FE73ED">
        <w:rPr>
          <w:rFonts w:cs="Times New Roman"/>
        </w:rPr>
        <w:t xml:space="preserve">, with </w:t>
      </w:r>
      <w:r w:rsidR="00FE73ED" w:rsidRPr="00254BF5">
        <w:rPr>
          <w:rFonts w:cs="Times New Roman"/>
        </w:rPr>
        <w:t>children and pregnant women</w:t>
      </w:r>
      <w:r w:rsidR="00FE73ED">
        <w:rPr>
          <w:rFonts w:cs="Times New Roman"/>
        </w:rPr>
        <w:t xml:space="preserve"> being </w:t>
      </w:r>
      <w:r w:rsidR="00341276" w:rsidRPr="00254BF5">
        <w:rPr>
          <w:rFonts w:cs="Times New Roman"/>
        </w:rPr>
        <w:t xml:space="preserve">particularly </w:t>
      </w:r>
      <w:r w:rsidR="00884488">
        <w:rPr>
          <w:rFonts w:cs="Times New Roman"/>
        </w:rPr>
        <w:t>vulnerable</w:t>
      </w:r>
      <w:r w:rsidR="00FE73ED">
        <w:rPr>
          <w:rFonts w:cs="Times New Roman"/>
        </w:rPr>
        <w:t xml:space="preserve">. </w:t>
      </w:r>
      <w:r w:rsidR="00F93F28" w:rsidRPr="00254BF5">
        <w:rPr>
          <w:rFonts w:cs="Times New Roman"/>
        </w:rPr>
        <w:t xml:space="preserve"> </w:t>
      </w:r>
      <w:r w:rsidR="00FE73ED">
        <w:rPr>
          <w:rFonts w:cs="Times New Roman"/>
        </w:rPr>
        <w:t>T</w:t>
      </w:r>
      <w:r w:rsidR="00C74651" w:rsidRPr="00254BF5">
        <w:rPr>
          <w:rFonts w:cs="Times New Roman"/>
        </w:rPr>
        <w:t xml:space="preserve">otal </w:t>
      </w:r>
      <w:r w:rsidR="00E228B0" w:rsidRPr="00254BF5">
        <w:rPr>
          <w:rFonts w:cs="Times New Roman"/>
        </w:rPr>
        <w:t xml:space="preserve">replacement of lead </w:t>
      </w:r>
      <w:r w:rsidR="00172F39" w:rsidRPr="00254BF5">
        <w:rPr>
          <w:rFonts w:cs="Times New Roman"/>
        </w:rPr>
        <w:t xml:space="preserve">rifle and shotgun ammunition </w:t>
      </w:r>
      <w:r w:rsidR="00E228B0" w:rsidRPr="00254BF5">
        <w:rPr>
          <w:rFonts w:cs="Times New Roman"/>
        </w:rPr>
        <w:t xml:space="preserve">with </w:t>
      </w:r>
      <w:r w:rsidR="00884488">
        <w:rPr>
          <w:rFonts w:cs="Times New Roman"/>
        </w:rPr>
        <w:t xml:space="preserve">available </w:t>
      </w:r>
      <w:r w:rsidR="00E228B0" w:rsidRPr="00254BF5">
        <w:rPr>
          <w:rFonts w:cs="Times New Roman"/>
        </w:rPr>
        <w:t xml:space="preserve">non-toxic alternatives </w:t>
      </w:r>
      <w:r w:rsidR="00C74651" w:rsidRPr="00254BF5">
        <w:rPr>
          <w:rFonts w:cs="Times New Roman"/>
        </w:rPr>
        <w:t xml:space="preserve">is needed </w:t>
      </w:r>
      <w:r w:rsidR="00172F39" w:rsidRPr="00254BF5">
        <w:rPr>
          <w:rFonts w:cs="Times New Roman"/>
        </w:rPr>
        <w:t xml:space="preserve">for all hunting in EU </w:t>
      </w:r>
      <w:r w:rsidR="00C74651" w:rsidRPr="00254BF5">
        <w:rPr>
          <w:rFonts w:cs="Times New Roman"/>
        </w:rPr>
        <w:t>nations to</w:t>
      </w:r>
      <w:r w:rsidR="00D12B10" w:rsidRPr="00254BF5">
        <w:rPr>
          <w:rFonts w:cs="Times New Roman"/>
        </w:rPr>
        <w:t xml:space="preserve"> </w:t>
      </w:r>
      <w:r w:rsidR="00FE73ED">
        <w:rPr>
          <w:rFonts w:cs="Times New Roman"/>
        </w:rPr>
        <w:t>prevent</w:t>
      </w:r>
      <w:r w:rsidR="00F97751" w:rsidRPr="00254BF5">
        <w:rPr>
          <w:rFonts w:cs="Times New Roman"/>
        </w:rPr>
        <w:t xml:space="preserve"> exposure of humans</w:t>
      </w:r>
      <w:r w:rsidR="00FE73ED">
        <w:rPr>
          <w:rFonts w:cs="Times New Roman"/>
        </w:rPr>
        <w:t xml:space="preserve"> and</w:t>
      </w:r>
      <w:r w:rsidR="00E228B0" w:rsidRPr="00254BF5">
        <w:rPr>
          <w:rFonts w:cs="Times New Roman"/>
        </w:rPr>
        <w:t xml:space="preserve"> </w:t>
      </w:r>
      <w:r w:rsidR="00F97751" w:rsidRPr="00254BF5">
        <w:rPr>
          <w:rFonts w:cs="Times New Roman"/>
        </w:rPr>
        <w:t>wildlife</w:t>
      </w:r>
      <w:r w:rsidR="00FE73ED">
        <w:rPr>
          <w:rFonts w:cs="Times New Roman"/>
        </w:rPr>
        <w:t xml:space="preserve"> to ammunition-derived lead </w:t>
      </w:r>
      <w:r w:rsidR="00FD34EA" w:rsidRPr="00254BF5">
        <w:rPr>
          <w:rFonts w:cs="Times New Roman"/>
        </w:rPr>
        <w:t>and</w:t>
      </w:r>
      <w:r w:rsidR="00FE73ED">
        <w:rPr>
          <w:rFonts w:cs="Times New Roman"/>
        </w:rPr>
        <w:t xml:space="preserve"> to allow the depletion of</w:t>
      </w:r>
      <w:r w:rsidR="00FD34EA" w:rsidRPr="00254BF5">
        <w:rPr>
          <w:rFonts w:cs="Times New Roman"/>
        </w:rPr>
        <w:t xml:space="preserve"> the </w:t>
      </w:r>
      <w:r w:rsidR="00FE73ED">
        <w:rPr>
          <w:rFonts w:cs="Times New Roman"/>
        </w:rPr>
        <w:t>long-term</w:t>
      </w:r>
      <w:r w:rsidR="001B153E" w:rsidRPr="00254BF5">
        <w:rPr>
          <w:rFonts w:cs="Times New Roman"/>
        </w:rPr>
        <w:t xml:space="preserve"> </w:t>
      </w:r>
      <w:r w:rsidR="00FD34EA" w:rsidRPr="00254BF5">
        <w:rPr>
          <w:rFonts w:cs="Times New Roman"/>
        </w:rPr>
        <w:t>environmental legacy of lead from spent ammunition</w:t>
      </w:r>
      <w:r w:rsidR="00F97751" w:rsidRPr="00254BF5">
        <w:rPr>
          <w:rFonts w:cs="Times New Roman"/>
        </w:rPr>
        <w:t>.</w:t>
      </w:r>
      <w:r w:rsidR="00172F39" w:rsidRPr="00254BF5">
        <w:rPr>
          <w:rFonts w:cs="Times New Roman"/>
        </w:rPr>
        <w:t xml:space="preserve"> </w:t>
      </w:r>
      <w:r w:rsidR="00C74651" w:rsidRPr="00254BF5">
        <w:rPr>
          <w:rFonts w:cs="Times New Roman"/>
        </w:rPr>
        <w:t>We propose that EC1881/2006 be amended to incorporate an ML for game meats as a</w:t>
      </w:r>
      <w:r w:rsidR="00E228B0" w:rsidRPr="00254BF5">
        <w:rPr>
          <w:rFonts w:cs="Times New Roman"/>
        </w:rPr>
        <w:t xml:space="preserve"> supplementary measure</w:t>
      </w:r>
      <w:r w:rsidR="00C74651" w:rsidRPr="00254BF5">
        <w:rPr>
          <w:rFonts w:cs="Times New Roman"/>
        </w:rPr>
        <w:t xml:space="preserve"> to the replacement of lead ammunition.</w:t>
      </w:r>
      <w:r w:rsidR="00E228B0" w:rsidRPr="00254BF5">
        <w:rPr>
          <w:rFonts w:cs="Times New Roman"/>
        </w:rPr>
        <w:t xml:space="preserve"> </w:t>
      </w:r>
      <w:r w:rsidR="00C74651" w:rsidRPr="00254BF5">
        <w:rPr>
          <w:rFonts w:cs="Times New Roman"/>
        </w:rPr>
        <w:t xml:space="preserve">This would harmonise food safety standards for lead in meats </w:t>
      </w:r>
      <w:r w:rsidR="0070290B">
        <w:rPr>
          <w:rFonts w:cs="Times New Roman"/>
        </w:rPr>
        <w:t xml:space="preserve">traded </w:t>
      </w:r>
      <w:r w:rsidR="00C74651" w:rsidRPr="00254BF5">
        <w:rPr>
          <w:rFonts w:cs="Times New Roman"/>
        </w:rPr>
        <w:t xml:space="preserve">across and imported </w:t>
      </w:r>
      <w:r w:rsidR="0070290B">
        <w:rPr>
          <w:rFonts w:cs="Times New Roman"/>
        </w:rPr>
        <w:t>in</w:t>
      </w:r>
      <w:r w:rsidR="00C74651" w:rsidRPr="00254BF5">
        <w:rPr>
          <w:rFonts w:cs="Times New Roman"/>
        </w:rPr>
        <w:t>to the EU</w:t>
      </w:r>
      <w:r w:rsidR="0082106A">
        <w:rPr>
          <w:rFonts w:cs="Times New Roman"/>
        </w:rPr>
        <w:t>.</w:t>
      </w:r>
      <w:r w:rsidR="0070290B">
        <w:rPr>
          <w:rFonts w:cs="Times New Roman"/>
        </w:rPr>
        <w:t xml:space="preserve"> </w:t>
      </w:r>
    </w:p>
    <w:p w14:paraId="3970B2B6" w14:textId="479BEB68" w:rsidR="00E43468" w:rsidRDefault="00800EC4" w:rsidP="00800EC4">
      <w:pPr>
        <w:rPr>
          <w:rFonts w:cs="Times New Roman"/>
        </w:rPr>
      </w:pPr>
      <w:r w:rsidRPr="00254BF5">
        <w:rPr>
          <w:rFonts w:cs="Times New Roman"/>
          <w:b/>
        </w:rPr>
        <w:t>Keywords:</w:t>
      </w:r>
      <w:r w:rsidR="001B153E" w:rsidRPr="00254BF5">
        <w:rPr>
          <w:rFonts w:cs="Times New Roman"/>
          <w:b/>
        </w:rPr>
        <w:t xml:space="preserve"> </w:t>
      </w:r>
      <w:r w:rsidR="006A2A80" w:rsidRPr="00254BF5">
        <w:rPr>
          <w:rFonts w:cs="Times New Roman"/>
        </w:rPr>
        <w:t>Europe</w:t>
      </w:r>
      <w:r w:rsidR="006A2A80">
        <w:rPr>
          <w:rFonts w:cs="Times New Roman"/>
        </w:rPr>
        <w:t xml:space="preserve">, </w:t>
      </w:r>
      <w:r w:rsidR="006A2A80" w:rsidRPr="00254BF5">
        <w:rPr>
          <w:rFonts w:cs="Times New Roman"/>
        </w:rPr>
        <w:t>game meat</w:t>
      </w:r>
      <w:r w:rsidR="003D6D9E" w:rsidRPr="00254BF5">
        <w:rPr>
          <w:rFonts w:cs="Times New Roman"/>
        </w:rPr>
        <w:t>, hunting,</w:t>
      </w:r>
      <w:r w:rsidR="001B153E" w:rsidRPr="00254BF5">
        <w:rPr>
          <w:rFonts w:cs="Times New Roman"/>
        </w:rPr>
        <w:t xml:space="preserve"> international trade</w:t>
      </w:r>
      <w:r w:rsidR="006A2A80">
        <w:rPr>
          <w:rFonts w:cs="Times New Roman"/>
        </w:rPr>
        <w:t>,</w:t>
      </w:r>
      <w:r w:rsidR="003D6D9E" w:rsidRPr="00254BF5">
        <w:rPr>
          <w:rFonts w:cs="Times New Roman"/>
        </w:rPr>
        <w:t xml:space="preserve"> </w:t>
      </w:r>
      <w:r w:rsidR="00711643">
        <w:rPr>
          <w:rFonts w:cs="Times New Roman"/>
        </w:rPr>
        <w:t xml:space="preserve">regulation, </w:t>
      </w:r>
      <w:r w:rsidR="00E43468" w:rsidRPr="00254BF5">
        <w:rPr>
          <w:rFonts w:cs="Times New Roman"/>
        </w:rPr>
        <w:t>scavengers</w:t>
      </w:r>
    </w:p>
    <w:p w14:paraId="461F030E" w14:textId="77777777" w:rsidR="00174DB4" w:rsidRDefault="00174DB4" w:rsidP="00800EC4">
      <w:pPr>
        <w:rPr>
          <w:rFonts w:cs="Times New Roman"/>
        </w:rPr>
      </w:pPr>
    </w:p>
    <w:p w14:paraId="5BEDD4AC" w14:textId="77777777" w:rsidR="00C576E3" w:rsidRDefault="00C576E3" w:rsidP="00800EC4">
      <w:pPr>
        <w:rPr>
          <w:rFonts w:cs="Times New Roman"/>
        </w:rPr>
      </w:pPr>
    </w:p>
    <w:p w14:paraId="748B5009" w14:textId="77777777" w:rsidR="00174DB4" w:rsidRPr="00254BF5" w:rsidRDefault="00174DB4" w:rsidP="00800EC4">
      <w:pPr>
        <w:rPr>
          <w:rFonts w:cs="Times New Roman"/>
        </w:rPr>
      </w:pPr>
    </w:p>
    <w:p w14:paraId="7A00476F" w14:textId="77777777" w:rsidR="0082106A" w:rsidRDefault="0082106A" w:rsidP="00C576E3">
      <w:pPr>
        <w:spacing w:line="480" w:lineRule="auto"/>
        <w:rPr>
          <w:rFonts w:cs="Times New Roman"/>
          <w:b/>
        </w:rPr>
      </w:pPr>
    </w:p>
    <w:p w14:paraId="5893B0BB" w14:textId="77777777" w:rsidR="000E55B7" w:rsidRPr="00F351D4" w:rsidRDefault="00800EC4" w:rsidP="00C576E3">
      <w:pPr>
        <w:spacing w:line="480" w:lineRule="auto"/>
        <w:rPr>
          <w:rFonts w:cs="Times New Roman"/>
        </w:rPr>
      </w:pPr>
      <w:r w:rsidRPr="00F351D4">
        <w:rPr>
          <w:rFonts w:cs="Times New Roman"/>
          <w:b/>
        </w:rPr>
        <w:lastRenderedPageBreak/>
        <w:t>INTRODUCTION</w:t>
      </w:r>
    </w:p>
    <w:p w14:paraId="34EFD5B1" w14:textId="252ECA53" w:rsidR="0025302B" w:rsidRPr="00A14C8F" w:rsidRDefault="001B5A3A" w:rsidP="00C576E3">
      <w:pPr>
        <w:spacing w:line="480" w:lineRule="auto"/>
        <w:ind w:firstLine="720"/>
        <w:rPr>
          <w:rFonts w:cs="Times New Roman"/>
        </w:rPr>
      </w:pPr>
      <w:r w:rsidRPr="00A14C8F">
        <w:rPr>
          <w:rFonts w:cs="Times New Roman"/>
        </w:rPr>
        <w:t xml:space="preserve">Modern European hunting </w:t>
      </w:r>
      <w:r w:rsidR="0025302B" w:rsidRPr="00A14C8F">
        <w:rPr>
          <w:rFonts w:cs="Times New Roman"/>
        </w:rPr>
        <w:t>result</w:t>
      </w:r>
      <w:r w:rsidRPr="00A14C8F">
        <w:rPr>
          <w:rFonts w:cs="Times New Roman"/>
        </w:rPr>
        <w:t xml:space="preserve">s in </w:t>
      </w:r>
      <w:r w:rsidR="0025302B" w:rsidRPr="00A14C8F">
        <w:rPr>
          <w:rFonts w:cs="Times New Roman"/>
        </w:rPr>
        <w:t xml:space="preserve">game meat </w:t>
      </w:r>
      <w:r w:rsidRPr="00A14C8F">
        <w:rPr>
          <w:rFonts w:cs="Times New Roman"/>
        </w:rPr>
        <w:t xml:space="preserve">that </w:t>
      </w:r>
      <w:r w:rsidR="0025302B" w:rsidRPr="00A14C8F">
        <w:rPr>
          <w:rFonts w:cs="Times New Roman"/>
        </w:rPr>
        <w:t xml:space="preserve">is </w:t>
      </w:r>
      <w:r w:rsidR="009C0F03" w:rsidRPr="00A14C8F">
        <w:rPr>
          <w:rFonts w:cs="Times New Roman"/>
        </w:rPr>
        <w:t xml:space="preserve">consumed </w:t>
      </w:r>
      <w:r w:rsidR="0025302B" w:rsidRPr="00A14C8F">
        <w:rPr>
          <w:rFonts w:cs="Times New Roman"/>
        </w:rPr>
        <w:t>either by hunters</w:t>
      </w:r>
      <w:r w:rsidRPr="00A14C8F">
        <w:rPr>
          <w:rFonts w:cs="Times New Roman"/>
        </w:rPr>
        <w:t>,</w:t>
      </w:r>
      <w:r w:rsidR="0025302B" w:rsidRPr="00A14C8F">
        <w:rPr>
          <w:rFonts w:cs="Times New Roman"/>
        </w:rPr>
        <w:t xml:space="preserve"> </w:t>
      </w:r>
      <w:r w:rsidRPr="00A14C8F">
        <w:rPr>
          <w:rFonts w:cs="Times New Roman"/>
        </w:rPr>
        <w:t>their</w:t>
      </w:r>
      <w:r w:rsidR="0070290B" w:rsidRPr="00A14C8F">
        <w:rPr>
          <w:rFonts w:cs="Times New Roman"/>
        </w:rPr>
        <w:t xml:space="preserve"> families and associates</w:t>
      </w:r>
      <w:r w:rsidR="0025302B" w:rsidRPr="00A14C8F">
        <w:rPr>
          <w:rFonts w:cs="Times New Roman"/>
        </w:rPr>
        <w:t xml:space="preserve">, or enters the </w:t>
      </w:r>
      <w:r w:rsidR="003A6C0B">
        <w:rPr>
          <w:rFonts w:cs="Times New Roman"/>
        </w:rPr>
        <w:t xml:space="preserve">retail </w:t>
      </w:r>
      <w:r w:rsidR="0025302B" w:rsidRPr="00A14C8F">
        <w:rPr>
          <w:rFonts w:cs="Times New Roman"/>
        </w:rPr>
        <w:t xml:space="preserve">market place </w:t>
      </w:r>
      <w:r w:rsidR="003A6C0B">
        <w:rPr>
          <w:rFonts w:cs="Times New Roman"/>
        </w:rPr>
        <w:t xml:space="preserve">and </w:t>
      </w:r>
      <w:r w:rsidR="0025302B" w:rsidRPr="00A14C8F">
        <w:rPr>
          <w:rFonts w:cs="Times New Roman"/>
        </w:rPr>
        <w:t>restaurants</w:t>
      </w:r>
      <w:r w:rsidR="0025422E" w:rsidRPr="00A14C8F">
        <w:rPr>
          <w:rFonts w:cs="Times New Roman"/>
        </w:rPr>
        <w:t xml:space="preserve"> (</w:t>
      </w:r>
      <w:proofErr w:type="spellStart"/>
      <w:r w:rsidR="0025422E" w:rsidRPr="00A14C8F">
        <w:rPr>
          <w:rFonts w:cs="Times New Roman"/>
        </w:rPr>
        <w:t>Schulp</w:t>
      </w:r>
      <w:proofErr w:type="spellEnd"/>
      <w:r w:rsidR="0025422E" w:rsidRPr="00A14C8F">
        <w:rPr>
          <w:rFonts w:cs="Times New Roman"/>
        </w:rPr>
        <w:t xml:space="preserve"> </w:t>
      </w:r>
      <w:r w:rsidR="00706B01" w:rsidRPr="00A14C8F">
        <w:rPr>
          <w:rFonts w:cs="Times New Roman"/>
        </w:rPr>
        <w:t>et al.</w:t>
      </w:r>
      <w:r w:rsidR="003F47B3" w:rsidRPr="00A14C8F">
        <w:rPr>
          <w:rFonts w:cs="Times New Roman"/>
        </w:rPr>
        <w:t xml:space="preserve"> </w:t>
      </w:r>
      <w:r w:rsidR="0025422E" w:rsidRPr="00A14C8F">
        <w:rPr>
          <w:rFonts w:cs="Times New Roman"/>
        </w:rPr>
        <w:t>2014). The</w:t>
      </w:r>
      <w:r w:rsidR="0025302B" w:rsidRPr="00A14C8F">
        <w:rPr>
          <w:rFonts w:cs="Times New Roman"/>
        </w:rPr>
        <w:t xml:space="preserve"> trade in game meat is large (FAO 2018), both within and among European nations</w:t>
      </w:r>
      <w:r w:rsidR="00F27749" w:rsidRPr="00A14C8F">
        <w:rPr>
          <w:rFonts w:cs="Times New Roman"/>
        </w:rPr>
        <w:t>, and between Europe and other countries</w:t>
      </w:r>
      <w:r w:rsidR="0025302B" w:rsidRPr="00A14C8F">
        <w:rPr>
          <w:rFonts w:cs="Times New Roman"/>
        </w:rPr>
        <w:t>. This trade generates large revenues (</w:t>
      </w:r>
      <w:proofErr w:type="spellStart"/>
      <w:r w:rsidR="0025302B" w:rsidRPr="00A14C8F">
        <w:rPr>
          <w:rFonts w:cs="Times New Roman"/>
        </w:rPr>
        <w:t>Schulp</w:t>
      </w:r>
      <w:proofErr w:type="spellEnd"/>
      <w:r w:rsidR="0025302B" w:rsidRPr="00A14C8F">
        <w:rPr>
          <w:rFonts w:cs="Times New Roman"/>
        </w:rPr>
        <w:t xml:space="preserve"> et al. 2014; FAO 2018) that offset the costs of maintaining habitats</w:t>
      </w:r>
      <w:r w:rsidR="0070290B" w:rsidRPr="00A14C8F">
        <w:rPr>
          <w:rFonts w:cs="Times New Roman"/>
        </w:rPr>
        <w:t xml:space="preserve"> on shooting estates</w:t>
      </w:r>
      <w:r w:rsidR="0025302B" w:rsidRPr="00A14C8F">
        <w:rPr>
          <w:rFonts w:cs="Times New Roman"/>
        </w:rPr>
        <w:t xml:space="preserve">. Human consumption of wild game meat is increasing </w:t>
      </w:r>
      <w:r w:rsidR="0070290B" w:rsidRPr="00A14C8F">
        <w:rPr>
          <w:rFonts w:cs="Times New Roman"/>
        </w:rPr>
        <w:t>, including</w:t>
      </w:r>
      <w:r w:rsidR="00CA3B48" w:rsidRPr="00A14C8F">
        <w:rPr>
          <w:rFonts w:cs="Times New Roman"/>
        </w:rPr>
        <w:t xml:space="preserve"> the UK </w:t>
      </w:r>
      <w:r w:rsidR="0070290B" w:rsidRPr="00A14C8F">
        <w:rPr>
          <w:rFonts w:cs="Times New Roman"/>
        </w:rPr>
        <w:t>(</w:t>
      </w:r>
      <w:r w:rsidR="00CA3B48" w:rsidRPr="00A14C8F">
        <w:rPr>
          <w:rFonts w:cs="Times New Roman"/>
        </w:rPr>
        <w:t>BASC 2018,</w:t>
      </w:r>
      <w:r w:rsidR="0025302B" w:rsidRPr="00A14C8F">
        <w:rPr>
          <w:rFonts w:cs="Times New Roman"/>
        </w:rPr>
        <w:t xml:space="preserve"> 2019), reflecting </w:t>
      </w:r>
      <w:r w:rsidR="0070290B" w:rsidRPr="00A14C8F">
        <w:rPr>
          <w:rFonts w:cs="Times New Roman"/>
        </w:rPr>
        <w:t xml:space="preserve">a </w:t>
      </w:r>
      <w:r w:rsidR="0025302B" w:rsidRPr="00A14C8F">
        <w:rPr>
          <w:rFonts w:cs="Times New Roman"/>
        </w:rPr>
        <w:t>preference  for ‘unfarmed’ meat</w:t>
      </w:r>
      <w:r w:rsidR="0070290B" w:rsidRPr="00A14C8F">
        <w:rPr>
          <w:rFonts w:cs="Times New Roman"/>
        </w:rPr>
        <w:t xml:space="preserve"> and</w:t>
      </w:r>
      <w:r w:rsidR="0025302B" w:rsidRPr="00A14C8F">
        <w:rPr>
          <w:rFonts w:cs="Times New Roman"/>
        </w:rPr>
        <w:t xml:space="preserve"> the promotion of wild game as a healthy alternative to other meats</w:t>
      </w:r>
      <w:r w:rsidR="00EE7B2D" w:rsidRPr="00A14C8F">
        <w:rPr>
          <w:rFonts w:cs="Times New Roman"/>
        </w:rPr>
        <w:t xml:space="preserve"> (Taggart et al. 2011)</w:t>
      </w:r>
      <w:r w:rsidR="0070290B" w:rsidRPr="00A14C8F">
        <w:rPr>
          <w:rFonts w:cs="Times New Roman"/>
        </w:rPr>
        <w:t xml:space="preserve">. </w:t>
      </w:r>
      <w:r w:rsidR="00A94449">
        <w:rPr>
          <w:rFonts w:cs="Times New Roman"/>
        </w:rPr>
        <w:t>C</w:t>
      </w:r>
      <w:r w:rsidR="0025302B" w:rsidRPr="00A14C8F">
        <w:rPr>
          <w:rFonts w:cs="Times New Roman"/>
        </w:rPr>
        <w:t>ampaigns</w:t>
      </w:r>
      <w:r w:rsidRPr="00A14C8F">
        <w:rPr>
          <w:rFonts w:cs="Times New Roman"/>
        </w:rPr>
        <w:t xml:space="preserve"> </w:t>
      </w:r>
      <w:r w:rsidR="0070290B" w:rsidRPr="00A14C8F">
        <w:rPr>
          <w:rFonts w:cs="Times New Roman"/>
        </w:rPr>
        <w:t>to promote</w:t>
      </w:r>
      <w:r w:rsidR="0025302B" w:rsidRPr="00A14C8F">
        <w:rPr>
          <w:rFonts w:cs="Times New Roman"/>
        </w:rPr>
        <w:t xml:space="preserve"> game meat consumption </w:t>
      </w:r>
      <w:r w:rsidR="00A94449">
        <w:rPr>
          <w:rFonts w:cs="Times New Roman"/>
        </w:rPr>
        <w:t xml:space="preserve">are active in the UK </w:t>
      </w:r>
      <w:r w:rsidR="0025302B" w:rsidRPr="00A14C8F">
        <w:rPr>
          <w:rFonts w:cs="Times New Roman"/>
        </w:rPr>
        <w:t>(CA 2019</w:t>
      </w:r>
      <w:r w:rsidR="00F27749" w:rsidRPr="00A14C8F">
        <w:rPr>
          <w:rFonts w:cs="Times New Roman"/>
        </w:rPr>
        <w:t>; BASC 2019</w:t>
      </w:r>
      <w:r w:rsidR="0025302B" w:rsidRPr="00A14C8F">
        <w:rPr>
          <w:rFonts w:cs="Times New Roman"/>
        </w:rPr>
        <w:t>)</w:t>
      </w:r>
      <w:r w:rsidRPr="00A14C8F">
        <w:rPr>
          <w:rFonts w:cs="Times New Roman"/>
        </w:rPr>
        <w:t xml:space="preserve">, </w:t>
      </w:r>
      <w:r w:rsidR="00A94449">
        <w:rPr>
          <w:rFonts w:cs="Times New Roman"/>
        </w:rPr>
        <w:t>as is</w:t>
      </w:r>
      <w:r w:rsidRPr="00A14C8F">
        <w:rPr>
          <w:rFonts w:cs="Times New Roman"/>
        </w:rPr>
        <w:t xml:space="preserve"> the Danish promotion of game meat in schools (DJA 2019)</w:t>
      </w:r>
      <w:r w:rsidR="0025302B" w:rsidRPr="00A14C8F">
        <w:rPr>
          <w:rFonts w:cs="Times New Roman"/>
        </w:rPr>
        <w:t>.</w:t>
      </w:r>
    </w:p>
    <w:p w14:paraId="6FE5C662" w14:textId="6CDDD24F" w:rsidR="0025302B" w:rsidRPr="006963B5" w:rsidRDefault="007563A8" w:rsidP="00E07955">
      <w:pPr>
        <w:spacing w:before="240" w:line="480" w:lineRule="auto"/>
        <w:ind w:firstLine="720"/>
        <w:rPr>
          <w:rFonts w:cs="Times New Roman"/>
        </w:rPr>
      </w:pPr>
      <w:r w:rsidRPr="00A14C8F">
        <w:rPr>
          <w:rFonts w:cs="Times New Roman"/>
        </w:rPr>
        <w:t>L</w:t>
      </w:r>
      <w:r w:rsidR="0025302B" w:rsidRPr="00A14C8F">
        <w:rPr>
          <w:rFonts w:cs="Times New Roman"/>
        </w:rPr>
        <w:t xml:space="preserve">ead ammunition </w:t>
      </w:r>
      <w:r w:rsidR="002757AD">
        <w:rPr>
          <w:rFonts w:cs="Times New Roman"/>
        </w:rPr>
        <w:t>frequent</w:t>
      </w:r>
      <w:r w:rsidRPr="00A14C8F">
        <w:rPr>
          <w:rFonts w:cs="Times New Roman"/>
        </w:rPr>
        <w:t>ly</w:t>
      </w:r>
      <w:r w:rsidR="0011519D" w:rsidRPr="00A14C8F">
        <w:rPr>
          <w:rFonts w:cs="Times New Roman"/>
        </w:rPr>
        <w:t xml:space="preserve"> </w:t>
      </w:r>
      <w:r w:rsidR="0025302B" w:rsidRPr="00A14C8F">
        <w:rPr>
          <w:rFonts w:cs="Times New Roman"/>
        </w:rPr>
        <w:t>leaves</w:t>
      </w:r>
      <w:r w:rsidR="0011519D" w:rsidRPr="00A14C8F">
        <w:rPr>
          <w:rFonts w:cs="Times New Roman"/>
        </w:rPr>
        <w:t xml:space="preserve"> </w:t>
      </w:r>
      <w:r w:rsidRPr="00A14C8F">
        <w:rPr>
          <w:rFonts w:cs="Times New Roman"/>
        </w:rPr>
        <w:t xml:space="preserve"> </w:t>
      </w:r>
      <w:r w:rsidR="0011519D" w:rsidRPr="00A14C8F">
        <w:rPr>
          <w:rFonts w:cs="Times New Roman"/>
        </w:rPr>
        <w:t>tiny</w:t>
      </w:r>
      <w:r w:rsidRPr="00A14C8F">
        <w:rPr>
          <w:rFonts w:cs="Times New Roman"/>
        </w:rPr>
        <w:t xml:space="preserve"> fragments</w:t>
      </w:r>
      <w:r w:rsidR="00C40D6C">
        <w:rPr>
          <w:rFonts w:cs="Times New Roman"/>
        </w:rPr>
        <w:t xml:space="preserve"> of lead</w:t>
      </w:r>
      <w:r w:rsidR="0025302B" w:rsidRPr="00A14C8F">
        <w:rPr>
          <w:rFonts w:cs="Times New Roman"/>
        </w:rPr>
        <w:t xml:space="preserve"> </w:t>
      </w:r>
      <w:r w:rsidR="0011519D" w:rsidRPr="00A14C8F">
        <w:rPr>
          <w:rFonts w:cs="Times New Roman"/>
        </w:rPr>
        <w:t>dispersed</w:t>
      </w:r>
      <w:r w:rsidR="00C40D6C">
        <w:rPr>
          <w:rFonts w:cs="Times New Roman"/>
        </w:rPr>
        <w:t xml:space="preserve"> widely</w:t>
      </w:r>
      <w:r w:rsidRPr="00A14C8F">
        <w:rPr>
          <w:rFonts w:cs="Times New Roman"/>
        </w:rPr>
        <w:t xml:space="preserve"> through the</w:t>
      </w:r>
      <w:r w:rsidR="0025302B" w:rsidRPr="00A14C8F">
        <w:rPr>
          <w:rFonts w:cs="Times New Roman"/>
        </w:rPr>
        <w:t xml:space="preserve"> meat </w:t>
      </w:r>
      <w:r w:rsidRPr="00A14C8F">
        <w:rPr>
          <w:rFonts w:cs="Times New Roman"/>
        </w:rPr>
        <w:t xml:space="preserve">of both large game shot with bullets </w:t>
      </w:r>
      <w:r w:rsidR="0025302B" w:rsidRPr="00A14C8F">
        <w:rPr>
          <w:rFonts w:cs="Times New Roman"/>
        </w:rPr>
        <w:t>(Hunt et al. 2009</w:t>
      </w:r>
      <w:r w:rsidRPr="00A14C8F">
        <w:rPr>
          <w:rFonts w:cs="Times New Roman"/>
        </w:rPr>
        <w:t>) and birds and other small game shot with lead gunshot pellets(</w:t>
      </w:r>
      <w:r w:rsidR="0025302B" w:rsidRPr="00A14C8F">
        <w:rPr>
          <w:rFonts w:cs="Times New Roman"/>
        </w:rPr>
        <w:t>Pain et al. 2010). This source of lead is biologically-available</w:t>
      </w:r>
      <w:r w:rsidR="00724735" w:rsidRPr="00A14C8F">
        <w:rPr>
          <w:rFonts w:cs="Times New Roman"/>
        </w:rPr>
        <w:t xml:space="preserve"> (Green </w:t>
      </w:r>
      <w:r w:rsidR="0097480F" w:rsidRPr="00A14C8F">
        <w:rPr>
          <w:rFonts w:cs="Times New Roman"/>
        </w:rPr>
        <w:t>and</w:t>
      </w:r>
      <w:r w:rsidR="00724735" w:rsidRPr="00A14C8F">
        <w:rPr>
          <w:rFonts w:cs="Times New Roman"/>
        </w:rPr>
        <w:t xml:space="preserve"> Pain 2012) and</w:t>
      </w:r>
      <w:r w:rsidR="0025302B" w:rsidRPr="00A14C8F">
        <w:rPr>
          <w:rFonts w:cs="Times New Roman"/>
        </w:rPr>
        <w:t xml:space="preserve"> </w:t>
      </w:r>
      <w:r w:rsidR="00724735" w:rsidRPr="00A14C8F">
        <w:rPr>
          <w:rFonts w:cs="Times New Roman"/>
        </w:rPr>
        <w:t xml:space="preserve">is not </w:t>
      </w:r>
      <w:r w:rsidRPr="00A14C8F">
        <w:rPr>
          <w:rFonts w:cs="Times New Roman"/>
        </w:rPr>
        <w:t>eas</w:t>
      </w:r>
      <w:r w:rsidR="00C40D6C">
        <w:rPr>
          <w:rFonts w:cs="Times New Roman"/>
        </w:rPr>
        <w:t>ily</w:t>
      </w:r>
      <w:r w:rsidRPr="00A14C8F">
        <w:rPr>
          <w:rFonts w:cs="Times New Roman"/>
        </w:rPr>
        <w:t xml:space="preserve"> remove</w:t>
      </w:r>
      <w:r w:rsidR="00C40D6C">
        <w:rPr>
          <w:rFonts w:cs="Times New Roman"/>
        </w:rPr>
        <w:t>d</w:t>
      </w:r>
      <w:r w:rsidRPr="00A14C8F">
        <w:rPr>
          <w:rFonts w:cs="Times New Roman"/>
        </w:rPr>
        <w:t>, especially from the flesh of</w:t>
      </w:r>
      <w:r w:rsidR="00724735" w:rsidRPr="00A14C8F">
        <w:rPr>
          <w:rFonts w:cs="Times New Roman"/>
        </w:rPr>
        <w:t xml:space="preserve"> small game animals (Green </w:t>
      </w:r>
      <w:r w:rsidR="00E07955" w:rsidRPr="00A14C8F">
        <w:rPr>
          <w:rFonts w:cs="Times New Roman"/>
        </w:rPr>
        <w:t>and</w:t>
      </w:r>
      <w:r w:rsidR="00724735" w:rsidRPr="00A14C8F">
        <w:rPr>
          <w:rFonts w:cs="Times New Roman"/>
        </w:rPr>
        <w:t xml:space="preserve"> Pain 2019). It thus </w:t>
      </w:r>
      <w:r w:rsidR="0025302B" w:rsidRPr="00A14C8F">
        <w:rPr>
          <w:rFonts w:cs="Times New Roman"/>
        </w:rPr>
        <w:t xml:space="preserve">poses a health risk to those who </w:t>
      </w:r>
      <w:r w:rsidR="0011519D" w:rsidRPr="00A14C8F">
        <w:rPr>
          <w:rFonts w:cs="Times New Roman"/>
        </w:rPr>
        <w:t xml:space="preserve">frequently </w:t>
      </w:r>
      <w:r w:rsidR="0025302B" w:rsidRPr="00A14C8F">
        <w:rPr>
          <w:rFonts w:cs="Times New Roman"/>
        </w:rPr>
        <w:t>consume game shot with lead ammunition</w:t>
      </w:r>
      <w:r w:rsidR="00F27749" w:rsidRPr="00A14C8F">
        <w:rPr>
          <w:rFonts w:cs="Times New Roman"/>
        </w:rPr>
        <w:t xml:space="preserve">, and to </w:t>
      </w:r>
      <w:r w:rsidR="00007C07" w:rsidRPr="00A14C8F">
        <w:rPr>
          <w:rFonts w:cs="Times New Roman"/>
        </w:rPr>
        <w:t>children and pregnant wo</w:t>
      </w:r>
      <w:r w:rsidR="00007C07">
        <w:rPr>
          <w:rFonts w:cs="Times New Roman"/>
        </w:rPr>
        <w:t>men who are</w:t>
      </w:r>
      <w:r w:rsidRPr="00A14C8F">
        <w:rPr>
          <w:rFonts w:cs="Times New Roman"/>
        </w:rPr>
        <w:t xml:space="preserve"> especially </w:t>
      </w:r>
      <w:r w:rsidR="00F27749" w:rsidRPr="00A14C8F">
        <w:rPr>
          <w:rFonts w:cs="Times New Roman"/>
        </w:rPr>
        <w:t>vulnerable to the effects of lead</w:t>
      </w:r>
      <w:r w:rsidR="0025302B" w:rsidRPr="00A14C8F">
        <w:rPr>
          <w:rFonts w:cs="Times New Roman"/>
        </w:rPr>
        <w:t xml:space="preserve"> (Pain et al. 2010; </w:t>
      </w:r>
      <w:r w:rsidR="00A80F9B" w:rsidRPr="00A14C8F">
        <w:rPr>
          <w:rFonts w:cs="Times New Roman"/>
        </w:rPr>
        <w:t>Green and Pain 2012, 2019</w:t>
      </w:r>
      <w:r w:rsidR="00313C64" w:rsidRPr="00A14C8F">
        <w:rPr>
          <w:rFonts w:cs="Times New Roman"/>
        </w:rPr>
        <w:t>;</w:t>
      </w:r>
      <w:r w:rsidR="00724735" w:rsidRPr="00A14C8F">
        <w:rPr>
          <w:rFonts w:cs="Times New Roman"/>
        </w:rPr>
        <w:t xml:space="preserve"> </w:t>
      </w:r>
      <w:proofErr w:type="spellStart"/>
      <w:r w:rsidR="00724735" w:rsidRPr="00A14C8F">
        <w:rPr>
          <w:rFonts w:cs="Times New Roman"/>
        </w:rPr>
        <w:t>Knutsen</w:t>
      </w:r>
      <w:proofErr w:type="spellEnd"/>
      <w:r w:rsidR="00724735" w:rsidRPr="00A14C8F">
        <w:rPr>
          <w:rFonts w:cs="Times New Roman"/>
        </w:rPr>
        <w:t xml:space="preserve"> et al. 2015</w:t>
      </w:r>
      <w:r w:rsidR="00A80F9B" w:rsidRPr="00A14C8F">
        <w:rPr>
          <w:rFonts w:cs="Times New Roman"/>
        </w:rPr>
        <w:t xml:space="preserve">). </w:t>
      </w:r>
      <w:r w:rsidR="00007C07" w:rsidRPr="00AE33FC">
        <w:rPr>
          <w:rFonts w:cs="Times New Roman"/>
        </w:rPr>
        <w:t xml:space="preserve">There is a large and growing awareness of </w:t>
      </w:r>
      <w:r w:rsidR="00007C07">
        <w:rPr>
          <w:rFonts w:cs="Times New Roman"/>
        </w:rPr>
        <w:t>t</w:t>
      </w:r>
      <w:r w:rsidR="0025302B" w:rsidRPr="00A14C8F">
        <w:rPr>
          <w:rFonts w:cs="Times New Roman"/>
        </w:rPr>
        <w:t>h</w:t>
      </w:r>
      <w:r w:rsidRPr="00A14C8F">
        <w:rPr>
          <w:rFonts w:cs="Times New Roman"/>
        </w:rPr>
        <w:t>e effects of ammunition-derived dietary lead on human health and well-being</w:t>
      </w:r>
      <w:r w:rsidR="0025302B" w:rsidRPr="00A14C8F">
        <w:rPr>
          <w:rFonts w:cs="Times New Roman"/>
        </w:rPr>
        <w:t xml:space="preserve"> </w:t>
      </w:r>
      <w:r w:rsidR="00007C07">
        <w:rPr>
          <w:rFonts w:cs="Times New Roman"/>
        </w:rPr>
        <w:t>and their</w:t>
      </w:r>
      <w:r w:rsidR="0025302B" w:rsidRPr="00A14C8F">
        <w:rPr>
          <w:rFonts w:cs="Times New Roman"/>
        </w:rPr>
        <w:t xml:space="preserve"> associated societal </w:t>
      </w:r>
      <w:r w:rsidRPr="00A14C8F">
        <w:rPr>
          <w:rFonts w:cs="Times New Roman"/>
        </w:rPr>
        <w:t xml:space="preserve">impacts and </w:t>
      </w:r>
      <w:r w:rsidR="0025302B" w:rsidRPr="00A14C8F">
        <w:rPr>
          <w:rFonts w:cs="Times New Roman"/>
        </w:rPr>
        <w:t>costs</w:t>
      </w:r>
      <w:r w:rsidR="0025302B" w:rsidRPr="00AE33FC">
        <w:rPr>
          <w:rFonts w:cs="Times New Roman"/>
        </w:rPr>
        <w:t xml:space="preserve"> </w:t>
      </w:r>
      <w:r w:rsidR="00724735" w:rsidRPr="006963B5">
        <w:rPr>
          <w:rFonts w:cs="Times New Roman"/>
        </w:rPr>
        <w:t>(</w:t>
      </w:r>
      <w:proofErr w:type="spellStart"/>
      <w:r w:rsidR="00724735" w:rsidRPr="006963B5">
        <w:rPr>
          <w:rFonts w:cs="Times New Roman"/>
        </w:rPr>
        <w:t>Delahay</w:t>
      </w:r>
      <w:proofErr w:type="spellEnd"/>
      <w:r w:rsidR="00724735" w:rsidRPr="006963B5">
        <w:rPr>
          <w:rFonts w:cs="Times New Roman"/>
        </w:rPr>
        <w:t xml:space="preserve"> </w:t>
      </w:r>
      <w:r w:rsidR="00313C64" w:rsidRPr="006963B5">
        <w:rPr>
          <w:rFonts w:cs="Times New Roman"/>
        </w:rPr>
        <w:t>and</w:t>
      </w:r>
      <w:r w:rsidR="00724735" w:rsidRPr="006963B5">
        <w:rPr>
          <w:rFonts w:cs="Times New Roman"/>
        </w:rPr>
        <w:t xml:space="preserve"> Spray 2015</w:t>
      </w:r>
      <w:r w:rsidR="00CD0CA0" w:rsidRPr="006963B5">
        <w:rPr>
          <w:rFonts w:cs="Times New Roman"/>
        </w:rPr>
        <w:t>;</w:t>
      </w:r>
      <w:r w:rsidR="00724735" w:rsidRPr="006963B5">
        <w:rPr>
          <w:rFonts w:cs="Times New Roman"/>
        </w:rPr>
        <w:t xml:space="preserve"> </w:t>
      </w:r>
      <w:proofErr w:type="spellStart"/>
      <w:r w:rsidR="00724735" w:rsidRPr="006963B5">
        <w:rPr>
          <w:rFonts w:cs="Times New Roman"/>
        </w:rPr>
        <w:t>Kanstrup</w:t>
      </w:r>
      <w:proofErr w:type="spellEnd"/>
      <w:r w:rsidR="00724735" w:rsidRPr="006963B5">
        <w:rPr>
          <w:rFonts w:cs="Times New Roman"/>
        </w:rPr>
        <w:t xml:space="preserve"> et al. 2019</w:t>
      </w:r>
      <w:r w:rsidR="00007C07">
        <w:rPr>
          <w:rFonts w:cs="Times New Roman"/>
        </w:rPr>
        <w:t xml:space="preserve">; </w:t>
      </w:r>
      <w:r w:rsidR="00007C07" w:rsidRPr="00A14C8F">
        <w:rPr>
          <w:rFonts w:cs="Times New Roman"/>
        </w:rPr>
        <w:t xml:space="preserve">Pain et al. </w:t>
      </w:r>
      <w:r w:rsidR="00007C07" w:rsidRPr="00AE33FC">
        <w:rPr>
          <w:rFonts w:cs="Times New Roman"/>
        </w:rPr>
        <w:t>2019a</w:t>
      </w:r>
      <w:r w:rsidR="00724735" w:rsidRPr="006963B5">
        <w:rPr>
          <w:rFonts w:cs="Times New Roman"/>
        </w:rPr>
        <w:t xml:space="preserve">). </w:t>
      </w:r>
      <w:r w:rsidR="0011519D" w:rsidRPr="006963B5">
        <w:rPr>
          <w:rFonts w:cs="Times New Roman"/>
        </w:rPr>
        <w:t xml:space="preserve"> </w:t>
      </w:r>
      <w:r w:rsidR="0025302B" w:rsidRPr="006963B5">
        <w:rPr>
          <w:rFonts w:cs="Times New Roman"/>
        </w:rPr>
        <w:t xml:space="preserve">Non-lead substitutes for lead shotgun and rifle ammunition have been developed and are available to European hunters (Thomas 2015; Thomas et al. 2016), but no European-wide regulation exists to require their use for game hunting (Mateo and </w:t>
      </w:r>
      <w:proofErr w:type="spellStart"/>
      <w:r w:rsidR="0025302B" w:rsidRPr="006963B5">
        <w:rPr>
          <w:rFonts w:cs="Times New Roman"/>
        </w:rPr>
        <w:t>Kanstrup</w:t>
      </w:r>
      <w:proofErr w:type="spellEnd"/>
      <w:r w:rsidR="0025302B" w:rsidRPr="006963B5">
        <w:rPr>
          <w:rFonts w:cs="Times New Roman"/>
        </w:rPr>
        <w:t xml:space="preserve"> 2019).</w:t>
      </w:r>
    </w:p>
    <w:p w14:paraId="5CF88AB2" w14:textId="3E8859AE" w:rsidR="0025302B" w:rsidRPr="006963B5" w:rsidRDefault="002A039D" w:rsidP="00AE33FC">
      <w:pPr>
        <w:spacing w:line="480" w:lineRule="auto"/>
        <w:ind w:firstLine="720"/>
        <w:rPr>
          <w:rFonts w:cs="Times New Roman"/>
        </w:rPr>
      </w:pPr>
      <w:r w:rsidRPr="006963B5">
        <w:rPr>
          <w:rFonts w:cs="Times New Roman"/>
        </w:rPr>
        <w:lastRenderedPageBreak/>
        <w:t>European Commission R</w:t>
      </w:r>
      <w:r w:rsidR="0025302B" w:rsidRPr="006963B5">
        <w:rPr>
          <w:rFonts w:cs="Times New Roman"/>
        </w:rPr>
        <w:t xml:space="preserve">egulation (Council Directive 92/5/EEC) </w:t>
      </w:r>
      <w:r w:rsidR="002A3190" w:rsidRPr="006963B5">
        <w:rPr>
          <w:rFonts w:cs="Times New Roman"/>
        </w:rPr>
        <w:t>concerns</w:t>
      </w:r>
      <w:r w:rsidR="0025302B" w:rsidRPr="006963B5">
        <w:rPr>
          <w:rFonts w:cs="Times New Roman"/>
        </w:rPr>
        <w:t xml:space="preserve"> the procurement and handling of game meat (</w:t>
      </w:r>
      <w:proofErr w:type="spellStart"/>
      <w:r w:rsidR="0025302B" w:rsidRPr="006963B5">
        <w:rPr>
          <w:rFonts w:cs="Times New Roman"/>
        </w:rPr>
        <w:t>Bertolini</w:t>
      </w:r>
      <w:proofErr w:type="spellEnd"/>
      <w:r w:rsidR="0025302B" w:rsidRPr="006963B5">
        <w:rPr>
          <w:rFonts w:cs="Times New Roman"/>
        </w:rPr>
        <w:t xml:space="preserve"> et al. 2005), but does not mention the use of lead ammunition in taking </w:t>
      </w:r>
      <w:r w:rsidRPr="006963B5">
        <w:rPr>
          <w:rFonts w:cs="Times New Roman"/>
        </w:rPr>
        <w:t>wild game. European Commission R</w:t>
      </w:r>
      <w:r w:rsidR="0025302B" w:rsidRPr="006963B5">
        <w:rPr>
          <w:rFonts w:cs="Times New Roman"/>
        </w:rPr>
        <w:t xml:space="preserve">egulation EC1881/2006 sets Maximum </w:t>
      </w:r>
      <w:r w:rsidR="002A48CF" w:rsidRPr="006963B5">
        <w:rPr>
          <w:rFonts w:cs="Times New Roman"/>
        </w:rPr>
        <w:t xml:space="preserve">Levels </w:t>
      </w:r>
      <w:r w:rsidR="0025302B" w:rsidRPr="006963B5">
        <w:rPr>
          <w:rFonts w:cs="Times New Roman"/>
        </w:rPr>
        <w:t>(MLs) of lead allowe</w:t>
      </w:r>
      <w:r w:rsidR="005A4EBF" w:rsidRPr="006963B5">
        <w:rPr>
          <w:rFonts w:cs="Times New Roman"/>
        </w:rPr>
        <w:t>d in traded meat</w:t>
      </w:r>
      <w:r w:rsidR="002A3190" w:rsidRPr="006963B5">
        <w:rPr>
          <w:rFonts w:cs="Times New Roman"/>
        </w:rPr>
        <w:t>s</w:t>
      </w:r>
      <w:r w:rsidR="0025302B" w:rsidRPr="006963B5">
        <w:rPr>
          <w:rFonts w:cs="Times New Roman"/>
        </w:rPr>
        <w:t xml:space="preserve"> from </w:t>
      </w:r>
      <w:r w:rsidR="002A3190" w:rsidRPr="006963B5">
        <w:rPr>
          <w:rFonts w:cs="Times New Roman"/>
        </w:rPr>
        <w:t xml:space="preserve">domesticated </w:t>
      </w:r>
      <w:r w:rsidR="003B3E39" w:rsidRPr="006963B5">
        <w:rPr>
          <w:rFonts w:cs="Times New Roman"/>
        </w:rPr>
        <w:t>bovine animals, sheep, pig</w:t>
      </w:r>
      <w:r w:rsidR="002A3190" w:rsidRPr="006963B5">
        <w:rPr>
          <w:rFonts w:cs="Times New Roman"/>
        </w:rPr>
        <w:t>s</w:t>
      </w:r>
      <w:r w:rsidR="003B3E39" w:rsidRPr="006963B5">
        <w:rPr>
          <w:rFonts w:cs="Times New Roman"/>
        </w:rPr>
        <w:t xml:space="preserve"> and poultry</w:t>
      </w:r>
      <w:r w:rsidR="0025302B" w:rsidRPr="006963B5">
        <w:rPr>
          <w:rFonts w:cs="Times New Roman"/>
        </w:rPr>
        <w:t xml:space="preserve">, but also from less frequently eaten </w:t>
      </w:r>
      <w:r w:rsidR="002A3190" w:rsidRPr="006963B5">
        <w:rPr>
          <w:rFonts w:cs="Times New Roman"/>
        </w:rPr>
        <w:t>m</w:t>
      </w:r>
      <w:r w:rsidR="0025302B" w:rsidRPr="006963B5">
        <w:rPr>
          <w:rFonts w:cs="Times New Roman"/>
        </w:rPr>
        <w:t xml:space="preserve">eats </w:t>
      </w:r>
      <w:r w:rsidR="002A3190" w:rsidRPr="006963B5">
        <w:rPr>
          <w:rFonts w:cs="Times New Roman"/>
        </w:rPr>
        <w:t>from wild animals, including</w:t>
      </w:r>
      <w:r w:rsidR="0025302B" w:rsidRPr="006963B5">
        <w:rPr>
          <w:rFonts w:cs="Times New Roman"/>
        </w:rPr>
        <w:t xml:space="preserve"> cephalopods and bivalve molluscs. However, no ML has been set for lead in game</w:t>
      </w:r>
      <w:r w:rsidR="002A3190" w:rsidRPr="006963B5">
        <w:rPr>
          <w:rFonts w:cs="Times New Roman"/>
        </w:rPr>
        <w:t xml:space="preserve"> meat</w:t>
      </w:r>
      <w:r w:rsidR="0025302B" w:rsidRPr="006963B5">
        <w:rPr>
          <w:rFonts w:cs="Times New Roman"/>
        </w:rPr>
        <w:t>. The European Commission is aware of the elevated lea</w:t>
      </w:r>
      <w:r w:rsidRPr="006963B5">
        <w:rPr>
          <w:rFonts w:cs="Times New Roman"/>
        </w:rPr>
        <w:t>d levels found in game animals (EFSA 2010</w:t>
      </w:r>
      <w:r w:rsidR="00CD5525" w:rsidRPr="006963B5">
        <w:rPr>
          <w:rFonts w:cs="Times New Roman"/>
        </w:rPr>
        <w:t>;</w:t>
      </w:r>
      <w:r w:rsidR="00B73B9B" w:rsidRPr="006963B5">
        <w:rPr>
          <w:rFonts w:cs="Times New Roman"/>
        </w:rPr>
        <w:t xml:space="preserve"> </w:t>
      </w:r>
      <w:r w:rsidR="00CD5525" w:rsidRPr="006963B5">
        <w:rPr>
          <w:rFonts w:cs="Times New Roman"/>
        </w:rPr>
        <w:t>2012</w:t>
      </w:r>
      <w:r w:rsidR="003865AF" w:rsidRPr="006963B5">
        <w:rPr>
          <w:rFonts w:cs="Times New Roman"/>
        </w:rPr>
        <w:t>)</w:t>
      </w:r>
      <w:r w:rsidR="00313C64" w:rsidRPr="006963B5">
        <w:rPr>
          <w:rFonts w:cs="Times New Roman"/>
        </w:rPr>
        <w:t>,</w:t>
      </w:r>
      <w:r w:rsidR="003865AF" w:rsidRPr="006963B5">
        <w:rPr>
          <w:rFonts w:cs="Times New Roman"/>
        </w:rPr>
        <w:t xml:space="preserve"> and</w:t>
      </w:r>
      <w:r w:rsidR="00685DEF" w:rsidRPr="006963B5">
        <w:rPr>
          <w:rFonts w:cs="Times New Roman"/>
        </w:rPr>
        <w:t xml:space="preserve"> </w:t>
      </w:r>
      <w:r w:rsidR="00313C64" w:rsidRPr="006963B5">
        <w:rPr>
          <w:rFonts w:cs="Times New Roman"/>
        </w:rPr>
        <w:t xml:space="preserve">the </w:t>
      </w:r>
      <w:r w:rsidR="003865AF" w:rsidRPr="006963B5">
        <w:rPr>
          <w:rFonts w:cs="Times New Roman"/>
        </w:rPr>
        <w:t>f</w:t>
      </w:r>
      <w:r w:rsidR="00E228B0" w:rsidRPr="006963B5">
        <w:rPr>
          <w:rFonts w:cs="Times New Roman"/>
        </w:rPr>
        <w:t xml:space="preserve">ood standards or safety agencies of </w:t>
      </w:r>
      <w:r w:rsidRPr="006963B5">
        <w:rPr>
          <w:rFonts w:cs="Times New Roman"/>
        </w:rPr>
        <w:t xml:space="preserve">a number of EU </w:t>
      </w:r>
      <w:r w:rsidR="0025302B" w:rsidRPr="006963B5">
        <w:rPr>
          <w:rFonts w:cs="Times New Roman"/>
        </w:rPr>
        <w:t xml:space="preserve">nations have issued </w:t>
      </w:r>
      <w:r w:rsidR="002B6A89" w:rsidRPr="006963B5">
        <w:rPr>
          <w:rFonts w:cs="Times New Roman"/>
        </w:rPr>
        <w:t xml:space="preserve">new </w:t>
      </w:r>
      <w:r w:rsidR="00E228B0" w:rsidRPr="006963B5">
        <w:rPr>
          <w:rFonts w:cs="Times New Roman"/>
        </w:rPr>
        <w:t>advice</w:t>
      </w:r>
      <w:r w:rsidRPr="006963B5">
        <w:rPr>
          <w:rFonts w:cs="Times New Roman"/>
        </w:rPr>
        <w:t xml:space="preserve"> </w:t>
      </w:r>
      <w:r w:rsidR="002A3190" w:rsidRPr="006963B5">
        <w:rPr>
          <w:rFonts w:cs="Times New Roman"/>
        </w:rPr>
        <w:t xml:space="preserve">intended to reduce or eliminate health </w:t>
      </w:r>
      <w:r w:rsidRPr="006963B5">
        <w:rPr>
          <w:rFonts w:cs="Times New Roman"/>
        </w:rPr>
        <w:t>risks associated with</w:t>
      </w:r>
      <w:r w:rsidR="00E228B0" w:rsidRPr="006963B5">
        <w:rPr>
          <w:rFonts w:cs="Times New Roman"/>
        </w:rPr>
        <w:t xml:space="preserve"> </w:t>
      </w:r>
      <w:r w:rsidR="0025302B" w:rsidRPr="006963B5">
        <w:rPr>
          <w:rFonts w:cs="Times New Roman"/>
        </w:rPr>
        <w:t>the consumption of lead-</w:t>
      </w:r>
      <w:r w:rsidR="00E228B0" w:rsidRPr="006963B5">
        <w:rPr>
          <w:rFonts w:cs="Times New Roman"/>
        </w:rPr>
        <w:t xml:space="preserve">contaminated </w:t>
      </w:r>
      <w:r w:rsidR="0025302B" w:rsidRPr="006963B5">
        <w:rPr>
          <w:rFonts w:cs="Times New Roman"/>
        </w:rPr>
        <w:t>game meat</w:t>
      </w:r>
      <w:r w:rsidR="002B6A89" w:rsidRPr="006963B5">
        <w:rPr>
          <w:rFonts w:cs="Times New Roman"/>
        </w:rPr>
        <w:t>. This is</w:t>
      </w:r>
      <w:r w:rsidR="0025302B" w:rsidRPr="006963B5">
        <w:rPr>
          <w:rFonts w:cs="Times New Roman"/>
        </w:rPr>
        <w:t xml:space="preserve"> </w:t>
      </w:r>
      <w:r w:rsidR="00782AA9">
        <w:rPr>
          <w:rFonts w:cs="Times New Roman"/>
        </w:rPr>
        <w:t xml:space="preserve">intended </w:t>
      </w:r>
      <w:r w:rsidR="002B6A89" w:rsidRPr="006963B5">
        <w:rPr>
          <w:rFonts w:cs="Times New Roman"/>
        </w:rPr>
        <w:t>for</w:t>
      </w:r>
      <w:r w:rsidRPr="006963B5">
        <w:rPr>
          <w:rFonts w:cs="Times New Roman"/>
        </w:rPr>
        <w:t xml:space="preserve"> frequent consumers and vulnerabl</w:t>
      </w:r>
      <w:r w:rsidR="00097343">
        <w:rPr>
          <w:rFonts w:cs="Times New Roman"/>
        </w:rPr>
        <w:t>e</w:t>
      </w:r>
      <w:r w:rsidR="0025302B" w:rsidRPr="006963B5">
        <w:rPr>
          <w:rFonts w:cs="Times New Roman"/>
        </w:rPr>
        <w:t xml:space="preserve"> pregnant women, women of pregnancy age</w:t>
      </w:r>
      <w:r w:rsidR="00097343">
        <w:rPr>
          <w:rFonts w:cs="Times New Roman"/>
        </w:rPr>
        <w:t>,</w:t>
      </w:r>
      <w:r w:rsidR="0025302B" w:rsidRPr="006963B5">
        <w:rPr>
          <w:rFonts w:cs="Times New Roman"/>
        </w:rPr>
        <w:t xml:space="preserve"> and children</w:t>
      </w:r>
      <w:r w:rsidRPr="006963B5">
        <w:rPr>
          <w:rFonts w:cs="Times New Roman"/>
        </w:rPr>
        <w:t xml:space="preserve"> (</w:t>
      </w:r>
      <w:proofErr w:type="spellStart"/>
      <w:r w:rsidRPr="006963B5">
        <w:rPr>
          <w:rFonts w:cs="Times New Roman"/>
        </w:rPr>
        <w:t>Knutsen</w:t>
      </w:r>
      <w:proofErr w:type="spellEnd"/>
      <w:r w:rsidRPr="006963B5">
        <w:rPr>
          <w:rFonts w:cs="Times New Roman"/>
        </w:rPr>
        <w:t xml:space="preserve"> et al. 2015; </w:t>
      </w:r>
      <w:proofErr w:type="spellStart"/>
      <w:r w:rsidRPr="006963B5">
        <w:rPr>
          <w:rFonts w:cs="Times New Roman"/>
        </w:rPr>
        <w:t>Gerofke</w:t>
      </w:r>
      <w:proofErr w:type="spellEnd"/>
      <w:r w:rsidRPr="006963B5">
        <w:rPr>
          <w:rFonts w:cs="Times New Roman"/>
        </w:rPr>
        <w:t xml:space="preserve"> et al. 2018</w:t>
      </w:r>
      <w:r w:rsidR="006323C1" w:rsidRPr="006963B5">
        <w:rPr>
          <w:rFonts w:cs="Times New Roman"/>
        </w:rPr>
        <w:t>, 2019</w:t>
      </w:r>
      <w:r w:rsidRPr="006963B5">
        <w:rPr>
          <w:rFonts w:cs="Times New Roman"/>
        </w:rPr>
        <w:t>; ANSES 2018</w:t>
      </w:r>
      <w:r w:rsidR="00724735" w:rsidRPr="006963B5">
        <w:rPr>
          <w:rFonts w:cs="Times New Roman"/>
        </w:rPr>
        <w:t>). However,</w:t>
      </w:r>
      <w:r w:rsidR="003865AF" w:rsidRPr="006963B5">
        <w:rPr>
          <w:rFonts w:cs="Times New Roman"/>
        </w:rPr>
        <w:t xml:space="preserve"> this </w:t>
      </w:r>
      <w:r w:rsidR="002B6A89" w:rsidRPr="006963B5">
        <w:rPr>
          <w:rFonts w:cs="Times New Roman"/>
        </w:rPr>
        <w:t xml:space="preserve">increase in </w:t>
      </w:r>
      <w:r w:rsidR="003865AF" w:rsidRPr="006963B5">
        <w:rPr>
          <w:rFonts w:cs="Times New Roman"/>
        </w:rPr>
        <w:t xml:space="preserve">awareness </w:t>
      </w:r>
      <w:r w:rsidR="002B6A89" w:rsidRPr="006963B5">
        <w:rPr>
          <w:rFonts w:cs="Times New Roman"/>
        </w:rPr>
        <w:t xml:space="preserve">and the provision of health advice </w:t>
      </w:r>
      <w:r w:rsidR="003865AF" w:rsidRPr="006963B5">
        <w:rPr>
          <w:rFonts w:cs="Times New Roman"/>
        </w:rPr>
        <w:t xml:space="preserve">has not resulted in </w:t>
      </w:r>
      <w:r w:rsidR="001811AC" w:rsidRPr="006963B5">
        <w:rPr>
          <w:rFonts w:cs="Times New Roman"/>
        </w:rPr>
        <w:t>EU</w:t>
      </w:r>
      <w:r w:rsidR="003865AF" w:rsidRPr="006963B5">
        <w:rPr>
          <w:rFonts w:cs="Times New Roman"/>
        </w:rPr>
        <w:t xml:space="preserve"> </w:t>
      </w:r>
      <w:r w:rsidR="009E4746">
        <w:rPr>
          <w:rFonts w:cs="Times New Roman"/>
        </w:rPr>
        <w:t xml:space="preserve">or any national </w:t>
      </w:r>
      <w:r w:rsidR="0025302B" w:rsidRPr="006963B5">
        <w:rPr>
          <w:rFonts w:cs="Times New Roman"/>
        </w:rPr>
        <w:t>regulation</w:t>
      </w:r>
      <w:r w:rsidR="006057C7" w:rsidRPr="006963B5">
        <w:rPr>
          <w:rFonts w:cs="Times New Roman"/>
        </w:rPr>
        <w:t>s concerning lead MLs</w:t>
      </w:r>
      <w:r w:rsidR="0025302B" w:rsidRPr="006963B5">
        <w:rPr>
          <w:rFonts w:cs="Times New Roman"/>
        </w:rPr>
        <w:t xml:space="preserve"> in game meat</w:t>
      </w:r>
      <w:r w:rsidR="002B6A89" w:rsidRPr="006963B5">
        <w:rPr>
          <w:rFonts w:cs="Times New Roman"/>
        </w:rPr>
        <w:t xml:space="preserve">. </w:t>
      </w:r>
    </w:p>
    <w:p w14:paraId="45EDBA7C" w14:textId="7F6BA6BA" w:rsidR="0025302B" w:rsidRPr="006963B5" w:rsidRDefault="00D351B0" w:rsidP="00C9510F">
      <w:pPr>
        <w:spacing w:line="480" w:lineRule="auto"/>
        <w:ind w:firstLine="720"/>
        <w:rPr>
          <w:rFonts w:cs="Times New Roman"/>
        </w:rPr>
      </w:pPr>
      <w:r w:rsidRPr="006963B5">
        <w:rPr>
          <w:rFonts w:cs="Times New Roman"/>
        </w:rPr>
        <w:t xml:space="preserve">The present paper </w:t>
      </w:r>
      <w:r w:rsidR="00951746" w:rsidRPr="006963B5">
        <w:rPr>
          <w:rFonts w:cs="Times New Roman"/>
        </w:rPr>
        <w:t xml:space="preserve">supplements </w:t>
      </w:r>
      <w:r w:rsidRPr="006963B5">
        <w:rPr>
          <w:rFonts w:cs="Times New Roman"/>
        </w:rPr>
        <w:t>the reviews of ECHA (2018)</w:t>
      </w:r>
      <w:r w:rsidR="00CE6D58" w:rsidRPr="006963B5">
        <w:rPr>
          <w:rFonts w:cs="Times New Roman"/>
        </w:rPr>
        <w:t xml:space="preserve">, Pain </w:t>
      </w:r>
      <w:r w:rsidR="00FB4AF4" w:rsidRPr="006963B5">
        <w:rPr>
          <w:rFonts w:cs="Times New Roman"/>
        </w:rPr>
        <w:t>et al.</w:t>
      </w:r>
      <w:r w:rsidR="00CE6D58" w:rsidRPr="006963B5">
        <w:rPr>
          <w:rFonts w:cs="Times New Roman"/>
        </w:rPr>
        <w:t xml:space="preserve"> (2019</w:t>
      </w:r>
      <w:r w:rsidR="00C9510F" w:rsidRPr="006963B5">
        <w:rPr>
          <w:rFonts w:cs="Times New Roman"/>
        </w:rPr>
        <w:t>a, 2019b</w:t>
      </w:r>
      <w:r w:rsidR="00CE6D58" w:rsidRPr="006963B5">
        <w:rPr>
          <w:rFonts w:cs="Times New Roman"/>
        </w:rPr>
        <w:t>) and Green &amp; Pain (2019)</w:t>
      </w:r>
      <w:r w:rsidR="00CA0E99" w:rsidRPr="006963B5">
        <w:rPr>
          <w:rFonts w:cs="Times New Roman"/>
        </w:rPr>
        <w:t xml:space="preserve"> </w:t>
      </w:r>
      <w:r w:rsidRPr="006963B5">
        <w:rPr>
          <w:rFonts w:cs="Times New Roman"/>
        </w:rPr>
        <w:t xml:space="preserve">of the effects of lead ammunition use on human and wildlife health, and the analysis of </w:t>
      </w:r>
      <w:proofErr w:type="spellStart"/>
      <w:r w:rsidRPr="006963B5">
        <w:rPr>
          <w:rFonts w:cs="Times New Roman"/>
        </w:rPr>
        <w:t>Gerofke</w:t>
      </w:r>
      <w:proofErr w:type="spellEnd"/>
      <w:r w:rsidRPr="006963B5">
        <w:rPr>
          <w:rFonts w:cs="Times New Roman"/>
        </w:rPr>
        <w:t xml:space="preserve"> et al. (2019) on the sources and consequences of lead in </w:t>
      </w:r>
      <w:r w:rsidR="002B6A89" w:rsidRPr="006963B5">
        <w:rPr>
          <w:rFonts w:cs="Times New Roman"/>
        </w:rPr>
        <w:t>g</w:t>
      </w:r>
      <w:r w:rsidRPr="006963B5">
        <w:rPr>
          <w:rFonts w:cs="Times New Roman"/>
        </w:rPr>
        <w:t>ame meat</w:t>
      </w:r>
      <w:r w:rsidR="002B6A89" w:rsidRPr="006963B5">
        <w:rPr>
          <w:rFonts w:cs="Times New Roman"/>
        </w:rPr>
        <w:t xml:space="preserve"> in Germany</w:t>
      </w:r>
      <w:r w:rsidRPr="006963B5">
        <w:rPr>
          <w:rFonts w:cs="Times New Roman"/>
        </w:rPr>
        <w:t>.</w:t>
      </w:r>
      <w:r w:rsidR="00E228B0" w:rsidRPr="006963B5">
        <w:rPr>
          <w:rFonts w:cs="Times New Roman"/>
        </w:rPr>
        <w:t xml:space="preserve"> </w:t>
      </w:r>
      <w:r w:rsidRPr="006963B5">
        <w:rPr>
          <w:rFonts w:cs="Times New Roman"/>
        </w:rPr>
        <w:t xml:space="preserve">We indicate </w:t>
      </w:r>
      <w:r w:rsidR="0025302B" w:rsidRPr="006963B5">
        <w:rPr>
          <w:rFonts w:cs="Times New Roman"/>
        </w:rPr>
        <w:t xml:space="preserve">the scale of game hunting and trade in Europe, and the health risks posed by lead </w:t>
      </w:r>
      <w:r w:rsidR="0097693A" w:rsidRPr="006963B5">
        <w:rPr>
          <w:rFonts w:cs="Times New Roman"/>
        </w:rPr>
        <w:t xml:space="preserve">from frequent </w:t>
      </w:r>
      <w:r w:rsidR="0025302B" w:rsidRPr="006963B5">
        <w:rPr>
          <w:rFonts w:cs="Times New Roman"/>
        </w:rPr>
        <w:t xml:space="preserve">ingestion </w:t>
      </w:r>
      <w:r w:rsidR="0097693A" w:rsidRPr="006963B5">
        <w:rPr>
          <w:rFonts w:cs="Times New Roman"/>
        </w:rPr>
        <w:t xml:space="preserve">of wild-shot </w:t>
      </w:r>
      <w:r w:rsidR="0025302B" w:rsidRPr="006963B5">
        <w:rPr>
          <w:rFonts w:cs="Times New Roman"/>
        </w:rPr>
        <w:t>game meat</w:t>
      </w:r>
      <w:r w:rsidR="002B6A89" w:rsidRPr="006963B5">
        <w:rPr>
          <w:rFonts w:cs="Times New Roman"/>
        </w:rPr>
        <w:t>.  We then describe the advantages of amending</w:t>
      </w:r>
      <w:r w:rsidR="002A45C8" w:rsidRPr="006963B5">
        <w:rPr>
          <w:rFonts w:cs="Times New Roman"/>
        </w:rPr>
        <w:t xml:space="preserve"> the European Commission R</w:t>
      </w:r>
      <w:r w:rsidR="0025302B" w:rsidRPr="006963B5">
        <w:rPr>
          <w:rFonts w:cs="Times New Roman"/>
        </w:rPr>
        <w:t>egula</w:t>
      </w:r>
      <w:r w:rsidR="00B33EF5" w:rsidRPr="006963B5">
        <w:rPr>
          <w:rFonts w:cs="Times New Roman"/>
        </w:rPr>
        <w:t>tion that sets the ML for</w:t>
      </w:r>
      <w:r w:rsidR="0025302B" w:rsidRPr="006963B5">
        <w:rPr>
          <w:rFonts w:cs="Times New Roman"/>
        </w:rPr>
        <w:t xml:space="preserve"> lead in domestic meat </w:t>
      </w:r>
      <w:r w:rsidR="002B6A89" w:rsidRPr="006963B5">
        <w:rPr>
          <w:rFonts w:cs="Times New Roman"/>
        </w:rPr>
        <w:t xml:space="preserve">so that it </w:t>
      </w:r>
      <w:r w:rsidR="0025302B" w:rsidRPr="006963B5">
        <w:rPr>
          <w:rFonts w:cs="Times New Roman"/>
        </w:rPr>
        <w:t>include</w:t>
      </w:r>
      <w:r w:rsidR="002B6A89" w:rsidRPr="006963B5">
        <w:rPr>
          <w:rFonts w:cs="Times New Roman"/>
        </w:rPr>
        <w:t>s</w:t>
      </w:r>
      <w:r w:rsidR="0025302B" w:rsidRPr="006963B5">
        <w:rPr>
          <w:rFonts w:cs="Times New Roman"/>
        </w:rPr>
        <w:t xml:space="preserve"> meat from wild game animals. </w:t>
      </w:r>
      <w:r w:rsidR="002B6A89" w:rsidRPr="006963B5">
        <w:rPr>
          <w:rFonts w:cs="Times New Roman"/>
        </w:rPr>
        <w:t>In particular, we argue that</w:t>
      </w:r>
      <w:r w:rsidR="005F4C7B" w:rsidRPr="006963B5">
        <w:rPr>
          <w:rFonts w:cs="Times New Roman"/>
        </w:rPr>
        <w:t xml:space="preserve"> th</w:t>
      </w:r>
      <w:r w:rsidR="00E228B0" w:rsidRPr="006963B5">
        <w:rPr>
          <w:rFonts w:cs="Times New Roman"/>
        </w:rPr>
        <w:t xml:space="preserve">is action would complement </w:t>
      </w:r>
      <w:r w:rsidR="002B6A89" w:rsidRPr="006963B5">
        <w:rPr>
          <w:rFonts w:cs="Times New Roman"/>
        </w:rPr>
        <w:t xml:space="preserve">and facilitate </w:t>
      </w:r>
      <w:r w:rsidR="00E228B0" w:rsidRPr="006963B5">
        <w:rPr>
          <w:rFonts w:cs="Times New Roman"/>
        </w:rPr>
        <w:t>the essential</w:t>
      </w:r>
      <w:r w:rsidR="005F4C7B" w:rsidRPr="006963B5">
        <w:rPr>
          <w:rFonts w:cs="Times New Roman"/>
        </w:rPr>
        <w:t xml:space="preserve"> transition</w:t>
      </w:r>
      <w:r w:rsidR="0025302B" w:rsidRPr="006963B5">
        <w:rPr>
          <w:rFonts w:cs="Times New Roman"/>
        </w:rPr>
        <w:t xml:space="preserve"> to non-lead ammunition for European hunting</w:t>
      </w:r>
      <w:r w:rsidR="00E228B0" w:rsidRPr="006963B5">
        <w:rPr>
          <w:rFonts w:cs="Times New Roman"/>
        </w:rPr>
        <w:t>, which would benefit people, wildlife and domestic animals</w:t>
      </w:r>
      <w:r w:rsidR="0025302B" w:rsidRPr="006963B5">
        <w:rPr>
          <w:rFonts w:cs="Times New Roman"/>
        </w:rPr>
        <w:t xml:space="preserve"> (Pain et al. 2019</w:t>
      </w:r>
      <w:r w:rsidR="001A305A" w:rsidRPr="006963B5">
        <w:rPr>
          <w:rFonts w:cs="Times New Roman"/>
        </w:rPr>
        <w:t>a</w:t>
      </w:r>
      <w:r w:rsidR="0025302B" w:rsidRPr="006963B5">
        <w:rPr>
          <w:rFonts w:cs="Times New Roman"/>
        </w:rPr>
        <w:t>).</w:t>
      </w:r>
    </w:p>
    <w:p w14:paraId="4C180F7F" w14:textId="77777777" w:rsidR="0025302B" w:rsidRPr="006963B5" w:rsidRDefault="0025302B" w:rsidP="00AE33FC">
      <w:pPr>
        <w:spacing w:line="480" w:lineRule="auto"/>
        <w:rPr>
          <w:rFonts w:cs="Times New Roman"/>
        </w:rPr>
      </w:pPr>
    </w:p>
    <w:p w14:paraId="14D9FB62" w14:textId="77777777" w:rsidR="00DB00A0" w:rsidRDefault="00DB00A0" w:rsidP="00AE33FC">
      <w:pPr>
        <w:spacing w:line="480" w:lineRule="auto"/>
        <w:rPr>
          <w:rFonts w:cs="Times New Roman"/>
          <w:b/>
        </w:rPr>
      </w:pPr>
    </w:p>
    <w:p w14:paraId="52175CEB" w14:textId="59BFE619" w:rsidR="008A78BF" w:rsidRPr="006963B5" w:rsidRDefault="002B535C" w:rsidP="00AE33FC">
      <w:pPr>
        <w:spacing w:line="480" w:lineRule="auto"/>
        <w:rPr>
          <w:rFonts w:cs="Times New Roman"/>
          <w:b/>
        </w:rPr>
      </w:pPr>
      <w:r w:rsidRPr="006963B5">
        <w:rPr>
          <w:rFonts w:cs="Times New Roman"/>
          <w:b/>
        </w:rPr>
        <w:lastRenderedPageBreak/>
        <w:t>HUNTING AND TRADE IN GAME ACROSS THE</w:t>
      </w:r>
      <w:r w:rsidR="000A4AEA" w:rsidRPr="006963B5">
        <w:rPr>
          <w:rFonts w:cs="Times New Roman"/>
          <w:b/>
        </w:rPr>
        <w:t xml:space="preserve"> EU</w:t>
      </w:r>
      <w:r w:rsidRPr="006963B5">
        <w:rPr>
          <w:rFonts w:cs="Times New Roman"/>
          <w:b/>
        </w:rPr>
        <w:t xml:space="preserve">ROPEAN UNION </w:t>
      </w:r>
    </w:p>
    <w:p w14:paraId="65547EC8" w14:textId="32AB41B4" w:rsidR="00707CE2" w:rsidRPr="006963B5" w:rsidRDefault="00DB00A0" w:rsidP="00AE33FC">
      <w:pPr>
        <w:spacing w:line="480" w:lineRule="auto"/>
        <w:ind w:firstLine="720"/>
        <w:rPr>
          <w:rFonts w:cs="Times New Roman"/>
        </w:rPr>
      </w:pPr>
      <w:r>
        <w:rPr>
          <w:rFonts w:cs="Times New Roman"/>
        </w:rPr>
        <w:t xml:space="preserve">Most </w:t>
      </w:r>
      <w:r w:rsidR="002B535C" w:rsidRPr="006963B5">
        <w:rPr>
          <w:rFonts w:cs="Times New Roman"/>
        </w:rPr>
        <w:t xml:space="preserve">game </w:t>
      </w:r>
      <w:r w:rsidR="008A78BF" w:rsidRPr="006963B5">
        <w:rPr>
          <w:rFonts w:cs="Times New Roman"/>
        </w:rPr>
        <w:t xml:space="preserve">hunting </w:t>
      </w:r>
      <w:r w:rsidR="002B6A89" w:rsidRPr="006963B5">
        <w:rPr>
          <w:rFonts w:cs="Times New Roman"/>
        </w:rPr>
        <w:t>in Europe</w:t>
      </w:r>
      <w:r w:rsidR="008A78BF" w:rsidRPr="006963B5">
        <w:rPr>
          <w:rFonts w:cs="Times New Roman"/>
        </w:rPr>
        <w:t xml:space="preserve"> is conducted on privately-owned lands and </w:t>
      </w:r>
      <w:r w:rsidR="002B6A89" w:rsidRPr="006963B5">
        <w:rPr>
          <w:rFonts w:cs="Times New Roman"/>
        </w:rPr>
        <w:t>trade occurs via</w:t>
      </w:r>
      <w:r w:rsidR="008A78BF" w:rsidRPr="006963B5">
        <w:rPr>
          <w:rFonts w:cs="Times New Roman"/>
        </w:rPr>
        <w:t xml:space="preserve"> private agencies. Statistics on the numbers of animals killed each season</w:t>
      </w:r>
      <w:r w:rsidR="000034A8" w:rsidRPr="006963B5">
        <w:rPr>
          <w:rFonts w:cs="Times New Roman"/>
        </w:rPr>
        <w:t>, by species, and by region are obtained by voluntary questio</w:t>
      </w:r>
      <w:r w:rsidR="0093136B" w:rsidRPr="006963B5">
        <w:rPr>
          <w:rFonts w:cs="Times New Roman"/>
        </w:rPr>
        <w:t>n</w:t>
      </w:r>
      <w:r w:rsidR="000034A8" w:rsidRPr="006963B5">
        <w:rPr>
          <w:rFonts w:cs="Times New Roman"/>
        </w:rPr>
        <w:t>naires</w:t>
      </w:r>
      <w:r w:rsidR="002A45C8" w:rsidRPr="006963B5">
        <w:rPr>
          <w:rFonts w:cs="Times New Roman"/>
        </w:rPr>
        <w:t xml:space="preserve"> or</w:t>
      </w:r>
      <w:r w:rsidR="002B535C" w:rsidRPr="006963B5">
        <w:rPr>
          <w:rFonts w:cs="Times New Roman"/>
        </w:rPr>
        <w:t xml:space="preserve"> s</w:t>
      </w:r>
      <w:r w:rsidR="00AB5F77" w:rsidRPr="006963B5">
        <w:rPr>
          <w:rFonts w:cs="Times New Roman"/>
        </w:rPr>
        <w:t xml:space="preserve">tatutory reporting </w:t>
      </w:r>
      <w:r w:rsidR="002A45C8" w:rsidRPr="006963B5">
        <w:rPr>
          <w:rFonts w:cs="Times New Roman"/>
        </w:rPr>
        <w:t>(</w:t>
      </w:r>
      <w:r w:rsidR="00AB5F77" w:rsidRPr="006963B5">
        <w:rPr>
          <w:rFonts w:cs="Times New Roman"/>
        </w:rPr>
        <w:t>for birds</w:t>
      </w:r>
      <w:r w:rsidR="002A45C8" w:rsidRPr="006963B5">
        <w:rPr>
          <w:rFonts w:cs="Times New Roman"/>
        </w:rPr>
        <w:t>)</w:t>
      </w:r>
      <w:r w:rsidR="00AB5F77" w:rsidRPr="006963B5">
        <w:rPr>
          <w:rFonts w:cs="Times New Roman"/>
        </w:rPr>
        <w:t>.  T</w:t>
      </w:r>
      <w:r w:rsidR="002B535C" w:rsidRPr="006963B5">
        <w:rPr>
          <w:rFonts w:cs="Times New Roman"/>
        </w:rPr>
        <w:t>he Birds Directive 2009/147/EC sets the framework for hunting legislation across the EU. This specifies how, when and</w:t>
      </w:r>
      <w:r w:rsidR="002A45C8" w:rsidRPr="006963B5">
        <w:rPr>
          <w:rFonts w:cs="Times New Roman"/>
        </w:rPr>
        <w:t xml:space="preserve"> where 82 bird species may be hu</w:t>
      </w:r>
      <w:r w:rsidR="002B535C" w:rsidRPr="006963B5">
        <w:rPr>
          <w:rFonts w:cs="Times New Roman"/>
        </w:rPr>
        <w:t>nted legally, and requires the provision of data on hunting bags at regular intervals</w:t>
      </w:r>
      <w:r w:rsidR="002A45C8" w:rsidRPr="006963B5">
        <w:rPr>
          <w:rFonts w:cs="Times New Roman"/>
        </w:rPr>
        <w:t>.</w:t>
      </w:r>
      <w:r w:rsidR="000034A8" w:rsidRPr="006963B5">
        <w:rPr>
          <w:rFonts w:cs="Times New Roman"/>
        </w:rPr>
        <w:t xml:space="preserve"> </w:t>
      </w:r>
      <w:r w:rsidR="002B535C" w:rsidRPr="006963B5">
        <w:rPr>
          <w:rFonts w:cs="Times New Roman"/>
        </w:rPr>
        <w:t>In term</w:t>
      </w:r>
      <w:r w:rsidR="002A45C8" w:rsidRPr="006963B5">
        <w:rPr>
          <w:rFonts w:cs="Times New Roman"/>
        </w:rPr>
        <w:t xml:space="preserve">s of voluntary questionnaires, </w:t>
      </w:r>
      <w:r w:rsidR="000034A8" w:rsidRPr="006963B5">
        <w:rPr>
          <w:rFonts w:cs="Times New Roman"/>
        </w:rPr>
        <w:t>FAO (2018)</w:t>
      </w:r>
      <w:r w:rsidR="002B535C" w:rsidRPr="006963B5">
        <w:t xml:space="preserve"> </w:t>
      </w:r>
      <w:r w:rsidR="002B6A89" w:rsidRPr="006963B5">
        <w:t>reported</w:t>
      </w:r>
      <w:r w:rsidR="002B535C" w:rsidRPr="006963B5">
        <w:rPr>
          <w:rFonts w:cs="Times New Roman"/>
        </w:rPr>
        <w:t xml:space="preserve"> data </w:t>
      </w:r>
      <w:r w:rsidR="002B6A89" w:rsidRPr="006963B5">
        <w:rPr>
          <w:rFonts w:cs="Times New Roman"/>
        </w:rPr>
        <w:t xml:space="preserve">collected from United Nations Economic Commission for Europe (UNECE) countries </w:t>
      </w:r>
      <w:r w:rsidR="002B535C" w:rsidRPr="006963B5">
        <w:rPr>
          <w:rFonts w:cs="Times New Roman"/>
        </w:rPr>
        <w:t>using a questionnaire survey in 2016 and 2017. The objective</w:t>
      </w:r>
      <w:r w:rsidR="002B6A89" w:rsidRPr="006963B5">
        <w:rPr>
          <w:rFonts w:cs="Times New Roman"/>
        </w:rPr>
        <w:t xml:space="preserve"> of this FAO pilot study</w:t>
      </w:r>
      <w:r w:rsidR="002B535C" w:rsidRPr="006963B5">
        <w:rPr>
          <w:rFonts w:cs="Times New Roman"/>
        </w:rPr>
        <w:t xml:space="preserve"> was to improve knowledge and understanding of game meat production and trade</w:t>
      </w:r>
      <w:r w:rsidR="002B6A89" w:rsidRPr="006963B5">
        <w:rPr>
          <w:rFonts w:cs="Times New Roman"/>
        </w:rPr>
        <w:t>. Game was taken to</w:t>
      </w:r>
      <w:r w:rsidR="002B535C" w:rsidRPr="006963B5">
        <w:rPr>
          <w:rFonts w:cs="Times New Roman"/>
        </w:rPr>
        <w:t xml:space="preserve"> comprise all hunted birds and mammals, such as partridge</w:t>
      </w:r>
      <w:r w:rsidR="000628FD" w:rsidRPr="006963B5">
        <w:rPr>
          <w:rFonts w:cs="Times New Roman"/>
        </w:rPr>
        <w:t xml:space="preserve"> (</w:t>
      </w:r>
      <w:proofErr w:type="spellStart"/>
      <w:r w:rsidR="002B6A89" w:rsidRPr="006963B5">
        <w:rPr>
          <w:rFonts w:cs="Times New Roman"/>
          <w:i/>
        </w:rPr>
        <w:t>Perdix</w:t>
      </w:r>
      <w:proofErr w:type="spellEnd"/>
      <w:r w:rsidR="002B6A89" w:rsidRPr="006963B5">
        <w:rPr>
          <w:rFonts w:cs="Times New Roman"/>
          <w:i/>
        </w:rPr>
        <w:t xml:space="preserve"> </w:t>
      </w:r>
      <w:proofErr w:type="spellStart"/>
      <w:r w:rsidR="002B6A89" w:rsidRPr="006963B5">
        <w:rPr>
          <w:rFonts w:cs="Times New Roman"/>
          <w:i/>
        </w:rPr>
        <w:t>perdix</w:t>
      </w:r>
      <w:proofErr w:type="spellEnd"/>
      <w:r w:rsidR="002B6A89" w:rsidRPr="006963B5">
        <w:rPr>
          <w:rFonts w:cs="Times New Roman"/>
        </w:rPr>
        <w:t xml:space="preserve"> and </w:t>
      </w:r>
      <w:proofErr w:type="spellStart"/>
      <w:r w:rsidR="0097693A" w:rsidRPr="006963B5">
        <w:rPr>
          <w:rFonts w:cs="Times New Roman"/>
          <w:i/>
        </w:rPr>
        <w:t>Alec</w:t>
      </w:r>
      <w:r w:rsidR="002B6A89" w:rsidRPr="006963B5">
        <w:rPr>
          <w:rFonts w:cs="Times New Roman"/>
          <w:i/>
        </w:rPr>
        <w:t>t</w:t>
      </w:r>
      <w:r w:rsidR="0097693A" w:rsidRPr="006963B5">
        <w:rPr>
          <w:rFonts w:cs="Times New Roman"/>
          <w:i/>
        </w:rPr>
        <w:t>oris</w:t>
      </w:r>
      <w:proofErr w:type="spellEnd"/>
      <w:r w:rsidR="0097693A" w:rsidRPr="006963B5">
        <w:rPr>
          <w:rFonts w:cs="Times New Roman"/>
          <w:i/>
        </w:rPr>
        <w:t xml:space="preserve"> spp</w:t>
      </w:r>
      <w:r w:rsidR="000628FD" w:rsidRPr="006963B5">
        <w:rPr>
          <w:rFonts w:cs="Times New Roman"/>
          <w:i/>
        </w:rPr>
        <w:t>.</w:t>
      </w:r>
      <w:r w:rsidR="000628FD" w:rsidRPr="006963B5">
        <w:rPr>
          <w:rFonts w:cs="Times New Roman"/>
        </w:rPr>
        <w:t>)</w:t>
      </w:r>
      <w:proofErr w:type="gramStart"/>
      <w:r w:rsidR="002B535C" w:rsidRPr="006963B5">
        <w:rPr>
          <w:rFonts w:cs="Times New Roman"/>
        </w:rPr>
        <w:t>,</w:t>
      </w:r>
      <w:proofErr w:type="gramEnd"/>
      <w:r w:rsidR="002B535C" w:rsidRPr="006963B5">
        <w:rPr>
          <w:rFonts w:cs="Times New Roman"/>
        </w:rPr>
        <w:t xml:space="preserve"> pheasant</w:t>
      </w:r>
      <w:r w:rsidR="000628FD" w:rsidRPr="006963B5">
        <w:rPr>
          <w:rFonts w:cs="Times New Roman"/>
        </w:rPr>
        <w:t xml:space="preserve"> (</w:t>
      </w:r>
      <w:proofErr w:type="spellStart"/>
      <w:r w:rsidR="000628FD" w:rsidRPr="006963B5">
        <w:rPr>
          <w:rFonts w:cs="Times New Roman"/>
          <w:i/>
        </w:rPr>
        <w:t>Phas</w:t>
      </w:r>
      <w:r w:rsidR="002B6A89" w:rsidRPr="006963B5">
        <w:rPr>
          <w:rFonts w:cs="Times New Roman"/>
          <w:i/>
        </w:rPr>
        <w:t>ianus</w:t>
      </w:r>
      <w:proofErr w:type="spellEnd"/>
      <w:r w:rsidR="000628FD" w:rsidRPr="006963B5">
        <w:rPr>
          <w:rFonts w:cs="Times New Roman"/>
          <w:i/>
        </w:rPr>
        <w:t xml:space="preserve"> </w:t>
      </w:r>
      <w:proofErr w:type="spellStart"/>
      <w:r w:rsidR="000628FD" w:rsidRPr="006963B5">
        <w:rPr>
          <w:rFonts w:cs="Times New Roman"/>
          <w:i/>
        </w:rPr>
        <w:t>colchicus</w:t>
      </w:r>
      <w:proofErr w:type="spellEnd"/>
      <w:r w:rsidR="000628FD" w:rsidRPr="006963B5">
        <w:rPr>
          <w:rFonts w:cs="Times New Roman"/>
        </w:rPr>
        <w:t>)</w:t>
      </w:r>
      <w:r w:rsidR="002B535C" w:rsidRPr="006963B5">
        <w:rPr>
          <w:rFonts w:cs="Times New Roman"/>
        </w:rPr>
        <w:t>, hare</w:t>
      </w:r>
      <w:r w:rsidR="000628FD" w:rsidRPr="006963B5">
        <w:rPr>
          <w:rFonts w:cs="Times New Roman"/>
        </w:rPr>
        <w:t xml:space="preserve"> (</w:t>
      </w:r>
      <w:r w:rsidR="000628FD" w:rsidRPr="006963B5">
        <w:rPr>
          <w:rFonts w:cs="Times New Roman"/>
          <w:i/>
        </w:rPr>
        <w:t xml:space="preserve">Lepus </w:t>
      </w:r>
      <w:proofErr w:type="spellStart"/>
      <w:r w:rsidR="005D72E1" w:rsidRPr="006963B5">
        <w:rPr>
          <w:rFonts w:cs="Times New Roman"/>
          <w:i/>
        </w:rPr>
        <w:t>europaeus</w:t>
      </w:r>
      <w:proofErr w:type="spellEnd"/>
      <w:r w:rsidR="000628FD" w:rsidRPr="006963B5">
        <w:rPr>
          <w:rFonts w:cs="Times New Roman"/>
        </w:rPr>
        <w:t>)</w:t>
      </w:r>
      <w:r w:rsidR="002B535C" w:rsidRPr="006963B5">
        <w:rPr>
          <w:rFonts w:cs="Times New Roman"/>
        </w:rPr>
        <w:t>, deer</w:t>
      </w:r>
      <w:r w:rsidR="002E21ED" w:rsidRPr="006963B5">
        <w:rPr>
          <w:rFonts w:cs="Times New Roman"/>
        </w:rPr>
        <w:t xml:space="preserve"> (</w:t>
      </w:r>
      <w:r w:rsidR="00782477" w:rsidRPr="006963B5">
        <w:rPr>
          <w:rFonts w:cs="Times New Roman"/>
        </w:rPr>
        <w:t>including</w:t>
      </w:r>
      <w:r w:rsidR="002E21ED" w:rsidRPr="006963B5">
        <w:rPr>
          <w:rFonts w:cs="Times New Roman"/>
        </w:rPr>
        <w:t xml:space="preserve"> </w:t>
      </w:r>
      <w:proofErr w:type="spellStart"/>
      <w:r w:rsidR="002E21ED" w:rsidRPr="006963B5">
        <w:rPr>
          <w:rFonts w:cs="Times New Roman"/>
          <w:i/>
        </w:rPr>
        <w:t>Capreolus</w:t>
      </w:r>
      <w:proofErr w:type="spellEnd"/>
      <w:r w:rsidR="002E21ED" w:rsidRPr="006963B5">
        <w:rPr>
          <w:rFonts w:cs="Times New Roman"/>
          <w:i/>
        </w:rPr>
        <w:t xml:space="preserve"> </w:t>
      </w:r>
      <w:proofErr w:type="spellStart"/>
      <w:r w:rsidR="002E21ED" w:rsidRPr="006963B5">
        <w:rPr>
          <w:rFonts w:cs="Times New Roman"/>
          <w:i/>
        </w:rPr>
        <w:t>capreolus</w:t>
      </w:r>
      <w:proofErr w:type="spellEnd"/>
      <w:r w:rsidR="002E21ED" w:rsidRPr="006963B5">
        <w:rPr>
          <w:rFonts w:cs="Times New Roman"/>
        </w:rPr>
        <w:t xml:space="preserve">, </w:t>
      </w:r>
      <w:proofErr w:type="spellStart"/>
      <w:r w:rsidR="002E21ED" w:rsidRPr="006963B5">
        <w:rPr>
          <w:rFonts w:cs="Times New Roman"/>
          <w:i/>
        </w:rPr>
        <w:t>Cervus</w:t>
      </w:r>
      <w:proofErr w:type="spellEnd"/>
      <w:r w:rsidR="002E21ED" w:rsidRPr="006963B5">
        <w:rPr>
          <w:rFonts w:cs="Times New Roman"/>
          <w:i/>
        </w:rPr>
        <w:t xml:space="preserve"> spp., </w:t>
      </w:r>
      <w:proofErr w:type="spellStart"/>
      <w:r w:rsidR="002E21ED" w:rsidRPr="006963B5">
        <w:rPr>
          <w:rFonts w:cs="Times New Roman"/>
          <w:i/>
        </w:rPr>
        <w:t>Dama</w:t>
      </w:r>
      <w:proofErr w:type="spellEnd"/>
      <w:r w:rsidR="002E21ED" w:rsidRPr="006963B5">
        <w:rPr>
          <w:rFonts w:cs="Times New Roman"/>
        </w:rPr>
        <w:t xml:space="preserve"> </w:t>
      </w:r>
      <w:proofErr w:type="spellStart"/>
      <w:r w:rsidR="002E21ED" w:rsidRPr="006963B5">
        <w:rPr>
          <w:rFonts w:cs="Times New Roman"/>
          <w:i/>
        </w:rPr>
        <w:t>dama</w:t>
      </w:r>
      <w:proofErr w:type="spellEnd"/>
      <w:r w:rsidR="002B6A89" w:rsidRPr="006963B5">
        <w:rPr>
          <w:rFonts w:cs="Times New Roman"/>
          <w:i/>
        </w:rPr>
        <w:t xml:space="preserve">, </w:t>
      </w:r>
      <w:proofErr w:type="spellStart"/>
      <w:r w:rsidR="002B6A89" w:rsidRPr="006963B5">
        <w:rPr>
          <w:rFonts w:cs="Times New Roman"/>
          <w:i/>
        </w:rPr>
        <w:t>Alces</w:t>
      </w:r>
      <w:proofErr w:type="spellEnd"/>
      <w:r w:rsidR="002B6A89" w:rsidRPr="006963B5">
        <w:rPr>
          <w:rFonts w:cs="Times New Roman"/>
          <w:i/>
        </w:rPr>
        <w:t xml:space="preserve"> </w:t>
      </w:r>
      <w:proofErr w:type="spellStart"/>
      <w:r w:rsidR="002B6A89" w:rsidRPr="006963B5">
        <w:rPr>
          <w:rFonts w:cs="Times New Roman"/>
          <w:i/>
        </w:rPr>
        <w:t>alces</w:t>
      </w:r>
      <w:proofErr w:type="spellEnd"/>
      <w:r w:rsidR="002E21ED" w:rsidRPr="006963B5">
        <w:rPr>
          <w:rFonts w:cs="Times New Roman"/>
        </w:rPr>
        <w:t>)</w:t>
      </w:r>
      <w:r w:rsidR="002B535C" w:rsidRPr="006963B5">
        <w:rPr>
          <w:rFonts w:cs="Times New Roman"/>
        </w:rPr>
        <w:t>, wild boar</w:t>
      </w:r>
      <w:r w:rsidR="000628FD" w:rsidRPr="006963B5">
        <w:rPr>
          <w:rFonts w:cs="Times New Roman"/>
        </w:rPr>
        <w:t xml:space="preserve"> (</w:t>
      </w:r>
      <w:r w:rsidR="000628FD" w:rsidRPr="006963B5">
        <w:rPr>
          <w:rFonts w:cs="Times New Roman"/>
          <w:i/>
        </w:rPr>
        <w:t xml:space="preserve">Sus </w:t>
      </w:r>
      <w:proofErr w:type="spellStart"/>
      <w:r w:rsidR="000628FD" w:rsidRPr="006963B5">
        <w:rPr>
          <w:rFonts w:cs="Times New Roman"/>
          <w:i/>
        </w:rPr>
        <w:t>scrofa</w:t>
      </w:r>
      <w:proofErr w:type="spellEnd"/>
      <w:r w:rsidR="000628FD" w:rsidRPr="006963B5">
        <w:rPr>
          <w:rFonts w:cs="Times New Roman"/>
        </w:rPr>
        <w:t>)</w:t>
      </w:r>
      <w:r w:rsidR="002B535C" w:rsidRPr="006963B5">
        <w:rPr>
          <w:rFonts w:cs="Times New Roman"/>
        </w:rPr>
        <w:t xml:space="preserve"> and chamois </w:t>
      </w:r>
      <w:r w:rsidR="007B70ED" w:rsidRPr="006963B5">
        <w:rPr>
          <w:rFonts w:cs="Times New Roman"/>
        </w:rPr>
        <w:t>(</w:t>
      </w:r>
      <w:proofErr w:type="spellStart"/>
      <w:r w:rsidR="007B70ED" w:rsidRPr="006963B5">
        <w:rPr>
          <w:rFonts w:cs="Times New Roman"/>
          <w:i/>
        </w:rPr>
        <w:t>Rupicapra</w:t>
      </w:r>
      <w:proofErr w:type="spellEnd"/>
      <w:r w:rsidR="007B70ED" w:rsidRPr="006963B5">
        <w:rPr>
          <w:rFonts w:cs="Times New Roman"/>
          <w:i/>
        </w:rPr>
        <w:t xml:space="preserve"> </w:t>
      </w:r>
      <w:proofErr w:type="spellStart"/>
      <w:r w:rsidR="007B70ED" w:rsidRPr="006963B5">
        <w:rPr>
          <w:rFonts w:cs="Times New Roman"/>
          <w:i/>
        </w:rPr>
        <w:t>rupicapra</w:t>
      </w:r>
      <w:proofErr w:type="spellEnd"/>
      <w:r w:rsidR="007B70ED" w:rsidRPr="006963B5">
        <w:rPr>
          <w:rFonts w:cs="Times New Roman"/>
        </w:rPr>
        <w:t>)</w:t>
      </w:r>
      <w:r w:rsidR="0097693A" w:rsidRPr="006963B5">
        <w:rPr>
          <w:rFonts w:cs="Times New Roman"/>
        </w:rPr>
        <w:t xml:space="preserve"> </w:t>
      </w:r>
      <w:r w:rsidR="002B535C" w:rsidRPr="006963B5">
        <w:rPr>
          <w:rFonts w:cs="Times New Roman"/>
        </w:rPr>
        <w:t xml:space="preserve">that </w:t>
      </w:r>
      <w:r w:rsidR="00487C04" w:rsidRPr="006963B5">
        <w:rPr>
          <w:rFonts w:cs="Times New Roman"/>
        </w:rPr>
        <w:t>are</w:t>
      </w:r>
      <w:r w:rsidR="002B535C" w:rsidRPr="006963B5">
        <w:rPr>
          <w:rFonts w:cs="Times New Roman"/>
        </w:rPr>
        <w:t xml:space="preserve"> available for consumption, but </w:t>
      </w:r>
      <w:r w:rsidR="00782477" w:rsidRPr="006963B5">
        <w:rPr>
          <w:rFonts w:cs="Times New Roman"/>
        </w:rPr>
        <w:t xml:space="preserve">the study </w:t>
      </w:r>
      <w:r w:rsidR="002B535C" w:rsidRPr="006963B5">
        <w:rPr>
          <w:rFonts w:cs="Times New Roman"/>
        </w:rPr>
        <w:t>exclud</w:t>
      </w:r>
      <w:r w:rsidR="00782477" w:rsidRPr="006963B5">
        <w:rPr>
          <w:rFonts w:cs="Times New Roman"/>
        </w:rPr>
        <w:t>ed</w:t>
      </w:r>
      <w:r w:rsidR="002B535C" w:rsidRPr="006963B5">
        <w:rPr>
          <w:rFonts w:cs="Times New Roman"/>
        </w:rPr>
        <w:t xml:space="preserve"> farmed game</w:t>
      </w:r>
      <w:r w:rsidR="00782477" w:rsidRPr="006963B5">
        <w:rPr>
          <w:rFonts w:cs="Times New Roman"/>
        </w:rPr>
        <w:t xml:space="preserve"> (mostly deer and wild boar)</w:t>
      </w:r>
      <w:r w:rsidR="002B535C" w:rsidRPr="006963B5">
        <w:rPr>
          <w:rFonts w:cs="Times New Roman"/>
        </w:rPr>
        <w:t>. The study focussed particularly on game species that use forested or forest associated habitats</w:t>
      </w:r>
      <w:r w:rsidR="000034A8" w:rsidRPr="006963B5">
        <w:rPr>
          <w:rFonts w:cs="Times New Roman"/>
        </w:rPr>
        <w:t>.</w:t>
      </w:r>
      <w:r w:rsidR="005D2AF3" w:rsidRPr="006963B5">
        <w:rPr>
          <w:rFonts w:cs="Times New Roman"/>
        </w:rPr>
        <w:t xml:space="preserve"> Although reporting requirements for birds are mandatory</w:t>
      </w:r>
      <w:r w:rsidR="002A45C8" w:rsidRPr="006963B5">
        <w:rPr>
          <w:rFonts w:cs="Times New Roman"/>
        </w:rPr>
        <w:t xml:space="preserve"> under the Birds Directive</w:t>
      </w:r>
      <w:r w:rsidR="005D2AF3" w:rsidRPr="006963B5">
        <w:rPr>
          <w:rFonts w:cs="Times New Roman"/>
        </w:rPr>
        <w:t>, data provided</w:t>
      </w:r>
      <w:r w:rsidR="002A45C8" w:rsidRPr="006963B5">
        <w:rPr>
          <w:rFonts w:cs="Times New Roman"/>
        </w:rPr>
        <w:t xml:space="preserve"> both </w:t>
      </w:r>
      <w:r w:rsidR="00782477" w:rsidRPr="006963B5">
        <w:rPr>
          <w:rFonts w:cs="Times New Roman"/>
        </w:rPr>
        <w:t>from</w:t>
      </w:r>
      <w:r w:rsidR="002A45C8" w:rsidRPr="006963B5">
        <w:rPr>
          <w:rFonts w:cs="Times New Roman"/>
        </w:rPr>
        <w:t xml:space="preserve"> this </w:t>
      </w:r>
      <w:r w:rsidR="00782477" w:rsidRPr="006963B5">
        <w:rPr>
          <w:rFonts w:cs="Times New Roman"/>
        </w:rPr>
        <w:t xml:space="preserve">survey </w:t>
      </w:r>
      <w:r w:rsidR="002A45C8" w:rsidRPr="006963B5">
        <w:rPr>
          <w:rFonts w:cs="Times New Roman"/>
        </w:rPr>
        <w:t>and voluntary schemes</w:t>
      </w:r>
      <w:r w:rsidR="00782477" w:rsidRPr="006963B5">
        <w:rPr>
          <w:rFonts w:cs="Times New Roman"/>
        </w:rPr>
        <w:t xml:space="preserve"> varied substantially in</w:t>
      </w:r>
      <w:r w:rsidR="005D2AF3" w:rsidRPr="006963B5">
        <w:rPr>
          <w:rFonts w:cs="Times New Roman"/>
        </w:rPr>
        <w:t xml:space="preserve"> </w:t>
      </w:r>
      <w:r w:rsidR="00782477" w:rsidRPr="006963B5">
        <w:rPr>
          <w:rFonts w:cs="Times New Roman"/>
        </w:rPr>
        <w:t>coverage</w:t>
      </w:r>
      <w:r w:rsidR="005D2AF3" w:rsidRPr="006963B5">
        <w:rPr>
          <w:rFonts w:cs="Times New Roman"/>
        </w:rPr>
        <w:t xml:space="preserve"> and quality</w:t>
      </w:r>
      <w:r w:rsidR="00AB5F77" w:rsidRPr="006963B5">
        <w:rPr>
          <w:rFonts w:cs="Times New Roman"/>
        </w:rPr>
        <w:t>.</w:t>
      </w:r>
    </w:p>
    <w:p w14:paraId="536A7210" w14:textId="49937843" w:rsidR="008A78BF" w:rsidRPr="006963B5" w:rsidRDefault="00A85C5A" w:rsidP="00AE33FC">
      <w:pPr>
        <w:spacing w:line="480" w:lineRule="auto"/>
        <w:ind w:firstLine="720"/>
        <w:rPr>
          <w:rFonts w:cs="Times New Roman"/>
        </w:rPr>
      </w:pPr>
      <w:r w:rsidRPr="006963B5">
        <w:rPr>
          <w:rFonts w:cs="Times New Roman"/>
        </w:rPr>
        <w:t xml:space="preserve">The </w:t>
      </w:r>
      <w:r w:rsidR="00782477" w:rsidRPr="006963B5">
        <w:rPr>
          <w:rFonts w:cs="Times New Roman"/>
        </w:rPr>
        <w:t>fresh weight</w:t>
      </w:r>
      <w:r w:rsidRPr="006963B5">
        <w:rPr>
          <w:rFonts w:cs="Times New Roman"/>
        </w:rPr>
        <w:t xml:space="preserve"> of game killed and </w:t>
      </w:r>
      <w:r w:rsidR="00782477" w:rsidRPr="006963B5">
        <w:rPr>
          <w:rFonts w:cs="Times New Roman"/>
        </w:rPr>
        <w:t xml:space="preserve">its </w:t>
      </w:r>
      <w:r w:rsidRPr="006963B5">
        <w:rPr>
          <w:rFonts w:cs="Times New Roman"/>
        </w:rPr>
        <w:t xml:space="preserve">traded value </w:t>
      </w:r>
      <w:r w:rsidR="00DB00A0">
        <w:rPr>
          <w:rFonts w:cs="Times New Roman"/>
        </w:rPr>
        <w:t>(</w:t>
      </w:r>
      <w:r w:rsidRPr="006963B5">
        <w:rPr>
          <w:rFonts w:cs="Times New Roman"/>
        </w:rPr>
        <w:t>FAO 2018)</w:t>
      </w:r>
      <w:r w:rsidR="00782477" w:rsidRPr="006963B5">
        <w:rPr>
          <w:rFonts w:cs="Times New Roman"/>
        </w:rPr>
        <w:t xml:space="preserve"> are</w:t>
      </w:r>
      <w:r w:rsidR="00D12B10" w:rsidRPr="006963B5">
        <w:rPr>
          <w:rFonts w:cs="Times New Roman"/>
        </w:rPr>
        <w:t xml:space="preserve"> </w:t>
      </w:r>
      <w:r w:rsidR="000034A8" w:rsidRPr="006963B5">
        <w:rPr>
          <w:rFonts w:cs="Times New Roman"/>
        </w:rPr>
        <w:t>presented in Tables 1 and 2</w:t>
      </w:r>
      <w:r w:rsidRPr="006963B5">
        <w:rPr>
          <w:rFonts w:cs="Times New Roman"/>
        </w:rPr>
        <w:t>. Th</w:t>
      </w:r>
      <w:r w:rsidR="00782477" w:rsidRPr="006963B5">
        <w:rPr>
          <w:rFonts w:cs="Times New Roman"/>
        </w:rPr>
        <w:t>ese figures</w:t>
      </w:r>
      <w:r w:rsidR="000034A8" w:rsidRPr="006963B5">
        <w:rPr>
          <w:rFonts w:cs="Times New Roman"/>
        </w:rPr>
        <w:t xml:space="preserve"> represent only the most important mammalian and avian game species, and </w:t>
      </w:r>
      <w:r w:rsidR="00782477" w:rsidRPr="006963B5">
        <w:rPr>
          <w:rFonts w:cs="Times New Roman"/>
        </w:rPr>
        <w:t xml:space="preserve">came </w:t>
      </w:r>
      <w:r w:rsidR="000034A8" w:rsidRPr="006963B5">
        <w:rPr>
          <w:rFonts w:cs="Times New Roman"/>
        </w:rPr>
        <w:t xml:space="preserve">from those countries that replied most </w:t>
      </w:r>
      <w:r w:rsidR="00782477" w:rsidRPr="006963B5">
        <w:rPr>
          <w:rFonts w:cs="Times New Roman"/>
        </w:rPr>
        <w:t xml:space="preserve">fully </w:t>
      </w:r>
      <w:r w:rsidR="000034A8" w:rsidRPr="006963B5">
        <w:rPr>
          <w:rFonts w:cs="Times New Roman"/>
        </w:rPr>
        <w:t>to the questio</w:t>
      </w:r>
      <w:r w:rsidR="0093136B" w:rsidRPr="006963B5">
        <w:rPr>
          <w:rFonts w:cs="Times New Roman"/>
        </w:rPr>
        <w:t>n</w:t>
      </w:r>
      <w:r w:rsidR="000034A8" w:rsidRPr="006963B5">
        <w:rPr>
          <w:rFonts w:cs="Times New Roman"/>
        </w:rPr>
        <w:t>naires.</w:t>
      </w:r>
      <w:r w:rsidR="00782477" w:rsidRPr="006963B5">
        <w:rPr>
          <w:rFonts w:cs="Times New Roman"/>
        </w:rPr>
        <w:t xml:space="preserve"> We recommend that FAO (2018) is consulted f</w:t>
      </w:r>
      <w:r w:rsidR="000034A8" w:rsidRPr="006963B5">
        <w:rPr>
          <w:rFonts w:cs="Times New Roman"/>
        </w:rPr>
        <w:t xml:space="preserve">or information on hunted species of lesser economic importance to the game trade. The data in Tables 1 and 2 are </w:t>
      </w:r>
      <w:r w:rsidR="00782477" w:rsidRPr="006963B5">
        <w:rPr>
          <w:rFonts w:cs="Times New Roman"/>
        </w:rPr>
        <w:t xml:space="preserve">annual means </w:t>
      </w:r>
      <w:r w:rsidR="000034A8" w:rsidRPr="006963B5">
        <w:rPr>
          <w:rFonts w:cs="Times New Roman"/>
        </w:rPr>
        <w:t>average</w:t>
      </w:r>
      <w:r w:rsidR="00782477" w:rsidRPr="006963B5">
        <w:rPr>
          <w:rFonts w:cs="Times New Roman"/>
        </w:rPr>
        <w:t>d across</w:t>
      </w:r>
      <w:r w:rsidR="000034A8" w:rsidRPr="006963B5">
        <w:rPr>
          <w:rFonts w:cs="Times New Roman"/>
        </w:rPr>
        <w:t xml:space="preserve"> recent annual reports. The numbers vary from year to year </w:t>
      </w:r>
      <w:r w:rsidR="00782477" w:rsidRPr="006963B5">
        <w:rPr>
          <w:rFonts w:cs="Times New Roman"/>
        </w:rPr>
        <w:t>because of variation in</w:t>
      </w:r>
      <w:r w:rsidR="000034A8" w:rsidRPr="006963B5">
        <w:rPr>
          <w:rFonts w:cs="Times New Roman"/>
        </w:rPr>
        <w:t xml:space="preserve"> wild game recruitment patterns, hunter effort, and market economic conditions.</w:t>
      </w:r>
      <w:r w:rsidRPr="006963B5">
        <w:rPr>
          <w:rFonts w:cs="Times New Roman"/>
        </w:rPr>
        <w:t xml:space="preserve"> </w:t>
      </w:r>
      <w:r w:rsidR="003E7C31" w:rsidRPr="006963B5">
        <w:rPr>
          <w:rFonts w:cs="Times New Roman"/>
        </w:rPr>
        <w:t xml:space="preserve">The </w:t>
      </w:r>
      <w:r w:rsidR="00DB00A0">
        <w:rPr>
          <w:rFonts w:cs="Times New Roman"/>
        </w:rPr>
        <w:t>13</w:t>
      </w:r>
      <w:r w:rsidR="003E7C31" w:rsidRPr="006963B5">
        <w:rPr>
          <w:rFonts w:cs="Times New Roman"/>
        </w:rPr>
        <w:t xml:space="preserve"> </w:t>
      </w:r>
      <w:r w:rsidR="00A54CF9" w:rsidRPr="006963B5">
        <w:rPr>
          <w:rFonts w:cs="Times New Roman"/>
        </w:rPr>
        <w:t xml:space="preserve">EU </w:t>
      </w:r>
      <w:r w:rsidR="003E7C31" w:rsidRPr="006963B5">
        <w:rPr>
          <w:rFonts w:cs="Times New Roman"/>
        </w:rPr>
        <w:t>countries that replied to the survey</w:t>
      </w:r>
      <w:r w:rsidR="00A54CF9" w:rsidRPr="006963B5">
        <w:rPr>
          <w:rFonts w:cs="Times New Roman"/>
        </w:rPr>
        <w:t xml:space="preserve"> on numbers of animals killed</w:t>
      </w:r>
      <w:r w:rsidR="003E7C31" w:rsidRPr="006963B5">
        <w:rPr>
          <w:rFonts w:cs="Times New Roman"/>
        </w:rPr>
        <w:t xml:space="preserve"> have 5,465,000 </w:t>
      </w:r>
      <w:r w:rsidR="003E7C31" w:rsidRPr="006963B5">
        <w:rPr>
          <w:rFonts w:cs="Times New Roman"/>
        </w:rPr>
        <w:lastRenderedPageBreak/>
        <w:t xml:space="preserve">hunters, representing 82% of the 6,667,770 hunters in the EU 28 </w:t>
      </w:r>
      <w:r w:rsidR="00782477" w:rsidRPr="006963B5">
        <w:rPr>
          <w:rFonts w:cs="Times New Roman"/>
        </w:rPr>
        <w:t>in</w:t>
      </w:r>
      <w:r w:rsidR="003E7C31" w:rsidRPr="006963B5">
        <w:rPr>
          <w:rFonts w:cs="Times New Roman"/>
        </w:rPr>
        <w:t xml:space="preserve"> 2010 (FACE 2010). Assuming that a similar number of mammals are killed per hunter by the remaining 18% of hunters gives an estimated annual kill across the EU of 6,282,841 large mammals </w:t>
      </w:r>
      <w:r w:rsidR="00C647D6" w:rsidRPr="006963B5">
        <w:rPr>
          <w:rFonts w:cs="Times New Roman"/>
        </w:rPr>
        <w:t>(th</w:t>
      </w:r>
      <w:r w:rsidR="003E7C31" w:rsidRPr="006963B5">
        <w:rPr>
          <w:rFonts w:cs="Times New Roman"/>
        </w:rPr>
        <w:t>ree</w:t>
      </w:r>
      <w:r w:rsidR="00A54CF9" w:rsidRPr="006963B5">
        <w:rPr>
          <w:rFonts w:cs="Times New Roman"/>
        </w:rPr>
        <w:t xml:space="preserve"> species of deer</w:t>
      </w:r>
      <w:r w:rsidR="003E7C31" w:rsidRPr="006963B5">
        <w:rPr>
          <w:rFonts w:cs="Times New Roman"/>
        </w:rPr>
        <w:t xml:space="preserve"> plus </w:t>
      </w:r>
      <w:r w:rsidR="003D737C" w:rsidRPr="006963B5">
        <w:rPr>
          <w:rFonts w:cs="Times New Roman"/>
        </w:rPr>
        <w:t>w</w:t>
      </w:r>
      <w:r w:rsidR="003E7C31" w:rsidRPr="006963B5">
        <w:rPr>
          <w:rFonts w:cs="Times New Roman"/>
        </w:rPr>
        <w:t xml:space="preserve">ild </w:t>
      </w:r>
      <w:r w:rsidR="003D737C" w:rsidRPr="006963B5">
        <w:rPr>
          <w:rFonts w:cs="Times New Roman"/>
        </w:rPr>
        <w:t>b</w:t>
      </w:r>
      <w:r w:rsidR="003E7C31" w:rsidRPr="006963B5">
        <w:rPr>
          <w:rFonts w:cs="Times New Roman"/>
        </w:rPr>
        <w:t xml:space="preserve">oar) and 12,269,575 </w:t>
      </w:r>
      <w:r w:rsidR="003D737C" w:rsidRPr="006963B5">
        <w:rPr>
          <w:rFonts w:cs="Times New Roman"/>
        </w:rPr>
        <w:t>b</w:t>
      </w:r>
      <w:r w:rsidR="003E7C31" w:rsidRPr="006963B5">
        <w:rPr>
          <w:rFonts w:cs="Times New Roman"/>
        </w:rPr>
        <w:t xml:space="preserve">rown </w:t>
      </w:r>
      <w:r w:rsidR="003D737C" w:rsidRPr="006963B5">
        <w:rPr>
          <w:rFonts w:cs="Times New Roman"/>
        </w:rPr>
        <w:t>h</w:t>
      </w:r>
      <w:r w:rsidR="003E7C31" w:rsidRPr="006963B5">
        <w:rPr>
          <w:rFonts w:cs="Times New Roman"/>
        </w:rPr>
        <w:t xml:space="preserve">ares and </w:t>
      </w:r>
      <w:r w:rsidR="003D737C" w:rsidRPr="006963B5">
        <w:rPr>
          <w:rFonts w:cs="Times New Roman"/>
        </w:rPr>
        <w:t>r</w:t>
      </w:r>
      <w:r w:rsidR="003E7C31" w:rsidRPr="006963B5">
        <w:rPr>
          <w:rFonts w:cs="Times New Roman"/>
        </w:rPr>
        <w:t xml:space="preserve">abbits. </w:t>
      </w:r>
    </w:p>
    <w:p w14:paraId="7666FE7D" w14:textId="033EA149" w:rsidR="00C647D6" w:rsidRPr="006963B5" w:rsidRDefault="0082413E" w:rsidP="00AE33FC">
      <w:pPr>
        <w:spacing w:line="480" w:lineRule="auto"/>
        <w:ind w:firstLine="720"/>
        <w:rPr>
          <w:rFonts w:cs="Times New Roman"/>
        </w:rPr>
      </w:pPr>
      <w:r w:rsidRPr="006963B5">
        <w:rPr>
          <w:rFonts w:cs="Times New Roman"/>
        </w:rPr>
        <w:t xml:space="preserve">Data on numbers of birds killed in the EU are sparse in FAO (2018). </w:t>
      </w:r>
      <w:r w:rsidR="00C647D6" w:rsidRPr="006963B5">
        <w:rPr>
          <w:rFonts w:cs="Times New Roman"/>
        </w:rPr>
        <w:t>Hirs</w:t>
      </w:r>
      <w:r w:rsidRPr="006963B5">
        <w:rPr>
          <w:rFonts w:cs="Times New Roman"/>
        </w:rPr>
        <w:t>chfeld et al. (2019) found that</w:t>
      </w:r>
      <w:r w:rsidR="00C647D6" w:rsidRPr="006963B5">
        <w:rPr>
          <w:rFonts w:cs="Times New Roman"/>
        </w:rPr>
        <w:t xml:space="preserve"> almost 52 million birds (51,808) were reported as shot</w:t>
      </w:r>
      <w:r w:rsidR="00354801" w:rsidRPr="006963B5">
        <w:rPr>
          <w:rFonts w:cs="Times New Roman"/>
        </w:rPr>
        <w:t xml:space="preserve"> annually</w:t>
      </w:r>
      <w:r w:rsidR="00C647D6" w:rsidRPr="006963B5">
        <w:rPr>
          <w:rFonts w:cs="Times New Roman"/>
        </w:rPr>
        <w:t xml:space="preserve"> in the EU, but </w:t>
      </w:r>
      <w:r w:rsidR="00354801" w:rsidRPr="006963B5">
        <w:rPr>
          <w:rFonts w:cs="Times New Roman"/>
        </w:rPr>
        <w:t xml:space="preserve">these data </w:t>
      </w:r>
      <w:r w:rsidR="00C647D6" w:rsidRPr="006963B5">
        <w:rPr>
          <w:rFonts w:cs="Times New Roman"/>
        </w:rPr>
        <w:t>exclud</w:t>
      </w:r>
      <w:r w:rsidR="00354801" w:rsidRPr="006963B5">
        <w:rPr>
          <w:rFonts w:cs="Times New Roman"/>
        </w:rPr>
        <w:t>ed</w:t>
      </w:r>
      <w:r w:rsidR="00C647D6" w:rsidRPr="006963B5">
        <w:rPr>
          <w:rFonts w:cs="Times New Roman"/>
        </w:rPr>
        <w:t xml:space="preserve"> the UK, Greece, Ireland and the Netherlands, where 20% of shooters are reported to live (FACE 2010). In the UK, Green and Pain (2015) used available data to make a conservative estimate of 28.1 million birds shot</w:t>
      </w:r>
      <w:r w:rsidR="00354801" w:rsidRPr="006963B5">
        <w:rPr>
          <w:rFonts w:cs="Times New Roman"/>
        </w:rPr>
        <w:t xml:space="preserve"> annually</w:t>
      </w:r>
      <w:r w:rsidR="00C647D6" w:rsidRPr="006963B5">
        <w:rPr>
          <w:rFonts w:cs="Times New Roman"/>
        </w:rPr>
        <w:t xml:space="preserve">, although these data are from a decade ago and numbers shot are likely to have increased, along with increases in numbers of released gamebirds (primarily pheasants and red-legged partridges </w:t>
      </w:r>
      <w:proofErr w:type="spellStart"/>
      <w:r w:rsidR="00C647D6" w:rsidRPr="006963B5">
        <w:rPr>
          <w:rFonts w:cs="Times New Roman"/>
          <w:i/>
        </w:rPr>
        <w:t>Alectoris</w:t>
      </w:r>
      <w:proofErr w:type="spellEnd"/>
      <w:r w:rsidR="00C647D6" w:rsidRPr="006963B5">
        <w:rPr>
          <w:rFonts w:cs="Times New Roman"/>
          <w:i/>
        </w:rPr>
        <w:t xml:space="preserve"> </w:t>
      </w:r>
      <w:proofErr w:type="spellStart"/>
      <w:r w:rsidR="00C647D6" w:rsidRPr="006963B5">
        <w:rPr>
          <w:rFonts w:cs="Times New Roman"/>
          <w:i/>
        </w:rPr>
        <w:t>rufa</w:t>
      </w:r>
      <w:proofErr w:type="spellEnd"/>
      <w:r w:rsidR="00C647D6" w:rsidRPr="006963B5">
        <w:rPr>
          <w:rFonts w:cs="Times New Roman"/>
        </w:rPr>
        <w:t xml:space="preserve">). Adding the UK figure to that of Hirschfeld et al. (2019) gives a total of c.80 million birds shot in the EU, but excluding Greece, Ireland and the Netherlands. These latter three countries contain 9.2% of the total number of hunters in the EU (FACE 2010). If we assume that a similar </w:t>
      </w:r>
      <w:r w:rsidR="00354801" w:rsidRPr="006963B5">
        <w:rPr>
          <w:rFonts w:cs="Times New Roman"/>
        </w:rPr>
        <w:t xml:space="preserve">average </w:t>
      </w:r>
      <w:r w:rsidR="00C647D6" w:rsidRPr="006963B5">
        <w:rPr>
          <w:rFonts w:cs="Times New Roman"/>
        </w:rPr>
        <w:t xml:space="preserve">number of birds </w:t>
      </w:r>
      <w:proofErr w:type="gramStart"/>
      <w:r w:rsidR="00C647D6" w:rsidRPr="006963B5">
        <w:rPr>
          <w:rFonts w:cs="Times New Roman"/>
        </w:rPr>
        <w:t>is</w:t>
      </w:r>
      <w:proofErr w:type="gramEnd"/>
      <w:r w:rsidR="00C647D6" w:rsidRPr="006963B5">
        <w:rPr>
          <w:rFonts w:cs="Times New Roman"/>
        </w:rPr>
        <w:t xml:space="preserve"> shot </w:t>
      </w:r>
      <w:r w:rsidR="00354801" w:rsidRPr="006963B5">
        <w:rPr>
          <w:rFonts w:cs="Times New Roman"/>
        </w:rPr>
        <w:t xml:space="preserve">per </w:t>
      </w:r>
      <w:r w:rsidR="00C647D6" w:rsidRPr="006963B5">
        <w:rPr>
          <w:rFonts w:cs="Times New Roman"/>
        </w:rPr>
        <w:t xml:space="preserve">hunter in these countries, this suggests that about 88 million birds are shot </w:t>
      </w:r>
      <w:r w:rsidR="00354801" w:rsidRPr="006963B5">
        <w:rPr>
          <w:rFonts w:cs="Times New Roman"/>
        </w:rPr>
        <w:t>per</w:t>
      </w:r>
      <w:r w:rsidR="00C647D6" w:rsidRPr="006963B5">
        <w:rPr>
          <w:rFonts w:cs="Times New Roman"/>
        </w:rPr>
        <w:t xml:space="preserve"> year.</w:t>
      </w:r>
      <w:r w:rsidRPr="006963B5">
        <w:rPr>
          <w:rFonts w:cs="Times New Roman"/>
        </w:rPr>
        <w:t xml:space="preserve"> </w:t>
      </w:r>
      <w:r w:rsidR="00C647D6" w:rsidRPr="006963B5">
        <w:rPr>
          <w:rFonts w:cs="Times New Roman"/>
        </w:rPr>
        <w:t>This is not dissimilar to the totals given in the FAO 2018 voluntary questionnaire. FAO data showed that 12 EU countries with 4,665,000 hunters (in 2010 – FACE 2010) reported shooting 38,766,554 birds of selected species.   To this we can add UK figures of 800,000 hunters shooting 28.1 million birds (FACE 2010; Green and Pain 2015) giving a total of 5,465,000 million hunters (82% of total hunters) shooting 66,866,554 birds. Extrapolating this to the total number of EU hunters in 2010 - 6,667,770 (FACE 2010), gives a total of 81,544,000 birds hunted. This may be an underestimate given that not all species were reported and numbers have increased in the UK, but is broadly similar to the estimate of Hirschfeld et al. (2019) for the EU.</w:t>
      </w:r>
    </w:p>
    <w:p w14:paraId="562BD8D0" w14:textId="0586244B" w:rsidR="00F035CF" w:rsidRPr="006963B5" w:rsidRDefault="00454BCE" w:rsidP="00AE33FC">
      <w:pPr>
        <w:spacing w:line="480" w:lineRule="auto"/>
        <w:ind w:firstLine="720"/>
        <w:rPr>
          <w:rFonts w:ascii="Arial" w:eastAsia="Times New Roman" w:hAnsi="Arial" w:cs="Arial"/>
          <w:b/>
          <w:bCs/>
          <w:color w:val="000000"/>
          <w:lang w:val="en-GB" w:eastAsia="en-GB"/>
        </w:rPr>
      </w:pPr>
      <w:r>
        <w:rPr>
          <w:rFonts w:cs="Times New Roman"/>
        </w:rPr>
        <w:lastRenderedPageBreak/>
        <w:t xml:space="preserve">Despite the </w:t>
      </w:r>
      <w:r w:rsidR="009217C8" w:rsidRPr="006963B5">
        <w:rPr>
          <w:rFonts w:cs="Times New Roman"/>
        </w:rPr>
        <w:t>reporting limitations inherent in</w:t>
      </w:r>
      <w:r w:rsidR="0082413E" w:rsidRPr="006963B5">
        <w:rPr>
          <w:rFonts w:cs="Times New Roman"/>
        </w:rPr>
        <w:t xml:space="preserve"> the</w:t>
      </w:r>
      <w:r w:rsidR="009217C8" w:rsidRPr="006963B5">
        <w:rPr>
          <w:rFonts w:cs="Times New Roman"/>
        </w:rPr>
        <w:t xml:space="preserve"> FAO (2018)</w:t>
      </w:r>
      <w:r w:rsidR="0082413E" w:rsidRPr="006963B5">
        <w:rPr>
          <w:rFonts w:cs="Times New Roman"/>
        </w:rPr>
        <w:t xml:space="preserve"> survey</w:t>
      </w:r>
      <w:r w:rsidR="009217C8" w:rsidRPr="006963B5">
        <w:rPr>
          <w:rFonts w:cs="Times New Roman"/>
        </w:rPr>
        <w:t xml:space="preserve">, the results indicate a large annual kill of mammals </w:t>
      </w:r>
      <w:r w:rsidR="00EC0020" w:rsidRPr="006963B5">
        <w:rPr>
          <w:rFonts w:cs="Times New Roman"/>
        </w:rPr>
        <w:t>(Table 1) and birds as indicated above</w:t>
      </w:r>
      <w:r w:rsidR="009217C8" w:rsidRPr="006963B5">
        <w:rPr>
          <w:rFonts w:cs="Times New Roman"/>
        </w:rPr>
        <w:t>.</w:t>
      </w:r>
      <w:r w:rsidR="00922CB0" w:rsidRPr="006963B5">
        <w:rPr>
          <w:rFonts w:cs="Times New Roman"/>
        </w:rPr>
        <w:t xml:space="preserve"> </w:t>
      </w:r>
      <w:r w:rsidR="00A54CF9" w:rsidRPr="006963B5">
        <w:rPr>
          <w:rFonts w:cs="Times New Roman"/>
        </w:rPr>
        <w:t xml:space="preserve">Fewer countries reported trade data. </w:t>
      </w:r>
      <w:r w:rsidR="00B01822" w:rsidRPr="006963B5">
        <w:rPr>
          <w:rFonts w:cs="Times New Roman"/>
        </w:rPr>
        <w:t xml:space="preserve"> </w:t>
      </w:r>
      <w:r w:rsidR="00A54CF9" w:rsidRPr="006963B5">
        <w:rPr>
          <w:rFonts w:cs="Times New Roman"/>
        </w:rPr>
        <w:t>D</w:t>
      </w:r>
      <w:r w:rsidR="00B01822" w:rsidRPr="006963B5">
        <w:rPr>
          <w:rFonts w:cs="Times New Roman"/>
        </w:rPr>
        <w:t>ata in Table 2 are based on the principal mammal and bird species trade</w:t>
      </w:r>
      <w:r w:rsidR="00FC1EB7" w:rsidRPr="006963B5">
        <w:rPr>
          <w:rFonts w:cs="Times New Roman"/>
        </w:rPr>
        <w:t>d</w:t>
      </w:r>
      <w:r w:rsidR="00354801" w:rsidRPr="006963B5">
        <w:rPr>
          <w:rFonts w:cs="Times New Roman"/>
        </w:rPr>
        <w:t>, which</w:t>
      </w:r>
      <w:r w:rsidR="00FC1EB7" w:rsidRPr="006963B5">
        <w:rPr>
          <w:rFonts w:cs="Times New Roman"/>
        </w:rPr>
        <w:t xml:space="preserve"> are deer and boar, </w:t>
      </w:r>
      <w:r w:rsidR="00B01822" w:rsidRPr="006963B5">
        <w:rPr>
          <w:rFonts w:cs="Times New Roman"/>
        </w:rPr>
        <w:t xml:space="preserve">waterfowl, pheasant, and other </w:t>
      </w:r>
      <w:r w:rsidR="00354801" w:rsidRPr="006963B5">
        <w:rPr>
          <w:rFonts w:cs="Times New Roman"/>
        </w:rPr>
        <w:t>non-wetland</w:t>
      </w:r>
      <w:r w:rsidR="00B01822" w:rsidRPr="006963B5">
        <w:rPr>
          <w:rFonts w:cs="Times New Roman"/>
        </w:rPr>
        <w:t xml:space="preserve"> gamebirds. The annual traded values of the </w:t>
      </w:r>
      <w:r w:rsidR="00C647D6" w:rsidRPr="006963B5">
        <w:rPr>
          <w:rFonts w:cs="Times New Roman"/>
        </w:rPr>
        <w:t xml:space="preserve">EU </w:t>
      </w:r>
      <w:r w:rsidR="00B01822" w:rsidRPr="006963B5">
        <w:rPr>
          <w:rFonts w:cs="Times New Roman"/>
        </w:rPr>
        <w:t>imports and exports are large</w:t>
      </w:r>
      <w:r w:rsidR="00C647D6" w:rsidRPr="006963B5">
        <w:rPr>
          <w:rFonts w:cs="Times New Roman"/>
        </w:rPr>
        <w:t xml:space="preserve"> (Table 2; FAO 2018). The six EU countries that reported trade data have 1,771,000 hunters (26.56%) of the 6,667,770 reported in the EU in 2010 (FACE 2010).  By assuming a direct relationship between the numbers of hunters and the level of export trade, extrapolation of the </w:t>
      </w:r>
      <w:r w:rsidR="00CB2A04" w:rsidRPr="006963B5">
        <w:rPr>
          <w:rFonts w:eastAsia="Times New Roman" w:cs="Arial"/>
          <w:bCs/>
          <w:color w:val="000000"/>
          <w:lang w:val="en-GB" w:eastAsia="en-GB"/>
        </w:rPr>
        <w:t>298,363,005 Euros</w:t>
      </w:r>
      <w:r w:rsidR="00C647D6" w:rsidRPr="006963B5">
        <w:rPr>
          <w:rFonts w:eastAsia="Times New Roman" w:cs="Arial"/>
          <w:bCs/>
          <w:color w:val="000000"/>
          <w:lang w:val="en-GB" w:eastAsia="en-GB"/>
        </w:rPr>
        <w:t xml:space="preserve"> reported by those six countries</w:t>
      </w:r>
      <w:r w:rsidR="00C647D6" w:rsidRPr="006963B5">
        <w:rPr>
          <w:rFonts w:ascii="Arial" w:eastAsia="Times New Roman" w:hAnsi="Arial" w:cs="Arial"/>
          <w:bCs/>
          <w:color w:val="000000"/>
          <w:lang w:val="en-GB" w:eastAsia="en-GB"/>
        </w:rPr>
        <w:t xml:space="preserve"> </w:t>
      </w:r>
      <w:r w:rsidR="00C647D6" w:rsidRPr="006963B5">
        <w:rPr>
          <w:rFonts w:eastAsia="Times New Roman" w:cs="Arial"/>
          <w:bCs/>
          <w:color w:val="000000"/>
          <w:lang w:val="en-GB" w:eastAsia="en-GB"/>
        </w:rPr>
        <w:t>(Table 2) gives an estimated</w:t>
      </w:r>
      <w:r w:rsidR="00C647D6" w:rsidRPr="006963B5">
        <w:rPr>
          <w:rFonts w:ascii="Arial" w:eastAsia="Times New Roman" w:hAnsi="Arial" w:cs="Arial"/>
          <w:bCs/>
          <w:color w:val="000000"/>
          <w:lang w:val="en-GB" w:eastAsia="en-GB"/>
        </w:rPr>
        <w:t xml:space="preserve"> </w:t>
      </w:r>
      <w:r w:rsidR="00C647D6" w:rsidRPr="006963B5">
        <w:rPr>
          <w:rFonts w:cs="Times New Roman"/>
        </w:rPr>
        <w:t>export trade value in excess of 1,</w:t>
      </w:r>
      <w:r w:rsidR="0062135A" w:rsidRPr="006963B5">
        <w:rPr>
          <w:rFonts w:cs="Times New Roman"/>
        </w:rPr>
        <w:t>123</w:t>
      </w:r>
      <w:r w:rsidR="00C647D6" w:rsidRPr="006963B5">
        <w:rPr>
          <w:rFonts w:cs="Times New Roman"/>
        </w:rPr>
        <w:t xml:space="preserve"> million </w:t>
      </w:r>
      <w:r w:rsidR="0062135A" w:rsidRPr="006963B5">
        <w:rPr>
          <w:rFonts w:cs="Times New Roman"/>
        </w:rPr>
        <w:t>Euro</w:t>
      </w:r>
      <w:r w:rsidR="00C647D6" w:rsidRPr="006963B5">
        <w:rPr>
          <w:rFonts w:cs="Times New Roman"/>
        </w:rPr>
        <w:t>s a year for the whole of the EU. This is unlikely to be precise as there may not be a direct relationship between the number of hunters and the level of trade, but this gives a broad idea of the overall value of trade in the most important species.</w:t>
      </w:r>
    </w:p>
    <w:p w14:paraId="09BDAE36" w14:textId="77777777" w:rsidR="00F319AE" w:rsidRPr="006963B5" w:rsidRDefault="00F319AE" w:rsidP="00AE33FC">
      <w:pPr>
        <w:spacing w:line="480" w:lineRule="auto"/>
        <w:rPr>
          <w:rFonts w:cs="Times New Roman"/>
          <w:i/>
        </w:rPr>
      </w:pPr>
    </w:p>
    <w:p w14:paraId="4CD0F8DA" w14:textId="77777777" w:rsidR="00882086" w:rsidRPr="006963B5" w:rsidRDefault="000A4AEA" w:rsidP="00AE33FC">
      <w:pPr>
        <w:spacing w:line="480" w:lineRule="auto"/>
        <w:rPr>
          <w:rFonts w:cs="Times New Roman"/>
          <w:b/>
        </w:rPr>
      </w:pPr>
      <w:r w:rsidRPr="006963B5">
        <w:rPr>
          <w:rFonts w:cs="Times New Roman"/>
          <w:b/>
        </w:rPr>
        <w:t>HEALTH PROBLEMS POSED BY LEAD FRAGMENTS FROM AMMUNITION IN GAME MEAT</w:t>
      </w:r>
    </w:p>
    <w:p w14:paraId="07E7959F" w14:textId="1DA4231E" w:rsidR="00882086" w:rsidRPr="006963B5" w:rsidRDefault="00882086" w:rsidP="003E5538">
      <w:pPr>
        <w:spacing w:line="480" w:lineRule="auto"/>
        <w:ind w:firstLine="720"/>
        <w:rPr>
          <w:rFonts w:cs="Times New Roman"/>
        </w:rPr>
      </w:pPr>
      <w:r w:rsidRPr="006963B5">
        <w:rPr>
          <w:rFonts w:cs="Times New Roman"/>
        </w:rPr>
        <w:t xml:space="preserve">Lead hunting bullets are designed to expand on entering an animal, and many small lead fragments </w:t>
      </w:r>
      <w:r w:rsidR="006E3D9D" w:rsidRPr="006963B5">
        <w:rPr>
          <w:rFonts w:cs="Times New Roman"/>
        </w:rPr>
        <w:t xml:space="preserve">can be </w:t>
      </w:r>
      <w:r w:rsidRPr="006963B5">
        <w:rPr>
          <w:rFonts w:cs="Times New Roman"/>
        </w:rPr>
        <w:t xml:space="preserve">released </w:t>
      </w:r>
      <w:r w:rsidR="00354801" w:rsidRPr="006963B5">
        <w:rPr>
          <w:rFonts w:cs="Times New Roman"/>
        </w:rPr>
        <w:t xml:space="preserve">from the </w:t>
      </w:r>
      <w:r w:rsidR="00223FE8">
        <w:rPr>
          <w:rFonts w:cs="Times New Roman"/>
        </w:rPr>
        <w:t xml:space="preserve">bullet’s </w:t>
      </w:r>
      <w:r w:rsidR="00354801" w:rsidRPr="006963B5">
        <w:rPr>
          <w:rFonts w:cs="Times New Roman"/>
        </w:rPr>
        <w:t>core</w:t>
      </w:r>
      <w:r w:rsidR="00D30E9C">
        <w:rPr>
          <w:rFonts w:cs="Times New Roman"/>
        </w:rPr>
        <w:t xml:space="preserve"> </w:t>
      </w:r>
      <w:r w:rsidR="00D30E9C" w:rsidRPr="006963B5">
        <w:rPr>
          <w:rFonts w:cs="Times New Roman"/>
        </w:rPr>
        <w:t>(Fig. 1)</w:t>
      </w:r>
      <w:r w:rsidR="00223FE8">
        <w:rPr>
          <w:rFonts w:cs="Times New Roman"/>
        </w:rPr>
        <w:t>.</w:t>
      </w:r>
      <w:r w:rsidR="00354801" w:rsidRPr="006963B5">
        <w:rPr>
          <w:rFonts w:cs="Times New Roman"/>
        </w:rPr>
        <w:t xml:space="preserve"> </w:t>
      </w:r>
      <w:r w:rsidR="00D30E9C">
        <w:rPr>
          <w:rFonts w:cs="Times New Roman"/>
        </w:rPr>
        <w:t xml:space="preserve">The extent of fragmentation depends on the type of bullet, its terminal velocity, and the tissues penetrated, especially bone </w:t>
      </w:r>
      <w:r w:rsidR="004F1FE4" w:rsidRPr="00AE33FC">
        <w:rPr>
          <w:rFonts w:cs="Times New Roman"/>
        </w:rPr>
        <w:t>(</w:t>
      </w:r>
      <w:proofErr w:type="spellStart"/>
      <w:r w:rsidR="00ED7DA7" w:rsidRPr="00AE33FC">
        <w:rPr>
          <w:rFonts w:cs="Times New Roman"/>
        </w:rPr>
        <w:t>Dobrow</w:t>
      </w:r>
      <w:r w:rsidR="003E5538" w:rsidRPr="00AE33FC">
        <w:rPr>
          <w:rFonts w:cs="Times New Roman"/>
        </w:rPr>
        <w:t>o</w:t>
      </w:r>
      <w:r w:rsidR="00ED7DA7" w:rsidRPr="00AE33FC">
        <w:rPr>
          <w:rFonts w:cs="Times New Roman"/>
        </w:rPr>
        <w:t>lska</w:t>
      </w:r>
      <w:proofErr w:type="spellEnd"/>
      <w:r w:rsidR="00ED7DA7" w:rsidRPr="00AE33FC">
        <w:rPr>
          <w:rFonts w:cs="Times New Roman"/>
        </w:rPr>
        <w:t xml:space="preserve"> </w:t>
      </w:r>
      <w:r w:rsidR="00EB0814" w:rsidRPr="00AE33FC">
        <w:rPr>
          <w:rFonts w:cs="Times New Roman"/>
        </w:rPr>
        <w:t>and</w:t>
      </w:r>
      <w:r w:rsidR="00ED7DA7" w:rsidRPr="00AE33FC">
        <w:rPr>
          <w:rFonts w:cs="Times New Roman"/>
        </w:rPr>
        <w:t xml:space="preserve"> </w:t>
      </w:r>
      <w:proofErr w:type="spellStart"/>
      <w:r w:rsidR="00ED7DA7" w:rsidRPr="00AE33FC">
        <w:rPr>
          <w:rFonts w:cs="Times New Roman"/>
        </w:rPr>
        <w:t>Melosik</w:t>
      </w:r>
      <w:proofErr w:type="spellEnd"/>
      <w:r w:rsidR="00ED7DA7" w:rsidRPr="00AE33FC">
        <w:rPr>
          <w:rFonts w:cs="Times New Roman"/>
        </w:rPr>
        <w:t xml:space="preserve"> 2008</w:t>
      </w:r>
      <w:r w:rsidR="00D30E9C">
        <w:rPr>
          <w:rFonts w:cs="Times New Roman"/>
        </w:rPr>
        <w:t xml:space="preserve">; </w:t>
      </w:r>
      <w:proofErr w:type="spellStart"/>
      <w:r w:rsidR="00D30E9C">
        <w:rPr>
          <w:rFonts w:cs="Times New Roman"/>
        </w:rPr>
        <w:t>Trinogga</w:t>
      </w:r>
      <w:proofErr w:type="spellEnd"/>
      <w:r w:rsidR="00D30E9C">
        <w:rPr>
          <w:rFonts w:cs="Times New Roman"/>
        </w:rPr>
        <w:t xml:space="preserve"> et al. 2019</w:t>
      </w:r>
      <w:r w:rsidR="004F1FE4" w:rsidRPr="00AE33FC">
        <w:rPr>
          <w:rFonts w:cs="Times New Roman"/>
        </w:rPr>
        <w:t>)</w:t>
      </w:r>
      <w:r w:rsidR="00D30E9C">
        <w:rPr>
          <w:rFonts w:cs="Times New Roman"/>
        </w:rPr>
        <w:t xml:space="preserve">. </w:t>
      </w:r>
      <w:r w:rsidR="004F1FE4" w:rsidRPr="00AE33FC">
        <w:rPr>
          <w:rFonts w:cs="Times New Roman"/>
        </w:rPr>
        <w:t xml:space="preserve"> </w:t>
      </w:r>
      <w:proofErr w:type="spellStart"/>
      <w:r w:rsidRPr="006963B5">
        <w:rPr>
          <w:rFonts w:cs="Times New Roman"/>
        </w:rPr>
        <w:t>Unbonded</w:t>
      </w:r>
      <w:proofErr w:type="spellEnd"/>
      <w:r w:rsidRPr="006963B5">
        <w:rPr>
          <w:rFonts w:cs="Times New Roman"/>
        </w:rPr>
        <w:t xml:space="preserve"> jacketed </w:t>
      </w:r>
      <w:r w:rsidR="00354801" w:rsidRPr="006963B5">
        <w:rPr>
          <w:rFonts w:cs="Times New Roman"/>
        </w:rPr>
        <w:t xml:space="preserve">lead </w:t>
      </w:r>
      <w:r w:rsidRPr="006963B5">
        <w:rPr>
          <w:rFonts w:cs="Times New Roman"/>
        </w:rPr>
        <w:t>bullets fragment more than costlier bonded jacket</w:t>
      </w:r>
      <w:r w:rsidR="00C0560F" w:rsidRPr="006963B5">
        <w:rPr>
          <w:rFonts w:cs="Times New Roman"/>
        </w:rPr>
        <w:t>ed</w:t>
      </w:r>
      <w:r w:rsidRPr="006963B5">
        <w:rPr>
          <w:rFonts w:cs="Times New Roman"/>
        </w:rPr>
        <w:t xml:space="preserve"> bullets. While it is common practice for hunters and game handlers to remove flesh around the point of bullet’s entry, small distant fragments </w:t>
      </w:r>
      <w:r w:rsidR="00354801" w:rsidRPr="006963B5">
        <w:rPr>
          <w:rFonts w:cs="Times New Roman"/>
        </w:rPr>
        <w:t>are likely to</w:t>
      </w:r>
      <w:r w:rsidRPr="006963B5">
        <w:rPr>
          <w:rFonts w:cs="Times New Roman"/>
        </w:rPr>
        <w:t xml:space="preserve"> evade removal and</w:t>
      </w:r>
      <w:r w:rsidR="00C0560F" w:rsidRPr="006963B5">
        <w:rPr>
          <w:rFonts w:cs="Times New Roman"/>
        </w:rPr>
        <w:t>,</w:t>
      </w:r>
      <w:r w:rsidRPr="006963B5">
        <w:rPr>
          <w:rFonts w:cs="Times New Roman"/>
        </w:rPr>
        <w:t xml:space="preserve"> ultimately</w:t>
      </w:r>
      <w:r w:rsidR="00C0560F" w:rsidRPr="006963B5">
        <w:rPr>
          <w:rFonts w:cs="Times New Roman"/>
        </w:rPr>
        <w:t>,</w:t>
      </w:r>
      <w:r w:rsidRPr="006963B5">
        <w:rPr>
          <w:rFonts w:cs="Times New Roman"/>
        </w:rPr>
        <w:t xml:space="preserve"> </w:t>
      </w:r>
      <w:r w:rsidR="00E614C7" w:rsidRPr="006963B5">
        <w:rPr>
          <w:rFonts w:cs="Times New Roman"/>
        </w:rPr>
        <w:t>be</w:t>
      </w:r>
      <w:r w:rsidRPr="006963B5">
        <w:rPr>
          <w:rFonts w:cs="Times New Roman"/>
        </w:rPr>
        <w:t xml:space="preserve"> consumed by humans. </w:t>
      </w:r>
      <w:r w:rsidR="00C0560F" w:rsidRPr="006963B5">
        <w:rPr>
          <w:rFonts w:cs="Times New Roman"/>
        </w:rPr>
        <w:t>Non-lead rifle bullets are designed not to</w:t>
      </w:r>
      <w:r w:rsidR="000B4369" w:rsidRPr="006963B5">
        <w:rPr>
          <w:rFonts w:cs="Times New Roman"/>
        </w:rPr>
        <w:t xml:space="preserve"> fragment</w:t>
      </w:r>
      <w:r w:rsidR="00C0560F" w:rsidRPr="006963B5">
        <w:rPr>
          <w:rFonts w:cs="Times New Roman"/>
        </w:rPr>
        <w:t xml:space="preserve">, </w:t>
      </w:r>
      <w:r w:rsidR="00576676">
        <w:rPr>
          <w:rFonts w:cs="Times New Roman"/>
        </w:rPr>
        <w:t xml:space="preserve">thus avoiding </w:t>
      </w:r>
      <w:r w:rsidR="00C0560F" w:rsidRPr="006963B5">
        <w:rPr>
          <w:rFonts w:cs="Times New Roman"/>
        </w:rPr>
        <w:t>contamination of the carcass.</w:t>
      </w:r>
      <w:r w:rsidR="00AD55B2" w:rsidRPr="006963B5">
        <w:rPr>
          <w:rFonts w:cs="Times New Roman"/>
        </w:rPr>
        <w:t xml:space="preserve"> Copper, which has very low toxicity compared to lead, is frequently used for non-lead bullets</w:t>
      </w:r>
      <w:r w:rsidR="00FA41B3" w:rsidRPr="006963B5">
        <w:rPr>
          <w:rFonts w:cs="Times New Roman"/>
        </w:rPr>
        <w:t>, and research has indicted that this does not present a health risk (</w:t>
      </w:r>
      <w:r w:rsidR="00597767" w:rsidRPr="006963B5">
        <w:rPr>
          <w:rFonts w:cs="Times New Roman"/>
        </w:rPr>
        <w:t>Krone et al.  2019</w:t>
      </w:r>
      <w:r w:rsidR="00FA41B3" w:rsidRPr="006963B5">
        <w:rPr>
          <w:rFonts w:cs="Times New Roman"/>
        </w:rPr>
        <w:t>)</w:t>
      </w:r>
      <w:r w:rsidR="00AD55B2" w:rsidRPr="006963B5">
        <w:rPr>
          <w:rFonts w:cs="Times New Roman"/>
        </w:rPr>
        <w:t xml:space="preserve">. </w:t>
      </w:r>
      <w:r w:rsidR="00C0560F" w:rsidRPr="006963B5">
        <w:rPr>
          <w:rFonts w:cs="Times New Roman"/>
        </w:rPr>
        <w:t xml:space="preserve">Lead gunshot </w:t>
      </w:r>
      <w:r w:rsidR="00FA41B3" w:rsidRPr="006963B5">
        <w:rPr>
          <w:rFonts w:cs="Times New Roman"/>
        </w:rPr>
        <w:t xml:space="preserve">often </w:t>
      </w:r>
      <w:r w:rsidR="00C0560F" w:rsidRPr="006963B5">
        <w:rPr>
          <w:rFonts w:cs="Times New Roman"/>
        </w:rPr>
        <w:t xml:space="preserve">remains in birds until prepared for cooking, or even after cooking. Multiple </w:t>
      </w:r>
      <w:r w:rsidR="00C0560F" w:rsidRPr="006963B5">
        <w:rPr>
          <w:rFonts w:cs="Times New Roman"/>
        </w:rPr>
        <w:lastRenderedPageBreak/>
        <w:t xml:space="preserve">shot </w:t>
      </w:r>
      <w:r w:rsidR="00FA41B3" w:rsidRPr="006963B5">
        <w:rPr>
          <w:rFonts w:cs="Times New Roman"/>
        </w:rPr>
        <w:t>may</w:t>
      </w:r>
      <w:r w:rsidR="00C0560F" w:rsidRPr="006963B5">
        <w:rPr>
          <w:rFonts w:cs="Times New Roman"/>
        </w:rPr>
        <w:t xml:space="preserve"> be found in both the vital and non-vital parts of the body, including small fragments </w:t>
      </w:r>
      <w:r w:rsidR="006A6B87" w:rsidRPr="006963B5">
        <w:rPr>
          <w:rFonts w:cs="Times New Roman"/>
        </w:rPr>
        <w:t xml:space="preserve">produced when </w:t>
      </w:r>
      <w:r w:rsidR="00354801" w:rsidRPr="006963B5">
        <w:rPr>
          <w:rFonts w:cs="Times New Roman"/>
        </w:rPr>
        <w:t>pellets</w:t>
      </w:r>
      <w:r w:rsidR="006A6B87" w:rsidRPr="006963B5">
        <w:rPr>
          <w:rFonts w:cs="Times New Roman"/>
        </w:rPr>
        <w:t xml:space="preserve"> strike</w:t>
      </w:r>
      <w:r w:rsidR="00C37265" w:rsidRPr="006963B5">
        <w:rPr>
          <w:rFonts w:cs="Times New Roman"/>
        </w:rPr>
        <w:t xml:space="preserve"> </w:t>
      </w:r>
      <w:r w:rsidR="00166C73">
        <w:rPr>
          <w:rFonts w:cs="Times New Roman"/>
        </w:rPr>
        <w:t xml:space="preserve">hard </w:t>
      </w:r>
      <w:r w:rsidR="00C0560F" w:rsidRPr="006963B5">
        <w:rPr>
          <w:rFonts w:cs="Times New Roman"/>
        </w:rPr>
        <w:t>tissues (Fig. 2). While intact shot are visible, many are not removed prior to cooki</w:t>
      </w:r>
      <w:r w:rsidR="00B86CC1" w:rsidRPr="006963B5">
        <w:rPr>
          <w:rFonts w:cs="Times New Roman"/>
        </w:rPr>
        <w:t>ng, which could</w:t>
      </w:r>
      <w:r w:rsidR="00C0560F" w:rsidRPr="006963B5">
        <w:rPr>
          <w:rFonts w:cs="Times New Roman"/>
        </w:rPr>
        <w:t xml:space="preserve"> increase the solubilisation </w:t>
      </w:r>
      <w:r w:rsidR="004840CD" w:rsidRPr="006963B5">
        <w:rPr>
          <w:rFonts w:cs="Times New Roman"/>
        </w:rPr>
        <w:t xml:space="preserve">and </w:t>
      </w:r>
      <w:r w:rsidR="00C0560F" w:rsidRPr="006963B5">
        <w:rPr>
          <w:rFonts w:cs="Times New Roman"/>
        </w:rPr>
        <w:t>availability of lead to humans (</w:t>
      </w:r>
      <w:r w:rsidR="003A6362" w:rsidRPr="006963B5">
        <w:rPr>
          <w:rFonts w:cs="Times New Roman"/>
        </w:rPr>
        <w:t>Mateo et al. 2007</w:t>
      </w:r>
      <w:r w:rsidR="00C0560F" w:rsidRPr="006963B5">
        <w:rPr>
          <w:rFonts w:cs="Times New Roman"/>
        </w:rPr>
        <w:t xml:space="preserve">). </w:t>
      </w:r>
    </w:p>
    <w:p w14:paraId="5A63A0BE" w14:textId="0A70E565" w:rsidR="00B86CC1" w:rsidRPr="006963B5" w:rsidRDefault="002B36DD" w:rsidP="00C9510F">
      <w:pPr>
        <w:spacing w:line="480" w:lineRule="auto"/>
        <w:ind w:firstLine="720"/>
        <w:rPr>
          <w:rFonts w:eastAsia="Times New Roman" w:cs="Times New Roman"/>
          <w:lang w:eastAsia="en-GB"/>
        </w:rPr>
      </w:pPr>
      <w:r>
        <w:rPr>
          <w:rFonts w:eastAsia="Times New Roman" w:cs="Times New Roman"/>
          <w:lang w:eastAsia="en-GB"/>
        </w:rPr>
        <w:t>R</w:t>
      </w:r>
      <w:r w:rsidR="00B86CC1" w:rsidRPr="006963B5">
        <w:rPr>
          <w:rFonts w:eastAsia="Times New Roman" w:cs="Times New Roman"/>
          <w:lang w:eastAsia="en-GB"/>
        </w:rPr>
        <w:t xml:space="preserve">emoval of lead shot and bullet fragments is </w:t>
      </w:r>
      <w:r>
        <w:rPr>
          <w:rFonts w:eastAsia="Times New Roman" w:cs="Times New Roman"/>
          <w:lang w:eastAsia="en-GB"/>
        </w:rPr>
        <w:t>im</w:t>
      </w:r>
      <w:r w:rsidR="00B86CC1" w:rsidRPr="006963B5">
        <w:rPr>
          <w:rFonts w:eastAsia="Times New Roman" w:cs="Times New Roman"/>
          <w:lang w:eastAsia="en-GB"/>
        </w:rPr>
        <w:t xml:space="preserve">practical in small game animals like gamebirds </w:t>
      </w:r>
      <w:r w:rsidR="00354801" w:rsidRPr="006963B5">
        <w:rPr>
          <w:rFonts w:eastAsia="Times New Roman" w:cs="Times New Roman"/>
          <w:lang w:eastAsia="en-GB"/>
        </w:rPr>
        <w:t>(</w:t>
      </w:r>
      <w:r w:rsidR="00B86CC1" w:rsidRPr="006963B5">
        <w:rPr>
          <w:rFonts w:eastAsia="Times New Roman" w:cs="Times New Roman"/>
          <w:lang w:eastAsia="en-GB"/>
        </w:rPr>
        <w:t xml:space="preserve">Green </w:t>
      </w:r>
      <w:r w:rsidR="003D21C6" w:rsidRPr="006963B5">
        <w:rPr>
          <w:rFonts w:eastAsia="Times New Roman" w:cs="Times New Roman"/>
          <w:lang w:eastAsia="en-GB"/>
        </w:rPr>
        <w:t>and</w:t>
      </w:r>
      <w:r w:rsidR="00B86CC1" w:rsidRPr="006963B5">
        <w:rPr>
          <w:rFonts w:eastAsia="Times New Roman" w:cs="Times New Roman"/>
          <w:lang w:eastAsia="en-GB"/>
        </w:rPr>
        <w:t xml:space="preserve"> Pain 2019)</w:t>
      </w:r>
      <w:r w:rsidR="00ED621F">
        <w:rPr>
          <w:rFonts w:eastAsia="Times New Roman" w:cs="Times New Roman"/>
          <w:lang w:eastAsia="en-GB"/>
        </w:rPr>
        <w:t>,</w:t>
      </w:r>
      <w:r w:rsidR="00B86CC1" w:rsidRPr="006963B5">
        <w:rPr>
          <w:rFonts w:eastAsia="Times New Roman" w:cs="Times New Roman"/>
          <w:lang w:eastAsia="en-GB"/>
        </w:rPr>
        <w:t xml:space="preserve"> and results in </w:t>
      </w:r>
      <w:r w:rsidR="00906AAB" w:rsidRPr="006963B5">
        <w:rPr>
          <w:rFonts w:eastAsia="Times New Roman" w:cs="Times New Roman"/>
          <w:lang w:eastAsia="en-GB"/>
        </w:rPr>
        <w:t xml:space="preserve">discarding of a </w:t>
      </w:r>
      <w:r w:rsidR="00B86CC1" w:rsidRPr="006963B5">
        <w:rPr>
          <w:rFonts w:eastAsia="Times New Roman" w:cs="Times New Roman"/>
          <w:lang w:eastAsia="en-GB"/>
        </w:rPr>
        <w:t xml:space="preserve">considerable </w:t>
      </w:r>
      <w:r w:rsidR="00906AAB" w:rsidRPr="006963B5">
        <w:rPr>
          <w:rFonts w:eastAsia="Times New Roman" w:cs="Times New Roman"/>
          <w:lang w:eastAsia="en-GB"/>
        </w:rPr>
        <w:t xml:space="preserve">quantity of </w:t>
      </w:r>
      <w:r w:rsidR="00B86CC1" w:rsidRPr="006963B5">
        <w:rPr>
          <w:rFonts w:eastAsia="Times New Roman" w:cs="Times New Roman"/>
          <w:lang w:eastAsia="en-GB"/>
        </w:rPr>
        <w:t>meat in</w:t>
      </w:r>
      <w:r w:rsidR="00501631" w:rsidRPr="006963B5">
        <w:rPr>
          <w:rFonts w:eastAsia="Times New Roman" w:cs="Times New Roman"/>
          <w:lang w:eastAsia="en-GB"/>
        </w:rPr>
        <w:t xml:space="preserve"> large game animals. </w:t>
      </w:r>
      <w:r w:rsidR="00BE7270" w:rsidRPr="006963B5">
        <w:rPr>
          <w:rFonts w:eastAsia="Times New Roman" w:cs="Times New Roman"/>
          <w:lang w:eastAsia="en-GB"/>
        </w:rPr>
        <w:t xml:space="preserve">In Norway, discarding meat close to wound channels </w:t>
      </w:r>
      <w:r>
        <w:rPr>
          <w:rFonts w:eastAsia="Times New Roman" w:cs="Times New Roman"/>
          <w:lang w:eastAsia="en-GB"/>
        </w:rPr>
        <w:t xml:space="preserve">results in </w:t>
      </w:r>
      <w:r w:rsidR="00073543" w:rsidRPr="006963B5">
        <w:rPr>
          <w:rFonts w:eastAsia="Times New Roman" w:cs="Times New Roman"/>
          <w:lang w:eastAsia="en-GB"/>
        </w:rPr>
        <w:t xml:space="preserve">approximately </w:t>
      </w:r>
      <w:r w:rsidR="00BE7270" w:rsidRPr="006963B5">
        <w:rPr>
          <w:rFonts w:eastAsia="Times New Roman" w:cs="Times New Roman"/>
          <w:lang w:eastAsia="en-GB"/>
        </w:rPr>
        <w:t>200 tonnes of contaminated meat</w:t>
      </w:r>
      <w:r>
        <w:rPr>
          <w:rFonts w:eastAsia="Times New Roman" w:cs="Times New Roman"/>
          <w:lang w:eastAsia="en-GB"/>
        </w:rPr>
        <w:t xml:space="preserve"> </w:t>
      </w:r>
      <w:r w:rsidR="00030BBA">
        <w:rPr>
          <w:rFonts w:eastAsia="Times New Roman" w:cs="Times New Roman"/>
          <w:lang w:eastAsia="en-GB"/>
        </w:rPr>
        <w:t xml:space="preserve">being </w:t>
      </w:r>
      <w:r w:rsidR="00BE7270" w:rsidRPr="006963B5">
        <w:rPr>
          <w:rFonts w:eastAsia="Times New Roman" w:cs="Times New Roman"/>
          <w:lang w:eastAsia="en-GB"/>
        </w:rPr>
        <w:t xml:space="preserve">discarded annually, representing a loss of </w:t>
      </w:r>
      <w:r w:rsidR="00073543" w:rsidRPr="006963B5">
        <w:rPr>
          <w:rFonts w:eastAsia="Times New Roman" w:cs="Times New Roman"/>
          <w:lang w:eastAsia="en-GB"/>
        </w:rPr>
        <w:t xml:space="preserve">around </w:t>
      </w:r>
      <w:r w:rsidR="00BE7270" w:rsidRPr="006963B5">
        <w:rPr>
          <w:rFonts w:eastAsia="Times New Roman" w:cs="Times New Roman"/>
          <w:lang w:eastAsia="en-GB"/>
        </w:rPr>
        <w:t>3 million Euros (</w:t>
      </w:r>
      <w:proofErr w:type="spellStart"/>
      <w:r w:rsidR="00BE7270" w:rsidRPr="006963B5">
        <w:rPr>
          <w:rFonts w:eastAsia="Times New Roman" w:cs="Times New Roman"/>
          <w:lang w:eastAsia="en-GB"/>
        </w:rPr>
        <w:t>Kanstrup</w:t>
      </w:r>
      <w:proofErr w:type="spellEnd"/>
      <w:r w:rsidR="00BE7270" w:rsidRPr="006963B5">
        <w:rPr>
          <w:rFonts w:eastAsia="Times New Roman" w:cs="Times New Roman"/>
          <w:lang w:eastAsia="en-GB"/>
        </w:rPr>
        <w:t xml:space="preserve"> et al. 2018). </w:t>
      </w:r>
      <w:r w:rsidR="00501631" w:rsidRPr="006963B5">
        <w:rPr>
          <w:rFonts w:eastAsia="Times New Roman" w:cs="Times New Roman"/>
          <w:lang w:eastAsia="en-GB"/>
        </w:rPr>
        <w:t>The experimental r</w:t>
      </w:r>
      <w:r w:rsidR="00B86CC1" w:rsidRPr="006963B5">
        <w:rPr>
          <w:rFonts w:eastAsia="Times New Roman" w:cs="Times New Roman"/>
          <w:lang w:eastAsia="en-GB"/>
        </w:rPr>
        <w:t>emoval of</w:t>
      </w:r>
      <w:r w:rsidR="00722657" w:rsidRPr="006963B5">
        <w:rPr>
          <w:rFonts w:eastAsia="Times New Roman" w:cs="Times New Roman"/>
          <w:lang w:eastAsia="en-GB"/>
        </w:rPr>
        <w:t xml:space="preserve"> </w:t>
      </w:r>
      <w:r w:rsidR="00906AAB" w:rsidRPr="006963B5">
        <w:rPr>
          <w:rFonts w:eastAsia="Times New Roman" w:cs="Times New Roman"/>
          <w:lang w:eastAsia="en-GB"/>
        </w:rPr>
        <w:t xml:space="preserve">whole shot and </w:t>
      </w:r>
      <w:r w:rsidR="00B86CC1" w:rsidRPr="006963B5">
        <w:rPr>
          <w:rFonts w:eastAsia="Times New Roman" w:cs="Times New Roman"/>
          <w:lang w:eastAsia="en-GB"/>
        </w:rPr>
        <w:t>large fragments o</w:t>
      </w:r>
      <w:r w:rsidR="00501631" w:rsidRPr="006963B5">
        <w:rPr>
          <w:rFonts w:eastAsia="Times New Roman" w:cs="Times New Roman"/>
          <w:lang w:eastAsia="en-GB"/>
        </w:rPr>
        <w:t>f lead gunshot  to</w:t>
      </w:r>
      <w:r w:rsidR="00E614C7" w:rsidRPr="006963B5">
        <w:rPr>
          <w:rFonts w:eastAsia="Times New Roman" w:cs="Times New Roman"/>
          <w:lang w:eastAsia="en-GB"/>
        </w:rPr>
        <w:t xml:space="preserve"> simulate</w:t>
      </w:r>
      <w:r w:rsidR="00B86CC1" w:rsidRPr="006963B5">
        <w:rPr>
          <w:rFonts w:eastAsia="Times New Roman" w:cs="Times New Roman"/>
          <w:lang w:eastAsia="en-GB"/>
        </w:rPr>
        <w:t xml:space="preserve"> wha</w:t>
      </w:r>
      <w:r w:rsidR="00E614C7" w:rsidRPr="006963B5">
        <w:rPr>
          <w:rFonts w:eastAsia="Times New Roman" w:cs="Times New Roman"/>
          <w:lang w:eastAsia="en-GB"/>
        </w:rPr>
        <w:t>t consumers</w:t>
      </w:r>
      <w:r w:rsidR="00501631" w:rsidRPr="006963B5">
        <w:rPr>
          <w:rFonts w:eastAsia="Times New Roman" w:cs="Times New Roman"/>
          <w:lang w:eastAsia="en-GB"/>
        </w:rPr>
        <w:t xml:space="preserve"> would do at the table,</w:t>
      </w:r>
      <w:r w:rsidR="00B86CC1" w:rsidRPr="006963B5">
        <w:rPr>
          <w:rFonts w:eastAsia="Times New Roman" w:cs="Times New Roman"/>
          <w:lang w:eastAsia="en-GB"/>
        </w:rPr>
        <w:t xml:space="preserve"> still results in lead levels in meat that are, on average, more than an order of magnitude higher than the </w:t>
      </w:r>
      <w:r w:rsidR="00501631" w:rsidRPr="006963B5">
        <w:rPr>
          <w:rFonts w:eastAsia="Times New Roman" w:cs="Times New Roman"/>
          <w:lang w:eastAsia="en-GB"/>
        </w:rPr>
        <w:t xml:space="preserve">EC </w:t>
      </w:r>
      <w:r w:rsidR="00B86CC1" w:rsidRPr="006963B5">
        <w:rPr>
          <w:rFonts w:eastAsia="Times New Roman" w:cs="Times New Roman"/>
          <w:lang w:eastAsia="en-GB"/>
        </w:rPr>
        <w:t>MLs set for the m</w:t>
      </w:r>
      <w:r w:rsidR="00C62DAF">
        <w:rPr>
          <w:rFonts w:eastAsia="Times New Roman" w:cs="Times New Roman"/>
          <w:lang w:eastAsia="en-GB"/>
        </w:rPr>
        <w:t>eat</w:t>
      </w:r>
      <w:r w:rsidR="00B86CC1" w:rsidRPr="006963B5">
        <w:rPr>
          <w:rFonts w:eastAsia="Times New Roman" w:cs="Times New Roman"/>
          <w:lang w:eastAsia="en-GB"/>
        </w:rPr>
        <w:t xml:space="preserve"> of domestic </w:t>
      </w:r>
      <w:r w:rsidR="00C50612">
        <w:rPr>
          <w:rFonts w:eastAsia="Times New Roman" w:cs="Times New Roman"/>
          <w:lang w:eastAsia="en-GB"/>
        </w:rPr>
        <w:t xml:space="preserve">animals </w:t>
      </w:r>
      <w:r w:rsidR="00B86CC1" w:rsidRPr="006963B5">
        <w:rPr>
          <w:rFonts w:eastAsia="Times New Roman" w:cs="Times New Roman"/>
          <w:lang w:eastAsia="en-GB"/>
        </w:rPr>
        <w:t>(Pain et al. 2010</w:t>
      </w:r>
      <w:r w:rsidR="00A54E1A" w:rsidRPr="006963B5">
        <w:rPr>
          <w:rFonts w:eastAsia="Times New Roman" w:cs="Times New Roman"/>
          <w:lang w:eastAsia="en-GB"/>
        </w:rPr>
        <w:t xml:space="preserve">; </w:t>
      </w:r>
      <w:proofErr w:type="spellStart"/>
      <w:r w:rsidR="00A54E1A" w:rsidRPr="006963B5">
        <w:rPr>
          <w:rFonts w:eastAsia="Times New Roman" w:cs="Times New Roman"/>
          <w:lang w:eastAsia="en-GB"/>
        </w:rPr>
        <w:t>Lindboe</w:t>
      </w:r>
      <w:proofErr w:type="spellEnd"/>
      <w:r w:rsidR="00A54E1A" w:rsidRPr="006963B5">
        <w:rPr>
          <w:rFonts w:eastAsia="Times New Roman" w:cs="Times New Roman"/>
          <w:lang w:eastAsia="en-GB"/>
        </w:rPr>
        <w:t xml:space="preserve"> et al. 2012</w:t>
      </w:r>
      <w:r w:rsidR="00B86CC1" w:rsidRPr="006963B5">
        <w:rPr>
          <w:rFonts w:eastAsia="Times New Roman" w:cs="Times New Roman"/>
          <w:lang w:eastAsia="en-GB"/>
        </w:rPr>
        <w:t xml:space="preserve">).  </w:t>
      </w:r>
      <w:r w:rsidR="00FE159A" w:rsidRPr="006963B5">
        <w:rPr>
          <w:rFonts w:cstheme="minorHAnsi"/>
        </w:rPr>
        <w:t xml:space="preserve">Many waterfowl ingest spent lead shot whose lead is </w:t>
      </w:r>
      <w:r w:rsidR="00906AAB" w:rsidRPr="006963B5">
        <w:rPr>
          <w:rFonts w:cstheme="minorHAnsi"/>
        </w:rPr>
        <w:t xml:space="preserve">absorbed and </w:t>
      </w:r>
      <w:r w:rsidR="00FE159A" w:rsidRPr="006963B5">
        <w:rPr>
          <w:rFonts w:cstheme="minorHAnsi"/>
        </w:rPr>
        <w:t>deposited in the organs</w:t>
      </w:r>
      <w:r w:rsidR="006E3D9D" w:rsidRPr="006963B5">
        <w:rPr>
          <w:rFonts w:cstheme="minorHAnsi"/>
        </w:rPr>
        <w:t xml:space="preserve"> (primarily liver and kidney)</w:t>
      </w:r>
      <w:r w:rsidR="00FE159A" w:rsidRPr="006963B5">
        <w:rPr>
          <w:rFonts w:cstheme="minorHAnsi"/>
        </w:rPr>
        <w:t xml:space="preserve"> and </w:t>
      </w:r>
      <w:r w:rsidR="006E3D9D" w:rsidRPr="006963B5">
        <w:rPr>
          <w:rFonts w:cstheme="minorHAnsi"/>
        </w:rPr>
        <w:t xml:space="preserve">the </w:t>
      </w:r>
      <w:r w:rsidR="00FE159A" w:rsidRPr="006963B5">
        <w:rPr>
          <w:rFonts w:cstheme="minorHAnsi"/>
        </w:rPr>
        <w:t>skeleton. Other birds may carry throughout life lead shot embedded in tissues from prior hunting encounters (Pain et al. 2019</w:t>
      </w:r>
      <w:r w:rsidR="00D10515" w:rsidRPr="00AE33FC">
        <w:rPr>
          <w:rFonts w:cstheme="minorHAnsi"/>
        </w:rPr>
        <w:t>b</w:t>
      </w:r>
      <w:r w:rsidR="00FE159A" w:rsidRPr="006963B5">
        <w:rPr>
          <w:rFonts w:cstheme="minorHAnsi"/>
        </w:rPr>
        <w:t>). Even though such birds may be killed later by hunters using non-lead shot, these birds may enter markets with lead levels exceeding current EC MLs for meat and offal, especially in the livers and kidneys (</w:t>
      </w:r>
      <w:proofErr w:type="spellStart"/>
      <w:r w:rsidR="00FE159A" w:rsidRPr="006963B5">
        <w:rPr>
          <w:rFonts w:cstheme="minorHAnsi"/>
        </w:rPr>
        <w:t>Guitart</w:t>
      </w:r>
      <w:proofErr w:type="spellEnd"/>
      <w:r w:rsidR="00FE159A" w:rsidRPr="006963B5">
        <w:rPr>
          <w:rFonts w:cstheme="minorHAnsi"/>
        </w:rPr>
        <w:t xml:space="preserve"> et al. 2002). The only pragmatic solution to this problem is the appropriate labelling of retailed waterfowl carcasses that alert consumer</w:t>
      </w:r>
      <w:r w:rsidR="005B1628">
        <w:rPr>
          <w:rFonts w:cstheme="minorHAnsi"/>
        </w:rPr>
        <w:t>s</w:t>
      </w:r>
      <w:r w:rsidR="00FE159A" w:rsidRPr="006963B5">
        <w:rPr>
          <w:rFonts w:cstheme="minorHAnsi"/>
        </w:rPr>
        <w:t xml:space="preserve"> to a potential health risk from lead.</w:t>
      </w:r>
      <w:r w:rsidR="00FE159A" w:rsidRPr="006963B5">
        <w:rPr>
          <w:rFonts w:eastAsia="Times New Roman" w:cs="Times New Roman"/>
          <w:lang w:eastAsia="en-GB"/>
        </w:rPr>
        <w:t xml:space="preserve"> In</w:t>
      </w:r>
      <w:r w:rsidR="00B86CC1" w:rsidRPr="006963B5">
        <w:rPr>
          <w:rFonts w:eastAsia="Times New Roman" w:cs="Times New Roman"/>
          <w:lang w:eastAsia="en-GB"/>
        </w:rPr>
        <w:t xml:space="preserve"> large mammals killed with lead-based rifle bullets, the lead contamination may vary considerably throughout the carcass. Animals killed with a single heart-lung </w:t>
      </w:r>
      <w:r w:rsidR="008029BF" w:rsidRPr="006963B5">
        <w:rPr>
          <w:rFonts w:eastAsia="Times New Roman" w:cs="Times New Roman"/>
          <w:lang w:eastAsia="en-GB"/>
        </w:rPr>
        <w:t>shot</w:t>
      </w:r>
      <w:r w:rsidR="00B86CC1" w:rsidRPr="006963B5">
        <w:rPr>
          <w:rFonts w:eastAsia="Times New Roman" w:cs="Times New Roman"/>
          <w:lang w:eastAsia="en-GB"/>
        </w:rPr>
        <w:t xml:space="preserve"> </w:t>
      </w:r>
      <w:r w:rsidR="00E614C7" w:rsidRPr="006963B5">
        <w:rPr>
          <w:rFonts w:eastAsia="Times New Roman" w:cs="Times New Roman"/>
          <w:lang w:eastAsia="en-GB"/>
        </w:rPr>
        <w:t>may</w:t>
      </w:r>
      <w:r w:rsidR="007F6552" w:rsidRPr="006963B5">
        <w:rPr>
          <w:rFonts w:eastAsia="Times New Roman" w:cs="Times New Roman"/>
          <w:lang w:eastAsia="en-GB"/>
        </w:rPr>
        <w:t xml:space="preserve"> </w:t>
      </w:r>
      <w:r w:rsidR="00B86CC1" w:rsidRPr="006963B5">
        <w:rPr>
          <w:rFonts w:eastAsia="Times New Roman" w:cs="Times New Roman"/>
          <w:lang w:eastAsia="en-GB"/>
        </w:rPr>
        <w:t xml:space="preserve">have </w:t>
      </w:r>
      <w:r w:rsidR="008029BF" w:rsidRPr="006963B5">
        <w:rPr>
          <w:rFonts w:eastAsia="Times New Roman" w:cs="Times New Roman"/>
          <w:lang w:eastAsia="en-GB"/>
        </w:rPr>
        <w:t xml:space="preserve">bullet fragments </w:t>
      </w:r>
      <w:r w:rsidR="001570F1" w:rsidRPr="006963B5">
        <w:rPr>
          <w:rFonts w:eastAsia="Times New Roman" w:cs="Times New Roman"/>
          <w:lang w:eastAsia="en-GB"/>
        </w:rPr>
        <w:t xml:space="preserve">widely </w:t>
      </w:r>
      <w:r w:rsidR="008029BF" w:rsidRPr="006963B5">
        <w:rPr>
          <w:rFonts w:eastAsia="Times New Roman" w:cs="Times New Roman"/>
          <w:lang w:eastAsia="en-GB"/>
        </w:rPr>
        <w:t xml:space="preserve">dispersed through </w:t>
      </w:r>
      <w:r w:rsidR="00906AAB" w:rsidRPr="006963B5">
        <w:rPr>
          <w:rFonts w:eastAsia="Times New Roman" w:cs="Times New Roman"/>
          <w:lang w:eastAsia="en-GB"/>
        </w:rPr>
        <w:t>thoracic meat</w:t>
      </w:r>
      <w:r w:rsidR="001570F1" w:rsidRPr="006963B5">
        <w:rPr>
          <w:rFonts w:eastAsia="Times New Roman" w:cs="Times New Roman"/>
          <w:lang w:eastAsia="en-GB"/>
        </w:rPr>
        <w:t xml:space="preserve"> (e.g. </w:t>
      </w:r>
      <w:r w:rsidR="008029BF" w:rsidRPr="006963B5">
        <w:rPr>
          <w:rFonts w:eastAsia="Times New Roman" w:cs="Times New Roman"/>
          <w:lang w:eastAsia="en-GB"/>
        </w:rPr>
        <w:t>Hunt et al. 2009</w:t>
      </w:r>
      <w:r w:rsidR="001570F1" w:rsidRPr="006963B5">
        <w:rPr>
          <w:rFonts w:eastAsia="Times New Roman" w:cs="Times New Roman"/>
          <w:lang w:eastAsia="en-GB"/>
        </w:rPr>
        <w:t xml:space="preserve">; </w:t>
      </w:r>
      <w:r w:rsidR="00B86CC1" w:rsidRPr="006963B5">
        <w:rPr>
          <w:rFonts w:eastAsia="Times New Roman" w:cs="Times New Roman"/>
          <w:lang w:eastAsia="en-GB"/>
        </w:rPr>
        <w:t xml:space="preserve">Fig. </w:t>
      </w:r>
      <w:r w:rsidR="001570F1" w:rsidRPr="006963B5">
        <w:rPr>
          <w:rFonts w:eastAsia="Times New Roman" w:cs="Times New Roman"/>
          <w:lang w:eastAsia="en-GB"/>
        </w:rPr>
        <w:t>1</w:t>
      </w:r>
      <w:r w:rsidR="00B86CC1" w:rsidRPr="006963B5">
        <w:rPr>
          <w:rFonts w:eastAsia="Times New Roman" w:cs="Times New Roman"/>
          <w:lang w:eastAsia="en-GB"/>
        </w:rPr>
        <w:t>), but meat from the hind quarters may be lead-free</w:t>
      </w:r>
      <w:r w:rsidR="009E2599" w:rsidRPr="006963B5">
        <w:rPr>
          <w:rFonts w:eastAsia="Times New Roman" w:cs="Times New Roman"/>
          <w:lang w:eastAsia="en-GB"/>
        </w:rPr>
        <w:t xml:space="preserve"> (</w:t>
      </w:r>
      <w:proofErr w:type="spellStart"/>
      <w:r w:rsidR="009E2599" w:rsidRPr="006963B5">
        <w:rPr>
          <w:rFonts w:eastAsia="Times New Roman" w:cs="Times New Roman"/>
          <w:lang w:eastAsia="en-GB"/>
        </w:rPr>
        <w:t>Gerofke</w:t>
      </w:r>
      <w:proofErr w:type="spellEnd"/>
      <w:r w:rsidR="009E2599" w:rsidRPr="006963B5">
        <w:rPr>
          <w:rFonts w:eastAsia="Times New Roman" w:cs="Times New Roman"/>
          <w:lang w:eastAsia="en-GB"/>
        </w:rPr>
        <w:t xml:space="preserve"> et al. 2018). </w:t>
      </w:r>
      <w:r w:rsidR="00B86CC1" w:rsidRPr="006963B5">
        <w:rPr>
          <w:rFonts w:eastAsia="Times New Roman" w:cs="Times New Roman"/>
          <w:lang w:eastAsia="en-GB"/>
        </w:rPr>
        <w:t xml:space="preserve">Mincing the meat from the thoracic region would homogenize the lead </w:t>
      </w:r>
      <w:r w:rsidR="00906AAB" w:rsidRPr="006963B5">
        <w:rPr>
          <w:rFonts w:eastAsia="Times New Roman" w:cs="Times New Roman"/>
          <w:lang w:eastAsia="en-GB"/>
        </w:rPr>
        <w:t>within</w:t>
      </w:r>
      <w:r w:rsidR="00B86CC1" w:rsidRPr="006963B5">
        <w:rPr>
          <w:rFonts w:eastAsia="Times New Roman" w:cs="Times New Roman"/>
          <w:lang w:eastAsia="en-GB"/>
        </w:rPr>
        <w:t xml:space="preserve"> the retailed product</w:t>
      </w:r>
      <w:r w:rsidR="007247F7" w:rsidRPr="006963B5">
        <w:rPr>
          <w:rFonts w:eastAsia="Times New Roman" w:cs="Times New Roman"/>
          <w:lang w:eastAsia="en-GB"/>
        </w:rPr>
        <w:t xml:space="preserve"> (</w:t>
      </w:r>
      <w:proofErr w:type="spellStart"/>
      <w:r w:rsidR="007247F7" w:rsidRPr="006963B5">
        <w:rPr>
          <w:rFonts w:eastAsia="Times New Roman" w:cs="Times New Roman"/>
          <w:lang w:eastAsia="en-GB"/>
        </w:rPr>
        <w:t>Lindboe</w:t>
      </w:r>
      <w:proofErr w:type="spellEnd"/>
      <w:r w:rsidR="007247F7" w:rsidRPr="006963B5">
        <w:rPr>
          <w:rFonts w:eastAsia="Times New Roman" w:cs="Times New Roman"/>
          <w:lang w:eastAsia="en-GB"/>
        </w:rPr>
        <w:t xml:space="preserve"> et al. 2012</w:t>
      </w:r>
      <w:r w:rsidR="008029BF" w:rsidRPr="006963B5">
        <w:rPr>
          <w:rFonts w:eastAsia="Times New Roman" w:cs="Times New Roman"/>
          <w:lang w:eastAsia="en-GB"/>
        </w:rPr>
        <w:t xml:space="preserve">; Vogt and </w:t>
      </w:r>
      <w:proofErr w:type="spellStart"/>
      <w:r w:rsidR="008029BF" w:rsidRPr="006963B5">
        <w:rPr>
          <w:rFonts w:eastAsia="Times New Roman" w:cs="Times New Roman"/>
          <w:lang w:eastAsia="en-GB"/>
        </w:rPr>
        <w:t>Tysnes</w:t>
      </w:r>
      <w:proofErr w:type="spellEnd"/>
      <w:r w:rsidR="008029BF" w:rsidRPr="006963B5">
        <w:rPr>
          <w:rFonts w:eastAsia="Times New Roman" w:cs="Times New Roman"/>
          <w:lang w:eastAsia="en-GB"/>
        </w:rPr>
        <w:t xml:space="preserve"> 2015</w:t>
      </w:r>
      <w:r w:rsidR="007247F7" w:rsidRPr="006963B5">
        <w:rPr>
          <w:rFonts w:eastAsia="Times New Roman" w:cs="Times New Roman"/>
          <w:lang w:eastAsia="en-GB"/>
        </w:rPr>
        <w:t>)</w:t>
      </w:r>
      <w:r w:rsidR="00B86CC1" w:rsidRPr="006963B5">
        <w:rPr>
          <w:rFonts w:eastAsia="Times New Roman" w:cs="Times New Roman"/>
          <w:lang w:eastAsia="en-GB"/>
        </w:rPr>
        <w:t xml:space="preserve">. </w:t>
      </w:r>
    </w:p>
    <w:p w14:paraId="3B1A8AC4" w14:textId="77777777" w:rsidR="00B86CC1" w:rsidRPr="006963B5" w:rsidRDefault="00B86CC1" w:rsidP="00AE33FC">
      <w:pPr>
        <w:spacing w:after="0" w:line="480" w:lineRule="auto"/>
        <w:ind w:left="45"/>
        <w:rPr>
          <w:rFonts w:eastAsia="Times New Roman" w:cs="Times New Roman"/>
          <w:lang w:eastAsia="en-GB"/>
        </w:rPr>
      </w:pPr>
    </w:p>
    <w:p w14:paraId="044A50B5" w14:textId="7A435299" w:rsidR="00410D2E" w:rsidRPr="006963B5" w:rsidRDefault="00410D2E" w:rsidP="00AE33FC">
      <w:pPr>
        <w:spacing w:line="480" w:lineRule="auto"/>
        <w:ind w:firstLine="720"/>
        <w:rPr>
          <w:rFonts w:cs="Times New Roman"/>
        </w:rPr>
      </w:pPr>
      <w:r w:rsidRPr="006963B5">
        <w:rPr>
          <w:rFonts w:cs="Times New Roman"/>
        </w:rPr>
        <w:lastRenderedPageBreak/>
        <w:t>This issue is</w:t>
      </w:r>
      <w:r w:rsidR="00375414" w:rsidRPr="006963B5">
        <w:rPr>
          <w:rFonts w:cs="Times New Roman"/>
        </w:rPr>
        <w:t xml:space="preserve"> not unique to Europe, and arise</w:t>
      </w:r>
      <w:r w:rsidRPr="006963B5">
        <w:rPr>
          <w:rFonts w:cs="Times New Roman"/>
        </w:rPr>
        <w:t>s</w:t>
      </w:r>
      <w:r w:rsidR="00375414" w:rsidRPr="006963B5">
        <w:rPr>
          <w:rFonts w:cs="Times New Roman"/>
        </w:rPr>
        <w:t xml:space="preserve"> wherever hunters use</w:t>
      </w:r>
      <w:r w:rsidRPr="006963B5">
        <w:rPr>
          <w:rFonts w:cs="Times New Roman"/>
        </w:rPr>
        <w:t xml:space="preserve"> lead ammunition (Thomas et al. 2019</w:t>
      </w:r>
      <w:r w:rsidR="00AA50FB" w:rsidRPr="006963B5">
        <w:rPr>
          <w:rFonts w:cs="Times New Roman"/>
        </w:rPr>
        <w:t>; Pain and Green 2019</w:t>
      </w:r>
      <w:r w:rsidRPr="006963B5">
        <w:rPr>
          <w:rFonts w:cs="Times New Roman"/>
        </w:rPr>
        <w:t>).</w:t>
      </w:r>
      <w:r w:rsidR="00375414" w:rsidRPr="006963B5">
        <w:rPr>
          <w:rFonts w:cs="Times New Roman"/>
        </w:rPr>
        <w:t xml:space="preserve"> The health risk to humans </w:t>
      </w:r>
      <w:r w:rsidR="00906AAB" w:rsidRPr="006963B5">
        <w:rPr>
          <w:rFonts w:cs="Times New Roman"/>
        </w:rPr>
        <w:t>increases with the annual consumption of contaminated</w:t>
      </w:r>
      <w:r w:rsidR="00375414" w:rsidRPr="006963B5">
        <w:rPr>
          <w:rFonts w:cs="Times New Roman"/>
        </w:rPr>
        <w:t xml:space="preserve"> game meat (</w:t>
      </w:r>
      <w:r w:rsidR="007247F7" w:rsidRPr="006963B5">
        <w:rPr>
          <w:rFonts w:cs="Times New Roman"/>
        </w:rPr>
        <w:t xml:space="preserve">Taggart et al. 2011; </w:t>
      </w:r>
      <w:r w:rsidR="00375414" w:rsidRPr="006963B5">
        <w:rPr>
          <w:rFonts w:cs="Times New Roman"/>
        </w:rPr>
        <w:t xml:space="preserve">Green and Pain </w:t>
      </w:r>
      <w:r w:rsidR="007B55E2" w:rsidRPr="006963B5">
        <w:rPr>
          <w:rFonts w:cs="Times New Roman"/>
        </w:rPr>
        <w:t xml:space="preserve">2012, </w:t>
      </w:r>
      <w:r w:rsidR="00375414" w:rsidRPr="006963B5">
        <w:rPr>
          <w:rFonts w:cs="Times New Roman"/>
        </w:rPr>
        <w:t>2015)</w:t>
      </w:r>
      <w:r w:rsidR="00E614C7" w:rsidRPr="006963B5">
        <w:rPr>
          <w:rFonts w:cs="Times New Roman"/>
        </w:rPr>
        <w:t xml:space="preserve">, </w:t>
      </w:r>
      <w:r w:rsidR="001F1D17" w:rsidRPr="006963B5">
        <w:rPr>
          <w:rFonts w:cs="Times New Roman"/>
        </w:rPr>
        <w:t>the type of game eaten (e.g. mammals v. birds)</w:t>
      </w:r>
      <w:r w:rsidR="00BE0D2D" w:rsidRPr="006963B5">
        <w:rPr>
          <w:rFonts w:cs="Times New Roman"/>
        </w:rPr>
        <w:t xml:space="preserve">, </w:t>
      </w:r>
      <w:r w:rsidR="003D1ABD" w:rsidRPr="006963B5">
        <w:rPr>
          <w:rFonts w:cs="Times New Roman"/>
        </w:rPr>
        <w:t xml:space="preserve">and </w:t>
      </w:r>
      <w:r w:rsidR="00906AAB" w:rsidRPr="006963B5">
        <w:rPr>
          <w:rFonts w:cs="Times New Roman"/>
        </w:rPr>
        <w:t xml:space="preserve">with </w:t>
      </w:r>
      <w:r w:rsidR="003D1ABD" w:rsidRPr="006963B5">
        <w:rPr>
          <w:rFonts w:cs="Times New Roman"/>
        </w:rPr>
        <w:t>the vulnerability of</w:t>
      </w:r>
      <w:r w:rsidR="00E614C7" w:rsidRPr="006963B5">
        <w:rPr>
          <w:rFonts w:cs="Times New Roman"/>
        </w:rPr>
        <w:t xml:space="preserve"> the consumer</w:t>
      </w:r>
      <w:r w:rsidR="00D6058C" w:rsidRPr="006963B5">
        <w:rPr>
          <w:rFonts w:cs="Times New Roman"/>
        </w:rPr>
        <w:t xml:space="preserve"> </w:t>
      </w:r>
      <w:r w:rsidR="00E614C7" w:rsidRPr="006963B5">
        <w:rPr>
          <w:rFonts w:cs="Times New Roman"/>
        </w:rPr>
        <w:t>to the effects of dietary lead</w:t>
      </w:r>
      <w:r w:rsidR="00450A67">
        <w:rPr>
          <w:rFonts w:cs="Times New Roman"/>
        </w:rPr>
        <w:t xml:space="preserve"> (especially </w:t>
      </w:r>
      <w:r w:rsidR="00450A67" w:rsidRPr="006963B5">
        <w:rPr>
          <w:rFonts w:cs="Times New Roman"/>
        </w:rPr>
        <w:t>children and pregnant women</w:t>
      </w:r>
      <w:r w:rsidR="00450A67">
        <w:rPr>
          <w:rFonts w:cs="Times New Roman"/>
        </w:rPr>
        <w:t>).</w:t>
      </w:r>
      <w:r w:rsidR="00906AAB" w:rsidRPr="006963B5">
        <w:rPr>
          <w:rFonts w:cs="Times New Roman"/>
        </w:rPr>
        <w:t xml:space="preserve"> </w:t>
      </w:r>
    </w:p>
    <w:p w14:paraId="3206D884" w14:textId="77777777" w:rsidR="00EE2A3D" w:rsidRPr="006963B5" w:rsidRDefault="00EE2A3D" w:rsidP="00AE33FC">
      <w:pPr>
        <w:spacing w:line="480" w:lineRule="auto"/>
        <w:rPr>
          <w:rFonts w:cs="Times New Roman"/>
          <w:b/>
        </w:rPr>
      </w:pPr>
    </w:p>
    <w:p w14:paraId="4BAD1299" w14:textId="77777777" w:rsidR="001F1D17" w:rsidRPr="006963B5" w:rsidRDefault="000A4AEA" w:rsidP="00AE33FC">
      <w:pPr>
        <w:spacing w:line="480" w:lineRule="auto"/>
        <w:rPr>
          <w:rFonts w:cs="Times New Roman"/>
          <w:b/>
        </w:rPr>
      </w:pPr>
      <w:r w:rsidRPr="006963B5">
        <w:rPr>
          <w:rFonts w:cs="Times New Roman"/>
          <w:b/>
        </w:rPr>
        <w:t>THE HUMAN AND SOCIETAL COST OF LEAD EXPOSURE FROM GAME MEAT CONSUMPTION</w:t>
      </w:r>
    </w:p>
    <w:p w14:paraId="01A54FAD" w14:textId="64029333" w:rsidR="00624FEC" w:rsidRPr="006963B5" w:rsidRDefault="00624FEC" w:rsidP="00AE33FC">
      <w:pPr>
        <w:spacing w:line="480" w:lineRule="auto"/>
        <w:ind w:firstLine="720"/>
        <w:rPr>
          <w:rFonts w:cs="Times New Roman"/>
        </w:rPr>
      </w:pPr>
      <w:r w:rsidRPr="006963B5">
        <w:rPr>
          <w:rFonts w:cs="Times New Roman"/>
        </w:rPr>
        <w:t xml:space="preserve">While absorbed lead affects most body systems in humans, critical effects were considered by the Panel on Contaminants in the Food Chain (CONTAM Panel) of the European Food Safety Authority (EFSA) </w:t>
      </w:r>
      <w:r w:rsidR="00450A67">
        <w:rPr>
          <w:rFonts w:cs="Times New Roman"/>
        </w:rPr>
        <w:t>to be</w:t>
      </w:r>
      <w:r w:rsidRPr="006963B5">
        <w:rPr>
          <w:rFonts w:cs="Times New Roman"/>
        </w:rPr>
        <w:t xml:space="preserve"> developmental neurotoxicity in young children and cardiovascular effects and nephrotoxicity in adults (EFSA 2010).  Children </w:t>
      </w:r>
      <w:r w:rsidR="00906AAB" w:rsidRPr="006963B5">
        <w:rPr>
          <w:rFonts w:cs="Times New Roman"/>
        </w:rPr>
        <w:t>a</w:t>
      </w:r>
      <w:r w:rsidRPr="006963B5">
        <w:rPr>
          <w:rFonts w:cs="Times New Roman"/>
        </w:rPr>
        <w:t>nd foetuses are particularly sensitive to dietary exposure</w:t>
      </w:r>
      <w:r w:rsidR="00906AAB" w:rsidRPr="006963B5">
        <w:rPr>
          <w:rFonts w:cs="Times New Roman"/>
        </w:rPr>
        <w:t xml:space="preserve"> </w:t>
      </w:r>
      <w:r w:rsidRPr="006963B5">
        <w:rPr>
          <w:rFonts w:cs="Times New Roman"/>
        </w:rPr>
        <w:t xml:space="preserve">and are considered to be the most vulnerable group. This is both because they absorb a higher proportion of the lead ingested , and because children’s developing brains are especially susceptible to the effects of chronic lead exposure, even </w:t>
      </w:r>
      <w:r w:rsidR="00906AAB" w:rsidRPr="006963B5">
        <w:rPr>
          <w:rFonts w:cs="Times New Roman"/>
        </w:rPr>
        <w:t xml:space="preserve">when blood lead </w:t>
      </w:r>
      <w:r w:rsidRPr="006963B5">
        <w:rPr>
          <w:rFonts w:cs="Times New Roman"/>
        </w:rPr>
        <w:t xml:space="preserve">concentrations </w:t>
      </w:r>
      <w:r w:rsidR="00906AAB" w:rsidRPr="006963B5">
        <w:rPr>
          <w:rFonts w:cs="Times New Roman"/>
        </w:rPr>
        <w:t xml:space="preserve">indicate a low level of exposure </w:t>
      </w:r>
      <w:r w:rsidRPr="006963B5">
        <w:rPr>
          <w:rFonts w:cs="Times New Roman"/>
        </w:rPr>
        <w:t>(</w:t>
      </w:r>
      <w:proofErr w:type="spellStart"/>
      <w:r w:rsidRPr="006963B5">
        <w:rPr>
          <w:rFonts w:cs="Times New Roman"/>
        </w:rPr>
        <w:t>Lanphear</w:t>
      </w:r>
      <w:proofErr w:type="spellEnd"/>
      <w:r w:rsidRPr="006963B5">
        <w:rPr>
          <w:rFonts w:cs="Times New Roman"/>
        </w:rPr>
        <w:t xml:space="preserve"> et al. 2005; </w:t>
      </w:r>
      <w:proofErr w:type="spellStart"/>
      <w:r w:rsidRPr="006963B5">
        <w:rPr>
          <w:rFonts w:cs="Times New Roman"/>
        </w:rPr>
        <w:t>Budtz-Jørgensen</w:t>
      </w:r>
      <w:proofErr w:type="spellEnd"/>
      <w:r w:rsidRPr="006963B5">
        <w:rPr>
          <w:rFonts w:cs="Times New Roman"/>
        </w:rPr>
        <w:t xml:space="preserve"> 2010; EFSA 2010). </w:t>
      </w:r>
    </w:p>
    <w:p w14:paraId="3DEE56D8" w14:textId="36A55D9C" w:rsidR="00624FEC" w:rsidRPr="006963B5" w:rsidRDefault="00906AAB" w:rsidP="00C9510F">
      <w:pPr>
        <w:spacing w:line="480" w:lineRule="auto"/>
        <w:ind w:firstLine="720"/>
        <w:rPr>
          <w:rFonts w:cs="Times New Roman"/>
        </w:rPr>
      </w:pPr>
      <w:r w:rsidRPr="006963B5">
        <w:rPr>
          <w:rFonts w:cs="Times New Roman"/>
        </w:rPr>
        <w:t>Pain et al. (2019</w:t>
      </w:r>
      <w:r w:rsidR="004F58B4" w:rsidRPr="00AE33FC">
        <w:rPr>
          <w:rFonts w:cs="Times New Roman"/>
        </w:rPr>
        <w:t>a</w:t>
      </w:r>
      <w:r w:rsidRPr="006963B5">
        <w:rPr>
          <w:rFonts w:cs="Times New Roman"/>
        </w:rPr>
        <w:t xml:space="preserve">) estimated the economic costs of reduced IQ in those children </w:t>
      </w:r>
      <w:r w:rsidR="0093062C">
        <w:rPr>
          <w:rFonts w:cs="Times New Roman"/>
        </w:rPr>
        <w:t xml:space="preserve">deemed </w:t>
      </w:r>
      <w:r w:rsidRPr="006963B5">
        <w:rPr>
          <w:rFonts w:cs="Times New Roman"/>
        </w:rPr>
        <w:t xml:space="preserve">at risk from ingestion of lead from ammunition in the diet. </w:t>
      </w:r>
      <w:r w:rsidR="00624FEC" w:rsidRPr="006963B5">
        <w:rPr>
          <w:rFonts w:cs="Times New Roman"/>
        </w:rPr>
        <w:t xml:space="preserve">Such a calculation requires an estimate of the numbers of children </w:t>
      </w:r>
      <w:r w:rsidR="00B02D2F" w:rsidRPr="006963B5">
        <w:rPr>
          <w:rFonts w:cs="Times New Roman"/>
        </w:rPr>
        <w:t>exposed to</w:t>
      </w:r>
      <w:r w:rsidR="00624FEC" w:rsidRPr="006963B5">
        <w:rPr>
          <w:rFonts w:cs="Times New Roman"/>
        </w:rPr>
        <w:t xml:space="preserve"> sufficient </w:t>
      </w:r>
      <w:r w:rsidR="00B02D2F" w:rsidRPr="006963B5">
        <w:rPr>
          <w:rFonts w:cs="Times New Roman"/>
        </w:rPr>
        <w:t xml:space="preserve">dietary </w:t>
      </w:r>
      <w:r w:rsidR="00624FEC" w:rsidRPr="006963B5">
        <w:rPr>
          <w:rFonts w:cs="Times New Roman"/>
        </w:rPr>
        <w:t xml:space="preserve">lead from ammunition to result in blood lead levels associated with reduced IQ. A 1 point (1%) reduction in IQ was considered significant at a population level by EFSA (2010).  In the UK, it has been estimated that 4000-48000 children were at risk from incurring a one point or more reduction in IQ as a result of their level of exposure to dietary lead from game meat (Green </w:t>
      </w:r>
      <w:r w:rsidR="00E85E73" w:rsidRPr="006963B5">
        <w:rPr>
          <w:rFonts w:cs="Times New Roman"/>
        </w:rPr>
        <w:t>and</w:t>
      </w:r>
      <w:r w:rsidR="00624FEC" w:rsidRPr="006963B5">
        <w:rPr>
          <w:rFonts w:cs="Times New Roman"/>
        </w:rPr>
        <w:t xml:space="preserve"> Pain 2015). Another survey in the UK </w:t>
      </w:r>
      <w:r w:rsidR="00E21717" w:rsidRPr="006963B5">
        <w:rPr>
          <w:rFonts w:cs="Times New Roman"/>
        </w:rPr>
        <w:t xml:space="preserve"> by </w:t>
      </w:r>
      <w:r w:rsidR="00624FEC" w:rsidRPr="006963B5">
        <w:rPr>
          <w:rFonts w:cs="Times New Roman"/>
        </w:rPr>
        <w:t>the British Association for Shooting and Conservation</w:t>
      </w:r>
      <w:r w:rsidR="00E21717" w:rsidRPr="006963B5">
        <w:rPr>
          <w:rFonts w:cs="Times New Roman"/>
        </w:rPr>
        <w:t xml:space="preserve"> and the</w:t>
      </w:r>
      <w:r w:rsidR="00624FEC" w:rsidRPr="006963B5">
        <w:rPr>
          <w:rFonts w:cs="Times New Roman"/>
        </w:rPr>
        <w:t xml:space="preserve"> Countryside Alliance (BASC/CA) found that, in the </w:t>
      </w:r>
      <w:r w:rsidR="00E21717" w:rsidRPr="006963B5">
        <w:rPr>
          <w:rFonts w:cs="Times New Roman"/>
        </w:rPr>
        <w:t xml:space="preserve">UK </w:t>
      </w:r>
      <w:r w:rsidR="00624FEC" w:rsidRPr="006963B5">
        <w:rPr>
          <w:rFonts w:cs="Times New Roman"/>
        </w:rPr>
        <w:t xml:space="preserve">shooting community alone, </w:t>
      </w:r>
      <w:r w:rsidR="00624FEC" w:rsidRPr="006963B5">
        <w:rPr>
          <w:rFonts w:cs="Times New Roman"/>
        </w:rPr>
        <w:lastRenderedPageBreak/>
        <w:t>9000 (midpoint of 5 500 – 12 500) young (8 years or younger) children consume at least one game meal per week averaged ove</w:t>
      </w:r>
      <w:r w:rsidR="005C58E6" w:rsidRPr="006963B5">
        <w:rPr>
          <w:rFonts w:cs="Times New Roman"/>
        </w:rPr>
        <w:t>r the year (reported in LAG 2014)</w:t>
      </w:r>
      <w:r w:rsidR="00624FEC" w:rsidRPr="006963B5">
        <w:rPr>
          <w:rFonts w:cs="Times New Roman"/>
        </w:rPr>
        <w:t>. As this level of consumption generally exceeds the amount of dietary lead exposure associated with a 1 point reduction in IQ (Green and Pain 2012</w:t>
      </w:r>
      <w:r w:rsidR="00D61563" w:rsidRPr="006963B5">
        <w:rPr>
          <w:rFonts w:cs="Times New Roman"/>
        </w:rPr>
        <w:t>,</w:t>
      </w:r>
      <w:r w:rsidR="00624FEC" w:rsidRPr="006963B5">
        <w:rPr>
          <w:rFonts w:cs="Times New Roman"/>
        </w:rPr>
        <w:t xml:space="preserve"> 2015), it seems probable that at least 10,000 children in the UK are at risk. Pain et al. (2019</w:t>
      </w:r>
      <w:r w:rsidR="007E1F16" w:rsidRPr="00AE33FC">
        <w:rPr>
          <w:rFonts w:cs="Times New Roman"/>
        </w:rPr>
        <w:t>a</w:t>
      </w:r>
      <w:r w:rsidR="00624FEC" w:rsidRPr="006963B5">
        <w:rPr>
          <w:rFonts w:cs="Times New Roman"/>
        </w:rPr>
        <w:t>) assumed that the ratio of children at risk in the UK relative to the number of UK hunters would be similar across the EU. This gave an estimate of 83000 or more children across the EU27 who may be at risk of an IQ reduction of 1 point.</w:t>
      </w:r>
    </w:p>
    <w:p w14:paraId="499D3A09" w14:textId="4B29FFE7" w:rsidR="00624FEC" w:rsidRPr="006963B5" w:rsidRDefault="00624FEC" w:rsidP="00313883">
      <w:pPr>
        <w:spacing w:line="480" w:lineRule="auto"/>
        <w:ind w:firstLine="720"/>
        <w:rPr>
          <w:rFonts w:cs="Times New Roman"/>
        </w:rPr>
      </w:pPr>
      <w:r w:rsidRPr="006963B5">
        <w:rPr>
          <w:rFonts w:cs="Times New Roman"/>
        </w:rPr>
        <w:t xml:space="preserve">The societal costs of reduced IQ have been estimated in various ways by different authors and relate to impacts on academic achievement and/or decreased productivity in later life (e.g. Schwartz 1994; Grosse et al. 2002; ECHA 2011; </w:t>
      </w:r>
      <w:proofErr w:type="spellStart"/>
      <w:r w:rsidRPr="006963B5">
        <w:rPr>
          <w:rFonts w:cs="Times New Roman"/>
        </w:rPr>
        <w:t>Bierkens</w:t>
      </w:r>
      <w:proofErr w:type="spellEnd"/>
      <w:r w:rsidRPr="006963B5">
        <w:rPr>
          <w:rFonts w:cs="Times New Roman"/>
        </w:rPr>
        <w:t xml:space="preserve"> et al. 2012; Monahan et al. 2015). Using the range of values from the la</w:t>
      </w:r>
      <w:r w:rsidR="00E21717" w:rsidRPr="006963B5">
        <w:rPr>
          <w:rFonts w:cs="Times New Roman"/>
        </w:rPr>
        <w:t>st</w:t>
      </w:r>
      <w:r w:rsidRPr="006963B5">
        <w:rPr>
          <w:rFonts w:cs="Times New Roman"/>
        </w:rPr>
        <w:t xml:space="preserve"> three</w:t>
      </w:r>
      <w:r w:rsidR="00E21717" w:rsidRPr="006963B5">
        <w:rPr>
          <w:rFonts w:cs="Times New Roman"/>
        </w:rPr>
        <w:t xml:space="preserve"> of these</w:t>
      </w:r>
      <w:r w:rsidRPr="006963B5">
        <w:rPr>
          <w:rFonts w:cs="Times New Roman"/>
        </w:rPr>
        <w:t xml:space="preserve"> studies, Pain et al. (2019</w:t>
      </w:r>
      <w:r w:rsidR="00227574" w:rsidRPr="00AE33FC">
        <w:rPr>
          <w:rFonts w:cs="Times New Roman"/>
        </w:rPr>
        <w:t>a</w:t>
      </w:r>
      <w:r w:rsidRPr="00AE33FC">
        <w:rPr>
          <w:rFonts w:cs="Times New Roman"/>
        </w:rPr>
        <w:t xml:space="preserve">) estimated that the consumption of lead-shot game by the cohort of children 8 years old or younger within the EU </w:t>
      </w:r>
      <w:r w:rsidR="00E21717" w:rsidRPr="006963B5">
        <w:rPr>
          <w:rFonts w:cs="Times New Roman"/>
        </w:rPr>
        <w:t>was</w:t>
      </w:r>
      <w:r w:rsidRPr="006963B5">
        <w:rPr>
          <w:rFonts w:cs="Times New Roman"/>
        </w:rPr>
        <w:t xml:space="preserve"> linked to a potential loss in IQ worth €322 million to €830 million. This equates to an annualised (i.e. ongoing and cumulative) cost to society of €40 million – €104 million for every year that </w:t>
      </w:r>
      <w:r w:rsidR="00E21717" w:rsidRPr="006963B5">
        <w:rPr>
          <w:rFonts w:cs="Times New Roman"/>
        </w:rPr>
        <w:t xml:space="preserve">lead-contaminated </w:t>
      </w:r>
      <w:r w:rsidRPr="006963B5">
        <w:rPr>
          <w:rFonts w:cs="Times New Roman"/>
        </w:rPr>
        <w:t>game continues to be consumed at current levels. The authors considered that the actual cost may be higher than estimated because some children will be exposed to more lead from game than is associated with a 1 point reduced IQ, with greater concomitant risks, and also because some studies indicate that in some EU countries, more people may be ‘high-level’ consumers of game, relative to the national number of hunters, than in the UK (see Pain et al. 2019</w:t>
      </w:r>
      <w:r w:rsidR="00227574" w:rsidRPr="006963B5">
        <w:rPr>
          <w:rFonts w:cs="Times New Roman"/>
        </w:rPr>
        <w:t>a</w:t>
      </w:r>
      <w:r w:rsidRPr="006963B5">
        <w:rPr>
          <w:rFonts w:cs="Times New Roman"/>
        </w:rPr>
        <w:t>).</w:t>
      </w:r>
    </w:p>
    <w:p w14:paraId="3D32B0EA" w14:textId="0E82C5A8" w:rsidR="008907D8" w:rsidRPr="006963B5" w:rsidRDefault="00AB7437" w:rsidP="00812487">
      <w:pPr>
        <w:spacing w:line="480" w:lineRule="auto"/>
        <w:ind w:firstLine="720"/>
        <w:rPr>
          <w:rFonts w:cs="Times New Roman"/>
        </w:rPr>
      </w:pPr>
      <w:r w:rsidRPr="006963B5">
        <w:rPr>
          <w:rFonts w:cs="Times New Roman"/>
        </w:rPr>
        <w:t>We are unaware of other attempts to monetise the possible health effects associated with elevated blood lead from consumption of lead-shot game.</w:t>
      </w:r>
      <w:r w:rsidR="008907D8" w:rsidRPr="006963B5">
        <w:rPr>
          <w:rFonts w:cs="Times New Roman"/>
        </w:rPr>
        <w:t xml:space="preserve"> Increased blood lead levels </w:t>
      </w:r>
      <w:r w:rsidRPr="006963B5">
        <w:rPr>
          <w:rFonts w:cs="Times New Roman"/>
        </w:rPr>
        <w:t xml:space="preserve">are associated with increased risk of cardiovascular disease and of chronic kidney disease (EFSA 2010) and </w:t>
      </w:r>
      <w:r w:rsidR="008907D8" w:rsidRPr="006963B5">
        <w:rPr>
          <w:rFonts w:cs="Times New Roman"/>
        </w:rPr>
        <w:t xml:space="preserve">may contribute to antisocial behaviour and increased crime rates (e.g. Campbell et al. 2018; Sampson </w:t>
      </w:r>
      <w:r w:rsidR="007A3D55" w:rsidRPr="006963B5">
        <w:rPr>
          <w:rFonts w:cs="Times New Roman"/>
        </w:rPr>
        <w:t>and</w:t>
      </w:r>
      <w:r w:rsidR="008907D8" w:rsidRPr="006963B5">
        <w:rPr>
          <w:rFonts w:cs="Times New Roman"/>
        </w:rPr>
        <w:t xml:space="preserve"> </w:t>
      </w:r>
      <w:r w:rsidR="008907D8" w:rsidRPr="006963B5">
        <w:rPr>
          <w:rFonts w:cs="Times New Roman"/>
        </w:rPr>
        <w:lastRenderedPageBreak/>
        <w:t xml:space="preserve">Winter 2018), with related costs to both the individuals concerned and society in general. </w:t>
      </w:r>
      <w:r w:rsidR="004264BF" w:rsidRPr="006963B5">
        <w:rPr>
          <w:rFonts w:cs="Times New Roman"/>
        </w:rPr>
        <w:t xml:space="preserve">Based on a 2008 survey on blood-lead concentrations in French children aged one to six years old, </w:t>
      </w:r>
      <w:proofErr w:type="spellStart"/>
      <w:r w:rsidR="004264BF" w:rsidRPr="006963B5">
        <w:rPr>
          <w:rFonts w:cs="Times New Roman"/>
        </w:rPr>
        <w:t>Pichery</w:t>
      </w:r>
      <w:proofErr w:type="spellEnd"/>
      <w:r w:rsidR="004264BF" w:rsidRPr="006963B5">
        <w:rPr>
          <w:rFonts w:cs="Times New Roman"/>
        </w:rPr>
        <w:t xml:space="preserve"> et al. (2011) estimated</w:t>
      </w:r>
      <w:r w:rsidR="004264BF" w:rsidRPr="006963B5">
        <w:rPr>
          <w:rFonts w:ascii="Trebuchet MS" w:hAnsi="Trebuchet MS"/>
          <w:color w:val="333333"/>
          <w:shd w:val="clear" w:color="auto" w:fill="FFFFFF"/>
        </w:rPr>
        <w:t xml:space="preserve"> </w:t>
      </w:r>
      <w:r w:rsidR="004264BF" w:rsidRPr="006963B5">
        <w:rPr>
          <w:rFonts w:cs="Times New Roman"/>
        </w:rPr>
        <w:t xml:space="preserve">the monetary benefits in terms of avoided national costs if threshold values for lead toxicity above 15 </w:t>
      </w:r>
      <w:proofErr w:type="spellStart"/>
      <w:r w:rsidR="004264BF" w:rsidRPr="006963B5">
        <w:rPr>
          <w:rFonts w:cs="Times New Roman"/>
        </w:rPr>
        <w:t>μg</w:t>
      </w:r>
      <w:proofErr w:type="spellEnd"/>
      <w:r w:rsidR="004264BF" w:rsidRPr="006963B5">
        <w:rPr>
          <w:rFonts w:cs="Times New Roman"/>
        </w:rPr>
        <w:t xml:space="preserve">/L, </w:t>
      </w:r>
      <w:proofErr w:type="gramStart"/>
      <w:r w:rsidR="004264BF" w:rsidRPr="006963B5">
        <w:rPr>
          <w:rFonts w:cs="Times New Roman"/>
        </w:rPr>
        <w:t xml:space="preserve">24 </w:t>
      </w:r>
      <w:proofErr w:type="spellStart"/>
      <w:r w:rsidR="004264BF" w:rsidRPr="006963B5">
        <w:rPr>
          <w:rFonts w:cs="Times New Roman"/>
        </w:rPr>
        <w:t>μg</w:t>
      </w:r>
      <w:proofErr w:type="spellEnd"/>
      <w:r w:rsidR="004264BF" w:rsidRPr="006963B5">
        <w:rPr>
          <w:rFonts w:cs="Times New Roman"/>
        </w:rPr>
        <w:t>/L</w:t>
      </w:r>
      <w:proofErr w:type="gramEnd"/>
      <w:r w:rsidR="004264BF" w:rsidRPr="006963B5">
        <w:rPr>
          <w:rFonts w:cs="Times New Roman"/>
        </w:rPr>
        <w:t xml:space="preserve"> and 100 </w:t>
      </w:r>
      <w:proofErr w:type="spellStart"/>
      <w:r w:rsidR="004264BF" w:rsidRPr="006963B5">
        <w:rPr>
          <w:rFonts w:cs="Times New Roman"/>
        </w:rPr>
        <w:t>μg</w:t>
      </w:r>
      <w:proofErr w:type="spellEnd"/>
      <w:r w:rsidR="004264BF" w:rsidRPr="006963B5">
        <w:rPr>
          <w:rFonts w:cs="Times New Roman"/>
        </w:rPr>
        <w:t>/L were introduced, at €22.72 billion, €10.72 billion and €0.44 billion, respectively.</w:t>
      </w:r>
      <w:r w:rsidR="00C303C5" w:rsidRPr="006963B5">
        <w:rPr>
          <w:rFonts w:cs="Times New Roman"/>
          <w:color w:val="FF0000"/>
        </w:rPr>
        <w:t xml:space="preserve"> </w:t>
      </w:r>
      <w:r w:rsidR="0006207B" w:rsidRPr="006963B5">
        <w:rPr>
          <w:rFonts w:cs="Times New Roman"/>
        </w:rPr>
        <w:t xml:space="preserve">It is notable that more people appear to eat game frequently and be ‘high-level’ consumers than might previously have been supposed. Green </w:t>
      </w:r>
      <w:r w:rsidR="007A3D55" w:rsidRPr="006963B5">
        <w:rPr>
          <w:rFonts w:cs="Times New Roman"/>
        </w:rPr>
        <w:t>and</w:t>
      </w:r>
      <w:r w:rsidR="0006207B" w:rsidRPr="006963B5">
        <w:rPr>
          <w:rFonts w:cs="Times New Roman"/>
        </w:rPr>
        <w:t xml:space="preserve"> Pain (2019</w:t>
      </w:r>
      <w:r w:rsidR="00812487" w:rsidRPr="006963B5">
        <w:rPr>
          <w:rFonts w:cs="Times New Roman"/>
        </w:rPr>
        <w:t>)</w:t>
      </w:r>
      <w:r w:rsidR="0006207B" w:rsidRPr="006963B5">
        <w:rPr>
          <w:rFonts w:cs="Times New Roman"/>
        </w:rPr>
        <w:t>, by extrapolating from UK surveys and reviewing studies from elsewhere</w:t>
      </w:r>
      <w:r w:rsidR="00AA50FB" w:rsidRPr="006963B5">
        <w:rPr>
          <w:rFonts w:cs="Times New Roman"/>
        </w:rPr>
        <w:t>,</w:t>
      </w:r>
      <w:r w:rsidR="0006207B" w:rsidRPr="006963B5">
        <w:rPr>
          <w:rFonts w:cs="Times New Roman"/>
        </w:rPr>
        <w:t xml:space="preserve"> estimated this to be approximately 5 million people (1% of the population) in the EU. In some EU countries, this has been esti</w:t>
      </w:r>
      <w:r w:rsidR="00A2527B" w:rsidRPr="006963B5">
        <w:rPr>
          <w:rFonts w:cs="Times New Roman"/>
        </w:rPr>
        <w:t>mated to be sever</w:t>
      </w:r>
      <w:r w:rsidR="00216B77" w:rsidRPr="006963B5">
        <w:rPr>
          <w:rFonts w:cs="Times New Roman"/>
        </w:rPr>
        <w:t xml:space="preserve">al times higher </w:t>
      </w:r>
      <w:r w:rsidR="00A2527B" w:rsidRPr="006963B5">
        <w:rPr>
          <w:rFonts w:cs="Times New Roman"/>
        </w:rPr>
        <w:t xml:space="preserve">(e.g. 3% in Italy – </w:t>
      </w:r>
      <w:proofErr w:type="spellStart"/>
      <w:r w:rsidR="00A2527B" w:rsidRPr="006963B5">
        <w:rPr>
          <w:rFonts w:cs="Times New Roman"/>
        </w:rPr>
        <w:t>Ferri</w:t>
      </w:r>
      <w:proofErr w:type="spellEnd"/>
      <w:r w:rsidR="00A2527B" w:rsidRPr="006963B5">
        <w:rPr>
          <w:rFonts w:cs="Times New Roman"/>
        </w:rPr>
        <w:t xml:space="preserve"> et al. 2017)</w:t>
      </w:r>
      <w:r w:rsidR="00871DBD" w:rsidRPr="006963B5">
        <w:rPr>
          <w:rFonts w:cs="Times New Roman"/>
        </w:rPr>
        <w:t>.</w:t>
      </w:r>
    </w:p>
    <w:p w14:paraId="05FDF3F6" w14:textId="77777777" w:rsidR="008907D8" w:rsidRPr="006963B5" w:rsidRDefault="008907D8" w:rsidP="00AE33FC">
      <w:pPr>
        <w:spacing w:line="480" w:lineRule="auto"/>
        <w:rPr>
          <w:rFonts w:cs="Times New Roman"/>
        </w:rPr>
      </w:pPr>
    </w:p>
    <w:p w14:paraId="2347E733" w14:textId="2A305EB4" w:rsidR="00E24F6F" w:rsidRPr="006963B5" w:rsidRDefault="00E24F6F" w:rsidP="00AE33FC">
      <w:pPr>
        <w:spacing w:line="480" w:lineRule="auto"/>
        <w:rPr>
          <w:rFonts w:cs="Times New Roman"/>
          <w:b/>
        </w:rPr>
      </w:pPr>
      <w:r w:rsidRPr="006963B5">
        <w:rPr>
          <w:rFonts w:cs="Times New Roman"/>
          <w:b/>
        </w:rPr>
        <w:t>IMPACTS OF LEAD AMMUNITION INGESTION ON SCAVENGERS</w:t>
      </w:r>
    </w:p>
    <w:p w14:paraId="3EE1E6D9" w14:textId="6E45525C" w:rsidR="00217CD7" w:rsidRPr="006963B5" w:rsidRDefault="00217CD7" w:rsidP="00AE33FC">
      <w:pPr>
        <w:spacing w:line="480" w:lineRule="auto"/>
        <w:ind w:firstLine="720"/>
        <w:rPr>
          <w:rFonts w:cstheme="minorHAnsi"/>
        </w:rPr>
      </w:pPr>
      <w:r w:rsidRPr="006963B5">
        <w:rPr>
          <w:rFonts w:cstheme="minorHAnsi"/>
        </w:rPr>
        <w:t xml:space="preserve">Hunters customarily discard the organs and entrails of killed </w:t>
      </w:r>
      <w:r w:rsidR="00556486">
        <w:rPr>
          <w:rFonts w:cstheme="minorHAnsi"/>
        </w:rPr>
        <w:t xml:space="preserve">animals </w:t>
      </w:r>
      <w:r w:rsidRPr="006963B5">
        <w:rPr>
          <w:rFonts w:cstheme="minorHAnsi"/>
        </w:rPr>
        <w:t xml:space="preserve">in the field. These entrails frequently contain lead bullet fragments, and </w:t>
      </w:r>
      <w:r w:rsidR="00E21717" w:rsidRPr="006963B5">
        <w:rPr>
          <w:rFonts w:cstheme="minorHAnsi"/>
        </w:rPr>
        <w:t>the</w:t>
      </w:r>
      <w:r w:rsidRPr="006963B5">
        <w:rPr>
          <w:rFonts w:cstheme="minorHAnsi"/>
        </w:rPr>
        <w:t xml:space="preserve"> gut piles</w:t>
      </w:r>
      <w:r w:rsidR="00E21717" w:rsidRPr="006963B5">
        <w:rPr>
          <w:rFonts w:cstheme="minorHAnsi"/>
        </w:rPr>
        <w:t xml:space="preserve"> are often eaten</w:t>
      </w:r>
      <w:r w:rsidRPr="006963B5">
        <w:rPr>
          <w:rFonts w:cstheme="minorHAnsi"/>
        </w:rPr>
        <w:t xml:space="preserve"> by avian and mammalian scavengers (</w:t>
      </w:r>
      <w:proofErr w:type="spellStart"/>
      <w:r w:rsidRPr="006963B5">
        <w:rPr>
          <w:rFonts w:cstheme="minorHAnsi"/>
        </w:rPr>
        <w:t>Stokke</w:t>
      </w:r>
      <w:proofErr w:type="spellEnd"/>
      <w:r w:rsidRPr="006963B5">
        <w:rPr>
          <w:rFonts w:cstheme="minorHAnsi"/>
        </w:rPr>
        <w:t xml:space="preserve"> et al. 2017; Hampton et al. 2018). At least 5-6 million gut piles from deer and boars </w:t>
      </w:r>
      <w:r w:rsidR="00AA50FB" w:rsidRPr="006963B5">
        <w:rPr>
          <w:rFonts w:cstheme="minorHAnsi"/>
        </w:rPr>
        <w:t xml:space="preserve">may be </w:t>
      </w:r>
      <w:r w:rsidRPr="006963B5">
        <w:rPr>
          <w:rFonts w:cstheme="minorHAnsi"/>
        </w:rPr>
        <w:t xml:space="preserve">discarded annually throughout Europe (based on Table 1) and pose a lead exposure risk to scavengers. </w:t>
      </w:r>
      <w:r w:rsidR="00E21717" w:rsidRPr="006963B5">
        <w:rPr>
          <w:rFonts w:cstheme="minorHAnsi"/>
        </w:rPr>
        <w:t>Whole a</w:t>
      </w:r>
      <w:r w:rsidRPr="006963B5">
        <w:rPr>
          <w:rFonts w:cstheme="minorHAnsi"/>
        </w:rPr>
        <w:t>nimals shot by hunters may be left in the field, either deliberately as pests, or accidentally, when not retrieved. Waterfowl hunting, for example, is often accompanied by large unintentional crippling losses when birds are hit but not retrieved (Falk et al. 2006). T</w:t>
      </w:r>
      <w:r w:rsidR="00710FA3">
        <w:rPr>
          <w:rFonts w:cstheme="minorHAnsi"/>
        </w:rPr>
        <w:t>hese</w:t>
      </w:r>
      <w:r w:rsidRPr="006963B5">
        <w:rPr>
          <w:rFonts w:cstheme="minorHAnsi"/>
        </w:rPr>
        <w:t xml:space="preserve"> carcasses are eventually fed on by scavengers which </w:t>
      </w:r>
      <w:r w:rsidR="00E21717" w:rsidRPr="006963B5">
        <w:rPr>
          <w:rFonts w:cstheme="minorHAnsi"/>
        </w:rPr>
        <w:t>may then</w:t>
      </w:r>
      <w:r w:rsidRPr="006963B5">
        <w:rPr>
          <w:rFonts w:cstheme="minorHAnsi"/>
        </w:rPr>
        <w:t xml:space="preserve"> ingest the shot or bullet fragments. These sources of lead exposure are additional to those from discarded gut piles.</w:t>
      </w:r>
    </w:p>
    <w:p w14:paraId="759381BC" w14:textId="6F1BFAE2" w:rsidR="00217CD7" w:rsidRPr="006963B5" w:rsidRDefault="00217CD7" w:rsidP="00812487">
      <w:pPr>
        <w:spacing w:line="480" w:lineRule="auto"/>
        <w:ind w:firstLine="720"/>
        <w:rPr>
          <w:rFonts w:cstheme="minorHAnsi"/>
        </w:rPr>
      </w:pPr>
      <w:r w:rsidRPr="006963B5">
        <w:rPr>
          <w:rFonts w:cstheme="minorHAnsi"/>
        </w:rPr>
        <w:t xml:space="preserve">The toxic effects </w:t>
      </w:r>
      <w:r w:rsidR="00E21717" w:rsidRPr="006963B5">
        <w:rPr>
          <w:rFonts w:cstheme="minorHAnsi"/>
        </w:rPr>
        <w:t xml:space="preserve">of dietary lead </w:t>
      </w:r>
      <w:r w:rsidRPr="006963B5">
        <w:rPr>
          <w:rFonts w:cstheme="minorHAnsi"/>
        </w:rPr>
        <w:t xml:space="preserve">on scavenging species are well-documented </w:t>
      </w:r>
      <w:r w:rsidR="00710FA3">
        <w:rPr>
          <w:rFonts w:cstheme="minorHAnsi"/>
        </w:rPr>
        <w:t>(</w:t>
      </w:r>
      <w:r w:rsidRPr="006963B5">
        <w:rPr>
          <w:rFonts w:cstheme="minorHAnsi"/>
        </w:rPr>
        <w:t>Krone 2018</w:t>
      </w:r>
      <w:r w:rsidR="00710FA3">
        <w:rPr>
          <w:rFonts w:cstheme="minorHAnsi"/>
        </w:rPr>
        <w:t>;</w:t>
      </w:r>
      <w:r w:rsidRPr="006963B5">
        <w:rPr>
          <w:rFonts w:cstheme="minorHAnsi"/>
        </w:rPr>
        <w:t xml:space="preserve"> </w:t>
      </w:r>
      <w:r w:rsidR="00560EAF" w:rsidRPr="006963B5">
        <w:rPr>
          <w:rFonts w:cstheme="minorHAnsi"/>
        </w:rPr>
        <w:t xml:space="preserve">Golden </w:t>
      </w:r>
      <w:r w:rsidRPr="006963B5">
        <w:rPr>
          <w:rFonts w:cstheme="minorHAnsi"/>
        </w:rPr>
        <w:t>et al. 2016). Pain et al. (2009; 2019</w:t>
      </w:r>
      <w:r w:rsidR="00F34C95" w:rsidRPr="00AE33FC">
        <w:rPr>
          <w:rFonts w:cstheme="minorHAnsi"/>
        </w:rPr>
        <w:t>b</w:t>
      </w:r>
      <w:r w:rsidRPr="006963B5">
        <w:rPr>
          <w:rFonts w:cstheme="minorHAnsi"/>
        </w:rPr>
        <w:t xml:space="preserve">) indicated that many species of scavenging and predatory raptors (Old and New World vultures, eagles, hawks, falcons, and owls) are susceptible to this form of </w:t>
      </w:r>
      <w:r w:rsidRPr="006963B5">
        <w:rPr>
          <w:rFonts w:cstheme="minorHAnsi"/>
        </w:rPr>
        <w:lastRenderedPageBreak/>
        <w:t>lead exposure. Toxic effects in raptors range from overt mortality to abnormal behaviour (</w:t>
      </w:r>
      <w:proofErr w:type="spellStart"/>
      <w:r w:rsidRPr="006963B5">
        <w:rPr>
          <w:rFonts w:cstheme="minorHAnsi"/>
        </w:rPr>
        <w:t>Ecke</w:t>
      </w:r>
      <w:proofErr w:type="spellEnd"/>
      <w:r w:rsidRPr="006963B5">
        <w:rPr>
          <w:rFonts w:cstheme="minorHAnsi"/>
        </w:rPr>
        <w:t xml:space="preserve"> et al. 2017; Pain et al. 2019</w:t>
      </w:r>
      <w:r w:rsidR="00F34C95" w:rsidRPr="00AE33FC">
        <w:rPr>
          <w:rFonts w:cstheme="minorHAnsi"/>
        </w:rPr>
        <w:t>b</w:t>
      </w:r>
      <w:r w:rsidRPr="00AE33FC">
        <w:rPr>
          <w:rFonts w:cstheme="minorHAnsi"/>
        </w:rPr>
        <w:t xml:space="preserve">). This form of lead exposure occurs globally and </w:t>
      </w:r>
      <w:r w:rsidR="00E21717" w:rsidRPr="006963B5">
        <w:rPr>
          <w:rFonts w:cstheme="minorHAnsi"/>
        </w:rPr>
        <w:t>probably</w:t>
      </w:r>
      <w:r w:rsidR="00560EAF" w:rsidRPr="006963B5">
        <w:rPr>
          <w:rFonts w:cstheme="minorHAnsi"/>
        </w:rPr>
        <w:t xml:space="preserve"> affect</w:t>
      </w:r>
      <w:r w:rsidR="00E21717" w:rsidRPr="006963B5">
        <w:rPr>
          <w:rFonts w:cstheme="minorHAnsi"/>
        </w:rPr>
        <w:t>s</w:t>
      </w:r>
      <w:r w:rsidR="00560EAF" w:rsidRPr="006963B5">
        <w:rPr>
          <w:rFonts w:cstheme="minorHAnsi"/>
        </w:rPr>
        <w:t xml:space="preserve"> </w:t>
      </w:r>
      <w:r w:rsidRPr="006963B5">
        <w:rPr>
          <w:rFonts w:cstheme="minorHAnsi"/>
        </w:rPr>
        <w:t>every European scavenging raptorial species (Krone 2018; Pain et al. 2019</w:t>
      </w:r>
      <w:r w:rsidR="00AC5CC5" w:rsidRPr="006963B5">
        <w:rPr>
          <w:rFonts w:cstheme="minorHAnsi"/>
        </w:rPr>
        <w:t>b</w:t>
      </w:r>
      <w:r w:rsidRPr="006963B5">
        <w:rPr>
          <w:rFonts w:cstheme="minorHAnsi"/>
        </w:rPr>
        <w:t xml:space="preserve">). </w:t>
      </w:r>
      <w:r w:rsidR="00FF4DA1" w:rsidRPr="006963B5">
        <w:rPr>
          <w:rFonts w:cstheme="minorHAnsi"/>
        </w:rPr>
        <w:t>Exposure to ammunition-derived lead is a threat to at least nine species of raptor globally classified as threatened or near threatened with extinction</w:t>
      </w:r>
      <w:r w:rsidRPr="006963B5">
        <w:rPr>
          <w:rFonts w:cstheme="minorHAnsi"/>
        </w:rPr>
        <w:t xml:space="preserve"> (Pain et al. 2019</w:t>
      </w:r>
      <w:r w:rsidR="00FB065A" w:rsidRPr="006963B5">
        <w:rPr>
          <w:rFonts w:cstheme="minorHAnsi"/>
        </w:rPr>
        <w:t>b</w:t>
      </w:r>
      <w:r w:rsidRPr="006963B5">
        <w:rPr>
          <w:rFonts w:cstheme="minorHAnsi"/>
        </w:rPr>
        <w:t>; Krone 2018). Apex predatory mammals such as bears (</w:t>
      </w:r>
      <w:proofErr w:type="spellStart"/>
      <w:r w:rsidRPr="006963B5">
        <w:rPr>
          <w:rFonts w:cstheme="minorHAnsi"/>
          <w:i/>
        </w:rPr>
        <w:t>Ursus</w:t>
      </w:r>
      <w:proofErr w:type="spellEnd"/>
      <w:r w:rsidRPr="006963B5">
        <w:rPr>
          <w:rFonts w:cstheme="minorHAnsi"/>
          <w:i/>
        </w:rPr>
        <w:t xml:space="preserve"> spp.)</w:t>
      </w:r>
      <w:r w:rsidRPr="006963B5">
        <w:rPr>
          <w:rFonts w:cstheme="minorHAnsi"/>
        </w:rPr>
        <w:t xml:space="preserve"> also scavenge the remains of large game animal kills</w:t>
      </w:r>
      <w:r w:rsidR="00F52EF8" w:rsidRPr="006963B5">
        <w:rPr>
          <w:rFonts w:cstheme="minorHAnsi"/>
        </w:rPr>
        <w:t xml:space="preserve"> and so may also be at risk</w:t>
      </w:r>
      <w:r w:rsidRPr="006963B5">
        <w:rPr>
          <w:rFonts w:cstheme="minorHAnsi"/>
        </w:rPr>
        <w:t xml:space="preserve"> (</w:t>
      </w:r>
      <w:proofErr w:type="spellStart"/>
      <w:r w:rsidRPr="006963B5">
        <w:rPr>
          <w:rFonts w:cstheme="minorHAnsi"/>
        </w:rPr>
        <w:t>Legagneux</w:t>
      </w:r>
      <w:proofErr w:type="spellEnd"/>
      <w:r w:rsidRPr="006963B5">
        <w:rPr>
          <w:rFonts w:cstheme="minorHAnsi"/>
        </w:rPr>
        <w:t xml:space="preserve"> et al. 2014).The voluntary use of non-lead rifle ammunition in some parts of the USA has been related to reductions in lead exposure and ingestion by raptors (Kelly et al. 2011)</w:t>
      </w:r>
      <w:r w:rsidR="00E21717" w:rsidRPr="006963B5">
        <w:rPr>
          <w:rFonts w:cstheme="minorHAnsi"/>
        </w:rPr>
        <w:t>. A similar change</w:t>
      </w:r>
      <w:r w:rsidRPr="006963B5">
        <w:rPr>
          <w:rFonts w:cstheme="minorHAnsi"/>
        </w:rPr>
        <w:t xml:space="preserve"> would </w:t>
      </w:r>
      <w:r w:rsidR="00E21717" w:rsidRPr="006963B5">
        <w:rPr>
          <w:rFonts w:cstheme="minorHAnsi"/>
        </w:rPr>
        <w:t>probably have beneficial</w:t>
      </w:r>
      <w:r w:rsidRPr="006963B5">
        <w:rPr>
          <w:rFonts w:cstheme="minorHAnsi"/>
        </w:rPr>
        <w:t xml:space="preserve"> effects were it introduced in Europe. Preventing lead exposure and </w:t>
      </w:r>
      <w:proofErr w:type="spellStart"/>
      <w:r w:rsidRPr="006963B5">
        <w:rPr>
          <w:rFonts w:cstheme="minorHAnsi"/>
        </w:rPr>
        <w:t>toxicosis</w:t>
      </w:r>
      <w:proofErr w:type="spellEnd"/>
      <w:r w:rsidRPr="006963B5">
        <w:rPr>
          <w:rFonts w:cstheme="minorHAnsi"/>
        </w:rPr>
        <w:t xml:space="preserve"> in scavenging species has been the main</w:t>
      </w:r>
      <w:r w:rsidR="004875E5" w:rsidRPr="006963B5">
        <w:rPr>
          <w:rFonts w:cstheme="minorHAnsi"/>
        </w:rPr>
        <w:t xml:space="preserve"> justification</w:t>
      </w:r>
      <w:r w:rsidRPr="006963B5">
        <w:rPr>
          <w:rFonts w:cstheme="minorHAnsi"/>
          <w:i/>
        </w:rPr>
        <w:t xml:space="preserve"> </w:t>
      </w:r>
      <w:r w:rsidRPr="006963B5">
        <w:rPr>
          <w:rFonts w:cstheme="minorHAnsi"/>
        </w:rPr>
        <w:t>for passing</w:t>
      </w:r>
      <w:r w:rsidRPr="006963B5">
        <w:rPr>
          <w:rFonts w:cstheme="minorHAnsi"/>
          <w:i/>
        </w:rPr>
        <w:t xml:space="preserve"> </w:t>
      </w:r>
      <w:r w:rsidRPr="006963B5">
        <w:rPr>
          <w:rFonts w:cstheme="minorHAnsi"/>
        </w:rPr>
        <w:t>federal laws requiring the use of non-lead shot for hunting waterfowl throughout the USA (1991) and Canada (1999)</w:t>
      </w:r>
      <w:r w:rsidR="00E854E5" w:rsidRPr="006963B5">
        <w:rPr>
          <w:rFonts w:cstheme="minorHAnsi"/>
        </w:rPr>
        <w:t xml:space="preserve"> (Thomas et al. 2019)</w:t>
      </w:r>
      <w:r w:rsidRPr="006963B5">
        <w:rPr>
          <w:rFonts w:cstheme="minorHAnsi"/>
        </w:rPr>
        <w:t xml:space="preserve">. </w:t>
      </w:r>
      <w:r w:rsidR="00464BCE" w:rsidRPr="006963B5">
        <w:rPr>
          <w:rFonts w:cstheme="minorHAnsi"/>
          <w:color w:val="FF0000"/>
        </w:rPr>
        <w:t xml:space="preserve">  </w:t>
      </w:r>
      <w:r w:rsidRPr="006963B5">
        <w:rPr>
          <w:rFonts w:cstheme="minorHAnsi"/>
        </w:rPr>
        <w:t xml:space="preserve"> </w:t>
      </w:r>
      <w:r w:rsidR="004875E5" w:rsidRPr="006963B5">
        <w:rPr>
          <w:rFonts w:cstheme="minorHAnsi"/>
        </w:rPr>
        <w:t xml:space="preserve">In 2019, </w:t>
      </w:r>
      <w:r w:rsidRPr="006963B5">
        <w:rPr>
          <w:rFonts w:cstheme="minorHAnsi"/>
        </w:rPr>
        <w:t xml:space="preserve">California </w:t>
      </w:r>
      <w:r w:rsidR="004875E5" w:rsidRPr="006963B5">
        <w:rPr>
          <w:rFonts w:cstheme="minorHAnsi"/>
        </w:rPr>
        <w:t>became</w:t>
      </w:r>
      <w:r w:rsidRPr="006963B5">
        <w:rPr>
          <w:rFonts w:cstheme="minorHAnsi"/>
        </w:rPr>
        <w:t xml:space="preserve"> the first state jurisdiction to require non-lead hunting shotgun and rifle ammunition for all types of hunting </w:t>
      </w:r>
      <w:r w:rsidR="009716B5">
        <w:rPr>
          <w:rFonts w:cstheme="minorHAnsi"/>
        </w:rPr>
        <w:t>throughout</w:t>
      </w:r>
      <w:r w:rsidRPr="006963B5">
        <w:rPr>
          <w:rFonts w:cstheme="minorHAnsi"/>
        </w:rPr>
        <w:t xml:space="preserve"> </w:t>
      </w:r>
      <w:r w:rsidR="004875E5" w:rsidRPr="006963B5">
        <w:rPr>
          <w:rFonts w:cstheme="minorHAnsi"/>
        </w:rPr>
        <w:t>the state</w:t>
      </w:r>
      <w:r w:rsidR="009716B5">
        <w:rPr>
          <w:rFonts w:cstheme="minorHAnsi"/>
        </w:rPr>
        <w:t>,</w:t>
      </w:r>
      <w:r w:rsidRPr="006963B5">
        <w:rPr>
          <w:rFonts w:cstheme="minorHAnsi"/>
        </w:rPr>
        <w:t xml:space="preserve"> mainly to prevent lead exposure </w:t>
      </w:r>
      <w:r w:rsidR="004875E5" w:rsidRPr="006963B5">
        <w:rPr>
          <w:rFonts w:cstheme="minorHAnsi"/>
        </w:rPr>
        <w:t>of</w:t>
      </w:r>
      <w:r w:rsidRPr="006963B5">
        <w:rPr>
          <w:rFonts w:cstheme="minorHAnsi"/>
        </w:rPr>
        <w:t xml:space="preserve"> several raptorial species (Thomas et al. 2019). Any regulation of lead use </w:t>
      </w:r>
      <w:r w:rsidR="004875E5" w:rsidRPr="006963B5">
        <w:rPr>
          <w:rFonts w:cstheme="minorHAnsi"/>
        </w:rPr>
        <w:t xml:space="preserve">intended </w:t>
      </w:r>
      <w:r w:rsidRPr="006963B5">
        <w:rPr>
          <w:rFonts w:cstheme="minorHAnsi"/>
        </w:rPr>
        <w:t>to protect human health would have a simultaneous and positive effect on the health of all scavenging species, especially raptor</w:t>
      </w:r>
      <w:r w:rsidR="004875E5" w:rsidRPr="006963B5">
        <w:rPr>
          <w:rFonts w:cstheme="minorHAnsi"/>
        </w:rPr>
        <w:t>s</w:t>
      </w:r>
      <w:r w:rsidRPr="006963B5">
        <w:rPr>
          <w:rFonts w:cstheme="minorHAnsi"/>
        </w:rPr>
        <w:t>.</w:t>
      </w:r>
    </w:p>
    <w:p w14:paraId="5889F0A6" w14:textId="77777777" w:rsidR="00217CD7" w:rsidRPr="006963B5" w:rsidRDefault="00217CD7" w:rsidP="00AE33FC">
      <w:pPr>
        <w:spacing w:line="480" w:lineRule="auto"/>
        <w:rPr>
          <w:rFonts w:cs="Times New Roman"/>
          <w:b/>
        </w:rPr>
      </w:pPr>
    </w:p>
    <w:p w14:paraId="67D5F6C1" w14:textId="1885BA79" w:rsidR="001F1D17" w:rsidRPr="006963B5" w:rsidRDefault="004875E5" w:rsidP="00AE33FC">
      <w:pPr>
        <w:spacing w:line="480" w:lineRule="auto"/>
        <w:rPr>
          <w:rFonts w:cs="Times New Roman"/>
          <w:b/>
        </w:rPr>
      </w:pPr>
      <w:r w:rsidRPr="006963B5">
        <w:rPr>
          <w:rFonts w:cs="Times New Roman"/>
          <w:b/>
        </w:rPr>
        <w:t xml:space="preserve">POTENTIAL EFFECTS OF AN AMENDMENT OF </w:t>
      </w:r>
      <w:r w:rsidR="000A4AEA" w:rsidRPr="006963B5">
        <w:rPr>
          <w:rFonts w:cs="Times New Roman"/>
          <w:b/>
        </w:rPr>
        <w:t>EUROPEAN COMMISSION REGULATIONS DEALING WITH LEAD IN MEAT</w:t>
      </w:r>
    </w:p>
    <w:p w14:paraId="236A944E" w14:textId="754C1FFB" w:rsidR="005225B4" w:rsidRPr="006963B5" w:rsidRDefault="0094621E" w:rsidP="006270CE">
      <w:pPr>
        <w:spacing w:line="480" w:lineRule="auto"/>
        <w:rPr>
          <w:rFonts w:eastAsia="Times New Roman" w:cs="Times New Roman"/>
          <w:color w:val="000000"/>
          <w:lang w:eastAsia="en-GB"/>
        </w:rPr>
      </w:pPr>
      <w:r w:rsidRPr="006963B5">
        <w:rPr>
          <w:rFonts w:cs="Times New Roman"/>
          <w:b/>
        </w:rPr>
        <w:tab/>
      </w:r>
      <w:r w:rsidRPr="006963B5">
        <w:rPr>
          <w:rFonts w:eastAsia="Times New Roman" w:cs="Times New Roman"/>
          <w:lang w:eastAsia="en-GB"/>
        </w:rPr>
        <w:t>Although exposure of humans to elevated levels of dietary lead derived from ammunition has been known for decad</w:t>
      </w:r>
      <w:r w:rsidR="00DC127B" w:rsidRPr="006963B5">
        <w:rPr>
          <w:rFonts w:eastAsia="Times New Roman" w:cs="Times New Roman"/>
          <w:lang w:eastAsia="en-GB"/>
        </w:rPr>
        <w:t xml:space="preserve">es, this </w:t>
      </w:r>
      <w:r w:rsidR="004875E5" w:rsidRPr="006963B5">
        <w:rPr>
          <w:rFonts w:eastAsia="Times New Roman" w:cs="Times New Roman"/>
          <w:lang w:eastAsia="en-GB"/>
        </w:rPr>
        <w:t xml:space="preserve">exposure </w:t>
      </w:r>
      <w:r w:rsidR="00DC127B" w:rsidRPr="006963B5">
        <w:rPr>
          <w:rFonts w:eastAsia="Times New Roman" w:cs="Times New Roman"/>
          <w:lang w:eastAsia="en-GB"/>
        </w:rPr>
        <w:t>pathway is</w:t>
      </w:r>
      <w:r w:rsidRPr="006963B5">
        <w:rPr>
          <w:rFonts w:eastAsia="Times New Roman" w:cs="Times New Roman"/>
          <w:lang w:eastAsia="en-GB"/>
        </w:rPr>
        <w:t xml:space="preserve"> absent from the Codex </w:t>
      </w:r>
      <w:proofErr w:type="spellStart"/>
      <w:r w:rsidRPr="006963B5">
        <w:rPr>
          <w:rFonts w:eastAsia="Times New Roman" w:cs="Times New Roman"/>
          <w:lang w:eastAsia="en-GB"/>
        </w:rPr>
        <w:t>Alimentarius</w:t>
      </w:r>
      <w:proofErr w:type="spellEnd"/>
      <w:r w:rsidRPr="006963B5">
        <w:rPr>
          <w:rFonts w:eastAsia="Times New Roman" w:cs="Times New Roman"/>
          <w:lang w:eastAsia="en-GB"/>
        </w:rPr>
        <w:t xml:space="preserve"> Code of Practice on reducing exposure to lead in food (Cod</w:t>
      </w:r>
      <w:r w:rsidR="00BE3680" w:rsidRPr="006963B5">
        <w:rPr>
          <w:rFonts w:eastAsia="Times New Roman" w:cs="Times New Roman"/>
          <w:lang w:eastAsia="en-GB"/>
        </w:rPr>
        <w:t xml:space="preserve">ex </w:t>
      </w:r>
      <w:proofErr w:type="spellStart"/>
      <w:r w:rsidR="00BE3680" w:rsidRPr="006963B5">
        <w:rPr>
          <w:rFonts w:eastAsia="Times New Roman" w:cs="Times New Roman"/>
          <w:lang w:eastAsia="en-GB"/>
        </w:rPr>
        <w:t>Alimentarius</w:t>
      </w:r>
      <w:proofErr w:type="spellEnd"/>
      <w:r w:rsidR="00BE3680" w:rsidRPr="006963B5">
        <w:rPr>
          <w:rFonts w:eastAsia="Times New Roman" w:cs="Times New Roman"/>
          <w:lang w:eastAsia="en-GB"/>
        </w:rPr>
        <w:t xml:space="preserve"> 2004) and no ML</w:t>
      </w:r>
      <w:r w:rsidRPr="006963B5">
        <w:rPr>
          <w:rFonts w:eastAsia="Times New Roman" w:cs="Times New Roman"/>
          <w:lang w:eastAsia="en-GB"/>
        </w:rPr>
        <w:t xml:space="preserve"> for lead in human foodstuffs derived from wild shot game animals is set in the Codex </w:t>
      </w:r>
      <w:proofErr w:type="spellStart"/>
      <w:r w:rsidRPr="006963B5">
        <w:rPr>
          <w:rFonts w:eastAsia="Times New Roman" w:cs="Times New Roman"/>
          <w:lang w:eastAsia="en-GB"/>
        </w:rPr>
        <w:t>Alimentarius</w:t>
      </w:r>
      <w:proofErr w:type="spellEnd"/>
      <w:r w:rsidRPr="006963B5">
        <w:rPr>
          <w:rFonts w:eastAsia="Times New Roman" w:cs="Times New Roman"/>
          <w:lang w:eastAsia="en-GB"/>
        </w:rPr>
        <w:t xml:space="preserve"> General Standard for Contaminants and Toxins (Codex </w:t>
      </w:r>
      <w:proofErr w:type="spellStart"/>
      <w:r w:rsidRPr="006963B5">
        <w:rPr>
          <w:rFonts w:eastAsia="Times New Roman" w:cs="Times New Roman"/>
          <w:lang w:eastAsia="en-GB"/>
        </w:rPr>
        <w:t>Alimentarius</w:t>
      </w:r>
      <w:proofErr w:type="spellEnd"/>
      <w:r w:rsidRPr="006963B5">
        <w:rPr>
          <w:rFonts w:eastAsia="Times New Roman" w:cs="Times New Roman"/>
          <w:lang w:eastAsia="en-GB"/>
        </w:rPr>
        <w:t xml:space="preserve"> 2018).  </w:t>
      </w:r>
      <w:r w:rsidR="00DC127B" w:rsidRPr="006963B5">
        <w:rPr>
          <w:rFonts w:eastAsia="Times New Roman" w:cs="Times New Roman"/>
          <w:color w:val="000000"/>
          <w:lang w:eastAsia="en-GB"/>
        </w:rPr>
        <w:t xml:space="preserve">It is difficult to understand why the ammunition </w:t>
      </w:r>
      <w:r w:rsidR="00DC127B" w:rsidRPr="006963B5">
        <w:rPr>
          <w:rFonts w:eastAsia="Times New Roman" w:cs="Times New Roman"/>
          <w:color w:val="000000"/>
          <w:lang w:eastAsia="en-GB"/>
        </w:rPr>
        <w:lastRenderedPageBreak/>
        <w:t xml:space="preserve">route of exposure to dietary lead has not been mentioned within Codex </w:t>
      </w:r>
      <w:proofErr w:type="spellStart"/>
      <w:r w:rsidR="00DC127B" w:rsidRPr="006963B5">
        <w:rPr>
          <w:rFonts w:eastAsia="Times New Roman" w:cs="Times New Roman"/>
          <w:color w:val="000000"/>
          <w:lang w:eastAsia="en-GB"/>
        </w:rPr>
        <w:t>Alimentarius</w:t>
      </w:r>
      <w:proofErr w:type="spellEnd"/>
      <w:r w:rsidR="00DC127B" w:rsidRPr="006963B5">
        <w:rPr>
          <w:rFonts w:eastAsia="Times New Roman" w:cs="Times New Roman"/>
          <w:color w:val="000000"/>
          <w:lang w:eastAsia="en-GB"/>
        </w:rPr>
        <w:t xml:space="preserve"> and why MLs have not been set for game, given that levels of exposure</w:t>
      </w:r>
      <w:r w:rsidR="00566870" w:rsidRPr="006963B5">
        <w:rPr>
          <w:rFonts w:eastAsia="Times New Roman" w:cs="Times New Roman"/>
          <w:color w:val="000000"/>
          <w:lang w:eastAsia="en-GB"/>
        </w:rPr>
        <w:t xml:space="preserve"> </w:t>
      </w:r>
      <w:r w:rsidR="004875E5" w:rsidRPr="006963B5">
        <w:rPr>
          <w:rFonts w:eastAsia="Times New Roman" w:cs="Times New Roman"/>
          <w:color w:val="000000"/>
          <w:lang w:eastAsia="en-GB"/>
        </w:rPr>
        <w:t>in frequent consumers of game meat shot</w:t>
      </w:r>
      <w:r w:rsidR="00566870" w:rsidRPr="006963B5">
        <w:rPr>
          <w:rFonts w:eastAsia="Times New Roman" w:cs="Times New Roman"/>
          <w:color w:val="000000"/>
          <w:lang w:eastAsia="en-GB"/>
        </w:rPr>
        <w:t xml:space="preserve"> with lead ammunition</w:t>
      </w:r>
      <w:r w:rsidR="00DC127B" w:rsidRPr="006963B5">
        <w:rPr>
          <w:rFonts w:eastAsia="Times New Roman" w:cs="Times New Roman"/>
          <w:color w:val="000000"/>
          <w:lang w:eastAsia="en-GB"/>
        </w:rPr>
        <w:t xml:space="preserve"> are high</w:t>
      </w:r>
      <w:r w:rsidR="00566870" w:rsidRPr="006963B5">
        <w:rPr>
          <w:rFonts w:eastAsia="Times New Roman" w:cs="Times New Roman"/>
          <w:color w:val="000000"/>
          <w:lang w:eastAsia="en-GB"/>
        </w:rPr>
        <w:t>.</w:t>
      </w:r>
      <w:r w:rsidR="00DC127B" w:rsidRPr="006963B5">
        <w:rPr>
          <w:rFonts w:eastAsia="Times New Roman" w:cs="Times New Roman"/>
          <w:color w:val="000000"/>
          <w:lang w:eastAsia="en-GB"/>
        </w:rPr>
        <w:t xml:space="preserve"> </w:t>
      </w:r>
    </w:p>
    <w:p w14:paraId="3F4A8F18" w14:textId="26F52B42" w:rsidR="005225B4" w:rsidRPr="006963B5" w:rsidRDefault="00AC5AB4" w:rsidP="00A05DEC">
      <w:pPr>
        <w:spacing w:line="480" w:lineRule="auto"/>
        <w:ind w:firstLine="720"/>
        <w:rPr>
          <w:rFonts w:eastAsia="Times New Roman" w:cs="Times New Roman"/>
          <w:color w:val="000000"/>
          <w:lang w:eastAsia="en-GB"/>
        </w:rPr>
      </w:pPr>
      <w:r>
        <w:rPr>
          <w:rFonts w:eastAsia="Times New Roman" w:cs="Times New Roman"/>
          <w:color w:val="000000"/>
          <w:lang w:eastAsia="en-GB"/>
        </w:rPr>
        <w:t>T</w:t>
      </w:r>
      <w:r w:rsidR="00DC127B" w:rsidRPr="006963B5">
        <w:rPr>
          <w:rFonts w:eastAsia="Times New Roman" w:cs="Times New Roman"/>
          <w:color w:val="000000"/>
          <w:lang w:eastAsia="en-GB"/>
        </w:rPr>
        <w:t xml:space="preserve">his important exposure route needs to be acknowledged </w:t>
      </w:r>
      <w:r w:rsidR="007247F7" w:rsidRPr="006963B5">
        <w:rPr>
          <w:rFonts w:eastAsia="Times New Roman" w:cs="Times New Roman"/>
          <w:color w:val="000000"/>
          <w:lang w:eastAsia="en-GB"/>
        </w:rPr>
        <w:t xml:space="preserve">(Taggart et al. 2011) </w:t>
      </w:r>
      <w:r w:rsidR="00DC127B" w:rsidRPr="006963B5">
        <w:rPr>
          <w:rFonts w:eastAsia="Times New Roman" w:cs="Times New Roman"/>
          <w:color w:val="000000"/>
          <w:lang w:eastAsia="en-GB"/>
        </w:rPr>
        <w:t>and health protective measures put in place.</w:t>
      </w:r>
      <w:r w:rsidR="007247F7" w:rsidRPr="006963B5">
        <w:rPr>
          <w:rFonts w:eastAsia="Times New Roman" w:cs="Times New Roman"/>
          <w:color w:val="000000"/>
          <w:lang w:eastAsia="en-GB"/>
        </w:rPr>
        <w:t xml:space="preserve"> Taggart et al. (2011) noted the large discrepancy between what is legally considered to be safe in terms of lead content of European foods and what is actually present in wild game meats</w:t>
      </w:r>
      <w:r w:rsidR="00CF1AF5" w:rsidRPr="006963B5">
        <w:rPr>
          <w:rFonts w:eastAsia="Times New Roman" w:cs="Times New Roman"/>
          <w:color w:val="000000"/>
          <w:lang w:eastAsia="en-GB"/>
        </w:rPr>
        <w:t xml:space="preserve">. </w:t>
      </w:r>
      <w:r w:rsidR="0094621E" w:rsidRPr="006963B5">
        <w:rPr>
          <w:rFonts w:eastAsia="Times New Roman" w:cs="Times New Roman"/>
          <w:lang w:eastAsia="en-GB"/>
        </w:rPr>
        <w:t xml:space="preserve">EC Regulation 1881/2006 does not set Maximum </w:t>
      </w:r>
      <w:r w:rsidR="00216B77" w:rsidRPr="006963B5">
        <w:rPr>
          <w:rFonts w:eastAsia="Times New Roman" w:cs="Times New Roman"/>
          <w:lang w:eastAsia="en-GB"/>
        </w:rPr>
        <w:t xml:space="preserve">Levels (MLs) of lead in </w:t>
      </w:r>
      <w:r>
        <w:rPr>
          <w:rFonts w:eastAsia="Times New Roman" w:cs="Times New Roman"/>
          <w:lang w:eastAsia="en-GB"/>
        </w:rPr>
        <w:t xml:space="preserve">game </w:t>
      </w:r>
      <w:r w:rsidR="00216B77" w:rsidRPr="006963B5">
        <w:rPr>
          <w:rFonts w:eastAsia="Times New Roman" w:cs="Times New Roman"/>
          <w:lang w:eastAsia="en-GB"/>
        </w:rPr>
        <w:t>meat</w:t>
      </w:r>
      <w:r>
        <w:rPr>
          <w:rFonts w:eastAsia="Times New Roman" w:cs="Times New Roman"/>
          <w:lang w:eastAsia="en-GB"/>
        </w:rPr>
        <w:t>s</w:t>
      </w:r>
      <w:r w:rsidR="0094621E" w:rsidRPr="006963B5">
        <w:rPr>
          <w:rFonts w:eastAsia="Times New Roman" w:cs="Times New Roman"/>
          <w:lang w:eastAsia="en-GB"/>
        </w:rPr>
        <w:t xml:space="preserve"> </w:t>
      </w:r>
      <w:r w:rsidR="00DC127B" w:rsidRPr="006963B5">
        <w:rPr>
          <w:rFonts w:eastAsia="Times New Roman" w:cs="Times New Roman"/>
          <w:lang w:eastAsia="en-GB"/>
        </w:rPr>
        <w:t>(EC 2006)</w:t>
      </w:r>
      <w:r w:rsidR="0094621E" w:rsidRPr="006963B5">
        <w:rPr>
          <w:rFonts w:eastAsia="Times New Roman" w:cs="Times New Roman"/>
          <w:lang w:eastAsia="en-GB"/>
        </w:rPr>
        <w:t>.</w:t>
      </w:r>
      <w:r w:rsidR="005225B4" w:rsidRPr="006963B5">
        <w:rPr>
          <w:rFonts w:cs="Times New Roman"/>
        </w:rPr>
        <w:t xml:space="preserve"> </w:t>
      </w:r>
      <w:r>
        <w:rPr>
          <w:rFonts w:cs="Times New Roman"/>
        </w:rPr>
        <w:t xml:space="preserve">This </w:t>
      </w:r>
      <w:r w:rsidR="005225B4" w:rsidRPr="006963B5">
        <w:rPr>
          <w:rFonts w:cs="Times New Roman"/>
        </w:rPr>
        <w:t>may have been because the committees setting these levels assumed:</w:t>
      </w:r>
      <w:r w:rsidR="005225B4" w:rsidRPr="006963B5">
        <w:rPr>
          <w:rFonts w:eastAsia="Times New Roman" w:cs="Times New Roman"/>
          <w:color w:val="000000"/>
          <w:lang w:eastAsia="en-GB"/>
        </w:rPr>
        <w:t xml:space="preserve"> </w:t>
      </w:r>
      <w:r w:rsidR="005225B4" w:rsidRPr="006963B5">
        <w:rPr>
          <w:rFonts w:cs="Times New Roman"/>
        </w:rPr>
        <w:t xml:space="preserve">(1) that lead projectiles would remain intact, and therefore present little risk to consumers who would remove </w:t>
      </w:r>
      <w:r w:rsidR="004875E5" w:rsidRPr="006963B5">
        <w:rPr>
          <w:rFonts w:cs="Times New Roman"/>
        </w:rPr>
        <w:t>projectiles</w:t>
      </w:r>
      <w:r w:rsidR="005225B4" w:rsidRPr="006963B5">
        <w:rPr>
          <w:rFonts w:cs="Times New Roman"/>
        </w:rPr>
        <w:t xml:space="preserve"> from food at the table</w:t>
      </w:r>
      <w:r w:rsidR="005225B4" w:rsidRPr="006963B5">
        <w:rPr>
          <w:rFonts w:eastAsia="Times New Roman" w:cs="Times New Roman"/>
          <w:color w:val="000000"/>
          <w:lang w:eastAsia="en-GB"/>
        </w:rPr>
        <w:t xml:space="preserve"> and/or </w:t>
      </w:r>
      <w:r w:rsidR="005225B4" w:rsidRPr="006963B5">
        <w:rPr>
          <w:rFonts w:cs="Times New Roman"/>
        </w:rPr>
        <w:t>(2) that relatively few people eat wild game frequently.</w:t>
      </w:r>
      <w:r w:rsidR="005225B4" w:rsidRPr="006963B5">
        <w:rPr>
          <w:rFonts w:eastAsia="Times New Roman" w:cs="Times New Roman"/>
          <w:color w:val="000000"/>
          <w:lang w:eastAsia="en-GB"/>
        </w:rPr>
        <w:t xml:space="preserve"> </w:t>
      </w:r>
      <w:r w:rsidR="005225B4" w:rsidRPr="006963B5">
        <w:rPr>
          <w:rFonts w:cs="Times New Roman"/>
        </w:rPr>
        <w:t xml:space="preserve">Recent research has shown that neither of these assumptions </w:t>
      </w:r>
      <w:r w:rsidR="00CF1AF5" w:rsidRPr="006963B5">
        <w:rPr>
          <w:rFonts w:cs="Times New Roman"/>
        </w:rPr>
        <w:t xml:space="preserve">is </w:t>
      </w:r>
      <w:r w:rsidR="005225B4" w:rsidRPr="006963B5">
        <w:rPr>
          <w:rFonts w:cs="Times New Roman"/>
        </w:rPr>
        <w:t>correct</w:t>
      </w:r>
      <w:r w:rsidR="00A05DEC" w:rsidRPr="006963B5">
        <w:rPr>
          <w:rFonts w:cs="Times New Roman"/>
        </w:rPr>
        <w:t>. Firstly,</w:t>
      </w:r>
      <w:r w:rsidR="00A05DEC" w:rsidRPr="006963B5">
        <w:rPr>
          <w:rFonts w:eastAsia="Times New Roman" w:cs="Times New Roman"/>
          <w:color w:val="000000"/>
          <w:lang w:eastAsia="en-GB"/>
        </w:rPr>
        <w:t xml:space="preserve"> because</w:t>
      </w:r>
      <w:r w:rsidR="005225B4" w:rsidRPr="006963B5">
        <w:rPr>
          <w:rFonts w:eastAsia="Times New Roman" w:cs="Times New Roman"/>
          <w:color w:val="000000"/>
          <w:lang w:eastAsia="en-GB"/>
        </w:rPr>
        <w:t xml:space="preserve"> l</w:t>
      </w:r>
      <w:r w:rsidR="005225B4" w:rsidRPr="006963B5">
        <w:rPr>
          <w:rFonts w:cs="Times New Roman"/>
        </w:rPr>
        <w:t xml:space="preserve">ead bullets and gunshot pellets </w:t>
      </w:r>
      <w:r w:rsidR="00A05DEC" w:rsidRPr="006963B5">
        <w:rPr>
          <w:rFonts w:cs="Times New Roman"/>
        </w:rPr>
        <w:t xml:space="preserve">often </w:t>
      </w:r>
      <w:r w:rsidR="005225B4" w:rsidRPr="006963B5">
        <w:rPr>
          <w:rFonts w:cs="Times New Roman"/>
        </w:rPr>
        <w:t>fragment on impact leaving behind tiny lead particles</w:t>
      </w:r>
      <w:r w:rsidR="00A05DEC" w:rsidRPr="006963B5">
        <w:rPr>
          <w:rFonts w:cs="Times New Roman"/>
        </w:rPr>
        <w:t>, their r</w:t>
      </w:r>
      <w:r w:rsidR="005225B4" w:rsidRPr="006963B5">
        <w:rPr>
          <w:rFonts w:cs="Times New Roman"/>
        </w:rPr>
        <w:t xml:space="preserve">emoval is not practical in small game animals like gamebirds </w:t>
      </w:r>
      <w:r w:rsidR="00A05DEC" w:rsidRPr="006963B5">
        <w:rPr>
          <w:rFonts w:cs="Times New Roman"/>
        </w:rPr>
        <w:t>(</w:t>
      </w:r>
      <w:r w:rsidR="005225B4" w:rsidRPr="006963B5">
        <w:rPr>
          <w:rFonts w:cs="Times New Roman"/>
        </w:rPr>
        <w:t xml:space="preserve">Green </w:t>
      </w:r>
      <w:r w:rsidR="00ED33F1" w:rsidRPr="006963B5">
        <w:rPr>
          <w:rFonts w:cs="Times New Roman"/>
        </w:rPr>
        <w:t>and</w:t>
      </w:r>
      <w:r w:rsidR="005225B4" w:rsidRPr="006963B5">
        <w:rPr>
          <w:rFonts w:cs="Times New Roman"/>
        </w:rPr>
        <w:t xml:space="preserve"> Pain 2019)</w:t>
      </w:r>
      <w:r w:rsidR="004875E5" w:rsidRPr="006963B5">
        <w:rPr>
          <w:rFonts w:cs="Times New Roman"/>
        </w:rPr>
        <w:t>. I</w:t>
      </w:r>
      <w:r w:rsidR="005225B4" w:rsidRPr="006963B5">
        <w:rPr>
          <w:rFonts w:cs="Times New Roman"/>
        </w:rPr>
        <w:t xml:space="preserve">n large game animals like deer, shot with bullets, </w:t>
      </w:r>
      <w:r w:rsidR="004875E5" w:rsidRPr="006963B5">
        <w:rPr>
          <w:rFonts w:cs="Times New Roman"/>
        </w:rPr>
        <w:t xml:space="preserve">removal of contaminated tissue </w:t>
      </w:r>
      <w:r w:rsidR="005225B4" w:rsidRPr="006963B5">
        <w:rPr>
          <w:rFonts w:cs="Times New Roman"/>
        </w:rPr>
        <w:t>results in considerable meat wastage</w:t>
      </w:r>
      <w:r w:rsidR="00216B77" w:rsidRPr="006963B5">
        <w:rPr>
          <w:rFonts w:cs="Times New Roman"/>
        </w:rPr>
        <w:t xml:space="preserve">. </w:t>
      </w:r>
      <w:r>
        <w:rPr>
          <w:rFonts w:cs="Times New Roman"/>
        </w:rPr>
        <w:t xml:space="preserve"> After removal of large visible lead fragments in gamebirds prior to cooking, lead levels in the meat were</w:t>
      </w:r>
      <w:r w:rsidR="00552D81">
        <w:rPr>
          <w:rFonts w:cs="Times New Roman"/>
        </w:rPr>
        <w:t xml:space="preserve"> </w:t>
      </w:r>
      <w:r w:rsidR="005225B4" w:rsidRPr="006963B5">
        <w:rPr>
          <w:rFonts w:cs="Times New Roman"/>
        </w:rPr>
        <w:t xml:space="preserve">still on average, more than an order of magnitude </w:t>
      </w:r>
      <w:r w:rsidR="004875E5" w:rsidRPr="006963B5">
        <w:rPr>
          <w:rFonts w:cs="Times New Roman"/>
        </w:rPr>
        <w:t xml:space="preserve">above </w:t>
      </w:r>
      <w:r w:rsidR="005225B4" w:rsidRPr="006963B5">
        <w:rPr>
          <w:rFonts w:cs="Times New Roman"/>
        </w:rPr>
        <w:t xml:space="preserve">the </w:t>
      </w:r>
      <w:r w:rsidR="00552D81">
        <w:rPr>
          <w:rFonts w:cs="Times New Roman"/>
        </w:rPr>
        <w:t xml:space="preserve">EU </w:t>
      </w:r>
      <w:r w:rsidR="005225B4" w:rsidRPr="006963B5">
        <w:rPr>
          <w:rFonts w:cs="Times New Roman"/>
        </w:rPr>
        <w:t xml:space="preserve">MLs set for the muscle of domestic livestock and poultry (Pain et al. 2010).  Even meals made from gamebirds with no </w:t>
      </w:r>
      <w:r w:rsidR="00A05DEC" w:rsidRPr="006963B5">
        <w:rPr>
          <w:rFonts w:cs="Times New Roman"/>
        </w:rPr>
        <w:t>visible</w:t>
      </w:r>
      <w:r w:rsidR="005225B4" w:rsidRPr="006963B5">
        <w:rPr>
          <w:rFonts w:cs="Times New Roman"/>
        </w:rPr>
        <w:t xml:space="preserve"> lead pellets </w:t>
      </w:r>
      <w:r w:rsidR="004875E5" w:rsidRPr="006963B5">
        <w:rPr>
          <w:rFonts w:cs="Times New Roman"/>
        </w:rPr>
        <w:t>or large fragments</w:t>
      </w:r>
      <w:r w:rsidR="005225B4" w:rsidRPr="006963B5">
        <w:rPr>
          <w:rFonts w:cs="Times New Roman"/>
        </w:rPr>
        <w:t xml:space="preserve"> in the carcass often ha</w:t>
      </w:r>
      <w:r w:rsidR="004875E5" w:rsidRPr="006963B5">
        <w:rPr>
          <w:rFonts w:cs="Times New Roman"/>
        </w:rPr>
        <w:t>d</w:t>
      </w:r>
      <w:r w:rsidR="005225B4" w:rsidRPr="006963B5">
        <w:rPr>
          <w:rFonts w:cs="Times New Roman"/>
        </w:rPr>
        <w:t xml:space="preserve"> lead concentrations considerably higher than the MLs set for other meats.</w:t>
      </w:r>
      <w:r w:rsidR="005225B4" w:rsidRPr="006963B5">
        <w:rPr>
          <w:rFonts w:eastAsia="Times New Roman" w:cs="Times New Roman"/>
          <w:color w:val="000000"/>
          <w:lang w:eastAsia="en-GB"/>
        </w:rPr>
        <w:t xml:space="preserve"> Secondly, </w:t>
      </w:r>
      <w:r w:rsidR="005225B4" w:rsidRPr="006963B5">
        <w:rPr>
          <w:rFonts w:cs="Times New Roman"/>
        </w:rPr>
        <w:t xml:space="preserve">food standards generally aim to protect specific consumer groups as well as the general public. Many </w:t>
      </w:r>
      <w:r w:rsidR="00383BF5">
        <w:rPr>
          <w:rFonts w:cs="Times New Roman"/>
        </w:rPr>
        <w:t xml:space="preserve">who </w:t>
      </w:r>
      <w:r w:rsidR="005225B4" w:rsidRPr="006963B5">
        <w:rPr>
          <w:rFonts w:cs="Times New Roman"/>
        </w:rPr>
        <w:t>frequently consume wild game are likely to be sport and subsistence hunters and their families and friends</w:t>
      </w:r>
      <w:r w:rsidR="004875E5" w:rsidRPr="006963B5">
        <w:rPr>
          <w:rFonts w:cs="Times New Roman"/>
        </w:rPr>
        <w:t xml:space="preserve">.  </w:t>
      </w:r>
      <w:r w:rsidR="005225B4" w:rsidRPr="006963B5">
        <w:rPr>
          <w:rFonts w:cs="Times New Roman"/>
        </w:rPr>
        <w:t>In some countries, such as the UK, game animals</w:t>
      </w:r>
      <w:r w:rsidR="00614892" w:rsidRPr="006963B5">
        <w:rPr>
          <w:rFonts w:cs="Times New Roman"/>
        </w:rPr>
        <w:t>, especially gamebirds,</w:t>
      </w:r>
      <w:r w:rsidR="005225B4" w:rsidRPr="006963B5">
        <w:rPr>
          <w:rFonts w:cs="Times New Roman"/>
        </w:rPr>
        <w:t xml:space="preserve"> are often given to employees of game shoots and consumed by them and their families. </w:t>
      </w:r>
      <w:r w:rsidR="00383BF5">
        <w:rPr>
          <w:rFonts w:cs="Times New Roman"/>
        </w:rPr>
        <w:t>T</w:t>
      </w:r>
      <w:r w:rsidR="005225B4" w:rsidRPr="006963B5">
        <w:rPr>
          <w:rFonts w:cs="Times New Roman"/>
        </w:rPr>
        <w:t xml:space="preserve">his represents a form of occupational exposure to lead, which </w:t>
      </w:r>
      <w:r w:rsidR="007B5049">
        <w:rPr>
          <w:rFonts w:cs="Times New Roman"/>
        </w:rPr>
        <w:t>while</w:t>
      </w:r>
      <w:r w:rsidR="005225B4" w:rsidRPr="006963B5">
        <w:rPr>
          <w:rFonts w:cs="Times New Roman"/>
        </w:rPr>
        <w:t xml:space="preserve"> strictly regulated in other contexts</w:t>
      </w:r>
      <w:r w:rsidR="00614892" w:rsidRPr="006963B5">
        <w:rPr>
          <w:rFonts w:cs="Times New Roman"/>
        </w:rPr>
        <w:t xml:space="preserve">, </w:t>
      </w:r>
      <w:r w:rsidR="007B5049">
        <w:rPr>
          <w:rFonts w:cs="Times New Roman"/>
        </w:rPr>
        <w:t>is</w:t>
      </w:r>
      <w:r w:rsidR="00614892" w:rsidRPr="006963B5">
        <w:rPr>
          <w:rFonts w:cs="Times New Roman"/>
        </w:rPr>
        <w:t xml:space="preserve"> not in the case of game shooting</w:t>
      </w:r>
      <w:r w:rsidR="005225B4" w:rsidRPr="006963B5">
        <w:rPr>
          <w:rFonts w:cs="Times New Roman"/>
        </w:rPr>
        <w:t xml:space="preserve">.  Some people may </w:t>
      </w:r>
      <w:r w:rsidR="007B5049">
        <w:rPr>
          <w:rFonts w:cs="Times New Roman"/>
        </w:rPr>
        <w:t>consume</w:t>
      </w:r>
      <w:r w:rsidR="005225B4" w:rsidRPr="006963B5">
        <w:rPr>
          <w:rFonts w:cs="Times New Roman"/>
        </w:rPr>
        <w:t xml:space="preserve"> game for health reasons a</w:t>
      </w:r>
      <w:r w:rsidR="007B5049">
        <w:rPr>
          <w:rFonts w:cs="Times New Roman"/>
        </w:rPr>
        <w:t>nd it</w:t>
      </w:r>
      <w:r w:rsidR="005225B4" w:rsidRPr="006963B5">
        <w:rPr>
          <w:rFonts w:cs="Times New Roman"/>
        </w:rPr>
        <w:t xml:space="preserve"> is widely promoted</w:t>
      </w:r>
      <w:r w:rsidR="007B5049">
        <w:rPr>
          <w:rFonts w:cs="Times New Roman"/>
        </w:rPr>
        <w:t xml:space="preserve"> </w:t>
      </w:r>
      <w:r w:rsidR="007B5049">
        <w:rPr>
          <w:rFonts w:cs="Times New Roman"/>
        </w:rPr>
        <w:lastRenderedPageBreak/>
        <w:t>as such</w:t>
      </w:r>
      <w:r w:rsidR="005225B4" w:rsidRPr="006963B5">
        <w:rPr>
          <w:rFonts w:cs="Times New Roman"/>
        </w:rPr>
        <w:t xml:space="preserve"> in the UK</w:t>
      </w:r>
      <w:r w:rsidR="006A5B02">
        <w:rPr>
          <w:rFonts w:cs="Times New Roman"/>
        </w:rPr>
        <w:t>. Although m</w:t>
      </w:r>
      <w:r w:rsidR="00614892" w:rsidRPr="006963B5">
        <w:rPr>
          <w:rFonts w:cs="Times New Roman"/>
        </w:rPr>
        <w:t xml:space="preserve">any recipes for game are given in websites and literature promoting the consumption of game, most do not include information on removing </w:t>
      </w:r>
      <w:r w:rsidR="006A5B02">
        <w:rPr>
          <w:rFonts w:cs="Times New Roman"/>
        </w:rPr>
        <w:t>lead-</w:t>
      </w:r>
      <w:r w:rsidR="00614892" w:rsidRPr="006963B5">
        <w:rPr>
          <w:rFonts w:cs="Times New Roman"/>
        </w:rPr>
        <w:t xml:space="preserve">contaminated </w:t>
      </w:r>
      <w:r w:rsidR="006A5B02">
        <w:rPr>
          <w:rFonts w:cs="Times New Roman"/>
        </w:rPr>
        <w:t>tissues</w:t>
      </w:r>
      <w:r w:rsidR="00614892" w:rsidRPr="006963B5">
        <w:rPr>
          <w:rFonts w:cs="Times New Roman"/>
        </w:rPr>
        <w:t xml:space="preserve">. </w:t>
      </w:r>
      <w:r w:rsidR="006A5B02">
        <w:rPr>
          <w:rFonts w:cs="Times New Roman"/>
        </w:rPr>
        <w:t>Green and Pain (2019)</w:t>
      </w:r>
      <w:r w:rsidR="005225B4" w:rsidRPr="006963B5">
        <w:rPr>
          <w:rFonts w:cs="Times New Roman"/>
        </w:rPr>
        <w:t xml:space="preserve"> suggest</w:t>
      </w:r>
      <w:r w:rsidR="00614892" w:rsidRPr="006963B5">
        <w:rPr>
          <w:rFonts w:cs="Times New Roman"/>
        </w:rPr>
        <w:t>ed</w:t>
      </w:r>
      <w:r w:rsidR="005225B4" w:rsidRPr="006963B5">
        <w:rPr>
          <w:rFonts w:cs="Times New Roman"/>
        </w:rPr>
        <w:t xml:space="preserve"> that the numbers of people </w:t>
      </w:r>
      <w:r w:rsidR="00614892" w:rsidRPr="006963B5">
        <w:rPr>
          <w:rFonts w:cs="Times New Roman"/>
        </w:rPr>
        <w:t>who</w:t>
      </w:r>
      <w:r w:rsidR="005225B4" w:rsidRPr="006963B5">
        <w:rPr>
          <w:rFonts w:cs="Times New Roman"/>
        </w:rPr>
        <w:t xml:space="preserve"> frequent</w:t>
      </w:r>
      <w:r w:rsidR="003E13F9">
        <w:rPr>
          <w:rFonts w:cs="Times New Roman"/>
        </w:rPr>
        <w:t>ly</w:t>
      </w:r>
      <w:r w:rsidR="005225B4" w:rsidRPr="006963B5">
        <w:rPr>
          <w:rFonts w:cs="Times New Roman"/>
        </w:rPr>
        <w:t xml:space="preserve"> consume wild game are higher than previously  assumed</w:t>
      </w:r>
      <w:r w:rsidR="00614892" w:rsidRPr="006963B5">
        <w:rPr>
          <w:rFonts w:cs="Times New Roman"/>
        </w:rPr>
        <w:t>, perhaps about</w:t>
      </w:r>
      <w:r w:rsidR="005225B4" w:rsidRPr="006963B5">
        <w:rPr>
          <w:rFonts w:cs="Times New Roman"/>
        </w:rPr>
        <w:t xml:space="preserve"> 1% of the population of the EU (c. 5 million people</w:t>
      </w:r>
      <w:r w:rsidR="00614892" w:rsidRPr="006963B5">
        <w:rPr>
          <w:rFonts w:cs="Times New Roman"/>
        </w:rPr>
        <w:t>)</w:t>
      </w:r>
      <w:r w:rsidR="005225B4" w:rsidRPr="006963B5">
        <w:rPr>
          <w:rFonts w:cs="Times New Roman"/>
        </w:rPr>
        <w:t xml:space="preserve">. </w:t>
      </w:r>
      <w:r w:rsidR="003E13F9">
        <w:rPr>
          <w:rFonts w:cs="Times New Roman"/>
        </w:rPr>
        <w:t xml:space="preserve">Those </w:t>
      </w:r>
      <w:r w:rsidR="00275203" w:rsidRPr="006963B5">
        <w:rPr>
          <w:rFonts w:cs="Times New Roman"/>
        </w:rPr>
        <w:t xml:space="preserve">choosing to eat game for ethical or health reasons </w:t>
      </w:r>
      <w:r w:rsidR="003E13F9">
        <w:rPr>
          <w:rFonts w:cs="Times New Roman"/>
        </w:rPr>
        <w:t xml:space="preserve">could </w:t>
      </w:r>
      <w:r w:rsidR="00275203" w:rsidRPr="006963B5">
        <w:rPr>
          <w:rFonts w:cs="Times New Roman"/>
        </w:rPr>
        <w:t xml:space="preserve">purchase it from retailers where a </w:t>
      </w:r>
      <w:r w:rsidR="003E13F9">
        <w:rPr>
          <w:rFonts w:cs="Times New Roman"/>
        </w:rPr>
        <w:t xml:space="preserve">lead </w:t>
      </w:r>
      <w:r w:rsidR="00275203" w:rsidRPr="006963B5">
        <w:rPr>
          <w:rFonts w:cs="Times New Roman"/>
        </w:rPr>
        <w:t>ML could be applied.</w:t>
      </w:r>
    </w:p>
    <w:p w14:paraId="2A6074B2" w14:textId="15AB1CF4" w:rsidR="005225B4" w:rsidRPr="006963B5" w:rsidRDefault="005225B4" w:rsidP="00AE33FC">
      <w:pPr>
        <w:spacing w:line="480" w:lineRule="auto"/>
        <w:ind w:firstLine="720"/>
        <w:rPr>
          <w:rFonts w:cs="Times New Roman"/>
        </w:rPr>
      </w:pPr>
      <w:r w:rsidRPr="006963B5">
        <w:rPr>
          <w:rFonts w:cs="Times New Roman"/>
        </w:rPr>
        <w:t>It m</w:t>
      </w:r>
      <w:r w:rsidR="00614892" w:rsidRPr="006963B5">
        <w:rPr>
          <w:rFonts w:cs="Times New Roman"/>
        </w:rPr>
        <w:t>ight be thought that testing game meat for lead would be difficult</w:t>
      </w:r>
      <w:r w:rsidRPr="006963B5">
        <w:rPr>
          <w:rFonts w:cs="Times New Roman"/>
        </w:rPr>
        <w:t xml:space="preserve"> because lead from ammunition is unevenly distributed across the tissues of wild shot animals, </w:t>
      </w:r>
      <w:r w:rsidR="00614892" w:rsidRPr="006963B5">
        <w:rPr>
          <w:rFonts w:cs="Times New Roman"/>
        </w:rPr>
        <w:t xml:space="preserve">so that </w:t>
      </w:r>
      <w:r w:rsidRPr="006963B5">
        <w:rPr>
          <w:rFonts w:cs="Times New Roman"/>
        </w:rPr>
        <w:t>multiple samples would need to be analysed for comparison with the ML</w:t>
      </w:r>
      <w:r w:rsidR="00614892" w:rsidRPr="006963B5">
        <w:rPr>
          <w:rFonts w:cs="Times New Roman"/>
        </w:rPr>
        <w:t xml:space="preserve">. </w:t>
      </w:r>
      <w:r w:rsidR="00CA2D00">
        <w:rPr>
          <w:rFonts w:cs="Times New Roman"/>
        </w:rPr>
        <w:t>A</w:t>
      </w:r>
      <w:r w:rsidR="00614892" w:rsidRPr="006963B5">
        <w:rPr>
          <w:rFonts w:cs="Times New Roman"/>
        </w:rPr>
        <w:t>ddition</w:t>
      </w:r>
      <w:r w:rsidR="00CA2D00">
        <w:rPr>
          <w:rFonts w:cs="Times New Roman"/>
        </w:rPr>
        <w:t>ally</w:t>
      </w:r>
      <w:r w:rsidR="00614892" w:rsidRPr="006963B5">
        <w:rPr>
          <w:rFonts w:cs="Times New Roman"/>
        </w:rPr>
        <w:t>,</w:t>
      </w:r>
      <w:r w:rsidRPr="006963B5">
        <w:rPr>
          <w:rFonts w:cs="Times New Roman"/>
        </w:rPr>
        <w:t xml:space="preserve"> if </w:t>
      </w:r>
      <w:r w:rsidR="00CA2D00">
        <w:rPr>
          <w:rFonts w:cs="Times New Roman"/>
        </w:rPr>
        <w:t>large lead fragments we</w:t>
      </w:r>
      <w:r w:rsidRPr="006963B5">
        <w:rPr>
          <w:rFonts w:cs="Times New Roman"/>
        </w:rPr>
        <w:t>re present</w:t>
      </w:r>
      <w:r w:rsidR="00D52952" w:rsidRPr="006963B5">
        <w:rPr>
          <w:rFonts w:cs="Times New Roman"/>
        </w:rPr>
        <w:t>,</w:t>
      </w:r>
      <w:r w:rsidRPr="006963B5">
        <w:rPr>
          <w:rFonts w:cs="Times New Roman"/>
        </w:rPr>
        <w:t xml:space="preserve"> the lead levels would be </w:t>
      </w:r>
      <w:r w:rsidR="00614892" w:rsidRPr="006963B5">
        <w:rPr>
          <w:rFonts w:cs="Times New Roman"/>
        </w:rPr>
        <w:t xml:space="preserve">misleadingly </w:t>
      </w:r>
      <w:r w:rsidRPr="006963B5">
        <w:rPr>
          <w:rFonts w:cs="Times New Roman"/>
        </w:rPr>
        <w:t xml:space="preserve">high. However, </w:t>
      </w:r>
      <w:r w:rsidR="00614892" w:rsidRPr="006963B5">
        <w:rPr>
          <w:rFonts w:cs="Times New Roman"/>
        </w:rPr>
        <w:t xml:space="preserve">protocols </w:t>
      </w:r>
      <w:r w:rsidR="004C6D2A" w:rsidRPr="006963B5">
        <w:rPr>
          <w:rFonts w:cs="Times New Roman"/>
        </w:rPr>
        <w:t>are readily available</w:t>
      </w:r>
      <w:r w:rsidR="00614892" w:rsidRPr="006963B5">
        <w:rPr>
          <w:rFonts w:cs="Times New Roman"/>
        </w:rPr>
        <w:t xml:space="preserve"> in which </w:t>
      </w:r>
      <w:r w:rsidRPr="006963B5">
        <w:rPr>
          <w:rFonts w:cs="Times New Roman"/>
        </w:rPr>
        <w:t xml:space="preserve">large particles of ammunition </w:t>
      </w:r>
      <w:r w:rsidR="00614892" w:rsidRPr="006963B5">
        <w:rPr>
          <w:rFonts w:cs="Times New Roman"/>
        </w:rPr>
        <w:t>are</w:t>
      </w:r>
      <w:r w:rsidRPr="006963B5">
        <w:rPr>
          <w:rFonts w:cs="Times New Roman"/>
        </w:rPr>
        <w:t xml:space="preserve"> removed prior to analysis to simulate culinary practice</w:t>
      </w:r>
      <w:r w:rsidR="00EC3F52">
        <w:rPr>
          <w:rFonts w:cs="Times New Roman"/>
        </w:rPr>
        <w:t>s</w:t>
      </w:r>
      <w:r w:rsidR="004C6D2A" w:rsidRPr="006963B5">
        <w:rPr>
          <w:rFonts w:cs="Times New Roman"/>
        </w:rPr>
        <w:t xml:space="preserve"> (Pain et al. 2010)</w:t>
      </w:r>
      <w:r w:rsidRPr="006963B5">
        <w:rPr>
          <w:rFonts w:cs="Times New Roman"/>
        </w:rPr>
        <w:t xml:space="preserve">. </w:t>
      </w:r>
    </w:p>
    <w:p w14:paraId="782ED2EB" w14:textId="77777777" w:rsidR="0094621E" w:rsidRPr="006963B5" w:rsidRDefault="0094621E" w:rsidP="00AE33FC">
      <w:pPr>
        <w:spacing w:after="0" w:line="480" w:lineRule="auto"/>
        <w:rPr>
          <w:rFonts w:eastAsia="Times New Roman" w:cs="Times New Roman"/>
          <w:lang w:eastAsia="en-GB"/>
        </w:rPr>
      </w:pPr>
    </w:p>
    <w:p w14:paraId="375E6E3E" w14:textId="77777777" w:rsidR="0094621E" w:rsidRPr="006963B5" w:rsidRDefault="0094621E" w:rsidP="00AE33FC">
      <w:pPr>
        <w:spacing w:after="0" w:line="480" w:lineRule="auto"/>
        <w:rPr>
          <w:rFonts w:eastAsia="Times New Roman" w:cs="Times New Roman"/>
          <w:lang w:eastAsia="en-GB"/>
        </w:rPr>
      </w:pPr>
      <w:r w:rsidRPr="006963B5">
        <w:rPr>
          <w:rFonts w:eastAsia="Times New Roman" w:cs="Times New Roman"/>
          <w:lang w:eastAsia="en-GB"/>
        </w:rPr>
        <w:tab/>
        <w:t xml:space="preserve">The </w:t>
      </w:r>
      <w:r w:rsidR="00DC127B" w:rsidRPr="006963B5">
        <w:rPr>
          <w:rFonts w:eastAsia="Times New Roman" w:cs="Times New Roman"/>
          <w:lang w:eastAsia="en-GB"/>
        </w:rPr>
        <w:t xml:space="preserve">relevant </w:t>
      </w:r>
      <w:r w:rsidRPr="006963B5">
        <w:rPr>
          <w:rFonts w:eastAsia="Times New Roman" w:cs="Times New Roman"/>
          <w:lang w:eastAsia="en-GB"/>
        </w:rPr>
        <w:t>maximum levels (ML) of lead of concern in European Commission Regulation (EC) 1881/2006, Setting Maximum Levels of Certain Contaminants in Foodstuffs, Annex, Section 3, Metals, Lead, are:</w:t>
      </w:r>
    </w:p>
    <w:p w14:paraId="3CB81784" w14:textId="7598B183" w:rsidR="0094621E" w:rsidRPr="006963B5" w:rsidRDefault="00DC127B" w:rsidP="00AE33FC">
      <w:pPr>
        <w:spacing w:after="0" w:line="480" w:lineRule="auto"/>
        <w:rPr>
          <w:rFonts w:eastAsia="Times New Roman" w:cs="Times New Roman"/>
          <w:lang w:eastAsia="en-GB"/>
        </w:rPr>
      </w:pPr>
      <w:proofErr w:type="gramStart"/>
      <w:r w:rsidRPr="006963B5">
        <w:rPr>
          <w:rFonts w:eastAsia="Times New Roman" w:cs="Times New Roman"/>
          <w:lang w:eastAsia="en-GB"/>
        </w:rPr>
        <w:t>Section 3.1.3.</w:t>
      </w:r>
      <w:proofErr w:type="gramEnd"/>
      <w:r w:rsidRPr="006963B5">
        <w:rPr>
          <w:rFonts w:eastAsia="Times New Roman" w:cs="Times New Roman"/>
          <w:lang w:eastAsia="en-GB"/>
        </w:rPr>
        <w:t xml:space="preserve"> </w:t>
      </w:r>
      <w:proofErr w:type="gramStart"/>
      <w:r w:rsidRPr="006963B5">
        <w:rPr>
          <w:rFonts w:eastAsia="Times New Roman" w:cs="Times New Roman"/>
          <w:lang w:eastAsia="en-GB"/>
        </w:rPr>
        <w:t>Meat (ex</w:t>
      </w:r>
      <w:r w:rsidR="0094621E" w:rsidRPr="006963B5">
        <w:rPr>
          <w:rFonts w:eastAsia="Times New Roman" w:cs="Times New Roman"/>
          <w:lang w:eastAsia="en-GB"/>
        </w:rPr>
        <w:t>cluding offal) of bovine animals, sheep, pigs and poultry (0.10</w:t>
      </w:r>
      <w:r w:rsidRPr="006963B5">
        <w:rPr>
          <w:rFonts w:eastAsia="Times New Roman" w:cs="Times New Roman"/>
          <w:lang w:eastAsia="en-GB"/>
        </w:rPr>
        <w:t xml:space="preserve"> </w:t>
      </w:r>
      <w:r w:rsidR="0094621E" w:rsidRPr="006963B5">
        <w:rPr>
          <w:rFonts w:eastAsia="Times New Roman" w:cs="Times New Roman"/>
          <w:lang w:eastAsia="en-GB"/>
        </w:rPr>
        <w:t>mg/</w:t>
      </w:r>
      <w:r w:rsidR="004C6D2A" w:rsidRPr="006963B5">
        <w:rPr>
          <w:rFonts w:eastAsia="Times New Roman" w:cs="Times New Roman"/>
          <w:lang w:eastAsia="en-GB"/>
        </w:rPr>
        <w:t>k</w:t>
      </w:r>
      <w:r w:rsidR="0094621E" w:rsidRPr="006963B5">
        <w:rPr>
          <w:rFonts w:eastAsia="Times New Roman" w:cs="Times New Roman"/>
          <w:lang w:eastAsia="en-GB"/>
        </w:rPr>
        <w:t>g).</w:t>
      </w:r>
      <w:proofErr w:type="gramEnd"/>
    </w:p>
    <w:p w14:paraId="7D6AF85E" w14:textId="7DDEEA25" w:rsidR="0094621E" w:rsidRPr="006963B5" w:rsidRDefault="0094621E" w:rsidP="00AE33FC">
      <w:pPr>
        <w:spacing w:after="0" w:line="480" w:lineRule="auto"/>
        <w:rPr>
          <w:rFonts w:eastAsia="Times New Roman" w:cs="Times New Roman"/>
          <w:lang w:eastAsia="en-GB"/>
        </w:rPr>
      </w:pPr>
      <w:proofErr w:type="gramStart"/>
      <w:r w:rsidRPr="006963B5">
        <w:rPr>
          <w:rFonts w:eastAsia="Times New Roman" w:cs="Times New Roman"/>
          <w:lang w:eastAsia="en-GB"/>
        </w:rPr>
        <w:t>Section 3.1.4.</w:t>
      </w:r>
      <w:proofErr w:type="gramEnd"/>
      <w:r w:rsidRPr="006963B5">
        <w:rPr>
          <w:rFonts w:eastAsia="Times New Roman" w:cs="Times New Roman"/>
          <w:lang w:eastAsia="en-GB"/>
        </w:rPr>
        <w:t xml:space="preserve"> </w:t>
      </w:r>
      <w:proofErr w:type="gramStart"/>
      <w:r w:rsidRPr="006963B5">
        <w:rPr>
          <w:rFonts w:eastAsia="Times New Roman" w:cs="Times New Roman"/>
          <w:lang w:eastAsia="en-GB"/>
        </w:rPr>
        <w:t>Offal of bovine animals, shee</w:t>
      </w:r>
      <w:r w:rsidR="00662377" w:rsidRPr="006963B5">
        <w:rPr>
          <w:rFonts w:eastAsia="Times New Roman" w:cs="Times New Roman"/>
          <w:lang w:eastAsia="en-GB"/>
        </w:rPr>
        <w:t>p, pigs and poultry (0.50</w:t>
      </w:r>
      <w:r w:rsidR="00DC127B" w:rsidRPr="006963B5">
        <w:rPr>
          <w:rFonts w:eastAsia="Times New Roman" w:cs="Times New Roman"/>
          <w:lang w:eastAsia="en-GB"/>
        </w:rPr>
        <w:t xml:space="preserve"> </w:t>
      </w:r>
      <w:r w:rsidR="00662377" w:rsidRPr="006963B5">
        <w:rPr>
          <w:rFonts w:eastAsia="Times New Roman" w:cs="Times New Roman"/>
          <w:lang w:eastAsia="en-GB"/>
        </w:rPr>
        <w:t>mg/</w:t>
      </w:r>
      <w:r w:rsidR="004C6D2A" w:rsidRPr="006963B5">
        <w:rPr>
          <w:rFonts w:eastAsia="Times New Roman" w:cs="Times New Roman"/>
          <w:lang w:eastAsia="en-GB"/>
        </w:rPr>
        <w:t>k</w:t>
      </w:r>
      <w:r w:rsidR="00662377" w:rsidRPr="006963B5">
        <w:rPr>
          <w:rFonts w:eastAsia="Times New Roman" w:cs="Times New Roman"/>
          <w:lang w:eastAsia="en-GB"/>
        </w:rPr>
        <w:t>g) (EC 2006).</w:t>
      </w:r>
      <w:proofErr w:type="gramEnd"/>
    </w:p>
    <w:p w14:paraId="0BC7310D" w14:textId="77777777" w:rsidR="0094621E" w:rsidRPr="006963B5" w:rsidRDefault="0094621E" w:rsidP="00AE33FC">
      <w:pPr>
        <w:spacing w:after="0" w:line="480" w:lineRule="auto"/>
        <w:rPr>
          <w:rFonts w:eastAsia="Times New Roman" w:cs="Times New Roman"/>
          <w:lang w:eastAsia="en-GB"/>
        </w:rPr>
      </w:pPr>
    </w:p>
    <w:p w14:paraId="73B17FC9" w14:textId="1F6238D6" w:rsidR="0094621E" w:rsidRPr="006963B5" w:rsidRDefault="0094621E" w:rsidP="00AE33FC">
      <w:pPr>
        <w:spacing w:after="0" w:line="480" w:lineRule="auto"/>
        <w:rPr>
          <w:rFonts w:eastAsia="Times New Roman" w:cs="Times New Roman"/>
          <w:lang w:eastAsia="en-GB"/>
        </w:rPr>
      </w:pPr>
      <w:r w:rsidRPr="006963B5">
        <w:rPr>
          <w:rFonts w:eastAsia="Times New Roman" w:cs="Times New Roman"/>
          <w:lang w:eastAsia="en-GB"/>
        </w:rPr>
        <w:t xml:space="preserve">We </w:t>
      </w:r>
      <w:r w:rsidR="004C6D2A" w:rsidRPr="006963B5">
        <w:rPr>
          <w:rFonts w:eastAsia="Times New Roman" w:cs="Times New Roman"/>
          <w:lang w:eastAsia="en-GB"/>
        </w:rPr>
        <w:t>consider below the effects of amending these</w:t>
      </w:r>
      <w:r w:rsidR="007E4E88" w:rsidRPr="006963B5">
        <w:rPr>
          <w:rFonts w:eastAsia="Times New Roman" w:cs="Times New Roman"/>
          <w:lang w:eastAsia="en-GB"/>
        </w:rPr>
        <w:t xml:space="preserve"> Sections to:</w:t>
      </w:r>
    </w:p>
    <w:p w14:paraId="7B802778" w14:textId="58A39AAC" w:rsidR="007E4E88" w:rsidRPr="006963B5" w:rsidRDefault="007E4E88" w:rsidP="00AE33FC">
      <w:pPr>
        <w:spacing w:after="0" w:line="480" w:lineRule="auto"/>
        <w:rPr>
          <w:rFonts w:eastAsia="Times New Roman" w:cs="Times New Roman"/>
          <w:lang w:eastAsia="en-GB"/>
        </w:rPr>
      </w:pPr>
      <w:proofErr w:type="gramStart"/>
      <w:r w:rsidRPr="006963B5">
        <w:rPr>
          <w:rFonts w:eastAsia="Times New Roman" w:cs="Times New Roman"/>
          <w:lang w:eastAsia="en-GB"/>
        </w:rPr>
        <w:t>Section 3.1.3.</w:t>
      </w:r>
      <w:proofErr w:type="gramEnd"/>
      <w:r w:rsidRPr="006963B5">
        <w:rPr>
          <w:rFonts w:eastAsia="Times New Roman" w:cs="Times New Roman"/>
          <w:lang w:eastAsia="en-GB"/>
        </w:rPr>
        <w:t xml:space="preserve"> </w:t>
      </w:r>
      <w:proofErr w:type="gramStart"/>
      <w:r w:rsidRPr="006963B5">
        <w:rPr>
          <w:rFonts w:eastAsia="Times New Roman" w:cs="Times New Roman"/>
          <w:lang w:eastAsia="en-GB"/>
        </w:rPr>
        <w:t>Meat (excluding offal) of bovine animals, sheep, pigs, poultry</w:t>
      </w:r>
      <w:r w:rsidR="00922CB0" w:rsidRPr="006963B5">
        <w:rPr>
          <w:rFonts w:eastAsia="Times New Roman" w:cs="Times New Roman"/>
          <w:lang w:eastAsia="en-GB"/>
        </w:rPr>
        <w:t xml:space="preserve"> </w:t>
      </w:r>
      <w:r w:rsidR="00275203" w:rsidRPr="006963B5">
        <w:rPr>
          <w:rFonts w:eastAsia="Times New Roman" w:cs="Times New Roman"/>
          <w:lang w:eastAsia="en-GB"/>
        </w:rPr>
        <w:t xml:space="preserve">and </w:t>
      </w:r>
      <w:r w:rsidRPr="006963B5">
        <w:rPr>
          <w:rFonts w:eastAsia="Times New Roman" w:cs="Times New Roman"/>
          <w:lang w:eastAsia="en-GB"/>
        </w:rPr>
        <w:t>wild game mammals and birds (0.10</w:t>
      </w:r>
      <w:r w:rsidR="00DC127B" w:rsidRPr="006963B5">
        <w:rPr>
          <w:rFonts w:eastAsia="Times New Roman" w:cs="Times New Roman"/>
          <w:lang w:eastAsia="en-GB"/>
        </w:rPr>
        <w:t xml:space="preserve"> </w:t>
      </w:r>
      <w:r w:rsidRPr="006963B5">
        <w:rPr>
          <w:rFonts w:eastAsia="Times New Roman" w:cs="Times New Roman"/>
          <w:lang w:eastAsia="en-GB"/>
        </w:rPr>
        <w:t>mg/</w:t>
      </w:r>
      <w:r w:rsidR="004C6D2A" w:rsidRPr="006963B5">
        <w:rPr>
          <w:rFonts w:eastAsia="Times New Roman" w:cs="Times New Roman"/>
          <w:lang w:eastAsia="en-GB"/>
        </w:rPr>
        <w:t>k</w:t>
      </w:r>
      <w:r w:rsidRPr="006963B5">
        <w:rPr>
          <w:rFonts w:eastAsia="Times New Roman" w:cs="Times New Roman"/>
          <w:lang w:eastAsia="en-GB"/>
        </w:rPr>
        <w:t>g).</w:t>
      </w:r>
      <w:proofErr w:type="gramEnd"/>
    </w:p>
    <w:p w14:paraId="7E7724B2" w14:textId="725842AF" w:rsidR="007E4E88" w:rsidRPr="006963B5" w:rsidRDefault="007E4E88" w:rsidP="00AE33FC">
      <w:pPr>
        <w:spacing w:after="0" w:line="480" w:lineRule="auto"/>
        <w:rPr>
          <w:rFonts w:eastAsia="Times New Roman" w:cs="Times New Roman"/>
          <w:lang w:eastAsia="en-GB"/>
        </w:rPr>
      </w:pPr>
      <w:proofErr w:type="gramStart"/>
      <w:r w:rsidRPr="006963B5">
        <w:rPr>
          <w:rFonts w:eastAsia="Times New Roman" w:cs="Times New Roman"/>
          <w:lang w:eastAsia="en-GB"/>
        </w:rPr>
        <w:lastRenderedPageBreak/>
        <w:t>Section 3.1.4.</w:t>
      </w:r>
      <w:proofErr w:type="gramEnd"/>
      <w:r w:rsidRPr="006963B5">
        <w:rPr>
          <w:rFonts w:eastAsia="Times New Roman" w:cs="Times New Roman"/>
          <w:lang w:eastAsia="en-GB"/>
        </w:rPr>
        <w:t xml:space="preserve"> </w:t>
      </w:r>
      <w:proofErr w:type="gramStart"/>
      <w:r w:rsidRPr="006963B5">
        <w:rPr>
          <w:rFonts w:eastAsia="Times New Roman" w:cs="Times New Roman"/>
          <w:lang w:eastAsia="en-GB"/>
        </w:rPr>
        <w:t>Offal of bovine animals, sheep, pigs, poultry</w:t>
      </w:r>
      <w:r w:rsidR="00922CB0" w:rsidRPr="006963B5">
        <w:rPr>
          <w:rFonts w:eastAsia="Times New Roman" w:cs="Times New Roman"/>
          <w:lang w:eastAsia="en-GB"/>
        </w:rPr>
        <w:t xml:space="preserve"> </w:t>
      </w:r>
      <w:r w:rsidR="00275203" w:rsidRPr="006963B5">
        <w:rPr>
          <w:rFonts w:eastAsia="Times New Roman" w:cs="Times New Roman"/>
          <w:lang w:eastAsia="en-GB"/>
        </w:rPr>
        <w:t>and</w:t>
      </w:r>
      <w:r w:rsidRPr="006963B5">
        <w:rPr>
          <w:rFonts w:eastAsia="Times New Roman" w:cs="Times New Roman"/>
          <w:lang w:eastAsia="en-GB"/>
        </w:rPr>
        <w:t xml:space="preserve"> wild game mammals and birds (0.50</w:t>
      </w:r>
      <w:r w:rsidR="00DC127B" w:rsidRPr="006963B5">
        <w:rPr>
          <w:rFonts w:eastAsia="Times New Roman" w:cs="Times New Roman"/>
          <w:lang w:eastAsia="en-GB"/>
        </w:rPr>
        <w:t xml:space="preserve"> </w:t>
      </w:r>
      <w:r w:rsidRPr="006963B5">
        <w:rPr>
          <w:rFonts w:eastAsia="Times New Roman" w:cs="Times New Roman"/>
          <w:lang w:eastAsia="en-GB"/>
        </w:rPr>
        <w:t>mg/</w:t>
      </w:r>
      <w:r w:rsidR="004C6D2A" w:rsidRPr="006963B5">
        <w:rPr>
          <w:rFonts w:eastAsia="Times New Roman" w:cs="Times New Roman"/>
          <w:lang w:eastAsia="en-GB"/>
        </w:rPr>
        <w:t>k</w:t>
      </w:r>
      <w:r w:rsidRPr="006963B5">
        <w:rPr>
          <w:rFonts w:eastAsia="Times New Roman" w:cs="Times New Roman"/>
          <w:lang w:eastAsia="en-GB"/>
        </w:rPr>
        <w:t>g).</w:t>
      </w:r>
      <w:proofErr w:type="gramEnd"/>
    </w:p>
    <w:p w14:paraId="3BC7B57A" w14:textId="77777777" w:rsidR="007E4E88" w:rsidRPr="006963B5" w:rsidRDefault="007E4E88" w:rsidP="00AE33FC">
      <w:pPr>
        <w:spacing w:after="0" w:line="480" w:lineRule="auto"/>
        <w:rPr>
          <w:rFonts w:eastAsia="Times New Roman" w:cs="Times New Roman"/>
          <w:lang w:eastAsia="en-GB"/>
        </w:rPr>
      </w:pPr>
    </w:p>
    <w:p w14:paraId="00E4E1AC" w14:textId="162B1F2B" w:rsidR="00BD5122" w:rsidRPr="006963B5" w:rsidRDefault="007E4E88" w:rsidP="00AE33FC">
      <w:pPr>
        <w:spacing w:after="0" w:line="480" w:lineRule="auto"/>
        <w:ind w:firstLine="720"/>
        <w:rPr>
          <w:rFonts w:eastAsia="Times New Roman" w:cs="Times New Roman"/>
          <w:lang w:eastAsia="en-GB"/>
        </w:rPr>
      </w:pPr>
      <w:r w:rsidRPr="006963B5">
        <w:rPr>
          <w:rFonts w:eastAsia="Times New Roman" w:cs="Times New Roman"/>
          <w:lang w:eastAsia="en-GB"/>
        </w:rPr>
        <w:t>This amendment would harmonize the regulations across all domestically-reared and wild game animals</w:t>
      </w:r>
      <w:r w:rsidR="004C6D2A" w:rsidRPr="006963B5">
        <w:rPr>
          <w:rFonts w:eastAsia="Times New Roman" w:cs="Times New Roman"/>
          <w:lang w:eastAsia="en-GB"/>
        </w:rPr>
        <w:t xml:space="preserve"> within the EU</w:t>
      </w:r>
      <w:r w:rsidRPr="006963B5">
        <w:rPr>
          <w:rFonts w:eastAsia="Times New Roman" w:cs="Times New Roman"/>
          <w:lang w:eastAsia="en-GB"/>
        </w:rPr>
        <w:t xml:space="preserve">. It would, if passed, apply to all EU nations </w:t>
      </w:r>
      <w:r w:rsidR="00BE3680" w:rsidRPr="006963B5">
        <w:rPr>
          <w:rFonts w:eastAsia="Times New Roman" w:cs="Times New Roman"/>
          <w:lang w:eastAsia="en-GB"/>
        </w:rPr>
        <w:t>and other</w:t>
      </w:r>
      <w:r w:rsidR="004C6D2A" w:rsidRPr="006963B5">
        <w:rPr>
          <w:rFonts w:eastAsia="Times New Roman" w:cs="Times New Roman"/>
          <w:lang w:eastAsia="en-GB"/>
        </w:rPr>
        <w:t xml:space="preserve"> countries </w:t>
      </w:r>
      <w:r w:rsidRPr="006963B5">
        <w:rPr>
          <w:rFonts w:eastAsia="Times New Roman" w:cs="Times New Roman"/>
          <w:lang w:eastAsia="en-GB"/>
        </w:rPr>
        <w:t>across which wild game meat and meat products are traded commercially.</w:t>
      </w:r>
      <w:r w:rsidR="00740922" w:rsidRPr="006963B5">
        <w:t xml:space="preserve"> </w:t>
      </w:r>
      <w:r w:rsidR="00740922" w:rsidRPr="006963B5">
        <w:rPr>
          <w:rFonts w:eastAsia="Times New Roman" w:cs="Times New Roman"/>
          <w:lang w:eastAsia="en-GB"/>
        </w:rPr>
        <w:t xml:space="preserve">Establishing an EC ML for lead in traded game meat </w:t>
      </w:r>
      <w:r w:rsidR="004C6D2A" w:rsidRPr="006963B5">
        <w:rPr>
          <w:rFonts w:eastAsia="Times New Roman" w:cs="Times New Roman"/>
          <w:lang w:eastAsia="en-GB"/>
        </w:rPr>
        <w:t>would require</w:t>
      </w:r>
      <w:r w:rsidR="00740922" w:rsidRPr="006963B5">
        <w:rPr>
          <w:rFonts w:eastAsia="Times New Roman" w:cs="Times New Roman"/>
          <w:lang w:eastAsia="en-GB"/>
        </w:rPr>
        <w:t xml:space="preserve"> means to both monitor and enforce the regulation. We propose that the same monitoring and lead testing procedures used for domestically-reared meat </w:t>
      </w:r>
      <w:r w:rsidR="004C6D2A" w:rsidRPr="006963B5">
        <w:rPr>
          <w:rFonts w:eastAsia="Times New Roman" w:cs="Times New Roman"/>
          <w:lang w:eastAsia="en-GB"/>
        </w:rPr>
        <w:t xml:space="preserve">could be </w:t>
      </w:r>
      <w:r w:rsidR="00740922" w:rsidRPr="006963B5">
        <w:rPr>
          <w:rFonts w:eastAsia="Times New Roman" w:cs="Times New Roman"/>
          <w:lang w:eastAsia="en-GB"/>
        </w:rPr>
        <w:t>appl</w:t>
      </w:r>
      <w:r w:rsidR="004C6D2A" w:rsidRPr="006963B5">
        <w:rPr>
          <w:rFonts w:eastAsia="Times New Roman" w:cs="Times New Roman"/>
          <w:lang w:eastAsia="en-GB"/>
        </w:rPr>
        <w:t>ied</w:t>
      </w:r>
      <w:r w:rsidR="00740922" w:rsidRPr="006963B5">
        <w:rPr>
          <w:rFonts w:eastAsia="Times New Roman" w:cs="Times New Roman"/>
          <w:lang w:eastAsia="en-GB"/>
        </w:rPr>
        <w:t xml:space="preserve"> to commercial wild game. The</w:t>
      </w:r>
      <w:r w:rsidR="00323ECE" w:rsidRPr="006963B5">
        <w:rPr>
          <w:rFonts w:eastAsia="Times New Roman" w:cs="Times New Roman"/>
          <w:lang w:eastAsia="en-GB"/>
        </w:rPr>
        <w:t xml:space="preserve"> </w:t>
      </w:r>
      <w:r w:rsidR="00740922" w:rsidRPr="006963B5">
        <w:rPr>
          <w:rFonts w:eastAsia="Times New Roman" w:cs="Times New Roman"/>
          <w:lang w:eastAsia="en-GB"/>
        </w:rPr>
        <w:t>consumers of game meat</w:t>
      </w:r>
      <w:r w:rsidR="004C6D2A" w:rsidRPr="006963B5">
        <w:rPr>
          <w:rFonts w:eastAsia="Times New Roman" w:cs="Times New Roman"/>
          <w:lang w:eastAsia="en-GB"/>
        </w:rPr>
        <w:t xml:space="preserve"> obtained from retail outlets</w:t>
      </w:r>
      <w:r w:rsidR="00740922" w:rsidRPr="006963B5">
        <w:rPr>
          <w:rFonts w:eastAsia="Times New Roman" w:cs="Times New Roman"/>
          <w:lang w:eastAsia="en-GB"/>
        </w:rPr>
        <w:t xml:space="preserve">, </w:t>
      </w:r>
      <w:r w:rsidR="004C6D2A" w:rsidRPr="006963B5">
        <w:rPr>
          <w:rFonts w:eastAsia="Times New Roman" w:cs="Times New Roman"/>
          <w:lang w:eastAsia="en-GB"/>
        </w:rPr>
        <w:t>such as</w:t>
      </w:r>
      <w:r w:rsidR="00740922" w:rsidRPr="006963B5">
        <w:rPr>
          <w:rFonts w:eastAsia="Times New Roman" w:cs="Times New Roman"/>
          <w:lang w:eastAsia="en-GB"/>
        </w:rPr>
        <w:t xml:space="preserve"> restaurants</w:t>
      </w:r>
      <w:r w:rsidR="004C6D2A" w:rsidRPr="006963B5">
        <w:rPr>
          <w:rFonts w:eastAsia="Times New Roman" w:cs="Times New Roman"/>
          <w:lang w:eastAsia="en-GB"/>
        </w:rPr>
        <w:t>, shops and</w:t>
      </w:r>
      <w:r w:rsidR="00740922" w:rsidRPr="006963B5">
        <w:rPr>
          <w:rFonts w:eastAsia="Times New Roman" w:cs="Times New Roman"/>
          <w:lang w:eastAsia="en-GB"/>
        </w:rPr>
        <w:t xml:space="preserve"> supermarkets, </w:t>
      </w:r>
      <w:r w:rsidR="004C6D2A" w:rsidRPr="006963B5">
        <w:rPr>
          <w:rFonts w:eastAsia="Times New Roman" w:cs="Times New Roman"/>
          <w:lang w:eastAsia="en-GB"/>
        </w:rPr>
        <w:t>would be affected by</w:t>
      </w:r>
      <w:r w:rsidR="00740922" w:rsidRPr="006963B5">
        <w:rPr>
          <w:rFonts w:eastAsia="Times New Roman" w:cs="Times New Roman"/>
          <w:lang w:eastAsia="en-GB"/>
        </w:rPr>
        <w:t xml:space="preserve"> the lead content of the portions served or bought, rather than the lead content of the entire carcass</w:t>
      </w:r>
      <w:r w:rsidR="004C6D2A" w:rsidRPr="006963B5">
        <w:rPr>
          <w:rFonts w:eastAsia="Times New Roman" w:cs="Times New Roman"/>
          <w:lang w:eastAsia="en-GB"/>
        </w:rPr>
        <w:t>. This would have</w:t>
      </w:r>
      <w:r w:rsidR="00740922" w:rsidRPr="006963B5">
        <w:rPr>
          <w:rFonts w:eastAsia="Times New Roman" w:cs="Times New Roman"/>
          <w:lang w:eastAsia="en-GB"/>
        </w:rPr>
        <w:t xml:space="preserve"> implications for the scale of monitoring and testing</w:t>
      </w:r>
      <w:r w:rsidR="004C6D2A" w:rsidRPr="006963B5">
        <w:rPr>
          <w:rFonts w:eastAsia="Times New Roman" w:cs="Times New Roman"/>
          <w:lang w:eastAsia="en-GB"/>
        </w:rPr>
        <w:t xml:space="preserve"> of the meat from large game animals, but f</w:t>
      </w:r>
      <w:r w:rsidR="00740922" w:rsidRPr="006963B5">
        <w:rPr>
          <w:rFonts w:eastAsia="Times New Roman" w:cs="Times New Roman"/>
          <w:lang w:eastAsia="en-GB"/>
        </w:rPr>
        <w:t xml:space="preserve">or game birds, the lead content of the whole animal bought or served is </w:t>
      </w:r>
      <w:r w:rsidR="004C6D2A" w:rsidRPr="006963B5">
        <w:rPr>
          <w:rFonts w:eastAsia="Times New Roman" w:cs="Times New Roman"/>
          <w:lang w:eastAsia="en-GB"/>
        </w:rPr>
        <w:t xml:space="preserve">usually </w:t>
      </w:r>
      <w:r w:rsidR="00740922" w:rsidRPr="006963B5">
        <w:rPr>
          <w:rFonts w:eastAsia="Times New Roman" w:cs="Times New Roman"/>
          <w:lang w:eastAsia="en-GB"/>
        </w:rPr>
        <w:t>the issue.</w:t>
      </w:r>
    </w:p>
    <w:p w14:paraId="50671032" w14:textId="77777777" w:rsidR="004E7BC5" w:rsidRPr="006963B5" w:rsidRDefault="004E7BC5" w:rsidP="00AE33FC">
      <w:pPr>
        <w:spacing w:after="0" w:line="480" w:lineRule="auto"/>
        <w:ind w:firstLine="720"/>
        <w:rPr>
          <w:rFonts w:cs="Times New Roman"/>
          <w:b/>
        </w:rPr>
      </w:pPr>
    </w:p>
    <w:p w14:paraId="67B23B27" w14:textId="77777777" w:rsidR="003E4562" w:rsidRPr="006963B5" w:rsidRDefault="000A4AEA" w:rsidP="00AE33FC">
      <w:pPr>
        <w:spacing w:line="480" w:lineRule="auto"/>
        <w:rPr>
          <w:rFonts w:cs="Times New Roman"/>
          <w:b/>
        </w:rPr>
      </w:pPr>
      <w:r w:rsidRPr="006963B5">
        <w:rPr>
          <w:rFonts w:cs="Times New Roman"/>
          <w:b/>
        </w:rPr>
        <w:t>DISCUSSION</w:t>
      </w:r>
    </w:p>
    <w:p w14:paraId="19B5E1C3" w14:textId="4AC39D21" w:rsidR="00341923" w:rsidRPr="006963B5" w:rsidRDefault="00341923" w:rsidP="0011136B">
      <w:pPr>
        <w:spacing w:line="480" w:lineRule="auto"/>
        <w:ind w:firstLine="720"/>
        <w:rPr>
          <w:rFonts w:cs="Times New Roman"/>
        </w:rPr>
      </w:pPr>
      <w:r w:rsidRPr="006963B5">
        <w:rPr>
          <w:rFonts w:cs="Times New Roman"/>
        </w:rPr>
        <w:t xml:space="preserve">The exclusion of wild game from European Commission lead regulations is paradoxical given the large annual kill of game in Europe and its associated markets. The proposed amendment to harmonize lead regulations for game meat with domesticated meat would, if enacted, reduce human lead exposure from marketed game. Simultaneously, lead ingestion by scavengers would be reduced by hunters’ use of non-lead ammunition. </w:t>
      </w:r>
    </w:p>
    <w:p w14:paraId="19A0BA5A" w14:textId="0C8E9902" w:rsidR="009F3A2B" w:rsidRPr="006963B5" w:rsidRDefault="00213613" w:rsidP="00B96941">
      <w:pPr>
        <w:spacing w:line="480" w:lineRule="auto"/>
        <w:ind w:firstLine="720"/>
        <w:rPr>
          <w:rFonts w:cs="Times New Roman"/>
        </w:rPr>
      </w:pPr>
      <w:r w:rsidRPr="006963B5">
        <w:rPr>
          <w:rFonts w:cs="Times New Roman"/>
        </w:rPr>
        <w:t>The use of lead ammunition is now recognized as unsustainable (</w:t>
      </w:r>
      <w:proofErr w:type="spellStart"/>
      <w:r w:rsidRPr="006963B5">
        <w:rPr>
          <w:rFonts w:cs="Times New Roman"/>
        </w:rPr>
        <w:t>Kanstrup</w:t>
      </w:r>
      <w:proofErr w:type="spellEnd"/>
      <w:r w:rsidRPr="006963B5">
        <w:rPr>
          <w:rFonts w:cs="Times New Roman"/>
        </w:rPr>
        <w:t xml:space="preserve"> et al. 201</w:t>
      </w:r>
      <w:r w:rsidR="0037202A" w:rsidRPr="006963B5">
        <w:rPr>
          <w:rFonts w:cs="Times New Roman"/>
        </w:rPr>
        <w:t>8</w:t>
      </w:r>
      <w:r w:rsidRPr="006963B5">
        <w:rPr>
          <w:rFonts w:cs="Times New Roman"/>
        </w:rPr>
        <w:t xml:space="preserve">). </w:t>
      </w:r>
      <w:r w:rsidR="009F3A2B" w:rsidRPr="006963B5">
        <w:rPr>
          <w:rFonts w:cs="Times New Roman"/>
        </w:rPr>
        <w:t xml:space="preserve">The transition to use of non-lead shotgun and rifle ammunition is not hampered by the availability of lead substitutes (Thomas 2015; Thomas et al. 2016; </w:t>
      </w:r>
      <w:proofErr w:type="spellStart"/>
      <w:r w:rsidR="009F3A2B" w:rsidRPr="006963B5">
        <w:rPr>
          <w:rFonts w:cs="Times New Roman"/>
        </w:rPr>
        <w:t>Kanstrup</w:t>
      </w:r>
      <w:proofErr w:type="spellEnd"/>
      <w:r w:rsidR="009F3A2B" w:rsidRPr="006963B5">
        <w:rPr>
          <w:rFonts w:cs="Times New Roman"/>
        </w:rPr>
        <w:t xml:space="preserve"> and Thomas 2019), their effectiveness </w:t>
      </w:r>
      <w:r w:rsidR="009F3A2B" w:rsidRPr="006963B5">
        <w:rPr>
          <w:rFonts w:cs="Times New Roman"/>
        </w:rPr>
        <w:lastRenderedPageBreak/>
        <w:t>(</w:t>
      </w:r>
      <w:proofErr w:type="spellStart"/>
      <w:r w:rsidR="009F3A2B" w:rsidRPr="006963B5">
        <w:rPr>
          <w:rFonts w:cs="Times New Roman"/>
        </w:rPr>
        <w:t>Kanstrup</w:t>
      </w:r>
      <w:proofErr w:type="spellEnd"/>
      <w:r w:rsidR="009F3A2B" w:rsidRPr="006963B5">
        <w:rPr>
          <w:rFonts w:cs="Times New Roman"/>
        </w:rPr>
        <w:t xml:space="preserve"> et al. 2016; </w:t>
      </w:r>
      <w:proofErr w:type="spellStart"/>
      <w:r w:rsidR="009F3A2B" w:rsidRPr="006963B5">
        <w:rPr>
          <w:rFonts w:cs="Times New Roman"/>
        </w:rPr>
        <w:t>Stokke</w:t>
      </w:r>
      <w:proofErr w:type="spellEnd"/>
      <w:r w:rsidR="009F3A2B" w:rsidRPr="006963B5">
        <w:rPr>
          <w:rFonts w:cs="Times New Roman"/>
        </w:rPr>
        <w:t xml:space="preserve"> et al. 2019), or their cost (Thomas 2015; </w:t>
      </w:r>
      <w:proofErr w:type="spellStart"/>
      <w:r w:rsidR="009F3A2B" w:rsidRPr="006963B5">
        <w:rPr>
          <w:rFonts w:cs="Times New Roman"/>
        </w:rPr>
        <w:t>Kanstrup</w:t>
      </w:r>
      <w:proofErr w:type="spellEnd"/>
      <w:r w:rsidR="009F3A2B" w:rsidRPr="006963B5">
        <w:rPr>
          <w:rFonts w:cs="Times New Roman"/>
        </w:rPr>
        <w:t xml:space="preserve"> and Thomas 2019). Availability of both types of ammunition is dependent upon demand, which, in turn,</w:t>
      </w:r>
      <w:r w:rsidR="00635E0F" w:rsidRPr="006963B5">
        <w:rPr>
          <w:rFonts w:cs="Times New Roman"/>
        </w:rPr>
        <w:t xml:space="preserve"> depends upon</w:t>
      </w:r>
      <w:r w:rsidR="009F3A2B" w:rsidRPr="006963B5">
        <w:rPr>
          <w:rFonts w:cs="Times New Roman"/>
        </w:rPr>
        <w:t xml:space="preserve"> legislation re</w:t>
      </w:r>
      <w:r w:rsidR="00635E0F" w:rsidRPr="006963B5">
        <w:rPr>
          <w:rFonts w:cs="Times New Roman"/>
        </w:rPr>
        <w:t>gulating the ammunition types that may be used</w:t>
      </w:r>
      <w:r w:rsidR="009F3A2B" w:rsidRPr="006963B5">
        <w:rPr>
          <w:rFonts w:cs="Times New Roman"/>
        </w:rPr>
        <w:t xml:space="preserve"> for hunting (Thomas 2015).</w:t>
      </w:r>
      <w:r w:rsidR="00BB7C2D" w:rsidRPr="006963B5">
        <w:rPr>
          <w:rFonts w:cs="Times New Roman"/>
        </w:rPr>
        <w:t xml:space="preserve"> In some countries, the increased human consumption of wild game reflects a preference </w:t>
      </w:r>
      <w:r w:rsidR="006F6F58">
        <w:rPr>
          <w:rFonts w:cs="Times New Roman"/>
        </w:rPr>
        <w:t xml:space="preserve">by some </w:t>
      </w:r>
      <w:r w:rsidR="00BB7C2D" w:rsidRPr="006963B5">
        <w:rPr>
          <w:rFonts w:cs="Times New Roman"/>
        </w:rPr>
        <w:t>for ‘unfarmed’ meat. This provides an opportunity for the hunting community to promote the strategy of suppl</w:t>
      </w:r>
      <w:r w:rsidR="00FF18D7" w:rsidRPr="006963B5">
        <w:rPr>
          <w:rFonts w:cs="Times New Roman"/>
        </w:rPr>
        <w:t>ying</w:t>
      </w:r>
      <w:r w:rsidR="00BB7C2D" w:rsidRPr="006963B5">
        <w:rPr>
          <w:rFonts w:cs="Times New Roman"/>
        </w:rPr>
        <w:t xml:space="preserve"> society with natural products. Setting a ML for lead in game would enhance </w:t>
      </w:r>
      <w:r w:rsidR="00F64957">
        <w:rPr>
          <w:rFonts w:cs="Times New Roman"/>
        </w:rPr>
        <w:t xml:space="preserve">both </w:t>
      </w:r>
      <w:r w:rsidR="00BB7C2D" w:rsidRPr="006963B5">
        <w:rPr>
          <w:rFonts w:cs="Times New Roman"/>
        </w:rPr>
        <w:t xml:space="preserve">food safety and </w:t>
      </w:r>
      <w:r w:rsidR="005801CA" w:rsidRPr="006963B5">
        <w:rPr>
          <w:rFonts w:cs="Times New Roman"/>
        </w:rPr>
        <w:t xml:space="preserve">the </w:t>
      </w:r>
      <w:r w:rsidR="00BB7C2D" w:rsidRPr="006963B5">
        <w:rPr>
          <w:rFonts w:cs="Times New Roman"/>
        </w:rPr>
        <w:t>sustainability of hunting.</w:t>
      </w:r>
    </w:p>
    <w:p w14:paraId="26840A59" w14:textId="34BAFD38" w:rsidR="00213613" w:rsidRPr="006963B5" w:rsidRDefault="009F3A2B" w:rsidP="00AE33FC">
      <w:pPr>
        <w:spacing w:line="480" w:lineRule="auto"/>
        <w:ind w:firstLine="720"/>
        <w:rPr>
          <w:rFonts w:cs="Times New Roman"/>
        </w:rPr>
      </w:pPr>
      <w:r w:rsidRPr="006963B5">
        <w:rPr>
          <w:rFonts w:cs="Times New Roman"/>
        </w:rPr>
        <w:t xml:space="preserve">The transition to non-toxic shot in Europe is occurring slowly and </w:t>
      </w:r>
      <w:r w:rsidR="00213613" w:rsidRPr="006963B5">
        <w:rPr>
          <w:rFonts w:cs="Times New Roman"/>
        </w:rPr>
        <w:t xml:space="preserve">has been driven largely by concerns about lead exposure to wetland </w:t>
      </w:r>
      <w:r w:rsidR="00635E0F" w:rsidRPr="006963B5">
        <w:rPr>
          <w:rFonts w:cs="Times New Roman"/>
        </w:rPr>
        <w:t xml:space="preserve">bird </w:t>
      </w:r>
      <w:r w:rsidR="00213613" w:rsidRPr="006963B5">
        <w:rPr>
          <w:rFonts w:cs="Times New Roman"/>
        </w:rPr>
        <w:t xml:space="preserve">species which ingest spent lead shot. Lead shot use is restricted legally in 23 European countries, not all of which are EU member states (Mateo and </w:t>
      </w:r>
      <w:proofErr w:type="spellStart"/>
      <w:r w:rsidR="00213613" w:rsidRPr="006963B5">
        <w:rPr>
          <w:rFonts w:cs="Times New Roman"/>
        </w:rPr>
        <w:t>Kanstrup</w:t>
      </w:r>
      <w:proofErr w:type="spellEnd"/>
      <w:r w:rsidR="00213613" w:rsidRPr="006963B5">
        <w:rPr>
          <w:rFonts w:cs="Times New Roman"/>
        </w:rPr>
        <w:t xml:space="preserve"> 2019).  The extent of the restriction varies. In Denmark, it is illegal to possess lead shot cartridges, so all hunters and target shooters use non-lead shot. The Netherlands also bans use of lead shot for hunting and shooting. Many nations, including those banning lead shot use over wetlands, still allow lead shot to be used for </w:t>
      </w:r>
      <w:r w:rsidR="00635E0F" w:rsidRPr="006963B5">
        <w:rPr>
          <w:rFonts w:cs="Times New Roman"/>
        </w:rPr>
        <w:t>non-wetland</w:t>
      </w:r>
      <w:r w:rsidR="00213613" w:rsidRPr="006963B5">
        <w:rPr>
          <w:rFonts w:cs="Times New Roman"/>
        </w:rPr>
        <w:t xml:space="preserve"> game hunting. Legislation requiring the use of non-lead rifle bullets has not been passed at the national level in any European country, and only Germany requires such ammunition to be used in several regions (Mateo and </w:t>
      </w:r>
      <w:proofErr w:type="spellStart"/>
      <w:r w:rsidR="00213613" w:rsidRPr="006963B5">
        <w:rPr>
          <w:rFonts w:cs="Times New Roman"/>
        </w:rPr>
        <w:t>Kanstrup</w:t>
      </w:r>
      <w:proofErr w:type="spellEnd"/>
      <w:r w:rsidR="00213613" w:rsidRPr="006963B5">
        <w:rPr>
          <w:rFonts w:cs="Times New Roman"/>
        </w:rPr>
        <w:t xml:space="preserve"> 2019). Regulations also restrict the use of lead ammunition in at least an additional 10 countries beyond Europe (Stroud 2015; Mateo &amp; </w:t>
      </w:r>
      <w:proofErr w:type="spellStart"/>
      <w:r w:rsidR="00213613" w:rsidRPr="006963B5">
        <w:rPr>
          <w:rFonts w:cs="Times New Roman"/>
        </w:rPr>
        <w:t>Kanstrup</w:t>
      </w:r>
      <w:proofErr w:type="spellEnd"/>
      <w:r w:rsidR="00213613" w:rsidRPr="006963B5">
        <w:rPr>
          <w:rFonts w:cs="Times New Roman"/>
        </w:rPr>
        <w:t xml:space="preserve"> 2019), including the USA and Canada, and the use of all types of lead ammunition for hunting has been banned throughout California State (AB </w:t>
      </w:r>
      <w:r w:rsidRPr="006963B5">
        <w:rPr>
          <w:rFonts w:cs="Times New Roman"/>
        </w:rPr>
        <w:t>711 2013</w:t>
      </w:r>
      <w:r w:rsidR="00213613" w:rsidRPr="006963B5">
        <w:rPr>
          <w:rFonts w:cs="Times New Roman"/>
        </w:rPr>
        <w:t>).</w:t>
      </w:r>
      <w:r w:rsidR="00213613" w:rsidRPr="006963B5">
        <w:rPr>
          <w:rFonts w:cs="Times New Roman"/>
        </w:rPr>
        <w:tab/>
      </w:r>
    </w:p>
    <w:p w14:paraId="7F1D4A00" w14:textId="7E83D58F" w:rsidR="00F759C4" w:rsidRPr="006963B5" w:rsidRDefault="00F64957" w:rsidP="00AE33FC">
      <w:pPr>
        <w:spacing w:line="480" w:lineRule="auto"/>
        <w:ind w:firstLine="720"/>
      </w:pPr>
      <w:r>
        <w:t>A</w:t>
      </w:r>
      <w:r w:rsidR="00F759C4" w:rsidRPr="006963B5">
        <w:t xml:space="preserve">n EU-wide restriction on the use of lead gunshot for shooting in and over wetlands </w:t>
      </w:r>
      <w:r>
        <w:t xml:space="preserve">was </w:t>
      </w:r>
      <w:r w:rsidR="00F759C4" w:rsidRPr="006963B5">
        <w:t>proposed by the European Chemicals Agency under REACH</w:t>
      </w:r>
      <w:r w:rsidR="00F759C4" w:rsidRPr="006963B5">
        <w:rPr>
          <w:rStyle w:val="FootnoteReference"/>
        </w:rPr>
        <w:footnoteReference w:id="1"/>
      </w:r>
      <w:r w:rsidR="00F759C4" w:rsidRPr="006963B5">
        <w:t xml:space="preserve"> at the request of the European Commission (ECHA 201</w:t>
      </w:r>
      <w:r w:rsidR="0046005C" w:rsidRPr="006963B5">
        <w:t>8; SEAC 2018</w:t>
      </w:r>
      <w:r w:rsidR="00F759C4" w:rsidRPr="006963B5">
        <w:t>)</w:t>
      </w:r>
      <w:r w:rsidR="003669FD">
        <w:t>,</w:t>
      </w:r>
      <w:r w:rsidR="00F759C4" w:rsidRPr="006963B5">
        <w:t xml:space="preserve"> primarily to protect </w:t>
      </w:r>
      <w:proofErr w:type="spellStart"/>
      <w:r w:rsidR="00F759C4" w:rsidRPr="006963B5">
        <w:t>waterbirds</w:t>
      </w:r>
      <w:proofErr w:type="spellEnd"/>
      <w:r w:rsidR="00F759C4" w:rsidRPr="006963B5">
        <w:t xml:space="preserve"> and harmonise measures taken across the EU</w:t>
      </w:r>
      <w:r w:rsidR="00381A0D" w:rsidRPr="006963B5">
        <w:t xml:space="preserve">.  </w:t>
      </w:r>
      <w:r w:rsidR="00E76AD3" w:rsidRPr="006963B5">
        <w:lastRenderedPageBreak/>
        <w:t>A</w:t>
      </w:r>
      <w:r w:rsidR="005C04DB">
        <w:t>n</w:t>
      </w:r>
      <w:r w:rsidR="00E76AD3" w:rsidRPr="006963B5">
        <w:t xml:space="preserve"> ECHA Annex XV Investigation Report (ECHA/PR/18/14 - ECHA 2018) </w:t>
      </w:r>
      <w:r w:rsidR="005C04DB">
        <w:t xml:space="preserve">contended </w:t>
      </w:r>
      <w:r w:rsidR="00E76AD3" w:rsidRPr="006963B5">
        <w:t xml:space="preserve">that further measures </w:t>
      </w:r>
      <w:r w:rsidR="005C04DB">
        <w:t>could</w:t>
      </w:r>
      <w:r w:rsidR="00E76AD3" w:rsidRPr="006963B5">
        <w:t xml:space="preserve"> be considered, extending the restriction to all shooting, to protect both human health and predatory and scavenging birds</w:t>
      </w:r>
      <w:r w:rsidR="001140FE" w:rsidRPr="006963B5">
        <w:t>. At</w:t>
      </w:r>
      <w:r w:rsidR="00E76AD3" w:rsidRPr="006963B5">
        <w:t xml:space="preserve"> the request of the Commission, ECHA is now preparing a broader restriction proposal on the placing on the market and use of lead in ammunition used in both wetlands and other terrains (ECHA 2019).</w:t>
      </w:r>
    </w:p>
    <w:p w14:paraId="292FC7E4" w14:textId="0C2F2E14" w:rsidR="00242855" w:rsidRPr="006963B5" w:rsidRDefault="00E76AD3" w:rsidP="00AE33FC">
      <w:pPr>
        <w:spacing w:line="480" w:lineRule="auto"/>
      </w:pPr>
      <w:r w:rsidRPr="006963B5">
        <w:rPr>
          <w:rFonts w:cs="Times New Roman"/>
        </w:rPr>
        <w:t>In their Investigation Report (ECHA 2018), ECHA conclude</w:t>
      </w:r>
      <w:r w:rsidR="00381A0D" w:rsidRPr="006963B5">
        <w:rPr>
          <w:rFonts w:cs="Times New Roman"/>
        </w:rPr>
        <w:t>d</w:t>
      </w:r>
      <w:r w:rsidRPr="006963B5">
        <w:rPr>
          <w:rFonts w:cs="Times New Roman"/>
        </w:rPr>
        <w:t xml:space="preserve"> that “</w:t>
      </w:r>
      <w:r w:rsidRPr="006963B5">
        <w:rPr>
          <w:rFonts w:cs="Times New Roman"/>
          <w:i/>
        </w:rPr>
        <w:t>the most effective manner to deal with lead is at the source i.e. through a regulatory action on the use of lead ammunition. Other measures (setting maximum lead levels in game meat) are protective for human health, but would not be protective enough for scavengers and raptors. Additionally, such a limit value would not protect hunters that consume their own meat</w:t>
      </w:r>
      <w:r w:rsidRPr="006963B5">
        <w:rPr>
          <w:rFonts w:cs="Times New Roman"/>
        </w:rPr>
        <w:t>.”</w:t>
      </w:r>
      <w:r w:rsidR="001140FE" w:rsidRPr="006963B5">
        <w:rPr>
          <w:rFonts w:cs="Times New Roman"/>
        </w:rPr>
        <w:t xml:space="preserve"> </w:t>
      </w:r>
      <w:r w:rsidR="001140FE" w:rsidRPr="006963B5">
        <w:t>W</w:t>
      </w:r>
      <w:r w:rsidR="005C04DB">
        <w:t xml:space="preserve">hile agreeing </w:t>
      </w:r>
      <w:r w:rsidR="001140FE" w:rsidRPr="006963B5">
        <w:t xml:space="preserve">with </w:t>
      </w:r>
      <w:r w:rsidR="005C04DB">
        <w:t xml:space="preserve">most of </w:t>
      </w:r>
      <w:r w:rsidR="001140FE" w:rsidRPr="006963B5">
        <w:t>these conclusions</w:t>
      </w:r>
      <w:r w:rsidR="00F17EC7">
        <w:t>,</w:t>
      </w:r>
      <w:r w:rsidR="001140FE" w:rsidRPr="006963B5">
        <w:t xml:space="preserve"> we c</w:t>
      </w:r>
      <w:r w:rsidR="00F17EC7">
        <w:t>ontend</w:t>
      </w:r>
      <w:r w:rsidR="001140FE" w:rsidRPr="006963B5">
        <w:t xml:space="preserve"> that setting MLs is needed in addition to the replacement of lead ammunition and that these measures are complementary. </w:t>
      </w:r>
      <w:r w:rsidR="00242855" w:rsidRPr="006963B5">
        <w:t>A</w:t>
      </w:r>
      <w:r w:rsidR="001140FE" w:rsidRPr="006963B5">
        <w:t xml:space="preserve"> ban on the use of lead ammunition would provide a harmonised level of protection to raptors and scavengers</w:t>
      </w:r>
      <w:r w:rsidR="009349FC" w:rsidRPr="006963B5">
        <w:t xml:space="preserve">, </w:t>
      </w:r>
      <w:r w:rsidR="001140FE" w:rsidRPr="006963B5">
        <w:t>and</w:t>
      </w:r>
      <w:r w:rsidR="00242855" w:rsidRPr="006963B5">
        <w:t xml:space="preserve"> </w:t>
      </w:r>
      <w:r w:rsidR="009349FC" w:rsidRPr="006963B5">
        <w:t xml:space="preserve">would remove </w:t>
      </w:r>
      <w:r w:rsidR="00381A0D" w:rsidRPr="006963B5">
        <w:t xml:space="preserve">ammunition-derived </w:t>
      </w:r>
      <w:r w:rsidR="009349FC" w:rsidRPr="006963B5">
        <w:t xml:space="preserve">lead </w:t>
      </w:r>
      <w:r w:rsidR="00381A0D" w:rsidRPr="006963B5">
        <w:t xml:space="preserve">from </w:t>
      </w:r>
      <w:r w:rsidR="009349FC" w:rsidRPr="006963B5">
        <w:t xml:space="preserve">the meat of </w:t>
      </w:r>
      <w:r w:rsidR="00ED1F39" w:rsidRPr="006963B5">
        <w:t>wild-</w:t>
      </w:r>
      <w:r w:rsidR="009349FC" w:rsidRPr="006963B5">
        <w:t>shot</w:t>
      </w:r>
      <w:r w:rsidR="00242855" w:rsidRPr="006963B5">
        <w:t xml:space="preserve"> </w:t>
      </w:r>
      <w:r w:rsidR="009349FC" w:rsidRPr="006963B5">
        <w:t>game animals</w:t>
      </w:r>
      <w:r w:rsidR="001140FE" w:rsidRPr="006963B5">
        <w:t xml:space="preserve"> traded freely within the </w:t>
      </w:r>
      <w:r w:rsidR="00ED1F39" w:rsidRPr="006963B5">
        <w:t xml:space="preserve">EU’s </w:t>
      </w:r>
      <w:r w:rsidR="001140FE" w:rsidRPr="006963B5">
        <w:t>single market</w:t>
      </w:r>
      <w:r w:rsidR="00242855" w:rsidRPr="006963B5">
        <w:t>. However</w:t>
      </w:r>
      <w:r w:rsidR="001140FE" w:rsidRPr="006963B5">
        <w:t xml:space="preserve">, </w:t>
      </w:r>
      <w:r w:rsidR="00242855" w:rsidRPr="006963B5">
        <w:t>a ban on the use of lead ammunition alone would n</w:t>
      </w:r>
      <w:r w:rsidR="009349FC" w:rsidRPr="006963B5">
        <w:t>ot</w:t>
      </w:r>
      <w:r w:rsidR="00242855" w:rsidRPr="006963B5">
        <w:t xml:space="preserve"> harmonise lead safety standards in traded</w:t>
      </w:r>
      <w:r w:rsidR="009349FC" w:rsidRPr="006963B5">
        <w:t xml:space="preserve"> domestic and game</w:t>
      </w:r>
      <w:r w:rsidR="00242855" w:rsidRPr="006963B5">
        <w:t xml:space="preserve"> meats within the EU, nor</w:t>
      </w:r>
      <w:r w:rsidR="001140FE" w:rsidRPr="006963B5">
        <w:t xml:space="preserve"> deal with</w:t>
      </w:r>
      <w:r w:rsidR="00242855" w:rsidRPr="006963B5">
        <w:t xml:space="preserve"> the issue of </w:t>
      </w:r>
      <w:r w:rsidR="001140FE" w:rsidRPr="006963B5">
        <w:t xml:space="preserve">game meat that is </w:t>
      </w:r>
      <w:r w:rsidR="00242855" w:rsidRPr="006963B5">
        <w:t xml:space="preserve">imported </w:t>
      </w:r>
      <w:r w:rsidR="009349FC" w:rsidRPr="006963B5">
        <w:t>in</w:t>
      </w:r>
      <w:r w:rsidR="00242855" w:rsidRPr="006963B5">
        <w:t>to the EU</w:t>
      </w:r>
      <w:r w:rsidR="001140FE" w:rsidRPr="006963B5">
        <w:t xml:space="preserve">. </w:t>
      </w:r>
      <w:r w:rsidR="00242855" w:rsidRPr="006963B5">
        <w:t>The</w:t>
      </w:r>
      <w:r w:rsidR="001140FE" w:rsidRPr="006963B5">
        <w:t xml:space="preserve"> setting of MLs for lead in game within Regulation 1881/2006 would </w:t>
      </w:r>
      <w:r w:rsidR="00F17EC7">
        <w:t>achieve</w:t>
      </w:r>
      <w:r w:rsidR="002073DA" w:rsidRPr="006963B5">
        <w:t xml:space="preserve"> both, and </w:t>
      </w:r>
      <w:r w:rsidR="001140FE" w:rsidRPr="006963B5">
        <w:t>additionally provide some level of health-protective compliance monitoring</w:t>
      </w:r>
      <w:r w:rsidR="00242855" w:rsidRPr="006963B5">
        <w:t>,</w:t>
      </w:r>
      <w:r w:rsidR="001140FE" w:rsidRPr="006963B5">
        <w:t xml:space="preserve"> were a ban on lead ammunition</w:t>
      </w:r>
      <w:r w:rsidR="00242855" w:rsidRPr="006963B5">
        <w:t xml:space="preserve"> implemented</w:t>
      </w:r>
      <w:r w:rsidR="001140FE" w:rsidRPr="006963B5">
        <w:t xml:space="preserve">. </w:t>
      </w:r>
      <w:r w:rsidR="00410310">
        <w:t>A</w:t>
      </w:r>
      <w:r w:rsidR="001140FE" w:rsidRPr="006963B5">
        <w:t xml:space="preserve">chieving this </w:t>
      </w:r>
      <w:r w:rsidR="00410310">
        <w:t xml:space="preserve">goal would also alert </w:t>
      </w:r>
      <w:r w:rsidR="001140FE" w:rsidRPr="006963B5">
        <w:t xml:space="preserve">other global </w:t>
      </w:r>
      <w:r w:rsidR="00410310">
        <w:t>jurisdictions</w:t>
      </w:r>
      <w:r w:rsidR="00ED1F39" w:rsidRPr="006963B5">
        <w:t xml:space="preserve"> about</w:t>
      </w:r>
      <w:r w:rsidR="001140FE" w:rsidRPr="006963B5">
        <w:t xml:space="preserve"> the need for health-protective international food safety standards. </w:t>
      </w:r>
    </w:p>
    <w:p w14:paraId="638EEF49" w14:textId="7F44C816" w:rsidR="00E76AD3" w:rsidRPr="006963B5" w:rsidRDefault="00242855" w:rsidP="00AE33FC">
      <w:pPr>
        <w:spacing w:line="480" w:lineRule="auto"/>
        <w:ind w:firstLine="720"/>
      </w:pPr>
      <w:r w:rsidRPr="006963B5">
        <w:t>The risks from exposure to elevated dietary lead are global, affecting subsistence communities in some of the most remote regions on earth</w:t>
      </w:r>
      <w:r w:rsidR="00ED1F39" w:rsidRPr="006963B5">
        <w:t>, such as</w:t>
      </w:r>
      <w:r w:rsidRPr="006963B5">
        <w:t xml:space="preserve"> the Peruvian Amazon (</w:t>
      </w:r>
      <w:proofErr w:type="spellStart"/>
      <w:r w:rsidR="002073DA" w:rsidRPr="006963B5">
        <w:t>Cartró-Sabaté</w:t>
      </w:r>
      <w:proofErr w:type="spellEnd"/>
      <w:r w:rsidR="002073DA" w:rsidRPr="006963B5">
        <w:t xml:space="preserve"> et al. 2019</w:t>
      </w:r>
      <w:r w:rsidRPr="006963B5">
        <w:t xml:space="preserve">), sport shooting communities in the EU and across the world, and urban consumers </w:t>
      </w:r>
      <w:r w:rsidR="00380326">
        <w:t>who</w:t>
      </w:r>
      <w:r w:rsidRPr="006963B5">
        <w:t xml:space="preserve"> purchase wild </w:t>
      </w:r>
      <w:r w:rsidRPr="006963B5">
        <w:lastRenderedPageBreak/>
        <w:t>game.  We therefore encourage</w:t>
      </w:r>
      <w:r w:rsidR="001140FE" w:rsidRPr="006963B5">
        <w:t xml:space="preserve"> the Joint FAO/WHO Expert Committee on Food Additives (JECFA) </w:t>
      </w:r>
      <w:r w:rsidRPr="006963B5">
        <w:t xml:space="preserve">to include this issue on its </w:t>
      </w:r>
      <w:r w:rsidR="00C433AE">
        <w:t xml:space="preserve">subsequent </w:t>
      </w:r>
      <w:r w:rsidRPr="006963B5">
        <w:t>agenda</w:t>
      </w:r>
      <w:r w:rsidR="00C433AE">
        <w:t>s</w:t>
      </w:r>
      <w:r w:rsidRPr="006963B5">
        <w:t xml:space="preserve">. </w:t>
      </w:r>
    </w:p>
    <w:p w14:paraId="0A1F453E" w14:textId="4CD3D3BA" w:rsidR="002073DA" w:rsidRPr="006963B5" w:rsidRDefault="00E879A3" w:rsidP="00AE33FC">
      <w:pPr>
        <w:spacing w:line="480" w:lineRule="auto"/>
        <w:ind w:firstLine="720"/>
      </w:pPr>
      <w:r w:rsidRPr="006963B5">
        <w:t xml:space="preserve">While international regulation requiring the replacement of lead ammunition with non-toxic alternatives is urgently needed, it is not yet in place. Should the setting of MLs precede such a ban, it would </w:t>
      </w:r>
      <w:r w:rsidR="00C433AE">
        <w:t xml:space="preserve">simultaneously </w:t>
      </w:r>
      <w:r w:rsidRPr="006963B5">
        <w:t>redu</w:t>
      </w:r>
      <w:r w:rsidR="00C433AE">
        <w:t>ce</w:t>
      </w:r>
      <w:r w:rsidRPr="006963B5">
        <w:t xml:space="preserve"> exposure of wild birds to lead ammunition. </w:t>
      </w:r>
      <w:r w:rsidR="00C433AE">
        <w:t>However, t</w:t>
      </w:r>
      <w:r w:rsidRPr="006963B5">
        <w:t>he setting of MLs, while in our view desirable, would not</w:t>
      </w:r>
      <w:r w:rsidR="007211FA" w:rsidRPr="006963B5">
        <w:t xml:space="preserve"> alone</w:t>
      </w:r>
      <w:r w:rsidRPr="006963B5">
        <w:t xml:space="preserve"> be sufficiently protective to wildlife, and </w:t>
      </w:r>
      <w:r w:rsidR="00C433AE">
        <w:t>might</w:t>
      </w:r>
      <w:r w:rsidRPr="006963B5">
        <w:t xml:space="preserve"> not protect the majority of people at risk </w:t>
      </w:r>
      <w:r w:rsidR="00C433AE">
        <w:t xml:space="preserve">who </w:t>
      </w:r>
      <w:r w:rsidRPr="006963B5">
        <w:t>frequent</w:t>
      </w:r>
      <w:r w:rsidR="00C433AE">
        <w:t>ly</w:t>
      </w:r>
      <w:r w:rsidRPr="006963B5">
        <w:t xml:space="preserve"> consum</w:t>
      </w:r>
      <w:r w:rsidR="00C433AE">
        <w:t>e</w:t>
      </w:r>
      <w:r w:rsidRPr="006963B5">
        <w:t xml:space="preserve"> game.</w:t>
      </w:r>
      <w:r w:rsidR="00D62E29" w:rsidRPr="006963B5">
        <w:t xml:space="preserve"> </w:t>
      </w:r>
      <w:r w:rsidRPr="006963B5">
        <w:rPr>
          <w:rFonts w:cs="Times New Roman"/>
        </w:rPr>
        <w:t>H</w:t>
      </w:r>
      <w:r w:rsidR="00891286" w:rsidRPr="006963B5">
        <w:rPr>
          <w:rFonts w:cs="Times New Roman"/>
        </w:rPr>
        <w:t>unters could continue using lead ammunition to kill animals for their personal consumption</w:t>
      </w:r>
      <w:r w:rsidRPr="006963B5">
        <w:rPr>
          <w:rFonts w:cs="Times New Roman"/>
        </w:rPr>
        <w:t xml:space="preserve">, </w:t>
      </w:r>
      <w:r w:rsidR="003328E6">
        <w:rPr>
          <w:rFonts w:cs="Times New Roman"/>
        </w:rPr>
        <w:t xml:space="preserve">thereby </w:t>
      </w:r>
      <w:r w:rsidRPr="006963B5">
        <w:rPr>
          <w:rFonts w:cs="Times New Roman"/>
        </w:rPr>
        <w:t xml:space="preserve">exposing them and their families </w:t>
      </w:r>
      <w:r w:rsidR="00891286" w:rsidRPr="006963B5">
        <w:rPr>
          <w:rFonts w:cs="Times New Roman"/>
        </w:rPr>
        <w:t>to lead remnants in the game meat. While Table 1 indicates the numbers of animals killed annually, it does not reveal the numbers consumed only by hunters</w:t>
      </w:r>
      <w:r w:rsidR="00DF3612" w:rsidRPr="006963B5">
        <w:rPr>
          <w:rFonts w:cs="Times New Roman"/>
        </w:rPr>
        <w:t xml:space="preserve"> and their families</w:t>
      </w:r>
      <w:r w:rsidR="00891286" w:rsidRPr="006963B5">
        <w:rPr>
          <w:rFonts w:cs="Times New Roman"/>
        </w:rPr>
        <w:t>.</w:t>
      </w:r>
      <w:r w:rsidR="00E502B2" w:rsidRPr="006963B5">
        <w:rPr>
          <w:rFonts w:cs="Times New Roman"/>
        </w:rPr>
        <w:t xml:space="preserve"> However, it is assumed that the majority of ‘high level’ or frequent consumers of game are hunters, their families and associates as illustrated </w:t>
      </w:r>
      <w:r w:rsidR="00174476" w:rsidRPr="006963B5">
        <w:rPr>
          <w:rFonts w:cs="Times New Roman"/>
        </w:rPr>
        <w:t xml:space="preserve">by studies from </w:t>
      </w:r>
      <w:r w:rsidR="00E502B2" w:rsidRPr="006963B5">
        <w:rPr>
          <w:rFonts w:cs="Times New Roman"/>
        </w:rPr>
        <w:t>the UK (LAG 2014; G</w:t>
      </w:r>
      <w:r w:rsidR="00C13C6C" w:rsidRPr="006963B5">
        <w:rPr>
          <w:rFonts w:cs="Times New Roman"/>
        </w:rPr>
        <w:t xml:space="preserve">reen </w:t>
      </w:r>
      <w:r w:rsidR="008D54AE" w:rsidRPr="006963B5">
        <w:rPr>
          <w:rFonts w:cs="Times New Roman"/>
        </w:rPr>
        <w:t>and</w:t>
      </w:r>
      <w:r w:rsidR="00C13C6C" w:rsidRPr="006963B5">
        <w:rPr>
          <w:rFonts w:cs="Times New Roman"/>
        </w:rPr>
        <w:t xml:space="preserve"> Pain 2015) and other countries (e.g. in Italy, </w:t>
      </w:r>
      <w:proofErr w:type="spellStart"/>
      <w:r w:rsidR="00C13C6C" w:rsidRPr="006963B5">
        <w:rPr>
          <w:rFonts w:cs="Times New Roman"/>
        </w:rPr>
        <w:t>Ferri</w:t>
      </w:r>
      <w:proofErr w:type="spellEnd"/>
      <w:r w:rsidR="00C13C6C" w:rsidRPr="006963B5">
        <w:rPr>
          <w:rFonts w:cs="Times New Roman"/>
        </w:rPr>
        <w:t xml:space="preserve"> et al</w:t>
      </w:r>
      <w:r w:rsidR="00E502B2" w:rsidRPr="006963B5">
        <w:rPr>
          <w:rFonts w:cs="Times New Roman"/>
        </w:rPr>
        <w:t>.</w:t>
      </w:r>
      <w:r w:rsidR="00C13C6C" w:rsidRPr="006963B5">
        <w:rPr>
          <w:rFonts w:cs="Times New Roman"/>
        </w:rPr>
        <w:t xml:space="preserve"> 2017).</w:t>
      </w:r>
      <w:r w:rsidR="00B87FCA" w:rsidRPr="006963B5">
        <w:rPr>
          <w:rFonts w:cs="Times New Roman"/>
        </w:rPr>
        <w:t xml:space="preserve"> I</w:t>
      </w:r>
      <w:r w:rsidR="00C13C6C" w:rsidRPr="006963B5">
        <w:rPr>
          <w:rFonts w:cs="Times New Roman"/>
        </w:rPr>
        <w:t xml:space="preserve">n the UK, where game is commonly sold in supermarkets and other retail outlets, </w:t>
      </w:r>
      <w:r w:rsidR="00B87FCA" w:rsidRPr="006963B5">
        <w:rPr>
          <w:rFonts w:cs="Times New Roman"/>
        </w:rPr>
        <w:t xml:space="preserve">game sales have been reported to be increasing year on year for the last 5 years to 2018, with a 5% increase in 2018 (BASC 2019) as a result of game meat promotion campaigns. Nonetheless, it remains widely assumed that across the EU the majority of game consumed in the country of origin is consumed locally by hunters and their associates. </w:t>
      </w:r>
      <w:r w:rsidR="00DF3612" w:rsidRPr="006963B5">
        <w:rPr>
          <w:rFonts w:cs="Times New Roman"/>
        </w:rPr>
        <w:t>However, this obviously does</w:t>
      </w:r>
      <w:r w:rsidR="00B87FCA" w:rsidRPr="006963B5">
        <w:rPr>
          <w:rFonts w:cs="Times New Roman"/>
        </w:rPr>
        <w:t xml:space="preserve"> not apply to traded game meat.</w:t>
      </w:r>
    </w:p>
    <w:p w14:paraId="6BAB8BD0" w14:textId="4E673563" w:rsidR="00532D11" w:rsidRPr="006963B5" w:rsidRDefault="00D62E29" w:rsidP="00AE33FC">
      <w:pPr>
        <w:spacing w:line="480" w:lineRule="auto"/>
        <w:ind w:firstLine="720"/>
      </w:pPr>
      <w:r w:rsidRPr="006963B5">
        <w:rPr>
          <w:rFonts w:cs="Times New Roman"/>
          <w:color w:val="000000" w:themeColor="text1"/>
        </w:rPr>
        <w:t xml:space="preserve">Despite a lack of national and international regulation setting standards for lead in game meat, </w:t>
      </w:r>
      <w:r w:rsidR="00C03BFF" w:rsidRPr="006963B5">
        <w:rPr>
          <w:rFonts w:cs="Times New Roman"/>
          <w:color w:val="000000" w:themeColor="text1"/>
        </w:rPr>
        <w:t xml:space="preserve">there have been </w:t>
      </w:r>
      <w:r w:rsidR="003328E6">
        <w:rPr>
          <w:rFonts w:cs="Times New Roman"/>
          <w:color w:val="000000" w:themeColor="text1"/>
        </w:rPr>
        <w:t xml:space="preserve">recent </w:t>
      </w:r>
      <w:r w:rsidRPr="006963B5">
        <w:rPr>
          <w:rFonts w:cs="Times New Roman"/>
          <w:color w:val="000000" w:themeColor="text1"/>
        </w:rPr>
        <w:t>example</w:t>
      </w:r>
      <w:r w:rsidR="00C03BFF" w:rsidRPr="006963B5">
        <w:rPr>
          <w:rFonts w:cs="Times New Roman"/>
          <w:color w:val="000000" w:themeColor="text1"/>
        </w:rPr>
        <w:t>s</w:t>
      </w:r>
      <w:r w:rsidRPr="006963B5">
        <w:rPr>
          <w:rFonts w:cs="Times New Roman"/>
          <w:color w:val="000000" w:themeColor="text1"/>
        </w:rPr>
        <w:t xml:space="preserve"> </w:t>
      </w:r>
      <w:r w:rsidR="00C03BFF" w:rsidRPr="006963B5">
        <w:rPr>
          <w:rFonts w:cs="Times New Roman"/>
          <w:color w:val="000000" w:themeColor="text1"/>
        </w:rPr>
        <w:t>of</w:t>
      </w:r>
      <w:r w:rsidRPr="006963B5">
        <w:rPr>
          <w:rFonts w:cs="Times New Roman"/>
          <w:color w:val="000000" w:themeColor="text1"/>
        </w:rPr>
        <w:t xml:space="preserve"> trade-initiated </w:t>
      </w:r>
      <w:r w:rsidR="00DF3612" w:rsidRPr="006963B5">
        <w:rPr>
          <w:rFonts w:cs="Times New Roman"/>
          <w:color w:val="000000" w:themeColor="text1"/>
        </w:rPr>
        <w:t xml:space="preserve">voluntary </w:t>
      </w:r>
      <w:r w:rsidRPr="006963B5">
        <w:rPr>
          <w:rFonts w:cs="Times New Roman"/>
          <w:color w:val="000000" w:themeColor="text1"/>
        </w:rPr>
        <w:t>restriction</w:t>
      </w:r>
      <w:r w:rsidR="00DF3612" w:rsidRPr="006963B5">
        <w:rPr>
          <w:rFonts w:cs="Times New Roman"/>
          <w:color w:val="000000" w:themeColor="text1"/>
        </w:rPr>
        <w:t>s</w:t>
      </w:r>
      <w:r w:rsidRPr="006963B5">
        <w:rPr>
          <w:rFonts w:cs="Times New Roman"/>
          <w:color w:val="000000" w:themeColor="text1"/>
        </w:rPr>
        <w:t xml:space="preserve"> on lead ammunition. </w:t>
      </w:r>
      <w:r w:rsidR="00DF3612" w:rsidRPr="006963B5">
        <w:rPr>
          <w:rFonts w:cs="Times New Roman"/>
          <w:color w:val="000000" w:themeColor="text1"/>
        </w:rPr>
        <w:t>Forest Enterprise England (FE -</w:t>
      </w:r>
      <w:r w:rsidR="0004775A" w:rsidRPr="006963B5">
        <w:rPr>
          <w:rFonts w:cs="Times New Roman"/>
          <w:color w:val="000000" w:themeColor="text1"/>
        </w:rPr>
        <w:t xml:space="preserve"> </w:t>
      </w:r>
      <w:r w:rsidR="00DF3612" w:rsidRPr="006963B5">
        <w:rPr>
          <w:rFonts w:cs="Times New Roman"/>
          <w:color w:val="000000" w:themeColor="text1"/>
        </w:rPr>
        <w:t xml:space="preserve">an executive agency of The Forestry Commission, a UK Government Department) </w:t>
      </w:r>
      <w:r w:rsidR="0004775A" w:rsidRPr="006963B5">
        <w:t>require</w:t>
      </w:r>
      <w:r w:rsidR="003328E6">
        <w:t>s</w:t>
      </w:r>
      <w:r w:rsidR="0004775A" w:rsidRPr="006963B5">
        <w:t xml:space="preserve"> </w:t>
      </w:r>
      <w:r w:rsidR="00DF3612" w:rsidRPr="006963B5">
        <w:t xml:space="preserve">their staff to use non-lead ammunition for deer and boar culling from 2016. </w:t>
      </w:r>
      <w:r w:rsidR="00DF3612" w:rsidRPr="006963B5">
        <w:rPr>
          <w:rFonts w:cs="Times New Roman"/>
          <w:color w:val="000000" w:themeColor="text1"/>
        </w:rPr>
        <w:t>This decision resulted from</w:t>
      </w:r>
      <w:r w:rsidR="00DF3612" w:rsidRPr="006963B5">
        <w:t xml:space="preserve"> evidence that lead from lead ammunition contaminate</w:t>
      </w:r>
      <w:r w:rsidR="0025357D">
        <w:t>s</w:t>
      </w:r>
      <w:r w:rsidR="00DF3612" w:rsidRPr="006963B5">
        <w:t xml:space="preserve"> carcasses</w:t>
      </w:r>
      <w:r w:rsidR="0025357D">
        <w:t>,</w:t>
      </w:r>
      <w:r w:rsidR="00DF3612" w:rsidRPr="006963B5">
        <w:t xml:space="preserve"> and that FE’s marketing position could be seriously damaged if they continued to put lead-contaminated meat into </w:t>
      </w:r>
      <w:r w:rsidR="00DF3612" w:rsidRPr="006963B5">
        <w:lastRenderedPageBreak/>
        <w:t>the human food chain when proven alternatives</w:t>
      </w:r>
      <w:r w:rsidR="0025357D">
        <w:t xml:space="preserve"> exist</w:t>
      </w:r>
      <w:r w:rsidR="00DF3612" w:rsidRPr="006963B5">
        <w:t xml:space="preserve">. Forest Enterprise Scotland is </w:t>
      </w:r>
      <w:r w:rsidR="0025357D">
        <w:t>also transitioning to</w:t>
      </w:r>
      <w:r w:rsidR="00DF3612" w:rsidRPr="006963B5">
        <w:t xml:space="preserve"> lead-free ammunition to shoot deer and feral pigs</w:t>
      </w:r>
      <w:r w:rsidR="00DF3612" w:rsidRPr="006963B5">
        <w:rPr>
          <w:rStyle w:val="FootnoteReference"/>
        </w:rPr>
        <w:footnoteReference w:id="2"/>
      </w:r>
      <w:r w:rsidR="00DF3612" w:rsidRPr="006963B5">
        <w:t xml:space="preserve">. Together these forestry agencies put over 900 tonnes of venison into the human food chain annually. </w:t>
      </w:r>
      <w:r w:rsidRPr="006963B5">
        <w:rPr>
          <w:rFonts w:cs="Times New Roman"/>
          <w:color w:val="000000" w:themeColor="text1"/>
        </w:rPr>
        <w:t>In 2019, the UK supermarket Waitrose, the largest national retailer of game meat, indicated that</w:t>
      </w:r>
      <w:r w:rsidR="00DF3612" w:rsidRPr="006963B5">
        <w:rPr>
          <w:rFonts w:cs="Times New Roman"/>
          <w:color w:val="000000" w:themeColor="text1"/>
        </w:rPr>
        <w:t>,</w:t>
      </w:r>
      <w:r w:rsidRPr="006963B5">
        <w:rPr>
          <w:rFonts w:cs="Times New Roman"/>
          <w:color w:val="000000" w:themeColor="text1"/>
        </w:rPr>
        <w:t xml:space="preserve"> as of the 2020/21 season</w:t>
      </w:r>
      <w:r w:rsidR="00DF3612" w:rsidRPr="006963B5">
        <w:rPr>
          <w:rFonts w:cs="Times New Roman"/>
          <w:color w:val="000000" w:themeColor="text1"/>
        </w:rPr>
        <w:t>,</w:t>
      </w:r>
      <w:r w:rsidRPr="006963B5">
        <w:rPr>
          <w:rFonts w:cs="Times New Roman"/>
          <w:color w:val="000000" w:themeColor="text1"/>
        </w:rPr>
        <w:t xml:space="preserve"> it would sell only game meat that was killed with non-lead ammunition (</w:t>
      </w:r>
      <w:proofErr w:type="spellStart"/>
      <w:r w:rsidR="00B13B45" w:rsidRPr="006963B5">
        <w:rPr>
          <w:rFonts w:cs="Times New Roman"/>
          <w:color w:val="000000" w:themeColor="text1"/>
        </w:rPr>
        <w:t>Barkham</w:t>
      </w:r>
      <w:proofErr w:type="spellEnd"/>
      <w:r w:rsidR="00B13B45" w:rsidRPr="006963B5">
        <w:rPr>
          <w:rFonts w:cs="Times New Roman"/>
          <w:color w:val="000000" w:themeColor="text1"/>
        </w:rPr>
        <w:t xml:space="preserve"> 2019; Waitrose 2019)</w:t>
      </w:r>
      <w:r w:rsidR="00DF3612" w:rsidRPr="006963B5">
        <w:rPr>
          <w:rFonts w:cs="Times New Roman"/>
          <w:color w:val="000000" w:themeColor="text1"/>
        </w:rPr>
        <w:t>. O</w:t>
      </w:r>
      <w:r w:rsidR="009F2A16" w:rsidRPr="006963B5">
        <w:rPr>
          <w:rFonts w:cs="Times New Roman"/>
          <w:color w:val="000000" w:themeColor="text1"/>
        </w:rPr>
        <w:t xml:space="preserve">ther </w:t>
      </w:r>
      <w:r w:rsidR="00DF3612" w:rsidRPr="006963B5">
        <w:rPr>
          <w:rFonts w:cs="Times New Roman"/>
          <w:color w:val="000000" w:themeColor="text1"/>
        </w:rPr>
        <w:t xml:space="preserve">UK </w:t>
      </w:r>
      <w:r w:rsidR="009F2A16" w:rsidRPr="006963B5">
        <w:rPr>
          <w:rFonts w:cs="Times New Roman"/>
          <w:color w:val="000000" w:themeColor="text1"/>
        </w:rPr>
        <w:t xml:space="preserve">supermarkets have </w:t>
      </w:r>
      <w:r w:rsidR="00DF3612" w:rsidRPr="006963B5">
        <w:rPr>
          <w:rFonts w:cs="Times New Roman"/>
          <w:color w:val="000000" w:themeColor="text1"/>
        </w:rPr>
        <w:t xml:space="preserve">also </w:t>
      </w:r>
      <w:r w:rsidR="009F2A16" w:rsidRPr="006963B5">
        <w:rPr>
          <w:rFonts w:cs="Times New Roman"/>
          <w:color w:val="000000" w:themeColor="text1"/>
        </w:rPr>
        <w:t>indicated that they will act similarly</w:t>
      </w:r>
      <w:r w:rsidR="00B13B45" w:rsidRPr="006963B5">
        <w:rPr>
          <w:rFonts w:cs="Times New Roman"/>
          <w:color w:val="000000" w:themeColor="text1"/>
        </w:rPr>
        <w:t>.</w:t>
      </w:r>
      <w:r w:rsidR="00532D11" w:rsidRPr="006963B5">
        <w:rPr>
          <w:rFonts w:cs="Times New Roman"/>
          <w:color w:val="000000" w:themeColor="text1"/>
        </w:rPr>
        <w:t xml:space="preserve"> </w:t>
      </w:r>
    </w:p>
    <w:p w14:paraId="61948CF5" w14:textId="77777777" w:rsidR="00DF3612" w:rsidRPr="006963B5" w:rsidRDefault="00DF3612" w:rsidP="00AE33FC">
      <w:pPr>
        <w:spacing w:line="480" w:lineRule="auto"/>
        <w:ind w:firstLine="720"/>
      </w:pPr>
    </w:p>
    <w:p w14:paraId="38422FED" w14:textId="54C91A22" w:rsidR="002073DA" w:rsidRPr="006963B5" w:rsidRDefault="00C03BFF" w:rsidP="00AE33FC">
      <w:pPr>
        <w:spacing w:line="480" w:lineRule="auto"/>
        <w:rPr>
          <w:rFonts w:cs="Times New Roman"/>
          <w:b/>
          <w:color w:val="000000" w:themeColor="text1"/>
        </w:rPr>
      </w:pPr>
      <w:r w:rsidRPr="006963B5">
        <w:rPr>
          <w:rFonts w:cs="Times New Roman"/>
          <w:b/>
          <w:color w:val="000000" w:themeColor="text1"/>
        </w:rPr>
        <w:t>CONCLUSIONS</w:t>
      </w:r>
    </w:p>
    <w:p w14:paraId="3E14DE78" w14:textId="7759550C" w:rsidR="00740922" w:rsidRPr="006963B5" w:rsidRDefault="00740922" w:rsidP="002C7C05">
      <w:pPr>
        <w:spacing w:line="480" w:lineRule="auto"/>
        <w:ind w:firstLine="720"/>
        <w:rPr>
          <w:rFonts w:cs="Times New Roman"/>
          <w:color w:val="000000" w:themeColor="text1"/>
        </w:rPr>
      </w:pPr>
      <w:r w:rsidRPr="006963B5">
        <w:rPr>
          <w:rFonts w:cs="Times New Roman"/>
          <w:color w:val="000000" w:themeColor="text1"/>
        </w:rPr>
        <w:t xml:space="preserve">The risks </w:t>
      </w:r>
      <w:r w:rsidR="00DF3612" w:rsidRPr="006963B5">
        <w:rPr>
          <w:rFonts w:cs="Times New Roman"/>
          <w:color w:val="000000" w:themeColor="text1"/>
        </w:rPr>
        <w:t>arising</w:t>
      </w:r>
      <w:r w:rsidRPr="006963B5">
        <w:rPr>
          <w:rFonts w:cs="Times New Roman"/>
          <w:color w:val="000000" w:themeColor="text1"/>
        </w:rPr>
        <w:t xml:space="preserve"> from</w:t>
      </w:r>
      <w:r w:rsidR="00DF3612" w:rsidRPr="006963B5">
        <w:rPr>
          <w:rFonts w:cs="Times New Roman"/>
          <w:color w:val="000000" w:themeColor="text1"/>
        </w:rPr>
        <w:t xml:space="preserve"> the use of</w:t>
      </w:r>
      <w:r w:rsidRPr="006963B5">
        <w:rPr>
          <w:rFonts w:cs="Times New Roman"/>
          <w:color w:val="000000" w:themeColor="text1"/>
        </w:rPr>
        <w:t xml:space="preserve"> lead ammunition are</w:t>
      </w:r>
      <w:r w:rsidR="00DF3612" w:rsidRPr="006963B5">
        <w:rPr>
          <w:rFonts w:cs="Times New Roman"/>
          <w:color w:val="000000" w:themeColor="text1"/>
        </w:rPr>
        <w:t xml:space="preserve"> incurred</w:t>
      </w:r>
      <w:r w:rsidRPr="006963B5">
        <w:rPr>
          <w:rFonts w:cs="Times New Roman"/>
          <w:color w:val="000000" w:themeColor="text1"/>
        </w:rPr>
        <w:t xml:space="preserve"> by wild</w:t>
      </w:r>
      <w:r w:rsidR="00DF3612" w:rsidRPr="006963B5">
        <w:rPr>
          <w:rFonts w:cs="Times New Roman"/>
          <w:color w:val="000000" w:themeColor="text1"/>
        </w:rPr>
        <w:t xml:space="preserve"> animals</w:t>
      </w:r>
      <w:r w:rsidRPr="006963B5">
        <w:rPr>
          <w:rFonts w:cs="Times New Roman"/>
          <w:color w:val="000000" w:themeColor="text1"/>
        </w:rPr>
        <w:t>, humans, and the environment, and there is a great need to replace lead ammunition with non-toxic alternatives. The lead contamination of game meat is an important issue in Europe</w:t>
      </w:r>
      <w:r w:rsidR="006F63AA">
        <w:rPr>
          <w:rFonts w:cs="Times New Roman"/>
          <w:color w:val="000000" w:themeColor="text1"/>
        </w:rPr>
        <w:t xml:space="preserve"> because</w:t>
      </w:r>
      <w:r w:rsidRPr="006963B5">
        <w:rPr>
          <w:rFonts w:cs="Times New Roman"/>
          <w:color w:val="000000" w:themeColor="text1"/>
        </w:rPr>
        <w:t xml:space="preserve"> game meat is both eaten locally and traded globally.  Setting maximum levels of lead in harmony with EC regulations on lead in meat and offal</w:t>
      </w:r>
      <w:r w:rsidR="00DF3612" w:rsidRPr="006963B5">
        <w:rPr>
          <w:rFonts w:cs="Times New Roman"/>
          <w:color w:val="000000" w:themeColor="text1"/>
        </w:rPr>
        <w:t xml:space="preserve"> from domesticated animals</w:t>
      </w:r>
      <w:r w:rsidRPr="006963B5">
        <w:rPr>
          <w:rFonts w:cs="Times New Roman"/>
          <w:color w:val="000000" w:themeColor="text1"/>
        </w:rPr>
        <w:t xml:space="preserve"> is </w:t>
      </w:r>
      <w:r w:rsidR="00D41CA0">
        <w:rPr>
          <w:rFonts w:cs="Times New Roman"/>
          <w:color w:val="000000" w:themeColor="text1"/>
        </w:rPr>
        <w:t>critical to complement the regulated use of lead-free ammunition</w:t>
      </w:r>
      <w:r w:rsidR="00D16829">
        <w:rPr>
          <w:rFonts w:cs="Times New Roman"/>
          <w:color w:val="000000" w:themeColor="text1"/>
        </w:rPr>
        <w:t xml:space="preserve"> </w:t>
      </w:r>
      <w:r w:rsidR="00D16829" w:rsidRPr="006963B5">
        <w:rPr>
          <w:rFonts w:cs="Times New Roman"/>
          <w:color w:val="000000" w:themeColor="text1"/>
        </w:rPr>
        <w:t xml:space="preserve">and protect </w:t>
      </w:r>
      <w:r w:rsidR="000A07C8">
        <w:rPr>
          <w:rFonts w:cs="Times New Roman"/>
          <w:color w:val="000000" w:themeColor="text1"/>
        </w:rPr>
        <w:t xml:space="preserve">all </w:t>
      </w:r>
      <w:r w:rsidR="00D16829" w:rsidRPr="006963B5">
        <w:rPr>
          <w:rFonts w:cs="Times New Roman"/>
          <w:color w:val="000000" w:themeColor="text1"/>
        </w:rPr>
        <w:t xml:space="preserve">people </w:t>
      </w:r>
      <w:r w:rsidR="000A07C8">
        <w:rPr>
          <w:rFonts w:cs="Times New Roman"/>
          <w:color w:val="000000" w:themeColor="text1"/>
        </w:rPr>
        <w:t xml:space="preserve">in the EU </w:t>
      </w:r>
      <w:r w:rsidR="00D16829" w:rsidRPr="006963B5">
        <w:rPr>
          <w:rFonts w:cs="Times New Roman"/>
          <w:color w:val="000000" w:themeColor="text1"/>
        </w:rPr>
        <w:t>who purchase and regularly consume game meat</w:t>
      </w:r>
      <w:r w:rsidR="00D41CA0">
        <w:rPr>
          <w:rFonts w:cs="Times New Roman"/>
          <w:color w:val="000000" w:themeColor="text1"/>
        </w:rPr>
        <w:t xml:space="preserve">. </w:t>
      </w:r>
      <w:r w:rsidRPr="006963B5">
        <w:rPr>
          <w:rFonts w:cs="Times New Roman"/>
          <w:color w:val="000000" w:themeColor="text1"/>
        </w:rPr>
        <w:t xml:space="preserve">This </w:t>
      </w:r>
      <w:r w:rsidR="00DF3612" w:rsidRPr="006963B5">
        <w:rPr>
          <w:rFonts w:cs="Times New Roman"/>
          <w:color w:val="000000" w:themeColor="text1"/>
        </w:rPr>
        <w:t xml:space="preserve">change </w:t>
      </w:r>
      <w:r w:rsidRPr="006963B5">
        <w:rPr>
          <w:rFonts w:cs="Times New Roman"/>
          <w:color w:val="000000" w:themeColor="text1"/>
        </w:rPr>
        <w:t xml:space="preserve">can be achieved by an amendment of existing regulations on the EC MLs of lead in meat. </w:t>
      </w:r>
      <w:r w:rsidR="00D16829">
        <w:rPr>
          <w:rFonts w:cs="Times New Roman"/>
          <w:color w:val="000000" w:themeColor="text1"/>
        </w:rPr>
        <w:t xml:space="preserve">An EC action on MLs would </w:t>
      </w:r>
      <w:r w:rsidR="000A07C8">
        <w:rPr>
          <w:rFonts w:cs="Times New Roman"/>
          <w:color w:val="000000" w:themeColor="text1"/>
        </w:rPr>
        <w:t xml:space="preserve">also </w:t>
      </w:r>
      <w:r w:rsidR="00D16829">
        <w:rPr>
          <w:rFonts w:cs="Times New Roman"/>
          <w:color w:val="000000" w:themeColor="text1"/>
        </w:rPr>
        <w:t xml:space="preserve">stimulate setting international standards applicable to game meats imported into the EU. </w:t>
      </w:r>
      <w:r w:rsidRPr="006963B5">
        <w:rPr>
          <w:rFonts w:cs="Times New Roman"/>
          <w:color w:val="000000" w:themeColor="text1"/>
        </w:rPr>
        <w:t xml:space="preserve">MLs would also provide a </w:t>
      </w:r>
      <w:r w:rsidR="00D41CA0">
        <w:rPr>
          <w:rFonts w:cs="Times New Roman"/>
          <w:color w:val="000000" w:themeColor="text1"/>
        </w:rPr>
        <w:t xml:space="preserve">monitoring </w:t>
      </w:r>
      <w:r w:rsidRPr="006963B5">
        <w:rPr>
          <w:rFonts w:cs="Times New Roman"/>
          <w:color w:val="000000" w:themeColor="text1"/>
        </w:rPr>
        <w:t xml:space="preserve">mechanism for </w:t>
      </w:r>
      <w:r w:rsidR="00D16829">
        <w:rPr>
          <w:rFonts w:cs="Times New Roman"/>
          <w:color w:val="000000" w:themeColor="text1"/>
        </w:rPr>
        <w:t xml:space="preserve">Member States to </w:t>
      </w:r>
      <w:r w:rsidRPr="006963B5">
        <w:rPr>
          <w:rFonts w:cs="Times New Roman"/>
          <w:color w:val="000000" w:themeColor="text1"/>
        </w:rPr>
        <w:t>measur</w:t>
      </w:r>
      <w:r w:rsidR="00D16829">
        <w:rPr>
          <w:rFonts w:cs="Times New Roman"/>
          <w:color w:val="000000" w:themeColor="text1"/>
        </w:rPr>
        <w:t>e</w:t>
      </w:r>
      <w:r w:rsidRPr="006963B5">
        <w:rPr>
          <w:rFonts w:cs="Times New Roman"/>
          <w:color w:val="000000" w:themeColor="text1"/>
        </w:rPr>
        <w:t xml:space="preserve"> compliance with eventual bans on the use of lead ammunition</w:t>
      </w:r>
      <w:r w:rsidR="00D16829">
        <w:rPr>
          <w:rFonts w:cs="Times New Roman"/>
          <w:color w:val="000000" w:themeColor="text1"/>
        </w:rPr>
        <w:t>.</w:t>
      </w:r>
      <w:r w:rsidRPr="006963B5">
        <w:rPr>
          <w:rFonts w:cs="Times New Roman"/>
          <w:color w:val="000000" w:themeColor="text1"/>
        </w:rPr>
        <w:t xml:space="preserve"> Substitutes for all types of lead ammunition are available and in use in various European jurisdictions, and pose no economic barrier to their use. Current initiatives of the EC on lead reduction from ammunition are highly appropriate. If realized, they portend benefits to the health of humans and wildlife species that ingest lead</w:t>
      </w:r>
      <w:r w:rsidR="005E31D7" w:rsidRPr="006963B5">
        <w:rPr>
          <w:rFonts w:cs="Times New Roman"/>
          <w:color w:val="000000" w:themeColor="text1"/>
        </w:rPr>
        <w:t xml:space="preserve"> (Mateo et al. 2014)</w:t>
      </w:r>
      <w:r w:rsidRPr="006963B5">
        <w:rPr>
          <w:rFonts w:cs="Times New Roman"/>
          <w:color w:val="000000" w:themeColor="text1"/>
        </w:rPr>
        <w:t>, and the soils and waters of the environment that receive so much discharged lead each year.</w:t>
      </w:r>
    </w:p>
    <w:p w14:paraId="57948FAB" w14:textId="545CBEA0" w:rsidR="00FD7176" w:rsidRDefault="000A4AEA" w:rsidP="003A5C2E">
      <w:pPr>
        <w:tabs>
          <w:tab w:val="left" w:pos="1134"/>
        </w:tabs>
        <w:spacing w:line="480" w:lineRule="auto"/>
        <w:rPr>
          <w:rFonts w:cs="Times New Roman"/>
        </w:rPr>
      </w:pPr>
      <w:r w:rsidRPr="00F351D4">
        <w:rPr>
          <w:rFonts w:cs="Times New Roman"/>
          <w:b/>
        </w:rPr>
        <w:lastRenderedPageBreak/>
        <w:t>Acknowledgements</w:t>
      </w:r>
      <w:r w:rsidR="0082097D" w:rsidRPr="00F351D4">
        <w:rPr>
          <w:rFonts w:cs="Times New Roman"/>
          <w:b/>
        </w:rPr>
        <w:t xml:space="preserve"> </w:t>
      </w:r>
      <w:r w:rsidR="0082097D" w:rsidRPr="00F351D4">
        <w:rPr>
          <w:rFonts w:cs="Times New Roman"/>
        </w:rPr>
        <w:t>Funding for this paper was provided by the personal resources of the authors.</w:t>
      </w:r>
    </w:p>
    <w:p w14:paraId="2EE2C5C6" w14:textId="77777777" w:rsidR="00B74079" w:rsidRDefault="00B74079" w:rsidP="00AE33FC">
      <w:pPr>
        <w:tabs>
          <w:tab w:val="left" w:pos="1134"/>
        </w:tabs>
        <w:spacing w:line="480" w:lineRule="auto"/>
        <w:rPr>
          <w:rFonts w:cs="Times New Roman"/>
        </w:rPr>
      </w:pPr>
    </w:p>
    <w:p w14:paraId="62C93E9D" w14:textId="79588994" w:rsidR="00CF6101" w:rsidRPr="005F3319" w:rsidRDefault="000A4AEA" w:rsidP="00655B41">
      <w:pPr>
        <w:tabs>
          <w:tab w:val="left" w:pos="1134"/>
        </w:tabs>
        <w:rPr>
          <w:rFonts w:cs="Times New Roman"/>
          <w:b/>
          <w:color w:val="FF0000"/>
        </w:rPr>
      </w:pPr>
      <w:r w:rsidRPr="00254BF5">
        <w:rPr>
          <w:rFonts w:cs="Times New Roman"/>
          <w:b/>
        </w:rPr>
        <w:t>REFERENCES</w:t>
      </w:r>
      <w:r w:rsidR="002843F9" w:rsidRPr="00254BF5">
        <w:rPr>
          <w:rFonts w:cs="Times New Roman"/>
          <w:b/>
        </w:rPr>
        <w:t xml:space="preserve">  </w:t>
      </w:r>
      <w:r w:rsidR="004D6736">
        <w:rPr>
          <w:rFonts w:cs="Times New Roman"/>
          <w:b/>
        </w:rPr>
        <w:t xml:space="preserve"> </w:t>
      </w:r>
    </w:p>
    <w:p w14:paraId="7BF13EC4" w14:textId="1F92B07D" w:rsidR="00F17283" w:rsidRDefault="00216B77" w:rsidP="00655B41">
      <w:pPr>
        <w:pStyle w:val="BodyTextIndent"/>
        <w:widowControl w:val="0"/>
        <w:spacing w:afterLines="120" w:after="288"/>
        <w:ind w:left="709" w:hanging="709"/>
      </w:pPr>
      <w:r w:rsidRPr="00254BF5">
        <w:t xml:space="preserve">AB 711. 2013. Assembly Bill 711, Rendon. Hunting: </w:t>
      </w:r>
      <w:proofErr w:type="spellStart"/>
      <w:r w:rsidRPr="00254BF5">
        <w:t>nonlead</w:t>
      </w:r>
      <w:proofErr w:type="spellEnd"/>
      <w:r w:rsidRPr="00254BF5">
        <w:t xml:space="preserve"> ammunition. </w:t>
      </w:r>
      <w:proofErr w:type="gramStart"/>
      <w:r w:rsidRPr="00254BF5">
        <w:t>C</w:t>
      </w:r>
      <w:r w:rsidR="00D26F50" w:rsidRPr="00254BF5">
        <w:t>hapter</w:t>
      </w:r>
      <w:r w:rsidRPr="00254BF5">
        <w:t xml:space="preserve"> 742.</w:t>
      </w:r>
      <w:proofErr w:type="gramEnd"/>
      <w:r w:rsidRPr="00254BF5">
        <w:t xml:space="preserve"> </w:t>
      </w:r>
      <w:proofErr w:type="gramStart"/>
      <w:r w:rsidRPr="00254BF5">
        <w:t>An act to amend Section 3004.5 of the Fish and Game Code, relating to hunting.</w:t>
      </w:r>
      <w:proofErr w:type="gramEnd"/>
      <w:r w:rsidRPr="00254BF5">
        <w:t xml:space="preserve"> </w:t>
      </w:r>
      <w:hyperlink r:id="rId11" w:history="1">
        <w:r w:rsidR="00F17283" w:rsidRPr="00641C61">
          <w:rPr>
            <w:rStyle w:val="Hyperlink"/>
          </w:rPr>
          <w:t>http://leginfo.legislature.ca.gov/faces/billNavClient.xhtml?bill_id=201320140AB711</w:t>
        </w:r>
      </w:hyperlink>
    </w:p>
    <w:p w14:paraId="45750E21" w14:textId="66A64E31" w:rsidR="002A48CF" w:rsidRDefault="002A48CF" w:rsidP="00655B41">
      <w:pPr>
        <w:pStyle w:val="BodyTextIndent"/>
        <w:widowControl w:val="0"/>
        <w:spacing w:afterLines="120" w:after="288"/>
        <w:ind w:left="709" w:hanging="709"/>
      </w:pPr>
      <w:proofErr w:type="gramStart"/>
      <w:r w:rsidRPr="00254BF5">
        <w:t>ANSES</w:t>
      </w:r>
      <w:r w:rsidR="003A5C2E">
        <w:t>.</w:t>
      </w:r>
      <w:proofErr w:type="gramEnd"/>
      <w:r w:rsidRPr="00254BF5">
        <w:t xml:space="preserve"> 2018. AVIS de </w:t>
      </w:r>
      <w:proofErr w:type="spellStart"/>
      <w:r w:rsidRPr="00254BF5">
        <w:t>l’Agence</w:t>
      </w:r>
      <w:proofErr w:type="spellEnd"/>
      <w:r w:rsidRPr="00254BF5">
        <w:t xml:space="preserve"> </w:t>
      </w:r>
      <w:proofErr w:type="spellStart"/>
      <w:r w:rsidRPr="00254BF5">
        <w:t>nationale</w:t>
      </w:r>
      <w:proofErr w:type="spellEnd"/>
      <w:r w:rsidRPr="00254BF5">
        <w:t xml:space="preserve"> de </w:t>
      </w:r>
      <w:proofErr w:type="spellStart"/>
      <w:r w:rsidRPr="00254BF5">
        <w:t>sécurité</w:t>
      </w:r>
      <w:proofErr w:type="spellEnd"/>
      <w:r w:rsidRPr="00254BF5">
        <w:t xml:space="preserve"> sanitaire de </w:t>
      </w:r>
      <w:proofErr w:type="spellStart"/>
      <w:r w:rsidRPr="00254BF5">
        <w:t>l’alimentation</w:t>
      </w:r>
      <w:proofErr w:type="spellEnd"/>
      <w:r w:rsidRPr="00254BF5">
        <w:t xml:space="preserve">, de </w:t>
      </w:r>
      <w:proofErr w:type="spellStart"/>
      <w:r w:rsidRPr="00254BF5">
        <w:t>l’environnement</w:t>
      </w:r>
      <w:proofErr w:type="spellEnd"/>
      <w:r w:rsidRPr="00254BF5">
        <w:t xml:space="preserve"> et du travail </w:t>
      </w:r>
      <w:proofErr w:type="spellStart"/>
      <w:r w:rsidRPr="00254BF5">
        <w:t>relatif</w:t>
      </w:r>
      <w:proofErr w:type="spellEnd"/>
      <w:r w:rsidRPr="00254BF5">
        <w:t xml:space="preserve"> au “</w:t>
      </w:r>
      <w:proofErr w:type="spellStart"/>
      <w:r w:rsidRPr="00254BF5">
        <w:t>risque</w:t>
      </w:r>
      <w:proofErr w:type="spellEnd"/>
      <w:r w:rsidRPr="00254BF5">
        <w:t xml:space="preserve"> sanitaire </w:t>
      </w:r>
      <w:proofErr w:type="spellStart"/>
      <w:r w:rsidRPr="00254BF5">
        <w:t>lié</w:t>
      </w:r>
      <w:proofErr w:type="spellEnd"/>
      <w:r w:rsidRPr="00254BF5">
        <w:t xml:space="preserve"> à la </w:t>
      </w:r>
      <w:proofErr w:type="spellStart"/>
      <w:r w:rsidRPr="00254BF5">
        <w:t>consommation</w:t>
      </w:r>
      <w:proofErr w:type="spellEnd"/>
      <w:r w:rsidRPr="00254BF5">
        <w:t xml:space="preserve"> de </w:t>
      </w:r>
      <w:proofErr w:type="spellStart"/>
      <w:r w:rsidRPr="00254BF5">
        <w:t>gibier</w:t>
      </w:r>
      <w:proofErr w:type="spellEnd"/>
      <w:r w:rsidRPr="00254BF5">
        <w:t xml:space="preserve"> au regard des contaminants </w:t>
      </w:r>
      <w:proofErr w:type="spellStart"/>
      <w:r w:rsidRPr="00254BF5">
        <w:t>chimiques</w:t>
      </w:r>
      <w:proofErr w:type="spellEnd"/>
      <w:r w:rsidRPr="00254BF5">
        <w:t xml:space="preserve"> </w:t>
      </w:r>
      <w:proofErr w:type="spellStart"/>
      <w:r w:rsidRPr="00254BF5">
        <w:t>environnementaux</w:t>
      </w:r>
      <w:proofErr w:type="spellEnd"/>
      <w:r w:rsidRPr="00254BF5">
        <w:t xml:space="preserve"> (</w:t>
      </w:r>
      <w:proofErr w:type="spellStart"/>
      <w:r w:rsidRPr="00254BF5">
        <w:t>dioxines</w:t>
      </w:r>
      <w:proofErr w:type="spellEnd"/>
      <w:r w:rsidRPr="00254BF5">
        <w:t xml:space="preserve">, </w:t>
      </w:r>
      <w:proofErr w:type="spellStart"/>
      <w:r w:rsidRPr="00254BF5">
        <w:t>polychlorobiphényles</w:t>
      </w:r>
      <w:proofErr w:type="spellEnd"/>
      <w:r w:rsidRPr="00254BF5">
        <w:t xml:space="preserve"> (PCB), cadmium et </w:t>
      </w:r>
      <w:proofErr w:type="spellStart"/>
      <w:r w:rsidRPr="00254BF5">
        <w:t>plomb</w:t>
      </w:r>
      <w:proofErr w:type="spellEnd"/>
      <w:r w:rsidRPr="00254BF5">
        <w:t xml:space="preserve">)”. </w:t>
      </w:r>
      <w:proofErr w:type="gramStart"/>
      <w:r w:rsidRPr="00254BF5">
        <w:t xml:space="preserve">Avis de </w:t>
      </w:r>
      <w:proofErr w:type="spellStart"/>
      <w:r w:rsidRPr="00254BF5">
        <w:t>l’ANSES</w:t>
      </w:r>
      <w:proofErr w:type="spellEnd"/>
      <w:r w:rsidRPr="00254BF5">
        <w:t xml:space="preserve"> </w:t>
      </w:r>
      <w:proofErr w:type="spellStart"/>
      <w:r w:rsidRPr="00254BF5">
        <w:t>Saisine</w:t>
      </w:r>
      <w:proofErr w:type="spellEnd"/>
      <w:r w:rsidRPr="00254BF5">
        <w:t xml:space="preserve"> n° 2015-SA-0109.</w:t>
      </w:r>
      <w:proofErr w:type="gramEnd"/>
      <w:r w:rsidRPr="00254BF5">
        <w:t xml:space="preserve"> ANSES 14 Rue Pierre </w:t>
      </w:r>
      <w:proofErr w:type="gramStart"/>
      <w:r w:rsidRPr="00254BF5">
        <w:t>et</w:t>
      </w:r>
      <w:proofErr w:type="gramEnd"/>
      <w:r w:rsidRPr="00254BF5">
        <w:t xml:space="preserve"> Marie Curie, 94701 Maisons-Alfort </w:t>
      </w:r>
      <w:proofErr w:type="spellStart"/>
      <w:r w:rsidRPr="00254BF5">
        <w:t>Cedex</w:t>
      </w:r>
      <w:proofErr w:type="spellEnd"/>
      <w:r w:rsidRPr="00254BF5">
        <w:t xml:space="preserve">. Accessed January, 2019, from: </w:t>
      </w:r>
      <w:hyperlink r:id="rId12" w:history="1">
        <w:r w:rsidR="00430FEF" w:rsidRPr="00641C61">
          <w:rPr>
            <w:rStyle w:val="Hyperlink"/>
          </w:rPr>
          <w:t>https://www.anses.fr/fr/content/consommation-de-gibier-sauvage-agir-pour-r%C3%A9duire-les-expositions-aux-contaminants-chimiques</w:t>
        </w:r>
      </w:hyperlink>
    </w:p>
    <w:p w14:paraId="2406130E" w14:textId="5A00CA56" w:rsidR="00430FEF" w:rsidRPr="00254BF5" w:rsidRDefault="00430FEF" w:rsidP="00655B41">
      <w:pPr>
        <w:spacing w:afterLines="120" w:after="288"/>
        <w:ind w:left="709" w:hanging="709"/>
      </w:pPr>
      <w:proofErr w:type="spellStart"/>
      <w:r w:rsidRPr="00254BF5">
        <w:rPr>
          <w:rFonts w:cs="Times New Roman"/>
        </w:rPr>
        <w:t>Barkham</w:t>
      </w:r>
      <w:proofErr w:type="spellEnd"/>
      <w:r w:rsidRPr="00254BF5">
        <w:rPr>
          <w:rFonts w:cs="Times New Roman"/>
        </w:rPr>
        <w:t>, P. 2019. Waitrose stops sales of birds shot with lead as experts call for UK ban. Studies highlight risk to health of humans and wildlife from toxic particles in meat. The Guardian Mon 29 Jul 2019 14.14 BST</w:t>
      </w:r>
      <w:r w:rsidR="00CF1AF5">
        <w:rPr>
          <w:rFonts w:cs="Times New Roman"/>
        </w:rPr>
        <w:t xml:space="preserve"> </w:t>
      </w:r>
      <w:r w:rsidRPr="00254BF5">
        <w:rPr>
          <w:rFonts w:cs="Times New Roman"/>
        </w:rPr>
        <w:t>Last modified on Mon 29 Jul 2019 20.10 BST https://www.theguardian.com/business/2019/jul/29/experts-call-for-ban-on-lead-shot-as-waitrose-overhauls-sale-of-game</w:t>
      </w:r>
    </w:p>
    <w:p w14:paraId="36ABE13B" w14:textId="306EEE0C" w:rsidR="00012AEF" w:rsidRPr="00254BF5" w:rsidRDefault="00012AEF" w:rsidP="00655B41">
      <w:pPr>
        <w:spacing w:afterLines="120" w:after="288"/>
        <w:ind w:left="709" w:hanging="709"/>
        <w:rPr>
          <w:rFonts w:cs="Times New Roman"/>
        </w:rPr>
      </w:pPr>
      <w:proofErr w:type="gramStart"/>
      <w:r w:rsidRPr="00254BF5">
        <w:rPr>
          <w:rFonts w:cs="Times New Roman"/>
        </w:rPr>
        <w:t>BASC</w:t>
      </w:r>
      <w:r w:rsidR="00FF18D7">
        <w:rPr>
          <w:rFonts w:cs="Times New Roman"/>
        </w:rPr>
        <w:t>.</w:t>
      </w:r>
      <w:proofErr w:type="gramEnd"/>
      <w:r w:rsidRPr="00254BF5">
        <w:rPr>
          <w:rFonts w:cs="Times New Roman"/>
        </w:rPr>
        <w:t xml:space="preserve"> 2018</w:t>
      </w:r>
      <w:r w:rsidR="00967DAA">
        <w:rPr>
          <w:rFonts w:cs="Times New Roman"/>
        </w:rPr>
        <w:t>.</w:t>
      </w:r>
      <w:r w:rsidRPr="00254BF5">
        <w:rPr>
          <w:rFonts w:cs="Times New Roman"/>
        </w:rPr>
        <w:t xml:space="preserve"> </w:t>
      </w:r>
      <w:hyperlink r:id="rId13" w:history="1">
        <w:r w:rsidRPr="00254BF5">
          <w:rPr>
            <w:rStyle w:val="Hyperlink"/>
            <w:rFonts w:cs="Times New Roman"/>
          </w:rPr>
          <w:t>https://basc.org.uk/blog/uncategorized/game-sales-soar/</w:t>
        </w:r>
      </w:hyperlink>
    </w:p>
    <w:p w14:paraId="7AEC54B8" w14:textId="5957F4E3" w:rsidR="00012AEF" w:rsidRPr="00254BF5" w:rsidRDefault="00012AEF" w:rsidP="00655B41">
      <w:pPr>
        <w:spacing w:afterLines="120" w:after="288"/>
        <w:ind w:left="709" w:hanging="709"/>
        <w:rPr>
          <w:rFonts w:cs="Times New Roman"/>
        </w:rPr>
      </w:pPr>
      <w:proofErr w:type="gramStart"/>
      <w:r w:rsidRPr="00254BF5">
        <w:rPr>
          <w:rFonts w:cs="Times New Roman"/>
        </w:rPr>
        <w:t>BASC</w:t>
      </w:r>
      <w:r w:rsidR="00967DAA">
        <w:rPr>
          <w:rFonts w:cs="Times New Roman"/>
        </w:rPr>
        <w:t>.</w:t>
      </w:r>
      <w:proofErr w:type="gramEnd"/>
      <w:r w:rsidRPr="00254BF5">
        <w:rPr>
          <w:rFonts w:cs="Times New Roman"/>
        </w:rPr>
        <w:t xml:space="preserve"> 2019</w:t>
      </w:r>
      <w:r w:rsidR="00967DAA">
        <w:rPr>
          <w:rFonts w:cs="Times New Roman"/>
        </w:rPr>
        <w:t>.</w:t>
      </w:r>
      <w:r w:rsidRPr="00254BF5">
        <w:rPr>
          <w:rFonts w:cs="Times New Roman"/>
        </w:rPr>
        <w:t xml:space="preserve">  https://basc.org.uk/blog/press-releases/press-releases-press-releases/game-sales-bucking-the-trend/</w:t>
      </w:r>
    </w:p>
    <w:p w14:paraId="577B1133" w14:textId="1BE97BE9" w:rsidR="00D17C94" w:rsidRPr="00254BF5" w:rsidRDefault="00C51234" w:rsidP="00655B41">
      <w:pPr>
        <w:spacing w:afterLines="120" w:after="288"/>
        <w:ind w:left="709" w:hanging="709"/>
        <w:rPr>
          <w:rFonts w:cs="Times New Roman"/>
        </w:rPr>
      </w:pPr>
      <w:proofErr w:type="spellStart"/>
      <w:proofErr w:type="gramStart"/>
      <w:r w:rsidRPr="00254BF5">
        <w:rPr>
          <w:rFonts w:cs="Times New Roman"/>
        </w:rPr>
        <w:t>Bertolini</w:t>
      </w:r>
      <w:proofErr w:type="spellEnd"/>
      <w:r w:rsidRPr="00254BF5">
        <w:rPr>
          <w:rFonts w:cs="Times New Roman"/>
        </w:rPr>
        <w:t xml:space="preserve">, R., </w:t>
      </w:r>
      <w:proofErr w:type="spellStart"/>
      <w:r w:rsidRPr="00254BF5">
        <w:rPr>
          <w:rFonts w:cs="Times New Roman"/>
        </w:rPr>
        <w:t>Zgrabic</w:t>
      </w:r>
      <w:proofErr w:type="spellEnd"/>
      <w:r w:rsidRPr="00254BF5">
        <w:rPr>
          <w:rFonts w:cs="Times New Roman"/>
        </w:rPr>
        <w:t xml:space="preserve">, G., </w:t>
      </w:r>
      <w:r w:rsidR="00E438CA">
        <w:rPr>
          <w:rFonts w:cs="Times New Roman"/>
        </w:rPr>
        <w:t xml:space="preserve">and E. </w:t>
      </w:r>
      <w:proofErr w:type="spellStart"/>
      <w:r w:rsidRPr="00254BF5">
        <w:rPr>
          <w:rFonts w:cs="Times New Roman"/>
        </w:rPr>
        <w:t>Cuffolo</w:t>
      </w:r>
      <w:proofErr w:type="spellEnd"/>
      <w:r w:rsidRPr="00254BF5">
        <w:rPr>
          <w:rFonts w:cs="Times New Roman"/>
        </w:rPr>
        <w:t>.</w:t>
      </w:r>
      <w:proofErr w:type="gramEnd"/>
      <w:r w:rsidRPr="00254BF5">
        <w:rPr>
          <w:rFonts w:cs="Times New Roman"/>
        </w:rPr>
        <w:t xml:space="preserve"> 2005. Wild game meat: products, markets, legislation and processing countries. </w:t>
      </w:r>
      <w:r w:rsidRPr="00430FEF">
        <w:rPr>
          <w:rFonts w:cs="Times New Roman"/>
          <w:i/>
        </w:rPr>
        <w:t>Veterinary Research Communications</w:t>
      </w:r>
      <w:r w:rsidRPr="00254BF5">
        <w:rPr>
          <w:rFonts w:cs="Times New Roman"/>
        </w:rPr>
        <w:t xml:space="preserve"> 29: 97-100. </w:t>
      </w:r>
      <w:r w:rsidR="009F0A0B">
        <w:rPr>
          <w:rFonts w:cs="Times New Roman"/>
        </w:rPr>
        <w:t>https://d</w:t>
      </w:r>
      <w:r w:rsidRPr="00254BF5">
        <w:rPr>
          <w:rFonts w:cs="Times New Roman"/>
        </w:rPr>
        <w:t>oi: 10.1007/s11259-005-0029-x.</w:t>
      </w:r>
    </w:p>
    <w:p w14:paraId="0A164793" w14:textId="69009EDE" w:rsidR="006B3609" w:rsidRPr="00254BF5" w:rsidRDefault="006B3609" w:rsidP="00655B41">
      <w:pPr>
        <w:spacing w:afterLines="120" w:after="288"/>
        <w:ind w:left="709" w:hanging="709"/>
      </w:pPr>
      <w:proofErr w:type="spellStart"/>
      <w:proofErr w:type="gramStart"/>
      <w:r w:rsidRPr="00254BF5">
        <w:t>Bierkens</w:t>
      </w:r>
      <w:proofErr w:type="spellEnd"/>
      <w:r w:rsidRPr="00254BF5">
        <w:t xml:space="preserve">, J., </w:t>
      </w:r>
      <w:r w:rsidR="00E438CA">
        <w:t xml:space="preserve">J. </w:t>
      </w:r>
      <w:proofErr w:type="spellStart"/>
      <w:r w:rsidRPr="00254BF5">
        <w:t>Buekers</w:t>
      </w:r>
      <w:proofErr w:type="spellEnd"/>
      <w:r w:rsidRPr="00254BF5">
        <w:t xml:space="preserve">, </w:t>
      </w:r>
      <w:r w:rsidR="00E438CA">
        <w:t xml:space="preserve">M. </w:t>
      </w:r>
      <w:r w:rsidRPr="00254BF5">
        <w:t xml:space="preserve">Van </w:t>
      </w:r>
      <w:proofErr w:type="spellStart"/>
      <w:r w:rsidRPr="00254BF5">
        <w:t>Holderbeke</w:t>
      </w:r>
      <w:proofErr w:type="spellEnd"/>
      <w:r w:rsidRPr="00254BF5">
        <w:t xml:space="preserve">, and </w:t>
      </w:r>
      <w:r w:rsidR="00E438CA">
        <w:t xml:space="preserve">R. </w:t>
      </w:r>
      <w:proofErr w:type="spellStart"/>
      <w:r w:rsidRPr="00254BF5">
        <w:t>Torfs</w:t>
      </w:r>
      <w:proofErr w:type="spellEnd"/>
      <w:r w:rsidRPr="00254BF5">
        <w:t>.</w:t>
      </w:r>
      <w:proofErr w:type="gramEnd"/>
      <w:r w:rsidRPr="00254BF5">
        <w:t xml:space="preserve"> 2012. Health impact assessment and monetary valuation of IQ loss in pre-school children due to lead exposure through locally produced food. </w:t>
      </w:r>
      <w:r w:rsidRPr="00254BF5">
        <w:rPr>
          <w:i/>
        </w:rPr>
        <w:t>Science of the Total Environment</w:t>
      </w:r>
      <w:r w:rsidRPr="00254BF5">
        <w:t xml:space="preserve"> 414: 90-97. </w:t>
      </w:r>
      <w:r w:rsidR="009F0A0B">
        <w:t>https://d</w:t>
      </w:r>
      <w:r w:rsidRPr="00254BF5">
        <w:t xml:space="preserve">oi.org/10.1016/j.scitotenv.2011.10.048  </w:t>
      </w:r>
    </w:p>
    <w:p w14:paraId="02310AD5" w14:textId="48BD0AC5" w:rsidR="00871DBD" w:rsidRPr="00254BF5" w:rsidRDefault="00871DBD" w:rsidP="00655B41">
      <w:pPr>
        <w:spacing w:afterLines="120" w:after="288"/>
        <w:ind w:left="709" w:hanging="709"/>
        <w:rPr>
          <w:rFonts w:cs="Times New Roman"/>
        </w:rPr>
      </w:pPr>
      <w:proofErr w:type="spellStart"/>
      <w:proofErr w:type="gramStart"/>
      <w:r w:rsidRPr="00254BF5">
        <w:rPr>
          <w:rFonts w:cs="Times New Roman"/>
        </w:rPr>
        <w:t>Budtz-Jørgensen</w:t>
      </w:r>
      <w:proofErr w:type="spellEnd"/>
      <w:r w:rsidRPr="00254BF5">
        <w:rPr>
          <w:rFonts w:cs="Times New Roman"/>
        </w:rPr>
        <w:t>, E., 2010.</w:t>
      </w:r>
      <w:proofErr w:type="gramEnd"/>
      <w:r w:rsidRPr="00254BF5">
        <w:rPr>
          <w:rFonts w:cs="Times New Roman"/>
        </w:rPr>
        <w:t xml:space="preserve"> An international pooled analysis for obtaining a benchmark dose for 2 environmental lead, </w:t>
      </w:r>
      <w:proofErr w:type="gramStart"/>
      <w:r w:rsidRPr="00254BF5">
        <w:rPr>
          <w:rFonts w:cs="Times New Roman"/>
        </w:rPr>
        <w:t>exposure</w:t>
      </w:r>
      <w:proofErr w:type="gramEnd"/>
      <w:r w:rsidRPr="00254BF5">
        <w:rPr>
          <w:rFonts w:cs="Times New Roman"/>
        </w:rPr>
        <w:t xml:space="preserve"> in children. Scientific/Technical Report submitted to EFSA. Available from www.efsa.europa.eu</w:t>
      </w:r>
    </w:p>
    <w:p w14:paraId="274FC332" w14:textId="2568F570" w:rsidR="005550B0" w:rsidRPr="00254BF5" w:rsidRDefault="005550B0" w:rsidP="00655B41">
      <w:pPr>
        <w:spacing w:afterLines="120" w:after="288"/>
        <w:ind w:left="709" w:hanging="709"/>
        <w:rPr>
          <w:rFonts w:cs="Times New Roman"/>
        </w:rPr>
      </w:pPr>
      <w:r w:rsidRPr="00254BF5">
        <w:rPr>
          <w:rFonts w:cs="Times New Roman"/>
        </w:rPr>
        <w:t>CA</w:t>
      </w:r>
      <w:r w:rsidR="00E63F0A">
        <w:rPr>
          <w:rFonts w:cs="Times New Roman"/>
        </w:rPr>
        <w:t>.</w:t>
      </w:r>
      <w:r w:rsidRPr="00254BF5">
        <w:rPr>
          <w:rFonts w:cs="Times New Roman"/>
        </w:rPr>
        <w:t xml:space="preserve"> 2019 - https://basc.org.uk/blog/uncategorized/game-sales-soar/; </w:t>
      </w:r>
      <w:hyperlink r:id="rId14" w:history="1">
        <w:r w:rsidR="00EF0218" w:rsidRPr="00254BF5">
          <w:rPr>
            <w:rStyle w:val="Hyperlink"/>
            <w:rFonts w:cs="Times New Roman"/>
          </w:rPr>
          <w:t>https://basc.org.uk/blog/press-releases/press-releases-press-releases/game-sales-bucking-the-trend/</w:t>
        </w:r>
      </w:hyperlink>
    </w:p>
    <w:p w14:paraId="6E74D130" w14:textId="284588F4" w:rsidR="002073DA" w:rsidRPr="00254BF5" w:rsidRDefault="002073DA" w:rsidP="00655B41">
      <w:pPr>
        <w:spacing w:afterLines="120" w:after="288"/>
        <w:ind w:left="709" w:hanging="709"/>
        <w:rPr>
          <w:rFonts w:cs="Times New Roman"/>
        </w:rPr>
      </w:pPr>
      <w:proofErr w:type="spellStart"/>
      <w:proofErr w:type="gramStart"/>
      <w:r w:rsidRPr="00254BF5">
        <w:rPr>
          <w:rFonts w:cs="Times New Roman"/>
        </w:rPr>
        <w:lastRenderedPageBreak/>
        <w:t>Cartró-Sabaté</w:t>
      </w:r>
      <w:proofErr w:type="spellEnd"/>
      <w:r w:rsidRPr="00254BF5">
        <w:rPr>
          <w:rFonts w:cs="Times New Roman"/>
        </w:rPr>
        <w:t xml:space="preserve">, M., </w:t>
      </w:r>
      <w:r w:rsidR="00025C77">
        <w:rPr>
          <w:rFonts w:cs="Times New Roman"/>
        </w:rPr>
        <w:t xml:space="preserve">P. </w:t>
      </w:r>
      <w:r w:rsidRPr="00254BF5">
        <w:rPr>
          <w:rFonts w:cs="Times New Roman"/>
        </w:rPr>
        <w:t xml:space="preserve">Mayor, </w:t>
      </w:r>
      <w:r w:rsidR="00025C77">
        <w:rPr>
          <w:rFonts w:cs="Times New Roman"/>
        </w:rPr>
        <w:t xml:space="preserve">M. </w:t>
      </w:r>
      <w:proofErr w:type="spellStart"/>
      <w:r w:rsidRPr="00254BF5">
        <w:rPr>
          <w:rFonts w:cs="Times New Roman"/>
        </w:rPr>
        <w:t>Orta-Martínez</w:t>
      </w:r>
      <w:proofErr w:type="spellEnd"/>
      <w:r w:rsidRPr="00254BF5">
        <w:rPr>
          <w:rFonts w:cs="Times New Roman"/>
        </w:rPr>
        <w:t xml:space="preserve">, </w:t>
      </w:r>
      <w:r w:rsidR="00025C77">
        <w:rPr>
          <w:rFonts w:cs="Times New Roman"/>
        </w:rPr>
        <w:t xml:space="preserve">and A. </w:t>
      </w:r>
      <w:proofErr w:type="spellStart"/>
      <w:r w:rsidRPr="00254BF5">
        <w:rPr>
          <w:rFonts w:cs="Times New Roman"/>
        </w:rPr>
        <w:t>Rosell-Melé</w:t>
      </w:r>
      <w:proofErr w:type="spellEnd"/>
      <w:r w:rsidRPr="00254BF5">
        <w:rPr>
          <w:rFonts w:cs="Times New Roman"/>
        </w:rPr>
        <w:t>.</w:t>
      </w:r>
      <w:proofErr w:type="gramEnd"/>
      <w:r w:rsidRPr="00254BF5">
        <w:rPr>
          <w:rFonts w:cs="Times New Roman"/>
        </w:rPr>
        <w:t xml:space="preserve"> 2019. Anthropogenic lead in Amazonian wildlife.  </w:t>
      </w:r>
      <w:r w:rsidRPr="00CF1AF5">
        <w:rPr>
          <w:rFonts w:cs="Times New Roman"/>
          <w:i/>
        </w:rPr>
        <w:t>Nature Sustainability</w:t>
      </w:r>
      <w:r w:rsidR="00025C77">
        <w:rPr>
          <w:rFonts w:cs="Times New Roman"/>
        </w:rPr>
        <w:t xml:space="preserve"> </w:t>
      </w:r>
      <w:r w:rsidRPr="00254BF5">
        <w:rPr>
          <w:rFonts w:cs="Times New Roman"/>
        </w:rPr>
        <w:t xml:space="preserve">2: 702-709. </w:t>
      </w:r>
      <w:r w:rsidR="00113ACE">
        <w:rPr>
          <w:rFonts w:cs="Times New Roman"/>
        </w:rPr>
        <w:t>https://doi</w:t>
      </w:r>
      <w:r w:rsidRPr="00254BF5">
        <w:rPr>
          <w:rFonts w:cs="Times New Roman"/>
        </w:rPr>
        <w:t>: 10.1038/s41893-019-0338-7</w:t>
      </w:r>
      <w:r w:rsidR="00113ACE">
        <w:rPr>
          <w:rFonts w:cs="Times New Roman"/>
        </w:rPr>
        <w:t>.</w:t>
      </w:r>
      <w:r w:rsidRPr="00254BF5">
        <w:rPr>
          <w:rFonts w:cs="Times New Roman"/>
        </w:rPr>
        <w:t xml:space="preserve">  </w:t>
      </w:r>
    </w:p>
    <w:p w14:paraId="41E5D48A" w14:textId="220C013A" w:rsidR="00EF0218" w:rsidRPr="00254BF5" w:rsidRDefault="00EF0218" w:rsidP="00655B41">
      <w:pPr>
        <w:spacing w:afterLines="120" w:after="288"/>
        <w:ind w:left="709" w:hanging="709"/>
        <w:contextualSpacing/>
      </w:pPr>
      <w:proofErr w:type="gramStart"/>
      <w:r w:rsidRPr="00254BF5">
        <w:t xml:space="preserve">Campbell, P. M., </w:t>
      </w:r>
      <w:r w:rsidR="000179E5">
        <w:t xml:space="preserve">E. </w:t>
      </w:r>
      <w:proofErr w:type="spellStart"/>
      <w:r w:rsidRPr="00254BF5">
        <w:t>Corneau</w:t>
      </w:r>
      <w:proofErr w:type="spellEnd"/>
      <w:r w:rsidRPr="00254BF5">
        <w:t xml:space="preserve">, </w:t>
      </w:r>
      <w:r w:rsidR="000179E5">
        <w:t>D.</w:t>
      </w:r>
      <w:r w:rsidRPr="00254BF5">
        <w:t xml:space="preserve"> Nishimura,</w:t>
      </w:r>
      <w:r w:rsidR="000179E5">
        <w:t xml:space="preserve"> E.</w:t>
      </w:r>
      <w:r w:rsidRPr="00254BF5">
        <w:t xml:space="preserve"> </w:t>
      </w:r>
      <w:proofErr w:type="spellStart"/>
      <w:r w:rsidRPr="00254BF5">
        <w:t>Teng</w:t>
      </w:r>
      <w:proofErr w:type="spellEnd"/>
      <w:r w:rsidRPr="00254BF5">
        <w:t xml:space="preserve">, and </w:t>
      </w:r>
      <w:r w:rsidR="000179E5">
        <w:t xml:space="preserve">D. </w:t>
      </w:r>
      <w:proofErr w:type="spellStart"/>
      <w:r w:rsidRPr="00254BF5">
        <w:t>Ekoualla</w:t>
      </w:r>
      <w:proofErr w:type="spellEnd"/>
      <w:r w:rsidRPr="00254BF5">
        <w:t>.</w:t>
      </w:r>
      <w:proofErr w:type="gramEnd"/>
      <w:r w:rsidRPr="00254BF5">
        <w:t xml:space="preserve"> 2018. Cost-benefit analysis for a lead wheel weight phase-out in Canada. </w:t>
      </w:r>
      <w:r w:rsidRPr="00254BF5">
        <w:rPr>
          <w:i/>
        </w:rPr>
        <w:t>Science of the Total Environment</w:t>
      </w:r>
      <w:r w:rsidRPr="00254BF5">
        <w:t xml:space="preserve"> 637:79-90. </w:t>
      </w:r>
      <w:r w:rsidR="00113ACE">
        <w:t>https://</w:t>
      </w:r>
      <w:r w:rsidRPr="00254BF5">
        <w:t xml:space="preserve">doi: </w:t>
      </w:r>
      <w:r w:rsidR="00C03BFF" w:rsidRPr="00254BF5">
        <w:t>10.1016/j.scitotenv.2018.04.414</w:t>
      </w:r>
      <w:r w:rsidR="000179E5">
        <w:t>.</w:t>
      </w:r>
    </w:p>
    <w:p w14:paraId="0F6A6029" w14:textId="77777777" w:rsidR="00C03BFF" w:rsidRPr="00254BF5" w:rsidRDefault="00C03BFF" w:rsidP="00655B41">
      <w:pPr>
        <w:spacing w:afterLines="120" w:after="288"/>
        <w:ind w:left="709" w:hanging="709"/>
        <w:contextualSpacing/>
      </w:pPr>
    </w:p>
    <w:p w14:paraId="17E2A4EB" w14:textId="629AD5EF" w:rsidR="005550B0" w:rsidRPr="00254BF5" w:rsidRDefault="005550B0" w:rsidP="00655B41">
      <w:pPr>
        <w:autoSpaceDE w:val="0"/>
        <w:autoSpaceDN w:val="0"/>
        <w:adjustRightInd w:val="0"/>
        <w:spacing w:afterLines="120" w:after="288"/>
        <w:ind w:left="709" w:hanging="709"/>
        <w:rPr>
          <w:rFonts w:cs="Times New Roman"/>
          <w:color w:val="000000"/>
        </w:rPr>
      </w:pPr>
      <w:proofErr w:type="gramStart"/>
      <w:r w:rsidRPr="00254BF5">
        <w:rPr>
          <w:rFonts w:cs="Times New Roman"/>
          <w:color w:val="000000"/>
        </w:rPr>
        <w:t xml:space="preserve">Codex </w:t>
      </w:r>
      <w:proofErr w:type="spellStart"/>
      <w:r w:rsidRPr="00254BF5">
        <w:rPr>
          <w:rFonts w:cs="Times New Roman"/>
          <w:color w:val="000000"/>
        </w:rPr>
        <w:t>Alimentarius</w:t>
      </w:r>
      <w:proofErr w:type="spellEnd"/>
      <w:r w:rsidRPr="00254BF5">
        <w:rPr>
          <w:rFonts w:cs="Times New Roman"/>
          <w:color w:val="000000"/>
        </w:rPr>
        <w:t>.</w:t>
      </w:r>
      <w:proofErr w:type="gramEnd"/>
      <w:r w:rsidRPr="00254BF5">
        <w:rPr>
          <w:rFonts w:cs="Times New Roman"/>
          <w:color w:val="000000"/>
        </w:rPr>
        <w:t xml:space="preserve"> 2004. Code of </w:t>
      </w:r>
      <w:r w:rsidR="00B47079" w:rsidRPr="00254BF5">
        <w:rPr>
          <w:rFonts w:cs="Times New Roman"/>
          <w:color w:val="000000"/>
        </w:rPr>
        <w:t xml:space="preserve">Practice for the prevention and </w:t>
      </w:r>
      <w:r w:rsidRPr="00254BF5">
        <w:rPr>
          <w:rFonts w:cs="Times New Roman"/>
          <w:color w:val="000000"/>
        </w:rPr>
        <w:t xml:space="preserve">reduction of lead </w:t>
      </w:r>
      <w:r w:rsidR="00B47079" w:rsidRPr="00254BF5">
        <w:rPr>
          <w:rFonts w:cs="Times New Roman"/>
          <w:color w:val="000000"/>
        </w:rPr>
        <w:t xml:space="preserve">    </w:t>
      </w:r>
      <w:r w:rsidRPr="00254BF5">
        <w:rPr>
          <w:rFonts w:cs="Times New Roman"/>
          <w:color w:val="000000"/>
        </w:rPr>
        <w:t>contamination in foods. CAC/RCP 56-2004.</w:t>
      </w:r>
      <w:r w:rsidRPr="00254BF5">
        <w:rPr>
          <w:rFonts w:cs="Times New Roman"/>
          <w:color w:val="0000FF"/>
        </w:rPr>
        <w:t xml:space="preserve"> </w:t>
      </w:r>
      <w:hyperlink r:id="rId15" w:history="1">
        <w:r w:rsidRPr="00254BF5">
          <w:rPr>
            <w:rStyle w:val="Hyperlink"/>
            <w:rFonts w:cs="Times New Roman"/>
          </w:rPr>
          <w:t>http://www.codexalimentarius.org/standards/list-of-standards/</w:t>
        </w:r>
      </w:hyperlink>
      <w:r w:rsidRPr="00254BF5">
        <w:rPr>
          <w:rFonts w:cs="Times New Roman"/>
          <w:color w:val="000000"/>
        </w:rPr>
        <w:t>.</w:t>
      </w:r>
    </w:p>
    <w:p w14:paraId="1173D58C" w14:textId="5E632214" w:rsidR="005550B0" w:rsidRDefault="005550B0" w:rsidP="00655B41">
      <w:pPr>
        <w:autoSpaceDE w:val="0"/>
        <w:autoSpaceDN w:val="0"/>
        <w:adjustRightInd w:val="0"/>
        <w:spacing w:afterLines="120" w:after="288"/>
        <w:ind w:left="709" w:hanging="709"/>
        <w:rPr>
          <w:rFonts w:cs="Times New Roman"/>
          <w:color w:val="000000"/>
        </w:rPr>
      </w:pPr>
      <w:proofErr w:type="gramStart"/>
      <w:r w:rsidRPr="00254BF5">
        <w:rPr>
          <w:rFonts w:cs="Times New Roman"/>
          <w:color w:val="000000"/>
        </w:rPr>
        <w:t xml:space="preserve">Codex </w:t>
      </w:r>
      <w:proofErr w:type="spellStart"/>
      <w:r w:rsidRPr="00254BF5">
        <w:rPr>
          <w:rFonts w:cs="Times New Roman"/>
          <w:color w:val="000000"/>
        </w:rPr>
        <w:t>Alimentarius</w:t>
      </w:r>
      <w:proofErr w:type="spellEnd"/>
      <w:r w:rsidRPr="00254BF5">
        <w:rPr>
          <w:rFonts w:cs="Times New Roman"/>
          <w:color w:val="000000"/>
        </w:rPr>
        <w:t>.</w:t>
      </w:r>
      <w:proofErr w:type="gramEnd"/>
      <w:r w:rsidRPr="00254BF5">
        <w:rPr>
          <w:rFonts w:cs="Times New Roman"/>
          <w:color w:val="000000"/>
        </w:rPr>
        <w:t xml:space="preserve"> 2018. Genera</w:t>
      </w:r>
      <w:r w:rsidR="00B47079" w:rsidRPr="00254BF5">
        <w:rPr>
          <w:rFonts w:cs="Times New Roman"/>
          <w:color w:val="000000"/>
        </w:rPr>
        <w:t>l standard for contaminants and</w:t>
      </w:r>
      <w:r w:rsidRPr="00254BF5">
        <w:rPr>
          <w:rFonts w:cs="Times New Roman"/>
          <w:color w:val="000000"/>
        </w:rPr>
        <w:t xml:space="preserve"> </w:t>
      </w:r>
      <w:r w:rsidR="00B47079" w:rsidRPr="00254BF5">
        <w:rPr>
          <w:rFonts w:cs="Times New Roman"/>
          <w:color w:val="000000"/>
        </w:rPr>
        <w:t xml:space="preserve">toxins in food and feed CXS 193-1995. </w:t>
      </w:r>
      <w:proofErr w:type="gramStart"/>
      <w:r w:rsidR="00B47079" w:rsidRPr="00254BF5">
        <w:rPr>
          <w:rFonts w:cs="Times New Roman"/>
          <w:color w:val="000000"/>
        </w:rPr>
        <w:t>Adopted in 1995.</w:t>
      </w:r>
      <w:proofErr w:type="gramEnd"/>
      <w:r w:rsidR="00B47079" w:rsidRPr="00254BF5">
        <w:rPr>
          <w:rFonts w:cs="Times New Roman"/>
          <w:color w:val="000000"/>
        </w:rPr>
        <w:t xml:space="preserve"> </w:t>
      </w:r>
      <w:r w:rsidRPr="00254BF5">
        <w:rPr>
          <w:rFonts w:cs="Times New Roman"/>
          <w:color w:val="000000"/>
        </w:rPr>
        <w:t xml:space="preserve">Revised in 1997, 2006, 2008, </w:t>
      </w:r>
      <w:proofErr w:type="gramStart"/>
      <w:r w:rsidRPr="00254BF5">
        <w:rPr>
          <w:rFonts w:cs="Times New Roman"/>
          <w:color w:val="000000"/>
        </w:rPr>
        <w:t>2009</w:t>
      </w:r>
      <w:proofErr w:type="gramEnd"/>
      <w:r w:rsidRPr="00254BF5">
        <w:rPr>
          <w:rFonts w:cs="Times New Roman"/>
          <w:color w:val="000000"/>
        </w:rPr>
        <w:t>. Amended in 2010, 2012,</w:t>
      </w:r>
      <w:r w:rsidR="00A80E04">
        <w:rPr>
          <w:rFonts w:cs="Times New Roman"/>
          <w:color w:val="000000"/>
        </w:rPr>
        <w:t xml:space="preserve"> </w:t>
      </w:r>
      <w:r w:rsidRPr="00254BF5">
        <w:rPr>
          <w:rFonts w:cs="Times New Roman"/>
          <w:color w:val="000000"/>
        </w:rPr>
        <w:t xml:space="preserve">2013, 2014, 2015, 2016, 2017, </w:t>
      </w:r>
      <w:proofErr w:type="gramStart"/>
      <w:r w:rsidRPr="00254BF5">
        <w:rPr>
          <w:rFonts w:cs="Times New Roman"/>
          <w:color w:val="000000"/>
        </w:rPr>
        <w:t>2</w:t>
      </w:r>
      <w:r w:rsidR="00B47079" w:rsidRPr="00254BF5">
        <w:rPr>
          <w:rFonts w:cs="Times New Roman"/>
          <w:color w:val="000000"/>
        </w:rPr>
        <w:t>018</w:t>
      </w:r>
      <w:proofErr w:type="gramEnd"/>
      <w:r w:rsidR="00B47079" w:rsidRPr="00254BF5">
        <w:rPr>
          <w:rFonts w:cs="Times New Roman"/>
          <w:color w:val="000000"/>
        </w:rPr>
        <w:t xml:space="preserve">. Rome: Food and Agriculture </w:t>
      </w:r>
      <w:r w:rsidRPr="00254BF5">
        <w:rPr>
          <w:rFonts w:cs="Times New Roman"/>
          <w:color w:val="000000"/>
        </w:rPr>
        <w:t>Organisation.</w:t>
      </w:r>
    </w:p>
    <w:p w14:paraId="5A48CDBB" w14:textId="74685535" w:rsidR="003A0AED" w:rsidRDefault="003A0AED" w:rsidP="00655B41">
      <w:pPr>
        <w:autoSpaceDE w:val="0"/>
        <w:autoSpaceDN w:val="0"/>
        <w:adjustRightInd w:val="0"/>
        <w:spacing w:afterLines="120" w:after="288"/>
        <w:ind w:left="709" w:hanging="709"/>
        <w:rPr>
          <w:rFonts w:cs="Times New Roman"/>
          <w:color w:val="000000"/>
        </w:rPr>
      </w:pPr>
      <w:proofErr w:type="spellStart"/>
      <w:r>
        <w:rPr>
          <w:rFonts w:cs="Times New Roman"/>
          <w:color w:val="000000"/>
        </w:rPr>
        <w:t>Delahay</w:t>
      </w:r>
      <w:proofErr w:type="spellEnd"/>
      <w:r>
        <w:rPr>
          <w:rFonts w:cs="Times New Roman"/>
          <w:color w:val="000000"/>
        </w:rPr>
        <w:t>, R.J., and C.J. Spray (</w:t>
      </w:r>
      <w:proofErr w:type="gramStart"/>
      <w:r w:rsidR="00D82D50">
        <w:rPr>
          <w:rFonts w:cs="Times New Roman"/>
          <w:color w:val="000000"/>
        </w:rPr>
        <w:t>e</w:t>
      </w:r>
      <w:r>
        <w:rPr>
          <w:rFonts w:cs="Times New Roman"/>
          <w:color w:val="000000"/>
        </w:rPr>
        <w:t>ds</w:t>
      </w:r>
      <w:proofErr w:type="gramEnd"/>
      <w:r>
        <w:rPr>
          <w:rFonts w:cs="Times New Roman"/>
          <w:color w:val="000000"/>
        </w:rPr>
        <w:t xml:space="preserve">.). 2015. Proceedings of the Oxford Lead Symposium. Lead Ammunition: understanding and minimising the risks to human and environmental health. </w:t>
      </w:r>
      <w:r>
        <w:rPr>
          <w:rFonts w:cs="Times New Roman"/>
        </w:rPr>
        <w:t xml:space="preserve">Oxford: </w:t>
      </w:r>
      <w:r w:rsidRPr="00254BF5">
        <w:rPr>
          <w:rFonts w:cs="Times New Roman"/>
        </w:rPr>
        <w:t xml:space="preserve">Edward </w:t>
      </w:r>
      <w:r>
        <w:rPr>
          <w:rFonts w:cs="Times New Roman"/>
        </w:rPr>
        <w:t>G</w:t>
      </w:r>
      <w:r w:rsidRPr="00254BF5">
        <w:rPr>
          <w:rFonts w:cs="Times New Roman"/>
        </w:rPr>
        <w:t xml:space="preserve">rey Institute, </w:t>
      </w:r>
      <w:proofErr w:type="gramStart"/>
      <w:r w:rsidRPr="00254BF5">
        <w:rPr>
          <w:rFonts w:cs="Times New Roman"/>
        </w:rPr>
        <w:t>The</w:t>
      </w:r>
      <w:proofErr w:type="gramEnd"/>
      <w:r w:rsidRPr="00254BF5">
        <w:rPr>
          <w:rFonts w:cs="Times New Roman"/>
        </w:rPr>
        <w:t xml:space="preserve"> University of Oxford.</w:t>
      </w:r>
    </w:p>
    <w:p w14:paraId="34D93200" w14:textId="0EC41FBE" w:rsidR="00F35E87" w:rsidRPr="00254BF5" w:rsidRDefault="00F35E87" w:rsidP="009B61E1">
      <w:pPr>
        <w:autoSpaceDE w:val="0"/>
        <w:autoSpaceDN w:val="0"/>
        <w:adjustRightInd w:val="0"/>
        <w:spacing w:afterLines="120" w:after="288"/>
        <w:ind w:left="709" w:hanging="709"/>
        <w:rPr>
          <w:rFonts w:cs="Times New Roman"/>
          <w:color w:val="000000"/>
        </w:rPr>
      </w:pPr>
      <w:r w:rsidRPr="0044383A">
        <w:rPr>
          <w:rFonts w:cs="Times New Roman"/>
          <w:color w:val="000000"/>
          <w:lang w:val="da-DK"/>
        </w:rPr>
        <w:t xml:space="preserve">DJA. 2019. </w:t>
      </w:r>
      <w:r w:rsidR="00512EE6">
        <w:rPr>
          <w:rFonts w:cs="Times New Roman"/>
          <w:color w:val="000000"/>
          <w:lang w:val="da-DK"/>
        </w:rPr>
        <w:t>Danish Hunting Academy, R</w:t>
      </w:r>
      <w:r w:rsidR="00512EE6">
        <w:rPr>
          <w:rFonts w:cstheme="minorHAnsi"/>
          <w:color w:val="000000"/>
          <w:lang w:val="da-DK"/>
        </w:rPr>
        <w:t>ø</w:t>
      </w:r>
      <w:r w:rsidR="00512EE6">
        <w:rPr>
          <w:rFonts w:cs="Times New Roman"/>
          <w:color w:val="000000"/>
          <w:lang w:val="da-DK"/>
        </w:rPr>
        <w:t xml:space="preserve">nde, Denmark. </w:t>
      </w:r>
      <w:hyperlink r:id="rId16" w:history="1">
        <w:r w:rsidRPr="0044383A">
          <w:rPr>
            <w:rStyle w:val="Hyperlink"/>
            <w:lang w:val="da-DK"/>
          </w:rPr>
          <w:t>https://www.jaegerforbundet.dk/media/3015/vildt_kogebog_til_tryk_270115.pdf</w:t>
        </w:r>
      </w:hyperlink>
    </w:p>
    <w:p w14:paraId="0A56D0C2" w14:textId="5ADF2743" w:rsidR="00ED7DA7" w:rsidRPr="00254BF5" w:rsidRDefault="00ED7DA7" w:rsidP="0090540C">
      <w:pPr>
        <w:spacing w:afterLines="120" w:after="288"/>
        <w:ind w:left="709" w:hanging="709"/>
      </w:pPr>
      <w:proofErr w:type="spellStart"/>
      <w:proofErr w:type="gramStart"/>
      <w:r w:rsidRPr="00254BF5">
        <w:t>Dobrowolska</w:t>
      </w:r>
      <w:proofErr w:type="spellEnd"/>
      <w:r w:rsidRPr="00254BF5">
        <w:t xml:space="preserve">, A., and </w:t>
      </w:r>
      <w:r w:rsidR="0064316A">
        <w:t xml:space="preserve">M. </w:t>
      </w:r>
      <w:proofErr w:type="spellStart"/>
      <w:r w:rsidRPr="00254BF5">
        <w:t>Melosik</w:t>
      </w:r>
      <w:proofErr w:type="spellEnd"/>
      <w:r w:rsidRPr="00254BF5">
        <w:t>.</w:t>
      </w:r>
      <w:proofErr w:type="gramEnd"/>
      <w:r w:rsidRPr="00254BF5">
        <w:t xml:space="preserve"> 2008. Bullet-derived lead in tissues of the wild boar (</w:t>
      </w:r>
      <w:r w:rsidRPr="00254BF5">
        <w:rPr>
          <w:i/>
        </w:rPr>
        <w:t xml:space="preserve">Sus </w:t>
      </w:r>
      <w:proofErr w:type="spellStart"/>
      <w:r w:rsidRPr="00254BF5">
        <w:rPr>
          <w:i/>
        </w:rPr>
        <w:t>scrofa</w:t>
      </w:r>
      <w:proofErr w:type="spellEnd"/>
      <w:r w:rsidRPr="00254BF5">
        <w:t>) and red deer (</w:t>
      </w:r>
      <w:proofErr w:type="spellStart"/>
      <w:r w:rsidRPr="00254BF5">
        <w:rPr>
          <w:i/>
        </w:rPr>
        <w:t>Cervus</w:t>
      </w:r>
      <w:proofErr w:type="spellEnd"/>
      <w:r w:rsidRPr="00254BF5">
        <w:rPr>
          <w:i/>
        </w:rPr>
        <w:t xml:space="preserve"> </w:t>
      </w:r>
      <w:proofErr w:type="spellStart"/>
      <w:r w:rsidRPr="00254BF5">
        <w:rPr>
          <w:i/>
        </w:rPr>
        <w:t>elaphus</w:t>
      </w:r>
      <w:proofErr w:type="spellEnd"/>
      <w:r w:rsidRPr="00254BF5">
        <w:t xml:space="preserve">). </w:t>
      </w:r>
      <w:r w:rsidRPr="00254BF5">
        <w:rPr>
          <w:i/>
        </w:rPr>
        <w:t>European Journal of Wildlife Research</w:t>
      </w:r>
      <w:r w:rsidR="00C03BFF" w:rsidRPr="00254BF5">
        <w:t xml:space="preserve"> 54: 231-235.</w:t>
      </w:r>
      <w:r w:rsidR="00707060">
        <w:t xml:space="preserve"> https://doi</w:t>
      </w:r>
      <w:r w:rsidR="002A7B81">
        <w:t>:10.1007/s10344-007-0134-y.</w:t>
      </w:r>
    </w:p>
    <w:p w14:paraId="01DD2D6B" w14:textId="360C81AB" w:rsidR="00EF1E26" w:rsidRPr="00254BF5" w:rsidRDefault="00662377" w:rsidP="00655B41">
      <w:pPr>
        <w:autoSpaceDE w:val="0"/>
        <w:autoSpaceDN w:val="0"/>
        <w:adjustRightInd w:val="0"/>
        <w:spacing w:afterLines="120" w:after="288"/>
        <w:ind w:left="709" w:hanging="709"/>
        <w:rPr>
          <w:rFonts w:cs="Times New Roman"/>
          <w:color w:val="000000"/>
        </w:rPr>
      </w:pPr>
      <w:proofErr w:type="gramStart"/>
      <w:r w:rsidRPr="00254BF5">
        <w:rPr>
          <w:rFonts w:cs="Times New Roman"/>
          <w:color w:val="000000"/>
        </w:rPr>
        <w:t>EC.</w:t>
      </w:r>
      <w:proofErr w:type="gramEnd"/>
      <w:r w:rsidRPr="00254BF5">
        <w:rPr>
          <w:rFonts w:cs="Times New Roman"/>
          <w:color w:val="000000"/>
        </w:rPr>
        <w:t xml:space="preserve"> 2006. European Commission Regulation EC 1881/2006. </w:t>
      </w:r>
      <w:proofErr w:type="gramStart"/>
      <w:r w:rsidRPr="00254BF5">
        <w:rPr>
          <w:rFonts w:cs="Times New Roman"/>
          <w:color w:val="000000"/>
        </w:rPr>
        <w:t>Setting maximum levels for certain contaminants in foodstuffs.</w:t>
      </w:r>
      <w:proofErr w:type="gramEnd"/>
      <w:r w:rsidRPr="00254BF5">
        <w:rPr>
          <w:rFonts w:cs="Times New Roman"/>
          <w:color w:val="000000"/>
        </w:rPr>
        <w:t xml:space="preserve"> </w:t>
      </w:r>
      <w:proofErr w:type="gramStart"/>
      <w:r w:rsidRPr="00254BF5">
        <w:rPr>
          <w:rFonts w:cs="Times New Roman"/>
          <w:color w:val="000000"/>
        </w:rPr>
        <w:t>Official Journal of the European Union EC 1881/2006(20.12.2006), L364/365-L364/324.</w:t>
      </w:r>
      <w:proofErr w:type="gramEnd"/>
      <w:r w:rsidRPr="00254BF5">
        <w:rPr>
          <w:rFonts w:cs="Times New Roman"/>
          <w:color w:val="000000"/>
        </w:rPr>
        <w:t xml:space="preserve"> </w:t>
      </w:r>
      <w:hyperlink r:id="rId17" w:history="1">
        <w:r w:rsidRPr="00254BF5">
          <w:rPr>
            <w:rStyle w:val="Hyperlink"/>
            <w:rFonts w:cs="Times New Roman"/>
          </w:rPr>
          <w:t>http://eur-lex.europa.eu/legal-content/EN/TXT/?qid=1442063437890&amp;uri=CELEX:32006R1881</w:t>
        </w:r>
      </w:hyperlink>
      <w:r w:rsidRPr="00254BF5">
        <w:rPr>
          <w:rFonts w:cs="Times New Roman"/>
          <w:color w:val="000000"/>
        </w:rPr>
        <w:t>.</w:t>
      </w:r>
    </w:p>
    <w:p w14:paraId="139734D5" w14:textId="41A72BF6" w:rsidR="00662377" w:rsidRPr="00254BF5" w:rsidRDefault="00EF1E26" w:rsidP="00655B41">
      <w:pPr>
        <w:spacing w:afterLines="120" w:after="288"/>
        <w:ind w:left="709" w:hanging="709"/>
        <w:rPr>
          <w:rFonts w:eastAsia="CIDFont+F1" w:cs="CIDFont+F1"/>
        </w:rPr>
      </w:pPr>
      <w:proofErr w:type="gramStart"/>
      <w:r w:rsidRPr="00254BF5">
        <w:rPr>
          <w:rFonts w:eastAsia="CIDFont+F1" w:cs="CIDFont+F1"/>
        </w:rPr>
        <w:t>ECHA</w:t>
      </w:r>
      <w:r w:rsidR="003C7F86">
        <w:rPr>
          <w:rFonts w:eastAsia="CIDFont+F1" w:cs="CIDFont+F1"/>
        </w:rPr>
        <w:t>.</w:t>
      </w:r>
      <w:proofErr w:type="gramEnd"/>
      <w:r w:rsidRPr="00254BF5">
        <w:rPr>
          <w:rFonts w:eastAsia="CIDFont+F1" w:cs="CIDFont+F1"/>
        </w:rPr>
        <w:t xml:space="preserve"> 2011. Committee for Risk Assessment Committee (RAC) for Socio-economic Analysis (SEAC), background document to the opinions on Annex XV dossier proposing restrictions on lead and its compounds in jewellery. Retrieved November, 2018, from: http://echa.europa.eu/documents/10162/ab0baa</w:t>
      </w:r>
      <w:r w:rsidR="00C03BFF" w:rsidRPr="00254BF5">
        <w:rPr>
          <w:rFonts w:eastAsia="CIDFont+F1" w:cs="CIDFont+F1"/>
        </w:rPr>
        <w:t xml:space="preserve">9c-29f8-41e2-bcd9-42af796088d2 </w:t>
      </w:r>
    </w:p>
    <w:p w14:paraId="68B3A013" w14:textId="68270134" w:rsidR="00662377" w:rsidRDefault="00662377" w:rsidP="00655B41">
      <w:pPr>
        <w:spacing w:afterLines="120" w:after="288"/>
        <w:ind w:left="709" w:hanging="709"/>
        <w:rPr>
          <w:rFonts w:cs="Times New Roman"/>
        </w:rPr>
      </w:pPr>
      <w:proofErr w:type="gramStart"/>
      <w:r w:rsidRPr="00254BF5">
        <w:rPr>
          <w:rFonts w:cs="Times New Roman"/>
        </w:rPr>
        <w:t>ECHA.</w:t>
      </w:r>
      <w:proofErr w:type="gramEnd"/>
      <w:r w:rsidRPr="00254BF5">
        <w:rPr>
          <w:rFonts w:cs="Times New Roman"/>
        </w:rPr>
        <w:t xml:space="preserve"> 2018. A review of the available information on lead in shot used in terrestrial environments, in ammunition and in fishing tackle. Annex XV. Investigation Report Version Number 1.4. </w:t>
      </w:r>
      <w:proofErr w:type="gramStart"/>
      <w:r w:rsidRPr="00254BF5">
        <w:rPr>
          <w:rFonts w:cs="Times New Roman"/>
        </w:rPr>
        <w:t>European Chemi</w:t>
      </w:r>
      <w:r w:rsidR="00C03BFF" w:rsidRPr="00254BF5">
        <w:rPr>
          <w:rFonts w:cs="Times New Roman"/>
        </w:rPr>
        <w:t>cals Agency.</w:t>
      </w:r>
      <w:proofErr w:type="gramEnd"/>
      <w:r w:rsidR="00C03BFF" w:rsidRPr="00254BF5">
        <w:rPr>
          <w:rFonts w:cs="Times New Roman"/>
        </w:rPr>
        <w:t xml:space="preserve"> Helsinki, Finland.</w:t>
      </w:r>
    </w:p>
    <w:p w14:paraId="17248758" w14:textId="48F8E4F9" w:rsidR="008472A0" w:rsidRPr="00254BF5" w:rsidRDefault="003E3A53" w:rsidP="008472A0">
      <w:pPr>
        <w:spacing w:afterLines="120" w:after="288"/>
        <w:ind w:left="709" w:hanging="709"/>
        <w:rPr>
          <w:rFonts w:cs="Times New Roman"/>
        </w:rPr>
      </w:pPr>
      <w:proofErr w:type="gramStart"/>
      <w:r>
        <w:rPr>
          <w:rFonts w:cs="Times New Roman"/>
        </w:rPr>
        <w:t>ECHA.</w:t>
      </w:r>
      <w:proofErr w:type="gramEnd"/>
      <w:r>
        <w:rPr>
          <w:rFonts w:cs="Times New Roman"/>
        </w:rPr>
        <w:t xml:space="preserve"> 2019. Request from the European Commission to the European Chemicals Agency to prepare a restriction proposal on the placing on the market and use of lead in ammunition (gunshot and bullets) and of lead in fishing tackle conforming to the requirements of Annex XV to REACH.  </w:t>
      </w:r>
      <w:proofErr w:type="gramStart"/>
      <w:r>
        <w:rPr>
          <w:rFonts w:cs="Times New Roman"/>
        </w:rPr>
        <w:t xml:space="preserve">16 </w:t>
      </w:r>
      <w:r>
        <w:rPr>
          <w:rFonts w:cs="Times New Roman"/>
        </w:rPr>
        <w:lastRenderedPageBreak/>
        <w:t>July 2019.</w:t>
      </w:r>
      <w:r w:rsidRPr="003E3A53">
        <w:rPr>
          <w:rFonts w:cs="Times New Roman"/>
        </w:rPr>
        <w:t>https://echa.europa.eu/documents/10162/13641/rest_lead_ammunition_COM_request_en.pdf</w:t>
      </w:r>
      <w:r w:rsidR="00EE111E" w:rsidRPr="00254BF5">
        <w:rPr>
          <w:rFonts w:cs="Times New Roman"/>
          <w:color w:val="000000"/>
        </w:rPr>
        <w:t>.</w:t>
      </w:r>
      <w:proofErr w:type="gramEnd"/>
      <w:r w:rsidR="008472A0" w:rsidRPr="008472A0">
        <w:rPr>
          <w:rFonts w:cs="Times New Roman"/>
        </w:rPr>
        <w:t xml:space="preserve"> </w:t>
      </w:r>
      <w:r w:rsidR="008472A0" w:rsidRPr="003E3A53">
        <w:rPr>
          <w:rFonts w:cs="Times New Roman"/>
        </w:rPr>
        <w:t>/f607c957-807a-3b7c-07ae-01151001d939</w:t>
      </w:r>
    </w:p>
    <w:p w14:paraId="7876FD6A" w14:textId="6F68E91F" w:rsidR="00EE111E" w:rsidRPr="00254BF5" w:rsidRDefault="008472A0" w:rsidP="008472A0">
      <w:pPr>
        <w:spacing w:afterLines="120" w:after="288"/>
        <w:ind w:left="709" w:hanging="709"/>
        <w:rPr>
          <w:rFonts w:cs="Times New Roman"/>
          <w:color w:val="000000"/>
        </w:rPr>
      </w:pPr>
      <w:proofErr w:type="spellStart"/>
      <w:r w:rsidRPr="00254BF5">
        <w:rPr>
          <w:rFonts w:cs="Times New Roman"/>
          <w:color w:val="000000"/>
        </w:rPr>
        <w:t>Ecke</w:t>
      </w:r>
      <w:proofErr w:type="spellEnd"/>
      <w:r w:rsidRPr="000D63DE">
        <w:rPr>
          <w:rFonts w:cs="Times New Roman"/>
        </w:rPr>
        <w:t>,</w:t>
      </w:r>
      <w:r>
        <w:rPr>
          <w:rFonts w:cs="Times New Roman"/>
        </w:rPr>
        <w:t xml:space="preserve"> </w:t>
      </w:r>
      <w:r w:rsidRPr="000D63DE">
        <w:rPr>
          <w:rFonts w:cs="Times New Roman"/>
        </w:rPr>
        <w:t>F.,</w:t>
      </w:r>
      <w:r w:rsidRPr="000D63DE">
        <w:rPr>
          <w:rFonts w:eastAsia="AdvOT8608a8d1+22" w:cs="Times New Roman"/>
        </w:rPr>
        <w:t xml:space="preserve"> N.J. </w:t>
      </w:r>
      <w:r w:rsidRPr="000D63DE">
        <w:rPr>
          <w:rFonts w:cs="Times New Roman"/>
        </w:rPr>
        <w:t xml:space="preserve">Singh, </w:t>
      </w:r>
      <w:r>
        <w:rPr>
          <w:rFonts w:cs="Times New Roman"/>
          <w:color w:val="000000"/>
        </w:rPr>
        <w:t>J.M</w:t>
      </w:r>
      <w:r w:rsidRPr="009B43F4">
        <w:rPr>
          <w:rFonts w:cs="Times New Roman"/>
          <w:color w:val="000000"/>
        </w:rPr>
        <w:t xml:space="preserve">. </w:t>
      </w:r>
      <w:proofErr w:type="spellStart"/>
      <w:r w:rsidRPr="009B43F4">
        <w:rPr>
          <w:rFonts w:cs="Times New Roman"/>
          <w:color w:val="000000"/>
        </w:rPr>
        <w:t>Arnemo</w:t>
      </w:r>
      <w:proofErr w:type="spellEnd"/>
      <w:r w:rsidRPr="009B43F4">
        <w:rPr>
          <w:rFonts w:cs="Times New Roman"/>
          <w:color w:val="000000"/>
        </w:rPr>
        <w:t>, A.</w:t>
      </w:r>
      <w:r w:rsidRPr="009B43F4">
        <w:rPr>
          <w:rFonts w:cs="Times New Roman"/>
          <w:color w:val="082EFF"/>
        </w:rPr>
        <w:t xml:space="preserve"> </w:t>
      </w:r>
      <w:proofErr w:type="spellStart"/>
      <w:r w:rsidRPr="009B43F4">
        <w:rPr>
          <w:rFonts w:cs="Times New Roman"/>
          <w:color w:val="000000"/>
        </w:rPr>
        <w:t>Bignert</w:t>
      </w:r>
      <w:proofErr w:type="spellEnd"/>
      <w:r w:rsidRPr="009B43F4">
        <w:rPr>
          <w:rFonts w:cs="Times New Roman"/>
          <w:color w:val="000000"/>
        </w:rPr>
        <w:t xml:space="preserve">, B. </w:t>
      </w:r>
      <w:proofErr w:type="spellStart"/>
      <w:r w:rsidRPr="009B43F4">
        <w:rPr>
          <w:rFonts w:cs="Times New Roman"/>
          <w:color w:val="000000"/>
        </w:rPr>
        <w:t>Helander</w:t>
      </w:r>
      <w:proofErr w:type="spellEnd"/>
      <w:r w:rsidRPr="009B43F4">
        <w:rPr>
          <w:rFonts w:cs="Times New Roman"/>
          <w:color w:val="000000"/>
        </w:rPr>
        <w:t>, A.M.M. Berglund, H.</w:t>
      </w:r>
      <w:r w:rsidRPr="009B43F4">
        <w:rPr>
          <w:rFonts w:cs="Times New Roman"/>
          <w:color w:val="082EFF"/>
        </w:rPr>
        <w:t xml:space="preserve"> </w:t>
      </w:r>
      <w:r w:rsidRPr="009B43F4">
        <w:rPr>
          <w:rFonts w:cs="Times New Roman"/>
          <w:color w:val="000000"/>
        </w:rPr>
        <w:t xml:space="preserve">Borg,  C. </w:t>
      </w:r>
      <w:proofErr w:type="spellStart"/>
      <w:r w:rsidRPr="009B43F4">
        <w:rPr>
          <w:rFonts w:cs="Times New Roman"/>
          <w:color w:val="000000"/>
        </w:rPr>
        <w:t>Bröjer</w:t>
      </w:r>
      <w:proofErr w:type="spellEnd"/>
      <w:r w:rsidRPr="009B43F4">
        <w:rPr>
          <w:rFonts w:cs="Times New Roman"/>
          <w:color w:val="000000"/>
        </w:rPr>
        <w:t xml:space="preserve">,  K. Holm,  M. </w:t>
      </w:r>
      <w:proofErr w:type="spellStart"/>
      <w:r w:rsidRPr="009B43F4">
        <w:rPr>
          <w:rFonts w:cs="Times New Roman"/>
          <w:color w:val="000000"/>
        </w:rPr>
        <w:t>Lanzone</w:t>
      </w:r>
      <w:proofErr w:type="spellEnd"/>
      <w:r w:rsidRPr="009B43F4">
        <w:rPr>
          <w:rFonts w:cs="Times New Roman"/>
          <w:color w:val="000000"/>
        </w:rPr>
        <w:t>, T.</w:t>
      </w:r>
      <w:r w:rsidRPr="009B43F4">
        <w:rPr>
          <w:rFonts w:eastAsia="AdvOT8608a8d1+25" w:cs="Times New Roman"/>
          <w:color w:val="082EFF"/>
        </w:rPr>
        <w:t xml:space="preserve"> </w:t>
      </w:r>
      <w:r w:rsidRPr="009B43F4">
        <w:rPr>
          <w:rFonts w:cs="Times New Roman"/>
          <w:color w:val="000000"/>
        </w:rPr>
        <w:t>Miller,</w:t>
      </w:r>
      <w:r>
        <w:rPr>
          <w:rFonts w:cs="Times New Roman"/>
          <w:color w:val="000000"/>
        </w:rPr>
        <w:t xml:space="preserve">  A.</w:t>
      </w:r>
      <w:r w:rsidRPr="00254BF5">
        <w:rPr>
          <w:rFonts w:cs="Times New Roman"/>
          <w:color w:val="000000"/>
        </w:rPr>
        <w:t xml:space="preserve"> </w:t>
      </w:r>
      <w:proofErr w:type="spellStart"/>
      <w:r w:rsidRPr="00254BF5">
        <w:rPr>
          <w:rFonts w:cs="Times New Roman"/>
          <w:color w:val="000000"/>
        </w:rPr>
        <w:t>Nordström</w:t>
      </w:r>
      <w:proofErr w:type="spellEnd"/>
      <w:r w:rsidRPr="00254BF5">
        <w:rPr>
          <w:rFonts w:cs="Times New Roman"/>
          <w:color w:val="000000"/>
        </w:rPr>
        <w:t xml:space="preserve">, </w:t>
      </w:r>
      <w:r>
        <w:rPr>
          <w:rFonts w:cs="Times New Roman"/>
          <w:color w:val="000000"/>
        </w:rPr>
        <w:t>J.</w:t>
      </w:r>
      <w:r w:rsidRPr="00254BF5">
        <w:rPr>
          <w:rFonts w:cs="Times New Roman"/>
          <w:color w:val="082EFF"/>
        </w:rPr>
        <w:t xml:space="preserve"> </w:t>
      </w:r>
      <w:proofErr w:type="spellStart"/>
      <w:r w:rsidRPr="00254BF5">
        <w:rPr>
          <w:rFonts w:cs="Times New Roman"/>
          <w:color w:val="000000"/>
        </w:rPr>
        <w:t>Räikkönen</w:t>
      </w:r>
      <w:proofErr w:type="spellEnd"/>
      <w:r w:rsidRPr="00254BF5">
        <w:rPr>
          <w:rFonts w:cs="Times New Roman"/>
          <w:color w:val="000000"/>
        </w:rPr>
        <w:t xml:space="preserve">, </w:t>
      </w:r>
      <w:r>
        <w:rPr>
          <w:rFonts w:cs="Times New Roman"/>
          <w:color w:val="000000"/>
        </w:rPr>
        <w:t>I.</w:t>
      </w:r>
      <w:r w:rsidRPr="00254BF5">
        <w:rPr>
          <w:rFonts w:eastAsia="AdvOT8608a8d1+22" w:cs="Times New Roman"/>
          <w:color w:val="082EFF"/>
        </w:rPr>
        <w:t xml:space="preserve"> </w:t>
      </w:r>
      <w:proofErr w:type="spellStart"/>
      <w:r w:rsidRPr="00254BF5">
        <w:rPr>
          <w:rFonts w:cs="Times New Roman"/>
          <w:color w:val="000000"/>
        </w:rPr>
        <w:t>Rodushkin</w:t>
      </w:r>
      <w:proofErr w:type="spellEnd"/>
      <w:r w:rsidRPr="00254BF5">
        <w:rPr>
          <w:rFonts w:cs="Times New Roman"/>
          <w:color w:val="000000"/>
        </w:rPr>
        <w:t xml:space="preserve">, </w:t>
      </w:r>
      <w:r>
        <w:rPr>
          <w:rFonts w:cs="Times New Roman"/>
          <w:color w:val="000000"/>
        </w:rPr>
        <w:t>E.</w:t>
      </w:r>
      <w:r w:rsidRPr="00254BF5">
        <w:rPr>
          <w:rFonts w:eastAsia="AdvOT8608a8d1+22" w:cs="Times New Roman"/>
          <w:color w:val="082EFF"/>
        </w:rPr>
        <w:t xml:space="preserve"> </w:t>
      </w:r>
      <w:proofErr w:type="spellStart"/>
      <w:r w:rsidRPr="00254BF5">
        <w:rPr>
          <w:rFonts w:cs="Times New Roman"/>
          <w:color w:val="000000"/>
        </w:rPr>
        <w:t>Ågren</w:t>
      </w:r>
      <w:proofErr w:type="spellEnd"/>
      <w:r w:rsidRPr="00254BF5">
        <w:rPr>
          <w:rFonts w:cs="Times New Roman"/>
          <w:color w:val="000000"/>
        </w:rPr>
        <w:t xml:space="preserve">, </w:t>
      </w:r>
      <w:r>
        <w:rPr>
          <w:rFonts w:cs="Times New Roman"/>
          <w:color w:val="000000"/>
        </w:rPr>
        <w:t>and B.</w:t>
      </w:r>
      <w:r w:rsidRPr="00254BF5">
        <w:rPr>
          <w:rFonts w:cs="Times New Roman"/>
          <w:color w:val="000000"/>
        </w:rPr>
        <w:t xml:space="preserve"> </w:t>
      </w:r>
      <w:proofErr w:type="spellStart"/>
      <w:r w:rsidRPr="00254BF5">
        <w:rPr>
          <w:rFonts w:cs="Times New Roman"/>
          <w:color w:val="000000"/>
        </w:rPr>
        <w:t>Hörnfeldt</w:t>
      </w:r>
      <w:proofErr w:type="spellEnd"/>
      <w:r w:rsidRPr="00254BF5">
        <w:rPr>
          <w:rFonts w:cs="Times New Roman"/>
          <w:color w:val="000000"/>
        </w:rPr>
        <w:t>.</w:t>
      </w:r>
      <w:r w:rsidRPr="00254BF5">
        <w:rPr>
          <w:rFonts w:cs="Times New Roman"/>
          <w:color w:val="082EFF"/>
        </w:rPr>
        <w:t xml:space="preserve"> </w:t>
      </w:r>
      <w:r w:rsidRPr="00254BF5">
        <w:rPr>
          <w:rFonts w:cs="Times New Roman"/>
        </w:rPr>
        <w:t>2017</w:t>
      </w:r>
      <w:r w:rsidRPr="00254BF5">
        <w:rPr>
          <w:rFonts w:cs="Times New Roman"/>
          <w:color w:val="082EFF"/>
        </w:rPr>
        <w:t xml:space="preserve">. </w:t>
      </w:r>
      <w:proofErr w:type="spellStart"/>
      <w:r w:rsidRPr="00254BF5">
        <w:rPr>
          <w:rFonts w:cs="Times New Roman"/>
          <w:color w:val="000000"/>
        </w:rPr>
        <w:t>Sublethal</w:t>
      </w:r>
      <w:proofErr w:type="spellEnd"/>
      <w:r w:rsidRPr="00254BF5">
        <w:rPr>
          <w:rFonts w:cs="Times New Roman"/>
          <w:color w:val="000000"/>
        </w:rPr>
        <w:t xml:space="preserve"> lead exposure alters movement behavior in free-ranging golden eagles. Environmental Science and Technology 51:5729-5736. </w:t>
      </w:r>
      <w:r>
        <w:rPr>
          <w:rFonts w:cs="Times New Roman"/>
          <w:color w:val="000000"/>
        </w:rPr>
        <w:t>https://d</w:t>
      </w:r>
      <w:r w:rsidRPr="00254BF5">
        <w:rPr>
          <w:rFonts w:cs="Times New Roman"/>
          <w:color w:val="000000"/>
        </w:rPr>
        <w:t>oi: 10.1021/acs.est.6b06024</w:t>
      </w:r>
    </w:p>
    <w:p w14:paraId="6D682DE2" w14:textId="250D2085" w:rsidR="00174252" w:rsidRPr="00254BF5" w:rsidRDefault="003D6C95" w:rsidP="00655B41">
      <w:pPr>
        <w:autoSpaceDE w:val="0"/>
        <w:autoSpaceDN w:val="0"/>
        <w:adjustRightInd w:val="0"/>
        <w:spacing w:afterLines="120" w:after="288"/>
        <w:ind w:left="709" w:hanging="709"/>
        <w:rPr>
          <w:rFonts w:cs="Times New Roman"/>
        </w:rPr>
      </w:pPr>
      <w:r w:rsidRPr="00254BF5">
        <w:rPr>
          <w:rFonts w:cs="Times New Roman"/>
        </w:rPr>
        <w:t xml:space="preserve"> </w:t>
      </w:r>
      <w:proofErr w:type="gramStart"/>
      <w:r w:rsidR="000A206F" w:rsidRPr="00254BF5">
        <w:rPr>
          <w:rFonts w:cs="Times New Roman"/>
        </w:rPr>
        <w:t>EFSA</w:t>
      </w:r>
      <w:r w:rsidR="009D0B99" w:rsidRPr="00254BF5">
        <w:rPr>
          <w:rFonts w:cs="Times New Roman"/>
        </w:rPr>
        <w:t>.</w:t>
      </w:r>
      <w:proofErr w:type="gramEnd"/>
      <w:r w:rsidR="000A206F" w:rsidRPr="00254BF5">
        <w:rPr>
          <w:rFonts w:cs="Times New Roman"/>
        </w:rPr>
        <w:t xml:space="preserve"> 2010. European Food Safety Authority. </w:t>
      </w:r>
      <w:proofErr w:type="gramStart"/>
      <w:r w:rsidR="000A206F" w:rsidRPr="00254BF5">
        <w:rPr>
          <w:rFonts w:cs="Times New Roman"/>
        </w:rPr>
        <w:t>Scientific Opinion on Lead in Food.</w:t>
      </w:r>
      <w:proofErr w:type="gramEnd"/>
      <w:r w:rsidR="000A206F" w:rsidRPr="00254BF5">
        <w:rPr>
          <w:rFonts w:cs="Times New Roman"/>
        </w:rPr>
        <w:t xml:space="preserve"> EFSA Panel </w:t>
      </w:r>
      <w:r w:rsidR="00D479CF" w:rsidRPr="00254BF5">
        <w:rPr>
          <w:rFonts w:cs="Times New Roman"/>
        </w:rPr>
        <w:t xml:space="preserve">  </w:t>
      </w:r>
      <w:r w:rsidR="000A206F" w:rsidRPr="00254BF5">
        <w:rPr>
          <w:rFonts w:cs="Times New Roman"/>
        </w:rPr>
        <w:t xml:space="preserve">on contaminants in the food chain (CONTAM). </w:t>
      </w:r>
      <w:proofErr w:type="gramStart"/>
      <w:r w:rsidR="000A206F" w:rsidRPr="002B1218">
        <w:rPr>
          <w:rFonts w:cs="Times New Roman"/>
          <w:i/>
        </w:rPr>
        <w:t>EFSA Journal</w:t>
      </w:r>
      <w:r w:rsidR="000A206F" w:rsidRPr="00254BF5">
        <w:rPr>
          <w:rFonts w:cs="Times New Roman"/>
        </w:rPr>
        <w:t xml:space="preserve"> 2010.</w:t>
      </w:r>
      <w:proofErr w:type="gramEnd"/>
      <w:r w:rsidR="000A206F" w:rsidRPr="00254BF5">
        <w:rPr>
          <w:rFonts w:cs="Times New Roman"/>
        </w:rPr>
        <w:t xml:space="preserve"> </w:t>
      </w:r>
      <w:proofErr w:type="gramStart"/>
      <w:r w:rsidR="000A206F" w:rsidRPr="00254BF5">
        <w:rPr>
          <w:rFonts w:cs="Times New Roman"/>
        </w:rPr>
        <w:t>p. 1570.</w:t>
      </w:r>
      <w:proofErr w:type="gramEnd"/>
    </w:p>
    <w:p w14:paraId="4F040BF4" w14:textId="67265EAC" w:rsidR="00B65B2E" w:rsidRPr="00254BF5" w:rsidRDefault="00174252" w:rsidP="00655B41">
      <w:pPr>
        <w:autoSpaceDE w:val="0"/>
        <w:autoSpaceDN w:val="0"/>
        <w:adjustRightInd w:val="0"/>
        <w:spacing w:afterLines="120" w:after="288"/>
        <w:ind w:left="709" w:hanging="709"/>
        <w:rPr>
          <w:rFonts w:cs="Times New Roman"/>
        </w:rPr>
      </w:pPr>
      <w:r w:rsidRPr="00254BF5">
        <w:rPr>
          <w:rFonts w:cs="Times New Roman"/>
        </w:rPr>
        <w:t xml:space="preserve"> </w:t>
      </w:r>
      <w:proofErr w:type="gramStart"/>
      <w:r w:rsidRPr="00254BF5">
        <w:rPr>
          <w:rFonts w:cs="Times New Roman"/>
        </w:rPr>
        <w:t>EFSA.</w:t>
      </w:r>
      <w:proofErr w:type="gramEnd"/>
      <w:r w:rsidRPr="00254BF5">
        <w:rPr>
          <w:rFonts w:cs="Times New Roman"/>
        </w:rPr>
        <w:t xml:space="preserve"> 2012.</w:t>
      </w:r>
      <w:r w:rsidR="005A16AD" w:rsidRPr="00254BF5">
        <w:rPr>
          <w:rFonts w:cs="Times New Roman"/>
        </w:rPr>
        <w:t xml:space="preserve"> European Food Safety Authority. Lead dietary exposure in the European popula</w:t>
      </w:r>
      <w:r w:rsidR="00C03BFF" w:rsidRPr="00254BF5">
        <w:rPr>
          <w:rFonts w:cs="Times New Roman"/>
        </w:rPr>
        <w:t xml:space="preserve">tion. </w:t>
      </w:r>
      <w:r w:rsidR="00C03BFF" w:rsidRPr="007521C3">
        <w:rPr>
          <w:rFonts w:cs="Times New Roman"/>
          <w:i/>
        </w:rPr>
        <w:t xml:space="preserve">EFSA Journal </w:t>
      </w:r>
      <w:r w:rsidR="00C03BFF" w:rsidRPr="00254BF5">
        <w:rPr>
          <w:rFonts w:cs="Times New Roman"/>
        </w:rPr>
        <w:t>10(7): 28831</w:t>
      </w:r>
      <w:r w:rsidR="007521C3">
        <w:rPr>
          <w:rFonts w:cs="Times New Roman"/>
        </w:rPr>
        <w:t>.</w:t>
      </w:r>
    </w:p>
    <w:p w14:paraId="6835746E" w14:textId="54DF4EFF" w:rsidR="00387441" w:rsidRDefault="00387441" w:rsidP="00655B41">
      <w:pPr>
        <w:autoSpaceDE w:val="0"/>
        <w:autoSpaceDN w:val="0"/>
        <w:adjustRightInd w:val="0"/>
        <w:spacing w:afterLines="120" w:after="288"/>
        <w:ind w:left="709" w:hanging="709"/>
        <w:rPr>
          <w:rFonts w:cs="Times New Roman"/>
        </w:rPr>
      </w:pPr>
      <w:r w:rsidRPr="00254BF5">
        <w:rPr>
          <w:rFonts w:cs="Times New Roman"/>
        </w:rPr>
        <w:t>FACE. 2010. Hunters in Europe in FACE Annual Report 2009-2010.</w:t>
      </w:r>
    </w:p>
    <w:p w14:paraId="12A09F0E" w14:textId="37029508" w:rsidR="005F3319" w:rsidRPr="00254BF5" w:rsidRDefault="005F3319" w:rsidP="00655B41">
      <w:pPr>
        <w:tabs>
          <w:tab w:val="left" w:pos="709"/>
        </w:tabs>
        <w:autoSpaceDE w:val="0"/>
        <w:autoSpaceDN w:val="0"/>
        <w:adjustRightInd w:val="0"/>
        <w:spacing w:afterLines="120" w:after="288"/>
        <w:ind w:left="709" w:hanging="709"/>
        <w:rPr>
          <w:rFonts w:cs="Times New Roman"/>
        </w:rPr>
      </w:pPr>
      <w:proofErr w:type="gramStart"/>
      <w:r w:rsidRPr="00254BF5">
        <w:rPr>
          <w:rFonts w:cs="Times New Roman"/>
          <w:color w:val="221E1F"/>
        </w:rPr>
        <w:t xml:space="preserve">Falk, K., </w:t>
      </w:r>
      <w:r>
        <w:rPr>
          <w:rFonts w:cs="Times New Roman"/>
          <w:color w:val="221E1F"/>
        </w:rPr>
        <w:t xml:space="preserve">F. </w:t>
      </w:r>
      <w:r w:rsidRPr="00254BF5">
        <w:rPr>
          <w:rFonts w:cs="Times New Roman"/>
          <w:color w:val="221E1F"/>
        </w:rPr>
        <w:t xml:space="preserve">Merkel, </w:t>
      </w:r>
      <w:r>
        <w:rPr>
          <w:rFonts w:cs="Times New Roman"/>
          <w:color w:val="221E1F"/>
        </w:rPr>
        <w:t>K.</w:t>
      </w:r>
      <w:r w:rsidRPr="00254BF5">
        <w:rPr>
          <w:rFonts w:cs="Times New Roman"/>
          <w:color w:val="221E1F"/>
        </w:rPr>
        <w:t xml:space="preserve"> </w:t>
      </w:r>
      <w:proofErr w:type="spellStart"/>
      <w:r w:rsidRPr="00254BF5">
        <w:rPr>
          <w:rFonts w:cs="Times New Roman"/>
          <w:color w:val="221E1F"/>
        </w:rPr>
        <w:t>Kampp</w:t>
      </w:r>
      <w:proofErr w:type="spellEnd"/>
      <w:r w:rsidRPr="00254BF5">
        <w:rPr>
          <w:rFonts w:cs="Times New Roman"/>
          <w:color w:val="221E1F"/>
        </w:rPr>
        <w:t xml:space="preserve">, </w:t>
      </w:r>
      <w:r>
        <w:rPr>
          <w:rFonts w:cs="Times New Roman"/>
          <w:color w:val="221E1F"/>
        </w:rPr>
        <w:t>and S.E.</w:t>
      </w:r>
      <w:r w:rsidRPr="00254BF5">
        <w:rPr>
          <w:rFonts w:cs="Times New Roman"/>
          <w:color w:val="221E1F"/>
        </w:rPr>
        <w:t xml:space="preserve"> Jamieson.</w:t>
      </w:r>
      <w:proofErr w:type="gramEnd"/>
      <w:r w:rsidRPr="00254BF5">
        <w:rPr>
          <w:rFonts w:cs="Times New Roman"/>
          <w:color w:val="221E1F"/>
        </w:rPr>
        <w:t xml:space="preserve"> 2006: Embedded lead shot and infliction rates in common eiders </w:t>
      </w:r>
      <w:proofErr w:type="spellStart"/>
      <w:r w:rsidRPr="00254BF5">
        <w:rPr>
          <w:rFonts w:cs="Times New Roman"/>
          <w:i/>
          <w:color w:val="221E1F"/>
        </w:rPr>
        <w:t>Somateria</w:t>
      </w:r>
      <w:proofErr w:type="spellEnd"/>
      <w:r w:rsidRPr="00254BF5">
        <w:rPr>
          <w:rFonts w:cs="Times New Roman"/>
          <w:i/>
          <w:color w:val="221E1F"/>
        </w:rPr>
        <w:t xml:space="preserve"> </w:t>
      </w:r>
      <w:proofErr w:type="spellStart"/>
      <w:r w:rsidRPr="00254BF5">
        <w:rPr>
          <w:rFonts w:cs="Times New Roman"/>
          <w:i/>
          <w:color w:val="221E1F"/>
        </w:rPr>
        <w:t>mollissima</w:t>
      </w:r>
      <w:proofErr w:type="spellEnd"/>
      <w:r w:rsidRPr="00254BF5">
        <w:rPr>
          <w:rFonts w:cs="Times New Roman"/>
          <w:color w:val="221E1F"/>
        </w:rPr>
        <w:t xml:space="preserve"> and king eiders </w:t>
      </w:r>
      <w:r w:rsidRPr="00254BF5">
        <w:rPr>
          <w:rFonts w:cs="Times New Roman"/>
          <w:i/>
          <w:color w:val="221E1F"/>
        </w:rPr>
        <w:t xml:space="preserve">S. </w:t>
      </w:r>
      <w:proofErr w:type="spellStart"/>
      <w:r w:rsidRPr="00254BF5">
        <w:rPr>
          <w:rFonts w:cs="Times New Roman"/>
          <w:i/>
          <w:color w:val="221E1F"/>
        </w:rPr>
        <w:t>spectabilis</w:t>
      </w:r>
      <w:proofErr w:type="spellEnd"/>
      <w:r w:rsidRPr="00254BF5">
        <w:rPr>
          <w:rFonts w:cs="Times New Roman"/>
          <w:color w:val="221E1F"/>
        </w:rPr>
        <w:t xml:space="preserve"> wintering in southwest Greenland.  </w:t>
      </w:r>
      <w:r w:rsidRPr="00C34641">
        <w:rPr>
          <w:rFonts w:cs="Times New Roman"/>
          <w:i/>
          <w:color w:val="221E1F"/>
        </w:rPr>
        <w:t>Wildlife Biology</w:t>
      </w:r>
      <w:r w:rsidRPr="00254BF5">
        <w:rPr>
          <w:rFonts w:cs="Times New Roman"/>
          <w:color w:val="221E1F"/>
        </w:rPr>
        <w:t xml:space="preserve"> 12(3): 313-321.</w:t>
      </w:r>
    </w:p>
    <w:p w14:paraId="4F43E708" w14:textId="315B477C" w:rsidR="00E44034" w:rsidRPr="00254BF5" w:rsidRDefault="00CF6101" w:rsidP="0090540C">
      <w:pPr>
        <w:tabs>
          <w:tab w:val="left" w:pos="709"/>
        </w:tabs>
        <w:autoSpaceDE w:val="0"/>
        <w:autoSpaceDN w:val="0"/>
        <w:adjustRightInd w:val="0"/>
        <w:spacing w:afterLines="120" w:after="288"/>
        <w:ind w:left="709" w:hanging="709"/>
        <w:rPr>
          <w:rFonts w:cs="Times New Roman"/>
        </w:rPr>
      </w:pPr>
      <w:proofErr w:type="gramStart"/>
      <w:r w:rsidRPr="00254BF5">
        <w:rPr>
          <w:rFonts w:cs="Times New Roman"/>
        </w:rPr>
        <w:t>FAO</w:t>
      </w:r>
      <w:r w:rsidR="009D0B99" w:rsidRPr="00254BF5">
        <w:rPr>
          <w:rFonts w:cs="Times New Roman"/>
        </w:rPr>
        <w:t>.</w:t>
      </w:r>
      <w:proofErr w:type="gramEnd"/>
      <w:r w:rsidRPr="00254BF5">
        <w:rPr>
          <w:rFonts w:cs="Times New Roman"/>
        </w:rPr>
        <w:t xml:space="preserve"> 2018. Game meat. Production and trade in the ENECE region. </w:t>
      </w:r>
      <w:proofErr w:type="gramStart"/>
      <w:r w:rsidRPr="00254BF5">
        <w:rPr>
          <w:rFonts w:cs="Times New Roman"/>
        </w:rPr>
        <w:t xml:space="preserve">Food and Agricultural Organization of </w:t>
      </w:r>
      <w:r w:rsidR="0090540C">
        <w:rPr>
          <w:rFonts w:cs="Times New Roman"/>
        </w:rPr>
        <w:t xml:space="preserve">      </w:t>
      </w:r>
      <w:r w:rsidRPr="00254BF5">
        <w:rPr>
          <w:rFonts w:cs="Times New Roman"/>
        </w:rPr>
        <w:t>the United Nations.</w:t>
      </w:r>
      <w:proofErr w:type="gramEnd"/>
      <w:r w:rsidRPr="00254BF5">
        <w:rPr>
          <w:rFonts w:cs="Times New Roman"/>
        </w:rPr>
        <w:t xml:space="preserve"> Rome, Italy</w:t>
      </w:r>
      <w:r w:rsidR="00EF1C6A" w:rsidRPr="00254BF5">
        <w:rPr>
          <w:rFonts w:cs="Times New Roman"/>
        </w:rPr>
        <w:t>.</w:t>
      </w:r>
    </w:p>
    <w:p w14:paraId="1AA495B8" w14:textId="55819462" w:rsidR="008B4BF4" w:rsidRPr="00254BF5" w:rsidRDefault="00E44034" w:rsidP="00655B41">
      <w:pPr>
        <w:spacing w:afterLines="120" w:after="288"/>
        <w:ind w:left="709" w:hanging="709"/>
      </w:pPr>
      <w:proofErr w:type="spellStart"/>
      <w:proofErr w:type="gramStart"/>
      <w:r w:rsidRPr="00254BF5">
        <w:t>Ferri</w:t>
      </w:r>
      <w:proofErr w:type="spellEnd"/>
      <w:r w:rsidRPr="00254BF5">
        <w:t xml:space="preserve">, M., </w:t>
      </w:r>
      <w:r w:rsidR="00FF6898">
        <w:t xml:space="preserve">L. </w:t>
      </w:r>
      <w:proofErr w:type="spellStart"/>
      <w:r w:rsidRPr="00254BF5">
        <w:t>Baldi</w:t>
      </w:r>
      <w:proofErr w:type="spellEnd"/>
      <w:r w:rsidRPr="00254BF5">
        <w:t xml:space="preserve">, </w:t>
      </w:r>
      <w:r w:rsidR="00FF6898">
        <w:t>S.</w:t>
      </w:r>
      <w:r w:rsidRPr="00254BF5">
        <w:t xml:space="preserve"> </w:t>
      </w:r>
      <w:proofErr w:type="spellStart"/>
      <w:r w:rsidRPr="00254BF5">
        <w:t>Cavallo</w:t>
      </w:r>
      <w:proofErr w:type="spellEnd"/>
      <w:r w:rsidRPr="00254BF5">
        <w:t xml:space="preserve">, </w:t>
      </w:r>
      <w:r w:rsidR="00FF6898">
        <w:t>R.</w:t>
      </w:r>
      <w:r w:rsidRPr="00254BF5">
        <w:t xml:space="preserve"> </w:t>
      </w:r>
      <w:proofErr w:type="spellStart"/>
      <w:r w:rsidRPr="00254BF5">
        <w:t>Pellicanò</w:t>
      </w:r>
      <w:proofErr w:type="spellEnd"/>
      <w:r w:rsidRPr="00254BF5">
        <w:t xml:space="preserve">, and </w:t>
      </w:r>
      <w:r w:rsidR="00FF6898">
        <w:t xml:space="preserve">G. </w:t>
      </w:r>
      <w:proofErr w:type="spellStart"/>
      <w:r w:rsidRPr="00254BF5">
        <w:t>Brambilla</w:t>
      </w:r>
      <w:proofErr w:type="spellEnd"/>
      <w:r w:rsidRPr="00254BF5">
        <w:t>.</w:t>
      </w:r>
      <w:proofErr w:type="gramEnd"/>
      <w:r w:rsidRPr="00254BF5">
        <w:t xml:space="preserve"> 2017. Wild game consumption habits among Italian</w:t>
      </w:r>
      <w:r w:rsidR="00FF6898">
        <w:t xml:space="preserve"> </w:t>
      </w:r>
      <w:r w:rsidRPr="00254BF5">
        <w:t xml:space="preserve">shooters: relevance for intakes of cadmium, </w:t>
      </w:r>
      <w:proofErr w:type="spellStart"/>
      <w:r w:rsidRPr="00254BF5">
        <w:t>perfluorooctanesulphonic</w:t>
      </w:r>
      <w:proofErr w:type="spellEnd"/>
      <w:r w:rsidRPr="00254BF5">
        <w:t xml:space="preserve"> acid, and 137cesium as priority contaminants. </w:t>
      </w:r>
      <w:r w:rsidRPr="00254BF5">
        <w:rPr>
          <w:i/>
        </w:rPr>
        <w:t>Food Additives and Contaminants Part A</w:t>
      </w:r>
      <w:r w:rsidR="00FF6898">
        <w:rPr>
          <w:i/>
        </w:rPr>
        <w:t>.</w:t>
      </w:r>
      <w:r w:rsidRPr="00254BF5">
        <w:rPr>
          <w:i/>
        </w:rPr>
        <w:t xml:space="preserve"> Chemistry Analysis Control Exposure and Risk Assessment</w:t>
      </w:r>
      <w:r w:rsidRPr="00254BF5">
        <w:t xml:space="preserve"> 34: 832-841. </w:t>
      </w:r>
      <w:r w:rsidR="007521C3">
        <w:t>https://d</w:t>
      </w:r>
      <w:r w:rsidRPr="00254BF5">
        <w:t xml:space="preserve">oi:10.1080/19440049.2017.1293303. </w:t>
      </w:r>
      <w:proofErr w:type="spellStart"/>
      <w:r w:rsidRPr="00254BF5">
        <w:t>Epub</w:t>
      </w:r>
      <w:proofErr w:type="spellEnd"/>
      <w:r w:rsidRPr="00254BF5">
        <w:t xml:space="preserve"> 2017 Mar 8.</w:t>
      </w:r>
      <w:r w:rsidR="00020040" w:rsidRPr="00254BF5">
        <w:rPr>
          <w:rFonts w:cs="Times New Roman"/>
        </w:rPr>
        <w:t xml:space="preserve">            </w:t>
      </w:r>
    </w:p>
    <w:p w14:paraId="2360AD75" w14:textId="568F246F" w:rsidR="008B4BF4" w:rsidRDefault="008B4BF4" w:rsidP="00655B41">
      <w:pPr>
        <w:autoSpaceDE w:val="0"/>
        <w:autoSpaceDN w:val="0"/>
        <w:adjustRightInd w:val="0"/>
        <w:spacing w:afterLines="120" w:after="288"/>
        <w:ind w:left="709" w:hanging="709"/>
        <w:rPr>
          <w:rFonts w:cs="Times New Roman"/>
        </w:rPr>
      </w:pPr>
      <w:proofErr w:type="spellStart"/>
      <w:r w:rsidRPr="00254BF5">
        <w:rPr>
          <w:rFonts w:cs="Times New Roman"/>
          <w:color w:val="000000"/>
        </w:rPr>
        <w:t>Gerofke</w:t>
      </w:r>
      <w:proofErr w:type="spellEnd"/>
      <w:r w:rsidRPr="00254BF5">
        <w:rPr>
          <w:rFonts w:cs="Times New Roman"/>
          <w:color w:val="000000"/>
        </w:rPr>
        <w:t xml:space="preserve">, A., </w:t>
      </w:r>
      <w:r w:rsidR="008B0B57">
        <w:rPr>
          <w:rFonts w:cs="Times New Roman"/>
          <w:color w:val="000000"/>
        </w:rPr>
        <w:t xml:space="preserve">E. </w:t>
      </w:r>
      <w:proofErr w:type="spellStart"/>
      <w:r w:rsidRPr="00254BF5">
        <w:rPr>
          <w:rFonts w:cs="Times New Roman"/>
          <w:color w:val="000000"/>
        </w:rPr>
        <w:t>Ulbig</w:t>
      </w:r>
      <w:proofErr w:type="spellEnd"/>
      <w:r w:rsidRPr="00254BF5">
        <w:rPr>
          <w:rFonts w:cs="Times New Roman"/>
          <w:color w:val="000000"/>
        </w:rPr>
        <w:t xml:space="preserve">,  </w:t>
      </w:r>
      <w:r w:rsidR="008B0B57">
        <w:rPr>
          <w:rFonts w:cs="Times New Roman"/>
          <w:color w:val="000000"/>
        </w:rPr>
        <w:t xml:space="preserve">A.C. </w:t>
      </w:r>
      <w:r w:rsidRPr="00254BF5">
        <w:rPr>
          <w:rFonts w:cs="Times New Roman"/>
          <w:color w:val="000000"/>
        </w:rPr>
        <w:t>Martin, C. Müller-Graf,</w:t>
      </w:r>
      <w:r w:rsidR="008B0B57">
        <w:rPr>
          <w:rFonts w:cs="Times New Roman"/>
          <w:color w:val="000000"/>
        </w:rPr>
        <w:t xml:space="preserve"> T.</w:t>
      </w:r>
      <w:r w:rsidRPr="00254BF5">
        <w:rPr>
          <w:rFonts w:cs="Times New Roman"/>
          <w:color w:val="000000"/>
        </w:rPr>
        <w:t xml:space="preserve"> Selhorst, </w:t>
      </w:r>
      <w:r w:rsidR="008B0B57">
        <w:rPr>
          <w:rFonts w:cs="Times New Roman"/>
          <w:color w:val="000000"/>
        </w:rPr>
        <w:t>C.</w:t>
      </w:r>
      <w:r w:rsidRPr="00254BF5">
        <w:rPr>
          <w:rFonts w:cs="Times New Roman"/>
          <w:color w:val="000000"/>
        </w:rPr>
        <w:t xml:space="preserve"> </w:t>
      </w:r>
      <w:proofErr w:type="spellStart"/>
      <w:r w:rsidRPr="00254BF5">
        <w:rPr>
          <w:rFonts w:cs="Times New Roman"/>
          <w:color w:val="000000"/>
        </w:rPr>
        <w:t>Gremse</w:t>
      </w:r>
      <w:proofErr w:type="spellEnd"/>
      <w:r w:rsidRPr="00254BF5">
        <w:rPr>
          <w:rFonts w:cs="Times New Roman"/>
          <w:color w:val="000000"/>
        </w:rPr>
        <w:t xml:space="preserve">, </w:t>
      </w:r>
      <w:r w:rsidR="008B0B57">
        <w:rPr>
          <w:rFonts w:cs="Times New Roman"/>
          <w:color w:val="000000"/>
        </w:rPr>
        <w:t>M.</w:t>
      </w:r>
      <w:r w:rsidRPr="00254BF5">
        <w:rPr>
          <w:rFonts w:cs="Times New Roman"/>
          <w:color w:val="000000"/>
        </w:rPr>
        <w:t xml:space="preserve"> </w:t>
      </w:r>
      <w:proofErr w:type="spellStart"/>
      <w:r w:rsidRPr="00254BF5">
        <w:rPr>
          <w:rFonts w:cs="Times New Roman"/>
          <w:color w:val="000000"/>
        </w:rPr>
        <w:t>Spolders</w:t>
      </w:r>
      <w:proofErr w:type="spellEnd"/>
      <w:r w:rsidRPr="00254BF5">
        <w:rPr>
          <w:rFonts w:cs="Times New Roman"/>
          <w:color w:val="000000"/>
        </w:rPr>
        <w:t xml:space="preserve">, </w:t>
      </w:r>
      <w:r w:rsidR="008B0B57">
        <w:rPr>
          <w:rFonts w:cs="Times New Roman"/>
          <w:color w:val="000000"/>
        </w:rPr>
        <w:t>H.</w:t>
      </w:r>
      <w:r w:rsidRPr="00254BF5">
        <w:rPr>
          <w:rFonts w:cs="Times New Roman"/>
          <w:color w:val="000000"/>
        </w:rPr>
        <w:t xml:space="preserve"> </w:t>
      </w:r>
      <w:proofErr w:type="spellStart"/>
      <w:r w:rsidRPr="00254BF5">
        <w:rPr>
          <w:rFonts w:cs="Times New Roman"/>
          <w:color w:val="000000"/>
        </w:rPr>
        <w:t>Schafft</w:t>
      </w:r>
      <w:proofErr w:type="spellEnd"/>
      <w:r w:rsidRPr="00254BF5">
        <w:rPr>
          <w:rFonts w:cs="Times New Roman"/>
          <w:color w:val="000000"/>
        </w:rPr>
        <w:t xml:space="preserve">, </w:t>
      </w:r>
      <w:r w:rsidR="008B0B57">
        <w:rPr>
          <w:rFonts w:cs="Times New Roman"/>
          <w:color w:val="000000"/>
        </w:rPr>
        <w:t xml:space="preserve">G. </w:t>
      </w:r>
      <w:r w:rsidR="009E2599" w:rsidRPr="00254BF5">
        <w:rPr>
          <w:rFonts w:cs="Times New Roman"/>
          <w:color w:val="000000"/>
        </w:rPr>
        <w:t xml:space="preserve"> </w:t>
      </w:r>
      <w:proofErr w:type="spellStart"/>
      <w:proofErr w:type="gramStart"/>
      <w:r w:rsidR="009E2599" w:rsidRPr="00254BF5">
        <w:rPr>
          <w:rFonts w:cs="Times New Roman"/>
          <w:color w:val="000000"/>
        </w:rPr>
        <w:t>Heinemeyer</w:t>
      </w:r>
      <w:proofErr w:type="spellEnd"/>
      <w:r w:rsidR="009E2599" w:rsidRPr="00254BF5">
        <w:rPr>
          <w:rFonts w:cs="Times New Roman"/>
          <w:color w:val="000000"/>
        </w:rPr>
        <w:t xml:space="preserve">, </w:t>
      </w:r>
      <w:r w:rsidR="008B0B57">
        <w:rPr>
          <w:rFonts w:cs="Times New Roman"/>
          <w:color w:val="000000"/>
        </w:rPr>
        <w:t>M.</w:t>
      </w:r>
      <w:r w:rsidR="009E2599" w:rsidRPr="00254BF5">
        <w:rPr>
          <w:rFonts w:cs="Times New Roman"/>
          <w:color w:val="000000"/>
        </w:rPr>
        <w:t xml:space="preserve"> Greiner, </w:t>
      </w:r>
      <w:r w:rsidR="008B0B57">
        <w:rPr>
          <w:rFonts w:cs="Times New Roman"/>
          <w:color w:val="000000"/>
        </w:rPr>
        <w:t>M.</w:t>
      </w:r>
      <w:r w:rsidR="009E2599" w:rsidRPr="00254BF5">
        <w:rPr>
          <w:rFonts w:cs="Times New Roman"/>
          <w:color w:val="000000"/>
        </w:rPr>
        <w:t xml:space="preserve"> </w:t>
      </w:r>
      <w:proofErr w:type="spellStart"/>
      <w:r w:rsidR="009E2599" w:rsidRPr="00254BF5">
        <w:rPr>
          <w:rFonts w:cs="Times New Roman"/>
          <w:color w:val="000000"/>
        </w:rPr>
        <w:t>Lahrssen-Wiederholt</w:t>
      </w:r>
      <w:proofErr w:type="spellEnd"/>
      <w:r w:rsidR="009E2599" w:rsidRPr="00254BF5">
        <w:rPr>
          <w:rFonts w:cs="Times New Roman"/>
          <w:color w:val="000000"/>
        </w:rPr>
        <w:t xml:space="preserve">, </w:t>
      </w:r>
      <w:r w:rsidR="008B0B57">
        <w:rPr>
          <w:rFonts w:cs="Times New Roman"/>
          <w:color w:val="000000"/>
        </w:rPr>
        <w:t xml:space="preserve">and A. </w:t>
      </w:r>
      <w:r w:rsidR="009E2599" w:rsidRPr="00254BF5">
        <w:rPr>
          <w:rFonts w:cs="Times New Roman"/>
          <w:color w:val="000000"/>
        </w:rPr>
        <w:t>Hensel.</w:t>
      </w:r>
      <w:proofErr w:type="gramEnd"/>
      <w:r w:rsidRPr="00254BF5">
        <w:rPr>
          <w:rFonts w:cs="Times New Roman"/>
          <w:color w:val="000000"/>
        </w:rPr>
        <w:t xml:space="preserve"> 2018. Lead content in wild game shot with lead or non-lead ammunition: Does state of the art consumer health protection require non-lead ammunition? </w:t>
      </w:r>
      <w:proofErr w:type="spellStart"/>
      <w:r w:rsidRPr="000D63DE">
        <w:rPr>
          <w:rFonts w:cs="Times New Roman"/>
          <w:i/>
          <w:color w:val="000000"/>
        </w:rPr>
        <w:t>PLoS</w:t>
      </w:r>
      <w:proofErr w:type="spellEnd"/>
      <w:r w:rsidRPr="000D63DE">
        <w:rPr>
          <w:rFonts w:cs="Times New Roman"/>
          <w:i/>
          <w:color w:val="000000"/>
        </w:rPr>
        <w:t xml:space="preserve"> ONE</w:t>
      </w:r>
      <w:r w:rsidRPr="00254BF5">
        <w:rPr>
          <w:rFonts w:cs="Times New Roman"/>
          <w:color w:val="000000"/>
        </w:rPr>
        <w:t xml:space="preserve"> 13: </w:t>
      </w:r>
      <w:r w:rsidRPr="00254BF5">
        <w:rPr>
          <w:rFonts w:cs="Times New Roman"/>
        </w:rPr>
        <w:t xml:space="preserve">e0200792. </w:t>
      </w:r>
      <w:r w:rsidR="007521C3">
        <w:rPr>
          <w:rFonts w:cs="Times New Roman"/>
        </w:rPr>
        <w:t>https://d</w:t>
      </w:r>
      <w:r w:rsidRPr="00254BF5">
        <w:rPr>
          <w:rFonts w:cs="Times New Roman"/>
        </w:rPr>
        <w:t>oi.org/10.1371/journal.pone.0200792.</w:t>
      </w:r>
    </w:p>
    <w:p w14:paraId="25939E4A" w14:textId="0A8A486D" w:rsidR="006323C1" w:rsidRDefault="006323C1" w:rsidP="00655B41">
      <w:pPr>
        <w:autoSpaceDE w:val="0"/>
        <w:autoSpaceDN w:val="0"/>
        <w:adjustRightInd w:val="0"/>
        <w:spacing w:afterLines="120" w:after="288"/>
        <w:ind w:left="709" w:hanging="709"/>
        <w:rPr>
          <w:rFonts w:cs="Times New Roman"/>
        </w:rPr>
      </w:pPr>
      <w:proofErr w:type="spellStart"/>
      <w:proofErr w:type="gramStart"/>
      <w:r>
        <w:rPr>
          <w:rFonts w:cs="Times New Roman"/>
        </w:rPr>
        <w:t>Gerofke</w:t>
      </w:r>
      <w:proofErr w:type="spellEnd"/>
      <w:r>
        <w:rPr>
          <w:rFonts w:cs="Times New Roman"/>
        </w:rPr>
        <w:t>, A, A. Martin, D.</w:t>
      </w:r>
      <w:r w:rsidR="002661B4">
        <w:rPr>
          <w:rFonts w:cs="Times New Roman"/>
        </w:rPr>
        <w:t xml:space="preserve"> </w:t>
      </w:r>
      <w:proofErr w:type="spellStart"/>
      <w:r>
        <w:rPr>
          <w:rFonts w:cs="Times New Roman"/>
        </w:rPr>
        <w:t>Schlichting</w:t>
      </w:r>
      <w:proofErr w:type="spellEnd"/>
      <w:r>
        <w:rPr>
          <w:rFonts w:cs="Times New Roman"/>
        </w:rPr>
        <w:t xml:space="preserve">, C. </w:t>
      </w:r>
      <w:proofErr w:type="spellStart"/>
      <w:r>
        <w:rPr>
          <w:rFonts w:cs="Times New Roman"/>
        </w:rPr>
        <w:t>Gremse</w:t>
      </w:r>
      <w:proofErr w:type="spellEnd"/>
      <w:r>
        <w:rPr>
          <w:rFonts w:cs="Times New Roman"/>
        </w:rPr>
        <w:t>, and C</w:t>
      </w:r>
      <w:r w:rsidR="002661B4">
        <w:rPr>
          <w:rFonts w:cs="Times New Roman"/>
        </w:rPr>
        <w:t>.</w:t>
      </w:r>
      <w:r>
        <w:rPr>
          <w:rFonts w:cs="Times New Roman"/>
        </w:rPr>
        <w:t xml:space="preserve"> M</w:t>
      </w:r>
      <w:r>
        <w:rPr>
          <w:rFonts w:cstheme="minorHAnsi"/>
        </w:rPr>
        <w:t>ü</w:t>
      </w:r>
      <w:r>
        <w:rPr>
          <w:rFonts w:cs="Times New Roman"/>
        </w:rPr>
        <w:t>ller-Graf.</w:t>
      </w:r>
      <w:proofErr w:type="gramEnd"/>
      <w:r>
        <w:rPr>
          <w:rFonts w:cs="Times New Roman"/>
        </w:rPr>
        <w:t xml:space="preserve"> 2019.</w:t>
      </w:r>
      <w:r w:rsidR="00765298">
        <w:rPr>
          <w:rFonts w:cs="Times New Roman"/>
        </w:rPr>
        <w:t xml:space="preserve"> Heavy metals in game meat. In </w:t>
      </w:r>
      <w:r w:rsidR="00765298">
        <w:rPr>
          <w:rFonts w:cs="Times New Roman"/>
          <w:i/>
        </w:rPr>
        <w:t xml:space="preserve">Chemical hazards in foods of animal origin, </w:t>
      </w:r>
      <w:r w:rsidR="00765298" w:rsidRPr="000D63DE">
        <w:rPr>
          <w:rFonts w:cs="Times New Roman"/>
        </w:rPr>
        <w:t xml:space="preserve">eds. F.J.M. Smulders, I.M.C.M. </w:t>
      </w:r>
      <w:proofErr w:type="spellStart"/>
      <w:r w:rsidR="00765298" w:rsidRPr="000D63DE">
        <w:rPr>
          <w:rFonts w:cs="Times New Roman"/>
        </w:rPr>
        <w:t>Rietjens</w:t>
      </w:r>
      <w:proofErr w:type="spellEnd"/>
      <w:r w:rsidR="00765298">
        <w:rPr>
          <w:rFonts w:cs="Times New Roman"/>
        </w:rPr>
        <w:t>,</w:t>
      </w:r>
      <w:r w:rsidR="00EA231A" w:rsidRPr="00EA231A">
        <w:rPr>
          <w:rFonts w:cs="Times New Roman"/>
        </w:rPr>
        <w:t xml:space="preserve"> and M.D. Rose, 585-</w:t>
      </w:r>
      <w:r w:rsidR="00EA231A">
        <w:rPr>
          <w:rFonts w:cs="Times New Roman"/>
        </w:rPr>
        <w:t>609</w:t>
      </w:r>
      <w:r w:rsidR="00765298" w:rsidRPr="000D63DE">
        <w:rPr>
          <w:rFonts w:cs="Times New Roman"/>
        </w:rPr>
        <w:t xml:space="preserve">. </w:t>
      </w:r>
      <w:proofErr w:type="spellStart"/>
      <w:r w:rsidR="00765298">
        <w:rPr>
          <w:rFonts w:cs="Times New Roman"/>
        </w:rPr>
        <w:t>Wageningen</w:t>
      </w:r>
      <w:proofErr w:type="spellEnd"/>
      <w:r w:rsidR="00765298">
        <w:rPr>
          <w:rFonts w:cs="Times New Roman"/>
        </w:rPr>
        <w:t xml:space="preserve">, </w:t>
      </w:r>
      <w:proofErr w:type="gramStart"/>
      <w:r w:rsidR="00765298">
        <w:rPr>
          <w:rFonts w:cs="Times New Roman"/>
        </w:rPr>
        <w:t>The</w:t>
      </w:r>
      <w:proofErr w:type="gramEnd"/>
      <w:r w:rsidR="00765298">
        <w:rPr>
          <w:rFonts w:cs="Times New Roman"/>
        </w:rPr>
        <w:t xml:space="preserve"> Netherlands: </w:t>
      </w:r>
      <w:proofErr w:type="spellStart"/>
      <w:r w:rsidR="00765298" w:rsidRPr="000D63DE">
        <w:rPr>
          <w:rFonts w:cs="Times New Roman"/>
        </w:rPr>
        <w:t>Wageningen</w:t>
      </w:r>
      <w:proofErr w:type="spellEnd"/>
      <w:r w:rsidR="00765298" w:rsidRPr="000D63DE">
        <w:rPr>
          <w:rFonts w:cs="Times New Roman"/>
        </w:rPr>
        <w:t xml:space="preserve"> Academic Publishers</w:t>
      </w:r>
      <w:r w:rsidR="00EA231A">
        <w:rPr>
          <w:rFonts w:cs="Times New Roman"/>
        </w:rPr>
        <w:t xml:space="preserve">. </w:t>
      </w:r>
      <w:hyperlink r:id="rId18" w:history="1">
        <w:r w:rsidR="00560EAF" w:rsidRPr="00BE052A">
          <w:rPr>
            <w:rStyle w:val="Hyperlink"/>
            <w:rFonts w:cs="Times New Roman"/>
          </w:rPr>
          <w:t>https://doi:10,3920/978-90-8686-877-3_24</w:t>
        </w:r>
      </w:hyperlink>
      <w:r w:rsidR="00EA231A">
        <w:rPr>
          <w:rFonts w:cs="Times New Roman"/>
        </w:rPr>
        <w:t>.</w:t>
      </w:r>
    </w:p>
    <w:p w14:paraId="30FE1FC4" w14:textId="65EF9FBF" w:rsidR="00560EAF" w:rsidRPr="00560EAF" w:rsidRDefault="004842F7" w:rsidP="00922CB0">
      <w:pPr>
        <w:spacing w:afterLines="60" w:after="144" w:line="240" w:lineRule="auto"/>
        <w:ind w:left="567" w:hanging="567"/>
        <w:jc w:val="both"/>
        <w:rPr>
          <w:rFonts w:ascii="Calibri" w:eastAsia="Calibri" w:hAnsi="Calibri" w:cs="Times New Roman"/>
          <w:color w:val="000000"/>
          <w:lang w:val="en-GB"/>
        </w:rPr>
      </w:pPr>
      <w:hyperlink r:id="rId19" w:history="1">
        <w:r w:rsidR="00560EAF" w:rsidRPr="00560EAF">
          <w:rPr>
            <w:rFonts w:ascii="Calibri" w:eastAsia="Calibri" w:hAnsi="Calibri" w:cs="Times New Roman"/>
            <w:color w:val="000000"/>
            <w:lang w:val="en-GB"/>
          </w:rPr>
          <w:t>Golden, N. H., S. E.</w:t>
        </w:r>
        <w:r w:rsidR="00560EAF">
          <w:rPr>
            <w:rFonts w:ascii="Calibri" w:eastAsia="Calibri" w:hAnsi="Calibri" w:cs="Times New Roman"/>
            <w:color w:val="000000"/>
            <w:lang w:val="en-GB"/>
          </w:rPr>
          <w:t xml:space="preserve"> </w:t>
        </w:r>
        <w:r w:rsidR="00560EAF" w:rsidRPr="00560EAF">
          <w:rPr>
            <w:rFonts w:ascii="Calibri" w:eastAsia="Calibri" w:hAnsi="Calibri" w:cs="Times New Roman"/>
            <w:color w:val="000000"/>
            <w:lang w:val="en-GB"/>
          </w:rPr>
          <w:t xml:space="preserve">Warner, and M. J. </w:t>
        </w:r>
        <w:r w:rsidR="00560EAF">
          <w:rPr>
            <w:rFonts w:ascii="Calibri" w:eastAsia="Calibri" w:hAnsi="Calibri" w:cs="Times New Roman"/>
            <w:color w:val="000000"/>
            <w:lang w:val="en-GB"/>
          </w:rPr>
          <w:t>Coffey.</w:t>
        </w:r>
        <w:r w:rsidR="00560EAF" w:rsidRPr="00560EAF">
          <w:rPr>
            <w:rFonts w:ascii="Calibri" w:eastAsia="Calibri" w:hAnsi="Calibri" w:cs="Times New Roman"/>
            <w:color w:val="000000"/>
            <w:lang w:val="en-GB"/>
          </w:rPr>
          <w:t xml:space="preserve"> 2016. A review and assessment of spent lead ammunition and its exposure and effects to scavenging birds in the United States. In: de Voogt W. (Ed.) </w:t>
        </w:r>
        <w:r w:rsidR="00560EAF" w:rsidRPr="00560EAF">
          <w:rPr>
            <w:rFonts w:ascii="Calibri" w:eastAsia="Calibri" w:hAnsi="Calibri" w:cs="Times New Roman"/>
            <w:i/>
            <w:color w:val="000000"/>
            <w:lang w:val="en-GB"/>
          </w:rPr>
          <w:t xml:space="preserve">Reviews of Environmental Contamination and Toxicology </w:t>
        </w:r>
        <w:r w:rsidR="00560EAF" w:rsidRPr="00560EAF">
          <w:rPr>
            <w:rFonts w:ascii="Calibri" w:eastAsia="Calibri" w:hAnsi="Calibri" w:cs="Times New Roman"/>
            <w:color w:val="000000"/>
            <w:lang w:val="en-GB"/>
          </w:rPr>
          <w:t>237: 123–191. doi:</w:t>
        </w:r>
      </w:hyperlink>
      <w:r w:rsidR="00560EAF" w:rsidRPr="00560EAF">
        <w:rPr>
          <w:rFonts w:ascii="Calibri" w:eastAsia="Calibri" w:hAnsi="Calibri" w:cs="Times New Roman"/>
          <w:color w:val="000000"/>
          <w:lang w:val="en-GB"/>
        </w:rPr>
        <w:t xml:space="preserve"> </w:t>
      </w:r>
      <w:hyperlink r:id="rId20" w:history="1">
        <w:r w:rsidR="00560EAF" w:rsidRPr="00560EAF">
          <w:rPr>
            <w:rFonts w:ascii="Calibri" w:eastAsia="Calibri" w:hAnsi="Calibri" w:cs="Times New Roman"/>
            <w:color w:val="000000"/>
            <w:lang w:val="en-GB"/>
          </w:rPr>
          <w:t>https://doi.org/10.1007/978-3-319-23573-8_6</w:t>
        </w:r>
      </w:hyperlink>
    </w:p>
    <w:p w14:paraId="2F5C4725" w14:textId="37377E0B" w:rsidR="007B55E2" w:rsidRPr="00254BF5" w:rsidRDefault="00457644" w:rsidP="00655B41">
      <w:pPr>
        <w:autoSpaceDE w:val="0"/>
        <w:autoSpaceDN w:val="0"/>
        <w:adjustRightInd w:val="0"/>
        <w:spacing w:afterLines="120" w:after="288"/>
        <w:ind w:left="709" w:hanging="709"/>
        <w:rPr>
          <w:rFonts w:cs="Times New Roman"/>
        </w:rPr>
      </w:pPr>
      <w:proofErr w:type="gramStart"/>
      <w:r w:rsidRPr="00254BF5">
        <w:rPr>
          <w:rFonts w:cs="Times New Roman"/>
        </w:rPr>
        <w:t xml:space="preserve">Green, R.E., </w:t>
      </w:r>
      <w:r w:rsidR="00EC7B0D">
        <w:rPr>
          <w:rFonts w:cs="Times New Roman"/>
        </w:rPr>
        <w:t xml:space="preserve">and D.J. </w:t>
      </w:r>
      <w:r w:rsidRPr="00254BF5">
        <w:rPr>
          <w:rFonts w:cs="Times New Roman"/>
        </w:rPr>
        <w:t>Pain.</w:t>
      </w:r>
      <w:proofErr w:type="gramEnd"/>
      <w:r w:rsidRPr="00254BF5">
        <w:rPr>
          <w:rFonts w:cs="Times New Roman"/>
        </w:rPr>
        <w:t xml:space="preserve"> 2012. Potential health risks to adults and children in the UK from exposure to dietary lead in gamebirds shot with lead ammunition. </w:t>
      </w:r>
      <w:r w:rsidRPr="000D63DE">
        <w:rPr>
          <w:rFonts w:cs="Times New Roman"/>
          <w:i/>
        </w:rPr>
        <w:t>Food and Chemical Toxicology</w:t>
      </w:r>
      <w:r w:rsidRPr="00254BF5">
        <w:rPr>
          <w:rFonts w:cs="Times New Roman"/>
        </w:rPr>
        <w:t xml:space="preserve"> 50:4180–4190.</w:t>
      </w:r>
      <w:r w:rsidR="008B4BF4" w:rsidRPr="00254BF5">
        <w:rPr>
          <w:rFonts w:cs="Times New Roman"/>
        </w:rPr>
        <w:t xml:space="preserve"> </w:t>
      </w:r>
      <w:r w:rsidR="00834BFF">
        <w:rPr>
          <w:rFonts w:cs="Times New Roman"/>
        </w:rPr>
        <w:t>https://d</w:t>
      </w:r>
      <w:r w:rsidR="008B4BF4" w:rsidRPr="00254BF5">
        <w:rPr>
          <w:rFonts w:cs="Times New Roman"/>
        </w:rPr>
        <w:t>oi: org/10.1016/j.fct.2012.08.032.</w:t>
      </w:r>
    </w:p>
    <w:p w14:paraId="34C2B117" w14:textId="7213B9C8" w:rsidR="00EC7B0D" w:rsidRPr="00254BF5" w:rsidRDefault="007B55E2" w:rsidP="00655B41">
      <w:pPr>
        <w:spacing w:afterLines="120" w:after="288"/>
        <w:ind w:left="709" w:hanging="709"/>
        <w:rPr>
          <w:rFonts w:cs="Times New Roman"/>
        </w:rPr>
      </w:pPr>
      <w:proofErr w:type="gramStart"/>
      <w:r w:rsidRPr="00254BF5">
        <w:rPr>
          <w:rFonts w:cs="Times New Roman"/>
        </w:rPr>
        <w:t xml:space="preserve">Green, R.E., </w:t>
      </w:r>
      <w:r w:rsidR="00EC7B0D">
        <w:rPr>
          <w:rFonts w:cs="Times New Roman"/>
        </w:rPr>
        <w:t xml:space="preserve">and D.J. </w:t>
      </w:r>
      <w:r w:rsidRPr="00254BF5">
        <w:rPr>
          <w:rFonts w:cs="Times New Roman"/>
        </w:rPr>
        <w:t>Pain.</w:t>
      </w:r>
      <w:proofErr w:type="gramEnd"/>
      <w:r w:rsidRPr="00254BF5">
        <w:rPr>
          <w:rFonts w:cs="Times New Roman"/>
        </w:rPr>
        <w:t xml:space="preserve"> 2015. Risks of health effects to humans in the UK from ammunition-derived lead. </w:t>
      </w:r>
      <w:proofErr w:type="gramStart"/>
      <w:r w:rsidR="00EC7B0D" w:rsidRPr="00254BF5">
        <w:rPr>
          <w:rFonts w:cs="Times New Roman"/>
        </w:rPr>
        <w:t xml:space="preserve">In </w:t>
      </w:r>
      <w:r w:rsidR="00EC7B0D" w:rsidRPr="007A17B1">
        <w:rPr>
          <w:rFonts w:cs="Times New Roman"/>
          <w:i/>
        </w:rPr>
        <w:t>Proceedings of the Oxford Lead Symposium.</w:t>
      </w:r>
      <w:proofErr w:type="gramEnd"/>
      <w:r w:rsidR="00EC7B0D" w:rsidRPr="007A17B1">
        <w:rPr>
          <w:rFonts w:cs="Times New Roman"/>
          <w:i/>
        </w:rPr>
        <w:t xml:space="preserve"> Lead ammunition: understanding and minimizing the risks to human and environmental health</w:t>
      </w:r>
      <w:r w:rsidR="00EC7B0D">
        <w:rPr>
          <w:rFonts w:cs="Times New Roman"/>
        </w:rPr>
        <w:t>, eds.</w:t>
      </w:r>
      <w:r w:rsidR="00EC7B0D" w:rsidRPr="000179E5">
        <w:rPr>
          <w:rFonts w:cs="Times New Roman"/>
        </w:rPr>
        <w:t xml:space="preserve"> </w:t>
      </w:r>
      <w:r w:rsidR="00EC7B0D">
        <w:rPr>
          <w:rFonts w:cs="Times New Roman"/>
        </w:rPr>
        <w:t xml:space="preserve">R.J. </w:t>
      </w:r>
      <w:proofErr w:type="spellStart"/>
      <w:r w:rsidR="00EC7B0D" w:rsidRPr="00254BF5">
        <w:rPr>
          <w:rFonts w:cs="Times New Roman"/>
        </w:rPr>
        <w:t>Delahay</w:t>
      </w:r>
      <w:proofErr w:type="spellEnd"/>
      <w:r w:rsidR="00EC7B0D" w:rsidRPr="00254BF5">
        <w:rPr>
          <w:rFonts w:cs="Times New Roman"/>
        </w:rPr>
        <w:t xml:space="preserve">, R.J. and </w:t>
      </w:r>
      <w:r w:rsidR="00EC7B0D">
        <w:rPr>
          <w:rFonts w:cs="Times New Roman"/>
        </w:rPr>
        <w:t>C.J. Spray, 27-43.</w:t>
      </w:r>
      <w:r w:rsidR="00EC7B0D" w:rsidRPr="00254BF5">
        <w:rPr>
          <w:rFonts w:cs="Times New Roman"/>
        </w:rPr>
        <w:t xml:space="preserve"> </w:t>
      </w:r>
      <w:r w:rsidR="00EC7B0D">
        <w:rPr>
          <w:rFonts w:cs="Times New Roman"/>
        </w:rPr>
        <w:t xml:space="preserve">Oxford: </w:t>
      </w:r>
      <w:r w:rsidR="00EC7B0D" w:rsidRPr="00254BF5">
        <w:rPr>
          <w:rFonts w:cs="Times New Roman"/>
        </w:rPr>
        <w:t xml:space="preserve">Edward </w:t>
      </w:r>
      <w:r w:rsidR="00EC7B0D">
        <w:rPr>
          <w:rFonts w:cs="Times New Roman"/>
        </w:rPr>
        <w:t>G</w:t>
      </w:r>
      <w:r w:rsidR="00EC7B0D" w:rsidRPr="00254BF5">
        <w:rPr>
          <w:rFonts w:cs="Times New Roman"/>
        </w:rPr>
        <w:t xml:space="preserve">rey Institute, </w:t>
      </w:r>
      <w:proofErr w:type="gramStart"/>
      <w:r w:rsidR="00EC7B0D" w:rsidRPr="00254BF5">
        <w:rPr>
          <w:rFonts w:cs="Times New Roman"/>
        </w:rPr>
        <w:t>The</w:t>
      </w:r>
      <w:proofErr w:type="gramEnd"/>
      <w:r w:rsidR="00EC7B0D" w:rsidRPr="00254BF5">
        <w:rPr>
          <w:rFonts w:cs="Times New Roman"/>
        </w:rPr>
        <w:t xml:space="preserve"> University of Oxford.</w:t>
      </w:r>
    </w:p>
    <w:p w14:paraId="72CBA109" w14:textId="3F6D6676" w:rsidR="00000C22" w:rsidRPr="00254BF5" w:rsidRDefault="003D0702" w:rsidP="00655B41">
      <w:pPr>
        <w:spacing w:afterLines="120" w:after="288"/>
        <w:ind w:left="709" w:hanging="709"/>
        <w:rPr>
          <w:rFonts w:cs="Times New Roman"/>
        </w:rPr>
      </w:pPr>
      <w:proofErr w:type="gramStart"/>
      <w:r w:rsidRPr="00254BF5">
        <w:rPr>
          <w:rFonts w:cs="Times New Roman"/>
        </w:rPr>
        <w:t>Green</w:t>
      </w:r>
      <w:r w:rsidR="005E79DD">
        <w:rPr>
          <w:rFonts w:cs="Times New Roman"/>
        </w:rPr>
        <w:t>,</w:t>
      </w:r>
      <w:r w:rsidRPr="00254BF5">
        <w:rPr>
          <w:rFonts w:cs="Times New Roman"/>
        </w:rPr>
        <w:t xml:space="preserve"> R.</w:t>
      </w:r>
      <w:r w:rsidR="00FE18AA" w:rsidRPr="00254BF5">
        <w:rPr>
          <w:rFonts w:cs="Times New Roman"/>
        </w:rPr>
        <w:t>E.</w:t>
      </w:r>
      <w:r w:rsidRPr="00254BF5">
        <w:rPr>
          <w:rFonts w:cs="Times New Roman"/>
        </w:rPr>
        <w:t xml:space="preserve">, </w:t>
      </w:r>
      <w:r w:rsidR="00834BFF">
        <w:rPr>
          <w:rFonts w:cs="Times New Roman"/>
        </w:rPr>
        <w:t xml:space="preserve">and D.J. </w:t>
      </w:r>
      <w:r w:rsidRPr="00254BF5">
        <w:rPr>
          <w:rFonts w:cs="Times New Roman"/>
        </w:rPr>
        <w:t>Pain.</w:t>
      </w:r>
      <w:proofErr w:type="gramEnd"/>
      <w:r w:rsidRPr="00254BF5">
        <w:rPr>
          <w:rFonts w:cs="Times New Roman"/>
        </w:rPr>
        <w:t xml:space="preserve"> 2019. Risks to human health from ammunition-derived lead in Europe. </w:t>
      </w:r>
      <w:proofErr w:type="spellStart"/>
      <w:r w:rsidRPr="000D63DE">
        <w:rPr>
          <w:rFonts w:cs="Times New Roman"/>
          <w:i/>
        </w:rPr>
        <w:t>Ambio</w:t>
      </w:r>
      <w:proofErr w:type="spellEnd"/>
      <w:r w:rsidRPr="00254BF5">
        <w:rPr>
          <w:rFonts w:cs="Times New Roman"/>
        </w:rPr>
        <w:t xml:space="preserve"> 48: 954-968. </w:t>
      </w:r>
      <w:r w:rsidR="00834BFF">
        <w:rPr>
          <w:rFonts w:cs="Times New Roman"/>
        </w:rPr>
        <w:t>https://d</w:t>
      </w:r>
      <w:r w:rsidRPr="00254BF5">
        <w:rPr>
          <w:rFonts w:cs="Times New Roman"/>
        </w:rPr>
        <w:t>oi: 10.1007/s13280-019-01194-x.</w:t>
      </w:r>
    </w:p>
    <w:p w14:paraId="4E16D8EF" w14:textId="7C0F5235" w:rsidR="009B2BC8" w:rsidRPr="00254BF5" w:rsidRDefault="009B2BC8" w:rsidP="00655B41">
      <w:pPr>
        <w:spacing w:afterLines="120" w:after="288"/>
        <w:ind w:left="709" w:hanging="709"/>
      </w:pPr>
      <w:proofErr w:type="gramStart"/>
      <w:r w:rsidRPr="00254BF5">
        <w:t xml:space="preserve">Grosse, S. D., </w:t>
      </w:r>
      <w:r w:rsidR="002C6C01">
        <w:t xml:space="preserve">T.D. </w:t>
      </w:r>
      <w:r w:rsidRPr="00254BF5">
        <w:t>Matte,</w:t>
      </w:r>
      <w:r w:rsidR="002C6C01">
        <w:t xml:space="preserve"> J. </w:t>
      </w:r>
      <w:r w:rsidRPr="00254BF5">
        <w:t xml:space="preserve">Schwartz, and </w:t>
      </w:r>
      <w:r w:rsidR="002C6C01">
        <w:t xml:space="preserve">R.J. </w:t>
      </w:r>
      <w:r w:rsidRPr="00254BF5">
        <w:t>Jackson</w:t>
      </w:r>
      <w:r w:rsidR="002C6C01">
        <w:t>.</w:t>
      </w:r>
      <w:proofErr w:type="gramEnd"/>
      <w:r w:rsidRPr="00254BF5">
        <w:t xml:space="preserve"> 2002. Economic gains resulting from the reduction in children's exposure to lead in the United States. </w:t>
      </w:r>
      <w:r w:rsidRPr="00254BF5">
        <w:rPr>
          <w:i/>
        </w:rPr>
        <w:t>Environmental Health Perspectives</w:t>
      </w:r>
      <w:r w:rsidRPr="00254BF5">
        <w:t xml:space="preserve"> 110: 563-569. </w:t>
      </w:r>
      <w:r w:rsidR="00834BFF">
        <w:t>https://d</w:t>
      </w:r>
      <w:r w:rsidRPr="00254BF5">
        <w:t>oi: 10.1289/ehp.02110563</w:t>
      </w:r>
    </w:p>
    <w:p w14:paraId="08EDC758" w14:textId="73D34DBD" w:rsidR="00000C22" w:rsidRPr="00254BF5" w:rsidRDefault="00937E24" w:rsidP="00655B41">
      <w:pPr>
        <w:spacing w:afterLines="120" w:after="288"/>
        <w:ind w:left="709" w:hanging="709"/>
        <w:rPr>
          <w:rFonts w:cs="Times New Roman"/>
        </w:rPr>
      </w:pPr>
      <w:proofErr w:type="spellStart"/>
      <w:proofErr w:type="gramStart"/>
      <w:r w:rsidRPr="00254BF5">
        <w:rPr>
          <w:lang w:val="en-GB"/>
        </w:rPr>
        <w:t>Guitart</w:t>
      </w:r>
      <w:proofErr w:type="spellEnd"/>
      <w:r w:rsidRPr="00254BF5">
        <w:rPr>
          <w:lang w:val="en-GB"/>
        </w:rPr>
        <w:t xml:space="preserve">, R., </w:t>
      </w:r>
      <w:r w:rsidR="005A2928">
        <w:rPr>
          <w:lang w:val="en-GB"/>
        </w:rPr>
        <w:t xml:space="preserve">J. </w:t>
      </w:r>
      <w:proofErr w:type="spellStart"/>
      <w:r w:rsidRPr="00254BF5">
        <w:rPr>
          <w:lang w:val="en-GB"/>
        </w:rPr>
        <w:t>Serratosa</w:t>
      </w:r>
      <w:proofErr w:type="spellEnd"/>
      <w:r w:rsidRPr="00254BF5">
        <w:rPr>
          <w:lang w:val="en-GB"/>
        </w:rPr>
        <w:t xml:space="preserve">, </w:t>
      </w:r>
      <w:r w:rsidR="005A2928">
        <w:rPr>
          <w:lang w:val="en-GB"/>
        </w:rPr>
        <w:t>and V.G.</w:t>
      </w:r>
      <w:r w:rsidRPr="00254BF5">
        <w:rPr>
          <w:lang w:val="en-GB"/>
        </w:rPr>
        <w:t xml:space="preserve"> Thomas.</w:t>
      </w:r>
      <w:proofErr w:type="gramEnd"/>
      <w:r w:rsidRPr="00254BF5">
        <w:rPr>
          <w:lang w:val="en-GB"/>
        </w:rPr>
        <w:t xml:space="preserve"> 2002. Lead poisoned waterfowl in Spain: a significant threat for human consumers. </w:t>
      </w:r>
      <w:r w:rsidRPr="000D63DE">
        <w:rPr>
          <w:i/>
          <w:lang w:val="en-GB"/>
        </w:rPr>
        <w:t>Environmental Health Research</w:t>
      </w:r>
      <w:r w:rsidRPr="00254BF5">
        <w:rPr>
          <w:lang w:val="en-GB"/>
        </w:rPr>
        <w:t xml:space="preserve"> 12: 301-309.</w:t>
      </w:r>
      <w:r w:rsidR="00000C22" w:rsidRPr="00254BF5">
        <w:rPr>
          <w:rFonts w:cs="Arial"/>
          <w:color w:val="333333"/>
          <w:lang w:val="en"/>
        </w:rPr>
        <w:t xml:space="preserve"> </w:t>
      </w:r>
      <w:hyperlink r:id="rId21" w:history="1">
        <w:r w:rsidR="00834BFF" w:rsidRPr="002B1218">
          <w:rPr>
            <w:rStyle w:val="Hyperlink"/>
            <w:rFonts w:cs="Times New Roman"/>
            <w:lang w:val="en"/>
          </w:rPr>
          <w:t>https://doi.org/10.1080/0960312021000056410</w:t>
        </w:r>
      </w:hyperlink>
      <w:r w:rsidR="00000C22" w:rsidRPr="00254BF5">
        <w:rPr>
          <w:rFonts w:cs="Times New Roman"/>
          <w:lang w:val="en"/>
        </w:rPr>
        <w:t xml:space="preserve"> </w:t>
      </w:r>
      <w:r w:rsidR="00000C22" w:rsidRPr="00254BF5">
        <w:rPr>
          <w:rFonts w:cs="Times New Roman"/>
        </w:rPr>
        <w:t>.</w:t>
      </w:r>
    </w:p>
    <w:p w14:paraId="250522C2" w14:textId="6F4D88DE" w:rsidR="00EA3007" w:rsidRPr="00254BF5" w:rsidRDefault="00EA3007" w:rsidP="00655B41">
      <w:pPr>
        <w:spacing w:afterLines="120" w:after="288"/>
        <w:ind w:left="709" w:hanging="709"/>
        <w:rPr>
          <w:rFonts w:cs="Times New Roman"/>
        </w:rPr>
      </w:pPr>
      <w:proofErr w:type="gramStart"/>
      <w:r w:rsidRPr="00254BF5">
        <w:rPr>
          <w:rFonts w:cs="Times New Roman"/>
        </w:rPr>
        <w:t xml:space="preserve">Hampton, J.O., </w:t>
      </w:r>
      <w:r w:rsidR="005A2928">
        <w:rPr>
          <w:rFonts w:cs="Times New Roman"/>
        </w:rPr>
        <w:t xml:space="preserve">M. </w:t>
      </w:r>
      <w:r w:rsidRPr="00254BF5">
        <w:rPr>
          <w:rFonts w:cs="Times New Roman"/>
        </w:rPr>
        <w:t xml:space="preserve">Laidlaw, </w:t>
      </w:r>
      <w:r w:rsidR="005A2928">
        <w:rPr>
          <w:rFonts w:cs="Times New Roman"/>
        </w:rPr>
        <w:t>E.</w:t>
      </w:r>
      <w:r w:rsidRPr="00254BF5">
        <w:rPr>
          <w:rFonts w:cs="Times New Roman"/>
        </w:rPr>
        <w:t xml:space="preserve"> </w:t>
      </w:r>
      <w:proofErr w:type="spellStart"/>
      <w:r w:rsidRPr="00254BF5">
        <w:rPr>
          <w:rFonts w:cs="Times New Roman"/>
        </w:rPr>
        <w:t>Buenz</w:t>
      </w:r>
      <w:proofErr w:type="spellEnd"/>
      <w:r w:rsidRPr="00254BF5">
        <w:rPr>
          <w:rFonts w:cs="Times New Roman"/>
        </w:rPr>
        <w:t xml:space="preserve">, </w:t>
      </w:r>
      <w:r w:rsidR="005A2928">
        <w:rPr>
          <w:rFonts w:cs="Times New Roman"/>
        </w:rPr>
        <w:t>and J.M.</w:t>
      </w:r>
      <w:r w:rsidRPr="00254BF5">
        <w:rPr>
          <w:rFonts w:cs="Times New Roman"/>
        </w:rPr>
        <w:t xml:space="preserve"> </w:t>
      </w:r>
      <w:proofErr w:type="spellStart"/>
      <w:r w:rsidRPr="00254BF5">
        <w:rPr>
          <w:rFonts w:cs="Times New Roman"/>
        </w:rPr>
        <w:t>Arnemo</w:t>
      </w:r>
      <w:proofErr w:type="spellEnd"/>
      <w:r w:rsidRPr="00254BF5">
        <w:rPr>
          <w:rFonts w:cs="Times New Roman"/>
        </w:rPr>
        <w:t>.</w:t>
      </w:r>
      <w:proofErr w:type="gramEnd"/>
      <w:r w:rsidRPr="00254BF5">
        <w:rPr>
          <w:rFonts w:cs="Times New Roman"/>
        </w:rPr>
        <w:t xml:space="preserve"> 2018. Heads in the sand: public health and ecological risks of lead-based bullets for wildlife shooting in Australia. </w:t>
      </w:r>
      <w:r w:rsidRPr="000D63DE">
        <w:rPr>
          <w:rFonts w:cs="Times New Roman"/>
          <w:i/>
        </w:rPr>
        <w:t>Wildlife Research</w:t>
      </w:r>
      <w:r w:rsidRPr="00254BF5">
        <w:rPr>
          <w:rFonts w:cs="Times New Roman"/>
        </w:rPr>
        <w:t xml:space="preserve"> 45: 287-306. </w:t>
      </w:r>
      <w:r w:rsidR="00834BFF">
        <w:rPr>
          <w:rFonts w:cs="Times New Roman"/>
        </w:rPr>
        <w:t>https://d</w:t>
      </w:r>
      <w:r w:rsidRPr="00254BF5">
        <w:rPr>
          <w:rFonts w:cs="Times New Roman"/>
        </w:rPr>
        <w:t>oi: 10.1071/WR17180.</w:t>
      </w:r>
    </w:p>
    <w:p w14:paraId="4E78B6F0" w14:textId="07259782" w:rsidR="00254BF5" w:rsidRPr="00254BF5" w:rsidRDefault="00387441" w:rsidP="00655B41">
      <w:pPr>
        <w:spacing w:afterLines="120" w:after="288"/>
        <w:ind w:left="709" w:hanging="709"/>
        <w:rPr>
          <w:rFonts w:cs="Times New Roman"/>
        </w:rPr>
      </w:pPr>
      <w:proofErr w:type="gramStart"/>
      <w:r w:rsidRPr="00254BF5">
        <w:rPr>
          <w:rFonts w:cs="Times New Roman"/>
        </w:rPr>
        <w:t>Hir</w:t>
      </w:r>
      <w:r w:rsidR="00254BF5" w:rsidRPr="00254BF5">
        <w:rPr>
          <w:rFonts w:cs="Times New Roman"/>
        </w:rPr>
        <w:t>s</w:t>
      </w:r>
      <w:r w:rsidRPr="00254BF5">
        <w:rPr>
          <w:rFonts w:cs="Times New Roman"/>
        </w:rPr>
        <w:t>chfeld</w:t>
      </w:r>
      <w:r w:rsidR="00254BF5" w:rsidRPr="00254BF5">
        <w:rPr>
          <w:rFonts w:cs="Times New Roman"/>
        </w:rPr>
        <w:t xml:space="preserve">, A., </w:t>
      </w:r>
      <w:r w:rsidR="005A2928">
        <w:rPr>
          <w:rFonts w:cs="Times New Roman"/>
        </w:rPr>
        <w:t xml:space="preserve">G. </w:t>
      </w:r>
      <w:proofErr w:type="spellStart"/>
      <w:r w:rsidR="00254BF5" w:rsidRPr="00254BF5">
        <w:rPr>
          <w:rFonts w:cs="Times New Roman"/>
        </w:rPr>
        <w:t>Attard</w:t>
      </w:r>
      <w:proofErr w:type="spellEnd"/>
      <w:r w:rsidR="00254BF5" w:rsidRPr="00254BF5">
        <w:rPr>
          <w:rFonts w:cs="Times New Roman"/>
        </w:rPr>
        <w:t xml:space="preserve">, </w:t>
      </w:r>
      <w:r w:rsidR="005A2928">
        <w:rPr>
          <w:rFonts w:cs="Times New Roman"/>
        </w:rPr>
        <w:t>and L.</w:t>
      </w:r>
      <w:r w:rsidR="00254BF5" w:rsidRPr="00254BF5">
        <w:rPr>
          <w:rFonts w:cs="Times New Roman"/>
        </w:rPr>
        <w:t xml:space="preserve"> Scott</w:t>
      </w:r>
      <w:r w:rsidR="005A2928">
        <w:rPr>
          <w:rFonts w:cs="Times New Roman"/>
        </w:rPr>
        <w:t>.</w:t>
      </w:r>
      <w:proofErr w:type="gramEnd"/>
      <w:r w:rsidRPr="00254BF5">
        <w:rPr>
          <w:rFonts w:cs="Times New Roman"/>
        </w:rPr>
        <w:t xml:space="preserve"> 2019. </w:t>
      </w:r>
      <w:r w:rsidR="00254BF5" w:rsidRPr="00254BF5">
        <w:rPr>
          <w:rFonts w:cs="Times New Roman"/>
        </w:rPr>
        <w:t xml:space="preserve">Bird hunting in Europe: an analysis of bag figures and the potential impact on the conservation of threatened species. </w:t>
      </w:r>
      <w:proofErr w:type="gramStart"/>
      <w:r w:rsidRPr="00254BF5">
        <w:rPr>
          <w:rFonts w:cs="Times New Roman"/>
          <w:i/>
        </w:rPr>
        <w:t>British Birds.</w:t>
      </w:r>
      <w:proofErr w:type="gramEnd"/>
      <w:r w:rsidR="00254BF5" w:rsidRPr="00254BF5">
        <w:rPr>
          <w:i/>
        </w:rPr>
        <w:t xml:space="preserve"> </w:t>
      </w:r>
      <w:hyperlink r:id="rId22" w:history="1">
        <w:r w:rsidR="00254BF5" w:rsidRPr="00254BF5">
          <w:rPr>
            <w:rStyle w:val="Hyperlink"/>
            <w:rFonts w:cs="Times New Roman"/>
          </w:rPr>
          <w:t>https://britishbirds.co.uk/article/bird-hunting-in-europe-an-analysis-of-bag-figures-and-the-potential-impact-on-the-conservation-of-threatened-species/</w:t>
        </w:r>
      </w:hyperlink>
    </w:p>
    <w:p w14:paraId="6855A770" w14:textId="770200AB" w:rsidR="001D657C" w:rsidRPr="00254BF5" w:rsidRDefault="001D657C" w:rsidP="00655B41">
      <w:pPr>
        <w:spacing w:afterLines="120" w:after="288"/>
        <w:ind w:left="709" w:hanging="709"/>
        <w:rPr>
          <w:rFonts w:cs="Times New Roman"/>
        </w:rPr>
      </w:pPr>
      <w:proofErr w:type="gramStart"/>
      <w:r w:rsidRPr="00254BF5">
        <w:rPr>
          <w:rFonts w:cs="Times New Roman"/>
        </w:rPr>
        <w:t>Hunt,</w:t>
      </w:r>
      <w:proofErr w:type="gramEnd"/>
      <w:r w:rsidRPr="00254BF5">
        <w:rPr>
          <w:rFonts w:cs="Times New Roman"/>
        </w:rPr>
        <w:t xml:space="preserve"> W.G., </w:t>
      </w:r>
      <w:r w:rsidR="005A2928">
        <w:rPr>
          <w:rFonts w:cs="Times New Roman"/>
        </w:rPr>
        <w:t xml:space="preserve">R.T. </w:t>
      </w:r>
      <w:r w:rsidRPr="00254BF5">
        <w:rPr>
          <w:rFonts w:cs="Times New Roman"/>
        </w:rPr>
        <w:t xml:space="preserve">Watson, </w:t>
      </w:r>
      <w:r w:rsidR="005A2928">
        <w:rPr>
          <w:rFonts w:cs="Times New Roman"/>
        </w:rPr>
        <w:t>J.L.</w:t>
      </w:r>
      <w:r w:rsidRPr="00254BF5">
        <w:rPr>
          <w:rFonts w:cs="Times New Roman"/>
        </w:rPr>
        <w:t xml:space="preserve"> Oaks, </w:t>
      </w:r>
      <w:r w:rsidR="005A2928">
        <w:rPr>
          <w:rFonts w:cs="Times New Roman"/>
        </w:rPr>
        <w:t>C.N.</w:t>
      </w:r>
      <w:r w:rsidRPr="00254BF5">
        <w:rPr>
          <w:rFonts w:cs="Times New Roman"/>
        </w:rPr>
        <w:t xml:space="preserve"> Parish, </w:t>
      </w:r>
      <w:r w:rsidR="005A2928">
        <w:rPr>
          <w:rFonts w:cs="Times New Roman"/>
        </w:rPr>
        <w:t>K.K.</w:t>
      </w:r>
      <w:r w:rsidRPr="00254BF5">
        <w:rPr>
          <w:rFonts w:cs="Times New Roman"/>
        </w:rPr>
        <w:t xml:space="preserve"> Burnham, </w:t>
      </w:r>
      <w:r w:rsidR="005A2928">
        <w:rPr>
          <w:rFonts w:cs="Times New Roman"/>
        </w:rPr>
        <w:t>R.L.</w:t>
      </w:r>
      <w:r w:rsidRPr="00254BF5">
        <w:rPr>
          <w:rFonts w:cs="Times New Roman"/>
        </w:rPr>
        <w:t xml:space="preserve"> Tucker, </w:t>
      </w:r>
      <w:r w:rsidR="005A2928">
        <w:rPr>
          <w:rFonts w:cs="Times New Roman"/>
        </w:rPr>
        <w:t>J.R.</w:t>
      </w:r>
      <w:r w:rsidRPr="00254BF5">
        <w:rPr>
          <w:rFonts w:cs="Times New Roman"/>
        </w:rPr>
        <w:t xml:space="preserve"> </w:t>
      </w:r>
      <w:proofErr w:type="spellStart"/>
      <w:r w:rsidRPr="00254BF5">
        <w:rPr>
          <w:rFonts w:cs="Times New Roman"/>
        </w:rPr>
        <w:t>Belthoff</w:t>
      </w:r>
      <w:proofErr w:type="spellEnd"/>
      <w:r w:rsidRPr="00254BF5">
        <w:rPr>
          <w:rFonts w:cs="Times New Roman"/>
        </w:rPr>
        <w:t xml:space="preserve">, </w:t>
      </w:r>
      <w:r w:rsidR="005A2928">
        <w:rPr>
          <w:rFonts w:cs="Times New Roman"/>
        </w:rPr>
        <w:t>and G.</w:t>
      </w:r>
      <w:r w:rsidRPr="00254BF5">
        <w:rPr>
          <w:rFonts w:cs="Times New Roman"/>
        </w:rPr>
        <w:t xml:space="preserve"> Hart. 2009. Lead bullet fragments in venison from rifle-killed deer: Potential for human dietary exposure. </w:t>
      </w:r>
      <w:proofErr w:type="spellStart"/>
      <w:r w:rsidRPr="000D63DE">
        <w:rPr>
          <w:rFonts w:cs="Times New Roman"/>
          <w:i/>
        </w:rPr>
        <w:t>PLoS</w:t>
      </w:r>
      <w:proofErr w:type="spellEnd"/>
      <w:r w:rsidRPr="000D63DE">
        <w:rPr>
          <w:rFonts w:cs="Times New Roman"/>
          <w:i/>
        </w:rPr>
        <w:t xml:space="preserve"> ONE</w:t>
      </w:r>
      <w:r w:rsidRPr="00254BF5">
        <w:rPr>
          <w:rFonts w:cs="Times New Roman"/>
        </w:rPr>
        <w:t xml:space="preserve"> 4: e5330. </w:t>
      </w:r>
      <w:r w:rsidR="00D653AD">
        <w:rPr>
          <w:rFonts w:cs="Times New Roman"/>
        </w:rPr>
        <w:t>https://d</w:t>
      </w:r>
      <w:r w:rsidRPr="00254BF5">
        <w:rPr>
          <w:rFonts w:cs="Times New Roman"/>
        </w:rPr>
        <w:t>oi: org/10.1371/journal.pone.0005330.</w:t>
      </w:r>
    </w:p>
    <w:p w14:paraId="39055432" w14:textId="4F2C0C42" w:rsidR="00661A52" w:rsidRPr="00254BF5" w:rsidRDefault="00661A52" w:rsidP="00655B41">
      <w:pPr>
        <w:pStyle w:val="BodyTextIndent"/>
        <w:widowControl w:val="0"/>
        <w:spacing w:afterLines="120" w:after="288"/>
        <w:ind w:left="709" w:hanging="709"/>
      </w:pPr>
      <w:proofErr w:type="spellStart"/>
      <w:proofErr w:type="gramStart"/>
      <w:r w:rsidRPr="00254BF5">
        <w:t>Kanstrup</w:t>
      </w:r>
      <w:proofErr w:type="spellEnd"/>
      <w:r w:rsidRPr="00254BF5">
        <w:t xml:space="preserve">, N., </w:t>
      </w:r>
      <w:r w:rsidR="005A2928">
        <w:t xml:space="preserve">and V.G. </w:t>
      </w:r>
      <w:r w:rsidRPr="00254BF5">
        <w:t>Thomas.</w:t>
      </w:r>
      <w:proofErr w:type="gramEnd"/>
      <w:r w:rsidRPr="00254BF5">
        <w:t xml:space="preserve"> 2019. Availability and price of non-lead hunting ammunition in Europe. </w:t>
      </w:r>
      <w:proofErr w:type="spellStart"/>
      <w:r w:rsidRPr="000D63DE">
        <w:rPr>
          <w:i/>
        </w:rPr>
        <w:t>Ambio</w:t>
      </w:r>
      <w:proofErr w:type="spellEnd"/>
      <w:r w:rsidRPr="00254BF5">
        <w:t xml:space="preserve"> 48:1039-1043. </w:t>
      </w:r>
      <w:r w:rsidR="00D653AD">
        <w:t>https://d</w:t>
      </w:r>
      <w:r w:rsidRPr="00254BF5">
        <w:t>oi.org/10.1007/s13280-019-01151-8</w:t>
      </w:r>
    </w:p>
    <w:p w14:paraId="708B21CF" w14:textId="05F56E5B" w:rsidR="00924377" w:rsidRDefault="00C939CF" w:rsidP="00655B41">
      <w:pPr>
        <w:spacing w:afterLines="120" w:after="288"/>
        <w:ind w:left="709" w:hanging="709"/>
      </w:pPr>
      <w:proofErr w:type="spellStart"/>
      <w:proofErr w:type="gramStart"/>
      <w:r w:rsidRPr="00254BF5">
        <w:lastRenderedPageBreak/>
        <w:t>Kanstrup</w:t>
      </w:r>
      <w:proofErr w:type="spellEnd"/>
      <w:r w:rsidRPr="00254BF5">
        <w:t xml:space="preserve">, N., </w:t>
      </w:r>
      <w:r w:rsidR="005A2928">
        <w:t xml:space="preserve">T.J.S. </w:t>
      </w:r>
      <w:proofErr w:type="spellStart"/>
      <w:r w:rsidRPr="00254BF5">
        <w:t>Balsby</w:t>
      </w:r>
      <w:proofErr w:type="spellEnd"/>
      <w:r w:rsidRPr="00254BF5">
        <w:t>, and V.G. Thomas.</w:t>
      </w:r>
      <w:proofErr w:type="gramEnd"/>
      <w:r w:rsidRPr="00254BF5">
        <w:t xml:space="preserve"> 2016. Efficacy of non-lead rifle ammunition for hunting in Denmark. </w:t>
      </w:r>
      <w:r w:rsidRPr="000D63DE">
        <w:rPr>
          <w:i/>
        </w:rPr>
        <w:t>European Journal of Wil</w:t>
      </w:r>
      <w:r w:rsidR="00863BC9" w:rsidRPr="000D63DE">
        <w:rPr>
          <w:i/>
        </w:rPr>
        <w:t>dlife Research</w:t>
      </w:r>
      <w:r w:rsidR="00863BC9" w:rsidRPr="00254BF5">
        <w:t xml:space="preserve"> 62: 333-340. </w:t>
      </w:r>
      <w:r w:rsidR="00D653AD">
        <w:t>https://d</w:t>
      </w:r>
      <w:r w:rsidRPr="00254BF5">
        <w:t>oi</w:t>
      </w:r>
      <w:r w:rsidR="00355A9F">
        <w:t>:</w:t>
      </w:r>
      <w:r w:rsidRPr="00254BF5">
        <w:t xml:space="preserve"> 10.1007/s10344-016-1006-0.  </w:t>
      </w:r>
    </w:p>
    <w:p w14:paraId="6D7A77AC" w14:textId="6B55BADE" w:rsidR="00EF256B" w:rsidRDefault="00EF256B" w:rsidP="00EF256B">
      <w:pPr>
        <w:autoSpaceDE w:val="0"/>
        <w:autoSpaceDN w:val="0"/>
        <w:adjustRightInd w:val="0"/>
        <w:spacing w:afterLines="120" w:after="288"/>
        <w:ind w:left="709" w:hanging="709"/>
      </w:pPr>
      <w:proofErr w:type="spellStart"/>
      <w:proofErr w:type="gramStart"/>
      <w:r w:rsidRPr="00254BF5">
        <w:rPr>
          <w:rFonts w:cs="Times New Roman"/>
          <w:color w:val="000000"/>
        </w:rPr>
        <w:t>Kanstrup</w:t>
      </w:r>
      <w:proofErr w:type="spellEnd"/>
      <w:r w:rsidRPr="00254BF5">
        <w:rPr>
          <w:rFonts w:cs="Times New Roman"/>
          <w:color w:val="000000"/>
        </w:rPr>
        <w:t>, N.,</w:t>
      </w:r>
      <w:r>
        <w:rPr>
          <w:rFonts w:cs="Times New Roman"/>
          <w:color w:val="000000"/>
        </w:rPr>
        <w:t xml:space="preserve"> J. </w:t>
      </w:r>
      <w:r w:rsidRPr="00254BF5">
        <w:rPr>
          <w:rFonts w:cs="Times New Roman"/>
          <w:color w:val="000000"/>
        </w:rPr>
        <w:t xml:space="preserve">Swift, </w:t>
      </w:r>
      <w:r>
        <w:rPr>
          <w:rFonts w:cs="Times New Roman"/>
          <w:color w:val="000000"/>
        </w:rPr>
        <w:t>D.A.</w:t>
      </w:r>
      <w:r w:rsidRPr="00254BF5">
        <w:rPr>
          <w:rFonts w:cs="Times New Roman"/>
          <w:color w:val="000000"/>
        </w:rPr>
        <w:t xml:space="preserve"> Stroud,</w:t>
      </w:r>
      <w:r>
        <w:rPr>
          <w:rFonts w:cs="Times New Roman"/>
          <w:color w:val="000000"/>
        </w:rPr>
        <w:t xml:space="preserve"> and M.</w:t>
      </w:r>
      <w:r w:rsidRPr="00254BF5">
        <w:rPr>
          <w:rFonts w:cs="Times New Roman"/>
          <w:color w:val="000000"/>
        </w:rPr>
        <w:t xml:space="preserve"> Lewis.</w:t>
      </w:r>
      <w:proofErr w:type="gramEnd"/>
      <w:r w:rsidRPr="00254BF5">
        <w:rPr>
          <w:rFonts w:cs="Times New Roman"/>
          <w:color w:val="000000"/>
        </w:rPr>
        <w:t xml:space="preserve"> 201</w:t>
      </w:r>
      <w:r>
        <w:rPr>
          <w:rFonts w:cs="Times New Roman"/>
          <w:color w:val="000000"/>
        </w:rPr>
        <w:t>8</w:t>
      </w:r>
      <w:r w:rsidRPr="00254BF5">
        <w:rPr>
          <w:rFonts w:cs="Times New Roman"/>
          <w:color w:val="000000"/>
        </w:rPr>
        <w:t xml:space="preserve">. Hunting with lead ammunition is not     sustainable: European perspectives. </w:t>
      </w:r>
      <w:proofErr w:type="spellStart"/>
      <w:r w:rsidRPr="00583818">
        <w:rPr>
          <w:rFonts w:cs="Times New Roman"/>
          <w:i/>
          <w:color w:val="000000"/>
        </w:rPr>
        <w:t>Ambio</w:t>
      </w:r>
      <w:proofErr w:type="spellEnd"/>
      <w:r w:rsidRPr="00254BF5">
        <w:rPr>
          <w:rFonts w:cs="Times New Roman"/>
          <w:color w:val="000000"/>
        </w:rPr>
        <w:t xml:space="preserve"> 47: 846–857</w:t>
      </w:r>
      <w:r w:rsidRPr="00254BF5">
        <w:rPr>
          <w:rFonts w:cs="Times New Roman"/>
        </w:rPr>
        <w:t xml:space="preserve">. </w:t>
      </w:r>
      <w:hyperlink r:id="rId23" w:history="1">
        <w:r w:rsidRPr="004E751F">
          <w:rPr>
            <w:rStyle w:val="Hyperlink"/>
            <w:rFonts w:cs="Times New Roman"/>
          </w:rPr>
          <w:t>https://doi: org/10.1007/s13280-018-1042-y</w:t>
        </w:r>
      </w:hyperlink>
      <w:r w:rsidRPr="00254BF5">
        <w:rPr>
          <w:rFonts w:cs="Times New Roman"/>
        </w:rPr>
        <w:t>.</w:t>
      </w:r>
    </w:p>
    <w:p w14:paraId="1C7BDA35" w14:textId="21B88A63" w:rsidR="00661A52" w:rsidRPr="00254BF5" w:rsidRDefault="00924377" w:rsidP="00655B41">
      <w:pPr>
        <w:spacing w:afterLines="120" w:after="288"/>
        <w:ind w:left="709" w:hanging="709"/>
        <w:rPr>
          <w:rFonts w:cs="Times New Roman"/>
        </w:rPr>
      </w:pPr>
      <w:proofErr w:type="spellStart"/>
      <w:r>
        <w:t>Kanstrup</w:t>
      </w:r>
      <w:proofErr w:type="spellEnd"/>
      <w:r>
        <w:t xml:space="preserve">, N., </w:t>
      </w:r>
      <w:r w:rsidR="004E751F">
        <w:t xml:space="preserve">V.G. </w:t>
      </w:r>
      <w:r>
        <w:t>Thomas, and A.D. Fox (</w:t>
      </w:r>
      <w:proofErr w:type="gramStart"/>
      <w:r>
        <w:t>eds</w:t>
      </w:r>
      <w:proofErr w:type="gramEnd"/>
      <w:r>
        <w:t xml:space="preserve">.). 2019. Lead in hunting ammunition: Persistent problems and solutions. </w:t>
      </w:r>
      <w:proofErr w:type="gramStart"/>
      <w:r>
        <w:t>Special Issue.</w:t>
      </w:r>
      <w:proofErr w:type="gramEnd"/>
      <w:r>
        <w:t xml:space="preserve"> </w:t>
      </w:r>
      <w:proofErr w:type="spellStart"/>
      <w:r>
        <w:rPr>
          <w:i/>
        </w:rPr>
        <w:t>Ambio</w:t>
      </w:r>
      <w:proofErr w:type="spellEnd"/>
      <w:r>
        <w:t xml:space="preserve"> 48:923-1098.</w:t>
      </w:r>
      <w:r w:rsidR="00C939CF" w:rsidRPr="00254BF5">
        <w:t xml:space="preserve"> </w:t>
      </w:r>
    </w:p>
    <w:p w14:paraId="308321A9" w14:textId="0BD7ED48" w:rsidR="004A11BC" w:rsidRPr="00254BF5" w:rsidRDefault="004A11BC" w:rsidP="00655B41">
      <w:pPr>
        <w:autoSpaceDE w:val="0"/>
        <w:autoSpaceDN w:val="0"/>
        <w:adjustRightInd w:val="0"/>
        <w:spacing w:afterLines="120" w:after="288"/>
        <w:ind w:left="709" w:hanging="709"/>
        <w:rPr>
          <w:rFonts w:cs="Times New Roman"/>
        </w:rPr>
      </w:pPr>
      <w:r w:rsidRPr="00254BF5">
        <w:rPr>
          <w:rFonts w:cs="Times New Roman"/>
        </w:rPr>
        <w:t xml:space="preserve">Kelly, T.R., </w:t>
      </w:r>
      <w:r w:rsidR="004F51B0">
        <w:rPr>
          <w:rFonts w:cs="Times New Roman"/>
        </w:rPr>
        <w:t xml:space="preserve">P.H. </w:t>
      </w:r>
      <w:r w:rsidRPr="00254BF5">
        <w:rPr>
          <w:rFonts w:cs="Times New Roman"/>
        </w:rPr>
        <w:t xml:space="preserve">Bloom, </w:t>
      </w:r>
      <w:r w:rsidR="004F51B0">
        <w:rPr>
          <w:rFonts w:cs="Times New Roman"/>
        </w:rPr>
        <w:t>S.G.</w:t>
      </w:r>
      <w:r w:rsidRPr="00254BF5">
        <w:rPr>
          <w:rFonts w:cs="Times New Roman"/>
        </w:rPr>
        <w:t xml:space="preserve"> Torres, </w:t>
      </w:r>
      <w:r w:rsidR="004F51B0">
        <w:rPr>
          <w:rFonts w:cs="Times New Roman"/>
        </w:rPr>
        <w:t>Y.Z.</w:t>
      </w:r>
      <w:r w:rsidRPr="00254BF5">
        <w:rPr>
          <w:rFonts w:cs="Times New Roman"/>
        </w:rPr>
        <w:t xml:space="preserve"> Hernandez, </w:t>
      </w:r>
      <w:r w:rsidR="004F51B0">
        <w:rPr>
          <w:rFonts w:cs="Times New Roman"/>
        </w:rPr>
        <w:t>R.H.</w:t>
      </w:r>
      <w:r w:rsidRPr="00254BF5">
        <w:rPr>
          <w:rFonts w:cs="Times New Roman"/>
        </w:rPr>
        <w:t xml:space="preserve"> </w:t>
      </w:r>
      <w:proofErr w:type="spellStart"/>
      <w:r w:rsidRPr="00254BF5">
        <w:rPr>
          <w:rFonts w:cs="Times New Roman"/>
        </w:rPr>
        <w:t>Poppenga</w:t>
      </w:r>
      <w:proofErr w:type="spellEnd"/>
      <w:r w:rsidRPr="00254BF5">
        <w:rPr>
          <w:rFonts w:cs="Times New Roman"/>
        </w:rPr>
        <w:t>, et al</w:t>
      </w:r>
      <w:proofErr w:type="gramStart"/>
      <w:r w:rsidRPr="00254BF5">
        <w:rPr>
          <w:rFonts w:cs="Times New Roman"/>
        </w:rPr>
        <w:t>.</w:t>
      </w:r>
      <w:r w:rsidR="004F51B0">
        <w:rPr>
          <w:rFonts w:cs="Times New Roman"/>
        </w:rPr>
        <w:t>.</w:t>
      </w:r>
      <w:proofErr w:type="gramEnd"/>
      <w:r w:rsidRPr="00254BF5">
        <w:rPr>
          <w:rFonts w:cs="Times New Roman"/>
        </w:rPr>
        <w:t xml:space="preserve"> 2011. Impact of the California lead ammunition ban on reducing lead exposure in golden eagles and turkey vultures. </w:t>
      </w:r>
      <w:proofErr w:type="spellStart"/>
      <w:r w:rsidRPr="000D63DE">
        <w:rPr>
          <w:rFonts w:cs="Times New Roman"/>
          <w:i/>
        </w:rPr>
        <w:t>PLoS</w:t>
      </w:r>
      <w:proofErr w:type="spellEnd"/>
      <w:r w:rsidRPr="000D63DE">
        <w:rPr>
          <w:rFonts w:cs="Times New Roman"/>
          <w:i/>
        </w:rPr>
        <w:t xml:space="preserve"> ONE</w:t>
      </w:r>
      <w:r w:rsidRPr="00254BF5">
        <w:rPr>
          <w:rFonts w:cs="Times New Roman"/>
        </w:rPr>
        <w:t xml:space="preserve"> 6(4): e17656. </w:t>
      </w:r>
      <w:r w:rsidR="004E751F">
        <w:rPr>
          <w:rFonts w:cs="Times New Roman"/>
        </w:rPr>
        <w:t>https://d</w:t>
      </w:r>
      <w:r w:rsidRPr="00254BF5">
        <w:rPr>
          <w:rFonts w:cs="Times New Roman"/>
        </w:rPr>
        <w:t>oi:10.1371/journal.pone.0017656.</w:t>
      </w:r>
    </w:p>
    <w:p w14:paraId="31AF182D" w14:textId="48363ACD" w:rsidR="00E501EA" w:rsidRPr="00254BF5" w:rsidRDefault="009D0B99" w:rsidP="00655B41">
      <w:pPr>
        <w:spacing w:afterLines="120" w:after="288"/>
        <w:ind w:left="709" w:hanging="709"/>
        <w:rPr>
          <w:rFonts w:cs="Times New Roman"/>
        </w:rPr>
      </w:pPr>
      <w:proofErr w:type="spellStart"/>
      <w:proofErr w:type="gramStart"/>
      <w:r w:rsidRPr="00254BF5">
        <w:rPr>
          <w:rFonts w:cs="Times New Roman"/>
        </w:rPr>
        <w:t>Knutsen</w:t>
      </w:r>
      <w:proofErr w:type="spellEnd"/>
      <w:r w:rsidRPr="00254BF5">
        <w:rPr>
          <w:rFonts w:cs="Times New Roman"/>
        </w:rPr>
        <w:t xml:space="preserve">, H.K., </w:t>
      </w:r>
      <w:r w:rsidR="004F51B0">
        <w:rPr>
          <w:rFonts w:cs="Times New Roman"/>
        </w:rPr>
        <w:t>A.-L.</w:t>
      </w:r>
      <w:proofErr w:type="gramEnd"/>
      <w:r w:rsidR="004F51B0">
        <w:rPr>
          <w:rFonts w:cs="Times New Roman"/>
        </w:rPr>
        <w:t xml:space="preserve"> </w:t>
      </w:r>
      <w:proofErr w:type="spellStart"/>
      <w:proofErr w:type="gramStart"/>
      <w:r w:rsidRPr="00254BF5">
        <w:rPr>
          <w:rFonts w:cs="Times New Roman"/>
        </w:rPr>
        <w:t>Brantsaeter</w:t>
      </w:r>
      <w:proofErr w:type="spellEnd"/>
      <w:r w:rsidRPr="00254BF5">
        <w:rPr>
          <w:rFonts w:cs="Times New Roman"/>
        </w:rPr>
        <w:t xml:space="preserve">, </w:t>
      </w:r>
      <w:r w:rsidR="004F51B0">
        <w:rPr>
          <w:rFonts w:cs="Times New Roman"/>
        </w:rPr>
        <w:t>J.</w:t>
      </w:r>
      <w:r w:rsidRPr="00254BF5">
        <w:rPr>
          <w:rFonts w:cs="Times New Roman"/>
        </w:rPr>
        <w:t xml:space="preserve"> Alexander, </w:t>
      </w:r>
      <w:r w:rsidR="004F51B0">
        <w:rPr>
          <w:rFonts w:cs="Times New Roman"/>
        </w:rPr>
        <w:t>and H.M.</w:t>
      </w:r>
      <w:r w:rsidRPr="00254BF5">
        <w:rPr>
          <w:rFonts w:cs="Times New Roman"/>
        </w:rPr>
        <w:t xml:space="preserve"> Meltzer.</w:t>
      </w:r>
      <w:proofErr w:type="gramEnd"/>
      <w:r w:rsidRPr="00254BF5">
        <w:rPr>
          <w:rFonts w:cs="Times New Roman"/>
        </w:rPr>
        <w:t xml:space="preserve"> 2015. Associations between consumption of large game animals and blood lead levels in humans in Europe: the Norwegian experience</w:t>
      </w:r>
      <w:r w:rsidR="00B07077" w:rsidRPr="00254BF5">
        <w:rPr>
          <w:rFonts w:cs="Times New Roman"/>
        </w:rPr>
        <w:t xml:space="preserve">. </w:t>
      </w:r>
      <w:proofErr w:type="gramStart"/>
      <w:r w:rsidR="00B07077" w:rsidRPr="00254BF5">
        <w:rPr>
          <w:rFonts w:cs="Times New Roman"/>
        </w:rPr>
        <w:t xml:space="preserve">In </w:t>
      </w:r>
      <w:r w:rsidR="00B07077" w:rsidRPr="007A17B1">
        <w:rPr>
          <w:rFonts w:cs="Times New Roman"/>
          <w:i/>
        </w:rPr>
        <w:t>Proceedings of the Oxford Lead Symposium.</w:t>
      </w:r>
      <w:proofErr w:type="gramEnd"/>
      <w:r w:rsidR="00B07077" w:rsidRPr="007A17B1">
        <w:rPr>
          <w:rFonts w:cs="Times New Roman"/>
          <w:i/>
        </w:rPr>
        <w:t xml:space="preserve"> Lead ammunition: understanding and minimizing the risks to human and environmental health</w:t>
      </w:r>
      <w:r w:rsidR="00B07077">
        <w:rPr>
          <w:rFonts w:cs="Times New Roman"/>
        </w:rPr>
        <w:t>, eds.</w:t>
      </w:r>
      <w:r w:rsidR="00B07077" w:rsidRPr="000179E5">
        <w:rPr>
          <w:rFonts w:cs="Times New Roman"/>
        </w:rPr>
        <w:t xml:space="preserve"> </w:t>
      </w:r>
      <w:r w:rsidR="00B07077">
        <w:rPr>
          <w:rFonts w:cs="Times New Roman"/>
        </w:rPr>
        <w:t xml:space="preserve">R.J. </w:t>
      </w:r>
      <w:proofErr w:type="spellStart"/>
      <w:r w:rsidR="00B07077" w:rsidRPr="00254BF5">
        <w:rPr>
          <w:rFonts w:cs="Times New Roman"/>
        </w:rPr>
        <w:t>Delahay</w:t>
      </w:r>
      <w:proofErr w:type="spellEnd"/>
      <w:r w:rsidR="00B07077" w:rsidRPr="00254BF5">
        <w:rPr>
          <w:rFonts w:cs="Times New Roman"/>
        </w:rPr>
        <w:t xml:space="preserve">, R.J. and </w:t>
      </w:r>
      <w:r w:rsidR="00B07077">
        <w:rPr>
          <w:rFonts w:cs="Times New Roman"/>
        </w:rPr>
        <w:t>C.J. Spray, 44-50.</w:t>
      </w:r>
      <w:r w:rsidR="00B07077" w:rsidRPr="00254BF5">
        <w:rPr>
          <w:rFonts w:cs="Times New Roman"/>
        </w:rPr>
        <w:t xml:space="preserve"> </w:t>
      </w:r>
      <w:r w:rsidR="00B07077">
        <w:rPr>
          <w:rFonts w:cs="Times New Roman"/>
        </w:rPr>
        <w:t>Oxford</w:t>
      </w:r>
      <w:r w:rsidR="00E501EA" w:rsidRPr="00254BF5">
        <w:rPr>
          <w:rFonts w:cs="Times New Roman"/>
        </w:rPr>
        <w:t xml:space="preserve">. Edward </w:t>
      </w:r>
      <w:r w:rsidR="00B07077">
        <w:rPr>
          <w:rFonts w:cs="Times New Roman"/>
        </w:rPr>
        <w:t>G</w:t>
      </w:r>
      <w:r w:rsidR="00E501EA" w:rsidRPr="00254BF5">
        <w:rPr>
          <w:rFonts w:cs="Times New Roman"/>
        </w:rPr>
        <w:t xml:space="preserve">rey Institute, </w:t>
      </w:r>
      <w:proofErr w:type="gramStart"/>
      <w:r w:rsidR="00E501EA" w:rsidRPr="00254BF5">
        <w:rPr>
          <w:rFonts w:cs="Times New Roman"/>
        </w:rPr>
        <w:t>The</w:t>
      </w:r>
      <w:proofErr w:type="gramEnd"/>
      <w:r w:rsidR="00E501EA" w:rsidRPr="00254BF5">
        <w:rPr>
          <w:rFonts w:cs="Times New Roman"/>
        </w:rPr>
        <w:t xml:space="preserve"> University of Oxford.</w:t>
      </w:r>
    </w:p>
    <w:p w14:paraId="253F50A3" w14:textId="5B6D7DD7" w:rsidR="00994B38" w:rsidRDefault="00994B38" w:rsidP="00655B41">
      <w:pPr>
        <w:spacing w:afterLines="120" w:after="288"/>
        <w:ind w:left="709" w:hanging="709"/>
        <w:rPr>
          <w:rFonts w:cs="Times New Roman"/>
        </w:rPr>
      </w:pPr>
      <w:proofErr w:type="gramStart"/>
      <w:r w:rsidRPr="00254BF5">
        <w:rPr>
          <w:rFonts w:cs="Times New Roman"/>
        </w:rPr>
        <w:t>Krone, O. 2018.</w:t>
      </w:r>
      <w:proofErr w:type="gramEnd"/>
      <w:r w:rsidRPr="00254BF5">
        <w:rPr>
          <w:rFonts w:cs="Times New Roman"/>
        </w:rPr>
        <w:t xml:space="preserve"> </w:t>
      </w:r>
      <w:proofErr w:type="gramStart"/>
      <w:r w:rsidRPr="00254BF5">
        <w:rPr>
          <w:rFonts w:cs="Times New Roman"/>
        </w:rPr>
        <w:t>Lead poisoning in birds of prey.</w:t>
      </w:r>
      <w:proofErr w:type="gramEnd"/>
      <w:r w:rsidRPr="00254BF5">
        <w:rPr>
          <w:rFonts w:cs="Times New Roman"/>
        </w:rPr>
        <w:t xml:space="preserve"> Pp 251-272. In </w:t>
      </w:r>
      <w:r w:rsidRPr="000A1210">
        <w:rPr>
          <w:rFonts w:cs="Times New Roman"/>
          <w:i/>
        </w:rPr>
        <w:t>Birds of Prey: Biology and Conservation in the XXI Century</w:t>
      </w:r>
      <w:r w:rsidR="000A1210">
        <w:rPr>
          <w:rFonts w:cs="Times New Roman"/>
        </w:rPr>
        <w:t xml:space="preserve">, ed. J.H. </w:t>
      </w:r>
      <w:proofErr w:type="spellStart"/>
      <w:r w:rsidR="000A1210">
        <w:rPr>
          <w:rFonts w:cs="Times New Roman"/>
        </w:rPr>
        <w:t>Saratola</w:t>
      </w:r>
      <w:proofErr w:type="spellEnd"/>
      <w:r w:rsidR="000A1210">
        <w:rPr>
          <w:rFonts w:cs="Times New Roman"/>
        </w:rPr>
        <w:t>, 251-272.</w:t>
      </w:r>
      <w:r w:rsidRPr="00254BF5">
        <w:rPr>
          <w:rFonts w:cs="Times New Roman"/>
        </w:rPr>
        <w:t xml:space="preserve"> Springer International Publishing AG, Germany. </w:t>
      </w:r>
      <w:r w:rsidR="004E751F">
        <w:rPr>
          <w:rFonts w:cs="Times New Roman"/>
        </w:rPr>
        <w:t>https://d</w:t>
      </w:r>
      <w:r w:rsidRPr="00254BF5">
        <w:rPr>
          <w:rFonts w:cs="Times New Roman"/>
        </w:rPr>
        <w:t>oi: 10.1007/978-3-319-73745-4_11.</w:t>
      </w:r>
    </w:p>
    <w:p w14:paraId="77E2F823" w14:textId="544C8787" w:rsidR="00CC5ABE" w:rsidRPr="00CC5ABE" w:rsidRDefault="00CC5ABE" w:rsidP="00655B41">
      <w:pPr>
        <w:spacing w:afterLines="120" w:after="288"/>
        <w:ind w:left="709" w:hanging="709"/>
        <w:rPr>
          <w:rFonts w:cs="Times New Roman"/>
        </w:rPr>
      </w:pPr>
      <w:proofErr w:type="gramStart"/>
      <w:r>
        <w:rPr>
          <w:rFonts w:cs="Times New Roman"/>
        </w:rPr>
        <w:t xml:space="preserve">Krone, O., N. </w:t>
      </w:r>
      <w:proofErr w:type="spellStart"/>
      <w:r>
        <w:rPr>
          <w:rFonts w:cs="Times New Roman"/>
        </w:rPr>
        <w:t>Kenntner</w:t>
      </w:r>
      <w:proofErr w:type="spellEnd"/>
      <w:r>
        <w:rPr>
          <w:rFonts w:cs="Times New Roman"/>
        </w:rPr>
        <w:t xml:space="preserve">, N. </w:t>
      </w:r>
      <w:proofErr w:type="spellStart"/>
      <w:r>
        <w:rPr>
          <w:rFonts w:cs="Times New Roman"/>
        </w:rPr>
        <w:t>Ebner</w:t>
      </w:r>
      <w:proofErr w:type="spellEnd"/>
      <w:r>
        <w:rPr>
          <w:rFonts w:cs="Times New Roman"/>
        </w:rPr>
        <w:t xml:space="preserve">, C.A. </w:t>
      </w:r>
      <w:proofErr w:type="spellStart"/>
      <w:r>
        <w:rPr>
          <w:rFonts w:cs="Times New Roman"/>
        </w:rPr>
        <w:t>Szentiks</w:t>
      </w:r>
      <w:proofErr w:type="spellEnd"/>
      <w:r>
        <w:rPr>
          <w:rFonts w:cs="Times New Roman"/>
        </w:rPr>
        <w:t xml:space="preserve">, and S. </w:t>
      </w:r>
      <w:proofErr w:type="spellStart"/>
      <w:r>
        <w:rPr>
          <w:rFonts w:cs="Times New Roman"/>
        </w:rPr>
        <w:t>D</w:t>
      </w:r>
      <w:r>
        <w:rPr>
          <w:rFonts w:cstheme="minorHAnsi"/>
        </w:rPr>
        <w:t>ä</w:t>
      </w:r>
      <w:r>
        <w:rPr>
          <w:rFonts w:cs="Times New Roman"/>
        </w:rPr>
        <w:t>nicke</w:t>
      </w:r>
      <w:proofErr w:type="spellEnd"/>
      <w:r>
        <w:rPr>
          <w:rFonts w:cs="Times New Roman"/>
        </w:rPr>
        <w:t>.</w:t>
      </w:r>
      <w:proofErr w:type="gramEnd"/>
      <w:r>
        <w:rPr>
          <w:rFonts w:cs="Times New Roman"/>
        </w:rPr>
        <w:t xml:space="preserve"> 2019. Comparing erosion and organ accumulation rates of lead and alternative lead-free ammunition fed to captive domestic ducks. </w:t>
      </w:r>
      <w:proofErr w:type="spellStart"/>
      <w:r>
        <w:rPr>
          <w:rFonts w:cs="Times New Roman"/>
          <w:i/>
        </w:rPr>
        <w:t>Ambio</w:t>
      </w:r>
      <w:proofErr w:type="spellEnd"/>
      <w:r>
        <w:rPr>
          <w:rFonts w:cs="Times New Roman"/>
        </w:rPr>
        <w:t xml:space="preserve"> 48: 1065-1071. https://doi:org/10.1007/s13280-019-01183-0.</w:t>
      </w:r>
    </w:p>
    <w:p w14:paraId="710F0B4D" w14:textId="0A62772D" w:rsidR="005C58E6" w:rsidRPr="00254BF5" w:rsidRDefault="005C58E6" w:rsidP="00655B41">
      <w:pPr>
        <w:spacing w:afterLines="120" w:after="288"/>
        <w:ind w:left="709" w:hanging="709"/>
        <w:rPr>
          <w:rFonts w:cs="Times New Roman"/>
        </w:rPr>
      </w:pPr>
      <w:r w:rsidRPr="00254BF5">
        <w:t xml:space="preserve">LAG. 2014. Minutes of the 11th Lead Ammunition Group (LAG) meeting -16 April 2014: Agenda item 11.2. </w:t>
      </w:r>
      <w:proofErr w:type="gramStart"/>
      <w:r w:rsidRPr="00254BF5">
        <w:t>Retrieved 01 February, 2019, from:</w:t>
      </w:r>
      <w:r w:rsidR="00016709">
        <w:t xml:space="preserve"> </w:t>
      </w:r>
      <w:hyperlink r:id="rId24" w:history="1">
        <w:r w:rsidRPr="00254BF5">
          <w:rPr>
            <w:rStyle w:val="Hyperlink"/>
          </w:rPr>
          <w:t>http://www.leadammunitiongroup.org.uk/wp-content/uploads/2015/07/LAG_meeting_minutes_11_1600414.pdf</w:t>
        </w:r>
      </w:hyperlink>
      <w:r w:rsidRPr="00254BF5">
        <w:t>.</w:t>
      </w:r>
      <w:proofErr w:type="gramEnd"/>
      <w:r w:rsidRPr="00254BF5">
        <w:t xml:space="preserve"> </w:t>
      </w:r>
    </w:p>
    <w:p w14:paraId="09055256" w14:textId="1AC6A41F" w:rsidR="00237E2E" w:rsidRPr="00254BF5" w:rsidRDefault="00871DBD" w:rsidP="00655B41">
      <w:pPr>
        <w:spacing w:afterLines="120" w:after="288"/>
        <w:ind w:left="709" w:hanging="709"/>
      </w:pPr>
      <w:proofErr w:type="spellStart"/>
      <w:r w:rsidRPr="00254BF5">
        <w:t>Lanphear</w:t>
      </w:r>
      <w:proofErr w:type="spellEnd"/>
      <w:r w:rsidRPr="00254BF5">
        <w:t xml:space="preserve">, B.P., </w:t>
      </w:r>
      <w:r w:rsidR="003908CD">
        <w:t xml:space="preserve">R. </w:t>
      </w:r>
      <w:proofErr w:type="spellStart"/>
      <w:r w:rsidRPr="00254BF5">
        <w:t>Hornung</w:t>
      </w:r>
      <w:proofErr w:type="spellEnd"/>
      <w:r w:rsidRPr="00254BF5">
        <w:t xml:space="preserve">, </w:t>
      </w:r>
      <w:r w:rsidR="003908CD">
        <w:t>J.</w:t>
      </w:r>
      <w:r w:rsidRPr="00254BF5">
        <w:t xml:space="preserve"> </w:t>
      </w:r>
      <w:proofErr w:type="spellStart"/>
      <w:r w:rsidRPr="00254BF5">
        <w:t>Khoury</w:t>
      </w:r>
      <w:proofErr w:type="spellEnd"/>
      <w:r w:rsidRPr="00254BF5">
        <w:t xml:space="preserve">, </w:t>
      </w:r>
      <w:r w:rsidR="003908CD">
        <w:t>K.</w:t>
      </w:r>
      <w:r w:rsidRPr="00254BF5">
        <w:t xml:space="preserve"> </w:t>
      </w:r>
      <w:proofErr w:type="spellStart"/>
      <w:r w:rsidRPr="00254BF5">
        <w:t>Yolton</w:t>
      </w:r>
      <w:proofErr w:type="spellEnd"/>
      <w:r w:rsidRPr="00254BF5">
        <w:t xml:space="preserve">, </w:t>
      </w:r>
      <w:r w:rsidR="003908CD">
        <w:t>P.</w:t>
      </w:r>
      <w:r w:rsidRPr="00254BF5">
        <w:t xml:space="preserve"> </w:t>
      </w:r>
      <w:proofErr w:type="spellStart"/>
      <w:r w:rsidRPr="00254BF5">
        <w:t>Baghurst</w:t>
      </w:r>
      <w:proofErr w:type="spellEnd"/>
      <w:r w:rsidRPr="00254BF5">
        <w:t xml:space="preserve">, </w:t>
      </w:r>
      <w:r w:rsidR="003908CD">
        <w:t>D.C.</w:t>
      </w:r>
      <w:r w:rsidRPr="00254BF5">
        <w:t xml:space="preserve"> </w:t>
      </w:r>
      <w:proofErr w:type="spellStart"/>
      <w:r w:rsidRPr="00254BF5">
        <w:t>Bellinger</w:t>
      </w:r>
      <w:proofErr w:type="spellEnd"/>
      <w:r w:rsidRPr="00254BF5">
        <w:t xml:space="preserve">, </w:t>
      </w:r>
      <w:r w:rsidR="003908CD">
        <w:t>R.L.</w:t>
      </w:r>
      <w:r w:rsidRPr="00254BF5">
        <w:t xml:space="preserve"> Canfield, et al.</w:t>
      </w:r>
      <w:r w:rsidR="008C279D">
        <w:t>.</w:t>
      </w:r>
      <w:r w:rsidRPr="00254BF5">
        <w:t xml:space="preserve"> 2005. Low-level environmental lead exposure and children's intellectual function: an international pooled analysis. </w:t>
      </w:r>
      <w:r w:rsidRPr="00254BF5">
        <w:rPr>
          <w:i/>
        </w:rPr>
        <w:t>Environmental Health Perspectives</w:t>
      </w:r>
      <w:r w:rsidRPr="00254BF5">
        <w:t xml:space="preserve"> 113: 894-899.</w:t>
      </w:r>
      <w:r w:rsidR="00C93C7E">
        <w:t xml:space="preserve"> </w:t>
      </w:r>
      <w:r w:rsidR="000A1210">
        <w:t>https://d</w:t>
      </w:r>
      <w:r w:rsidR="00C93C7E">
        <w:t>oi:10.1289/ehp.7688.</w:t>
      </w:r>
    </w:p>
    <w:p w14:paraId="72692DC0" w14:textId="4D6CBD35" w:rsidR="00A54E1A" w:rsidRPr="00254BF5" w:rsidRDefault="00237E2E" w:rsidP="00655B41">
      <w:pPr>
        <w:autoSpaceDE w:val="0"/>
        <w:autoSpaceDN w:val="0"/>
        <w:adjustRightInd w:val="0"/>
        <w:spacing w:afterLines="120" w:after="288"/>
        <w:ind w:left="709" w:hanging="709"/>
        <w:rPr>
          <w:rFonts w:cs="Times New Roman"/>
        </w:rPr>
      </w:pPr>
      <w:proofErr w:type="spellStart"/>
      <w:r w:rsidRPr="00254BF5">
        <w:rPr>
          <w:rFonts w:cs="Times New Roman"/>
        </w:rPr>
        <w:t>Legagneux</w:t>
      </w:r>
      <w:proofErr w:type="spellEnd"/>
      <w:r w:rsidRPr="00254BF5">
        <w:rPr>
          <w:rFonts w:cs="Times New Roman"/>
        </w:rPr>
        <w:t xml:space="preserve">, P., </w:t>
      </w:r>
      <w:r w:rsidR="003908CD">
        <w:rPr>
          <w:rFonts w:cs="Times New Roman"/>
        </w:rPr>
        <w:t xml:space="preserve">P. </w:t>
      </w:r>
      <w:r w:rsidRPr="00254BF5">
        <w:rPr>
          <w:rFonts w:cs="Times New Roman"/>
        </w:rPr>
        <w:t xml:space="preserve">Suffice, </w:t>
      </w:r>
      <w:r w:rsidR="003908CD">
        <w:rPr>
          <w:rFonts w:cs="Times New Roman"/>
        </w:rPr>
        <w:t>J.-S.</w:t>
      </w:r>
      <w:r w:rsidRPr="00254BF5">
        <w:rPr>
          <w:rFonts w:cs="Times New Roman"/>
        </w:rPr>
        <w:t xml:space="preserve"> </w:t>
      </w:r>
      <w:proofErr w:type="gramStart"/>
      <w:r w:rsidRPr="00254BF5">
        <w:rPr>
          <w:rFonts w:cs="Times New Roman"/>
        </w:rPr>
        <w:t xml:space="preserve">Messier, </w:t>
      </w:r>
      <w:r w:rsidR="003908CD">
        <w:rPr>
          <w:rFonts w:cs="Times New Roman"/>
        </w:rPr>
        <w:t>F.</w:t>
      </w:r>
      <w:r w:rsidRPr="00254BF5">
        <w:rPr>
          <w:rFonts w:cs="Times New Roman"/>
        </w:rPr>
        <w:t xml:space="preserve"> </w:t>
      </w:r>
      <w:proofErr w:type="spellStart"/>
      <w:r w:rsidRPr="00254BF5">
        <w:rPr>
          <w:rFonts w:cs="Times New Roman"/>
        </w:rPr>
        <w:t>Lelievre</w:t>
      </w:r>
      <w:proofErr w:type="spellEnd"/>
      <w:r w:rsidRPr="00254BF5">
        <w:rPr>
          <w:rFonts w:cs="Times New Roman"/>
        </w:rPr>
        <w:t xml:space="preserve">, </w:t>
      </w:r>
      <w:r w:rsidR="003908CD">
        <w:rPr>
          <w:rFonts w:cs="Times New Roman"/>
        </w:rPr>
        <w:t>J.A.</w:t>
      </w:r>
      <w:r w:rsidRPr="00254BF5">
        <w:rPr>
          <w:rFonts w:cs="Times New Roman"/>
        </w:rPr>
        <w:t xml:space="preserve"> Tremblay, </w:t>
      </w:r>
      <w:r w:rsidR="003908CD">
        <w:rPr>
          <w:rFonts w:cs="Times New Roman"/>
        </w:rPr>
        <w:t>C.</w:t>
      </w:r>
      <w:r w:rsidR="002A702F" w:rsidRPr="00254BF5">
        <w:rPr>
          <w:rFonts w:cs="Times New Roman"/>
        </w:rPr>
        <w:t xml:space="preserve"> </w:t>
      </w:r>
      <w:r w:rsidRPr="00254BF5">
        <w:rPr>
          <w:rFonts w:cs="Times New Roman"/>
        </w:rPr>
        <w:t>Maisonneuve,</w:t>
      </w:r>
      <w:r w:rsidR="003908CD">
        <w:rPr>
          <w:rFonts w:cs="Times New Roman"/>
        </w:rPr>
        <w:t xml:space="preserve"> R.</w:t>
      </w:r>
      <w:r w:rsidRPr="00254BF5">
        <w:rPr>
          <w:rFonts w:cs="Times New Roman"/>
        </w:rPr>
        <w:t xml:space="preserve"> Saint-Louis, </w:t>
      </w:r>
      <w:r w:rsidR="003908CD">
        <w:rPr>
          <w:rFonts w:cs="Times New Roman"/>
        </w:rPr>
        <w:t>and J.</w:t>
      </w:r>
      <w:proofErr w:type="gramEnd"/>
      <w:r w:rsidRPr="00254BF5">
        <w:rPr>
          <w:rFonts w:cs="Times New Roman"/>
        </w:rPr>
        <w:t xml:space="preserve">  </w:t>
      </w:r>
      <w:proofErr w:type="spellStart"/>
      <w:proofErr w:type="gramStart"/>
      <w:r w:rsidRPr="00254BF5">
        <w:rPr>
          <w:rFonts w:cs="Times New Roman"/>
        </w:rPr>
        <w:t>Bêty</w:t>
      </w:r>
      <w:proofErr w:type="spellEnd"/>
      <w:r w:rsidRPr="00254BF5">
        <w:rPr>
          <w:rFonts w:cs="Times New Roman"/>
        </w:rPr>
        <w:t>.</w:t>
      </w:r>
      <w:proofErr w:type="gramEnd"/>
      <w:r w:rsidRPr="00254BF5">
        <w:rPr>
          <w:rFonts w:cs="Times New Roman"/>
        </w:rPr>
        <w:t xml:space="preserve"> </w:t>
      </w:r>
      <w:r w:rsidR="002A702F" w:rsidRPr="00254BF5">
        <w:rPr>
          <w:rFonts w:cs="Times New Roman"/>
        </w:rPr>
        <w:t>2014</w:t>
      </w:r>
      <w:r w:rsidRPr="00254BF5">
        <w:rPr>
          <w:rFonts w:cs="Times New Roman"/>
        </w:rPr>
        <w:t xml:space="preserve">.  High risk of lead contamination for scavengers in an area with high moose hunting success. </w:t>
      </w:r>
      <w:proofErr w:type="spellStart"/>
      <w:r w:rsidRPr="000D63DE">
        <w:rPr>
          <w:rFonts w:cs="Times New Roman"/>
          <w:i/>
        </w:rPr>
        <w:t>PLoS</w:t>
      </w:r>
      <w:proofErr w:type="spellEnd"/>
      <w:r w:rsidRPr="000D63DE">
        <w:rPr>
          <w:rFonts w:cs="Times New Roman"/>
          <w:i/>
        </w:rPr>
        <w:t xml:space="preserve"> ONE</w:t>
      </w:r>
      <w:r w:rsidRPr="00254BF5">
        <w:rPr>
          <w:rFonts w:cs="Times New Roman"/>
        </w:rPr>
        <w:t xml:space="preserve"> 9(11): e111546. </w:t>
      </w:r>
      <w:r w:rsidR="000A1210">
        <w:rPr>
          <w:rFonts w:cs="Times New Roman"/>
        </w:rPr>
        <w:t>https://d</w:t>
      </w:r>
      <w:r w:rsidRPr="00254BF5">
        <w:rPr>
          <w:rFonts w:cs="Times New Roman"/>
        </w:rPr>
        <w:t>oi:10.1371/journal.pone.0111546</w:t>
      </w:r>
      <w:r w:rsidR="00A54E1A" w:rsidRPr="00254BF5">
        <w:rPr>
          <w:rFonts w:cs="Times New Roman"/>
        </w:rPr>
        <w:t>.</w:t>
      </w:r>
    </w:p>
    <w:p w14:paraId="0B983DBC" w14:textId="22F6055A" w:rsidR="002A702F" w:rsidRPr="00254BF5" w:rsidRDefault="00A54E1A" w:rsidP="00655B41">
      <w:pPr>
        <w:autoSpaceDE w:val="0"/>
        <w:autoSpaceDN w:val="0"/>
        <w:adjustRightInd w:val="0"/>
        <w:spacing w:afterLines="120" w:after="288"/>
        <w:ind w:left="709" w:hanging="709"/>
        <w:rPr>
          <w:rFonts w:cs="Times New Roman"/>
        </w:rPr>
      </w:pPr>
      <w:proofErr w:type="spellStart"/>
      <w:proofErr w:type="gramStart"/>
      <w:r w:rsidRPr="00254BF5">
        <w:rPr>
          <w:rFonts w:eastAsia="AdvTimes" w:cs="Times New Roman"/>
        </w:rPr>
        <w:lastRenderedPageBreak/>
        <w:t>Lindboe</w:t>
      </w:r>
      <w:proofErr w:type="spellEnd"/>
      <w:r w:rsidRPr="00254BF5">
        <w:rPr>
          <w:rFonts w:eastAsia="AdvTimes" w:cs="Times New Roman"/>
        </w:rPr>
        <w:t xml:space="preserve">, M., </w:t>
      </w:r>
      <w:r w:rsidR="003908CD">
        <w:rPr>
          <w:rFonts w:eastAsia="AdvTimes" w:cs="Times New Roman"/>
        </w:rPr>
        <w:t xml:space="preserve">E.N. </w:t>
      </w:r>
      <w:proofErr w:type="spellStart"/>
      <w:r w:rsidRPr="00254BF5">
        <w:rPr>
          <w:rFonts w:eastAsia="AdvTimes" w:cs="Times New Roman"/>
        </w:rPr>
        <w:t>Henrichsen</w:t>
      </w:r>
      <w:proofErr w:type="spellEnd"/>
      <w:r w:rsidRPr="00254BF5">
        <w:rPr>
          <w:rFonts w:eastAsia="AdvTimes" w:cs="Times New Roman"/>
        </w:rPr>
        <w:t xml:space="preserve">, </w:t>
      </w:r>
      <w:r w:rsidR="003908CD">
        <w:rPr>
          <w:rFonts w:eastAsia="AdvTimes" w:cs="Times New Roman"/>
        </w:rPr>
        <w:t>H.R.</w:t>
      </w:r>
      <w:r w:rsidRPr="00254BF5">
        <w:rPr>
          <w:rFonts w:eastAsia="AdvTimes" w:cs="Times New Roman"/>
        </w:rPr>
        <w:t xml:space="preserve"> </w:t>
      </w:r>
      <w:proofErr w:type="spellStart"/>
      <w:r w:rsidRPr="00254BF5">
        <w:rPr>
          <w:rFonts w:eastAsia="AdvTimes" w:cs="Times New Roman"/>
        </w:rPr>
        <w:t>Høgåsen</w:t>
      </w:r>
      <w:proofErr w:type="spellEnd"/>
      <w:r w:rsidRPr="00254BF5">
        <w:rPr>
          <w:rFonts w:eastAsia="AdvTimes" w:cs="Times New Roman"/>
        </w:rPr>
        <w:t xml:space="preserve">, </w:t>
      </w:r>
      <w:r w:rsidR="003908CD">
        <w:rPr>
          <w:rFonts w:eastAsia="AdvTimes" w:cs="Times New Roman"/>
        </w:rPr>
        <w:t>and A.</w:t>
      </w:r>
      <w:r w:rsidRPr="00254BF5">
        <w:rPr>
          <w:rFonts w:eastAsia="AdvTimes" w:cs="Times New Roman"/>
        </w:rPr>
        <w:t xml:space="preserve"> </w:t>
      </w:r>
      <w:proofErr w:type="spellStart"/>
      <w:r w:rsidRPr="00254BF5">
        <w:rPr>
          <w:rFonts w:eastAsia="AdvTimes" w:cs="Times New Roman"/>
        </w:rPr>
        <w:t>Bernhoft</w:t>
      </w:r>
      <w:proofErr w:type="spellEnd"/>
      <w:r w:rsidRPr="00254BF5">
        <w:rPr>
          <w:rFonts w:eastAsia="AdvTimes" w:cs="Times New Roman"/>
        </w:rPr>
        <w:t>.</w:t>
      </w:r>
      <w:proofErr w:type="gramEnd"/>
      <w:r w:rsidRPr="00254BF5">
        <w:rPr>
          <w:rFonts w:eastAsia="AdvTimes" w:cs="Times New Roman"/>
        </w:rPr>
        <w:t xml:space="preserve"> </w:t>
      </w:r>
      <w:proofErr w:type="gramStart"/>
      <w:r w:rsidRPr="00254BF5">
        <w:rPr>
          <w:rFonts w:eastAsia="AdvTimes" w:cs="Times New Roman"/>
        </w:rPr>
        <w:t>2012 .</w:t>
      </w:r>
      <w:proofErr w:type="gramEnd"/>
      <w:r w:rsidRPr="00254BF5">
        <w:rPr>
          <w:rFonts w:eastAsia="AdvTimes" w:cs="Times New Roman"/>
        </w:rPr>
        <w:t xml:space="preserve"> </w:t>
      </w:r>
      <w:r w:rsidRPr="00254BF5">
        <w:rPr>
          <w:rFonts w:cs="Times New Roman"/>
        </w:rPr>
        <w:t xml:space="preserve">Lead concentration in meat from lead-killed moose and predicted human exposure using Monte Carlo simulation. </w:t>
      </w:r>
      <w:r w:rsidRPr="000D63DE">
        <w:rPr>
          <w:rFonts w:cs="Times New Roman"/>
          <w:i/>
        </w:rPr>
        <w:t xml:space="preserve">Food Additives and Contamination </w:t>
      </w:r>
      <w:r w:rsidRPr="00254BF5">
        <w:rPr>
          <w:rFonts w:cs="Times New Roman"/>
        </w:rPr>
        <w:t xml:space="preserve">29: 1052-1057. </w:t>
      </w:r>
      <w:r w:rsidR="00AB7B4C">
        <w:rPr>
          <w:rFonts w:cs="Times New Roman"/>
        </w:rPr>
        <w:t>https://d</w:t>
      </w:r>
      <w:r w:rsidRPr="00254BF5">
        <w:rPr>
          <w:rFonts w:cs="Times New Roman"/>
        </w:rPr>
        <w:t>oi:</w:t>
      </w:r>
      <w:r w:rsidR="001A016A" w:rsidRPr="00254BF5">
        <w:rPr>
          <w:rFonts w:cs="Times New Roman"/>
        </w:rPr>
        <w:t xml:space="preserve"> org/10.1080/19440049.2012.680201.</w:t>
      </w:r>
    </w:p>
    <w:p w14:paraId="6A8508C5" w14:textId="7EB8F36C" w:rsidR="00CF6101" w:rsidRPr="00254BF5" w:rsidRDefault="00EF1C6A" w:rsidP="00655B41">
      <w:pPr>
        <w:spacing w:afterLines="120" w:after="288"/>
        <w:ind w:left="709" w:hanging="709"/>
        <w:rPr>
          <w:rFonts w:cs="Times New Roman"/>
        </w:rPr>
      </w:pPr>
      <w:proofErr w:type="gramStart"/>
      <w:r w:rsidRPr="00254BF5">
        <w:rPr>
          <w:rFonts w:cs="Times New Roman"/>
        </w:rPr>
        <w:t>Mateo, R.</w:t>
      </w:r>
      <w:r w:rsidR="000D2340" w:rsidRPr="00254BF5">
        <w:rPr>
          <w:rFonts w:cs="Times New Roman"/>
        </w:rPr>
        <w:t>,</w:t>
      </w:r>
      <w:r w:rsidRPr="00254BF5">
        <w:rPr>
          <w:rFonts w:cs="Times New Roman"/>
        </w:rPr>
        <w:t xml:space="preserve"> </w:t>
      </w:r>
      <w:r w:rsidR="00061F87">
        <w:rPr>
          <w:rFonts w:cs="Times New Roman"/>
        </w:rPr>
        <w:t xml:space="preserve">and N. </w:t>
      </w:r>
      <w:proofErr w:type="spellStart"/>
      <w:r w:rsidRPr="00254BF5">
        <w:rPr>
          <w:rFonts w:cs="Times New Roman"/>
        </w:rPr>
        <w:t>Kanstrup</w:t>
      </w:r>
      <w:proofErr w:type="spellEnd"/>
      <w:r w:rsidRPr="00254BF5">
        <w:rPr>
          <w:rFonts w:cs="Times New Roman"/>
        </w:rPr>
        <w:t>.</w:t>
      </w:r>
      <w:proofErr w:type="gramEnd"/>
      <w:r w:rsidRPr="00254BF5">
        <w:rPr>
          <w:rFonts w:cs="Times New Roman"/>
        </w:rPr>
        <w:t xml:space="preserve"> 2019. Regulations on lead ammunition adopted in Europe and evidence of compliance. </w:t>
      </w:r>
      <w:proofErr w:type="spellStart"/>
      <w:r w:rsidRPr="000D63DE">
        <w:rPr>
          <w:rFonts w:cs="Times New Roman"/>
          <w:i/>
        </w:rPr>
        <w:t>Ambio</w:t>
      </w:r>
      <w:proofErr w:type="spellEnd"/>
      <w:r w:rsidRPr="00254BF5">
        <w:rPr>
          <w:rFonts w:cs="Times New Roman"/>
        </w:rPr>
        <w:t xml:space="preserve"> 48: 989-998. </w:t>
      </w:r>
      <w:r w:rsidR="00AB7B4C">
        <w:rPr>
          <w:rFonts w:cs="Times New Roman"/>
        </w:rPr>
        <w:t>https://d</w:t>
      </w:r>
      <w:r w:rsidRPr="00254BF5">
        <w:rPr>
          <w:rFonts w:cs="Times New Roman"/>
        </w:rPr>
        <w:t>oi: 10.1007/s13280-019-01170-5.</w:t>
      </w:r>
      <w:r w:rsidR="00CF6101" w:rsidRPr="00254BF5">
        <w:rPr>
          <w:rFonts w:cs="Times New Roman"/>
        </w:rPr>
        <w:t xml:space="preserve"> </w:t>
      </w:r>
    </w:p>
    <w:p w14:paraId="197C9E56" w14:textId="2D415621" w:rsidR="00D90E25" w:rsidRPr="00254BF5" w:rsidRDefault="000D2340" w:rsidP="00655B41">
      <w:pPr>
        <w:spacing w:afterLines="120" w:after="288"/>
        <w:ind w:left="709" w:hanging="709"/>
        <w:rPr>
          <w:rFonts w:cs="Times New Roman"/>
        </w:rPr>
      </w:pPr>
      <w:proofErr w:type="gramStart"/>
      <w:r w:rsidRPr="00254BF5">
        <w:rPr>
          <w:rFonts w:cs="Times New Roman"/>
        </w:rPr>
        <w:t xml:space="preserve">Mateo, R., </w:t>
      </w:r>
      <w:r w:rsidR="00061F87">
        <w:rPr>
          <w:rFonts w:cs="Times New Roman"/>
        </w:rPr>
        <w:t xml:space="preserve">M. </w:t>
      </w:r>
      <w:r w:rsidRPr="00254BF5">
        <w:rPr>
          <w:rFonts w:cs="Times New Roman"/>
        </w:rPr>
        <w:t xml:space="preserve">Rodríguez-de la Cruz, </w:t>
      </w:r>
      <w:r w:rsidR="00061F87">
        <w:rPr>
          <w:rFonts w:cs="Times New Roman"/>
        </w:rPr>
        <w:t>D.</w:t>
      </w:r>
      <w:r w:rsidRPr="00254BF5">
        <w:rPr>
          <w:rFonts w:cs="Times New Roman"/>
        </w:rPr>
        <w:t xml:space="preserve"> Vidal,</w:t>
      </w:r>
      <w:r w:rsidR="00061F87">
        <w:rPr>
          <w:rFonts w:cs="Times New Roman"/>
        </w:rPr>
        <w:t xml:space="preserve"> M.</w:t>
      </w:r>
      <w:r w:rsidRPr="00254BF5">
        <w:rPr>
          <w:rFonts w:cs="Times New Roman"/>
        </w:rPr>
        <w:t xml:space="preserve"> </w:t>
      </w:r>
      <w:proofErr w:type="spellStart"/>
      <w:r w:rsidRPr="00254BF5">
        <w:rPr>
          <w:rFonts w:cs="Times New Roman"/>
        </w:rPr>
        <w:t>Raglero</w:t>
      </w:r>
      <w:proofErr w:type="spellEnd"/>
      <w:r w:rsidRPr="00254BF5">
        <w:rPr>
          <w:rFonts w:cs="Times New Roman"/>
        </w:rPr>
        <w:t xml:space="preserve">, </w:t>
      </w:r>
      <w:r w:rsidR="00061F87">
        <w:rPr>
          <w:rFonts w:cs="Times New Roman"/>
        </w:rPr>
        <w:t>and P.</w:t>
      </w:r>
      <w:r w:rsidRPr="00254BF5">
        <w:rPr>
          <w:rFonts w:cs="Times New Roman"/>
        </w:rPr>
        <w:t xml:space="preserve"> </w:t>
      </w:r>
      <w:proofErr w:type="spellStart"/>
      <w:r w:rsidRPr="00254BF5">
        <w:rPr>
          <w:rFonts w:cs="Times New Roman"/>
        </w:rPr>
        <w:t>Camarero</w:t>
      </w:r>
      <w:proofErr w:type="spellEnd"/>
      <w:r w:rsidRPr="00254BF5">
        <w:rPr>
          <w:rFonts w:cs="Times New Roman"/>
        </w:rPr>
        <w:t>.</w:t>
      </w:r>
      <w:proofErr w:type="gramEnd"/>
      <w:r w:rsidRPr="00254BF5">
        <w:rPr>
          <w:rFonts w:cs="Times New Roman"/>
        </w:rPr>
        <w:t xml:space="preserve"> 2007. Transfer of lead from shot pellets to game meat during cooking. </w:t>
      </w:r>
      <w:r w:rsidRPr="000D63DE">
        <w:rPr>
          <w:rFonts w:cs="Times New Roman"/>
          <w:i/>
        </w:rPr>
        <w:t>Science of the Total Environment</w:t>
      </w:r>
      <w:r w:rsidRPr="00254BF5">
        <w:rPr>
          <w:rFonts w:cs="Times New Roman"/>
        </w:rPr>
        <w:t xml:space="preserve"> 372: 480-485. </w:t>
      </w:r>
      <w:r w:rsidR="00AB7B4C">
        <w:rPr>
          <w:rFonts w:cs="Times New Roman"/>
        </w:rPr>
        <w:t>https://d</w:t>
      </w:r>
      <w:r w:rsidRPr="00254BF5">
        <w:rPr>
          <w:rFonts w:cs="Times New Roman"/>
        </w:rPr>
        <w:t>oi: 10.1016/j.scitotenv.2006.10.022.</w:t>
      </w:r>
      <w:r w:rsidR="00D90E25" w:rsidRPr="00254BF5">
        <w:rPr>
          <w:rFonts w:cs="Times New Roman"/>
        </w:rPr>
        <w:t xml:space="preserve">            </w:t>
      </w:r>
    </w:p>
    <w:p w14:paraId="252D0798" w14:textId="48388840" w:rsidR="006448C4" w:rsidRPr="00254BF5" w:rsidRDefault="00D90E25" w:rsidP="00655B41">
      <w:pPr>
        <w:autoSpaceDE w:val="0"/>
        <w:autoSpaceDN w:val="0"/>
        <w:adjustRightInd w:val="0"/>
        <w:spacing w:afterLines="120" w:after="288"/>
        <w:ind w:left="709" w:hanging="709"/>
        <w:rPr>
          <w:rFonts w:cs="Times New Roman"/>
        </w:rPr>
      </w:pPr>
      <w:r w:rsidRPr="00254BF5">
        <w:rPr>
          <w:rFonts w:cs="Times New Roman"/>
        </w:rPr>
        <w:t xml:space="preserve">Mateo, R., </w:t>
      </w:r>
      <w:r w:rsidR="0051667F">
        <w:rPr>
          <w:rFonts w:cs="Times New Roman"/>
        </w:rPr>
        <w:t xml:space="preserve">N. </w:t>
      </w:r>
      <w:proofErr w:type="spellStart"/>
      <w:r w:rsidRPr="00254BF5">
        <w:rPr>
          <w:rFonts w:cs="Times New Roman"/>
        </w:rPr>
        <w:t>Vallverdú-Coll</w:t>
      </w:r>
      <w:proofErr w:type="spellEnd"/>
      <w:r w:rsidRPr="00254BF5">
        <w:rPr>
          <w:rFonts w:cs="Times New Roman"/>
        </w:rPr>
        <w:t xml:space="preserve">, </w:t>
      </w:r>
      <w:r w:rsidR="0051667F">
        <w:rPr>
          <w:rFonts w:cs="Times New Roman"/>
        </w:rPr>
        <w:t>A.</w:t>
      </w:r>
      <w:r w:rsidRPr="00254BF5">
        <w:rPr>
          <w:rFonts w:cs="Times New Roman"/>
        </w:rPr>
        <w:t xml:space="preserve"> </w:t>
      </w:r>
      <w:proofErr w:type="spellStart"/>
      <w:r w:rsidRPr="00254BF5">
        <w:rPr>
          <w:rFonts w:cs="Times New Roman"/>
        </w:rPr>
        <w:t>López-Antia</w:t>
      </w:r>
      <w:proofErr w:type="spellEnd"/>
      <w:r w:rsidRPr="00254BF5">
        <w:rPr>
          <w:rFonts w:cs="Times New Roman"/>
        </w:rPr>
        <w:t xml:space="preserve">, </w:t>
      </w:r>
      <w:r w:rsidR="0051667F">
        <w:rPr>
          <w:rFonts w:cs="Times New Roman"/>
        </w:rPr>
        <w:t>M.A.</w:t>
      </w:r>
      <w:r w:rsidRPr="00254BF5">
        <w:rPr>
          <w:rFonts w:cs="Times New Roman"/>
        </w:rPr>
        <w:t xml:space="preserve"> Taggart, </w:t>
      </w:r>
      <w:r w:rsidR="0051667F">
        <w:rPr>
          <w:rFonts w:cs="Times New Roman"/>
        </w:rPr>
        <w:t>M.</w:t>
      </w:r>
      <w:r w:rsidRPr="00254BF5">
        <w:rPr>
          <w:rFonts w:cs="Times New Roman"/>
        </w:rPr>
        <w:t xml:space="preserve"> </w:t>
      </w:r>
      <w:proofErr w:type="spellStart"/>
      <w:r w:rsidRPr="00254BF5">
        <w:rPr>
          <w:rFonts w:cs="Times New Roman"/>
        </w:rPr>
        <w:t>Martínez-Haro</w:t>
      </w:r>
      <w:proofErr w:type="spellEnd"/>
      <w:r w:rsidRPr="00254BF5">
        <w:rPr>
          <w:rFonts w:cs="Times New Roman"/>
        </w:rPr>
        <w:t xml:space="preserve">, </w:t>
      </w:r>
      <w:r w:rsidR="0051667F">
        <w:rPr>
          <w:rFonts w:cs="Times New Roman"/>
        </w:rPr>
        <w:t>R.</w:t>
      </w:r>
      <w:r w:rsidRPr="00254BF5">
        <w:rPr>
          <w:rFonts w:cs="Times New Roman"/>
        </w:rPr>
        <w:t xml:space="preserve"> </w:t>
      </w:r>
      <w:proofErr w:type="spellStart"/>
      <w:r w:rsidRPr="00254BF5">
        <w:rPr>
          <w:rFonts w:cs="Times New Roman"/>
        </w:rPr>
        <w:t>Guitart</w:t>
      </w:r>
      <w:proofErr w:type="spellEnd"/>
      <w:r w:rsidRPr="00254BF5">
        <w:rPr>
          <w:rFonts w:cs="Times New Roman"/>
        </w:rPr>
        <w:t xml:space="preserve">, </w:t>
      </w:r>
      <w:r w:rsidR="0051667F">
        <w:rPr>
          <w:rFonts w:cs="Times New Roman"/>
        </w:rPr>
        <w:t>and M.E.</w:t>
      </w:r>
      <w:r w:rsidRPr="00254BF5">
        <w:rPr>
          <w:rFonts w:cs="Times New Roman"/>
        </w:rPr>
        <w:t xml:space="preserve"> Ortiz-</w:t>
      </w:r>
      <w:proofErr w:type="spellStart"/>
      <w:r w:rsidRPr="00254BF5">
        <w:rPr>
          <w:rFonts w:cs="Times New Roman"/>
        </w:rPr>
        <w:t>Santaliestra</w:t>
      </w:r>
      <w:proofErr w:type="spellEnd"/>
      <w:r w:rsidRPr="00254BF5">
        <w:rPr>
          <w:rFonts w:cs="Times New Roman"/>
        </w:rPr>
        <w:t xml:space="preserve">.  2014. Reducing </w:t>
      </w:r>
      <w:proofErr w:type="spellStart"/>
      <w:r w:rsidRPr="00254BF5">
        <w:rPr>
          <w:rFonts w:cs="Times New Roman"/>
        </w:rPr>
        <w:t>Pb</w:t>
      </w:r>
      <w:proofErr w:type="spellEnd"/>
      <w:r w:rsidRPr="00254BF5">
        <w:rPr>
          <w:rFonts w:cs="Times New Roman"/>
        </w:rPr>
        <w:t xml:space="preserve"> poisoning in birds and </w:t>
      </w:r>
      <w:proofErr w:type="spellStart"/>
      <w:r w:rsidRPr="00254BF5">
        <w:rPr>
          <w:rFonts w:cs="Times New Roman"/>
        </w:rPr>
        <w:t>Pb</w:t>
      </w:r>
      <w:proofErr w:type="spellEnd"/>
      <w:r w:rsidRPr="00254BF5">
        <w:rPr>
          <w:rFonts w:cs="Times New Roman"/>
        </w:rPr>
        <w:t xml:space="preserve"> exposure in game meat consumers: The dual benefit of effective </w:t>
      </w:r>
      <w:proofErr w:type="spellStart"/>
      <w:r w:rsidRPr="00254BF5">
        <w:rPr>
          <w:rFonts w:cs="Times New Roman"/>
        </w:rPr>
        <w:t>Pb</w:t>
      </w:r>
      <w:proofErr w:type="spellEnd"/>
      <w:r w:rsidRPr="00254BF5">
        <w:rPr>
          <w:rFonts w:cs="Times New Roman"/>
        </w:rPr>
        <w:t xml:space="preserve"> shot regulation. </w:t>
      </w:r>
      <w:r w:rsidRPr="000D63DE">
        <w:rPr>
          <w:rFonts w:cs="Times New Roman"/>
          <w:i/>
        </w:rPr>
        <w:t>Environment International</w:t>
      </w:r>
      <w:r w:rsidRPr="00254BF5">
        <w:rPr>
          <w:rFonts w:cs="Times New Roman"/>
        </w:rPr>
        <w:t xml:space="preserve"> 63: 163-168. </w:t>
      </w:r>
      <w:r w:rsidR="00AB7B4C">
        <w:rPr>
          <w:rFonts w:cs="Times New Roman"/>
        </w:rPr>
        <w:t>https://d</w:t>
      </w:r>
      <w:r w:rsidRPr="00254BF5">
        <w:rPr>
          <w:rFonts w:cs="Times New Roman"/>
        </w:rPr>
        <w:t>oi:</w:t>
      </w:r>
      <w:r w:rsidR="00C2497F" w:rsidRPr="00254BF5">
        <w:rPr>
          <w:rFonts w:cs="Times New Roman"/>
        </w:rPr>
        <w:t xml:space="preserve"> org/10.1016/j.envint.2013.11.006.</w:t>
      </w:r>
    </w:p>
    <w:p w14:paraId="29382259" w14:textId="60489BF2" w:rsidR="00D90E25" w:rsidRDefault="006448C4" w:rsidP="00655B41">
      <w:pPr>
        <w:spacing w:afterLines="120" w:after="288"/>
        <w:ind w:left="709" w:hanging="709"/>
      </w:pPr>
      <w:proofErr w:type="gramStart"/>
      <w:r w:rsidRPr="00254BF5">
        <w:t xml:space="preserve">Monahan, M., </w:t>
      </w:r>
      <w:r w:rsidR="00D30134">
        <w:t xml:space="preserve">K. </w:t>
      </w:r>
      <w:proofErr w:type="spellStart"/>
      <w:r w:rsidRPr="00254BF5">
        <w:t>Boelaert</w:t>
      </w:r>
      <w:proofErr w:type="spellEnd"/>
      <w:r w:rsidRPr="00254BF5">
        <w:t xml:space="preserve">, </w:t>
      </w:r>
      <w:r w:rsidR="00D30134">
        <w:t>K.</w:t>
      </w:r>
      <w:r w:rsidRPr="00254BF5">
        <w:t xml:space="preserve"> Jolly, </w:t>
      </w:r>
      <w:r w:rsidR="00D30134">
        <w:t>S.</w:t>
      </w:r>
      <w:r w:rsidRPr="00254BF5">
        <w:t xml:space="preserve"> Chan, </w:t>
      </w:r>
      <w:r w:rsidR="00D30134">
        <w:t>P.</w:t>
      </w:r>
      <w:r w:rsidRPr="00254BF5">
        <w:t xml:space="preserve"> Barton, and </w:t>
      </w:r>
      <w:r w:rsidR="00D30134">
        <w:t xml:space="preserve">T.E. </w:t>
      </w:r>
      <w:r w:rsidRPr="00254BF5">
        <w:t>Roberts.</w:t>
      </w:r>
      <w:proofErr w:type="gramEnd"/>
      <w:r w:rsidRPr="00254BF5">
        <w:t xml:space="preserve"> 2015. Costs and benefits of iodine supplementation for pregnant women in a mildly to moderately iodine-deficient population: a modelling analysis. </w:t>
      </w:r>
      <w:r w:rsidRPr="00254BF5">
        <w:rPr>
          <w:i/>
        </w:rPr>
        <w:t>The Lancet: Diabetes and Endocrinology</w:t>
      </w:r>
      <w:r w:rsidRPr="00254BF5">
        <w:t xml:space="preserve"> 3: 715-722. </w:t>
      </w:r>
      <w:hyperlink r:id="rId25" w:history="1">
        <w:r w:rsidR="00AA50FB" w:rsidRPr="00BE052A">
          <w:rPr>
            <w:rStyle w:val="Hyperlink"/>
          </w:rPr>
          <w:t>http://dx.doi.org/10.1016/S2213-8587(15)00212-0</w:t>
        </w:r>
      </w:hyperlink>
    </w:p>
    <w:p w14:paraId="5BCDCEEF" w14:textId="79F132C0" w:rsidR="00AA50FB" w:rsidRDefault="00AA50FB" w:rsidP="005650CD">
      <w:pPr>
        <w:spacing w:after="0" w:line="249" w:lineRule="auto"/>
        <w:ind w:left="680" w:hanging="680"/>
        <w:rPr>
          <w:rFonts w:ascii="Calibri" w:eastAsia="Calibri" w:hAnsi="Calibri" w:cs="Calibri"/>
          <w:color w:val="000000"/>
          <w:lang w:val="en-GB" w:eastAsia="en-GB"/>
        </w:rPr>
      </w:pPr>
      <w:proofErr w:type="gramStart"/>
      <w:r w:rsidRPr="00DA1609">
        <w:rPr>
          <w:rFonts w:ascii="Calibri" w:eastAsia="Calibri" w:hAnsi="Calibri" w:cs="Calibri"/>
          <w:color w:val="000000"/>
          <w:lang w:val="en-GB" w:eastAsia="en-GB"/>
        </w:rPr>
        <w:t>Pain, D.J., and R.E. Green.</w:t>
      </w:r>
      <w:proofErr w:type="gramEnd"/>
      <w:r w:rsidRPr="00DA1609">
        <w:rPr>
          <w:rFonts w:ascii="Calibri" w:eastAsia="Calibri" w:hAnsi="Calibri" w:cs="Calibri"/>
          <w:color w:val="000000"/>
          <w:lang w:val="en-GB" w:eastAsia="en-GB"/>
        </w:rPr>
        <w:t xml:space="preserve"> 2019. Risks from Lead Ammunition: Correspondence. </w:t>
      </w:r>
      <w:proofErr w:type="gramStart"/>
      <w:r w:rsidRPr="00DA1609">
        <w:rPr>
          <w:rFonts w:ascii="Calibri" w:eastAsia="Calibri" w:hAnsi="Calibri" w:cs="Calibri"/>
          <w:i/>
          <w:color w:val="000000"/>
          <w:lang w:val="en-GB" w:eastAsia="en-GB"/>
        </w:rPr>
        <w:t>Nature Sustainability.</w:t>
      </w:r>
      <w:proofErr w:type="gramEnd"/>
      <w:r w:rsidRPr="00DA1609">
        <w:rPr>
          <w:rFonts w:ascii="Calibri" w:eastAsia="Calibri" w:hAnsi="Calibri" w:cs="Calibri"/>
          <w:i/>
          <w:color w:val="000000"/>
          <w:lang w:val="en-GB" w:eastAsia="en-GB"/>
        </w:rPr>
        <w:t xml:space="preserve"> </w:t>
      </w:r>
      <w:proofErr w:type="gramStart"/>
      <w:r w:rsidRPr="00DA1609">
        <w:rPr>
          <w:rFonts w:ascii="Calibri" w:eastAsia="Calibri" w:hAnsi="Calibri" w:cs="Calibri"/>
          <w:color w:val="000000"/>
          <w:lang w:val="en-GB" w:eastAsia="en-GB"/>
        </w:rPr>
        <w:t>Published online 14 October 2019.</w:t>
      </w:r>
      <w:proofErr w:type="gramEnd"/>
      <w:r w:rsidRPr="00DA1609">
        <w:rPr>
          <w:rFonts w:ascii="Calibri" w:eastAsia="Calibri" w:hAnsi="Calibri" w:cs="Calibri"/>
          <w:color w:val="000000"/>
          <w:lang w:val="en-GB" w:eastAsia="en-GB"/>
        </w:rPr>
        <w:t xml:space="preserve">  </w:t>
      </w:r>
      <w:hyperlink r:id="rId26" w:history="1">
        <w:r w:rsidR="00DA1609" w:rsidRPr="00DA1609">
          <w:rPr>
            <w:rStyle w:val="Hyperlink"/>
            <w:rFonts w:ascii="Calibri" w:eastAsia="Calibri" w:hAnsi="Calibri" w:cs="Calibri"/>
            <w:lang w:val="en-GB" w:eastAsia="en-GB"/>
          </w:rPr>
          <w:t>https://doi.org/10.1038/s41893-019-0406-z</w:t>
        </w:r>
      </w:hyperlink>
      <w:r w:rsidR="00DA1609" w:rsidRPr="00DA1609">
        <w:rPr>
          <w:rFonts w:ascii="Calibri" w:eastAsia="Calibri" w:hAnsi="Calibri" w:cs="Calibri"/>
          <w:color w:val="000000"/>
          <w:lang w:val="en-GB" w:eastAsia="en-GB"/>
        </w:rPr>
        <w:t>.</w:t>
      </w:r>
    </w:p>
    <w:p w14:paraId="5C45437C" w14:textId="77777777" w:rsidR="00DA1609" w:rsidRPr="00DA1609" w:rsidRDefault="00DA1609" w:rsidP="00DA1609">
      <w:pPr>
        <w:spacing w:after="0" w:line="249" w:lineRule="auto"/>
        <w:ind w:left="680" w:hanging="730"/>
        <w:rPr>
          <w:rFonts w:ascii="Calibri" w:eastAsia="Calibri" w:hAnsi="Calibri" w:cs="Calibri"/>
          <w:color w:val="000000"/>
          <w:lang w:val="en-GB" w:eastAsia="en-GB"/>
        </w:rPr>
      </w:pPr>
    </w:p>
    <w:p w14:paraId="31F258F3" w14:textId="4AAA497A" w:rsidR="000A206F" w:rsidRDefault="000A206F" w:rsidP="00655B41">
      <w:pPr>
        <w:autoSpaceDE w:val="0"/>
        <w:autoSpaceDN w:val="0"/>
        <w:adjustRightInd w:val="0"/>
        <w:spacing w:afterLines="120" w:after="288"/>
        <w:ind w:left="709" w:hanging="709"/>
        <w:rPr>
          <w:rFonts w:cs="Times New Roman"/>
        </w:rPr>
      </w:pPr>
      <w:r w:rsidRPr="00254BF5">
        <w:rPr>
          <w:rFonts w:cs="Times New Roman"/>
          <w:color w:val="000000"/>
        </w:rPr>
        <w:t>Pain</w:t>
      </w:r>
      <w:r w:rsidR="000D2340" w:rsidRPr="00254BF5">
        <w:rPr>
          <w:rFonts w:cs="Times New Roman"/>
          <w:color w:val="000000"/>
        </w:rPr>
        <w:t>,</w:t>
      </w:r>
      <w:r w:rsidRPr="00254BF5">
        <w:rPr>
          <w:rFonts w:cs="Times New Roman"/>
          <w:color w:val="000000"/>
        </w:rPr>
        <w:t xml:space="preserve"> D</w:t>
      </w:r>
      <w:r w:rsidR="000D2340" w:rsidRPr="00254BF5">
        <w:rPr>
          <w:rFonts w:cs="Times New Roman"/>
          <w:color w:val="000000"/>
        </w:rPr>
        <w:t>.</w:t>
      </w:r>
      <w:r w:rsidRPr="00254BF5">
        <w:rPr>
          <w:rFonts w:cs="Times New Roman"/>
          <w:color w:val="000000"/>
        </w:rPr>
        <w:t>J</w:t>
      </w:r>
      <w:r w:rsidR="000D2340" w:rsidRPr="00254BF5">
        <w:rPr>
          <w:rFonts w:cs="Times New Roman"/>
          <w:color w:val="000000"/>
        </w:rPr>
        <w:t>.</w:t>
      </w:r>
      <w:r w:rsidRPr="00254BF5">
        <w:rPr>
          <w:rFonts w:cs="Times New Roman"/>
          <w:color w:val="000000"/>
        </w:rPr>
        <w:t xml:space="preserve">, </w:t>
      </w:r>
      <w:r w:rsidR="006829B6">
        <w:rPr>
          <w:rFonts w:cs="Times New Roman"/>
          <w:color w:val="000000"/>
        </w:rPr>
        <w:t xml:space="preserve">R.L. </w:t>
      </w:r>
      <w:proofErr w:type="spellStart"/>
      <w:r w:rsidRPr="00254BF5">
        <w:rPr>
          <w:rFonts w:cs="Times New Roman"/>
          <w:color w:val="000000"/>
        </w:rPr>
        <w:t>Cromie</w:t>
      </w:r>
      <w:proofErr w:type="spellEnd"/>
      <w:r w:rsidR="000D2340" w:rsidRPr="00254BF5">
        <w:rPr>
          <w:rFonts w:cs="Times New Roman"/>
          <w:color w:val="000000"/>
        </w:rPr>
        <w:t>,</w:t>
      </w:r>
      <w:r w:rsidRPr="00254BF5">
        <w:rPr>
          <w:rFonts w:cs="Times New Roman"/>
          <w:color w:val="000000"/>
        </w:rPr>
        <w:t xml:space="preserve"> </w:t>
      </w:r>
      <w:r w:rsidR="006829B6">
        <w:rPr>
          <w:rFonts w:cs="Times New Roman"/>
          <w:color w:val="000000"/>
        </w:rPr>
        <w:t>J.</w:t>
      </w:r>
      <w:r w:rsidRPr="00254BF5">
        <w:rPr>
          <w:rFonts w:cs="Times New Roman"/>
          <w:color w:val="000000"/>
        </w:rPr>
        <w:t xml:space="preserve"> </w:t>
      </w:r>
      <w:proofErr w:type="spellStart"/>
      <w:r w:rsidRPr="00254BF5">
        <w:rPr>
          <w:rFonts w:cs="Times New Roman"/>
          <w:color w:val="000000"/>
        </w:rPr>
        <w:t>Newth</w:t>
      </w:r>
      <w:proofErr w:type="spellEnd"/>
      <w:r w:rsidR="000D2340" w:rsidRPr="00254BF5">
        <w:rPr>
          <w:rFonts w:cs="Times New Roman"/>
          <w:color w:val="000000"/>
        </w:rPr>
        <w:t>,</w:t>
      </w:r>
      <w:r w:rsidRPr="00254BF5">
        <w:rPr>
          <w:rFonts w:cs="Times New Roman"/>
          <w:color w:val="000000"/>
        </w:rPr>
        <w:t xml:space="preserve"> </w:t>
      </w:r>
      <w:r w:rsidR="006829B6">
        <w:rPr>
          <w:rFonts w:cs="Times New Roman"/>
          <w:color w:val="000000"/>
        </w:rPr>
        <w:t>M.J.</w:t>
      </w:r>
      <w:r w:rsidRPr="00254BF5">
        <w:rPr>
          <w:rFonts w:cs="Times New Roman"/>
          <w:color w:val="000000"/>
        </w:rPr>
        <w:t xml:space="preserve"> Brown</w:t>
      </w:r>
      <w:r w:rsidR="000D2340" w:rsidRPr="00254BF5">
        <w:rPr>
          <w:rFonts w:cs="Times New Roman"/>
          <w:color w:val="000000"/>
        </w:rPr>
        <w:t>,</w:t>
      </w:r>
      <w:r w:rsidRPr="00254BF5">
        <w:rPr>
          <w:rFonts w:cs="Times New Roman"/>
          <w:color w:val="000000"/>
        </w:rPr>
        <w:t xml:space="preserve"> </w:t>
      </w:r>
      <w:r w:rsidR="006829B6">
        <w:rPr>
          <w:rFonts w:cs="Times New Roman"/>
          <w:color w:val="000000"/>
        </w:rPr>
        <w:t>E.</w:t>
      </w:r>
      <w:r w:rsidRPr="00254BF5">
        <w:rPr>
          <w:rFonts w:cs="Times New Roman"/>
          <w:color w:val="000000"/>
        </w:rPr>
        <w:t xml:space="preserve"> Crutcher</w:t>
      </w:r>
      <w:r w:rsidR="000D2340" w:rsidRPr="00254BF5">
        <w:rPr>
          <w:rFonts w:cs="Times New Roman"/>
          <w:color w:val="000000"/>
        </w:rPr>
        <w:t>,</w:t>
      </w:r>
      <w:r w:rsidRPr="00254BF5">
        <w:rPr>
          <w:rFonts w:cs="Times New Roman"/>
          <w:color w:val="000000"/>
        </w:rPr>
        <w:t xml:space="preserve"> </w:t>
      </w:r>
      <w:r w:rsidR="006829B6">
        <w:rPr>
          <w:rFonts w:cs="Times New Roman"/>
          <w:color w:val="000000"/>
        </w:rPr>
        <w:t>P.</w:t>
      </w:r>
      <w:r w:rsidRPr="00254BF5">
        <w:rPr>
          <w:rFonts w:cs="Times New Roman"/>
          <w:color w:val="000000"/>
        </w:rPr>
        <w:t xml:space="preserve"> Hardman</w:t>
      </w:r>
      <w:r w:rsidR="006829B6">
        <w:rPr>
          <w:rFonts w:cs="Times New Roman"/>
          <w:color w:val="000000"/>
        </w:rPr>
        <w:t>,</w:t>
      </w:r>
      <w:r w:rsidRPr="00254BF5">
        <w:rPr>
          <w:rFonts w:cs="Times New Roman"/>
          <w:color w:val="000000"/>
        </w:rPr>
        <w:t xml:space="preserve"> e</w:t>
      </w:r>
      <w:r w:rsidR="001C7C40" w:rsidRPr="00254BF5">
        <w:rPr>
          <w:rFonts w:cs="Times New Roman"/>
          <w:color w:val="000000"/>
        </w:rPr>
        <w:t>t al.</w:t>
      </w:r>
      <w:r w:rsidR="000C188A">
        <w:rPr>
          <w:rFonts w:cs="Times New Roman"/>
          <w:color w:val="000000"/>
        </w:rPr>
        <w:t>.</w:t>
      </w:r>
      <w:r w:rsidR="001C7C40" w:rsidRPr="00254BF5">
        <w:rPr>
          <w:rFonts w:cs="Times New Roman"/>
          <w:color w:val="000000"/>
        </w:rPr>
        <w:t xml:space="preserve"> </w:t>
      </w:r>
      <w:r w:rsidR="00793E36" w:rsidRPr="00254BF5">
        <w:rPr>
          <w:rFonts w:cs="Times New Roman"/>
          <w:color w:val="000000"/>
        </w:rPr>
        <w:t xml:space="preserve">2010. </w:t>
      </w:r>
      <w:r w:rsidR="001C7C40" w:rsidRPr="00254BF5">
        <w:rPr>
          <w:rFonts w:cs="Times New Roman"/>
          <w:color w:val="000000"/>
        </w:rPr>
        <w:t>Potential hazard to h</w:t>
      </w:r>
      <w:r w:rsidRPr="00254BF5">
        <w:rPr>
          <w:rFonts w:cs="Times New Roman"/>
          <w:color w:val="000000"/>
        </w:rPr>
        <w:t xml:space="preserve">uman health from exposure to fragments of lead bullets and shot in the tissues of game animals. </w:t>
      </w:r>
      <w:proofErr w:type="spellStart"/>
      <w:proofErr w:type="gramStart"/>
      <w:r w:rsidRPr="000D63DE">
        <w:rPr>
          <w:rFonts w:cs="Times New Roman"/>
          <w:i/>
          <w:color w:val="000000"/>
        </w:rPr>
        <w:t>P</w:t>
      </w:r>
      <w:r w:rsidR="006829B6" w:rsidRPr="000D63DE">
        <w:rPr>
          <w:rFonts w:cs="Times New Roman"/>
          <w:i/>
          <w:color w:val="000000"/>
        </w:rPr>
        <w:t>L</w:t>
      </w:r>
      <w:r w:rsidRPr="000D63DE">
        <w:rPr>
          <w:rFonts w:cs="Times New Roman"/>
          <w:i/>
          <w:color w:val="000000"/>
        </w:rPr>
        <w:t>oS</w:t>
      </w:r>
      <w:proofErr w:type="spellEnd"/>
      <w:r w:rsidRPr="000D63DE">
        <w:rPr>
          <w:rFonts w:cs="Times New Roman"/>
          <w:i/>
          <w:color w:val="000000"/>
        </w:rPr>
        <w:t xml:space="preserve"> ONE</w:t>
      </w:r>
      <w:r w:rsidRPr="00254BF5">
        <w:rPr>
          <w:rFonts w:cs="Times New Roman"/>
          <w:color w:val="000000"/>
        </w:rPr>
        <w:t xml:space="preserve"> 5(4</w:t>
      </w:r>
      <w:r w:rsidRPr="00254BF5">
        <w:rPr>
          <w:rFonts w:cs="Times New Roman"/>
        </w:rPr>
        <w:t>).</w:t>
      </w:r>
      <w:proofErr w:type="gramEnd"/>
      <w:r w:rsidRPr="00254BF5">
        <w:rPr>
          <w:rFonts w:cs="Times New Roman"/>
        </w:rPr>
        <w:t xml:space="preserve"> </w:t>
      </w:r>
      <w:hyperlink r:id="rId27" w:history="1">
        <w:r w:rsidR="00127DFC" w:rsidRPr="00F738BF">
          <w:rPr>
            <w:rStyle w:val="Hyperlink"/>
            <w:rFonts w:cs="Times New Roman"/>
          </w:rPr>
          <w:t>https://doi.org/10.1371/journal.pone.0010315</w:t>
        </w:r>
      </w:hyperlink>
      <w:r w:rsidR="00D479CF" w:rsidRPr="00254BF5">
        <w:rPr>
          <w:rFonts w:cs="Times New Roman"/>
        </w:rPr>
        <w:t>.</w:t>
      </w:r>
    </w:p>
    <w:p w14:paraId="26529C81" w14:textId="40695484" w:rsidR="00127DFC" w:rsidRPr="00254BF5" w:rsidRDefault="00127DFC" w:rsidP="00127DFC">
      <w:pPr>
        <w:spacing w:afterLines="120" w:after="288"/>
        <w:ind w:left="709" w:hanging="709"/>
        <w:rPr>
          <w:rFonts w:cs="Times New Roman"/>
        </w:rPr>
      </w:pPr>
      <w:proofErr w:type="gramStart"/>
      <w:r w:rsidRPr="007525FA">
        <w:rPr>
          <w:rFonts w:cs="Times New Roman"/>
        </w:rPr>
        <w:t xml:space="preserve">Pain, D.J., I. Dickie, R.E. Green, N. </w:t>
      </w:r>
      <w:proofErr w:type="spellStart"/>
      <w:r w:rsidRPr="007525FA">
        <w:rPr>
          <w:rFonts w:cs="Times New Roman"/>
        </w:rPr>
        <w:t>Kanstrup</w:t>
      </w:r>
      <w:proofErr w:type="spellEnd"/>
      <w:r w:rsidRPr="007525FA">
        <w:rPr>
          <w:rFonts w:cs="Times New Roman"/>
        </w:rPr>
        <w:t xml:space="preserve">, and R. </w:t>
      </w:r>
      <w:proofErr w:type="spellStart"/>
      <w:r w:rsidRPr="007525FA">
        <w:rPr>
          <w:rFonts w:cs="Times New Roman"/>
        </w:rPr>
        <w:t>Cromie</w:t>
      </w:r>
      <w:proofErr w:type="spellEnd"/>
      <w:r w:rsidRPr="007525FA">
        <w:rPr>
          <w:rFonts w:cs="Times New Roman"/>
        </w:rPr>
        <w:t>.</w:t>
      </w:r>
      <w:proofErr w:type="gramEnd"/>
      <w:r w:rsidRPr="007525FA">
        <w:rPr>
          <w:rFonts w:cs="Times New Roman"/>
        </w:rPr>
        <w:t xml:space="preserve"> 2019</w:t>
      </w:r>
      <w:r>
        <w:rPr>
          <w:rFonts w:cs="Times New Roman"/>
        </w:rPr>
        <w:t>a</w:t>
      </w:r>
      <w:r w:rsidRPr="007525FA">
        <w:rPr>
          <w:rFonts w:cs="Times New Roman"/>
        </w:rPr>
        <w:t xml:space="preserve">. Wildlife, human and environmental costs of using lead ammunition: An economic review and analysis. </w:t>
      </w:r>
      <w:proofErr w:type="spellStart"/>
      <w:r w:rsidRPr="007525FA">
        <w:rPr>
          <w:rFonts w:cs="Times New Roman"/>
          <w:i/>
        </w:rPr>
        <w:t>Ambio</w:t>
      </w:r>
      <w:proofErr w:type="spellEnd"/>
      <w:r w:rsidRPr="007525FA">
        <w:rPr>
          <w:rFonts w:cs="Times New Roman"/>
        </w:rPr>
        <w:t xml:space="preserve"> 48: 969-988. https://doi: org/10.1007/s13280-019-01157-2.</w:t>
      </w:r>
    </w:p>
    <w:p w14:paraId="394B38D2" w14:textId="763B5070" w:rsidR="00F25FE4" w:rsidRPr="007525FA" w:rsidRDefault="00F25FE4" w:rsidP="00655B41">
      <w:pPr>
        <w:spacing w:afterLines="120" w:after="288"/>
        <w:ind w:left="709" w:hanging="709"/>
        <w:rPr>
          <w:rFonts w:cs="Times New Roman"/>
        </w:rPr>
      </w:pPr>
      <w:proofErr w:type="gramStart"/>
      <w:r w:rsidRPr="007525FA">
        <w:rPr>
          <w:rFonts w:cs="Times New Roman"/>
        </w:rPr>
        <w:t xml:space="preserve">Pain, D.J., </w:t>
      </w:r>
      <w:r w:rsidR="0066761A" w:rsidRPr="007525FA">
        <w:rPr>
          <w:rFonts w:cs="Times New Roman"/>
        </w:rPr>
        <w:t xml:space="preserve">R. </w:t>
      </w:r>
      <w:r w:rsidRPr="007525FA">
        <w:rPr>
          <w:rFonts w:cs="Times New Roman"/>
        </w:rPr>
        <w:t xml:space="preserve">Mateo, </w:t>
      </w:r>
      <w:r w:rsidR="0066761A" w:rsidRPr="007525FA">
        <w:rPr>
          <w:rFonts w:cs="Times New Roman"/>
        </w:rPr>
        <w:t>and R.E.</w:t>
      </w:r>
      <w:r w:rsidRPr="007525FA">
        <w:rPr>
          <w:rFonts w:cs="Times New Roman"/>
        </w:rPr>
        <w:t xml:space="preserve"> Green.</w:t>
      </w:r>
      <w:proofErr w:type="gramEnd"/>
      <w:r w:rsidRPr="007525FA">
        <w:rPr>
          <w:rFonts w:cs="Times New Roman"/>
        </w:rPr>
        <w:t xml:space="preserve"> 2019</w:t>
      </w:r>
      <w:r w:rsidR="00127DFC">
        <w:rPr>
          <w:rFonts w:cs="Times New Roman"/>
        </w:rPr>
        <w:t>b</w:t>
      </w:r>
      <w:r w:rsidRPr="007525FA">
        <w:rPr>
          <w:rFonts w:cs="Times New Roman"/>
        </w:rPr>
        <w:t xml:space="preserve">. Effects of lead from spent ammunition on birds and other wildlife: A review and update. </w:t>
      </w:r>
      <w:proofErr w:type="spellStart"/>
      <w:r w:rsidRPr="007525FA">
        <w:rPr>
          <w:rFonts w:cs="Times New Roman"/>
          <w:i/>
        </w:rPr>
        <w:t>Ambio</w:t>
      </w:r>
      <w:proofErr w:type="spellEnd"/>
      <w:r w:rsidRPr="007525FA">
        <w:rPr>
          <w:rFonts w:cs="Times New Roman"/>
        </w:rPr>
        <w:t xml:space="preserve"> 48:</w:t>
      </w:r>
      <w:r w:rsidR="00222AED" w:rsidRPr="007525FA">
        <w:rPr>
          <w:rFonts w:cs="Times New Roman"/>
        </w:rPr>
        <w:t xml:space="preserve"> 935-953. </w:t>
      </w:r>
      <w:r w:rsidR="000C188A" w:rsidRPr="007525FA">
        <w:rPr>
          <w:rFonts w:cs="Times New Roman"/>
        </w:rPr>
        <w:t>https://d</w:t>
      </w:r>
      <w:r w:rsidR="00222AED" w:rsidRPr="007525FA">
        <w:rPr>
          <w:rFonts w:cs="Times New Roman"/>
        </w:rPr>
        <w:t>oi: 10.1007/s13280-019-01159-0.</w:t>
      </w:r>
    </w:p>
    <w:p w14:paraId="1D055275" w14:textId="5614A673" w:rsidR="005221AB" w:rsidRPr="00254BF5" w:rsidRDefault="005221AB" w:rsidP="005221AB">
      <w:pPr>
        <w:spacing w:afterLines="120" w:after="288"/>
        <w:ind w:left="709" w:hanging="709"/>
        <w:rPr>
          <w:rFonts w:cs="Times New Roman"/>
        </w:rPr>
      </w:pPr>
      <w:proofErr w:type="spellStart"/>
      <w:proofErr w:type="gramStart"/>
      <w:r w:rsidRPr="00FA5639">
        <w:rPr>
          <w:rFonts w:cs="Times New Roman"/>
        </w:rPr>
        <w:t>Pichery</w:t>
      </w:r>
      <w:proofErr w:type="spellEnd"/>
      <w:r w:rsidRPr="00FA5639">
        <w:rPr>
          <w:rFonts w:cs="Times New Roman"/>
        </w:rPr>
        <w:t xml:space="preserve">, C., </w:t>
      </w:r>
      <w:r>
        <w:rPr>
          <w:rFonts w:cs="Times New Roman"/>
        </w:rPr>
        <w:t xml:space="preserve">M. </w:t>
      </w:r>
      <w:proofErr w:type="spellStart"/>
      <w:r w:rsidRPr="00FA5639">
        <w:rPr>
          <w:rFonts w:cs="Times New Roman"/>
        </w:rPr>
        <w:t>Bellanger</w:t>
      </w:r>
      <w:proofErr w:type="spellEnd"/>
      <w:r w:rsidRPr="00FA5639">
        <w:rPr>
          <w:rFonts w:cs="Times New Roman"/>
        </w:rPr>
        <w:t xml:space="preserve">, </w:t>
      </w:r>
      <w:r>
        <w:rPr>
          <w:rFonts w:cs="Times New Roman"/>
        </w:rPr>
        <w:t>D.</w:t>
      </w:r>
      <w:r w:rsidRPr="00FA5639">
        <w:rPr>
          <w:rFonts w:cs="Times New Roman"/>
        </w:rPr>
        <w:t xml:space="preserve"> </w:t>
      </w:r>
      <w:proofErr w:type="spellStart"/>
      <w:r w:rsidRPr="00FA5639">
        <w:rPr>
          <w:rFonts w:cs="Times New Roman"/>
        </w:rPr>
        <w:t>Zmirou-Navier</w:t>
      </w:r>
      <w:proofErr w:type="spellEnd"/>
      <w:r w:rsidRPr="00FA5639">
        <w:rPr>
          <w:rFonts w:cs="Times New Roman"/>
        </w:rPr>
        <w:t xml:space="preserve">, </w:t>
      </w:r>
      <w:r>
        <w:rPr>
          <w:rFonts w:cs="Times New Roman"/>
        </w:rPr>
        <w:t xml:space="preserve">P. </w:t>
      </w:r>
      <w:proofErr w:type="spellStart"/>
      <w:r>
        <w:rPr>
          <w:rFonts w:cs="Times New Roman"/>
        </w:rPr>
        <w:t>Glorennec</w:t>
      </w:r>
      <w:proofErr w:type="spellEnd"/>
      <w:r>
        <w:rPr>
          <w:rFonts w:cs="Times New Roman"/>
        </w:rPr>
        <w:t xml:space="preserve">, P. </w:t>
      </w:r>
      <w:proofErr w:type="spellStart"/>
      <w:r>
        <w:rPr>
          <w:rFonts w:cs="Times New Roman"/>
        </w:rPr>
        <w:t>Hartemann</w:t>
      </w:r>
      <w:proofErr w:type="spellEnd"/>
      <w:r>
        <w:rPr>
          <w:rFonts w:cs="Times New Roman"/>
        </w:rPr>
        <w:t xml:space="preserve">, and P. </w:t>
      </w:r>
      <w:proofErr w:type="spellStart"/>
      <w:r>
        <w:rPr>
          <w:rFonts w:cs="Times New Roman"/>
        </w:rPr>
        <w:t>Grandjean</w:t>
      </w:r>
      <w:proofErr w:type="spellEnd"/>
      <w:r>
        <w:rPr>
          <w:rFonts w:cs="Times New Roman"/>
        </w:rPr>
        <w:t>.</w:t>
      </w:r>
      <w:proofErr w:type="gramEnd"/>
      <w:r>
        <w:rPr>
          <w:rFonts w:cs="Times New Roman"/>
        </w:rPr>
        <w:t xml:space="preserve"> 2011. Childhood lead exposure in France: benefit estimation and partial cost-benefit analysis of lead hazard control.</w:t>
      </w:r>
      <w:r w:rsidRPr="00FA5639">
        <w:rPr>
          <w:rFonts w:cs="Times New Roman"/>
        </w:rPr>
        <w:t> </w:t>
      </w:r>
      <w:r w:rsidRPr="00FA5639" w:rsidDel="00BE68BD">
        <w:rPr>
          <w:rFonts w:cs="Times New Roman"/>
        </w:rPr>
        <w:t xml:space="preserve"> </w:t>
      </w:r>
      <w:r w:rsidRPr="00E573AF">
        <w:rPr>
          <w:rFonts w:cs="Times New Roman"/>
          <w:i/>
        </w:rPr>
        <w:t>Environmental H</w:t>
      </w:r>
      <w:r w:rsidRPr="00FA5639">
        <w:rPr>
          <w:rFonts w:cs="Times New Roman"/>
        </w:rPr>
        <w:t>ealth 10</w:t>
      </w:r>
      <w:r>
        <w:rPr>
          <w:rFonts w:cs="Times New Roman"/>
        </w:rPr>
        <w:t>:</w:t>
      </w:r>
      <w:r w:rsidRPr="00FA5639">
        <w:rPr>
          <w:rFonts w:cs="Times New Roman"/>
        </w:rPr>
        <w:t> 44</w:t>
      </w:r>
      <w:r>
        <w:rPr>
          <w:rFonts w:cs="Times New Roman"/>
        </w:rPr>
        <w:t>.</w:t>
      </w:r>
      <w:r w:rsidRPr="00FA5639">
        <w:rPr>
          <w:rFonts w:cs="Times New Roman"/>
        </w:rPr>
        <w:t xml:space="preserve"> </w:t>
      </w:r>
      <w:r>
        <w:rPr>
          <w:rFonts w:cs="Times New Roman"/>
        </w:rPr>
        <w:t>https://</w:t>
      </w:r>
      <w:r w:rsidRPr="00FA5639">
        <w:rPr>
          <w:rFonts w:cs="Times New Roman"/>
        </w:rPr>
        <w:t>doi:10.1186/1476-069X-10-44</w:t>
      </w:r>
      <w:r>
        <w:rPr>
          <w:rFonts w:cs="Times New Roman"/>
        </w:rPr>
        <w:t>.</w:t>
      </w:r>
    </w:p>
    <w:p w14:paraId="5FE8806E" w14:textId="30723279" w:rsidR="00F90F8B" w:rsidRPr="00254BF5" w:rsidRDefault="00F90F8B" w:rsidP="00655B41">
      <w:pPr>
        <w:spacing w:afterLines="120" w:after="288"/>
        <w:ind w:left="709" w:hanging="709"/>
        <w:rPr>
          <w:color w:val="0000FF" w:themeColor="hyperlink"/>
          <w:u w:val="single"/>
        </w:rPr>
      </w:pPr>
      <w:proofErr w:type="gramStart"/>
      <w:r w:rsidRPr="00254BF5">
        <w:rPr>
          <w:rStyle w:val="Hyperlink"/>
          <w:color w:val="000000" w:themeColor="text1"/>
          <w:u w:val="none"/>
        </w:rPr>
        <w:t xml:space="preserve">Sampson, R. J., and </w:t>
      </w:r>
      <w:r w:rsidR="00C45A2B">
        <w:rPr>
          <w:rStyle w:val="Hyperlink"/>
          <w:color w:val="000000" w:themeColor="text1"/>
          <w:u w:val="none"/>
        </w:rPr>
        <w:t xml:space="preserve">A.S. </w:t>
      </w:r>
      <w:r w:rsidRPr="00254BF5">
        <w:rPr>
          <w:rStyle w:val="Hyperlink"/>
          <w:color w:val="000000" w:themeColor="text1"/>
          <w:u w:val="none"/>
        </w:rPr>
        <w:t>Winter</w:t>
      </w:r>
      <w:r w:rsidR="00931D45">
        <w:rPr>
          <w:rStyle w:val="Hyperlink"/>
          <w:color w:val="000000" w:themeColor="text1"/>
          <w:u w:val="none"/>
        </w:rPr>
        <w:t>.</w:t>
      </w:r>
      <w:proofErr w:type="gramEnd"/>
      <w:r w:rsidRPr="00254BF5">
        <w:rPr>
          <w:rStyle w:val="Hyperlink"/>
          <w:color w:val="000000" w:themeColor="text1"/>
          <w:u w:val="none"/>
        </w:rPr>
        <w:t xml:space="preserve"> 2018. Poisoned development: assessing childhood lead exposure as a cause of crime in a birth cohort followed through adolescence. </w:t>
      </w:r>
      <w:r w:rsidRPr="00254BF5">
        <w:rPr>
          <w:rStyle w:val="Hyperlink"/>
          <w:i/>
          <w:color w:val="000000" w:themeColor="text1"/>
          <w:u w:val="none"/>
        </w:rPr>
        <w:t>Criminology</w:t>
      </w:r>
      <w:r w:rsidRPr="00254BF5">
        <w:rPr>
          <w:rStyle w:val="Hyperlink"/>
          <w:color w:val="000000" w:themeColor="text1"/>
          <w:u w:val="none"/>
        </w:rPr>
        <w:t xml:space="preserve"> 56: 269-301.</w:t>
      </w:r>
      <w:r w:rsidRPr="00254BF5">
        <w:rPr>
          <w:rStyle w:val="Hyperlink"/>
          <w:color w:val="000000" w:themeColor="text1"/>
        </w:rPr>
        <w:t xml:space="preserve">  </w:t>
      </w:r>
      <w:r w:rsidR="001C2828">
        <w:rPr>
          <w:rStyle w:val="Hyperlink"/>
        </w:rPr>
        <w:t>https://d</w:t>
      </w:r>
      <w:r w:rsidRPr="00254BF5">
        <w:rPr>
          <w:rStyle w:val="Hyperlink"/>
        </w:rPr>
        <w:t>o</w:t>
      </w:r>
      <w:r w:rsidR="00254BF5" w:rsidRPr="00254BF5">
        <w:rPr>
          <w:rStyle w:val="Hyperlink"/>
        </w:rPr>
        <w:t xml:space="preserve">i/full/10.1111/1745-9125.12171 </w:t>
      </w:r>
    </w:p>
    <w:p w14:paraId="1F390F44" w14:textId="77777777" w:rsidR="001E7476" w:rsidRPr="00254BF5" w:rsidRDefault="001E7476" w:rsidP="00655B41">
      <w:pPr>
        <w:spacing w:afterLines="120" w:after="288"/>
        <w:ind w:left="709" w:hanging="709"/>
        <w:rPr>
          <w:rFonts w:cs="Times New Roman"/>
        </w:rPr>
      </w:pPr>
      <w:proofErr w:type="gramStart"/>
      <w:r w:rsidRPr="00254BF5">
        <w:rPr>
          <w:rFonts w:cs="Times New Roman"/>
        </w:rPr>
        <w:lastRenderedPageBreak/>
        <w:t>SEAC 2018.</w:t>
      </w:r>
      <w:proofErr w:type="gramEnd"/>
      <w:r w:rsidRPr="00254BF5">
        <w:rPr>
          <w:rFonts w:cs="Times New Roman"/>
        </w:rPr>
        <w:t xml:space="preserve"> Lead gunshot restriction in wetlands. </w:t>
      </w:r>
      <w:proofErr w:type="gramStart"/>
      <w:r w:rsidRPr="00254BF5">
        <w:rPr>
          <w:rFonts w:cs="Times New Roman"/>
        </w:rPr>
        <w:t>Committee for Socioeconomic Analysis.</w:t>
      </w:r>
      <w:proofErr w:type="gramEnd"/>
      <w:r w:rsidRPr="00254BF5">
        <w:rPr>
          <w:rFonts w:cs="Times New Roman"/>
        </w:rPr>
        <w:t xml:space="preserve"> </w:t>
      </w:r>
      <w:hyperlink r:id="rId28" w:history="1">
        <w:r w:rsidR="00C864B4" w:rsidRPr="00254BF5">
          <w:rPr>
            <w:rStyle w:val="Hyperlink"/>
            <w:rFonts w:cs="Times New Roman"/>
          </w:rPr>
          <w:t>https://echa.europa.eu/-/rac-adopts-13-proposals-for-harmonized-classification-and-labelling-and-seac-adopts-the-restriction-proposal-on-lead-in-gunshot</w:t>
        </w:r>
      </w:hyperlink>
      <w:r w:rsidR="00C864B4" w:rsidRPr="00254BF5">
        <w:rPr>
          <w:rFonts w:cs="Times New Roman"/>
        </w:rPr>
        <w:t>.</w:t>
      </w:r>
    </w:p>
    <w:p w14:paraId="61094087" w14:textId="25E4EF81" w:rsidR="00CF6101" w:rsidRPr="00254BF5" w:rsidRDefault="00CF6101" w:rsidP="00655B41">
      <w:pPr>
        <w:spacing w:afterLines="120" w:after="288"/>
        <w:ind w:left="709" w:hanging="709"/>
        <w:rPr>
          <w:rFonts w:cs="Times New Roman"/>
        </w:rPr>
      </w:pPr>
      <w:proofErr w:type="spellStart"/>
      <w:proofErr w:type="gramStart"/>
      <w:r w:rsidRPr="00254BF5">
        <w:rPr>
          <w:rFonts w:cs="Times New Roman"/>
        </w:rPr>
        <w:t>Schulp</w:t>
      </w:r>
      <w:proofErr w:type="spellEnd"/>
      <w:r w:rsidR="00D734E3" w:rsidRPr="00254BF5">
        <w:rPr>
          <w:rFonts w:cs="Times New Roman"/>
        </w:rPr>
        <w:t xml:space="preserve">, C.J.E, </w:t>
      </w:r>
      <w:r w:rsidR="00ED38D4">
        <w:rPr>
          <w:rFonts w:cs="Times New Roman"/>
        </w:rPr>
        <w:t xml:space="preserve">W. </w:t>
      </w:r>
      <w:proofErr w:type="spellStart"/>
      <w:r w:rsidR="00D734E3" w:rsidRPr="00254BF5">
        <w:rPr>
          <w:rFonts w:cs="Times New Roman"/>
        </w:rPr>
        <w:t>Thuiller</w:t>
      </w:r>
      <w:proofErr w:type="spellEnd"/>
      <w:r w:rsidR="00D734E3" w:rsidRPr="00254BF5">
        <w:rPr>
          <w:rFonts w:cs="Times New Roman"/>
        </w:rPr>
        <w:t>,</w:t>
      </w:r>
      <w:r w:rsidR="00ED38D4">
        <w:rPr>
          <w:rFonts w:cs="Times New Roman"/>
        </w:rPr>
        <w:t xml:space="preserve"> and P.H.</w:t>
      </w:r>
      <w:r w:rsidR="00D734E3" w:rsidRPr="00254BF5">
        <w:rPr>
          <w:rFonts w:cs="Times New Roman"/>
        </w:rPr>
        <w:t xml:space="preserve"> </w:t>
      </w:r>
      <w:proofErr w:type="spellStart"/>
      <w:r w:rsidR="00D734E3" w:rsidRPr="00254BF5">
        <w:rPr>
          <w:rFonts w:cs="Times New Roman"/>
        </w:rPr>
        <w:t>Verburg</w:t>
      </w:r>
      <w:proofErr w:type="spellEnd"/>
      <w:r w:rsidR="00D734E3" w:rsidRPr="00254BF5">
        <w:rPr>
          <w:rFonts w:cs="Times New Roman"/>
        </w:rPr>
        <w:t>.</w:t>
      </w:r>
      <w:proofErr w:type="gramEnd"/>
      <w:r w:rsidR="00D734E3" w:rsidRPr="00254BF5">
        <w:rPr>
          <w:rFonts w:cs="Times New Roman"/>
        </w:rPr>
        <w:t xml:space="preserve"> 2014. Wild food in Europe. </w:t>
      </w:r>
      <w:proofErr w:type="gramStart"/>
      <w:r w:rsidR="00D734E3" w:rsidRPr="00254BF5">
        <w:rPr>
          <w:rFonts w:cs="Times New Roman"/>
        </w:rPr>
        <w:t>A synthesis of knowledge and data of terrestrial wild food as an ecological service.</w:t>
      </w:r>
      <w:proofErr w:type="gramEnd"/>
      <w:r w:rsidR="00D734E3" w:rsidRPr="00254BF5">
        <w:rPr>
          <w:rFonts w:cs="Times New Roman"/>
        </w:rPr>
        <w:t xml:space="preserve"> </w:t>
      </w:r>
      <w:r w:rsidR="00D734E3" w:rsidRPr="00AA369C">
        <w:rPr>
          <w:rFonts w:cs="Times New Roman"/>
          <w:i/>
        </w:rPr>
        <w:t>Ecological Economics</w:t>
      </w:r>
      <w:r w:rsidR="00D734E3" w:rsidRPr="00254BF5">
        <w:rPr>
          <w:rFonts w:cs="Times New Roman"/>
        </w:rPr>
        <w:t xml:space="preserve"> 105: 292-305.</w:t>
      </w:r>
      <w:r w:rsidR="00421D9B" w:rsidRPr="00254BF5">
        <w:rPr>
          <w:rFonts w:cs="Times New Roman"/>
        </w:rPr>
        <w:t xml:space="preserve"> </w:t>
      </w:r>
      <w:r w:rsidR="00ED38D4">
        <w:rPr>
          <w:rFonts w:cs="Times New Roman"/>
        </w:rPr>
        <w:t>https://d</w:t>
      </w:r>
      <w:r w:rsidR="00421D9B" w:rsidRPr="00254BF5">
        <w:rPr>
          <w:rFonts w:cs="Times New Roman"/>
        </w:rPr>
        <w:t>oi: 10.1016/j.ecolecon.2014.06.018.</w:t>
      </w:r>
    </w:p>
    <w:p w14:paraId="21D8281B" w14:textId="3A789708" w:rsidR="009B2BC8" w:rsidRPr="00254BF5" w:rsidRDefault="009B2BC8" w:rsidP="00655B41">
      <w:pPr>
        <w:spacing w:afterLines="120" w:after="288"/>
        <w:ind w:left="709" w:hanging="709"/>
        <w:rPr>
          <w:color w:val="0000FF" w:themeColor="hyperlink"/>
          <w:u w:val="single"/>
        </w:rPr>
      </w:pPr>
      <w:r w:rsidRPr="00254BF5">
        <w:rPr>
          <w:rStyle w:val="Hyperlink"/>
          <w:color w:val="000000" w:themeColor="text1"/>
          <w:u w:val="none"/>
        </w:rPr>
        <w:t xml:space="preserve">Schwartz, J. 1994. Societal benefits of reducing lead exposure. </w:t>
      </w:r>
      <w:r w:rsidRPr="00254BF5">
        <w:rPr>
          <w:rStyle w:val="Hyperlink"/>
          <w:i/>
          <w:color w:val="000000" w:themeColor="text1"/>
          <w:u w:val="none"/>
        </w:rPr>
        <w:t>Environmental Research</w:t>
      </w:r>
      <w:r w:rsidRPr="00254BF5">
        <w:rPr>
          <w:rStyle w:val="Hyperlink"/>
          <w:color w:val="000000" w:themeColor="text1"/>
          <w:u w:val="none"/>
        </w:rPr>
        <w:t xml:space="preserve"> 66: 105-24. </w:t>
      </w:r>
      <w:proofErr w:type="spellStart"/>
      <w:proofErr w:type="gramStart"/>
      <w:r w:rsidRPr="00254BF5">
        <w:rPr>
          <w:rStyle w:val="Hyperlink"/>
          <w:color w:val="000000" w:themeColor="text1"/>
          <w:u w:val="none"/>
        </w:rPr>
        <w:t>doi</w:t>
      </w:r>
      <w:proofErr w:type="spellEnd"/>
      <w:proofErr w:type="gramEnd"/>
      <w:r w:rsidRPr="00254BF5">
        <w:rPr>
          <w:rStyle w:val="Hyperlink"/>
          <w:color w:val="000000" w:themeColor="text1"/>
          <w:u w:val="none"/>
        </w:rPr>
        <w:t xml:space="preserve">: </w:t>
      </w:r>
      <w:hyperlink r:id="rId29" w:history="1">
        <w:r w:rsidRPr="00254BF5">
          <w:rPr>
            <w:rStyle w:val="Hyperlink"/>
          </w:rPr>
          <w:t>https://doi.org/10.1006/enrs.1994.1048</w:t>
        </w:r>
      </w:hyperlink>
      <w:r w:rsidRPr="00254BF5">
        <w:rPr>
          <w:rStyle w:val="Hyperlink"/>
        </w:rPr>
        <w:t>.</w:t>
      </w:r>
    </w:p>
    <w:p w14:paraId="3AFD64FE" w14:textId="7F00F38D" w:rsidR="00082F6B" w:rsidRPr="00254BF5" w:rsidRDefault="00082F6B" w:rsidP="00655B41">
      <w:pPr>
        <w:spacing w:afterLines="120" w:after="288"/>
        <w:ind w:left="709" w:hanging="709"/>
        <w:rPr>
          <w:rFonts w:cs="Times New Roman"/>
        </w:rPr>
      </w:pPr>
      <w:proofErr w:type="spellStart"/>
      <w:proofErr w:type="gramStart"/>
      <w:r w:rsidRPr="00254BF5">
        <w:rPr>
          <w:rFonts w:cs="Times New Roman"/>
        </w:rPr>
        <w:t>Stokke</w:t>
      </w:r>
      <w:proofErr w:type="spellEnd"/>
      <w:r w:rsidRPr="00254BF5">
        <w:rPr>
          <w:rFonts w:cs="Times New Roman"/>
        </w:rPr>
        <w:t xml:space="preserve">, S., </w:t>
      </w:r>
      <w:r w:rsidR="000975FB">
        <w:rPr>
          <w:rFonts w:cs="Times New Roman"/>
        </w:rPr>
        <w:t xml:space="preserve">S. </w:t>
      </w:r>
      <w:r w:rsidRPr="00254BF5">
        <w:rPr>
          <w:rFonts w:cs="Times New Roman"/>
        </w:rPr>
        <w:t xml:space="preserve">Brainerd, </w:t>
      </w:r>
      <w:r w:rsidR="000975FB">
        <w:rPr>
          <w:rFonts w:cs="Times New Roman"/>
        </w:rPr>
        <w:t xml:space="preserve">and </w:t>
      </w:r>
      <w:proofErr w:type="spellStart"/>
      <w:r w:rsidR="000975FB">
        <w:rPr>
          <w:rFonts w:cs="Times New Roman"/>
        </w:rPr>
        <w:t>J.M.</w:t>
      </w:r>
      <w:r w:rsidRPr="00254BF5">
        <w:rPr>
          <w:rFonts w:cs="Times New Roman"/>
        </w:rPr>
        <w:t>Arnemo</w:t>
      </w:r>
      <w:proofErr w:type="spellEnd"/>
      <w:r w:rsidRPr="00254BF5">
        <w:rPr>
          <w:rFonts w:cs="Times New Roman"/>
        </w:rPr>
        <w:t>.</w:t>
      </w:r>
      <w:proofErr w:type="gramEnd"/>
      <w:r w:rsidRPr="00254BF5">
        <w:rPr>
          <w:rFonts w:cs="Times New Roman"/>
        </w:rPr>
        <w:t xml:space="preserve"> 2017. Metal deposition of copper and lead bullets in moose harvested in Fennoscandia. </w:t>
      </w:r>
      <w:r w:rsidRPr="008C279D">
        <w:rPr>
          <w:rFonts w:cs="Times New Roman"/>
          <w:i/>
        </w:rPr>
        <w:t>Wildlife Society Bulletin</w:t>
      </w:r>
      <w:r w:rsidRPr="00254BF5">
        <w:rPr>
          <w:rFonts w:cs="Times New Roman"/>
        </w:rPr>
        <w:t xml:space="preserve"> 41: 98-106. </w:t>
      </w:r>
      <w:r w:rsidR="008C279D">
        <w:rPr>
          <w:rFonts w:cs="Times New Roman"/>
        </w:rPr>
        <w:t>https://d</w:t>
      </w:r>
      <w:r w:rsidRPr="00254BF5">
        <w:rPr>
          <w:rFonts w:cs="Times New Roman"/>
        </w:rPr>
        <w:t>oi: 10.1002/wsb.731.</w:t>
      </w:r>
    </w:p>
    <w:p w14:paraId="261837F8" w14:textId="092CBB23" w:rsidR="003F4A45" w:rsidRDefault="003F4A45" w:rsidP="00655B41">
      <w:pPr>
        <w:spacing w:afterLines="120" w:after="288"/>
        <w:ind w:left="709" w:hanging="709"/>
        <w:rPr>
          <w:rFonts w:cs="Times New Roman"/>
        </w:rPr>
      </w:pPr>
      <w:proofErr w:type="spellStart"/>
      <w:proofErr w:type="gramStart"/>
      <w:r w:rsidRPr="00254BF5">
        <w:rPr>
          <w:rFonts w:cs="Times New Roman"/>
        </w:rPr>
        <w:t>Stokke</w:t>
      </w:r>
      <w:proofErr w:type="spellEnd"/>
      <w:r w:rsidRPr="00254BF5">
        <w:rPr>
          <w:rFonts w:cs="Times New Roman"/>
        </w:rPr>
        <w:t>, S.</w:t>
      </w:r>
      <w:r w:rsidR="00A55D94">
        <w:rPr>
          <w:rFonts w:cs="Times New Roman"/>
        </w:rPr>
        <w:t>,</w:t>
      </w:r>
      <w:r w:rsidRPr="00254BF5">
        <w:rPr>
          <w:rFonts w:cs="Times New Roman"/>
        </w:rPr>
        <w:t xml:space="preserve"> </w:t>
      </w:r>
      <w:r w:rsidR="00A55D94">
        <w:rPr>
          <w:rFonts w:cs="Times New Roman"/>
        </w:rPr>
        <w:t xml:space="preserve">J.M. </w:t>
      </w:r>
      <w:proofErr w:type="spellStart"/>
      <w:r w:rsidRPr="00254BF5">
        <w:rPr>
          <w:rFonts w:cs="Times New Roman"/>
        </w:rPr>
        <w:t>Arnemo</w:t>
      </w:r>
      <w:proofErr w:type="spellEnd"/>
      <w:r w:rsidRPr="00254BF5">
        <w:rPr>
          <w:rFonts w:cs="Times New Roman"/>
        </w:rPr>
        <w:t xml:space="preserve">, </w:t>
      </w:r>
      <w:r w:rsidR="00A55D94">
        <w:rPr>
          <w:rFonts w:cs="Times New Roman"/>
        </w:rPr>
        <w:t>and S.</w:t>
      </w:r>
      <w:r w:rsidRPr="00254BF5">
        <w:rPr>
          <w:rFonts w:cs="Times New Roman"/>
        </w:rPr>
        <w:t xml:space="preserve"> Brainerd.</w:t>
      </w:r>
      <w:proofErr w:type="gramEnd"/>
      <w:r w:rsidRPr="00254BF5">
        <w:rPr>
          <w:rFonts w:cs="Times New Roman"/>
        </w:rPr>
        <w:t xml:space="preserve"> 2019. Unleaded hunting: Are copper bullets and lead-based bullets equally effective in killing big game? </w:t>
      </w:r>
      <w:proofErr w:type="spellStart"/>
      <w:r w:rsidRPr="008C279D">
        <w:rPr>
          <w:rFonts w:cs="Times New Roman"/>
          <w:i/>
        </w:rPr>
        <w:t>Ambio</w:t>
      </w:r>
      <w:proofErr w:type="spellEnd"/>
      <w:r w:rsidRPr="00254BF5">
        <w:rPr>
          <w:rFonts w:cs="Times New Roman"/>
        </w:rPr>
        <w:t xml:space="preserve"> 48: 1044-1055. </w:t>
      </w:r>
      <w:r w:rsidR="008C279D">
        <w:rPr>
          <w:rFonts w:cs="Times New Roman"/>
        </w:rPr>
        <w:t>https://d</w:t>
      </w:r>
      <w:r w:rsidRPr="00254BF5">
        <w:rPr>
          <w:rFonts w:cs="Times New Roman"/>
        </w:rPr>
        <w:t>oi: org/10.1007/s13280-019-01171-4.</w:t>
      </w:r>
    </w:p>
    <w:p w14:paraId="7DE11A77" w14:textId="1C3D8ACC" w:rsidR="009F357F" w:rsidRPr="00254BF5" w:rsidRDefault="009F357F" w:rsidP="0090540C">
      <w:pPr>
        <w:spacing w:afterLines="120" w:after="288"/>
        <w:ind w:left="709" w:hanging="709"/>
        <w:rPr>
          <w:rFonts w:cs="Times New Roman"/>
        </w:rPr>
      </w:pPr>
      <w:proofErr w:type="gramStart"/>
      <w:r>
        <w:rPr>
          <w:rFonts w:cs="Times New Roman"/>
        </w:rPr>
        <w:t>Stroud, D.A. 2015.</w:t>
      </w:r>
      <w:proofErr w:type="gramEnd"/>
      <w:r>
        <w:rPr>
          <w:rFonts w:cs="Times New Roman"/>
        </w:rPr>
        <w:t xml:space="preserve"> Regulation of some sources of lead poisoning: a brief review.</w:t>
      </w:r>
      <w:r w:rsidRPr="00254BF5">
        <w:rPr>
          <w:rFonts w:cs="Times New Roman"/>
        </w:rPr>
        <w:t xml:space="preserve">  </w:t>
      </w:r>
      <w:proofErr w:type="gramStart"/>
      <w:r>
        <w:rPr>
          <w:rFonts w:cs="Times New Roman"/>
        </w:rPr>
        <w:t xml:space="preserve">In </w:t>
      </w:r>
      <w:r w:rsidRPr="00387C53">
        <w:rPr>
          <w:rFonts w:cs="Times New Roman"/>
          <w:i/>
        </w:rPr>
        <w:t>Proceedings of the Oxford Lead Symposium.</w:t>
      </w:r>
      <w:proofErr w:type="gramEnd"/>
      <w:r w:rsidRPr="00387C53">
        <w:rPr>
          <w:rFonts w:cs="Times New Roman"/>
          <w:i/>
        </w:rPr>
        <w:t xml:space="preserve"> Lead ammunition: understanding and minimizing the risks to human and environmental health</w:t>
      </w:r>
      <w:r>
        <w:rPr>
          <w:rFonts w:cs="Times New Roman"/>
        </w:rPr>
        <w:t xml:space="preserve">, eds. R.J. </w:t>
      </w:r>
      <w:proofErr w:type="spellStart"/>
      <w:r>
        <w:rPr>
          <w:rFonts w:cs="Times New Roman"/>
        </w:rPr>
        <w:t>Delahay</w:t>
      </w:r>
      <w:proofErr w:type="spellEnd"/>
      <w:r>
        <w:rPr>
          <w:rFonts w:cs="Times New Roman"/>
        </w:rPr>
        <w:t xml:space="preserve"> and C.J. Spray, 8-26. Oxford: </w:t>
      </w:r>
      <w:r w:rsidRPr="00254BF5">
        <w:rPr>
          <w:rFonts w:cs="Times New Roman"/>
        </w:rPr>
        <w:t xml:space="preserve"> Edward </w:t>
      </w:r>
      <w:r>
        <w:rPr>
          <w:rFonts w:cs="Times New Roman"/>
        </w:rPr>
        <w:t>G</w:t>
      </w:r>
      <w:r w:rsidRPr="00254BF5">
        <w:rPr>
          <w:rFonts w:cs="Times New Roman"/>
        </w:rPr>
        <w:t xml:space="preserve">rey Institute, </w:t>
      </w:r>
      <w:proofErr w:type="gramStart"/>
      <w:r w:rsidRPr="00254BF5">
        <w:rPr>
          <w:rFonts w:cs="Times New Roman"/>
        </w:rPr>
        <w:t>The</w:t>
      </w:r>
      <w:proofErr w:type="gramEnd"/>
      <w:r w:rsidRPr="00254BF5">
        <w:rPr>
          <w:rFonts w:cs="Times New Roman"/>
        </w:rPr>
        <w:t xml:space="preserve"> University of Oxford, UK</w:t>
      </w:r>
    </w:p>
    <w:p w14:paraId="0A27FAD1" w14:textId="6AB58D7B" w:rsidR="00B85E62" w:rsidRPr="00254BF5" w:rsidRDefault="00B85E62" w:rsidP="00655B41">
      <w:pPr>
        <w:spacing w:afterLines="120" w:after="288"/>
        <w:ind w:left="709" w:hanging="709"/>
        <w:rPr>
          <w:rFonts w:cs="Times New Roman"/>
        </w:rPr>
      </w:pPr>
      <w:proofErr w:type="gramStart"/>
      <w:r w:rsidRPr="00254BF5">
        <w:rPr>
          <w:rFonts w:cs="Times New Roman"/>
        </w:rPr>
        <w:t xml:space="preserve">Taggart, M.A., </w:t>
      </w:r>
      <w:r w:rsidR="00A55D94">
        <w:rPr>
          <w:rFonts w:cs="Times New Roman"/>
        </w:rPr>
        <w:t xml:space="preserve">M.M. </w:t>
      </w:r>
      <w:proofErr w:type="spellStart"/>
      <w:r w:rsidRPr="00254BF5">
        <w:rPr>
          <w:rFonts w:cs="Times New Roman"/>
        </w:rPr>
        <w:t>Reglero</w:t>
      </w:r>
      <w:proofErr w:type="spellEnd"/>
      <w:r w:rsidRPr="00254BF5">
        <w:rPr>
          <w:rFonts w:cs="Times New Roman"/>
        </w:rPr>
        <w:t xml:space="preserve">, </w:t>
      </w:r>
      <w:r w:rsidR="00A55D94">
        <w:rPr>
          <w:rFonts w:cs="Times New Roman"/>
        </w:rPr>
        <w:t xml:space="preserve">P.R. </w:t>
      </w:r>
      <w:proofErr w:type="spellStart"/>
      <w:r w:rsidRPr="00254BF5">
        <w:rPr>
          <w:rFonts w:cs="Times New Roman"/>
        </w:rPr>
        <w:t>Camarero</w:t>
      </w:r>
      <w:proofErr w:type="spellEnd"/>
      <w:r w:rsidRPr="00254BF5">
        <w:rPr>
          <w:rFonts w:cs="Times New Roman"/>
        </w:rPr>
        <w:t xml:space="preserve">, </w:t>
      </w:r>
      <w:r w:rsidR="00A55D94">
        <w:rPr>
          <w:rFonts w:cs="Times New Roman"/>
        </w:rPr>
        <w:t xml:space="preserve">and R. </w:t>
      </w:r>
      <w:r w:rsidRPr="00254BF5">
        <w:rPr>
          <w:rFonts w:cs="Times New Roman"/>
        </w:rPr>
        <w:t>Mateo.</w:t>
      </w:r>
      <w:proofErr w:type="gramEnd"/>
      <w:r w:rsidRPr="00254BF5">
        <w:rPr>
          <w:rFonts w:cs="Times New Roman"/>
        </w:rPr>
        <w:t xml:space="preserve"> 2011. Should legislation regarding maximum </w:t>
      </w:r>
      <w:proofErr w:type="spellStart"/>
      <w:r w:rsidRPr="00254BF5">
        <w:rPr>
          <w:rFonts w:cs="Times New Roman"/>
        </w:rPr>
        <w:t>Pb</w:t>
      </w:r>
      <w:proofErr w:type="spellEnd"/>
      <w:r w:rsidRPr="00254BF5">
        <w:rPr>
          <w:rFonts w:cs="Times New Roman"/>
        </w:rPr>
        <w:t xml:space="preserve"> and Cd levels in human food also cover large game meat? </w:t>
      </w:r>
      <w:r w:rsidRPr="008C279D">
        <w:rPr>
          <w:rFonts w:cs="Times New Roman"/>
          <w:i/>
        </w:rPr>
        <w:t>Environment International</w:t>
      </w:r>
      <w:r w:rsidRPr="00254BF5">
        <w:rPr>
          <w:rFonts w:cs="Times New Roman"/>
        </w:rPr>
        <w:t xml:space="preserve"> 37:18-25. </w:t>
      </w:r>
      <w:r w:rsidR="008C279D">
        <w:rPr>
          <w:rFonts w:cs="Times New Roman"/>
        </w:rPr>
        <w:t>https://d</w:t>
      </w:r>
      <w:r w:rsidRPr="00254BF5">
        <w:rPr>
          <w:rFonts w:cs="Times New Roman"/>
        </w:rPr>
        <w:t>oi: 10.1016/j.envint.2010.06.007.</w:t>
      </w:r>
    </w:p>
    <w:p w14:paraId="3ACDCF9C" w14:textId="11B0DEAB" w:rsidR="00E501EA" w:rsidRPr="00254BF5" w:rsidRDefault="00E501EA" w:rsidP="00655B41">
      <w:pPr>
        <w:spacing w:afterLines="120" w:after="288"/>
        <w:ind w:left="709" w:hanging="709"/>
        <w:rPr>
          <w:rFonts w:cs="Times New Roman"/>
        </w:rPr>
      </w:pPr>
      <w:r w:rsidRPr="00254BF5">
        <w:rPr>
          <w:rFonts w:cs="Times New Roman"/>
        </w:rPr>
        <w:t xml:space="preserve">Thomas, V.G. 2015. </w:t>
      </w:r>
      <w:proofErr w:type="gramStart"/>
      <w:r w:rsidRPr="00254BF5">
        <w:rPr>
          <w:rFonts w:cs="Times New Roman"/>
        </w:rPr>
        <w:t>Availability and use of lead-free shotgun and rifle cartridges in the UK, with reference to regulations in other jurisdictions.</w:t>
      </w:r>
      <w:proofErr w:type="gramEnd"/>
      <w:r w:rsidRPr="00254BF5">
        <w:rPr>
          <w:rFonts w:cs="Times New Roman"/>
        </w:rPr>
        <w:t xml:space="preserve">  </w:t>
      </w:r>
      <w:proofErr w:type="gramStart"/>
      <w:r w:rsidR="00387C53">
        <w:rPr>
          <w:rFonts w:cs="Times New Roman"/>
        </w:rPr>
        <w:t xml:space="preserve">In </w:t>
      </w:r>
      <w:r w:rsidRPr="00387C53">
        <w:rPr>
          <w:rFonts w:cs="Times New Roman"/>
          <w:i/>
        </w:rPr>
        <w:t>Proceedings of the Oxford Lead Symposium.</w:t>
      </w:r>
      <w:proofErr w:type="gramEnd"/>
      <w:r w:rsidRPr="00387C53">
        <w:rPr>
          <w:rFonts w:cs="Times New Roman"/>
          <w:i/>
        </w:rPr>
        <w:t xml:space="preserve"> Lead ammunition: understanding and minimizing the risks to human and environmental health</w:t>
      </w:r>
      <w:r w:rsidR="008C279D">
        <w:rPr>
          <w:rFonts w:cs="Times New Roman"/>
        </w:rPr>
        <w:t xml:space="preserve">, eds. R.J. </w:t>
      </w:r>
      <w:proofErr w:type="spellStart"/>
      <w:r w:rsidR="008C279D">
        <w:rPr>
          <w:rFonts w:cs="Times New Roman"/>
        </w:rPr>
        <w:t>Delahay</w:t>
      </w:r>
      <w:proofErr w:type="spellEnd"/>
      <w:r w:rsidR="008C279D">
        <w:rPr>
          <w:rFonts w:cs="Times New Roman"/>
        </w:rPr>
        <w:t xml:space="preserve"> and C.J. Spray</w:t>
      </w:r>
      <w:r w:rsidR="00387C53">
        <w:rPr>
          <w:rFonts w:cs="Times New Roman"/>
        </w:rPr>
        <w:t xml:space="preserve">, 85-97. Oxford: </w:t>
      </w:r>
      <w:r w:rsidRPr="00254BF5">
        <w:rPr>
          <w:rFonts w:cs="Times New Roman"/>
        </w:rPr>
        <w:t xml:space="preserve"> Edward </w:t>
      </w:r>
      <w:r w:rsidR="008C279D">
        <w:rPr>
          <w:rFonts w:cs="Times New Roman"/>
        </w:rPr>
        <w:t>G</w:t>
      </w:r>
      <w:r w:rsidRPr="00254BF5">
        <w:rPr>
          <w:rFonts w:cs="Times New Roman"/>
        </w:rPr>
        <w:t xml:space="preserve">rey Institute, </w:t>
      </w:r>
      <w:proofErr w:type="gramStart"/>
      <w:r w:rsidRPr="00254BF5">
        <w:rPr>
          <w:rFonts w:cs="Times New Roman"/>
        </w:rPr>
        <w:t>The</w:t>
      </w:r>
      <w:proofErr w:type="gramEnd"/>
      <w:r w:rsidRPr="00254BF5">
        <w:rPr>
          <w:rFonts w:cs="Times New Roman"/>
        </w:rPr>
        <w:t xml:space="preserve"> University of Oxford, UK.</w:t>
      </w:r>
    </w:p>
    <w:p w14:paraId="04A2698B" w14:textId="202C7A5B" w:rsidR="00E501EA" w:rsidRPr="00254BF5" w:rsidRDefault="00E501EA" w:rsidP="00655B41">
      <w:pPr>
        <w:spacing w:afterLines="120" w:after="288"/>
        <w:ind w:left="709" w:hanging="709"/>
        <w:rPr>
          <w:rFonts w:cs="Times New Roman"/>
        </w:rPr>
      </w:pPr>
      <w:proofErr w:type="gramStart"/>
      <w:r w:rsidRPr="00254BF5">
        <w:rPr>
          <w:rFonts w:cs="Times New Roman"/>
        </w:rPr>
        <w:t xml:space="preserve">Thomas, V.G., </w:t>
      </w:r>
      <w:r w:rsidR="00387C53">
        <w:rPr>
          <w:rFonts w:cs="Times New Roman"/>
        </w:rPr>
        <w:t xml:space="preserve">C. </w:t>
      </w:r>
      <w:proofErr w:type="spellStart"/>
      <w:r w:rsidRPr="00254BF5">
        <w:rPr>
          <w:rFonts w:cs="Times New Roman"/>
        </w:rPr>
        <w:t>Gremse</w:t>
      </w:r>
      <w:proofErr w:type="spellEnd"/>
      <w:r w:rsidRPr="00254BF5">
        <w:rPr>
          <w:rFonts w:cs="Times New Roman"/>
        </w:rPr>
        <w:t xml:space="preserve">, </w:t>
      </w:r>
      <w:r w:rsidR="00387C53">
        <w:rPr>
          <w:rFonts w:cs="Times New Roman"/>
        </w:rPr>
        <w:t xml:space="preserve">and N. </w:t>
      </w:r>
      <w:proofErr w:type="spellStart"/>
      <w:r w:rsidRPr="00254BF5">
        <w:rPr>
          <w:rFonts w:cs="Times New Roman"/>
        </w:rPr>
        <w:t>Kanstrup</w:t>
      </w:r>
      <w:proofErr w:type="spellEnd"/>
      <w:r w:rsidRPr="00254BF5">
        <w:rPr>
          <w:rFonts w:cs="Times New Roman"/>
        </w:rPr>
        <w:t>.</w:t>
      </w:r>
      <w:proofErr w:type="gramEnd"/>
      <w:r w:rsidRPr="00254BF5">
        <w:rPr>
          <w:rFonts w:cs="Times New Roman"/>
        </w:rPr>
        <w:t xml:space="preserve"> 2016. Non-lead rifle hunting ammunition: Issues of availability and performance in Europe. </w:t>
      </w:r>
      <w:r w:rsidRPr="008C279D">
        <w:rPr>
          <w:rFonts w:cs="Times New Roman"/>
          <w:i/>
        </w:rPr>
        <w:t>European Journal of Wildlife Research</w:t>
      </w:r>
      <w:r w:rsidRPr="00254BF5">
        <w:rPr>
          <w:rFonts w:cs="Times New Roman"/>
        </w:rPr>
        <w:t xml:space="preserve"> 62: 633-641. </w:t>
      </w:r>
      <w:r w:rsidR="00387C53">
        <w:rPr>
          <w:rFonts w:cs="Times New Roman"/>
        </w:rPr>
        <w:t>https://d</w:t>
      </w:r>
      <w:r w:rsidRPr="00254BF5">
        <w:rPr>
          <w:rFonts w:cs="Times New Roman"/>
        </w:rPr>
        <w:t>oi: org/10.1007/s10344-016-1044-7.</w:t>
      </w:r>
    </w:p>
    <w:p w14:paraId="65B7B31D" w14:textId="7490AA8B" w:rsidR="00410D2E" w:rsidRDefault="00410D2E" w:rsidP="00655B41">
      <w:pPr>
        <w:spacing w:afterLines="120" w:after="288"/>
        <w:ind w:left="709" w:hanging="709"/>
        <w:rPr>
          <w:rFonts w:cs="Times New Roman"/>
        </w:rPr>
      </w:pPr>
      <w:proofErr w:type="gramStart"/>
      <w:r w:rsidRPr="00254BF5">
        <w:rPr>
          <w:rFonts w:cs="Times New Roman"/>
        </w:rPr>
        <w:t>Th</w:t>
      </w:r>
      <w:r w:rsidR="0027686F" w:rsidRPr="00254BF5">
        <w:rPr>
          <w:rFonts w:cs="Times New Roman"/>
        </w:rPr>
        <w:t>omas, V.G.</w:t>
      </w:r>
      <w:r w:rsidR="0046024F">
        <w:rPr>
          <w:rFonts w:cs="Times New Roman"/>
        </w:rPr>
        <w:t>,</w:t>
      </w:r>
      <w:r w:rsidR="0027686F" w:rsidRPr="00254BF5">
        <w:rPr>
          <w:rFonts w:cs="Times New Roman"/>
        </w:rPr>
        <w:t xml:space="preserve"> </w:t>
      </w:r>
      <w:r w:rsidR="00387C53">
        <w:rPr>
          <w:rFonts w:cs="Times New Roman"/>
        </w:rPr>
        <w:t xml:space="preserve">N. </w:t>
      </w:r>
      <w:proofErr w:type="spellStart"/>
      <w:r w:rsidR="0027686F" w:rsidRPr="00254BF5">
        <w:rPr>
          <w:rFonts w:cs="Times New Roman"/>
        </w:rPr>
        <w:t>Kanstrup</w:t>
      </w:r>
      <w:proofErr w:type="spellEnd"/>
      <w:r w:rsidR="0027686F" w:rsidRPr="00254BF5">
        <w:rPr>
          <w:rFonts w:cs="Times New Roman"/>
        </w:rPr>
        <w:t xml:space="preserve">, </w:t>
      </w:r>
      <w:r w:rsidR="00387C53">
        <w:rPr>
          <w:rFonts w:cs="Times New Roman"/>
        </w:rPr>
        <w:t xml:space="preserve">and A.D. </w:t>
      </w:r>
      <w:r w:rsidR="0027686F" w:rsidRPr="00254BF5">
        <w:rPr>
          <w:rFonts w:cs="Times New Roman"/>
        </w:rPr>
        <w:t>Fox</w:t>
      </w:r>
      <w:r w:rsidRPr="00254BF5">
        <w:rPr>
          <w:rFonts w:cs="Times New Roman"/>
        </w:rPr>
        <w:t>.</w:t>
      </w:r>
      <w:proofErr w:type="gramEnd"/>
      <w:r w:rsidRPr="00254BF5">
        <w:rPr>
          <w:rFonts w:cs="Times New Roman"/>
        </w:rPr>
        <w:t xml:space="preserve"> 2019.</w:t>
      </w:r>
      <w:r w:rsidR="0027686F" w:rsidRPr="00254BF5">
        <w:rPr>
          <w:rFonts w:cs="Times New Roman"/>
        </w:rPr>
        <w:t xml:space="preserve"> The transition to non-lead sporting ammunition and fishing weights: Review of progress and barriers to implementation.</w:t>
      </w:r>
      <w:r w:rsidR="001E1F85">
        <w:rPr>
          <w:rFonts w:cs="Times New Roman"/>
        </w:rPr>
        <w:t xml:space="preserve"> </w:t>
      </w:r>
      <w:r w:rsidR="0027686F" w:rsidRPr="00254BF5">
        <w:rPr>
          <w:rFonts w:cs="Times New Roman"/>
        </w:rPr>
        <w:t xml:space="preserve"> </w:t>
      </w:r>
      <w:proofErr w:type="spellStart"/>
      <w:r w:rsidR="0027686F" w:rsidRPr="00387C53">
        <w:rPr>
          <w:rFonts w:cs="Times New Roman"/>
          <w:i/>
        </w:rPr>
        <w:t>Ambio</w:t>
      </w:r>
      <w:proofErr w:type="spellEnd"/>
      <w:r w:rsidR="0027686F" w:rsidRPr="00254BF5">
        <w:rPr>
          <w:rFonts w:cs="Times New Roman"/>
        </w:rPr>
        <w:t xml:space="preserve"> 48: 925-934. </w:t>
      </w:r>
      <w:r w:rsidR="00387C53">
        <w:rPr>
          <w:rFonts w:cs="Times New Roman"/>
        </w:rPr>
        <w:t>https://d</w:t>
      </w:r>
      <w:r w:rsidR="0027686F" w:rsidRPr="00254BF5">
        <w:rPr>
          <w:rFonts w:cs="Times New Roman"/>
        </w:rPr>
        <w:t>oi: org/10.1007/s13280-018-1132-x.</w:t>
      </w:r>
    </w:p>
    <w:p w14:paraId="797893B1" w14:textId="35143C9B" w:rsidR="00576676" w:rsidRPr="001140F9" w:rsidRDefault="00576676" w:rsidP="00655B41">
      <w:pPr>
        <w:spacing w:afterLines="120" w:after="288"/>
        <w:ind w:left="709" w:hanging="709"/>
        <w:rPr>
          <w:rFonts w:cs="Times New Roman"/>
        </w:rPr>
      </w:pPr>
      <w:proofErr w:type="spellStart"/>
      <w:proofErr w:type="gramStart"/>
      <w:r>
        <w:rPr>
          <w:rFonts w:cs="Times New Roman"/>
        </w:rPr>
        <w:lastRenderedPageBreak/>
        <w:t>Trinogga</w:t>
      </w:r>
      <w:proofErr w:type="spellEnd"/>
      <w:r w:rsidR="001140F9">
        <w:rPr>
          <w:rFonts w:cs="Times New Roman"/>
        </w:rPr>
        <w:t xml:space="preserve">, A.L., A. </w:t>
      </w:r>
      <w:proofErr w:type="spellStart"/>
      <w:r w:rsidR="001140F9">
        <w:rPr>
          <w:rFonts w:cs="Times New Roman"/>
        </w:rPr>
        <w:t>Courtiol</w:t>
      </w:r>
      <w:proofErr w:type="spellEnd"/>
      <w:r w:rsidR="001140F9">
        <w:rPr>
          <w:rFonts w:cs="Times New Roman"/>
        </w:rPr>
        <w:t>, and O. Krone.</w:t>
      </w:r>
      <w:proofErr w:type="gramEnd"/>
      <w:r w:rsidR="001140F9">
        <w:rPr>
          <w:rFonts w:cs="Times New Roman"/>
        </w:rPr>
        <w:t xml:space="preserve"> 2019. Fragmentation of lead-free and lead-based hunting rifle bullets under real life hunting conditions in Germany. </w:t>
      </w:r>
      <w:proofErr w:type="spellStart"/>
      <w:r w:rsidR="001140F9">
        <w:rPr>
          <w:rFonts w:cs="Times New Roman"/>
          <w:i/>
        </w:rPr>
        <w:t>Ambio</w:t>
      </w:r>
      <w:proofErr w:type="spellEnd"/>
      <w:r w:rsidR="001140F9">
        <w:rPr>
          <w:rFonts w:cs="Times New Roman"/>
        </w:rPr>
        <w:t xml:space="preserve"> 48: 1056-1064. https:doi:org//doi.org/10.1007/s13280-019-01168-z.</w:t>
      </w:r>
    </w:p>
    <w:p w14:paraId="535F5386" w14:textId="635D706A" w:rsidR="006F4DA2" w:rsidRPr="00254BF5" w:rsidRDefault="006F4DA2" w:rsidP="00655B41">
      <w:pPr>
        <w:spacing w:afterLines="120" w:after="288"/>
        <w:ind w:left="709" w:hanging="709"/>
        <w:rPr>
          <w:rFonts w:cs="Times New Roman"/>
        </w:rPr>
      </w:pPr>
      <w:proofErr w:type="gramStart"/>
      <w:r w:rsidRPr="00254BF5">
        <w:rPr>
          <w:rFonts w:cs="Times New Roman"/>
        </w:rPr>
        <w:t xml:space="preserve">Vogt, G., </w:t>
      </w:r>
      <w:r w:rsidR="009272AB">
        <w:rPr>
          <w:rFonts w:cs="Times New Roman"/>
        </w:rPr>
        <w:t xml:space="preserve">and E.A. </w:t>
      </w:r>
      <w:proofErr w:type="spellStart"/>
      <w:r w:rsidRPr="00254BF5">
        <w:rPr>
          <w:rFonts w:cs="Times New Roman"/>
        </w:rPr>
        <w:t>Tysnes</w:t>
      </w:r>
      <w:proofErr w:type="spellEnd"/>
      <w:r w:rsidRPr="00254BF5">
        <w:rPr>
          <w:rFonts w:cs="Times New Roman"/>
        </w:rPr>
        <w:t>.</w:t>
      </w:r>
      <w:proofErr w:type="gramEnd"/>
      <w:r w:rsidRPr="00254BF5">
        <w:rPr>
          <w:rFonts w:cs="Times New Roman"/>
        </w:rPr>
        <w:t xml:space="preserve"> 2015. Lead in minced beef from Norwegian hunted game, </w:t>
      </w:r>
      <w:proofErr w:type="spellStart"/>
      <w:r w:rsidRPr="00254BF5">
        <w:rPr>
          <w:rFonts w:cs="Times New Roman"/>
        </w:rPr>
        <w:t>Elg</w:t>
      </w:r>
      <w:proofErr w:type="spellEnd"/>
      <w:r w:rsidRPr="00254BF5">
        <w:rPr>
          <w:rFonts w:cs="Times New Roman"/>
        </w:rPr>
        <w:t xml:space="preserve"> (</w:t>
      </w:r>
      <w:proofErr w:type="spellStart"/>
      <w:r w:rsidRPr="00254BF5">
        <w:rPr>
          <w:rFonts w:cs="Times New Roman"/>
          <w:i/>
        </w:rPr>
        <w:t>Alces</w:t>
      </w:r>
      <w:proofErr w:type="spellEnd"/>
      <w:r w:rsidRPr="00254BF5">
        <w:rPr>
          <w:rFonts w:cs="Times New Roman"/>
          <w:i/>
        </w:rPr>
        <w:t xml:space="preserve"> </w:t>
      </w:r>
      <w:proofErr w:type="spellStart"/>
      <w:r w:rsidRPr="00254BF5">
        <w:rPr>
          <w:rFonts w:cs="Times New Roman"/>
          <w:i/>
        </w:rPr>
        <w:t>alces</w:t>
      </w:r>
      <w:proofErr w:type="spellEnd"/>
      <w:r w:rsidRPr="00254BF5">
        <w:rPr>
          <w:rFonts w:cs="Times New Roman"/>
        </w:rPr>
        <w:t>). Moss: Eurofins Food and Feed Testing, Norway AS.</w:t>
      </w:r>
    </w:p>
    <w:p w14:paraId="0B6013E4" w14:textId="0FDA3349" w:rsidR="00B13B45" w:rsidRDefault="00B13B45" w:rsidP="00655B41">
      <w:pPr>
        <w:spacing w:afterLines="120" w:after="288"/>
        <w:ind w:left="709" w:hanging="709"/>
        <w:rPr>
          <w:rFonts w:eastAsia="Calibri" w:cs="Times New Roman"/>
          <w:lang w:val="en-GB"/>
        </w:rPr>
      </w:pPr>
      <w:proofErr w:type="gramStart"/>
      <w:r w:rsidRPr="00B13B45">
        <w:rPr>
          <w:rFonts w:eastAsia="Calibri" w:cs="Times New Roman"/>
          <w:lang w:val="en-GB"/>
        </w:rPr>
        <w:t>Waitrose</w:t>
      </w:r>
      <w:r w:rsidR="009272AB">
        <w:rPr>
          <w:rFonts w:eastAsia="Calibri" w:cs="Times New Roman"/>
          <w:lang w:val="en-GB"/>
        </w:rPr>
        <w:t>.</w:t>
      </w:r>
      <w:proofErr w:type="gramEnd"/>
      <w:r w:rsidRPr="00B13B45">
        <w:rPr>
          <w:rFonts w:eastAsia="Calibri" w:cs="Times New Roman"/>
          <w:lang w:val="en-GB"/>
        </w:rPr>
        <w:t xml:space="preserve"> 2019.  (July 31</w:t>
      </w:r>
      <w:r w:rsidRPr="00B13B45">
        <w:rPr>
          <w:rFonts w:eastAsia="Calibri" w:cs="Times New Roman"/>
          <w:vertAlign w:val="superscript"/>
          <w:lang w:val="en-GB"/>
        </w:rPr>
        <w:t>st</w:t>
      </w:r>
      <w:r w:rsidRPr="00B13B45">
        <w:rPr>
          <w:rFonts w:eastAsia="Calibri" w:cs="Times New Roman"/>
          <w:lang w:val="en-GB"/>
        </w:rPr>
        <w:t xml:space="preserve">) Animal Welfare: Lead shot pledge. </w:t>
      </w:r>
      <w:hyperlink r:id="rId30" w:history="1">
        <w:r w:rsidRPr="00254BF5">
          <w:rPr>
            <w:rFonts w:eastAsia="Calibri" w:cs="Times New Roman"/>
            <w:color w:val="0563C1"/>
            <w:u w:val="single"/>
            <w:lang w:val="en-GB"/>
          </w:rPr>
          <w:t>https://www.waitrose.com/home/inspiration/about_waitrose/the_waitrose_way/waitrose_animal_welfarecommitments.html</w:t>
        </w:r>
      </w:hyperlink>
      <w:r w:rsidRPr="00B13B45">
        <w:rPr>
          <w:rFonts w:eastAsia="Calibri" w:cs="Times New Roman"/>
          <w:lang w:val="en-GB"/>
        </w:rPr>
        <w:t xml:space="preserve">. </w:t>
      </w:r>
    </w:p>
    <w:p w14:paraId="4333ADE8" w14:textId="77777777" w:rsidR="00F351D4" w:rsidRDefault="00F351D4" w:rsidP="00655B41">
      <w:pPr>
        <w:spacing w:afterLines="120" w:after="288"/>
        <w:ind w:left="709" w:hanging="709"/>
        <w:rPr>
          <w:rFonts w:eastAsia="Calibri" w:cs="Times New Roman"/>
          <w:lang w:val="en-GB"/>
        </w:rPr>
      </w:pPr>
    </w:p>
    <w:p w14:paraId="3D0CBF02" w14:textId="210653E1" w:rsidR="00ED33F1" w:rsidRDefault="00ED33F1" w:rsidP="00AE33FC">
      <w:pPr>
        <w:spacing w:afterLines="120" w:after="288"/>
        <w:rPr>
          <w:rFonts w:eastAsia="Calibri" w:cs="Times New Roman"/>
          <w:b/>
          <w:lang w:val="en-GB"/>
        </w:rPr>
      </w:pPr>
      <w:r w:rsidRPr="00ED33F1">
        <w:rPr>
          <w:rFonts w:eastAsia="Calibri" w:cs="Times New Roman"/>
          <w:b/>
          <w:lang w:val="en-GB"/>
        </w:rPr>
        <w:t>AUTHOR BIOGRAPHIES</w:t>
      </w:r>
    </w:p>
    <w:p w14:paraId="6DDB1DAA" w14:textId="5DAB8B82" w:rsidR="002371C5" w:rsidRPr="002371C5" w:rsidRDefault="002371C5" w:rsidP="002371C5">
      <w:pPr>
        <w:autoSpaceDE w:val="0"/>
        <w:autoSpaceDN w:val="0"/>
        <w:adjustRightInd w:val="0"/>
        <w:spacing w:after="0" w:line="240" w:lineRule="auto"/>
        <w:rPr>
          <w:rFonts w:cstheme="minorHAnsi"/>
        </w:rPr>
      </w:pPr>
      <w:r w:rsidRPr="002371C5">
        <w:rPr>
          <w:rFonts w:cstheme="minorHAnsi"/>
          <w:b/>
        </w:rPr>
        <w:t>Vernon G. Thomas</w:t>
      </w:r>
      <w:r w:rsidRPr="002371C5">
        <w:rPr>
          <w:rFonts w:cstheme="minorHAnsi"/>
        </w:rPr>
        <w:t xml:space="preserve"> is a Professor Emeritus specializing in the</w:t>
      </w:r>
      <w:r>
        <w:rPr>
          <w:rFonts w:cstheme="minorHAnsi"/>
        </w:rPr>
        <w:t xml:space="preserve"> </w:t>
      </w:r>
      <w:r w:rsidRPr="002371C5">
        <w:rPr>
          <w:rFonts w:cstheme="minorHAnsi"/>
        </w:rPr>
        <w:t>transfer of scientific knowledge to conservation policy and law,</w:t>
      </w:r>
      <w:r>
        <w:rPr>
          <w:rFonts w:cstheme="minorHAnsi"/>
        </w:rPr>
        <w:t xml:space="preserve"> </w:t>
      </w:r>
      <w:r w:rsidRPr="002371C5">
        <w:rPr>
          <w:rFonts w:cstheme="minorHAnsi"/>
        </w:rPr>
        <w:t>especially in the issue of lead exposure and toxicity in wildlife and</w:t>
      </w:r>
      <w:r w:rsidR="00FD6CF9">
        <w:rPr>
          <w:rFonts w:cstheme="minorHAnsi"/>
        </w:rPr>
        <w:t xml:space="preserve"> </w:t>
      </w:r>
      <w:r w:rsidRPr="002371C5">
        <w:rPr>
          <w:rFonts w:cstheme="minorHAnsi"/>
        </w:rPr>
        <w:t>humans.</w:t>
      </w:r>
    </w:p>
    <w:p w14:paraId="56694AFA" w14:textId="09ABAFE7" w:rsidR="002371C5" w:rsidRPr="002371C5" w:rsidRDefault="002371C5" w:rsidP="002371C5">
      <w:pPr>
        <w:autoSpaceDE w:val="0"/>
        <w:autoSpaceDN w:val="0"/>
        <w:adjustRightInd w:val="0"/>
        <w:spacing w:after="0" w:line="240" w:lineRule="auto"/>
        <w:rPr>
          <w:rFonts w:cstheme="minorHAnsi"/>
        </w:rPr>
      </w:pPr>
      <w:r w:rsidRPr="002371C5">
        <w:rPr>
          <w:rFonts w:cstheme="minorHAnsi"/>
          <w:i/>
        </w:rPr>
        <w:t>Address</w:t>
      </w:r>
      <w:r w:rsidRPr="002371C5">
        <w:rPr>
          <w:rFonts w:cstheme="minorHAnsi"/>
        </w:rPr>
        <w:t>: Department of Integrative Biology, College of Biological</w:t>
      </w:r>
      <w:r>
        <w:rPr>
          <w:rFonts w:cstheme="minorHAnsi"/>
        </w:rPr>
        <w:t xml:space="preserve"> </w:t>
      </w:r>
      <w:r w:rsidRPr="002371C5">
        <w:rPr>
          <w:rFonts w:cstheme="minorHAnsi"/>
        </w:rPr>
        <w:t>Science, University of Guelph, Guelph, ON</w:t>
      </w:r>
      <w:r>
        <w:rPr>
          <w:rFonts w:cstheme="minorHAnsi"/>
        </w:rPr>
        <w:t>,</w:t>
      </w:r>
      <w:r w:rsidRPr="002371C5">
        <w:rPr>
          <w:rFonts w:cstheme="minorHAnsi"/>
        </w:rPr>
        <w:t xml:space="preserve"> N1G 2W1, Canada.</w:t>
      </w:r>
    </w:p>
    <w:p w14:paraId="5747AECF" w14:textId="206E49AA" w:rsidR="002371C5" w:rsidRPr="002371C5" w:rsidRDefault="002371C5" w:rsidP="002371C5">
      <w:pPr>
        <w:spacing w:afterLines="120" w:after="288"/>
        <w:ind w:left="709" w:hanging="709"/>
        <w:rPr>
          <w:rFonts w:eastAsia="Calibri" w:cstheme="minorHAnsi"/>
          <w:b/>
          <w:lang w:val="en-GB"/>
        </w:rPr>
      </w:pPr>
      <w:proofErr w:type="gramStart"/>
      <w:r w:rsidRPr="002371C5">
        <w:rPr>
          <w:rFonts w:cstheme="minorHAnsi"/>
        </w:rPr>
        <w:t>e-mail</w:t>
      </w:r>
      <w:proofErr w:type="gramEnd"/>
      <w:r w:rsidRPr="002371C5">
        <w:rPr>
          <w:rFonts w:cstheme="minorHAnsi"/>
        </w:rPr>
        <w:t>: vthomas@uoguelph.ca</w:t>
      </w:r>
    </w:p>
    <w:p w14:paraId="7DA0DDC9" w14:textId="68E074BF" w:rsidR="003B65C0" w:rsidRPr="003B65C0" w:rsidRDefault="003B65C0" w:rsidP="003B65C0">
      <w:pPr>
        <w:autoSpaceDE w:val="0"/>
        <w:autoSpaceDN w:val="0"/>
        <w:adjustRightInd w:val="0"/>
        <w:spacing w:after="0" w:line="240" w:lineRule="auto"/>
        <w:jc w:val="both"/>
        <w:rPr>
          <w:rFonts w:cstheme="minorHAnsi"/>
        </w:rPr>
      </w:pPr>
      <w:r w:rsidRPr="003B65C0">
        <w:rPr>
          <w:rFonts w:cstheme="minorHAnsi"/>
          <w:b/>
        </w:rPr>
        <w:t xml:space="preserve">Deborah J. Pain </w:t>
      </w:r>
      <w:r w:rsidRPr="003B65C0">
        <w:rPr>
          <w:rFonts w:cstheme="minorHAnsi"/>
        </w:rPr>
        <w:t xml:space="preserve">is an </w:t>
      </w:r>
      <w:r w:rsidR="002C4FE8">
        <w:rPr>
          <w:rFonts w:cstheme="minorHAnsi"/>
        </w:rPr>
        <w:t xml:space="preserve">Honorary Professor in the School of Biological Sciences, University of East Anglia, and an </w:t>
      </w:r>
      <w:r w:rsidRPr="003B65C0">
        <w:rPr>
          <w:rFonts w:cstheme="minorHAnsi"/>
        </w:rPr>
        <w:t>Honorary Research Fellow in the</w:t>
      </w:r>
      <w:r>
        <w:rPr>
          <w:rFonts w:cstheme="minorHAnsi"/>
        </w:rPr>
        <w:t xml:space="preserve"> </w:t>
      </w:r>
      <w:r w:rsidRPr="003B65C0">
        <w:rPr>
          <w:rFonts w:cstheme="minorHAnsi"/>
        </w:rPr>
        <w:t>Department of Zoology, University of Cambridge</w:t>
      </w:r>
      <w:r w:rsidR="002C4FE8">
        <w:rPr>
          <w:rFonts w:cstheme="minorHAnsi"/>
        </w:rPr>
        <w:t>.</w:t>
      </w:r>
      <w:r w:rsidRPr="003B65C0">
        <w:rPr>
          <w:rFonts w:cstheme="minorHAnsi"/>
        </w:rPr>
        <w:t xml:space="preserve"> Her research interests include</w:t>
      </w:r>
      <w:r>
        <w:rPr>
          <w:rFonts w:cstheme="minorHAnsi"/>
        </w:rPr>
        <w:t xml:space="preserve"> </w:t>
      </w:r>
      <w:r w:rsidRPr="003B65C0">
        <w:rPr>
          <w:rFonts w:cstheme="minorHAnsi"/>
        </w:rPr>
        <w:t>diagnosing the causes of declines in threatened bird species and</w:t>
      </w:r>
      <w:r>
        <w:rPr>
          <w:rFonts w:cstheme="minorHAnsi"/>
        </w:rPr>
        <w:t xml:space="preserve"> </w:t>
      </w:r>
      <w:r w:rsidRPr="003B65C0">
        <w:rPr>
          <w:rFonts w:cstheme="minorHAnsi"/>
        </w:rPr>
        <w:t>developing and testing practical and policy solutions to reverse them.</w:t>
      </w:r>
      <w:r>
        <w:rPr>
          <w:rFonts w:cstheme="minorHAnsi"/>
        </w:rPr>
        <w:t xml:space="preserve"> </w:t>
      </w:r>
      <w:r w:rsidRPr="003B65C0">
        <w:rPr>
          <w:rFonts w:cstheme="minorHAnsi"/>
        </w:rPr>
        <w:t>She has an interest in ecotoxicology, particularly lead poisoning from</w:t>
      </w:r>
      <w:r w:rsidR="002C4FE8">
        <w:rPr>
          <w:rFonts w:cstheme="minorHAnsi"/>
        </w:rPr>
        <w:t xml:space="preserve"> </w:t>
      </w:r>
      <w:r w:rsidRPr="003B65C0">
        <w:rPr>
          <w:rFonts w:cstheme="minorHAnsi"/>
        </w:rPr>
        <w:t>ammunition, on which she has worked since the early 1980s.</w:t>
      </w:r>
      <w:r>
        <w:rPr>
          <w:rFonts w:cstheme="minorHAnsi"/>
        </w:rPr>
        <w:t xml:space="preserve"> </w:t>
      </w:r>
    </w:p>
    <w:p w14:paraId="2BD58D2D" w14:textId="0D2A16F9" w:rsidR="003B65C0" w:rsidRPr="003B65C0" w:rsidRDefault="003B65C0" w:rsidP="003B65C0">
      <w:pPr>
        <w:autoSpaceDE w:val="0"/>
        <w:autoSpaceDN w:val="0"/>
        <w:adjustRightInd w:val="0"/>
        <w:spacing w:after="0" w:line="240" w:lineRule="auto"/>
        <w:jc w:val="both"/>
        <w:rPr>
          <w:rFonts w:cstheme="minorHAnsi"/>
        </w:rPr>
      </w:pPr>
      <w:r w:rsidRPr="009856DE">
        <w:rPr>
          <w:rFonts w:cstheme="minorHAnsi"/>
          <w:i/>
        </w:rPr>
        <w:t>Address</w:t>
      </w:r>
      <w:r w:rsidRPr="003B65C0">
        <w:rPr>
          <w:rFonts w:cstheme="minorHAnsi"/>
        </w:rPr>
        <w:t xml:space="preserve">: </w:t>
      </w:r>
      <w:r w:rsidR="002C4FE8" w:rsidRPr="003B65C0">
        <w:rPr>
          <w:rFonts w:cstheme="minorHAnsi"/>
        </w:rPr>
        <w:t>Department of Zoology, University of Cambridge, David</w:t>
      </w:r>
      <w:r w:rsidR="002C4FE8">
        <w:rPr>
          <w:rFonts w:cstheme="minorHAnsi"/>
        </w:rPr>
        <w:t xml:space="preserve"> </w:t>
      </w:r>
      <w:r w:rsidR="002C4FE8" w:rsidRPr="003B65C0">
        <w:rPr>
          <w:rFonts w:cstheme="minorHAnsi"/>
        </w:rPr>
        <w:t>Attenborough Building, Pembroke Street, Cambridge CB2 3QZ, UK.</w:t>
      </w:r>
    </w:p>
    <w:p w14:paraId="40D51518" w14:textId="4F5F4733" w:rsidR="003B65C0" w:rsidRDefault="003B65C0" w:rsidP="003B65C0">
      <w:pPr>
        <w:spacing w:afterLines="120" w:after="288"/>
        <w:ind w:left="709" w:hanging="709"/>
        <w:jc w:val="both"/>
        <w:rPr>
          <w:rFonts w:cstheme="minorHAnsi"/>
        </w:rPr>
      </w:pPr>
      <w:proofErr w:type="gramStart"/>
      <w:r w:rsidRPr="003B65C0">
        <w:rPr>
          <w:rFonts w:cstheme="minorHAnsi"/>
        </w:rPr>
        <w:t>e-mail</w:t>
      </w:r>
      <w:proofErr w:type="gramEnd"/>
      <w:r w:rsidRPr="003B65C0">
        <w:rPr>
          <w:rFonts w:cstheme="minorHAnsi"/>
        </w:rPr>
        <w:t xml:space="preserve">: </w:t>
      </w:r>
      <w:hyperlink r:id="rId31" w:history="1">
        <w:r w:rsidR="009856DE" w:rsidRPr="00407684">
          <w:rPr>
            <w:rStyle w:val="Hyperlink"/>
            <w:rFonts w:cstheme="minorHAnsi"/>
          </w:rPr>
          <w:t>pain.debbie@gmail.com</w:t>
        </w:r>
      </w:hyperlink>
      <w:r w:rsidR="002C4FE8">
        <w:rPr>
          <w:rStyle w:val="Hyperlink"/>
          <w:rFonts w:cstheme="minorHAnsi"/>
        </w:rPr>
        <w:t xml:space="preserve"> </w:t>
      </w:r>
    </w:p>
    <w:p w14:paraId="399BD8A3" w14:textId="04208828" w:rsidR="009856DE" w:rsidRPr="009856DE" w:rsidRDefault="009856DE" w:rsidP="009856DE">
      <w:pPr>
        <w:autoSpaceDE w:val="0"/>
        <w:autoSpaceDN w:val="0"/>
        <w:adjustRightInd w:val="0"/>
        <w:spacing w:after="0" w:line="240" w:lineRule="auto"/>
        <w:rPr>
          <w:rFonts w:cstheme="minorHAnsi"/>
        </w:rPr>
      </w:pPr>
      <w:r w:rsidRPr="009856DE">
        <w:rPr>
          <w:rFonts w:cstheme="minorHAnsi"/>
          <w:b/>
        </w:rPr>
        <w:t xml:space="preserve">Niels </w:t>
      </w:r>
      <w:proofErr w:type="spellStart"/>
      <w:r w:rsidRPr="009856DE">
        <w:rPr>
          <w:rFonts w:cstheme="minorHAnsi"/>
          <w:b/>
        </w:rPr>
        <w:t>Kanstrup</w:t>
      </w:r>
      <w:proofErr w:type="spellEnd"/>
      <w:r w:rsidRPr="009856DE">
        <w:rPr>
          <w:rFonts w:cstheme="minorHAnsi"/>
        </w:rPr>
        <w:t xml:space="preserve"> is a biologist, scientist and hunter</w:t>
      </w:r>
      <w:r w:rsidR="00A533BD">
        <w:rPr>
          <w:rFonts w:cstheme="minorHAnsi"/>
        </w:rPr>
        <w:t>,</w:t>
      </w:r>
      <w:r w:rsidRPr="009856DE">
        <w:rPr>
          <w:rFonts w:cstheme="minorHAnsi"/>
        </w:rPr>
        <w:t xml:space="preserve"> </w:t>
      </w:r>
      <w:r w:rsidR="00A533BD">
        <w:rPr>
          <w:rFonts w:cstheme="minorHAnsi"/>
        </w:rPr>
        <w:t xml:space="preserve">and </w:t>
      </w:r>
      <w:r w:rsidRPr="009856DE">
        <w:rPr>
          <w:rFonts w:cstheme="minorHAnsi"/>
        </w:rPr>
        <w:t>is an adjunct senior</w:t>
      </w:r>
      <w:r>
        <w:rPr>
          <w:rFonts w:cstheme="minorHAnsi"/>
        </w:rPr>
        <w:t xml:space="preserve"> </w:t>
      </w:r>
      <w:r w:rsidRPr="009856DE">
        <w:rPr>
          <w:rFonts w:cstheme="minorHAnsi"/>
        </w:rPr>
        <w:t>scientist at Aarhus University, Department of Bioscience. He has</w:t>
      </w:r>
      <w:r w:rsidR="00C43526">
        <w:rPr>
          <w:rFonts w:cstheme="minorHAnsi"/>
        </w:rPr>
        <w:t xml:space="preserve"> </w:t>
      </w:r>
      <w:r w:rsidRPr="009856DE">
        <w:rPr>
          <w:rFonts w:cstheme="minorHAnsi"/>
        </w:rPr>
        <w:t>worked with the Danish Hunters’ Association, been the President of</w:t>
      </w:r>
      <w:r>
        <w:rPr>
          <w:rFonts w:cstheme="minorHAnsi"/>
        </w:rPr>
        <w:t xml:space="preserve"> </w:t>
      </w:r>
      <w:r w:rsidRPr="009856DE">
        <w:rPr>
          <w:rFonts w:cstheme="minorHAnsi"/>
        </w:rPr>
        <w:t>the CIC Migratory Bird Commission and is a member of the AEWA</w:t>
      </w:r>
      <w:r>
        <w:rPr>
          <w:rFonts w:cstheme="minorHAnsi"/>
        </w:rPr>
        <w:t xml:space="preserve"> </w:t>
      </w:r>
      <w:r w:rsidRPr="009856DE">
        <w:rPr>
          <w:rFonts w:cstheme="minorHAnsi"/>
        </w:rPr>
        <w:t>Technical Committee. Throughout his career, he has focused on the</w:t>
      </w:r>
      <w:r>
        <w:rPr>
          <w:rFonts w:cstheme="minorHAnsi"/>
        </w:rPr>
        <w:t xml:space="preserve"> </w:t>
      </w:r>
      <w:r w:rsidRPr="009856DE">
        <w:rPr>
          <w:rFonts w:cstheme="minorHAnsi"/>
        </w:rPr>
        <w:t>sustainability of hunting, particularly the issue of lead in hunting</w:t>
      </w:r>
      <w:r>
        <w:rPr>
          <w:rFonts w:cstheme="minorHAnsi"/>
        </w:rPr>
        <w:t xml:space="preserve"> </w:t>
      </w:r>
      <w:r w:rsidRPr="009856DE">
        <w:rPr>
          <w:rFonts w:cstheme="minorHAnsi"/>
        </w:rPr>
        <w:t>ammunition.</w:t>
      </w:r>
    </w:p>
    <w:p w14:paraId="737F3C2B" w14:textId="0F76B937" w:rsidR="009856DE" w:rsidRPr="009856DE" w:rsidRDefault="009856DE" w:rsidP="009856DE">
      <w:pPr>
        <w:autoSpaceDE w:val="0"/>
        <w:autoSpaceDN w:val="0"/>
        <w:adjustRightInd w:val="0"/>
        <w:spacing w:after="0" w:line="240" w:lineRule="auto"/>
        <w:rPr>
          <w:rFonts w:cstheme="minorHAnsi"/>
        </w:rPr>
      </w:pPr>
      <w:r w:rsidRPr="009856DE">
        <w:rPr>
          <w:rFonts w:cstheme="minorHAnsi"/>
          <w:i/>
        </w:rPr>
        <w:t>Address</w:t>
      </w:r>
      <w:r w:rsidRPr="009856DE">
        <w:rPr>
          <w:rFonts w:cstheme="minorHAnsi"/>
        </w:rPr>
        <w:t xml:space="preserve">: Department of Bioscience, Aarhus University, </w:t>
      </w:r>
      <w:proofErr w:type="spellStart"/>
      <w:r w:rsidRPr="009856DE">
        <w:rPr>
          <w:rFonts w:cstheme="minorHAnsi"/>
        </w:rPr>
        <w:t>Gren</w:t>
      </w:r>
      <w:r w:rsidR="00C43526">
        <w:rPr>
          <w:rFonts w:ascii="Sitka Text" w:hAnsi="Sitka Text" w:cstheme="minorHAnsi"/>
        </w:rPr>
        <w:t>å</w:t>
      </w:r>
      <w:r w:rsidRPr="009856DE">
        <w:rPr>
          <w:rFonts w:cstheme="minorHAnsi"/>
        </w:rPr>
        <w:t>vej</w:t>
      </w:r>
      <w:proofErr w:type="spellEnd"/>
      <w:r w:rsidRPr="009856DE">
        <w:rPr>
          <w:rFonts w:cstheme="minorHAnsi"/>
        </w:rPr>
        <w:t xml:space="preserve"> 14,</w:t>
      </w:r>
      <w:r>
        <w:rPr>
          <w:rFonts w:cstheme="minorHAnsi"/>
        </w:rPr>
        <w:t xml:space="preserve"> </w:t>
      </w:r>
      <w:r w:rsidRPr="009856DE">
        <w:rPr>
          <w:rFonts w:cstheme="minorHAnsi"/>
        </w:rPr>
        <w:t xml:space="preserve">8410 </w:t>
      </w:r>
      <w:proofErr w:type="spellStart"/>
      <w:r w:rsidRPr="009856DE">
        <w:rPr>
          <w:rFonts w:cstheme="minorHAnsi"/>
        </w:rPr>
        <w:t>Rønde</w:t>
      </w:r>
      <w:proofErr w:type="spellEnd"/>
      <w:r w:rsidRPr="009856DE">
        <w:rPr>
          <w:rFonts w:cstheme="minorHAnsi"/>
        </w:rPr>
        <w:t>, Denmark.</w:t>
      </w:r>
    </w:p>
    <w:p w14:paraId="48C406A9" w14:textId="3EF50F07" w:rsidR="009856DE" w:rsidRDefault="009856DE" w:rsidP="009856DE">
      <w:pPr>
        <w:spacing w:afterLines="120" w:after="288"/>
        <w:ind w:left="709" w:hanging="709"/>
        <w:jc w:val="both"/>
        <w:rPr>
          <w:rFonts w:cstheme="minorHAnsi"/>
        </w:rPr>
      </w:pPr>
      <w:proofErr w:type="gramStart"/>
      <w:r w:rsidRPr="009856DE">
        <w:rPr>
          <w:rFonts w:cstheme="minorHAnsi"/>
        </w:rPr>
        <w:t>e-mail</w:t>
      </w:r>
      <w:proofErr w:type="gramEnd"/>
      <w:r w:rsidRPr="009856DE">
        <w:rPr>
          <w:rFonts w:cstheme="minorHAnsi"/>
        </w:rPr>
        <w:t xml:space="preserve">: </w:t>
      </w:r>
      <w:hyperlink r:id="rId32" w:history="1">
        <w:r w:rsidR="00786D9A" w:rsidRPr="00407684">
          <w:rPr>
            <w:rStyle w:val="Hyperlink"/>
            <w:rFonts w:cstheme="minorHAnsi"/>
          </w:rPr>
          <w:t>nk@bios.au.dk</w:t>
        </w:r>
      </w:hyperlink>
    </w:p>
    <w:p w14:paraId="25E7675E" w14:textId="28603FDB" w:rsidR="00786D9A" w:rsidRPr="00786D9A" w:rsidRDefault="00786D9A" w:rsidP="00786D9A">
      <w:pPr>
        <w:autoSpaceDE w:val="0"/>
        <w:autoSpaceDN w:val="0"/>
        <w:adjustRightInd w:val="0"/>
        <w:spacing w:after="0" w:line="240" w:lineRule="auto"/>
        <w:rPr>
          <w:rFonts w:cstheme="minorHAnsi"/>
        </w:rPr>
      </w:pPr>
      <w:r w:rsidRPr="00786D9A">
        <w:rPr>
          <w:rFonts w:cstheme="minorHAnsi"/>
          <w:b/>
        </w:rPr>
        <w:t>Rhys E. Green</w:t>
      </w:r>
      <w:r w:rsidRPr="00786D9A">
        <w:rPr>
          <w:rFonts w:cstheme="minorHAnsi"/>
        </w:rPr>
        <w:t xml:space="preserve"> is an Honorary Professor of Conservation Science in</w:t>
      </w:r>
      <w:r>
        <w:rPr>
          <w:rFonts w:cstheme="minorHAnsi"/>
        </w:rPr>
        <w:t xml:space="preserve"> </w:t>
      </w:r>
      <w:r w:rsidRPr="00786D9A">
        <w:rPr>
          <w:rFonts w:cstheme="minorHAnsi"/>
        </w:rPr>
        <w:t>the Department of Zoology at the University of Cambridge. His</w:t>
      </w:r>
      <w:r>
        <w:rPr>
          <w:rFonts w:cstheme="minorHAnsi"/>
        </w:rPr>
        <w:t xml:space="preserve"> </w:t>
      </w:r>
      <w:r w:rsidRPr="00786D9A">
        <w:rPr>
          <w:rFonts w:cstheme="minorHAnsi"/>
        </w:rPr>
        <w:t>research interests include the effects of human activities on population</w:t>
      </w:r>
      <w:r>
        <w:rPr>
          <w:rFonts w:cstheme="minorHAnsi"/>
        </w:rPr>
        <w:t xml:space="preserve"> </w:t>
      </w:r>
      <w:r w:rsidRPr="00786D9A">
        <w:rPr>
          <w:rFonts w:cstheme="minorHAnsi"/>
        </w:rPr>
        <w:t>size and demographic rates of wild species. He uses statistical</w:t>
      </w:r>
      <w:r>
        <w:rPr>
          <w:rFonts w:cstheme="minorHAnsi"/>
        </w:rPr>
        <w:t xml:space="preserve"> </w:t>
      </w:r>
      <w:r w:rsidRPr="00786D9A">
        <w:rPr>
          <w:rFonts w:cstheme="minorHAnsi"/>
        </w:rPr>
        <w:t>and simulation models fitted to data on these effects to devise practical</w:t>
      </w:r>
      <w:r>
        <w:rPr>
          <w:rFonts w:cstheme="minorHAnsi"/>
        </w:rPr>
        <w:t xml:space="preserve"> </w:t>
      </w:r>
      <w:r w:rsidRPr="00786D9A">
        <w:rPr>
          <w:rFonts w:cstheme="minorHAnsi"/>
        </w:rPr>
        <w:t>interventions that land managers can use to reduce negative</w:t>
      </w:r>
      <w:r>
        <w:rPr>
          <w:rFonts w:cstheme="minorHAnsi"/>
        </w:rPr>
        <w:t xml:space="preserve"> </w:t>
      </w:r>
      <w:r w:rsidRPr="00786D9A">
        <w:rPr>
          <w:rFonts w:cstheme="minorHAnsi"/>
        </w:rPr>
        <w:t>effects on wild species so as to improve their conservation status.</w:t>
      </w:r>
    </w:p>
    <w:p w14:paraId="63E607F6" w14:textId="10DA33B1" w:rsidR="00786D9A" w:rsidRPr="00786D9A" w:rsidRDefault="00786D9A" w:rsidP="00786D9A">
      <w:pPr>
        <w:autoSpaceDE w:val="0"/>
        <w:autoSpaceDN w:val="0"/>
        <w:adjustRightInd w:val="0"/>
        <w:spacing w:after="0" w:line="240" w:lineRule="auto"/>
        <w:rPr>
          <w:rFonts w:cstheme="minorHAnsi"/>
        </w:rPr>
      </w:pPr>
      <w:r w:rsidRPr="00786D9A">
        <w:rPr>
          <w:rFonts w:cstheme="minorHAnsi"/>
          <w:i/>
        </w:rPr>
        <w:t>Address</w:t>
      </w:r>
      <w:r w:rsidRPr="00786D9A">
        <w:rPr>
          <w:rFonts w:cstheme="minorHAnsi"/>
        </w:rPr>
        <w:t>: Department of Zoology, University of Cambridge, David</w:t>
      </w:r>
      <w:r w:rsidR="0083033F">
        <w:rPr>
          <w:rFonts w:cstheme="minorHAnsi"/>
        </w:rPr>
        <w:t xml:space="preserve"> </w:t>
      </w:r>
      <w:r w:rsidRPr="00786D9A">
        <w:rPr>
          <w:rFonts w:cstheme="minorHAnsi"/>
        </w:rPr>
        <w:t>Attenborough Building, Pembroke Street, Cambridge CB2 3QZ, UK.</w:t>
      </w:r>
    </w:p>
    <w:p w14:paraId="7E6C9F99" w14:textId="0ACC64D4" w:rsidR="00786D9A" w:rsidRPr="00786D9A" w:rsidRDefault="00786D9A" w:rsidP="00786D9A">
      <w:pPr>
        <w:spacing w:afterLines="120" w:after="288"/>
        <w:ind w:left="709" w:hanging="709"/>
        <w:jc w:val="both"/>
        <w:rPr>
          <w:rFonts w:eastAsia="Calibri" w:cstheme="minorHAnsi"/>
          <w:b/>
          <w:lang w:val="en-GB"/>
        </w:rPr>
      </w:pPr>
      <w:proofErr w:type="gramStart"/>
      <w:r w:rsidRPr="00786D9A">
        <w:rPr>
          <w:rFonts w:cstheme="minorHAnsi"/>
        </w:rPr>
        <w:lastRenderedPageBreak/>
        <w:t>e-mail</w:t>
      </w:r>
      <w:proofErr w:type="gramEnd"/>
      <w:r w:rsidRPr="00786D9A">
        <w:rPr>
          <w:rFonts w:cstheme="minorHAnsi"/>
        </w:rPr>
        <w:t>: reg29@cam.ac.uk</w:t>
      </w:r>
    </w:p>
    <w:p w14:paraId="0E51E7CC" w14:textId="78C06F2D" w:rsidR="003F31A6" w:rsidRDefault="003F31A6" w:rsidP="00655B41">
      <w:pPr>
        <w:rPr>
          <w:rFonts w:ascii="Times New Roman" w:hAnsi="Times New Roman" w:cs="Times New Roman"/>
          <w:sz w:val="24"/>
          <w:szCs w:val="24"/>
        </w:rPr>
      </w:pPr>
      <w:r>
        <w:rPr>
          <w:rFonts w:ascii="Times New Roman" w:hAnsi="Times New Roman" w:cs="Times New Roman"/>
          <w:sz w:val="24"/>
          <w:szCs w:val="24"/>
        </w:rPr>
        <w:br w:type="page"/>
      </w:r>
    </w:p>
    <w:p w14:paraId="666D61DA" w14:textId="2D75D540" w:rsidR="00E501EA" w:rsidRPr="00C46BBE" w:rsidRDefault="006B1E91" w:rsidP="00275E0A">
      <w:pPr>
        <w:rPr>
          <w:rFonts w:cstheme="minorHAnsi"/>
          <w:sz w:val="24"/>
          <w:szCs w:val="24"/>
        </w:rPr>
      </w:pPr>
      <w:proofErr w:type="gramStart"/>
      <w:r w:rsidRPr="00C46BBE">
        <w:rPr>
          <w:rFonts w:cstheme="minorHAnsi"/>
          <w:sz w:val="24"/>
          <w:szCs w:val="24"/>
        </w:rPr>
        <w:lastRenderedPageBreak/>
        <w:t>Table 1.</w:t>
      </w:r>
      <w:proofErr w:type="gramEnd"/>
      <w:r w:rsidRPr="00C46BBE">
        <w:rPr>
          <w:rFonts w:cstheme="minorHAnsi"/>
          <w:sz w:val="24"/>
          <w:szCs w:val="24"/>
        </w:rPr>
        <w:t xml:space="preserve"> Annual numbers of wild </w:t>
      </w:r>
      <w:r w:rsidR="005A29D8">
        <w:rPr>
          <w:rFonts w:cstheme="minorHAnsi"/>
          <w:sz w:val="24"/>
          <w:szCs w:val="24"/>
        </w:rPr>
        <w:t>mammals</w:t>
      </w:r>
      <w:r w:rsidR="005A29D8" w:rsidRPr="00C46BBE">
        <w:rPr>
          <w:rFonts w:cstheme="minorHAnsi"/>
          <w:sz w:val="24"/>
          <w:szCs w:val="24"/>
        </w:rPr>
        <w:t xml:space="preserve"> </w:t>
      </w:r>
      <w:r w:rsidR="00995886">
        <w:rPr>
          <w:rFonts w:cstheme="minorHAnsi"/>
          <w:sz w:val="24"/>
          <w:szCs w:val="24"/>
        </w:rPr>
        <w:t>shot</w:t>
      </w:r>
      <w:r w:rsidRPr="00C46BBE">
        <w:rPr>
          <w:rFonts w:cstheme="minorHAnsi"/>
          <w:sz w:val="24"/>
          <w:szCs w:val="24"/>
        </w:rPr>
        <w:t xml:space="preserve"> </w:t>
      </w:r>
      <w:r w:rsidR="007C2C2D">
        <w:rPr>
          <w:rFonts w:cstheme="minorHAnsi"/>
          <w:sz w:val="24"/>
          <w:szCs w:val="24"/>
        </w:rPr>
        <w:t>in 13 EU countries</w:t>
      </w:r>
      <w:r w:rsidR="00C72F13" w:rsidRPr="00C72F13">
        <w:rPr>
          <w:rFonts w:cstheme="minorHAnsi"/>
          <w:sz w:val="24"/>
          <w:szCs w:val="24"/>
          <w:vertAlign w:val="superscript"/>
        </w:rPr>
        <w:t>3</w:t>
      </w:r>
      <w:proofErr w:type="gramStart"/>
      <w:r w:rsidR="00C72F13" w:rsidRPr="00C72F13">
        <w:rPr>
          <w:rFonts w:cstheme="minorHAnsi"/>
          <w:sz w:val="24"/>
          <w:szCs w:val="24"/>
          <w:vertAlign w:val="superscript"/>
        </w:rPr>
        <w:t>,4</w:t>
      </w:r>
      <w:proofErr w:type="gramEnd"/>
      <w:r w:rsidR="00C72F13">
        <w:rPr>
          <w:rFonts w:cstheme="minorHAnsi"/>
          <w:sz w:val="24"/>
          <w:szCs w:val="24"/>
        </w:rPr>
        <w:t xml:space="preserve"> </w:t>
      </w:r>
      <w:r w:rsidRPr="00C46BBE">
        <w:rPr>
          <w:rFonts w:cstheme="minorHAnsi"/>
          <w:sz w:val="24"/>
          <w:szCs w:val="24"/>
        </w:rPr>
        <w:t xml:space="preserve">and tonnage of game produced. Data are taken </w:t>
      </w:r>
      <w:r w:rsidRPr="00A14C8F">
        <w:rPr>
          <w:rFonts w:cstheme="minorHAnsi"/>
          <w:sz w:val="24"/>
          <w:szCs w:val="24"/>
        </w:rPr>
        <w:t>from FAO (2018)</w:t>
      </w:r>
      <w:r w:rsidR="008D418B" w:rsidRPr="00A14C8F">
        <w:rPr>
          <w:rFonts w:cstheme="minorHAnsi"/>
          <w:sz w:val="24"/>
          <w:szCs w:val="24"/>
        </w:rPr>
        <w:t xml:space="preserve">, and represent the most important </w:t>
      </w:r>
      <w:r w:rsidR="008E5EF9" w:rsidRPr="00A14C8F">
        <w:rPr>
          <w:rFonts w:cstheme="minorHAnsi"/>
          <w:sz w:val="24"/>
          <w:szCs w:val="24"/>
        </w:rPr>
        <w:t xml:space="preserve">game </w:t>
      </w:r>
      <w:r w:rsidR="008D418B" w:rsidRPr="00A14C8F">
        <w:rPr>
          <w:rFonts w:cstheme="minorHAnsi"/>
          <w:sz w:val="24"/>
          <w:szCs w:val="24"/>
        </w:rPr>
        <w:t>species hunted</w:t>
      </w:r>
      <w:r w:rsidRPr="00A14C8F">
        <w:rPr>
          <w:rFonts w:cstheme="minorHAnsi"/>
          <w:sz w:val="24"/>
          <w:szCs w:val="24"/>
        </w:rPr>
        <w:t>.</w:t>
      </w:r>
      <w:r w:rsidR="008D418B" w:rsidRPr="00C46BBE">
        <w:rPr>
          <w:rFonts w:cstheme="minorHAnsi"/>
          <w:sz w:val="24"/>
          <w:szCs w:val="24"/>
        </w:rPr>
        <w:t xml:space="preserve"> </w:t>
      </w:r>
    </w:p>
    <w:tbl>
      <w:tblPr>
        <w:tblStyle w:val="TableGrid"/>
        <w:tblW w:w="0" w:type="auto"/>
        <w:tblLook w:val="04A0" w:firstRow="1" w:lastRow="0" w:firstColumn="1" w:lastColumn="0" w:noHBand="0" w:noVBand="1"/>
      </w:tblPr>
      <w:tblGrid>
        <w:gridCol w:w="3120"/>
        <w:gridCol w:w="3117"/>
        <w:gridCol w:w="3113"/>
      </w:tblGrid>
      <w:tr w:rsidR="006B1E91" w:rsidRPr="00C46BBE" w14:paraId="7E5C213D" w14:textId="77777777" w:rsidTr="00C72F13">
        <w:trPr>
          <w:trHeight w:val="390"/>
        </w:trPr>
        <w:tc>
          <w:tcPr>
            <w:tcW w:w="3120" w:type="dxa"/>
          </w:tcPr>
          <w:p w14:paraId="0D4FC93B" w14:textId="77777777" w:rsidR="006B1E91" w:rsidRPr="00C46BBE" w:rsidRDefault="006B1E91" w:rsidP="006B1E91">
            <w:pPr>
              <w:jc w:val="center"/>
              <w:rPr>
                <w:rFonts w:cstheme="minorHAnsi"/>
                <w:b/>
                <w:sz w:val="24"/>
                <w:szCs w:val="24"/>
              </w:rPr>
            </w:pPr>
            <w:r w:rsidRPr="00C46BBE">
              <w:rPr>
                <w:rFonts w:cstheme="minorHAnsi"/>
                <w:b/>
                <w:sz w:val="24"/>
                <w:szCs w:val="24"/>
              </w:rPr>
              <w:t>Species</w:t>
            </w:r>
          </w:p>
        </w:tc>
        <w:tc>
          <w:tcPr>
            <w:tcW w:w="3117" w:type="dxa"/>
          </w:tcPr>
          <w:p w14:paraId="09B5B59A" w14:textId="77777777" w:rsidR="00C72F13" w:rsidRDefault="006B1E91" w:rsidP="00C72F13">
            <w:pPr>
              <w:jc w:val="center"/>
              <w:rPr>
                <w:rFonts w:cstheme="minorHAnsi"/>
                <w:b/>
                <w:sz w:val="24"/>
                <w:szCs w:val="24"/>
              </w:rPr>
            </w:pPr>
            <w:r w:rsidRPr="00C46BBE">
              <w:rPr>
                <w:rFonts w:cstheme="minorHAnsi"/>
                <w:b/>
                <w:sz w:val="24"/>
                <w:szCs w:val="24"/>
              </w:rPr>
              <w:t>Annual kill</w:t>
            </w:r>
            <w:r w:rsidR="008E5EF9" w:rsidRPr="00C46BBE">
              <w:rPr>
                <w:rFonts w:cstheme="minorHAnsi"/>
                <w:b/>
                <w:sz w:val="24"/>
                <w:szCs w:val="24"/>
              </w:rPr>
              <w:t xml:space="preserve"> </w:t>
            </w:r>
          </w:p>
          <w:p w14:paraId="48E79887" w14:textId="1B04868D" w:rsidR="006B1E91" w:rsidRPr="00C46BBE" w:rsidRDefault="00D15790" w:rsidP="00C72F13">
            <w:pPr>
              <w:jc w:val="center"/>
              <w:rPr>
                <w:rFonts w:cstheme="minorHAnsi"/>
                <w:b/>
                <w:sz w:val="24"/>
                <w:szCs w:val="24"/>
              </w:rPr>
            </w:pPr>
            <w:r>
              <w:rPr>
                <w:rFonts w:cstheme="minorHAnsi"/>
                <w:b/>
                <w:sz w:val="24"/>
                <w:szCs w:val="24"/>
              </w:rPr>
              <w:t>(number of countries that reported</w:t>
            </w:r>
            <w:r w:rsidR="008E0AC5">
              <w:rPr>
                <w:rFonts w:cstheme="minorHAnsi"/>
                <w:b/>
                <w:sz w:val="24"/>
                <w:szCs w:val="24"/>
              </w:rPr>
              <w:t>)</w:t>
            </w:r>
          </w:p>
        </w:tc>
        <w:tc>
          <w:tcPr>
            <w:tcW w:w="3113" w:type="dxa"/>
          </w:tcPr>
          <w:p w14:paraId="0C890D43" w14:textId="77777777" w:rsidR="00D15790" w:rsidRDefault="006B1E91" w:rsidP="006B1E91">
            <w:pPr>
              <w:jc w:val="center"/>
              <w:rPr>
                <w:rFonts w:cstheme="minorHAnsi"/>
                <w:b/>
                <w:sz w:val="24"/>
                <w:szCs w:val="24"/>
              </w:rPr>
            </w:pPr>
            <w:r w:rsidRPr="00C46BBE">
              <w:rPr>
                <w:rFonts w:cstheme="minorHAnsi"/>
                <w:b/>
                <w:sz w:val="24"/>
                <w:szCs w:val="24"/>
              </w:rPr>
              <w:t>Annual tonnage</w:t>
            </w:r>
            <w:r w:rsidR="00D15790">
              <w:rPr>
                <w:rFonts w:cstheme="minorHAnsi"/>
                <w:b/>
                <w:sz w:val="24"/>
                <w:szCs w:val="24"/>
              </w:rPr>
              <w:t xml:space="preserve"> </w:t>
            </w:r>
          </w:p>
          <w:p w14:paraId="77D34071" w14:textId="4295D914" w:rsidR="006B1E91" w:rsidRPr="00C46BBE" w:rsidRDefault="00D15790" w:rsidP="00C72F13">
            <w:pPr>
              <w:jc w:val="center"/>
              <w:rPr>
                <w:rFonts w:cstheme="minorHAnsi"/>
                <w:b/>
                <w:sz w:val="24"/>
                <w:szCs w:val="24"/>
              </w:rPr>
            </w:pPr>
            <w:r>
              <w:rPr>
                <w:rFonts w:cstheme="minorHAnsi"/>
                <w:b/>
                <w:sz w:val="24"/>
                <w:szCs w:val="24"/>
              </w:rPr>
              <w:t>(assumed weight</w:t>
            </w:r>
            <w:r w:rsidR="00C72F13">
              <w:rPr>
                <w:rFonts w:cstheme="minorHAnsi"/>
                <w:b/>
                <w:sz w:val="24"/>
                <w:szCs w:val="24"/>
              </w:rPr>
              <w:t xml:space="preserve"> of individual animals</w:t>
            </w:r>
            <w:r>
              <w:rPr>
                <w:rFonts w:cstheme="minorHAnsi"/>
                <w:b/>
                <w:sz w:val="24"/>
                <w:szCs w:val="24"/>
              </w:rPr>
              <w:t xml:space="preserve"> in kg)</w:t>
            </w:r>
          </w:p>
        </w:tc>
      </w:tr>
      <w:tr w:rsidR="006B1E91" w:rsidRPr="00C46BBE" w14:paraId="180321A8" w14:textId="77777777" w:rsidTr="00C72F13">
        <w:trPr>
          <w:trHeight w:val="393"/>
        </w:trPr>
        <w:tc>
          <w:tcPr>
            <w:tcW w:w="3120" w:type="dxa"/>
          </w:tcPr>
          <w:p w14:paraId="2F741A78" w14:textId="77777777" w:rsidR="006B1E91" w:rsidRPr="00C46BBE" w:rsidRDefault="006B1E91" w:rsidP="006B1E91">
            <w:pPr>
              <w:jc w:val="center"/>
              <w:rPr>
                <w:rFonts w:cstheme="minorHAnsi"/>
                <w:b/>
                <w:sz w:val="24"/>
                <w:szCs w:val="24"/>
              </w:rPr>
            </w:pPr>
            <w:r w:rsidRPr="00C46BBE">
              <w:rPr>
                <w:rFonts w:cstheme="minorHAnsi"/>
                <w:b/>
                <w:sz w:val="24"/>
                <w:szCs w:val="24"/>
              </w:rPr>
              <w:t>Mammals</w:t>
            </w:r>
            <w:r w:rsidR="00807B7D" w:rsidRPr="00C46BBE">
              <w:rPr>
                <w:rFonts w:cstheme="minorHAnsi"/>
                <w:b/>
                <w:sz w:val="24"/>
                <w:szCs w:val="24"/>
              </w:rPr>
              <w:t>:</w:t>
            </w:r>
          </w:p>
        </w:tc>
        <w:tc>
          <w:tcPr>
            <w:tcW w:w="3117" w:type="dxa"/>
          </w:tcPr>
          <w:p w14:paraId="14284A6F" w14:textId="77777777" w:rsidR="006B1E91" w:rsidRPr="00C46BBE" w:rsidRDefault="006B1E91" w:rsidP="006B1E91">
            <w:pPr>
              <w:rPr>
                <w:rFonts w:cstheme="minorHAnsi"/>
                <w:sz w:val="24"/>
                <w:szCs w:val="24"/>
              </w:rPr>
            </w:pPr>
          </w:p>
        </w:tc>
        <w:tc>
          <w:tcPr>
            <w:tcW w:w="3113" w:type="dxa"/>
          </w:tcPr>
          <w:p w14:paraId="68BC39D2" w14:textId="77777777" w:rsidR="006B1E91" w:rsidRPr="00C46BBE" w:rsidRDefault="006B1E91" w:rsidP="006B1E91">
            <w:pPr>
              <w:rPr>
                <w:rFonts w:cstheme="minorHAnsi"/>
                <w:sz w:val="24"/>
                <w:szCs w:val="24"/>
              </w:rPr>
            </w:pPr>
          </w:p>
        </w:tc>
      </w:tr>
      <w:tr w:rsidR="006B1E91" w:rsidRPr="00C46BBE" w14:paraId="283C4F70" w14:textId="77777777" w:rsidTr="00C72F13">
        <w:tc>
          <w:tcPr>
            <w:tcW w:w="3120" w:type="dxa"/>
          </w:tcPr>
          <w:p w14:paraId="4B2EE0E1" w14:textId="77777777" w:rsidR="006B1E91" w:rsidRPr="00C46BBE" w:rsidRDefault="006B1E91" w:rsidP="006B1E91">
            <w:pPr>
              <w:jc w:val="center"/>
              <w:rPr>
                <w:rFonts w:cstheme="minorHAnsi"/>
                <w:sz w:val="24"/>
                <w:szCs w:val="24"/>
              </w:rPr>
            </w:pPr>
            <w:r w:rsidRPr="00C46BBE">
              <w:rPr>
                <w:rFonts w:cstheme="minorHAnsi"/>
                <w:sz w:val="24"/>
                <w:szCs w:val="24"/>
              </w:rPr>
              <w:t>Roe deer</w:t>
            </w:r>
          </w:p>
          <w:p w14:paraId="6075F014" w14:textId="77777777" w:rsidR="006B1E91" w:rsidRPr="00C46BBE" w:rsidRDefault="002843F9" w:rsidP="006B1E91">
            <w:pPr>
              <w:jc w:val="center"/>
              <w:rPr>
                <w:rFonts w:cstheme="minorHAnsi"/>
                <w:i/>
                <w:sz w:val="24"/>
                <w:szCs w:val="24"/>
              </w:rPr>
            </w:pPr>
            <w:proofErr w:type="spellStart"/>
            <w:r w:rsidRPr="00C46BBE">
              <w:rPr>
                <w:rFonts w:cstheme="minorHAnsi"/>
                <w:i/>
                <w:sz w:val="24"/>
                <w:szCs w:val="24"/>
              </w:rPr>
              <w:t>Capreolus</w:t>
            </w:r>
            <w:proofErr w:type="spellEnd"/>
            <w:r w:rsidR="006B1E91" w:rsidRPr="00C46BBE">
              <w:rPr>
                <w:rFonts w:cstheme="minorHAnsi"/>
                <w:i/>
                <w:sz w:val="24"/>
                <w:szCs w:val="24"/>
              </w:rPr>
              <w:t xml:space="preserve"> </w:t>
            </w:r>
            <w:proofErr w:type="spellStart"/>
            <w:r w:rsidRPr="00C46BBE">
              <w:rPr>
                <w:rFonts w:cstheme="minorHAnsi"/>
                <w:i/>
                <w:sz w:val="24"/>
                <w:szCs w:val="24"/>
              </w:rPr>
              <w:t>capreolus</w:t>
            </w:r>
            <w:proofErr w:type="spellEnd"/>
          </w:p>
        </w:tc>
        <w:tc>
          <w:tcPr>
            <w:tcW w:w="3117" w:type="dxa"/>
          </w:tcPr>
          <w:p w14:paraId="27880F07" w14:textId="17AA8C24" w:rsidR="006B1E91" w:rsidRPr="00C46BBE" w:rsidRDefault="008E0AC5" w:rsidP="00807B7D">
            <w:pPr>
              <w:jc w:val="center"/>
              <w:rPr>
                <w:rFonts w:cstheme="minorHAnsi"/>
                <w:sz w:val="24"/>
                <w:szCs w:val="24"/>
              </w:rPr>
            </w:pPr>
            <w:r>
              <w:rPr>
                <w:rFonts w:cstheme="minorHAnsi"/>
                <w:sz w:val="24"/>
                <w:szCs w:val="24"/>
              </w:rPr>
              <w:t>2,294,324 (13)</w:t>
            </w:r>
          </w:p>
        </w:tc>
        <w:tc>
          <w:tcPr>
            <w:tcW w:w="3113" w:type="dxa"/>
          </w:tcPr>
          <w:p w14:paraId="29B53844" w14:textId="04CF0E68" w:rsidR="006B1E91" w:rsidRPr="00C46BBE" w:rsidRDefault="00D15790" w:rsidP="00807B7D">
            <w:pPr>
              <w:jc w:val="center"/>
              <w:rPr>
                <w:rFonts w:cstheme="minorHAnsi"/>
                <w:sz w:val="24"/>
                <w:szCs w:val="24"/>
              </w:rPr>
            </w:pPr>
            <w:r>
              <w:rPr>
                <w:rFonts w:cstheme="minorHAnsi"/>
                <w:sz w:val="24"/>
                <w:szCs w:val="24"/>
              </w:rPr>
              <w:t>45,886 (20)</w:t>
            </w:r>
          </w:p>
        </w:tc>
      </w:tr>
      <w:tr w:rsidR="006B1E91" w:rsidRPr="00C46BBE" w14:paraId="1D3E9E8C" w14:textId="77777777" w:rsidTr="00C72F13">
        <w:tc>
          <w:tcPr>
            <w:tcW w:w="3120" w:type="dxa"/>
          </w:tcPr>
          <w:p w14:paraId="2CC04126" w14:textId="77777777" w:rsidR="006B1E91" w:rsidRPr="00C46BBE" w:rsidRDefault="006B1E91" w:rsidP="006B1E91">
            <w:pPr>
              <w:jc w:val="center"/>
              <w:rPr>
                <w:rFonts w:cstheme="minorHAnsi"/>
                <w:sz w:val="24"/>
                <w:szCs w:val="24"/>
              </w:rPr>
            </w:pPr>
            <w:r w:rsidRPr="00C46BBE">
              <w:rPr>
                <w:rFonts w:cstheme="minorHAnsi"/>
                <w:sz w:val="24"/>
                <w:szCs w:val="24"/>
              </w:rPr>
              <w:t>Red deer</w:t>
            </w:r>
          </w:p>
          <w:p w14:paraId="669010E4" w14:textId="77777777" w:rsidR="006B1E91" w:rsidRPr="00C46BBE" w:rsidRDefault="006B1E91" w:rsidP="006B1E91">
            <w:pPr>
              <w:jc w:val="center"/>
              <w:rPr>
                <w:rFonts w:cstheme="minorHAnsi"/>
                <w:i/>
                <w:sz w:val="24"/>
                <w:szCs w:val="24"/>
              </w:rPr>
            </w:pPr>
            <w:proofErr w:type="spellStart"/>
            <w:r w:rsidRPr="00C46BBE">
              <w:rPr>
                <w:rFonts w:cstheme="minorHAnsi"/>
                <w:i/>
                <w:sz w:val="24"/>
                <w:szCs w:val="24"/>
              </w:rPr>
              <w:t>Cervus</w:t>
            </w:r>
            <w:proofErr w:type="spellEnd"/>
            <w:r w:rsidRPr="00C46BBE">
              <w:rPr>
                <w:rFonts w:cstheme="minorHAnsi"/>
                <w:i/>
                <w:sz w:val="24"/>
                <w:szCs w:val="24"/>
              </w:rPr>
              <w:t xml:space="preserve"> </w:t>
            </w:r>
            <w:proofErr w:type="spellStart"/>
            <w:r w:rsidRPr="00C46BBE">
              <w:rPr>
                <w:rFonts w:cstheme="minorHAnsi"/>
                <w:i/>
                <w:sz w:val="24"/>
                <w:szCs w:val="24"/>
              </w:rPr>
              <w:t>elaphus</w:t>
            </w:r>
            <w:proofErr w:type="spellEnd"/>
          </w:p>
        </w:tc>
        <w:tc>
          <w:tcPr>
            <w:tcW w:w="3117" w:type="dxa"/>
          </w:tcPr>
          <w:p w14:paraId="3FE4DC9C" w14:textId="166870A5" w:rsidR="006B1E91" w:rsidRPr="00C46BBE" w:rsidRDefault="008E0AC5" w:rsidP="00807B7D">
            <w:pPr>
              <w:jc w:val="center"/>
              <w:rPr>
                <w:rFonts w:cstheme="minorHAnsi"/>
                <w:sz w:val="24"/>
                <w:szCs w:val="24"/>
              </w:rPr>
            </w:pPr>
            <w:r>
              <w:rPr>
                <w:rFonts w:cstheme="minorHAnsi"/>
                <w:sz w:val="24"/>
                <w:szCs w:val="24"/>
              </w:rPr>
              <w:t>480,464 (12)</w:t>
            </w:r>
          </w:p>
        </w:tc>
        <w:tc>
          <w:tcPr>
            <w:tcW w:w="3113" w:type="dxa"/>
          </w:tcPr>
          <w:p w14:paraId="49F02816" w14:textId="3FB61AA5" w:rsidR="006B1E91" w:rsidRPr="00C46BBE" w:rsidRDefault="00D15790" w:rsidP="00807B7D">
            <w:pPr>
              <w:jc w:val="center"/>
              <w:rPr>
                <w:rFonts w:cstheme="minorHAnsi"/>
                <w:sz w:val="24"/>
                <w:szCs w:val="24"/>
              </w:rPr>
            </w:pPr>
            <w:r>
              <w:rPr>
                <w:rFonts w:cstheme="minorHAnsi"/>
                <w:sz w:val="24"/>
                <w:szCs w:val="24"/>
              </w:rPr>
              <w:t>72,070 (150)</w:t>
            </w:r>
          </w:p>
        </w:tc>
      </w:tr>
      <w:tr w:rsidR="006B1E91" w:rsidRPr="00C46BBE" w14:paraId="0253FE4A" w14:textId="77777777" w:rsidTr="00C72F13">
        <w:tc>
          <w:tcPr>
            <w:tcW w:w="3120" w:type="dxa"/>
          </w:tcPr>
          <w:p w14:paraId="06553070" w14:textId="77777777" w:rsidR="006B1E91" w:rsidRPr="00C46BBE" w:rsidRDefault="006B1E91" w:rsidP="006B1E91">
            <w:pPr>
              <w:jc w:val="center"/>
              <w:rPr>
                <w:rFonts w:cstheme="minorHAnsi"/>
                <w:sz w:val="24"/>
                <w:szCs w:val="24"/>
              </w:rPr>
            </w:pPr>
            <w:r w:rsidRPr="00C46BBE">
              <w:rPr>
                <w:rFonts w:cstheme="minorHAnsi"/>
                <w:sz w:val="24"/>
                <w:szCs w:val="24"/>
              </w:rPr>
              <w:t>Fallow deer</w:t>
            </w:r>
          </w:p>
          <w:p w14:paraId="0D2FE86C" w14:textId="77777777" w:rsidR="006B1E91" w:rsidRPr="00C46BBE" w:rsidRDefault="006B1E91" w:rsidP="006B1E91">
            <w:pPr>
              <w:jc w:val="center"/>
              <w:rPr>
                <w:rFonts w:cstheme="minorHAnsi"/>
                <w:i/>
                <w:sz w:val="24"/>
                <w:szCs w:val="24"/>
              </w:rPr>
            </w:pPr>
            <w:proofErr w:type="spellStart"/>
            <w:r w:rsidRPr="00C46BBE">
              <w:rPr>
                <w:rFonts w:cstheme="minorHAnsi"/>
                <w:i/>
                <w:sz w:val="24"/>
                <w:szCs w:val="24"/>
              </w:rPr>
              <w:t>Dama</w:t>
            </w:r>
            <w:proofErr w:type="spellEnd"/>
            <w:r w:rsidRPr="00C46BBE">
              <w:rPr>
                <w:rFonts w:cstheme="minorHAnsi"/>
                <w:i/>
                <w:sz w:val="24"/>
                <w:szCs w:val="24"/>
              </w:rPr>
              <w:t xml:space="preserve"> </w:t>
            </w:r>
            <w:proofErr w:type="spellStart"/>
            <w:r w:rsidRPr="00C46BBE">
              <w:rPr>
                <w:rFonts w:cstheme="minorHAnsi"/>
                <w:i/>
                <w:sz w:val="24"/>
                <w:szCs w:val="24"/>
              </w:rPr>
              <w:t>dama</w:t>
            </w:r>
            <w:proofErr w:type="spellEnd"/>
          </w:p>
        </w:tc>
        <w:tc>
          <w:tcPr>
            <w:tcW w:w="3117" w:type="dxa"/>
          </w:tcPr>
          <w:p w14:paraId="01F41F66" w14:textId="48290854" w:rsidR="006B1E91" w:rsidRPr="00C46BBE" w:rsidRDefault="008E0AC5" w:rsidP="00807B7D">
            <w:pPr>
              <w:jc w:val="center"/>
              <w:rPr>
                <w:rFonts w:cstheme="minorHAnsi"/>
                <w:sz w:val="24"/>
                <w:szCs w:val="24"/>
              </w:rPr>
            </w:pPr>
            <w:r>
              <w:rPr>
                <w:rFonts w:cstheme="minorHAnsi"/>
                <w:sz w:val="24"/>
                <w:szCs w:val="24"/>
              </w:rPr>
              <w:t>156,032 (12)</w:t>
            </w:r>
          </w:p>
        </w:tc>
        <w:tc>
          <w:tcPr>
            <w:tcW w:w="3113" w:type="dxa"/>
          </w:tcPr>
          <w:p w14:paraId="0D654D52" w14:textId="693156EE" w:rsidR="006B1E91" w:rsidRPr="00C46BBE" w:rsidRDefault="00D15790" w:rsidP="00807B7D">
            <w:pPr>
              <w:jc w:val="center"/>
              <w:rPr>
                <w:rFonts w:cstheme="minorHAnsi"/>
                <w:sz w:val="24"/>
                <w:szCs w:val="24"/>
              </w:rPr>
            </w:pPr>
            <w:r>
              <w:rPr>
                <w:rFonts w:cstheme="minorHAnsi"/>
                <w:sz w:val="24"/>
                <w:szCs w:val="24"/>
              </w:rPr>
              <w:t>9,362 (60)</w:t>
            </w:r>
          </w:p>
        </w:tc>
      </w:tr>
      <w:tr w:rsidR="006B1E91" w:rsidRPr="00C46BBE" w14:paraId="483A1BA9" w14:textId="77777777" w:rsidTr="00C72F13">
        <w:tc>
          <w:tcPr>
            <w:tcW w:w="3120" w:type="dxa"/>
          </w:tcPr>
          <w:p w14:paraId="6B4F098A" w14:textId="77777777" w:rsidR="006B1E91" w:rsidRPr="00C46BBE" w:rsidRDefault="006B1E91" w:rsidP="006B1E91">
            <w:pPr>
              <w:jc w:val="center"/>
              <w:rPr>
                <w:rFonts w:cstheme="minorHAnsi"/>
                <w:sz w:val="24"/>
                <w:szCs w:val="24"/>
              </w:rPr>
            </w:pPr>
            <w:r w:rsidRPr="00C46BBE">
              <w:rPr>
                <w:rFonts w:cstheme="minorHAnsi"/>
                <w:sz w:val="24"/>
                <w:szCs w:val="24"/>
              </w:rPr>
              <w:t>Wild boar</w:t>
            </w:r>
          </w:p>
          <w:p w14:paraId="522DD6DD" w14:textId="77777777" w:rsidR="006B1E91" w:rsidRPr="00C46BBE" w:rsidRDefault="006B1E91" w:rsidP="006B1E91">
            <w:pPr>
              <w:jc w:val="center"/>
              <w:rPr>
                <w:rFonts w:cstheme="minorHAnsi"/>
                <w:i/>
                <w:sz w:val="24"/>
                <w:szCs w:val="24"/>
              </w:rPr>
            </w:pPr>
            <w:r w:rsidRPr="00C46BBE">
              <w:rPr>
                <w:rFonts w:cstheme="minorHAnsi"/>
                <w:i/>
                <w:sz w:val="24"/>
                <w:szCs w:val="24"/>
              </w:rPr>
              <w:t xml:space="preserve">Sus </w:t>
            </w:r>
            <w:proofErr w:type="spellStart"/>
            <w:r w:rsidRPr="00C46BBE">
              <w:rPr>
                <w:rFonts w:cstheme="minorHAnsi"/>
                <w:i/>
                <w:sz w:val="24"/>
                <w:szCs w:val="24"/>
              </w:rPr>
              <w:t>scrofa</w:t>
            </w:r>
            <w:proofErr w:type="spellEnd"/>
          </w:p>
        </w:tc>
        <w:tc>
          <w:tcPr>
            <w:tcW w:w="3117" w:type="dxa"/>
          </w:tcPr>
          <w:p w14:paraId="4398C410" w14:textId="24E0CF31" w:rsidR="006B1E91" w:rsidRPr="00C46BBE" w:rsidRDefault="008E0AC5" w:rsidP="00807B7D">
            <w:pPr>
              <w:jc w:val="center"/>
              <w:rPr>
                <w:rFonts w:cstheme="minorHAnsi"/>
                <w:sz w:val="24"/>
                <w:szCs w:val="24"/>
              </w:rPr>
            </w:pPr>
            <w:r>
              <w:rPr>
                <w:rFonts w:cstheme="minorHAnsi"/>
                <w:sz w:val="24"/>
                <w:szCs w:val="24"/>
              </w:rPr>
              <w:t>2,218,687 (11)</w:t>
            </w:r>
          </w:p>
        </w:tc>
        <w:tc>
          <w:tcPr>
            <w:tcW w:w="3113" w:type="dxa"/>
          </w:tcPr>
          <w:p w14:paraId="56A6633E" w14:textId="5F793F66" w:rsidR="006B1E91" w:rsidRPr="00C46BBE" w:rsidRDefault="00D15790" w:rsidP="00807B7D">
            <w:pPr>
              <w:jc w:val="center"/>
              <w:rPr>
                <w:rFonts w:cstheme="minorHAnsi"/>
                <w:sz w:val="24"/>
                <w:szCs w:val="24"/>
              </w:rPr>
            </w:pPr>
            <w:r>
              <w:rPr>
                <w:rFonts w:cstheme="minorHAnsi"/>
                <w:sz w:val="24"/>
                <w:szCs w:val="24"/>
              </w:rPr>
              <w:t>155,308 (70)</w:t>
            </w:r>
          </w:p>
        </w:tc>
      </w:tr>
      <w:tr w:rsidR="006B1E91" w:rsidRPr="00C46BBE" w14:paraId="32AB9526" w14:textId="77777777" w:rsidTr="00C72F13">
        <w:tc>
          <w:tcPr>
            <w:tcW w:w="3120" w:type="dxa"/>
          </w:tcPr>
          <w:p w14:paraId="78440FF0" w14:textId="77777777" w:rsidR="006B1E91" w:rsidRPr="00C46BBE" w:rsidRDefault="006B1E91" w:rsidP="006B1E91">
            <w:pPr>
              <w:jc w:val="center"/>
              <w:rPr>
                <w:rFonts w:cstheme="minorHAnsi"/>
                <w:sz w:val="24"/>
                <w:szCs w:val="24"/>
              </w:rPr>
            </w:pPr>
            <w:r w:rsidRPr="00C46BBE">
              <w:rPr>
                <w:rFonts w:cstheme="minorHAnsi"/>
                <w:sz w:val="24"/>
                <w:szCs w:val="24"/>
              </w:rPr>
              <w:t>Brown hares</w:t>
            </w:r>
          </w:p>
          <w:p w14:paraId="66245974" w14:textId="49821986" w:rsidR="008E5EF9" w:rsidRPr="00C46BBE" w:rsidRDefault="006B1E91" w:rsidP="002C6F4F">
            <w:pPr>
              <w:jc w:val="center"/>
              <w:rPr>
                <w:rFonts w:cstheme="minorHAnsi"/>
                <w:i/>
                <w:sz w:val="24"/>
                <w:szCs w:val="24"/>
              </w:rPr>
            </w:pPr>
            <w:r w:rsidRPr="00C46BBE">
              <w:rPr>
                <w:rFonts w:cstheme="minorHAnsi"/>
                <w:i/>
                <w:sz w:val="24"/>
                <w:szCs w:val="24"/>
              </w:rPr>
              <w:t xml:space="preserve">Lepus </w:t>
            </w:r>
            <w:proofErr w:type="spellStart"/>
            <w:r w:rsidR="008E0AC5">
              <w:rPr>
                <w:rFonts w:cstheme="minorHAnsi"/>
                <w:i/>
                <w:sz w:val="24"/>
                <w:szCs w:val="24"/>
              </w:rPr>
              <w:t>europaeus</w:t>
            </w:r>
            <w:proofErr w:type="spellEnd"/>
          </w:p>
          <w:p w14:paraId="1B88AD4E" w14:textId="77777777" w:rsidR="002C6F4F" w:rsidRPr="00C46BBE" w:rsidRDefault="002C6F4F" w:rsidP="002C6F4F">
            <w:pPr>
              <w:jc w:val="center"/>
              <w:rPr>
                <w:rFonts w:cstheme="minorHAnsi"/>
                <w:i/>
                <w:sz w:val="24"/>
                <w:szCs w:val="24"/>
              </w:rPr>
            </w:pPr>
          </w:p>
        </w:tc>
        <w:tc>
          <w:tcPr>
            <w:tcW w:w="3117" w:type="dxa"/>
          </w:tcPr>
          <w:p w14:paraId="656D4DF8" w14:textId="1F1A11FB" w:rsidR="006B1E91" w:rsidRPr="00C46BBE" w:rsidRDefault="00D15790" w:rsidP="008E0AC5">
            <w:pPr>
              <w:jc w:val="center"/>
              <w:rPr>
                <w:rFonts w:cstheme="minorHAnsi"/>
                <w:sz w:val="24"/>
                <w:szCs w:val="24"/>
              </w:rPr>
            </w:pPr>
            <w:r>
              <w:rPr>
                <w:rFonts w:cstheme="minorHAnsi"/>
                <w:sz w:val="24"/>
                <w:szCs w:val="24"/>
              </w:rPr>
              <w:t>2,039,436 (11)</w:t>
            </w:r>
          </w:p>
        </w:tc>
        <w:tc>
          <w:tcPr>
            <w:tcW w:w="3113" w:type="dxa"/>
          </w:tcPr>
          <w:p w14:paraId="2D550B9F" w14:textId="46309E07" w:rsidR="006B1E91" w:rsidRPr="00C46BBE" w:rsidRDefault="00D15790" w:rsidP="00807B7D">
            <w:pPr>
              <w:jc w:val="center"/>
              <w:rPr>
                <w:rFonts w:cstheme="minorHAnsi"/>
                <w:sz w:val="24"/>
                <w:szCs w:val="24"/>
              </w:rPr>
            </w:pPr>
            <w:r>
              <w:rPr>
                <w:rFonts w:cstheme="minorHAnsi"/>
                <w:sz w:val="24"/>
                <w:szCs w:val="24"/>
              </w:rPr>
              <w:t>7,750 (3.8)</w:t>
            </w:r>
          </w:p>
        </w:tc>
      </w:tr>
      <w:tr w:rsidR="00D15790" w:rsidRPr="00C46BBE" w14:paraId="0B1DDB89" w14:textId="77777777" w:rsidTr="00C72F13">
        <w:tc>
          <w:tcPr>
            <w:tcW w:w="3120" w:type="dxa"/>
          </w:tcPr>
          <w:p w14:paraId="1697A561" w14:textId="77777777" w:rsidR="00D15790" w:rsidRDefault="00D15790" w:rsidP="006B1E91">
            <w:pPr>
              <w:jc w:val="center"/>
              <w:rPr>
                <w:rFonts w:cstheme="minorHAnsi"/>
                <w:sz w:val="24"/>
                <w:szCs w:val="24"/>
              </w:rPr>
            </w:pPr>
            <w:r>
              <w:rPr>
                <w:rFonts w:cstheme="minorHAnsi"/>
                <w:sz w:val="24"/>
                <w:szCs w:val="24"/>
              </w:rPr>
              <w:t>Rabbit</w:t>
            </w:r>
          </w:p>
          <w:p w14:paraId="137BC90D" w14:textId="52B03F9F" w:rsidR="00D15790" w:rsidRPr="00D15790" w:rsidRDefault="00D15790" w:rsidP="006B1E91">
            <w:pPr>
              <w:jc w:val="center"/>
              <w:rPr>
                <w:rFonts w:cstheme="minorHAnsi"/>
                <w:i/>
                <w:sz w:val="24"/>
                <w:szCs w:val="24"/>
              </w:rPr>
            </w:pPr>
            <w:r>
              <w:t xml:space="preserve"> </w:t>
            </w:r>
            <w:proofErr w:type="spellStart"/>
            <w:r w:rsidRPr="00D15790">
              <w:rPr>
                <w:rFonts w:cstheme="minorHAnsi"/>
                <w:i/>
                <w:sz w:val="24"/>
                <w:szCs w:val="24"/>
              </w:rPr>
              <w:t>Oryctolagus</w:t>
            </w:r>
            <w:proofErr w:type="spellEnd"/>
            <w:r w:rsidRPr="00D15790">
              <w:rPr>
                <w:rFonts w:cstheme="minorHAnsi"/>
                <w:i/>
                <w:sz w:val="24"/>
                <w:szCs w:val="24"/>
              </w:rPr>
              <w:t xml:space="preserve"> </w:t>
            </w:r>
            <w:proofErr w:type="spellStart"/>
            <w:r w:rsidRPr="00D15790">
              <w:rPr>
                <w:rFonts w:cstheme="minorHAnsi"/>
                <w:i/>
                <w:sz w:val="24"/>
                <w:szCs w:val="24"/>
              </w:rPr>
              <w:t>cuniculus</w:t>
            </w:r>
            <w:proofErr w:type="spellEnd"/>
          </w:p>
          <w:p w14:paraId="60A040D0" w14:textId="77777777" w:rsidR="00D15790" w:rsidRPr="00C46BBE" w:rsidRDefault="00D15790" w:rsidP="006B1E91">
            <w:pPr>
              <w:jc w:val="center"/>
              <w:rPr>
                <w:rFonts w:cstheme="minorHAnsi"/>
                <w:sz w:val="24"/>
                <w:szCs w:val="24"/>
              </w:rPr>
            </w:pPr>
          </w:p>
        </w:tc>
        <w:tc>
          <w:tcPr>
            <w:tcW w:w="3117" w:type="dxa"/>
          </w:tcPr>
          <w:p w14:paraId="7EE34F24" w14:textId="5212F27F" w:rsidR="00D15790" w:rsidRPr="00C46BBE" w:rsidRDefault="00D15790" w:rsidP="008E0AC5">
            <w:pPr>
              <w:jc w:val="center"/>
              <w:rPr>
                <w:rFonts w:cstheme="minorHAnsi"/>
                <w:sz w:val="24"/>
                <w:szCs w:val="24"/>
              </w:rPr>
            </w:pPr>
            <w:r>
              <w:rPr>
                <w:rFonts w:cstheme="minorHAnsi"/>
                <w:sz w:val="24"/>
                <w:szCs w:val="24"/>
              </w:rPr>
              <w:t>8,016,884 (7)</w:t>
            </w:r>
          </w:p>
        </w:tc>
        <w:tc>
          <w:tcPr>
            <w:tcW w:w="3113" w:type="dxa"/>
          </w:tcPr>
          <w:p w14:paraId="71600146" w14:textId="44F0C669" w:rsidR="00D15790" w:rsidRPr="00C46BBE" w:rsidRDefault="00D15790" w:rsidP="00807B7D">
            <w:pPr>
              <w:jc w:val="center"/>
              <w:rPr>
                <w:rFonts w:cstheme="minorHAnsi"/>
                <w:sz w:val="24"/>
                <w:szCs w:val="24"/>
              </w:rPr>
            </w:pPr>
            <w:r>
              <w:rPr>
                <w:rFonts w:cstheme="minorHAnsi"/>
                <w:sz w:val="24"/>
                <w:szCs w:val="24"/>
              </w:rPr>
              <w:t>16,033 (2)</w:t>
            </w:r>
          </w:p>
        </w:tc>
      </w:tr>
      <w:tr w:rsidR="006B1E91" w:rsidRPr="00C46BBE" w14:paraId="4686DBEE" w14:textId="77777777" w:rsidTr="00C72F13">
        <w:trPr>
          <w:trHeight w:val="610"/>
        </w:trPr>
        <w:tc>
          <w:tcPr>
            <w:tcW w:w="3120" w:type="dxa"/>
          </w:tcPr>
          <w:p w14:paraId="7B85AA18" w14:textId="77777777" w:rsidR="006B1E91" w:rsidRPr="00C46BBE" w:rsidRDefault="00171C9E" w:rsidP="00171C9E">
            <w:pPr>
              <w:jc w:val="center"/>
              <w:rPr>
                <w:rFonts w:cstheme="minorHAnsi"/>
                <w:b/>
                <w:sz w:val="24"/>
                <w:szCs w:val="24"/>
              </w:rPr>
            </w:pPr>
            <w:r w:rsidRPr="00C46BBE">
              <w:rPr>
                <w:rFonts w:cstheme="minorHAnsi"/>
                <w:b/>
                <w:sz w:val="24"/>
                <w:szCs w:val="24"/>
              </w:rPr>
              <w:t>Total mammal kill</w:t>
            </w:r>
          </w:p>
        </w:tc>
        <w:tc>
          <w:tcPr>
            <w:tcW w:w="3117" w:type="dxa"/>
          </w:tcPr>
          <w:p w14:paraId="51DB4C02" w14:textId="522B5632" w:rsidR="006B1E91" w:rsidRPr="00C46BBE" w:rsidRDefault="007C2C2D" w:rsidP="00171C9E">
            <w:pPr>
              <w:jc w:val="center"/>
              <w:rPr>
                <w:rFonts w:cstheme="minorHAnsi"/>
                <w:b/>
                <w:sz w:val="24"/>
                <w:szCs w:val="24"/>
              </w:rPr>
            </w:pPr>
            <w:r>
              <w:rPr>
                <w:rFonts w:cstheme="minorHAnsi"/>
                <w:b/>
                <w:sz w:val="24"/>
                <w:szCs w:val="24"/>
              </w:rPr>
              <w:t>15,205,827</w:t>
            </w:r>
          </w:p>
        </w:tc>
        <w:tc>
          <w:tcPr>
            <w:tcW w:w="3113" w:type="dxa"/>
          </w:tcPr>
          <w:p w14:paraId="64FFDB24" w14:textId="6396AC54" w:rsidR="006B1E91" w:rsidRPr="00C46BBE" w:rsidRDefault="007C2C2D" w:rsidP="008D418B">
            <w:pPr>
              <w:jc w:val="center"/>
              <w:rPr>
                <w:rFonts w:cstheme="minorHAnsi"/>
                <w:b/>
                <w:sz w:val="24"/>
                <w:szCs w:val="24"/>
              </w:rPr>
            </w:pPr>
            <w:r>
              <w:rPr>
                <w:rFonts w:cstheme="minorHAnsi"/>
                <w:b/>
                <w:sz w:val="24"/>
                <w:szCs w:val="24"/>
              </w:rPr>
              <w:t>306,409</w:t>
            </w:r>
          </w:p>
        </w:tc>
      </w:tr>
    </w:tbl>
    <w:p w14:paraId="7BB883E4" w14:textId="77777777" w:rsidR="00C72F13" w:rsidRDefault="00C72F13">
      <w:pPr>
        <w:rPr>
          <w:rFonts w:cstheme="minorHAnsi"/>
          <w:sz w:val="24"/>
          <w:szCs w:val="24"/>
          <w:vertAlign w:val="superscript"/>
        </w:rPr>
      </w:pPr>
    </w:p>
    <w:p w14:paraId="0FC23CBB" w14:textId="55EDEED0" w:rsidR="00C72F13" w:rsidRPr="00C72F13" w:rsidRDefault="00C72F13" w:rsidP="00C72F13">
      <w:pPr>
        <w:rPr>
          <w:rFonts w:cstheme="minorHAnsi"/>
          <w:sz w:val="24"/>
          <w:szCs w:val="24"/>
          <w:vertAlign w:val="superscript"/>
        </w:rPr>
      </w:pPr>
      <w:proofErr w:type="gramStart"/>
      <w:r w:rsidRPr="00C72F13">
        <w:rPr>
          <w:rFonts w:cstheme="minorHAnsi"/>
          <w:sz w:val="24"/>
          <w:szCs w:val="24"/>
          <w:vertAlign w:val="superscript"/>
        </w:rPr>
        <w:t xml:space="preserve">3 </w:t>
      </w:r>
      <w:r w:rsidRPr="00C72F13">
        <w:rPr>
          <w:rFonts w:cstheme="minorHAnsi"/>
          <w:sz w:val="20"/>
          <w:szCs w:val="20"/>
        </w:rPr>
        <w:t>Croatia, Czech Republic, Finland, France, Germany, Ireland, Italy, Lithuania, Luxembourg, Poland, Spain, Sweden, UK.</w:t>
      </w:r>
      <w:proofErr w:type="gramEnd"/>
      <w:r w:rsidRPr="00C72F13">
        <w:rPr>
          <w:rFonts w:cstheme="minorHAnsi"/>
          <w:sz w:val="20"/>
          <w:szCs w:val="20"/>
        </w:rPr>
        <w:t xml:space="preserve"> The 13 countries that replied to the survey have 5,465,000 hunters (82%) of the 6,667,770 in the EU 28 as of 2010 (FACE 2010). Assuming that a similar number of mammals are killed per hunter by the remaining 18% of hunters, this gives an estimated kill of 6,282,841large mammals and 12,269,575 </w:t>
      </w:r>
      <w:r w:rsidR="002A3923">
        <w:rPr>
          <w:rFonts w:cstheme="minorHAnsi"/>
          <w:sz w:val="20"/>
          <w:szCs w:val="20"/>
        </w:rPr>
        <w:t>b</w:t>
      </w:r>
      <w:r w:rsidRPr="00C72F13">
        <w:rPr>
          <w:rFonts w:cstheme="minorHAnsi"/>
          <w:sz w:val="20"/>
          <w:szCs w:val="20"/>
        </w:rPr>
        <w:t xml:space="preserve">rown </w:t>
      </w:r>
      <w:r w:rsidR="002A3923">
        <w:rPr>
          <w:rFonts w:cstheme="minorHAnsi"/>
          <w:sz w:val="20"/>
          <w:szCs w:val="20"/>
        </w:rPr>
        <w:t>h</w:t>
      </w:r>
      <w:r w:rsidRPr="00C72F13">
        <w:rPr>
          <w:rFonts w:cstheme="minorHAnsi"/>
          <w:sz w:val="20"/>
          <w:szCs w:val="20"/>
        </w:rPr>
        <w:t xml:space="preserve">ares and </w:t>
      </w:r>
      <w:r w:rsidR="002A3923">
        <w:rPr>
          <w:rFonts w:cstheme="minorHAnsi"/>
          <w:sz w:val="20"/>
          <w:szCs w:val="20"/>
        </w:rPr>
        <w:t>r</w:t>
      </w:r>
      <w:r w:rsidRPr="00C72F13">
        <w:rPr>
          <w:rFonts w:cstheme="minorHAnsi"/>
          <w:sz w:val="20"/>
          <w:szCs w:val="20"/>
        </w:rPr>
        <w:t>abbits.</w:t>
      </w:r>
    </w:p>
    <w:p w14:paraId="3CFFE2B2" w14:textId="17046F4D" w:rsidR="002F213F" w:rsidRPr="00C72F13" w:rsidRDefault="00C72F13" w:rsidP="00C72F13">
      <w:pPr>
        <w:rPr>
          <w:rFonts w:cstheme="minorHAnsi"/>
          <w:sz w:val="24"/>
          <w:szCs w:val="24"/>
        </w:rPr>
      </w:pPr>
      <w:r w:rsidRPr="00C72F13">
        <w:rPr>
          <w:rFonts w:cstheme="minorHAnsi"/>
          <w:sz w:val="24"/>
          <w:szCs w:val="24"/>
        </w:rPr>
        <w:t xml:space="preserve"> </w:t>
      </w:r>
      <w:r w:rsidRPr="00C72F13">
        <w:rPr>
          <w:rFonts w:cstheme="minorHAnsi"/>
          <w:sz w:val="24"/>
          <w:szCs w:val="24"/>
          <w:vertAlign w:val="superscript"/>
        </w:rPr>
        <w:t>4</w:t>
      </w:r>
      <w:r w:rsidRPr="00C72F13">
        <w:rPr>
          <w:rFonts w:cstheme="minorHAnsi"/>
          <w:sz w:val="20"/>
          <w:szCs w:val="20"/>
        </w:rPr>
        <w:t xml:space="preserve">The total kill of birds approaches 88 million in the EU, from the data of Hirschfeld et al. (2019) and Green &amp; Pain (2015 - for the UK) extrapolated to include all EU countries (see text). Data </w:t>
      </w:r>
      <w:r w:rsidRPr="00A14C8F">
        <w:rPr>
          <w:rFonts w:cstheme="minorHAnsi"/>
          <w:sz w:val="20"/>
          <w:szCs w:val="20"/>
        </w:rPr>
        <w:t>from FAO (2018) on</w:t>
      </w:r>
      <w:r w:rsidRPr="00C72F13">
        <w:rPr>
          <w:rFonts w:cstheme="minorHAnsi"/>
          <w:sz w:val="20"/>
          <w:szCs w:val="20"/>
        </w:rPr>
        <w:t xml:space="preserve"> bird kills were too sparse from many countries to allow reasonable representation.</w:t>
      </w:r>
      <w:r w:rsidR="002F213F" w:rsidRPr="00C72F13">
        <w:rPr>
          <w:rFonts w:cstheme="minorHAnsi"/>
          <w:sz w:val="24"/>
          <w:szCs w:val="24"/>
        </w:rPr>
        <w:br w:type="page"/>
      </w:r>
    </w:p>
    <w:p w14:paraId="3FA8A0CE" w14:textId="6F99E265" w:rsidR="0077372E" w:rsidRPr="006F17A6" w:rsidRDefault="002F213F" w:rsidP="006B1E91">
      <w:pPr>
        <w:rPr>
          <w:rFonts w:cstheme="minorHAnsi"/>
          <w:sz w:val="24"/>
          <w:szCs w:val="24"/>
        </w:rPr>
      </w:pPr>
      <w:proofErr w:type="gramStart"/>
      <w:r w:rsidRPr="006F17A6">
        <w:rPr>
          <w:rFonts w:cstheme="minorHAnsi"/>
          <w:sz w:val="24"/>
          <w:szCs w:val="24"/>
        </w:rPr>
        <w:lastRenderedPageBreak/>
        <w:t>Table 2.</w:t>
      </w:r>
      <w:proofErr w:type="gramEnd"/>
      <w:r w:rsidRPr="006F17A6">
        <w:rPr>
          <w:rFonts w:cstheme="minorHAnsi"/>
          <w:sz w:val="24"/>
          <w:szCs w:val="24"/>
        </w:rPr>
        <w:t xml:space="preserve"> </w:t>
      </w:r>
      <w:proofErr w:type="gramStart"/>
      <w:r w:rsidRPr="006F17A6">
        <w:rPr>
          <w:rFonts w:cstheme="minorHAnsi"/>
          <w:sz w:val="24"/>
          <w:szCs w:val="24"/>
        </w:rPr>
        <w:t>The annual tonnage and traded values of ga</w:t>
      </w:r>
      <w:r w:rsidR="00A145B2" w:rsidRPr="006F17A6">
        <w:rPr>
          <w:rFonts w:cstheme="minorHAnsi"/>
          <w:sz w:val="24"/>
          <w:szCs w:val="24"/>
        </w:rPr>
        <w:t xml:space="preserve">me meat reported by </w:t>
      </w:r>
      <w:r w:rsidR="00AD0B90">
        <w:rPr>
          <w:rFonts w:cstheme="minorHAnsi"/>
          <w:sz w:val="24"/>
          <w:szCs w:val="24"/>
        </w:rPr>
        <w:t>six EU</w:t>
      </w:r>
      <w:r w:rsidR="00A145B2" w:rsidRPr="006F17A6">
        <w:rPr>
          <w:rFonts w:cstheme="minorHAnsi"/>
          <w:sz w:val="24"/>
          <w:szCs w:val="24"/>
        </w:rPr>
        <w:t xml:space="preserve"> </w:t>
      </w:r>
      <w:r w:rsidRPr="006F17A6">
        <w:rPr>
          <w:rFonts w:cstheme="minorHAnsi"/>
          <w:sz w:val="24"/>
          <w:szCs w:val="24"/>
        </w:rPr>
        <w:t>nations in FAO (2018).</w:t>
      </w:r>
      <w:proofErr w:type="gramEnd"/>
      <w:r w:rsidRPr="006F17A6">
        <w:rPr>
          <w:rFonts w:cstheme="minorHAnsi"/>
          <w:sz w:val="24"/>
          <w:szCs w:val="24"/>
        </w:rPr>
        <w:t xml:space="preserve"> These numbers refer to the principal species of mammals and birds </w:t>
      </w:r>
      <w:r w:rsidR="00A145B2" w:rsidRPr="006F17A6">
        <w:rPr>
          <w:rFonts w:cstheme="minorHAnsi"/>
          <w:sz w:val="24"/>
          <w:szCs w:val="24"/>
        </w:rPr>
        <w:t xml:space="preserve">involved in the </w:t>
      </w:r>
      <w:r w:rsidRPr="006F17A6">
        <w:rPr>
          <w:rFonts w:cstheme="minorHAnsi"/>
          <w:sz w:val="24"/>
          <w:szCs w:val="24"/>
        </w:rPr>
        <w:t>game markets.</w:t>
      </w:r>
      <w:r w:rsidR="008D1C20">
        <w:rPr>
          <w:rFonts w:cstheme="minorHAnsi"/>
          <w:sz w:val="24"/>
          <w:szCs w:val="24"/>
        </w:rPr>
        <w:t xml:space="preserve"> The values in US$ were converted to Euros using the exchange factor 0.908.</w:t>
      </w:r>
    </w:p>
    <w:tbl>
      <w:tblPr>
        <w:tblStyle w:val="TableGrid"/>
        <w:tblW w:w="9493" w:type="dxa"/>
        <w:tblLook w:val="04A0" w:firstRow="1" w:lastRow="0" w:firstColumn="1" w:lastColumn="0" w:noHBand="0" w:noVBand="1"/>
      </w:tblPr>
      <w:tblGrid>
        <w:gridCol w:w="1150"/>
        <w:gridCol w:w="1280"/>
        <w:gridCol w:w="1755"/>
        <w:gridCol w:w="2583"/>
        <w:gridCol w:w="2725"/>
      </w:tblGrid>
      <w:tr w:rsidR="002C6F4F" w:rsidRPr="006F17A6" w14:paraId="78142978" w14:textId="77777777" w:rsidTr="00AD0B90">
        <w:tc>
          <w:tcPr>
            <w:tcW w:w="1129" w:type="dxa"/>
          </w:tcPr>
          <w:p w14:paraId="432DC605" w14:textId="0A0C749F" w:rsidR="002C6F4F" w:rsidRPr="006F17A6" w:rsidRDefault="00AD0B90" w:rsidP="002F213F">
            <w:pPr>
              <w:jc w:val="center"/>
              <w:rPr>
                <w:rFonts w:cstheme="minorHAnsi"/>
                <w:b/>
                <w:sz w:val="24"/>
                <w:szCs w:val="24"/>
                <w:vertAlign w:val="superscript"/>
              </w:rPr>
            </w:pPr>
            <w:r>
              <w:rPr>
                <w:rFonts w:cstheme="minorHAnsi"/>
                <w:b/>
                <w:sz w:val="24"/>
                <w:szCs w:val="24"/>
              </w:rPr>
              <w:t>6</w:t>
            </w:r>
            <w:r w:rsidRPr="006F17A6">
              <w:rPr>
                <w:rFonts w:cstheme="minorHAnsi"/>
                <w:b/>
                <w:sz w:val="24"/>
                <w:szCs w:val="24"/>
              </w:rPr>
              <w:t xml:space="preserve"> </w:t>
            </w:r>
            <w:r w:rsidR="002C6F4F" w:rsidRPr="006F17A6">
              <w:rPr>
                <w:rFonts w:cstheme="minorHAnsi"/>
                <w:b/>
                <w:sz w:val="24"/>
                <w:szCs w:val="24"/>
              </w:rPr>
              <w:t xml:space="preserve">nations reporting trade </w:t>
            </w:r>
            <w:proofErr w:type="spellStart"/>
            <w:r w:rsidR="002C6F4F" w:rsidRPr="006F17A6">
              <w:rPr>
                <w:rFonts w:cstheme="minorHAnsi"/>
                <w:b/>
                <w:sz w:val="24"/>
                <w:szCs w:val="24"/>
              </w:rPr>
              <w:t>data</w:t>
            </w:r>
            <w:r w:rsidR="002C6F4F" w:rsidRPr="006F17A6">
              <w:rPr>
                <w:rFonts w:cstheme="minorHAnsi"/>
                <w:b/>
                <w:sz w:val="24"/>
                <w:szCs w:val="24"/>
                <w:vertAlign w:val="superscript"/>
              </w:rPr>
              <w:t>a</w:t>
            </w:r>
            <w:proofErr w:type="spellEnd"/>
          </w:p>
          <w:p w14:paraId="4E1276B9" w14:textId="77777777" w:rsidR="002C6F4F" w:rsidRPr="006F17A6" w:rsidRDefault="002C6F4F" w:rsidP="002F213F">
            <w:pPr>
              <w:jc w:val="center"/>
              <w:rPr>
                <w:rFonts w:cstheme="minorHAnsi"/>
                <w:b/>
                <w:sz w:val="24"/>
                <w:szCs w:val="24"/>
                <w:vertAlign w:val="superscript"/>
              </w:rPr>
            </w:pPr>
          </w:p>
        </w:tc>
        <w:tc>
          <w:tcPr>
            <w:tcW w:w="3043" w:type="dxa"/>
            <w:gridSpan w:val="2"/>
            <w:vAlign w:val="center"/>
          </w:tcPr>
          <w:p w14:paraId="356166EF" w14:textId="77777777" w:rsidR="002C6F4F" w:rsidRPr="006F17A6" w:rsidRDefault="002C6F4F" w:rsidP="002C6F4F">
            <w:pPr>
              <w:jc w:val="center"/>
              <w:rPr>
                <w:rFonts w:cstheme="minorHAnsi"/>
                <w:b/>
                <w:sz w:val="24"/>
                <w:szCs w:val="24"/>
              </w:rPr>
            </w:pPr>
            <w:r w:rsidRPr="006F17A6">
              <w:rPr>
                <w:rFonts w:cstheme="minorHAnsi"/>
                <w:b/>
                <w:sz w:val="24"/>
                <w:szCs w:val="24"/>
              </w:rPr>
              <w:t>Traded quantity in tonnes/y</w:t>
            </w:r>
          </w:p>
          <w:p w14:paraId="74B69C7D" w14:textId="77777777" w:rsidR="002C6F4F" w:rsidRPr="006F17A6" w:rsidRDefault="002C6F4F" w:rsidP="002C6F4F">
            <w:pPr>
              <w:jc w:val="center"/>
              <w:rPr>
                <w:rFonts w:cstheme="minorHAnsi"/>
                <w:b/>
                <w:sz w:val="24"/>
                <w:szCs w:val="24"/>
              </w:rPr>
            </w:pPr>
          </w:p>
          <w:p w14:paraId="1C9E540F" w14:textId="77777777" w:rsidR="002C6F4F" w:rsidRPr="006F17A6" w:rsidRDefault="002C6F4F" w:rsidP="002C6F4F">
            <w:pPr>
              <w:jc w:val="center"/>
              <w:rPr>
                <w:rFonts w:cstheme="minorHAnsi"/>
                <w:b/>
                <w:sz w:val="24"/>
                <w:szCs w:val="24"/>
              </w:rPr>
            </w:pPr>
            <w:r w:rsidRPr="006F17A6">
              <w:rPr>
                <w:rFonts w:cstheme="minorHAnsi"/>
                <w:b/>
                <w:sz w:val="24"/>
                <w:szCs w:val="24"/>
              </w:rPr>
              <w:t>IMPORTS                 EXPORTS</w:t>
            </w:r>
          </w:p>
        </w:tc>
        <w:tc>
          <w:tcPr>
            <w:tcW w:w="5321" w:type="dxa"/>
            <w:gridSpan w:val="2"/>
            <w:vAlign w:val="center"/>
          </w:tcPr>
          <w:p w14:paraId="010B859D" w14:textId="4E5E7E54" w:rsidR="002C6F4F" w:rsidRPr="006F17A6" w:rsidRDefault="002C6F4F" w:rsidP="002C6F4F">
            <w:pPr>
              <w:jc w:val="center"/>
              <w:rPr>
                <w:rFonts w:cstheme="minorHAnsi"/>
                <w:b/>
                <w:sz w:val="24"/>
                <w:szCs w:val="24"/>
              </w:rPr>
            </w:pPr>
            <w:r w:rsidRPr="006F17A6">
              <w:rPr>
                <w:rFonts w:cstheme="minorHAnsi"/>
                <w:b/>
                <w:sz w:val="24"/>
                <w:szCs w:val="24"/>
              </w:rPr>
              <w:t xml:space="preserve">Traded value In </w:t>
            </w:r>
            <w:r w:rsidR="00393F10">
              <w:rPr>
                <w:rFonts w:cstheme="minorHAnsi"/>
                <w:b/>
                <w:sz w:val="24"/>
                <w:szCs w:val="24"/>
              </w:rPr>
              <w:t>Euros</w:t>
            </w:r>
            <w:r w:rsidRPr="006F17A6">
              <w:rPr>
                <w:rFonts w:cstheme="minorHAnsi"/>
                <w:b/>
                <w:sz w:val="24"/>
                <w:szCs w:val="24"/>
              </w:rPr>
              <w:t>/y</w:t>
            </w:r>
          </w:p>
          <w:p w14:paraId="32119A6C" w14:textId="77777777" w:rsidR="002C6F4F" w:rsidRPr="006F17A6" w:rsidRDefault="002C6F4F" w:rsidP="002C6F4F">
            <w:pPr>
              <w:jc w:val="center"/>
              <w:rPr>
                <w:rFonts w:cstheme="minorHAnsi"/>
                <w:b/>
                <w:sz w:val="24"/>
                <w:szCs w:val="24"/>
              </w:rPr>
            </w:pPr>
          </w:p>
          <w:p w14:paraId="685DF886" w14:textId="77777777" w:rsidR="002C6F4F" w:rsidRPr="006F17A6" w:rsidRDefault="002C6F4F" w:rsidP="002C6F4F">
            <w:pPr>
              <w:rPr>
                <w:rFonts w:cstheme="minorHAnsi"/>
                <w:b/>
                <w:sz w:val="24"/>
                <w:szCs w:val="24"/>
              </w:rPr>
            </w:pPr>
            <w:r w:rsidRPr="006F17A6">
              <w:rPr>
                <w:rFonts w:cstheme="minorHAnsi"/>
                <w:b/>
                <w:sz w:val="24"/>
                <w:szCs w:val="24"/>
              </w:rPr>
              <w:t xml:space="preserve">     IMPORTS             EXPORTS</w:t>
            </w:r>
          </w:p>
        </w:tc>
      </w:tr>
      <w:tr w:rsidR="002F213F" w:rsidRPr="006F17A6" w14:paraId="3C8E5085" w14:textId="77777777" w:rsidTr="00AD0B90">
        <w:trPr>
          <w:trHeight w:val="419"/>
        </w:trPr>
        <w:tc>
          <w:tcPr>
            <w:tcW w:w="1129" w:type="dxa"/>
          </w:tcPr>
          <w:p w14:paraId="3887E19F" w14:textId="77777777" w:rsidR="002F213F" w:rsidRPr="006F17A6" w:rsidRDefault="002F213F" w:rsidP="006B1E91">
            <w:pPr>
              <w:rPr>
                <w:rFonts w:cstheme="minorHAnsi"/>
                <w:sz w:val="24"/>
                <w:szCs w:val="24"/>
              </w:rPr>
            </w:pPr>
          </w:p>
        </w:tc>
        <w:tc>
          <w:tcPr>
            <w:tcW w:w="1284" w:type="dxa"/>
          </w:tcPr>
          <w:p w14:paraId="4FE76282" w14:textId="1AE2A565" w:rsidR="002F213F" w:rsidRPr="006F17A6" w:rsidRDefault="00AD0B90" w:rsidP="002F213F">
            <w:pPr>
              <w:jc w:val="center"/>
              <w:rPr>
                <w:rFonts w:cstheme="minorHAnsi"/>
                <w:sz w:val="24"/>
                <w:szCs w:val="24"/>
              </w:rPr>
            </w:pPr>
            <w:r>
              <w:rPr>
                <w:rFonts w:cstheme="minorHAnsi"/>
                <w:sz w:val="24"/>
                <w:szCs w:val="24"/>
              </w:rPr>
              <w:t>70, 881</w:t>
            </w:r>
          </w:p>
        </w:tc>
        <w:tc>
          <w:tcPr>
            <w:tcW w:w="1759" w:type="dxa"/>
          </w:tcPr>
          <w:p w14:paraId="7ABAF595" w14:textId="03EFDEEC" w:rsidR="002F213F" w:rsidRPr="006F17A6" w:rsidRDefault="00AD0B90" w:rsidP="002F213F">
            <w:pPr>
              <w:jc w:val="center"/>
              <w:rPr>
                <w:rFonts w:cstheme="minorHAnsi"/>
                <w:sz w:val="24"/>
                <w:szCs w:val="24"/>
              </w:rPr>
            </w:pPr>
            <w:r w:rsidRPr="00AD0B90">
              <w:rPr>
                <w:rFonts w:cstheme="minorHAnsi"/>
                <w:sz w:val="24"/>
                <w:szCs w:val="24"/>
              </w:rPr>
              <w:t>127</w:t>
            </w:r>
            <w:r>
              <w:rPr>
                <w:rFonts w:cstheme="minorHAnsi"/>
                <w:sz w:val="24"/>
                <w:szCs w:val="24"/>
              </w:rPr>
              <w:t>,</w:t>
            </w:r>
            <w:r w:rsidRPr="00AD0B90">
              <w:rPr>
                <w:rFonts w:cstheme="minorHAnsi"/>
                <w:sz w:val="24"/>
                <w:szCs w:val="24"/>
              </w:rPr>
              <w:t>696</w:t>
            </w:r>
          </w:p>
        </w:tc>
        <w:tc>
          <w:tcPr>
            <w:tcW w:w="2589" w:type="dxa"/>
          </w:tcPr>
          <w:p w14:paraId="716C4598" w14:textId="12CE7E08" w:rsidR="002F213F" w:rsidRPr="006F17A6" w:rsidRDefault="003D5B17" w:rsidP="002F213F">
            <w:pPr>
              <w:jc w:val="center"/>
              <w:rPr>
                <w:rFonts w:cstheme="minorHAnsi"/>
                <w:sz w:val="24"/>
                <w:szCs w:val="24"/>
              </w:rPr>
            </w:pPr>
            <w:r>
              <w:rPr>
                <w:rFonts w:cstheme="minorHAnsi"/>
                <w:sz w:val="24"/>
                <w:szCs w:val="24"/>
              </w:rPr>
              <w:t>178,</w:t>
            </w:r>
            <w:r w:rsidR="008D1C20">
              <w:rPr>
                <w:rFonts w:cstheme="minorHAnsi"/>
                <w:sz w:val="24"/>
                <w:szCs w:val="24"/>
              </w:rPr>
              <w:t>200,735</w:t>
            </w:r>
          </w:p>
        </w:tc>
        <w:tc>
          <w:tcPr>
            <w:tcW w:w="2732" w:type="dxa"/>
          </w:tcPr>
          <w:p w14:paraId="61B6CAC8" w14:textId="7DBE9106" w:rsidR="002F213F" w:rsidRPr="006F17A6" w:rsidRDefault="00393F10" w:rsidP="002F213F">
            <w:pPr>
              <w:jc w:val="center"/>
              <w:rPr>
                <w:rFonts w:cstheme="minorHAnsi"/>
                <w:sz w:val="24"/>
                <w:szCs w:val="24"/>
              </w:rPr>
            </w:pPr>
            <w:r>
              <w:rPr>
                <w:rFonts w:cstheme="minorHAnsi"/>
                <w:sz w:val="24"/>
                <w:szCs w:val="24"/>
              </w:rPr>
              <w:t>298,</w:t>
            </w:r>
            <w:r w:rsidR="008D1C20">
              <w:rPr>
                <w:rFonts w:cstheme="minorHAnsi"/>
                <w:sz w:val="24"/>
                <w:szCs w:val="24"/>
              </w:rPr>
              <w:t>363,005</w:t>
            </w:r>
          </w:p>
        </w:tc>
      </w:tr>
    </w:tbl>
    <w:p w14:paraId="3AB3CD71" w14:textId="77777777" w:rsidR="00CD1DA9" w:rsidRPr="006F17A6" w:rsidRDefault="00CD1DA9" w:rsidP="006B1E91">
      <w:pPr>
        <w:rPr>
          <w:rFonts w:cstheme="minorHAnsi"/>
          <w:b/>
          <w:sz w:val="24"/>
          <w:szCs w:val="24"/>
          <w:vertAlign w:val="superscript"/>
        </w:rPr>
      </w:pPr>
    </w:p>
    <w:p w14:paraId="3E799E82" w14:textId="77777777" w:rsidR="00953081" w:rsidRDefault="008D725F" w:rsidP="006B1E91">
      <w:pPr>
        <w:rPr>
          <w:sz w:val="20"/>
          <w:szCs w:val="20"/>
        </w:rPr>
      </w:pPr>
      <w:proofErr w:type="gramStart"/>
      <w:r w:rsidRPr="006F17A6">
        <w:rPr>
          <w:rFonts w:cstheme="minorHAnsi"/>
          <w:sz w:val="24"/>
          <w:szCs w:val="24"/>
          <w:vertAlign w:val="superscript"/>
        </w:rPr>
        <w:t>a</w:t>
      </w:r>
      <w:proofErr w:type="gramEnd"/>
      <w:r w:rsidRPr="006F17A6">
        <w:rPr>
          <w:rFonts w:cstheme="minorHAnsi"/>
          <w:sz w:val="24"/>
          <w:szCs w:val="24"/>
          <w:vertAlign w:val="superscript"/>
        </w:rPr>
        <w:t xml:space="preserve"> </w:t>
      </w:r>
      <w:r w:rsidR="00A145B2" w:rsidRPr="00C72F13">
        <w:rPr>
          <w:rFonts w:cstheme="minorHAnsi"/>
          <w:sz w:val="20"/>
          <w:szCs w:val="20"/>
        </w:rPr>
        <w:t>Croatia, Finland, Lithuania, Poland, Spain, Sweden</w:t>
      </w:r>
      <w:r w:rsidR="00953081">
        <w:rPr>
          <w:rFonts w:cstheme="minorHAnsi"/>
          <w:sz w:val="20"/>
          <w:szCs w:val="20"/>
        </w:rPr>
        <w:t>.</w:t>
      </w:r>
      <w:r w:rsidR="00A54CF9" w:rsidRPr="00C72F13">
        <w:rPr>
          <w:sz w:val="20"/>
          <w:szCs w:val="20"/>
        </w:rPr>
        <w:t xml:space="preserve"> </w:t>
      </w:r>
    </w:p>
    <w:p w14:paraId="1EDD3AB3" w14:textId="29638A27" w:rsidR="008D725F" w:rsidRPr="006F17A6" w:rsidRDefault="00A54CF9" w:rsidP="006B1E91">
      <w:pPr>
        <w:rPr>
          <w:rFonts w:cstheme="minorHAnsi"/>
          <w:sz w:val="24"/>
          <w:szCs w:val="24"/>
        </w:rPr>
      </w:pPr>
      <w:r w:rsidRPr="00C72F13">
        <w:rPr>
          <w:rFonts w:cstheme="minorHAnsi"/>
          <w:sz w:val="20"/>
          <w:szCs w:val="20"/>
        </w:rPr>
        <w:t>The six EU countries that reported trade data have 1,771,000 hunters (26.56%) of the 6,667,770 reported in the EU in 2010 (FACE 2010).  Assuming a direct relationship between the numbers of hunters and the level of export trade gives an estimated export trade value in excess of 1,</w:t>
      </w:r>
      <w:r w:rsidR="003D5B17">
        <w:rPr>
          <w:rFonts w:cstheme="minorHAnsi"/>
          <w:sz w:val="20"/>
          <w:szCs w:val="20"/>
        </w:rPr>
        <w:t>123</w:t>
      </w:r>
      <w:r w:rsidRPr="00C72F13">
        <w:rPr>
          <w:rFonts w:cstheme="minorHAnsi"/>
          <w:sz w:val="20"/>
          <w:szCs w:val="20"/>
        </w:rPr>
        <w:t xml:space="preserve"> million </w:t>
      </w:r>
      <w:r w:rsidR="003D5B17">
        <w:rPr>
          <w:rFonts w:cstheme="minorHAnsi"/>
          <w:sz w:val="20"/>
          <w:szCs w:val="20"/>
        </w:rPr>
        <w:t>Euro</w:t>
      </w:r>
      <w:r w:rsidRPr="00C72F13">
        <w:rPr>
          <w:rFonts w:cstheme="minorHAnsi"/>
          <w:sz w:val="20"/>
          <w:szCs w:val="20"/>
        </w:rPr>
        <w:t>s a year for the whole of the EU</w:t>
      </w:r>
    </w:p>
    <w:p w14:paraId="2821A5EB" w14:textId="77777777" w:rsidR="00C623C0" w:rsidRDefault="00C623C0" w:rsidP="006B1E91">
      <w:pPr>
        <w:rPr>
          <w:rFonts w:ascii="Times New Roman" w:hAnsi="Times New Roman" w:cs="Times New Roman"/>
          <w:sz w:val="24"/>
          <w:szCs w:val="24"/>
        </w:rPr>
      </w:pPr>
      <w:r>
        <w:rPr>
          <w:rFonts w:ascii="Times New Roman" w:hAnsi="Times New Roman" w:cs="Times New Roman"/>
          <w:sz w:val="24"/>
          <w:szCs w:val="24"/>
        </w:rPr>
        <w:br/>
      </w:r>
    </w:p>
    <w:p w14:paraId="2DE6E763" w14:textId="77777777" w:rsidR="00C623C0" w:rsidRDefault="00C623C0">
      <w:pPr>
        <w:rPr>
          <w:rFonts w:ascii="Times New Roman" w:hAnsi="Times New Roman" w:cs="Times New Roman"/>
          <w:sz w:val="24"/>
          <w:szCs w:val="24"/>
        </w:rPr>
      </w:pPr>
      <w:r>
        <w:rPr>
          <w:rFonts w:ascii="Times New Roman" w:hAnsi="Times New Roman" w:cs="Times New Roman"/>
          <w:sz w:val="24"/>
          <w:szCs w:val="24"/>
        </w:rPr>
        <w:br w:type="page"/>
      </w:r>
    </w:p>
    <w:p w14:paraId="6AA9126A" w14:textId="77777777" w:rsidR="00FF5F16" w:rsidRDefault="00FF5F16" w:rsidP="006B1E91">
      <w:pPr>
        <w:rPr>
          <w:rFonts w:cstheme="minorHAnsi"/>
        </w:rPr>
      </w:pPr>
      <w:proofErr w:type="gramStart"/>
      <w:r w:rsidRPr="00206CF8">
        <w:rPr>
          <w:rFonts w:cstheme="minorHAnsi"/>
        </w:rPr>
        <w:lastRenderedPageBreak/>
        <w:t>Figure 1.</w:t>
      </w:r>
      <w:proofErr w:type="gramEnd"/>
      <w:r w:rsidRPr="00206CF8">
        <w:rPr>
          <w:rFonts w:cstheme="minorHAnsi"/>
        </w:rPr>
        <w:t xml:space="preserve"> Radiograph of a roe deer shot with a single </w:t>
      </w:r>
      <w:proofErr w:type="spellStart"/>
      <w:r w:rsidRPr="00206CF8">
        <w:rPr>
          <w:rFonts w:cstheme="minorHAnsi"/>
        </w:rPr>
        <w:t>unbonded</w:t>
      </w:r>
      <w:proofErr w:type="spellEnd"/>
      <w:r w:rsidRPr="00206CF8">
        <w:rPr>
          <w:rFonts w:cstheme="minorHAnsi"/>
        </w:rPr>
        <w:t xml:space="preserve"> lead rifle bullet, showing the extent of the bullet’s fragmentation and the distance of fragments’ spread from the entry site. Most of the small fragments would not likely be removed prior to butchering and retail sale, thereby exposing the consumer. </w:t>
      </w:r>
      <w:proofErr w:type="gramStart"/>
      <w:r w:rsidRPr="00206CF8">
        <w:rPr>
          <w:rFonts w:cstheme="minorHAnsi"/>
        </w:rPr>
        <w:t xml:space="preserve">Photo credit, Oliver Krone, Leibniz </w:t>
      </w:r>
      <w:r w:rsidR="000766B8" w:rsidRPr="00206CF8">
        <w:rPr>
          <w:rFonts w:cstheme="minorHAnsi"/>
        </w:rPr>
        <w:t>Institute for Zoo and Wildlife R</w:t>
      </w:r>
      <w:r w:rsidRPr="00206CF8">
        <w:rPr>
          <w:rFonts w:cstheme="minorHAnsi"/>
        </w:rPr>
        <w:t>esearch, Berlin</w:t>
      </w:r>
      <w:r w:rsidR="007B1A84" w:rsidRPr="00206CF8">
        <w:rPr>
          <w:rFonts w:cstheme="minorHAnsi"/>
        </w:rPr>
        <w:t>, Germany</w:t>
      </w:r>
      <w:r w:rsidRPr="00206CF8">
        <w:rPr>
          <w:rFonts w:cstheme="minorHAnsi"/>
        </w:rPr>
        <w:t>.</w:t>
      </w:r>
      <w:proofErr w:type="gramEnd"/>
    </w:p>
    <w:p w14:paraId="00D15727" w14:textId="77777777" w:rsidR="00BA3549" w:rsidRPr="00206CF8" w:rsidRDefault="00BA3549" w:rsidP="006B1E91">
      <w:pPr>
        <w:rPr>
          <w:rFonts w:cstheme="minorHAnsi"/>
        </w:rPr>
      </w:pPr>
    </w:p>
    <w:p w14:paraId="73344E10" w14:textId="77777777" w:rsidR="009A3D60" w:rsidRDefault="009A3D60" w:rsidP="006B1E91">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46881011" wp14:editId="6CDD42E6">
            <wp:extent cx="5247640" cy="4086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47640" cy="4086860"/>
                    </a:xfrm>
                    <a:prstGeom prst="rect">
                      <a:avLst/>
                    </a:prstGeom>
                    <a:noFill/>
                    <a:ln>
                      <a:noFill/>
                    </a:ln>
                  </pic:spPr>
                </pic:pic>
              </a:graphicData>
            </a:graphic>
          </wp:inline>
        </w:drawing>
      </w:r>
    </w:p>
    <w:p w14:paraId="38A3A8AF" w14:textId="77777777" w:rsidR="00F05D72" w:rsidRDefault="00F05D72" w:rsidP="006B1E91">
      <w:pPr>
        <w:rPr>
          <w:rFonts w:ascii="Times New Roman" w:hAnsi="Times New Roman" w:cs="Times New Roman"/>
          <w:sz w:val="24"/>
          <w:szCs w:val="24"/>
        </w:rPr>
      </w:pPr>
    </w:p>
    <w:p w14:paraId="798B1890" w14:textId="77777777" w:rsidR="00F05D72" w:rsidRDefault="00F05D72" w:rsidP="006B1E91">
      <w:pPr>
        <w:rPr>
          <w:rFonts w:ascii="Times New Roman" w:hAnsi="Times New Roman" w:cs="Times New Roman"/>
          <w:sz w:val="24"/>
          <w:szCs w:val="24"/>
        </w:rPr>
      </w:pPr>
    </w:p>
    <w:p w14:paraId="683A4818" w14:textId="77777777" w:rsidR="00F05D72" w:rsidRDefault="00F05D72" w:rsidP="006B1E91">
      <w:pPr>
        <w:rPr>
          <w:rFonts w:ascii="Times New Roman" w:hAnsi="Times New Roman" w:cs="Times New Roman"/>
          <w:sz w:val="24"/>
          <w:szCs w:val="24"/>
        </w:rPr>
      </w:pPr>
    </w:p>
    <w:p w14:paraId="1EEC9D42" w14:textId="77777777" w:rsidR="00F05D72" w:rsidRDefault="00F05D72" w:rsidP="006B1E91">
      <w:pPr>
        <w:rPr>
          <w:rFonts w:ascii="Times New Roman" w:hAnsi="Times New Roman" w:cs="Times New Roman"/>
          <w:sz w:val="24"/>
          <w:szCs w:val="24"/>
        </w:rPr>
      </w:pPr>
    </w:p>
    <w:p w14:paraId="7659ACF6" w14:textId="77777777" w:rsidR="00F05D72" w:rsidRDefault="00F05D72" w:rsidP="006B1E91">
      <w:pPr>
        <w:rPr>
          <w:rFonts w:ascii="Times New Roman" w:hAnsi="Times New Roman" w:cs="Times New Roman"/>
          <w:sz w:val="24"/>
          <w:szCs w:val="24"/>
        </w:rPr>
      </w:pPr>
    </w:p>
    <w:p w14:paraId="694D5E36" w14:textId="77777777" w:rsidR="00F05D72" w:rsidRDefault="00F05D72" w:rsidP="006B1E91">
      <w:pPr>
        <w:rPr>
          <w:rFonts w:ascii="Times New Roman" w:hAnsi="Times New Roman" w:cs="Times New Roman"/>
          <w:sz w:val="24"/>
          <w:szCs w:val="24"/>
        </w:rPr>
      </w:pPr>
      <w:bookmarkStart w:id="0" w:name="_GoBack"/>
      <w:bookmarkEnd w:id="0"/>
    </w:p>
    <w:p w14:paraId="58243FC4" w14:textId="77777777" w:rsidR="00F05D72" w:rsidRDefault="00F05D72" w:rsidP="006B1E91">
      <w:pPr>
        <w:rPr>
          <w:rFonts w:ascii="Times New Roman" w:hAnsi="Times New Roman" w:cs="Times New Roman"/>
          <w:sz w:val="24"/>
          <w:szCs w:val="24"/>
        </w:rPr>
      </w:pPr>
    </w:p>
    <w:p w14:paraId="549EAC2A" w14:textId="77777777" w:rsidR="008C05BD" w:rsidRDefault="008C05BD" w:rsidP="00BB67C6"/>
    <w:p w14:paraId="01AF2F9A" w14:textId="49B15F67" w:rsidR="00C623C0" w:rsidRDefault="00BB67C6" w:rsidP="00BB67C6">
      <w:pPr>
        <w:rPr>
          <w:rFonts w:cstheme="minorHAnsi"/>
        </w:rPr>
      </w:pPr>
      <w:r w:rsidRPr="00BB67C6">
        <w:lastRenderedPageBreak/>
        <w:t xml:space="preserve"> </w:t>
      </w:r>
      <w:proofErr w:type="gramStart"/>
      <w:r w:rsidR="003E3A53">
        <w:rPr>
          <w:rFonts w:cstheme="minorHAnsi"/>
        </w:rPr>
        <w:t>Figure 2</w:t>
      </w:r>
      <w:r w:rsidRPr="00BB67C6">
        <w:rPr>
          <w:rFonts w:cstheme="minorHAnsi"/>
        </w:rPr>
        <w:t>.</w:t>
      </w:r>
      <w:proofErr w:type="gramEnd"/>
      <w:r w:rsidRPr="00BB67C6">
        <w:rPr>
          <w:rFonts w:cstheme="minorHAnsi"/>
        </w:rPr>
        <w:t xml:space="preserve"> X-ray of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some fragments are close to bone suggesting fragmentation on impact, others are not.</w:t>
      </w:r>
      <w:r>
        <w:rPr>
          <w:rFonts w:cstheme="minorHAnsi"/>
        </w:rPr>
        <w:t xml:space="preserve"> </w:t>
      </w:r>
      <w:proofErr w:type="gramStart"/>
      <w:r>
        <w:rPr>
          <w:rFonts w:cstheme="minorHAnsi"/>
        </w:rPr>
        <w:t>Reproduced from</w:t>
      </w:r>
      <w:r w:rsidR="003E3A53">
        <w:rPr>
          <w:rFonts w:cstheme="minorHAnsi"/>
        </w:rPr>
        <w:t xml:space="preserve"> Figure </w:t>
      </w:r>
      <w:r w:rsidR="003E3A53" w:rsidRPr="00A14C8F">
        <w:rPr>
          <w:rFonts w:cstheme="minorHAnsi"/>
        </w:rPr>
        <w:t>1 of</w:t>
      </w:r>
      <w:r w:rsidRPr="00A14C8F">
        <w:rPr>
          <w:rFonts w:cstheme="minorHAnsi"/>
        </w:rPr>
        <w:t xml:space="preserve"> Pain </w:t>
      </w:r>
      <w:r w:rsidR="00FB4AF4" w:rsidRPr="00A14C8F">
        <w:rPr>
          <w:rFonts w:cstheme="minorHAnsi"/>
        </w:rPr>
        <w:t>et al.</w:t>
      </w:r>
      <w:r w:rsidRPr="00A14C8F">
        <w:rPr>
          <w:rFonts w:cstheme="minorHAnsi"/>
        </w:rPr>
        <w:t xml:space="preserve"> </w:t>
      </w:r>
      <w:r w:rsidR="00865A2D" w:rsidRPr="00AE33FC">
        <w:rPr>
          <w:rFonts w:cstheme="minorHAnsi"/>
        </w:rPr>
        <w:t>(</w:t>
      </w:r>
      <w:r w:rsidRPr="00AE33FC">
        <w:rPr>
          <w:rFonts w:cstheme="minorHAnsi"/>
        </w:rPr>
        <w:t>2010</w:t>
      </w:r>
      <w:r w:rsidR="00865A2D" w:rsidRPr="00A14C8F">
        <w:rPr>
          <w:rFonts w:cstheme="minorHAnsi"/>
        </w:rPr>
        <w:t>)</w:t>
      </w:r>
      <w:r w:rsidRPr="00A14C8F">
        <w:rPr>
          <w:rFonts w:cstheme="minorHAnsi"/>
        </w:rPr>
        <w:t>.</w:t>
      </w:r>
      <w:proofErr w:type="gramEnd"/>
      <w:r w:rsidRPr="00A14C8F">
        <w:rPr>
          <w:rFonts w:cstheme="minorHAnsi"/>
        </w:rPr>
        <w:t xml:space="preserve"> doi:10.1371/journal.pone.0010315.g001</w:t>
      </w:r>
    </w:p>
    <w:p w14:paraId="5983D265" w14:textId="77777777" w:rsidR="00BA3549" w:rsidRPr="00596D52" w:rsidRDefault="00BA3549" w:rsidP="00BB67C6">
      <w:pPr>
        <w:rPr>
          <w:rFonts w:cstheme="minorHAnsi"/>
        </w:rPr>
      </w:pPr>
    </w:p>
    <w:p w14:paraId="38C1E1EA" w14:textId="77777777" w:rsidR="00F05D72" w:rsidRDefault="00F05D72" w:rsidP="006B1E91">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CA"/>
        </w:rPr>
        <w:drawing>
          <wp:inline distT="0" distB="0" distL="0" distR="0" wp14:anchorId="7F5C72E1" wp14:editId="18B00F5C">
            <wp:extent cx="5247640" cy="429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7640" cy="4293870"/>
                    </a:xfrm>
                    <a:prstGeom prst="rect">
                      <a:avLst/>
                    </a:prstGeom>
                    <a:noFill/>
                    <a:ln>
                      <a:noFill/>
                    </a:ln>
                  </pic:spPr>
                </pic:pic>
              </a:graphicData>
            </a:graphic>
          </wp:inline>
        </w:drawing>
      </w:r>
    </w:p>
    <w:p w14:paraId="560D791D" w14:textId="6E2FD1E0" w:rsidR="00D12B10" w:rsidRPr="00D12B10" w:rsidRDefault="00D12B10" w:rsidP="00740922">
      <w:pPr>
        <w:rPr>
          <w:rFonts w:ascii="Times New Roman" w:hAnsi="Times New Roman" w:cs="Times New Roman"/>
          <w:sz w:val="24"/>
          <w:szCs w:val="24"/>
        </w:rPr>
      </w:pPr>
    </w:p>
    <w:p w14:paraId="0ABE6DD4" w14:textId="77777777" w:rsidR="0079557D" w:rsidRDefault="0079557D" w:rsidP="0079557D">
      <w:pPr>
        <w:rPr>
          <w:rFonts w:ascii="Times New Roman" w:hAnsi="Times New Roman" w:cs="Times New Roman"/>
          <w:sz w:val="24"/>
          <w:szCs w:val="24"/>
        </w:rPr>
      </w:pPr>
    </w:p>
    <w:sectPr w:rsidR="0079557D" w:rsidSect="00F45832">
      <w:footerReference w:type="default" r:id="rId35"/>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18FD1" w15:done="0"/>
  <w15:commentEx w15:paraId="16AF9966" w15:done="0"/>
  <w15:commentEx w15:paraId="1071248D" w15:done="0"/>
  <w15:commentEx w15:paraId="7C403A9F" w15:done="0"/>
  <w15:commentEx w15:paraId="2238F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FADF" w14:textId="77777777" w:rsidR="004842F7" w:rsidRDefault="004842F7" w:rsidP="007F6F00">
      <w:pPr>
        <w:spacing w:after="0" w:line="240" w:lineRule="auto"/>
      </w:pPr>
      <w:r>
        <w:separator/>
      </w:r>
    </w:p>
  </w:endnote>
  <w:endnote w:type="continuationSeparator" w:id="0">
    <w:p w14:paraId="3D19F3F9" w14:textId="77777777" w:rsidR="004842F7" w:rsidRDefault="004842F7" w:rsidP="007F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BTimes">
    <w:altName w:val="WB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1" w:usb1="08070000" w:usb2="00000010" w:usb3="00000000" w:csb0="00020000" w:csb1="00000000"/>
  </w:font>
  <w:font w:name="AdvOT8608a8d1+25">
    <w:altName w:val="MS Gothic"/>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7153"/>
      <w:docPartObj>
        <w:docPartGallery w:val="Page Numbers (Bottom of Page)"/>
        <w:docPartUnique/>
      </w:docPartObj>
    </w:sdtPr>
    <w:sdtEndPr>
      <w:rPr>
        <w:noProof/>
      </w:rPr>
    </w:sdtEndPr>
    <w:sdtContent>
      <w:p w14:paraId="1E51EE7C" w14:textId="77777777" w:rsidR="00F16738" w:rsidRDefault="00F16738">
        <w:pPr>
          <w:pStyle w:val="Footer"/>
          <w:jc w:val="center"/>
        </w:pPr>
        <w:r>
          <w:fldChar w:fldCharType="begin"/>
        </w:r>
        <w:r>
          <w:instrText xml:space="preserve"> PAGE   \* MERGEFORMAT </w:instrText>
        </w:r>
        <w:r>
          <w:fldChar w:fldCharType="separate"/>
        </w:r>
        <w:r w:rsidR="008C05BD">
          <w:rPr>
            <w:noProof/>
          </w:rPr>
          <w:t>31</w:t>
        </w:r>
        <w:r>
          <w:rPr>
            <w:noProof/>
          </w:rPr>
          <w:fldChar w:fldCharType="end"/>
        </w:r>
      </w:p>
    </w:sdtContent>
  </w:sdt>
  <w:p w14:paraId="4836DEBE" w14:textId="77777777" w:rsidR="00F16738" w:rsidRDefault="00F1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7B9D" w14:textId="77777777" w:rsidR="004842F7" w:rsidRDefault="004842F7" w:rsidP="007F6F00">
      <w:pPr>
        <w:spacing w:after="0" w:line="240" w:lineRule="auto"/>
      </w:pPr>
      <w:r>
        <w:separator/>
      </w:r>
    </w:p>
  </w:footnote>
  <w:footnote w:type="continuationSeparator" w:id="0">
    <w:p w14:paraId="73260BF5" w14:textId="77777777" w:rsidR="004842F7" w:rsidRDefault="004842F7" w:rsidP="007F6F00">
      <w:pPr>
        <w:spacing w:after="0" w:line="240" w:lineRule="auto"/>
      </w:pPr>
      <w:r>
        <w:continuationSeparator/>
      </w:r>
    </w:p>
  </w:footnote>
  <w:footnote w:id="1">
    <w:p w14:paraId="5AFECEB6" w14:textId="77777777" w:rsidR="00F16738" w:rsidRDefault="00F16738" w:rsidP="00F759C4">
      <w:pPr>
        <w:pStyle w:val="FootnoteText"/>
      </w:pPr>
      <w:r>
        <w:rPr>
          <w:rStyle w:val="FootnoteReference"/>
        </w:rPr>
        <w:footnoteRef/>
      </w:r>
      <w:r>
        <w:t xml:space="preserve"> </w:t>
      </w:r>
      <w:r w:rsidRPr="00F93210">
        <w:t xml:space="preserve">  The EU’s Regulation, Evaluation, Authorisation and Restriction of Chemicals</w:t>
      </w:r>
    </w:p>
  </w:footnote>
  <w:footnote w:id="2">
    <w:p w14:paraId="1D0D2239" w14:textId="77777777" w:rsidR="00DF3612" w:rsidRDefault="00DF3612" w:rsidP="00DF3612">
      <w:pPr>
        <w:pStyle w:val="FootnoteText"/>
      </w:pPr>
      <w:r>
        <w:rPr>
          <w:rStyle w:val="FootnoteReference"/>
        </w:rPr>
        <w:footnoteRef/>
      </w:r>
      <w:r>
        <w:t xml:space="preserve"> https://markavery.info/2017/12/06/forest-enterprise-nontoxic-ammunition/</w:t>
      </w:r>
    </w:p>
    <w:p w14:paraId="1BE6AD8A" w14:textId="77777777" w:rsidR="00DF3612" w:rsidRDefault="00DF3612" w:rsidP="00DF3612">
      <w:pPr>
        <w:pStyle w:val="FootnoteText"/>
      </w:pPr>
      <w:r>
        <w:t xml:space="preserve">  https://markavery.info/2018/12/20/lead-free-venison-from-scotland/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196"/>
    <w:multiLevelType w:val="multilevel"/>
    <w:tmpl w:val="F5B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E37B7"/>
    <w:multiLevelType w:val="hybridMultilevel"/>
    <w:tmpl w:val="3104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67A7C"/>
    <w:multiLevelType w:val="multilevel"/>
    <w:tmpl w:val="7F1A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B4067"/>
    <w:multiLevelType w:val="hybridMultilevel"/>
    <w:tmpl w:val="00C86EE2"/>
    <w:lvl w:ilvl="0" w:tplc="C5ACD3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A74885"/>
    <w:multiLevelType w:val="multilevel"/>
    <w:tmpl w:val="7F22B8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D55720F"/>
    <w:multiLevelType w:val="hybridMultilevel"/>
    <w:tmpl w:val="0F0EFE76"/>
    <w:lvl w:ilvl="0" w:tplc="B7ACEC18">
      <w:start w:val="1"/>
      <w:numFmt w:val="lowerLetter"/>
      <w:lvlText w:val="(%1)"/>
      <w:lvlJc w:val="left"/>
      <w:pPr>
        <w:ind w:left="405" w:hanging="360"/>
      </w:pPr>
      <w:rPr>
        <w:rFonts w:asciiTheme="minorHAnsi" w:eastAsia="Times New Roman" w:hAnsiTheme="minorHAnsi" w:cs="Times New Roman"/>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B7"/>
    <w:rsid w:val="00000B88"/>
    <w:rsid w:val="00000C22"/>
    <w:rsid w:val="000034A8"/>
    <w:rsid w:val="0000478D"/>
    <w:rsid w:val="00007C07"/>
    <w:rsid w:val="00012AEF"/>
    <w:rsid w:val="00016709"/>
    <w:rsid w:val="000179E5"/>
    <w:rsid w:val="00020040"/>
    <w:rsid w:val="000234A2"/>
    <w:rsid w:val="0002361D"/>
    <w:rsid w:val="0002406C"/>
    <w:rsid w:val="00025C77"/>
    <w:rsid w:val="00030BBA"/>
    <w:rsid w:val="000331ED"/>
    <w:rsid w:val="000354E6"/>
    <w:rsid w:val="000430F2"/>
    <w:rsid w:val="0004566D"/>
    <w:rsid w:val="00046046"/>
    <w:rsid w:val="00047199"/>
    <w:rsid w:val="0004775A"/>
    <w:rsid w:val="00055737"/>
    <w:rsid w:val="00055A2C"/>
    <w:rsid w:val="0006156B"/>
    <w:rsid w:val="00061F87"/>
    <w:rsid w:val="00061FB5"/>
    <w:rsid w:val="0006207B"/>
    <w:rsid w:val="00062318"/>
    <w:rsid w:val="000628FD"/>
    <w:rsid w:val="00062E1E"/>
    <w:rsid w:val="000657C3"/>
    <w:rsid w:val="00066CA8"/>
    <w:rsid w:val="00070F23"/>
    <w:rsid w:val="00073543"/>
    <w:rsid w:val="000766B8"/>
    <w:rsid w:val="00082F6B"/>
    <w:rsid w:val="00086995"/>
    <w:rsid w:val="000870AA"/>
    <w:rsid w:val="0009370B"/>
    <w:rsid w:val="00094DC2"/>
    <w:rsid w:val="000968E5"/>
    <w:rsid w:val="00097343"/>
    <w:rsid w:val="000975FB"/>
    <w:rsid w:val="000A07C8"/>
    <w:rsid w:val="000A1210"/>
    <w:rsid w:val="000A206F"/>
    <w:rsid w:val="000A4AEA"/>
    <w:rsid w:val="000B4369"/>
    <w:rsid w:val="000B5D88"/>
    <w:rsid w:val="000C0D41"/>
    <w:rsid w:val="000C188A"/>
    <w:rsid w:val="000C2240"/>
    <w:rsid w:val="000C3736"/>
    <w:rsid w:val="000D16D3"/>
    <w:rsid w:val="000D2340"/>
    <w:rsid w:val="000D53CB"/>
    <w:rsid w:val="000D599E"/>
    <w:rsid w:val="000D63DE"/>
    <w:rsid w:val="000D6FB9"/>
    <w:rsid w:val="000E55B7"/>
    <w:rsid w:val="000E6B43"/>
    <w:rsid w:val="000E7273"/>
    <w:rsid w:val="000F0651"/>
    <w:rsid w:val="000F2508"/>
    <w:rsid w:val="000F3CD9"/>
    <w:rsid w:val="000F4DBE"/>
    <w:rsid w:val="001018C0"/>
    <w:rsid w:val="00101A72"/>
    <w:rsid w:val="00104B3E"/>
    <w:rsid w:val="00107098"/>
    <w:rsid w:val="0011136B"/>
    <w:rsid w:val="0011150D"/>
    <w:rsid w:val="00113ACE"/>
    <w:rsid w:val="001140F9"/>
    <w:rsid w:val="001140FE"/>
    <w:rsid w:val="0011519D"/>
    <w:rsid w:val="0012453D"/>
    <w:rsid w:val="00127DFC"/>
    <w:rsid w:val="00131E2D"/>
    <w:rsid w:val="00132A53"/>
    <w:rsid w:val="0013587D"/>
    <w:rsid w:val="00135A52"/>
    <w:rsid w:val="001375A7"/>
    <w:rsid w:val="00143AE8"/>
    <w:rsid w:val="0014640C"/>
    <w:rsid w:val="001570F1"/>
    <w:rsid w:val="00166C73"/>
    <w:rsid w:val="00171C9E"/>
    <w:rsid w:val="00172F39"/>
    <w:rsid w:val="00174252"/>
    <w:rsid w:val="00174476"/>
    <w:rsid w:val="00174DB4"/>
    <w:rsid w:val="00175814"/>
    <w:rsid w:val="00176397"/>
    <w:rsid w:val="001811AC"/>
    <w:rsid w:val="00187CD3"/>
    <w:rsid w:val="00187ED0"/>
    <w:rsid w:val="00193106"/>
    <w:rsid w:val="001A016A"/>
    <w:rsid w:val="001A1995"/>
    <w:rsid w:val="001A305A"/>
    <w:rsid w:val="001B153E"/>
    <w:rsid w:val="001B5A3A"/>
    <w:rsid w:val="001C2828"/>
    <w:rsid w:val="001C3D1A"/>
    <w:rsid w:val="001C56EA"/>
    <w:rsid w:val="001C7C40"/>
    <w:rsid w:val="001D14BE"/>
    <w:rsid w:val="001D6558"/>
    <w:rsid w:val="001D657C"/>
    <w:rsid w:val="001E13CC"/>
    <w:rsid w:val="001E1F85"/>
    <w:rsid w:val="001E3319"/>
    <w:rsid w:val="001E381C"/>
    <w:rsid w:val="001E7476"/>
    <w:rsid w:val="001F1D17"/>
    <w:rsid w:val="001F2245"/>
    <w:rsid w:val="001F6A7B"/>
    <w:rsid w:val="002025BF"/>
    <w:rsid w:val="00205AFB"/>
    <w:rsid w:val="00206CF8"/>
    <w:rsid w:val="002073DA"/>
    <w:rsid w:val="00212D8D"/>
    <w:rsid w:val="00213390"/>
    <w:rsid w:val="00213613"/>
    <w:rsid w:val="00213FC0"/>
    <w:rsid w:val="00215797"/>
    <w:rsid w:val="00216B77"/>
    <w:rsid w:val="00217CD7"/>
    <w:rsid w:val="00222AED"/>
    <w:rsid w:val="00222F91"/>
    <w:rsid w:val="00223FE8"/>
    <w:rsid w:val="00224923"/>
    <w:rsid w:val="002253C9"/>
    <w:rsid w:val="00226634"/>
    <w:rsid w:val="00227574"/>
    <w:rsid w:val="0023010D"/>
    <w:rsid w:val="002371C5"/>
    <w:rsid w:val="0023760B"/>
    <w:rsid w:val="00237E2E"/>
    <w:rsid w:val="00240EC1"/>
    <w:rsid w:val="00241F4B"/>
    <w:rsid w:val="00242855"/>
    <w:rsid w:val="002527F4"/>
    <w:rsid w:val="0025302B"/>
    <w:rsid w:val="0025357D"/>
    <w:rsid w:val="0025422E"/>
    <w:rsid w:val="00254BF5"/>
    <w:rsid w:val="00260E05"/>
    <w:rsid w:val="002616AA"/>
    <w:rsid w:val="002659C4"/>
    <w:rsid w:val="002661B4"/>
    <w:rsid w:val="002735D4"/>
    <w:rsid w:val="00273ADB"/>
    <w:rsid w:val="00275203"/>
    <w:rsid w:val="002757AD"/>
    <w:rsid w:val="00275E0A"/>
    <w:rsid w:val="0027686F"/>
    <w:rsid w:val="00276991"/>
    <w:rsid w:val="002823A6"/>
    <w:rsid w:val="00282CC6"/>
    <w:rsid w:val="00283A4C"/>
    <w:rsid w:val="002840BA"/>
    <w:rsid w:val="002843F9"/>
    <w:rsid w:val="00285F34"/>
    <w:rsid w:val="00296C0D"/>
    <w:rsid w:val="002A039D"/>
    <w:rsid w:val="002A3190"/>
    <w:rsid w:val="002A3923"/>
    <w:rsid w:val="002A45C8"/>
    <w:rsid w:val="002A48CF"/>
    <w:rsid w:val="002A702F"/>
    <w:rsid w:val="002A7A72"/>
    <w:rsid w:val="002A7B81"/>
    <w:rsid w:val="002B013D"/>
    <w:rsid w:val="002B1218"/>
    <w:rsid w:val="002B32D8"/>
    <w:rsid w:val="002B33E0"/>
    <w:rsid w:val="002B36DD"/>
    <w:rsid w:val="002B535C"/>
    <w:rsid w:val="002B6A89"/>
    <w:rsid w:val="002C0D06"/>
    <w:rsid w:val="002C264A"/>
    <w:rsid w:val="002C4FE8"/>
    <w:rsid w:val="002C6C01"/>
    <w:rsid w:val="002C6F4F"/>
    <w:rsid w:val="002C7C05"/>
    <w:rsid w:val="002D69CE"/>
    <w:rsid w:val="002E21ED"/>
    <w:rsid w:val="002E3191"/>
    <w:rsid w:val="002E67C3"/>
    <w:rsid w:val="002F113E"/>
    <w:rsid w:val="002F213F"/>
    <w:rsid w:val="002F2331"/>
    <w:rsid w:val="002F265E"/>
    <w:rsid w:val="002F3513"/>
    <w:rsid w:val="002F5814"/>
    <w:rsid w:val="002F76F2"/>
    <w:rsid w:val="00303358"/>
    <w:rsid w:val="00303BBB"/>
    <w:rsid w:val="00307551"/>
    <w:rsid w:val="00311EE4"/>
    <w:rsid w:val="00312AC4"/>
    <w:rsid w:val="00313883"/>
    <w:rsid w:val="00313C64"/>
    <w:rsid w:val="00313CD0"/>
    <w:rsid w:val="0031685D"/>
    <w:rsid w:val="00317DD1"/>
    <w:rsid w:val="00321109"/>
    <w:rsid w:val="00323ECE"/>
    <w:rsid w:val="003328E6"/>
    <w:rsid w:val="00341276"/>
    <w:rsid w:val="0034135B"/>
    <w:rsid w:val="00341923"/>
    <w:rsid w:val="003450C9"/>
    <w:rsid w:val="0034715C"/>
    <w:rsid w:val="0035100E"/>
    <w:rsid w:val="00354801"/>
    <w:rsid w:val="00355A9F"/>
    <w:rsid w:val="003654CE"/>
    <w:rsid w:val="00365F24"/>
    <w:rsid w:val="003669FD"/>
    <w:rsid w:val="00367A00"/>
    <w:rsid w:val="0037202A"/>
    <w:rsid w:val="0037209B"/>
    <w:rsid w:val="003735D5"/>
    <w:rsid w:val="00374CF1"/>
    <w:rsid w:val="00375414"/>
    <w:rsid w:val="00377E98"/>
    <w:rsid w:val="00380326"/>
    <w:rsid w:val="00380775"/>
    <w:rsid w:val="00381A0D"/>
    <w:rsid w:val="00383BF5"/>
    <w:rsid w:val="003849DC"/>
    <w:rsid w:val="003865AF"/>
    <w:rsid w:val="00387441"/>
    <w:rsid w:val="00387C53"/>
    <w:rsid w:val="003908CD"/>
    <w:rsid w:val="00392ECE"/>
    <w:rsid w:val="00393F10"/>
    <w:rsid w:val="00395A73"/>
    <w:rsid w:val="003A00DA"/>
    <w:rsid w:val="003A0AED"/>
    <w:rsid w:val="003A5C2E"/>
    <w:rsid w:val="003A6362"/>
    <w:rsid w:val="003A6C0B"/>
    <w:rsid w:val="003B0150"/>
    <w:rsid w:val="003B2FD0"/>
    <w:rsid w:val="003B3E39"/>
    <w:rsid w:val="003B5A32"/>
    <w:rsid w:val="003B65C0"/>
    <w:rsid w:val="003C1F32"/>
    <w:rsid w:val="003C3562"/>
    <w:rsid w:val="003C3627"/>
    <w:rsid w:val="003C4339"/>
    <w:rsid w:val="003C6693"/>
    <w:rsid w:val="003C7F86"/>
    <w:rsid w:val="003D0702"/>
    <w:rsid w:val="003D1ABD"/>
    <w:rsid w:val="003D21C6"/>
    <w:rsid w:val="003D4FB5"/>
    <w:rsid w:val="003D5148"/>
    <w:rsid w:val="003D5B17"/>
    <w:rsid w:val="003D6C95"/>
    <w:rsid w:val="003D6D9E"/>
    <w:rsid w:val="003D737C"/>
    <w:rsid w:val="003E13F9"/>
    <w:rsid w:val="003E3A53"/>
    <w:rsid w:val="003E4562"/>
    <w:rsid w:val="003E53E6"/>
    <w:rsid w:val="003E5538"/>
    <w:rsid w:val="003E6920"/>
    <w:rsid w:val="003E7C31"/>
    <w:rsid w:val="003F0070"/>
    <w:rsid w:val="003F1B56"/>
    <w:rsid w:val="003F31A6"/>
    <w:rsid w:val="003F47B3"/>
    <w:rsid w:val="003F4A45"/>
    <w:rsid w:val="00403BF8"/>
    <w:rsid w:val="0040418C"/>
    <w:rsid w:val="00405BD4"/>
    <w:rsid w:val="00406B8F"/>
    <w:rsid w:val="00410310"/>
    <w:rsid w:val="00410D2E"/>
    <w:rsid w:val="00417BF5"/>
    <w:rsid w:val="00421D9B"/>
    <w:rsid w:val="00424C8E"/>
    <w:rsid w:val="00425C2D"/>
    <w:rsid w:val="004264BF"/>
    <w:rsid w:val="004269B1"/>
    <w:rsid w:val="00426C45"/>
    <w:rsid w:val="00430FEF"/>
    <w:rsid w:val="004318EB"/>
    <w:rsid w:val="00432A36"/>
    <w:rsid w:val="00432A4C"/>
    <w:rsid w:val="00445933"/>
    <w:rsid w:val="00450A67"/>
    <w:rsid w:val="004517A0"/>
    <w:rsid w:val="00454BCE"/>
    <w:rsid w:val="004559FA"/>
    <w:rsid w:val="00457644"/>
    <w:rsid w:val="0046005C"/>
    <w:rsid w:val="0046024F"/>
    <w:rsid w:val="00464BCE"/>
    <w:rsid w:val="00466F95"/>
    <w:rsid w:val="004677BC"/>
    <w:rsid w:val="00470CFF"/>
    <w:rsid w:val="00473FC6"/>
    <w:rsid w:val="00480078"/>
    <w:rsid w:val="004809A3"/>
    <w:rsid w:val="004840CD"/>
    <w:rsid w:val="004842F7"/>
    <w:rsid w:val="004875E5"/>
    <w:rsid w:val="00487C04"/>
    <w:rsid w:val="0049715B"/>
    <w:rsid w:val="004A11BC"/>
    <w:rsid w:val="004A7053"/>
    <w:rsid w:val="004C6D2A"/>
    <w:rsid w:val="004D03DC"/>
    <w:rsid w:val="004D6736"/>
    <w:rsid w:val="004D7012"/>
    <w:rsid w:val="004E306F"/>
    <w:rsid w:val="004E51BC"/>
    <w:rsid w:val="004E6EEE"/>
    <w:rsid w:val="004E751F"/>
    <w:rsid w:val="004E7BC5"/>
    <w:rsid w:val="004F1FE4"/>
    <w:rsid w:val="004F51B0"/>
    <w:rsid w:val="004F58B4"/>
    <w:rsid w:val="005005D8"/>
    <w:rsid w:val="00501631"/>
    <w:rsid w:val="005048DA"/>
    <w:rsid w:val="00512EE6"/>
    <w:rsid w:val="0051556E"/>
    <w:rsid w:val="005157D4"/>
    <w:rsid w:val="0051667F"/>
    <w:rsid w:val="005221AB"/>
    <w:rsid w:val="005225B4"/>
    <w:rsid w:val="00532D11"/>
    <w:rsid w:val="00543601"/>
    <w:rsid w:val="00552D81"/>
    <w:rsid w:val="00554F1B"/>
    <w:rsid w:val="005550B0"/>
    <w:rsid w:val="00556486"/>
    <w:rsid w:val="00557597"/>
    <w:rsid w:val="00560D3A"/>
    <w:rsid w:val="00560EAF"/>
    <w:rsid w:val="00561FAD"/>
    <w:rsid w:val="005650CD"/>
    <w:rsid w:val="00566870"/>
    <w:rsid w:val="00567A83"/>
    <w:rsid w:val="00570D78"/>
    <w:rsid w:val="00576676"/>
    <w:rsid w:val="005801CA"/>
    <w:rsid w:val="00583818"/>
    <w:rsid w:val="005929B8"/>
    <w:rsid w:val="00593445"/>
    <w:rsid w:val="00594D5C"/>
    <w:rsid w:val="0059666C"/>
    <w:rsid w:val="0059668F"/>
    <w:rsid w:val="00596D52"/>
    <w:rsid w:val="00597767"/>
    <w:rsid w:val="005A11CA"/>
    <w:rsid w:val="005A16AD"/>
    <w:rsid w:val="005A2928"/>
    <w:rsid w:val="005A29D8"/>
    <w:rsid w:val="005A4EBF"/>
    <w:rsid w:val="005A5542"/>
    <w:rsid w:val="005B1628"/>
    <w:rsid w:val="005B410E"/>
    <w:rsid w:val="005B718D"/>
    <w:rsid w:val="005C04DB"/>
    <w:rsid w:val="005C3A4C"/>
    <w:rsid w:val="005C4C5E"/>
    <w:rsid w:val="005C58E6"/>
    <w:rsid w:val="005C66EC"/>
    <w:rsid w:val="005D2AF3"/>
    <w:rsid w:val="005D3042"/>
    <w:rsid w:val="005D3073"/>
    <w:rsid w:val="005D6610"/>
    <w:rsid w:val="005D72E1"/>
    <w:rsid w:val="005E0332"/>
    <w:rsid w:val="005E31D7"/>
    <w:rsid w:val="005E32AA"/>
    <w:rsid w:val="005E6546"/>
    <w:rsid w:val="005E66F6"/>
    <w:rsid w:val="005E7011"/>
    <w:rsid w:val="005E79DD"/>
    <w:rsid w:val="005F2E2A"/>
    <w:rsid w:val="005F3319"/>
    <w:rsid w:val="005F4975"/>
    <w:rsid w:val="005F4C7B"/>
    <w:rsid w:val="005F6E7E"/>
    <w:rsid w:val="0060003B"/>
    <w:rsid w:val="00601AA0"/>
    <w:rsid w:val="006057C7"/>
    <w:rsid w:val="0061336C"/>
    <w:rsid w:val="00614892"/>
    <w:rsid w:val="0061589C"/>
    <w:rsid w:val="0062135A"/>
    <w:rsid w:val="0062292A"/>
    <w:rsid w:val="00622F66"/>
    <w:rsid w:val="00624FEC"/>
    <w:rsid w:val="006260C4"/>
    <w:rsid w:val="00626637"/>
    <w:rsid w:val="006270CE"/>
    <w:rsid w:val="00630F6E"/>
    <w:rsid w:val="006323C1"/>
    <w:rsid w:val="00635E0F"/>
    <w:rsid w:val="00636CA4"/>
    <w:rsid w:val="006371B6"/>
    <w:rsid w:val="00637997"/>
    <w:rsid w:val="0064316A"/>
    <w:rsid w:val="006448C4"/>
    <w:rsid w:val="00644D67"/>
    <w:rsid w:val="00645C4F"/>
    <w:rsid w:val="00646FA7"/>
    <w:rsid w:val="00650783"/>
    <w:rsid w:val="00653021"/>
    <w:rsid w:val="0065459D"/>
    <w:rsid w:val="00655B41"/>
    <w:rsid w:val="00657AE6"/>
    <w:rsid w:val="006606D4"/>
    <w:rsid w:val="00660A3B"/>
    <w:rsid w:val="00661A52"/>
    <w:rsid w:val="00662377"/>
    <w:rsid w:val="0066761A"/>
    <w:rsid w:val="0067686E"/>
    <w:rsid w:val="0068065E"/>
    <w:rsid w:val="006819D3"/>
    <w:rsid w:val="006829B6"/>
    <w:rsid w:val="006858E5"/>
    <w:rsid w:val="00685DEF"/>
    <w:rsid w:val="006963B5"/>
    <w:rsid w:val="006A0FEE"/>
    <w:rsid w:val="006A2A80"/>
    <w:rsid w:val="006A5B02"/>
    <w:rsid w:val="006A6B87"/>
    <w:rsid w:val="006B1E91"/>
    <w:rsid w:val="006B3609"/>
    <w:rsid w:val="006C1446"/>
    <w:rsid w:val="006C40DA"/>
    <w:rsid w:val="006C4BE3"/>
    <w:rsid w:val="006D0E58"/>
    <w:rsid w:val="006E19FB"/>
    <w:rsid w:val="006E3D9D"/>
    <w:rsid w:val="006E3DE7"/>
    <w:rsid w:val="006F05DD"/>
    <w:rsid w:val="006F17A6"/>
    <w:rsid w:val="006F4DA2"/>
    <w:rsid w:val="006F63AA"/>
    <w:rsid w:val="006F6F58"/>
    <w:rsid w:val="006F780B"/>
    <w:rsid w:val="007025AD"/>
    <w:rsid w:val="0070290B"/>
    <w:rsid w:val="00705B90"/>
    <w:rsid w:val="00706B01"/>
    <w:rsid w:val="00707060"/>
    <w:rsid w:val="00707CE2"/>
    <w:rsid w:val="00710460"/>
    <w:rsid w:val="00710FA3"/>
    <w:rsid w:val="00711643"/>
    <w:rsid w:val="007129E1"/>
    <w:rsid w:val="007211FA"/>
    <w:rsid w:val="00722536"/>
    <w:rsid w:val="00722657"/>
    <w:rsid w:val="00724735"/>
    <w:rsid w:val="007247F7"/>
    <w:rsid w:val="00736A60"/>
    <w:rsid w:val="00740922"/>
    <w:rsid w:val="007473C7"/>
    <w:rsid w:val="007521C3"/>
    <w:rsid w:val="007525FA"/>
    <w:rsid w:val="00754241"/>
    <w:rsid w:val="007563A8"/>
    <w:rsid w:val="007636B7"/>
    <w:rsid w:val="00765031"/>
    <w:rsid w:val="00765298"/>
    <w:rsid w:val="00765D6D"/>
    <w:rsid w:val="007672D1"/>
    <w:rsid w:val="0077372E"/>
    <w:rsid w:val="007757EE"/>
    <w:rsid w:val="007762B5"/>
    <w:rsid w:val="00777A68"/>
    <w:rsid w:val="00782477"/>
    <w:rsid w:val="00782AA9"/>
    <w:rsid w:val="00783253"/>
    <w:rsid w:val="00786D9A"/>
    <w:rsid w:val="0079073B"/>
    <w:rsid w:val="007937E9"/>
    <w:rsid w:val="00793E36"/>
    <w:rsid w:val="00793E48"/>
    <w:rsid w:val="0079557D"/>
    <w:rsid w:val="007A0716"/>
    <w:rsid w:val="007A0A44"/>
    <w:rsid w:val="007A3D55"/>
    <w:rsid w:val="007A4B4C"/>
    <w:rsid w:val="007B1A84"/>
    <w:rsid w:val="007B5049"/>
    <w:rsid w:val="007B55E2"/>
    <w:rsid w:val="007B70ED"/>
    <w:rsid w:val="007C2C2D"/>
    <w:rsid w:val="007D0F45"/>
    <w:rsid w:val="007D2C32"/>
    <w:rsid w:val="007D74EC"/>
    <w:rsid w:val="007E1F16"/>
    <w:rsid w:val="007E4E88"/>
    <w:rsid w:val="007F0250"/>
    <w:rsid w:val="007F379F"/>
    <w:rsid w:val="007F4E57"/>
    <w:rsid w:val="007F59AA"/>
    <w:rsid w:val="007F6552"/>
    <w:rsid w:val="007F6F00"/>
    <w:rsid w:val="00800EC4"/>
    <w:rsid w:val="008029BF"/>
    <w:rsid w:val="00807853"/>
    <w:rsid w:val="00807B7D"/>
    <w:rsid w:val="00812487"/>
    <w:rsid w:val="008127AD"/>
    <w:rsid w:val="00814303"/>
    <w:rsid w:val="00814DB4"/>
    <w:rsid w:val="0082097D"/>
    <w:rsid w:val="0082106A"/>
    <w:rsid w:val="0082413E"/>
    <w:rsid w:val="008275E1"/>
    <w:rsid w:val="0083033F"/>
    <w:rsid w:val="00832A32"/>
    <w:rsid w:val="00834BFF"/>
    <w:rsid w:val="00842444"/>
    <w:rsid w:val="00843473"/>
    <w:rsid w:val="008472A0"/>
    <w:rsid w:val="00855DA0"/>
    <w:rsid w:val="00861654"/>
    <w:rsid w:val="0086380C"/>
    <w:rsid w:val="00863BC9"/>
    <w:rsid w:val="00865A2D"/>
    <w:rsid w:val="00867369"/>
    <w:rsid w:val="00871DBD"/>
    <w:rsid w:val="00876A19"/>
    <w:rsid w:val="00882086"/>
    <w:rsid w:val="00882955"/>
    <w:rsid w:val="00884488"/>
    <w:rsid w:val="008907D8"/>
    <w:rsid w:val="008910DE"/>
    <w:rsid w:val="00891286"/>
    <w:rsid w:val="00897018"/>
    <w:rsid w:val="008A273F"/>
    <w:rsid w:val="008A3A8B"/>
    <w:rsid w:val="008A78BF"/>
    <w:rsid w:val="008B0B57"/>
    <w:rsid w:val="008B4BF4"/>
    <w:rsid w:val="008C0378"/>
    <w:rsid w:val="008C05BD"/>
    <w:rsid w:val="008C1488"/>
    <w:rsid w:val="008C279D"/>
    <w:rsid w:val="008C3EA1"/>
    <w:rsid w:val="008D1C20"/>
    <w:rsid w:val="008D237C"/>
    <w:rsid w:val="008D3D9D"/>
    <w:rsid w:val="008D418B"/>
    <w:rsid w:val="008D5291"/>
    <w:rsid w:val="008D54AE"/>
    <w:rsid w:val="008D725F"/>
    <w:rsid w:val="008E0AC5"/>
    <w:rsid w:val="008E24C3"/>
    <w:rsid w:val="008E5EF9"/>
    <w:rsid w:val="008E7EBB"/>
    <w:rsid w:val="00900027"/>
    <w:rsid w:val="009051D6"/>
    <w:rsid w:val="0090540C"/>
    <w:rsid w:val="00906AAB"/>
    <w:rsid w:val="0090711A"/>
    <w:rsid w:val="0091581D"/>
    <w:rsid w:val="009217C8"/>
    <w:rsid w:val="00922CB0"/>
    <w:rsid w:val="00924377"/>
    <w:rsid w:val="009245E8"/>
    <w:rsid w:val="009272AB"/>
    <w:rsid w:val="00927E74"/>
    <w:rsid w:val="0093062C"/>
    <w:rsid w:val="0093136B"/>
    <w:rsid w:val="00931D45"/>
    <w:rsid w:val="009349FC"/>
    <w:rsid w:val="00936450"/>
    <w:rsid w:val="00937E24"/>
    <w:rsid w:val="0094621E"/>
    <w:rsid w:val="00951746"/>
    <w:rsid w:val="00951914"/>
    <w:rsid w:val="00953081"/>
    <w:rsid w:val="00955326"/>
    <w:rsid w:val="009576BC"/>
    <w:rsid w:val="00963CD3"/>
    <w:rsid w:val="00967DAA"/>
    <w:rsid w:val="009716B5"/>
    <w:rsid w:val="009716C8"/>
    <w:rsid w:val="00971A0A"/>
    <w:rsid w:val="0097480F"/>
    <w:rsid w:val="0097693A"/>
    <w:rsid w:val="00980FC0"/>
    <w:rsid w:val="00982352"/>
    <w:rsid w:val="0098437B"/>
    <w:rsid w:val="009856DE"/>
    <w:rsid w:val="009864B5"/>
    <w:rsid w:val="00992E76"/>
    <w:rsid w:val="00994B38"/>
    <w:rsid w:val="00995886"/>
    <w:rsid w:val="009A3D60"/>
    <w:rsid w:val="009B28EF"/>
    <w:rsid w:val="009B2BC8"/>
    <w:rsid w:val="009B3984"/>
    <w:rsid w:val="009B43F4"/>
    <w:rsid w:val="009B5170"/>
    <w:rsid w:val="009B61E1"/>
    <w:rsid w:val="009B633B"/>
    <w:rsid w:val="009C0F03"/>
    <w:rsid w:val="009D0B99"/>
    <w:rsid w:val="009D3B72"/>
    <w:rsid w:val="009D4640"/>
    <w:rsid w:val="009E2599"/>
    <w:rsid w:val="009E2B77"/>
    <w:rsid w:val="009E4746"/>
    <w:rsid w:val="009F0A0B"/>
    <w:rsid w:val="009F2A16"/>
    <w:rsid w:val="009F357F"/>
    <w:rsid w:val="009F3A2B"/>
    <w:rsid w:val="009F3C6C"/>
    <w:rsid w:val="009F7716"/>
    <w:rsid w:val="00A05DEC"/>
    <w:rsid w:val="00A073D5"/>
    <w:rsid w:val="00A10669"/>
    <w:rsid w:val="00A1299D"/>
    <w:rsid w:val="00A145B2"/>
    <w:rsid w:val="00A14C8F"/>
    <w:rsid w:val="00A156BA"/>
    <w:rsid w:val="00A235B2"/>
    <w:rsid w:val="00A2527B"/>
    <w:rsid w:val="00A2566D"/>
    <w:rsid w:val="00A333C7"/>
    <w:rsid w:val="00A367CF"/>
    <w:rsid w:val="00A36D25"/>
    <w:rsid w:val="00A4230A"/>
    <w:rsid w:val="00A438F6"/>
    <w:rsid w:val="00A462BF"/>
    <w:rsid w:val="00A52806"/>
    <w:rsid w:val="00A533BD"/>
    <w:rsid w:val="00A54CF9"/>
    <w:rsid w:val="00A54E1A"/>
    <w:rsid w:val="00A55D94"/>
    <w:rsid w:val="00A7770A"/>
    <w:rsid w:val="00A801FA"/>
    <w:rsid w:val="00A80E04"/>
    <w:rsid w:val="00A80F9B"/>
    <w:rsid w:val="00A85C5A"/>
    <w:rsid w:val="00A86468"/>
    <w:rsid w:val="00A900D6"/>
    <w:rsid w:val="00A94449"/>
    <w:rsid w:val="00A94DEF"/>
    <w:rsid w:val="00A95687"/>
    <w:rsid w:val="00AA369C"/>
    <w:rsid w:val="00AA50FB"/>
    <w:rsid w:val="00AB0528"/>
    <w:rsid w:val="00AB3F2E"/>
    <w:rsid w:val="00AB5F77"/>
    <w:rsid w:val="00AB7437"/>
    <w:rsid w:val="00AB7B4C"/>
    <w:rsid w:val="00AC5AB4"/>
    <w:rsid w:val="00AC5CC5"/>
    <w:rsid w:val="00AC6229"/>
    <w:rsid w:val="00AD0B90"/>
    <w:rsid w:val="00AD1A35"/>
    <w:rsid w:val="00AD47F5"/>
    <w:rsid w:val="00AD55B2"/>
    <w:rsid w:val="00AE33FC"/>
    <w:rsid w:val="00AE68DC"/>
    <w:rsid w:val="00AE744E"/>
    <w:rsid w:val="00AF1CF7"/>
    <w:rsid w:val="00AF711E"/>
    <w:rsid w:val="00B0126A"/>
    <w:rsid w:val="00B01822"/>
    <w:rsid w:val="00B0249C"/>
    <w:rsid w:val="00B02D2F"/>
    <w:rsid w:val="00B033A5"/>
    <w:rsid w:val="00B06D8A"/>
    <w:rsid w:val="00B07077"/>
    <w:rsid w:val="00B07AD4"/>
    <w:rsid w:val="00B13B45"/>
    <w:rsid w:val="00B24561"/>
    <w:rsid w:val="00B30D59"/>
    <w:rsid w:val="00B3253C"/>
    <w:rsid w:val="00B33EF5"/>
    <w:rsid w:val="00B42A47"/>
    <w:rsid w:val="00B47079"/>
    <w:rsid w:val="00B65B2E"/>
    <w:rsid w:val="00B73B9B"/>
    <w:rsid w:val="00B74079"/>
    <w:rsid w:val="00B7433E"/>
    <w:rsid w:val="00B76732"/>
    <w:rsid w:val="00B80150"/>
    <w:rsid w:val="00B81746"/>
    <w:rsid w:val="00B85E62"/>
    <w:rsid w:val="00B86CC1"/>
    <w:rsid w:val="00B87FCA"/>
    <w:rsid w:val="00B9692B"/>
    <w:rsid w:val="00B96941"/>
    <w:rsid w:val="00B975F6"/>
    <w:rsid w:val="00B977D6"/>
    <w:rsid w:val="00BA3549"/>
    <w:rsid w:val="00BA4403"/>
    <w:rsid w:val="00BA5B7A"/>
    <w:rsid w:val="00BB372E"/>
    <w:rsid w:val="00BB3D78"/>
    <w:rsid w:val="00BB4687"/>
    <w:rsid w:val="00BB6156"/>
    <w:rsid w:val="00BB67C6"/>
    <w:rsid w:val="00BB7C2D"/>
    <w:rsid w:val="00BC7157"/>
    <w:rsid w:val="00BD5122"/>
    <w:rsid w:val="00BD59B9"/>
    <w:rsid w:val="00BE0D2D"/>
    <w:rsid w:val="00BE3680"/>
    <w:rsid w:val="00BE6497"/>
    <w:rsid w:val="00BE7270"/>
    <w:rsid w:val="00BF42E9"/>
    <w:rsid w:val="00C03BFF"/>
    <w:rsid w:val="00C0560F"/>
    <w:rsid w:val="00C06BE8"/>
    <w:rsid w:val="00C134EB"/>
    <w:rsid w:val="00C13C6C"/>
    <w:rsid w:val="00C160C2"/>
    <w:rsid w:val="00C161C5"/>
    <w:rsid w:val="00C22BCF"/>
    <w:rsid w:val="00C22DB4"/>
    <w:rsid w:val="00C231C5"/>
    <w:rsid w:val="00C2497F"/>
    <w:rsid w:val="00C303A6"/>
    <w:rsid w:val="00C303C5"/>
    <w:rsid w:val="00C34641"/>
    <w:rsid w:val="00C37265"/>
    <w:rsid w:val="00C373DA"/>
    <w:rsid w:val="00C40D6C"/>
    <w:rsid w:val="00C415AC"/>
    <w:rsid w:val="00C433AE"/>
    <w:rsid w:val="00C43526"/>
    <w:rsid w:val="00C44092"/>
    <w:rsid w:val="00C45A2B"/>
    <w:rsid w:val="00C45D46"/>
    <w:rsid w:val="00C46BBE"/>
    <w:rsid w:val="00C47557"/>
    <w:rsid w:val="00C50612"/>
    <w:rsid w:val="00C51234"/>
    <w:rsid w:val="00C54C44"/>
    <w:rsid w:val="00C54F18"/>
    <w:rsid w:val="00C576E3"/>
    <w:rsid w:val="00C623C0"/>
    <w:rsid w:val="00C62DAF"/>
    <w:rsid w:val="00C62E50"/>
    <w:rsid w:val="00C63E10"/>
    <w:rsid w:val="00C647D6"/>
    <w:rsid w:val="00C65C20"/>
    <w:rsid w:val="00C70B49"/>
    <w:rsid w:val="00C72F13"/>
    <w:rsid w:val="00C74189"/>
    <w:rsid w:val="00C74651"/>
    <w:rsid w:val="00C76759"/>
    <w:rsid w:val="00C85DCE"/>
    <w:rsid w:val="00C864B4"/>
    <w:rsid w:val="00C91269"/>
    <w:rsid w:val="00C939CF"/>
    <w:rsid w:val="00C93C7E"/>
    <w:rsid w:val="00C94730"/>
    <w:rsid w:val="00C9510F"/>
    <w:rsid w:val="00C9566F"/>
    <w:rsid w:val="00CA0D3F"/>
    <w:rsid w:val="00CA0E99"/>
    <w:rsid w:val="00CA2D00"/>
    <w:rsid w:val="00CA3341"/>
    <w:rsid w:val="00CA3B48"/>
    <w:rsid w:val="00CA5EB2"/>
    <w:rsid w:val="00CB2A04"/>
    <w:rsid w:val="00CB5D60"/>
    <w:rsid w:val="00CB71C2"/>
    <w:rsid w:val="00CC0C01"/>
    <w:rsid w:val="00CC22D8"/>
    <w:rsid w:val="00CC5ABE"/>
    <w:rsid w:val="00CD0CA0"/>
    <w:rsid w:val="00CD1DA9"/>
    <w:rsid w:val="00CD5525"/>
    <w:rsid w:val="00CD5B76"/>
    <w:rsid w:val="00CE3B7B"/>
    <w:rsid w:val="00CE4DB5"/>
    <w:rsid w:val="00CE6D58"/>
    <w:rsid w:val="00CF1AF5"/>
    <w:rsid w:val="00CF4039"/>
    <w:rsid w:val="00CF6101"/>
    <w:rsid w:val="00D10515"/>
    <w:rsid w:val="00D12B10"/>
    <w:rsid w:val="00D13769"/>
    <w:rsid w:val="00D15676"/>
    <w:rsid w:val="00D15790"/>
    <w:rsid w:val="00D16829"/>
    <w:rsid w:val="00D17C94"/>
    <w:rsid w:val="00D20450"/>
    <w:rsid w:val="00D22D26"/>
    <w:rsid w:val="00D236D3"/>
    <w:rsid w:val="00D25915"/>
    <w:rsid w:val="00D26F50"/>
    <w:rsid w:val="00D30134"/>
    <w:rsid w:val="00D30E9C"/>
    <w:rsid w:val="00D351B0"/>
    <w:rsid w:val="00D35DC7"/>
    <w:rsid w:val="00D37309"/>
    <w:rsid w:val="00D41106"/>
    <w:rsid w:val="00D41CA0"/>
    <w:rsid w:val="00D43B5A"/>
    <w:rsid w:val="00D479CF"/>
    <w:rsid w:val="00D51EED"/>
    <w:rsid w:val="00D5240D"/>
    <w:rsid w:val="00D52952"/>
    <w:rsid w:val="00D52C38"/>
    <w:rsid w:val="00D6058C"/>
    <w:rsid w:val="00D61563"/>
    <w:rsid w:val="00D62E29"/>
    <w:rsid w:val="00D63E3B"/>
    <w:rsid w:val="00D64674"/>
    <w:rsid w:val="00D653AD"/>
    <w:rsid w:val="00D717B4"/>
    <w:rsid w:val="00D734E3"/>
    <w:rsid w:val="00D76209"/>
    <w:rsid w:val="00D82D50"/>
    <w:rsid w:val="00D8616B"/>
    <w:rsid w:val="00D90E25"/>
    <w:rsid w:val="00D93E3D"/>
    <w:rsid w:val="00D95218"/>
    <w:rsid w:val="00D95CBE"/>
    <w:rsid w:val="00D962B7"/>
    <w:rsid w:val="00DA1609"/>
    <w:rsid w:val="00DB00A0"/>
    <w:rsid w:val="00DB05CB"/>
    <w:rsid w:val="00DC127B"/>
    <w:rsid w:val="00DC179E"/>
    <w:rsid w:val="00DD5749"/>
    <w:rsid w:val="00DD57D5"/>
    <w:rsid w:val="00DD7878"/>
    <w:rsid w:val="00DE507E"/>
    <w:rsid w:val="00DF3612"/>
    <w:rsid w:val="00DF3D57"/>
    <w:rsid w:val="00E0622D"/>
    <w:rsid w:val="00E06594"/>
    <w:rsid w:val="00E07955"/>
    <w:rsid w:val="00E1183D"/>
    <w:rsid w:val="00E133B5"/>
    <w:rsid w:val="00E21717"/>
    <w:rsid w:val="00E228B0"/>
    <w:rsid w:val="00E240E5"/>
    <w:rsid w:val="00E241ED"/>
    <w:rsid w:val="00E24F6F"/>
    <w:rsid w:val="00E30CC6"/>
    <w:rsid w:val="00E315DE"/>
    <w:rsid w:val="00E3718C"/>
    <w:rsid w:val="00E426C9"/>
    <w:rsid w:val="00E43468"/>
    <w:rsid w:val="00E438CA"/>
    <w:rsid w:val="00E44034"/>
    <w:rsid w:val="00E501EA"/>
    <w:rsid w:val="00E502B2"/>
    <w:rsid w:val="00E54C2D"/>
    <w:rsid w:val="00E614C7"/>
    <w:rsid w:val="00E63F0A"/>
    <w:rsid w:val="00E66062"/>
    <w:rsid w:val="00E67051"/>
    <w:rsid w:val="00E71426"/>
    <w:rsid w:val="00E7401B"/>
    <w:rsid w:val="00E74931"/>
    <w:rsid w:val="00E76AD3"/>
    <w:rsid w:val="00E82820"/>
    <w:rsid w:val="00E854E5"/>
    <w:rsid w:val="00E85E73"/>
    <w:rsid w:val="00E879A3"/>
    <w:rsid w:val="00E92B1D"/>
    <w:rsid w:val="00E939CB"/>
    <w:rsid w:val="00E95C67"/>
    <w:rsid w:val="00EA231A"/>
    <w:rsid w:val="00EA3007"/>
    <w:rsid w:val="00EA3800"/>
    <w:rsid w:val="00EA4134"/>
    <w:rsid w:val="00EB02FA"/>
    <w:rsid w:val="00EB0814"/>
    <w:rsid w:val="00EB0AB2"/>
    <w:rsid w:val="00EB38C7"/>
    <w:rsid w:val="00EC0020"/>
    <w:rsid w:val="00EC3F52"/>
    <w:rsid w:val="00EC7B0D"/>
    <w:rsid w:val="00ED1F39"/>
    <w:rsid w:val="00ED33F1"/>
    <w:rsid w:val="00ED38D4"/>
    <w:rsid w:val="00ED621F"/>
    <w:rsid w:val="00ED63D5"/>
    <w:rsid w:val="00ED7D34"/>
    <w:rsid w:val="00ED7DA7"/>
    <w:rsid w:val="00EE111E"/>
    <w:rsid w:val="00EE2A3D"/>
    <w:rsid w:val="00EE6B50"/>
    <w:rsid w:val="00EE7B2D"/>
    <w:rsid w:val="00EF0218"/>
    <w:rsid w:val="00EF1C6A"/>
    <w:rsid w:val="00EF1E26"/>
    <w:rsid w:val="00EF256B"/>
    <w:rsid w:val="00EF5682"/>
    <w:rsid w:val="00EF5A45"/>
    <w:rsid w:val="00EF632D"/>
    <w:rsid w:val="00EF7798"/>
    <w:rsid w:val="00F035CF"/>
    <w:rsid w:val="00F05D72"/>
    <w:rsid w:val="00F12036"/>
    <w:rsid w:val="00F16738"/>
    <w:rsid w:val="00F17283"/>
    <w:rsid w:val="00F17EC7"/>
    <w:rsid w:val="00F25471"/>
    <w:rsid w:val="00F25FE4"/>
    <w:rsid w:val="00F27749"/>
    <w:rsid w:val="00F319AE"/>
    <w:rsid w:val="00F33A98"/>
    <w:rsid w:val="00F34C95"/>
    <w:rsid w:val="00F351D4"/>
    <w:rsid w:val="00F35E87"/>
    <w:rsid w:val="00F361F5"/>
    <w:rsid w:val="00F4166F"/>
    <w:rsid w:val="00F43F01"/>
    <w:rsid w:val="00F4512D"/>
    <w:rsid w:val="00F45832"/>
    <w:rsid w:val="00F4715F"/>
    <w:rsid w:val="00F52EF8"/>
    <w:rsid w:val="00F56695"/>
    <w:rsid w:val="00F64957"/>
    <w:rsid w:val="00F72FFD"/>
    <w:rsid w:val="00F759C4"/>
    <w:rsid w:val="00F822B0"/>
    <w:rsid w:val="00F84029"/>
    <w:rsid w:val="00F87945"/>
    <w:rsid w:val="00F87A57"/>
    <w:rsid w:val="00F87CA7"/>
    <w:rsid w:val="00F90F8B"/>
    <w:rsid w:val="00F93F28"/>
    <w:rsid w:val="00F97751"/>
    <w:rsid w:val="00FA14AB"/>
    <w:rsid w:val="00FA41B3"/>
    <w:rsid w:val="00FA7CD7"/>
    <w:rsid w:val="00FB04A9"/>
    <w:rsid w:val="00FB065A"/>
    <w:rsid w:val="00FB1D04"/>
    <w:rsid w:val="00FB2873"/>
    <w:rsid w:val="00FB2B3A"/>
    <w:rsid w:val="00FB4AF4"/>
    <w:rsid w:val="00FB606B"/>
    <w:rsid w:val="00FC1EB7"/>
    <w:rsid w:val="00FC604D"/>
    <w:rsid w:val="00FD07DC"/>
    <w:rsid w:val="00FD34EA"/>
    <w:rsid w:val="00FD496F"/>
    <w:rsid w:val="00FD6CF9"/>
    <w:rsid w:val="00FD7176"/>
    <w:rsid w:val="00FE159A"/>
    <w:rsid w:val="00FE18AA"/>
    <w:rsid w:val="00FE2EA0"/>
    <w:rsid w:val="00FE43B8"/>
    <w:rsid w:val="00FE4E43"/>
    <w:rsid w:val="00FE509A"/>
    <w:rsid w:val="00FE73ED"/>
    <w:rsid w:val="00FF18D7"/>
    <w:rsid w:val="00FF2C67"/>
    <w:rsid w:val="00FF4DA1"/>
    <w:rsid w:val="00FF5F16"/>
    <w:rsid w:val="00FF6663"/>
    <w:rsid w:val="00FF6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AEF"/>
    <w:rPr>
      <w:color w:val="0000FF" w:themeColor="hyperlink"/>
      <w:u w:val="single"/>
    </w:rPr>
  </w:style>
  <w:style w:type="paragraph" w:styleId="BodyTextIndent3">
    <w:name w:val="Body Text Indent 3"/>
    <w:basedOn w:val="Normal"/>
    <w:link w:val="BodyTextIndent3Char"/>
    <w:rsid w:val="002025BF"/>
    <w:pPr>
      <w:widowControl w:val="0"/>
      <w:spacing w:after="0" w:line="240" w:lineRule="auto"/>
      <w:ind w:left="720"/>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2025BF"/>
    <w:rPr>
      <w:rFonts w:ascii="Arial" w:eastAsia="Times New Roman" w:hAnsi="Arial" w:cs="Times New Roman"/>
      <w:szCs w:val="20"/>
      <w:lang w:val="en-US"/>
    </w:rPr>
  </w:style>
  <w:style w:type="paragraph" w:styleId="BodyTextIndent">
    <w:name w:val="Body Text Indent"/>
    <w:basedOn w:val="Normal"/>
    <w:link w:val="BodyTextIndentChar"/>
    <w:uiPriority w:val="99"/>
    <w:unhideWhenUsed/>
    <w:rsid w:val="00A438F6"/>
    <w:pPr>
      <w:spacing w:after="120"/>
      <w:ind w:left="283"/>
    </w:pPr>
  </w:style>
  <w:style w:type="character" w:customStyle="1" w:styleId="BodyTextIndentChar">
    <w:name w:val="Body Text Indent Char"/>
    <w:basedOn w:val="DefaultParagraphFont"/>
    <w:link w:val="BodyTextIndent"/>
    <w:uiPriority w:val="99"/>
    <w:rsid w:val="00A438F6"/>
  </w:style>
  <w:style w:type="paragraph" w:styleId="Header">
    <w:name w:val="header"/>
    <w:basedOn w:val="Normal"/>
    <w:link w:val="HeaderChar"/>
    <w:uiPriority w:val="99"/>
    <w:unhideWhenUsed/>
    <w:rsid w:val="007F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00"/>
  </w:style>
  <w:style w:type="paragraph" w:styleId="Footer">
    <w:name w:val="footer"/>
    <w:basedOn w:val="Normal"/>
    <w:link w:val="FooterChar"/>
    <w:uiPriority w:val="99"/>
    <w:unhideWhenUsed/>
    <w:rsid w:val="007F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00"/>
  </w:style>
  <w:style w:type="paragraph" w:styleId="ListParagraph">
    <w:name w:val="List Paragraph"/>
    <w:basedOn w:val="Normal"/>
    <w:uiPriority w:val="34"/>
    <w:qFormat/>
    <w:rsid w:val="005B718D"/>
    <w:pPr>
      <w:spacing w:after="160" w:line="259" w:lineRule="auto"/>
      <w:ind w:left="720"/>
      <w:contextualSpacing/>
    </w:pPr>
    <w:rPr>
      <w:lang w:val="en-GB"/>
    </w:rPr>
  </w:style>
  <w:style w:type="paragraph" w:customStyle="1" w:styleId="Default">
    <w:name w:val="Default"/>
    <w:rsid w:val="00020040"/>
    <w:pPr>
      <w:autoSpaceDE w:val="0"/>
      <w:autoSpaceDN w:val="0"/>
      <w:adjustRightInd w:val="0"/>
      <w:spacing w:after="0" w:line="240" w:lineRule="auto"/>
    </w:pPr>
    <w:rPr>
      <w:rFonts w:ascii="WBTimes" w:hAnsi="WBTimes" w:cs="WBTimes"/>
      <w:color w:val="000000"/>
      <w:sz w:val="24"/>
      <w:szCs w:val="24"/>
    </w:rPr>
  </w:style>
  <w:style w:type="paragraph" w:styleId="BalloonText">
    <w:name w:val="Balloon Text"/>
    <w:basedOn w:val="Normal"/>
    <w:link w:val="BalloonTextChar"/>
    <w:uiPriority w:val="99"/>
    <w:semiHidden/>
    <w:unhideWhenUsed/>
    <w:rsid w:val="00DD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78"/>
    <w:rPr>
      <w:rFonts w:ascii="Segoe UI" w:hAnsi="Segoe UI" w:cs="Segoe UI"/>
      <w:sz w:val="18"/>
      <w:szCs w:val="18"/>
    </w:rPr>
  </w:style>
  <w:style w:type="character" w:styleId="CommentReference">
    <w:name w:val="annotation reference"/>
    <w:basedOn w:val="DefaultParagraphFont"/>
    <w:uiPriority w:val="99"/>
    <w:semiHidden/>
    <w:unhideWhenUsed/>
    <w:rsid w:val="00FA41B3"/>
    <w:rPr>
      <w:sz w:val="16"/>
      <w:szCs w:val="16"/>
    </w:rPr>
  </w:style>
  <w:style w:type="paragraph" w:styleId="CommentText">
    <w:name w:val="annotation text"/>
    <w:basedOn w:val="Normal"/>
    <w:link w:val="CommentTextChar"/>
    <w:uiPriority w:val="99"/>
    <w:semiHidden/>
    <w:unhideWhenUsed/>
    <w:rsid w:val="00FA41B3"/>
    <w:pPr>
      <w:spacing w:line="240" w:lineRule="auto"/>
    </w:pPr>
    <w:rPr>
      <w:sz w:val="20"/>
      <w:szCs w:val="20"/>
    </w:rPr>
  </w:style>
  <w:style w:type="character" w:customStyle="1" w:styleId="CommentTextChar">
    <w:name w:val="Comment Text Char"/>
    <w:basedOn w:val="DefaultParagraphFont"/>
    <w:link w:val="CommentText"/>
    <w:uiPriority w:val="99"/>
    <w:semiHidden/>
    <w:rsid w:val="00FA41B3"/>
    <w:rPr>
      <w:sz w:val="20"/>
      <w:szCs w:val="20"/>
    </w:rPr>
  </w:style>
  <w:style w:type="paragraph" w:styleId="CommentSubject">
    <w:name w:val="annotation subject"/>
    <w:basedOn w:val="CommentText"/>
    <w:next w:val="CommentText"/>
    <w:link w:val="CommentSubjectChar"/>
    <w:uiPriority w:val="99"/>
    <w:semiHidden/>
    <w:unhideWhenUsed/>
    <w:rsid w:val="00FA41B3"/>
    <w:rPr>
      <w:b/>
      <w:bCs/>
    </w:rPr>
  </w:style>
  <w:style w:type="character" w:customStyle="1" w:styleId="CommentSubjectChar">
    <w:name w:val="Comment Subject Char"/>
    <w:basedOn w:val="CommentTextChar"/>
    <w:link w:val="CommentSubject"/>
    <w:uiPriority w:val="99"/>
    <w:semiHidden/>
    <w:rsid w:val="00FA41B3"/>
    <w:rPr>
      <w:b/>
      <w:bCs/>
      <w:sz w:val="20"/>
      <w:szCs w:val="20"/>
    </w:rPr>
  </w:style>
  <w:style w:type="paragraph" w:styleId="FootnoteText">
    <w:name w:val="footnote text"/>
    <w:basedOn w:val="Normal"/>
    <w:link w:val="FootnoteTextChar"/>
    <w:uiPriority w:val="99"/>
    <w:semiHidden/>
    <w:unhideWhenUsed/>
    <w:rsid w:val="00F759C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759C4"/>
    <w:rPr>
      <w:sz w:val="20"/>
      <w:szCs w:val="20"/>
      <w:lang w:val="en-GB"/>
    </w:rPr>
  </w:style>
  <w:style w:type="character" w:styleId="FootnoteReference">
    <w:name w:val="footnote reference"/>
    <w:basedOn w:val="DefaultParagraphFont"/>
    <w:uiPriority w:val="99"/>
    <w:semiHidden/>
    <w:unhideWhenUsed/>
    <w:rsid w:val="00F759C4"/>
    <w:rPr>
      <w:vertAlign w:val="superscript"/>
    </w:rPr>
  </w:style>
  <w:style w:type="paragraph" w:styleId="Revision">
    <w:name w:val="Revision"/>
    <w:hidden/>
    <w:uiPriority w:val="99"/>
    <w:semiHidden/>
    <w:rsid w:val="000E7273"/>
    <w:pPr>
      <w:spacing w:after="0" w:line="240" w:lineRule="auto"/>
    </w:pPr>
  </w:style>
  <w:style w:type="character" w:styleId="LineNumber">
    <w:name w:val="line number"/>
    <w:basedOn w:val="DefaultParagraphFont"/>
    <w:uiPriority w:val="99"/>
    <w:semiHidden/>
    <w:unhideWhenUsed/>
    <w:rsid w:val="00FF6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AEF"/>
    <w:rPr>
      <w:color w:val="0000FF" w:themeColor="hyperlink"/>
      <w:u w:val="single"/>
    </w:rPr>
  </w:style>
  <w:style w:type="paragraph" w:styleId="BodyTextIndent3">
    <w:name w:val="Body Text Indent 3"/>
    <w:basedOn w:val="Normal"/>
    <w:link w:val="BodyTextIndent3Char"/>
    <w:rsid w:val="002025BF"/>
    <w:pPr>
      <w:widowControl w:val="0"/>
      <w:spacing w:after="0" w:line="240" w:lineRule="auto"/>
      <w:ind w:left="720"/>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2025BF"/>
    <w:rPr>
      <w:rFonts w:ascii="Arial" w:eastAsia="Times New Roman" w:hAnsi="Arial" w:cs="Times New Roman"/>
      <w:szCs w:val="20"/>
      <w:lang w:val="en-US"/>
    </w:rPr>
  </w:style>
  <w:style w:type="paragraph" w:styleId="BodyTextIndent">
    <w:name w:val="Body Text Indent"/>
    <w:basedOn w:val="Normal"/>
    <w:link w:val="BodyTextIndentChar"/>
    <w:uiPriority w:val="99"/>
    <w:unhideWhenUsed/>
    <w:rsid w:val="00A438F6"/>
    <w:pPr>
      <w:spacing w:after="120"/>
      <w:ind w:left="283"/>
    </w:pPr>
  </w:style>
  <w:style w:type="character" w:customStyle="1" w:styleId="BodyTextIndentChar">
    <w:name w:val="Body Text Indent Char"/>
    <w:basedOn w:val="DefaultParagraphFont"/>
    <w:link w:val="BodyTextIndent"/>
    <w:uiPriority w:val="99"/>
    <w:rsid w:val="00A438F6"/>
  </w:style>
  <w:style w:type="paragraph" w:styleId="Header">
    <w:name w:val="header"/>
    <w:basedOn w:val="Normal"/>
    <w:link w:val="HeaderChar"/>
    <w:uiPriority w:val="99"/>
    <w:unhideWhenUsed/>
    <w:rsid w:val="007F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00"/>
  </w:style>
  <w:style w:type="paragraph" w:styleId="Footer">
    <w:name w:val="footer"/>
    <w:basedOn w:val="Normal"/>
    <w:link w:val="FooterChar"/>
    <w:uiPriority w:val="99"/>
    <w:unhideWhenUsed/>
    <w:rsid w:val="007F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00"/>
  </w:style>
  <w:style w:type="paragraph" w:styleId="ListParagraph">
    <w:name w:val="List Paragraph"/>
    <w:basedOn w:val="Normal"/>
    <w:uiPriority w:val="34"/>
    <w:qFormat/>
    <w:rsid w:val="005B718D"/>
    <w:pPr>
      <w:spacing w:after="160" w:line="259" w:lineRule="auto"/>
      <w:ind w:left="720"/>
      <w:contextualSpacing/>
    </w:pPr>
    <w:rPr>
      <w:lang w:val="en-GB"/>
    </w:rPr>
  </w:style>
  <w:style w:type="paragraph" w:customStyle="1" w:styleId="Default">
    <w:name w:val="Default"/>
    <w:rsid w:val="00020040"/>
    <w:pPr>
      <w:autoSpaceDE w:val="0"/>
      <w:autoSpaceDN w:val="0"/>
      <w:adjustRightInd w:val="0"/>
      <w:spacing w:after="0" w:line="240" w:lineRule="auto"/>
    </w:pPr>
    <w:rPr>
      <w:rFonts w:ascii="WBTimes" w:hAnsi="WBTimes" w:cs="WBTimes"/>
      <w:color w:val="000000"/>
      <w:sz w:val="24"/>
      <w:szCs w:val="24"/>
    </w:rPr>
  </w:style>
  <w:style w:type="paragraph" w:styleId="BalloonText">
    <w:name w:val="Balloon Text"/>
    <w:basedOn w:val="Normal"/>
    <w:link w:val="BalloonTextChar"/>
    <w:uiPriority w:val="99"/>
    <w:semiHidden/>
    <w:unhideWhenUsed/>
    <w:rsid w:val="00DD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78"/>
    <w:rPr>
      <w:rFonts w:ascii="Segoe UI" w:hAnsi="Segoe UI" w:cs="Segoe UI"/>
      <w:sz w:val="18"/>
      <w:szCs w:val="18"/>
    </w:rPr>
  </w:style>
  <w:style w:type="character" w:styleId="CommentReference">
    <w:name w:val="annotation reference"/>
    <w:basedOn w:val="DefaultParagraphFont"/>
    <w:uiPriority w:val="99"/>
    <w:semiHidden/>
    <w:unhideWhenUsed/>
    <w:rsid w:val="00FA41B3"/>
    <w:rPr>
      <w:sz w:val="16"/>
      <w:szCs w:val="16"/>
    </w:rPr>
  </w:style>
  <w:style w:type="paragraph" w:styleId="CommentText">
    <w:name w:val="annotation text"/>
    <w:basedOn w:val="Normal"/>
    <w:link w:val="CommentTextChar"/>
    <w:uiPriority w:val="99"/>
    <w:semiHidden/>
    <w:unhideWhenUsed/>
    <w:rsid w:val="00FA41B3"/>
    <w:pPr>
      <w:spacing w:line="240" w:lineRule="auto"/>
    </w:pPr>
    <w:rPr>
      <w:sz w:val="20"/>
      <w:szCs w:val="20"/>
    </w:rPr>
  </w:style>
  <w:style w:type="character" w:customStyle="1" w:styleId="CommentTextChar">
    <w:name w:val="Comment Text Char"/>
    <w:basedOn w:val="DefaultParagraphFont"/>
    <w:link w:val="CommentText"/>
    <w:uiPriority w:val="99"/>
    <w:semiHidden/>
    <w:rsid w:val="00FA41B3"/>
    <w:rPr>
      <w:sz w:val="20"/>
      <w:szCs w:val="20"/>
    </w:rPr>
  </w:style>
  <w:style w:type="paragraph" w:styleId="CommentSubject">
    <w:name w:val="annotation subject"/>
    <w:basedOn w:val="CommentText"/>
    <w:next w:val="CommentText"/>
    <w:link w:val="CommentSubjectChar"/>
    <w:uiPriority w:val="99"/>
    <w:semiHidden/>
    <w:unhideWhenUsed/>
    <w:rsid w:val="00FA41B3"/>
    <w:rPr>
      <w:b/>
      <w:bCs/>
    </w:rPr>
  </w:style>
  <w:style w:type="character" w:customStyle="1" w:styleId="CommentSubjectChar">
    <w:name w:val="Comment Subject Char"/>
    <w:basedOn w:val="CommentTextChar"/>
    <w:link w:val="CommentSubject"/>
    <w:uiPriority w:val="99"/>
    <w:semiHidden/>
    <w:rsid w:val="00FA41B3"/>
    <w:rPr>
      <w:b/>
      <w:bCs/>
      <w:sz w:val="20"/>
      <w:szCs w:val="20"/>
    </w:rPr>
  </w:style>
  <w:style w:type="paragraph" w:styleId="FootnoteText">
    <w:name w:val="footnote text"/>
    <w:basedOn w:val="Normal"/>
    <w:link w:val="FootnoteTextChar"/>
    <w:uiPriority w:val="99"/>
    <w:semiHidden/>
    <w:unhideWhenUsed/>
    <w:rsid w:val="00F759C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759C4"/>
    <w:rPr>
      <w:sz w:val="20"/>
      <w:szCs w:val="20"/>
      <w:lang w:val="en-GB"/>
    </w:rPr>
  </w:style>
  <w:style w:type="character" w:styleId="FootnoteReference">
    <w:name w:val="footnote reference"/>
    <w:basedOn w:val="DefaultParagraphFont"/>
    <w:uiPriority w:val="99"/>
    <w:semiHidden/>
    <w:unhideWhenUsed/>
    <w:rsid w:val="00F759C4"/>
    <w:rPr>
      <w:vertAlign w:val="superscript"/>
    </w:rPr>
  </w:style>
  <w:style w:type="paragraph" w:styleId="Revision">
    <w:name w:val="Revision"/>
    <w:hidden/>
    <w:uiPriority w:val="99"/>
    <w:semiHidden/>
    <w:rsid w:val="000E7273"/>
    <w:pPr>
      <w:spacing w:after="0" w:line="240" w:lineRule="auto"/>
    </w:pPr>
  </w:style>
  <w:style w:type="character" w:styleId="LineNumber">
    <w:name w:val="line number"/>
    <w:basedOn w:val="DefaultParagraphFont"/>
    <w:uiPriority w:val="99"/>
    <w:semiHidden/>
    <w:unhideWhenUsed/>
    <w:rsid w:val="00FF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547">
      <w:bodyDiv w:val="1"/>
      <w:marLeft w:val="0"/>
      <w:marRight w:val="0"/>
      <w:marTop w:val="0"/>
      <w:marBottom w:val="0"/>
      <w:divBdr>
        <w:top w:val="none" w:sz="0" w:space="0" w:color="auto"/>
        <w:left w:val="none" w:sz="0" w:space="0" w:color="auto"/>
        <w:bottom w:val="none" w:sz="0" w:space="0" w:color="auto"/>
        <w:right w:val="none" w:sz="0" w:space="0" w:color="auto"/>
      </w:divBdr>
    </w:div>
    <w:div w:id="307900147">
      <w:bodyDiv w:val="1"/>
      <w:marLeft w:val="0"/>
      <w:marRight w:val="0"/>
      <w:marTop w:val="0"/>
      <w:marBottom w:val="0"/>
      <w:divBdr>
        <w:top w:val="none" w:sz="0" w:space="0" w:color="auto"/>
        <w:left w:val="none" w:sz="0" w:space="0" w:color="auto"/>
        <w:bottom w:val="none" w:sz="0" w:space="0" w:color="auto"/>
        <w:right w:val="none" w:sz="0" w:space="0" w:color="auto"/>
      </w:divBdr>
    </w:div>
    <w:div w:id="834614763">
      <w:bodyDiv w:val="1"/>
      <w:marLeft w:val="0"/>
      <w:marRight w:val="0"/>
      <w:marTop w:val="0"/>
      <w:marBottom w:val="0"/>
      <w:divBdr>
        <w:top w:val="none" w:sz="0" w:space="0" w:color="auto"/>
        <w:left w:val="none" w:sz="0" w:space="0" w:color="auto"/>
        <w:bottom w:val="none" w:sz="0" w:space="0" w:color="auto"/>
        <w:right w:val="none" w:sz="0" w:space="0" w:color="auto"/>
      </w:divBdr>
    </w:div>
    <w:div w:id="1833569415">
      <w:bodyDiv w:val="1"/>
      <w:marLeft w:val="0"/>
      <w:marRight w:val="0"/>
      <w:marTop w:val="0"/>
      <w:marBottom w:val="0"/>
      <w:divBdr>
        <w:top w:val="none" w:sz="0" w:space="0" w:color="auto"/>
        <w:left w:val="none" w:sz="0" w:space="0" w:color="auto"/>
        <w:bottom w:val="none" w:sz="0" w:space="0" w:color="auto"/>
        <w:right w:val="none" w:sz="0" w:space="0" w:color="auto"/>
      </w:divBdr>
    </w:div>
    <w:div w:id="2054380199">
      <w:bodyDiv w:val="1"/>
      <w:marLeft w:val="0"/>
      <w:marRight w:val="0"/>
      <w:marTop w:val="0"/>
      <w:marBottom w:val="0"/>
      <w:divBdr>
        <w:top w:val="none" w:sz="0" w:space="0" w:color="auto"/>
        <w:left w:val="none" w:sz="0" w:space="0" w:color="auto"/>
        <w:bottom w:val="none" w:sz="0" w:space="0" w:color="auto"/>
        <w:right w:val="none" w:sz="0" w:space="0" w:color="auto"/>
      </w:divBdr>
      <w:divsChild>
        <w:div w:id="439374763">
          <w:marLeft w:val="0"/>
          <w:marRight w:val="0"/>
          <w:marTop w:val="100"/>
          <w:marBottom w:val="100"/>
          <w:divBdr>
            <w:top w:val="none" w:sz="0" w:space="0" w:color="auto"/>
            <w:left w:val="none" w:sz="0" w:space="0" w:color="auto"/>
            <w:bottom w:val="none" w:sz="0" w:space="0" w:color="auto"/>
            <w:right w:val="none" w:sz="0" w:space="0" w:color="auto"/>
          </w:divBdr>
          <w:divsChild>
            <w:div w:id="1319380121">
              <w:marLeft w:val="0"/>
              <w:marRight w:val="0"/>
              <w:marTop w:val="0"/>
              <w:marBottom w:val="0"/>
              <w:divBdr>
                <w:top w:val="none" w:sz="0" w:space="0" w:color="auto"/>
                <w:left w:val="none" w:sz="0" w:space="0" w:color="auto"/>
                <w:bottom w:val="none" w:sz="0" w:space="0" w:color="auto"/>
                <w:right w:val="none" w:sz="0" w:space="0" w:color="auto"/>
              </w:divBdr>
              <w:divsChild>
                <w:div w:id="2127117985">
                  <w:marLeft w:val="105"/>
                  <w:marRight w:val="105"/>
                  <w:marTop w:val="105"/>
                  <w:marBottom w:val="105"/>
                  <w:divBdr>
                    <w:top w:val="none" w:sz="0" w:space="0" w:color="auto"/>
                    <w:left w:val="none" w:sz="0" w:space="0" w:color="auto"/>
                    <w:bottom w:val="none" w:sz="0" w:space="0" w:color="auto"/>
                    <w:right w:val="none" w:sz="0" w:space="0" w:color="auto"/>
                  </w:divBdr>
                  <w:divsChild>
                    <w:div w:id="2045058637">
                      <w:marLeft w:val="0"/>
                      <w:marRight w:val="0"/>
                      <w:marTop w:val="0"/>
                      <w:marBottom w:val="0"/>
                      <w:divBdr>
                        <w:top w:val="none" w:sz="0" w:space="0" w:color="auto"/>
                        <w:left w:val="none" w:sz="0" w:space="0" w:color="auto"/>
                        <w:bottom w:val="none" w:sz="0" w:space="0" w:color="auto"/>
                        <w:right w:val="none" w:sz="0" w:space="0" w:color="auto"/>
                      </w:divBdr>
                      <w:divsChild>
                        <w:div w:id="313918774">
                          <w:marLeft w:val="0"/>
                          <w:marRight w:val="0"/>
                          <w:marTop w:val="0"/>
                          <w:marBottom w:val="0"/>
                          <w:divBdr>
                            <w:top w:val="none" w:sz="0" w:space="0" w:color="auto"/>
                            <w:left w:val="none" w:sz="0" w:space="0" w:color="auto"/>
                            <w:bottom w:val="none" w:sz="0" w:space="0" w:color="auto"/>
                            <w:right w:val="none" w:sz="0" w:space="0" w:color="auto"/>
                          </w:divBdr>
                          <w:divsChild>
                            <w:div w:id="1164080240">
                              <w:marLeft w:val="0"/>
                              <w:marRight w:val="0"/>
                              <w:marTop w:val="0"/>
                              <w:marBottom w:val="0"/>
                              <w:divBdr>
                                <w:top w:val="none" w:sz="0" w:space="0" w:color="auto"/>
                                <w:left w:val="none" w:sz="0" w:space="0" w:color="auto"/>
                                <w:bottom w:val="none" w:sz="0" w:space="0" w:color="auto"/>
                                <w:right w:val="none" w:sz="0" w:space="0" w:color="auto"/>
                              </w:divBdr>
                              <w:divsChild>
                                <w:div w:id="1629781213">
                                  <w:marLeft w:val="0"/>
                                  <w:marRight w:val="0"/>
                                  <w:marTop w:val="0"/>
                                  <w:marBottom w:val="0"/>
                                  <w:divBdr>
                                    <w:top w:val="none" w:sz="0" w:space="0" w:color="auto"/>
                                    <w:left w:val="none" w:sz="0" w:space="0" w:color="auto"/>
                                    <w:bottom w:val="none" w:sz="0" w:space="0" w:color="auto"/>
                                    <w:right w:val="none" w:sz="0" w:space="0" w:color="auto"/>
                                  </w:divBdr>
                                  <w:divsChild>
                                    <w:div w:id="436951759">
                                      <w:marLeft w:val="105"/>
                                      <w:marRight w:val="105"/>
                                      <w:marTop w:val="105"/>
                                      <w:marBottom w:val="105"/>
                                      <w:divBdr>
                                        <w:top w:val="none" w:sz="0" w:space="0" w:color="auto"/>
                                        <w:left w:val="none" w:sz="0" w:space="0" w:color="auto"/>
                                        <w:bottom w:val="none" w:sz="0" w:space="0" w:color="auto"/>
                                        <w:right w:val="none" w:sz="0" w:space="0" w:color="auto"/>
                                      </w:divBdr>
                                      <w:divsChild>
                                        <w:div w:id="1214195845">
                                          <w:marLeft w:val="0"/>
                                          <w:marRight w:val="0"/>
                                          <w:marTop w:val="0"/>
                                          <w:marBottom w:val="0"/>
                                          <w:divBdr>
                                            <w:top w:val="none" w:sz="0" w:space="0" w:color="auto"/>
                                            <w:left w:val="none" w:sz="0" w:space="0" w:color="auto"/>
                                            <w:bottom w:val="none" w:sz="0" w:space="0" w:color="auto"/>
                                            <w:right w:val="none" w:sz="0" w:space="0" w:color="auto"/>
                                          </w:divBdr>
                                          <w:divsChild>
                                            <w:div w:id="206529291">
                                              <w:marLeft w:val="0"/>
                                              <w:marRight w:val="0"/>
                                              <w:marTop w:val="0"/>
                                              <w:marBottom w:val="0"/>
                                              <w:divBdr>
                                                <w:top w:val="none" w:sz="0" w:space="0" w:color="auto"/>
                                                <w:left w:val="none" w:sz="0" w:space="0" w:color="auto"/>
                                                <w:bottom w:val="none" w:sz="0" w:space="0" w:color="auto"/>
                                                <w:right w:val="none" w:sz="0" w:space="0" w:color="auto"/>
                                              </w:divBdr>
                                              <w:divsChild>
                                                <w:div w:id="978387705">
                                                  <w:marLeft w:val="0"/>
                                                  <w:marRight w:val="0"/>
                                                  <w:marTop w:val="0"/>
                                                  <w:marBottom w:val="0"/>
                                                  <w:divBdr>
                                                    <w:top w:val="none" w:sz="0" w:space="0" w:color="auto"/>
                                                    <w:left w:val="none" w:sz="0" w:space="0" w:color="auto"/>
                                                    <w:bottom w:val="none" w:sz="0" w:space="0" w:color="auto"/>
                                                    <w:right w:val="none" w:sz="0" w:space="0" w:color="auto"/>
                                                  </w:divBdr>
                                                  <w:divsChild>
                                                    <w:div w:id="651788278">
                                                      <w:marLeft w:val="0"/>
                                                      <w:marRight w:val="0"/>
                                                      <w:marTop w:val="0"/>
                                                      <w:marBottom w:val="0"/>
                                                      <w:divBdr>
                                                        <w:top w:val="none" w:sz="0" w:space="0" w:color="auto"/>
                                                        <w:left w:val="none" w:sz="0" w:space="0" w:color="auto"/>
                                                        <w:bottom w:val="none" w:sz="0" w:space="0" w:color="auto"/>
                                                        <w:right w:val="none" w:sz="0" w:space="0" w:color="auto"/>
                                                      </w:divBdr>
                                                      <w:divsChild>
                                                        <w:div w:id="2105372124">
                                                          <w:marLeft w:val="0"/>
                                                          <w:marRight w:val="0"/>
                                                          <w:marTop w:val="0"/>
                                                          <w:marBottom w:val="0"/>
                                                          <w:divBdr>
                                                            <w:top w:val="none" w:sz="0" w:space="0" w:color="auto"/>
                                                            <w:left w:val="none" w:sz="0" w:space="0" w:color="auto"/>
                                                            <w:bottom w:val="none" w:sz="0" w:space="0" w:color="auto"/>
                                                            <w:right w:val="none" w:sz="0" w:space="0" w:color="auto"/>
                                                          </w:divBdr>
                                                          <w:divsChild>
                                                            <w:div w:id="810633641">
                                                              <w:marLeft w:val="0"/>
                                                              <w:marRight w:val="0"/>
                                                              <w:marTop w:val="0"/>
                                                              <w:marBottom w:val="0"/>
                                                              <w:divBdr>
                                                                <w:top w:val="none" w:sz="0" w:space="0" w:color="auto"/>
                                                                <w:left w:val="none" w:sz="0" w:space="0" w:color="auto"/>
                                                                <w:bottom w:val="none" w:sz="0" w:space="0" w:color="auto"/>
                                                                <w:right w:val="none" w:sz="0" w:space="0" w:color="auto"/>
                                                              </w:divBdr>
                                                              <w:divsChild>
                                                                <w:div w:id="809831693">
                                                                  <w:marLeft w:val="105"/>
                                                                  <w:marRight w:val="105"/>
                                                                  <w:marTop w:val="105"/>
                                                                  <w:marBottom w:val="105"/>
                                                                  <w:divBdr>
                                                                    <w:top w:val="none" w:sz="0" w:space="0" w:color="auto"/>
                                                                    <w:left w:val="none" w:sz="0" w:space="0" w:color="auto"/>
                                                                    <w:bottom w:val="none" w:sz="0" w:space="0" w:color="auto"/>
                                                                    <w:right w:val="none" w:sz="0" w:space="0" w:color="auto"/>
                                                                  </w:divBdr>
                                                                  <w:divsChild>
                                                                    <w:div w:id="1383599993">
                                                                      <w:marLeft w:val="0"/>
                                                                      <w:marRight w:val="0"/>
                                                                      <w:marTop w:val="0"/>
                                                                      <w:marBottom w:val="0"/>
                                                                      <w:divBdr>
                                                                        <w:top w:val="none" w:sz="0" w:space="0" w:color="auto"/>
                                                                        <w:left w:val="none" w:sz="0" w:space="0" w:color="auto"/>
                                                                        <w:bottom w:val="none" w:sz="0" w:space="0" w:color="auto"/>
                                                                        <w:right w:val="none" w:sz="0" w:space="0" w:color="auto"/>
                                                                      </w:divBdr>
                                                                      <w:divsChild>
                                                                        <w:div w:id="265238033">
                                                                          <w:marLeft w:val="0"/>
                                                                          <w:marRight w:val="0"/>
                                                                          <w:marTop w:val="0"/>
                                                                          <w:marBottom w:val="0"/>
                                                                          <w:divBdr>
                                                                            <w:top w:val="none" w:sz="0" w:space="0" w:color="auto"/>
                                                                            <w:left w:val="none" w:sz="0" w:space="0" w:color="auto"/>
                                                                            <w:bottom w:val="none" w:sz="0" w:space="0" w:color="auto"/>
                                                                            <w:right w:val="none" w:sz="0" w:space="0" w:color="auto"/>
                                                                          </w:divBdr>
                                                                          <w:divsChild>
                                                                            <w:div w:id="1489978330">
                                                                              <w:marLeft w:val="0"/>
                                                                              <w:marRight w:val="0"/>
                                                                              <w:marTop w:val="0"/>
                                                                              <w:marBottom w:val="0"/>
                                                                              <w:divBdr>
                                                                                <w:top w:val="none" w:sz="0" w:space="0" w:color="auto"/>
                                                                                <w:left w:val="none" w:sz="0" w:space="0" w:color="auto"/>
                                                                                <w:bottom w:val="none" w:sz="0" w:space="0" w:color="auto"/>
                                                                                <w:right w:val="none" w:sz="0" w:space="0" w:color="auto"/>
                                                                              </w:divBdr>
                                                                              <w:divsChild>
                                                                                <w:div w:id="423500928">
                                                                                  <w:marLeft w:val="0"/>
                                                                                  <w:marRight w:val="0"/>
                                                                                  <w:marTop w:val="0"/>
                                                                                  <w:marBottom w:val="0"/>
                                                                                  <w:divBdr>
                                                                                    <w:top w:val="none" w:sz="0" w:space="0" w:color="auto"/>
                                                                                    <w:left w:val="none" w:sz="0" w:space="0" w:color="auto"/>
                                                                                    <w:bottom w:val="none" w:sz="0" w:space="0" w:color="auto"/>
                                                                                    <w:right w:val="none" w:sz="0" w:space="0" w:color="auto"/>
                                                                                  </w:divBdr>
                                                                                  <w:divsChild>
                                                                                    <w:div w:id="1118840415">
                                                                                      <w:marLeft w:val="0"/>
                                                                                      <w:marRight w:val="0"/>
                                                                                      <w:marTop w:val="0"/>
                                                                                      <w:marBottom w:val="0"/>
                                                                                      <w:divBdr>
                                                                                        <w:top w:val="none" w:sz="0" w:space="0" w:color="auto"/>
                                                                                        <w:left w:val="none" w:sz="0" w:space="0" w:color="auto"/>
                                                                                        <w:bottom w:val="none" w:sz="0" w:space="0" w:color="auto"/>
                                                                                        <w:right w:val="none" w:sz="0" w:space="0" w:color="auto"/>
                                                                                      </w:divBdr>
                                                                                      <w:divsChild>
                                                                                        <w:div w:id="1871216063">
                                                                                          <w:marLeft w:val="0"/>
                                                                                          <w:marRight w:val="0"/>
                                                                                          <w:marTop w:val="0"/>
                                                                                          <w:marBottom w:val="0"/>
                                                                                          <w:divBdr>
                                                                                            <w:top w:val="none" w:sz="0" w:space="0" w:color="auto"/>
                                                                                            <w:left w:val="none" w:sz="0" w:space="0" w:color="auto"/>
                                                                                            <w:bottom w:val="none" w:sz="0" w:space="0" w:color="auto"/>
                                                                                            <w:right w:val="none" w:sz="0" w:space="0" w:color="auto"/>
                                                                                          </w:divBdr>
                                                                                          <w:divsChild>
                                                                                            <w:div w:id="2106067958">
                                                                                              <w:marLeft w:val="105"/>
                                                                                              <w:marRight w:val="105"/>
                                                                                              <w:marTop w:val="105"/>
                                                                                              <w:marBottom w:val="105"/>
                                                                                              <w:divBdr>
                                                                                                <w:top w:val="none" w:sz="0" w:space="0" w:color="auto"/>
                                                                                                <w:left w:val="none" w:sz="0" w:space="0" w:color="auto"/>
                                                                                                <w:bottom w:val="none" w:sz="0" w:space="0" w:color="auto"/>
                                                                                                <w:right w:val="none" w:sz="0" w:space="0" w:color="auto"/>
                                                                                              </w:divBdr>
                                                                                              <w:divsChild>
                                                                                                <w:div w:id="2013532701">
                                                                                                  <w:marLeft w:val="0"/>
                                                                                                  <w:marRight w:val="0"/>
                                                                                                  <w:marTop w:val="0"/>
                                                                                                  <w:marBottom w:val="0"/>
                                                                                                  <w:divBdr>
                                                                                                    <w:top w:val="none" w:sz="0" w:space="0" w:color="auto"/>
                                                                                                    <w:left w:val="none" w:sz="0" w:space="0" w:color="auto"/>
                                                                                                    <w:bottom w:val="none" w:sz="0" w:space="0" w:color="auto"/>
                                                                                                    <w:right w:val="none" w:sz="0" w:space="0" w:color="auto"/>
                                                                                                  </w:divBdr>
                                                                                                  <w:divsChild>
                                                                                                    <w:div w:id="1986617477">
                                                                                                      <w:marLeft w:val="0"/>
                                                                                                      <w:marRight w:val="0"/>
                                                                                                      <w:marTop w:val="0"/>
                                                                                                      <w:marBottom w:val="0"/>
                                                                                                      <w:divBdr>
                                                                                                        <w:top w:val="none" w:sz="0" w:space="0" w:color="auto"/>
                                                                                                        <w:left w:val="none" w:sz="0" w:space="0" w:color="auto"/>
                                                                                                        <w:bottom w:val="none" w:sz="0" w:space="0" w:color="auto"/>
                                                                                                        <w:right w:val="none" w:sz="0" w:space="0" w:color="auto"/>
                                                                                                      </w:divBdr>
                                                                                                      <w:divsChild>
                                                                                                        <w:div w:id="646592369">
                                                                                                          <w:marLeft w:val="0"/>
                                                                                                          <w:marRight w:val="0"/>
                                                                                                          <w:marTop w:val="0"/>
                                                                                                          <w:marBottom w:val="0"/>
                                                                                                          <w:divBdr>
                                                                                                            <w:top w:val="none" w:sz="0" w:space="0" w:color="auto"/>
                                                                                                            <w:left w:val="none" w:sz="0" w:space="0" w:color="auto"/>
                                                                                                            <w:bottom w:val="none" w:sz="0" w:space="0" w:color="auto"/>
                                                                                                            <w:right w:val="none" w:sz="0" w:space="0" w:color="auto"/>
                                                                                                          </w:divBdr>
                                                                                                          <w:divsChild>
                                                                                                            <w:div w:id="1773163684">
                                                                                                              <w:marLeft w:val="105"/>
                                                                                                              <w:marRight w:val="105"/>
                                                                                                              <w:marTop w:val="105"/>
                                                                                                              <w:marBottom w:val="105"/>
                                                                                                              <w:divBdr>
                                                                                                                <w:top w:val="none" w:sz="0" w:space="0" w:color="auto"/>
                                                                                                                <w:left w:val="none" w:sz="0" w:space="0" w:color="auto"/>
                                                                                                                <w:bottom w:val="none" w:sz="0" w:space="0" w:color="auto"/>
                                                                                                                <w:right w:val="none" w:sz="0" w:space="0" w:color="auto"/>
                                                                                                              </w:divBdr>
                                                                                                              <w:divsChild>
                                                                                                                <w:div w:id="1294024568">
                                                                                                                  <w:marLeft w:val="0"/>
                                                                                                                  <w:marRight w:val="0"/>
                                                                                                                  <w:marTop w:val="0"/>
                                                                                                                  <w:marBottom w:val="0"/>
                                                                                                                  <w:divBdr>
                                                                                                                    <w:top w:val="none" w:sz="0" w:space="0" w:color="auto"/>
                                                                                                                    <w:left w:val="none" w:sz="0" w:space="0" w:color="auto"/>
                                                                                                                    <w:bottom w:val="none" w:sz="0" w:space="0" w:color="auto"/>
                                                                                                                    <w:right w:val="none" w:sz="0" w:space="0" w:color="auto"/>
                                                                                                                  </w:divBdr>
                                                                                                                  <w:divsChild>
                                                                                                                    <w:div w:id="541747229">
                                                                                                                      <w:marLeft w:val="0"/>
                                                                                                                      <w:marRight w:val="0"/>
                                                                                                                      <w:marTop w:val="0"/>
                                                                                                                      <w:marBottom w:val="0"/>
                                                                                                                      <w:divBdr>
                                                                                                                        <w:top w:val="none" w:sz="0" w:space="0" w:color="auto"/>
                                                                                                                        <w:left w:val="none" w:sz="0" w:space="0" w:color="auto"/>
                                                                                                                        <w:bottom w:val="none" w:sz="0" w:space="0" w:color="auto"/>
                                                                                                                        <w:right w:val="none" w:sz="0" w:space="0" w:color="auto"/>
                                                                                                                      </w:divBdr>
                                                                                                                      <w:divsChild>
                                                                                                                        <w:div w:id="320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c.org.uk/blog/uncategorized/game-sales-soar/" TargetMode="External"/><Relationship Id="rId18" Type="http://schemas.openxmlformats.org/officeDocument/2006/relationships/hyperlink" Target="https://doi:10,3920/978-90-8686-877-3_24" TargetMode="External"/><Relationship Id="rId26" Type="http://schemas.openxmlformats.org/officeDocument/2006/relationships/hyperlink" Target="https://doi.org/10.1038/s41893-019-0406-z"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doi.org/10.1080/0960312021000056410"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www.anses.fr/fr/content/consommation-de-gibier-sauvage-agir-pour-r%C3%A9duire-les-expositions-aux-contaminants-chimiques" TargetMode="External"/><Relationship Id="rId17" Type="http://schemas.openxmlformats.org/officeDocument/2006/relationships/hyperlink" Target="http://eur-lex.europa.eu/legal-content/EN/TXT/?qid=1442063437890&amp;uri=CELEX:32006R1881" TargetMode="External"/><Relationship Id="rId25" Type="http://schemas.openxmlformats.org/officeDocument/2006/relationships/hyperlink" Target="http://dx.doi.org/10.1016/S2213-8587(15)00212-0" TargetMode="External"/><Relationship Id="rId33" Type="http://schemas.openxmlformats.org/officeDocument/2006/relationships/image" Target="media/image1.e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jaegerforbundet.dk/media/3015/vildt_kogebog_til_tryk_270115.pdf" TargetMode="External"/><Relationship Id="rId20" Type="http://schemas.openxmlformats.org/officeDocument/2006/relationships/hyperlink" Target="https://doi.org/10.1007/978-3-319-23573-8_6" TargetMode="External"/><Relationship Id="rId29" Type="http://schemas.openxmlformats.org/officeDocument/2006/relationships/hyperlink" Target="https://doi.org/10.1006/enrs.1994.10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320140AB711" TargetMode="External"/><Relationship Id="rId24" Type="http://schemas.openxmlformats.org/officeDocument/2006/relationships/hyperlink" Target="http://www.leadammunitiongroup.org.uk/wp-content/uploads/2015/07/LAG_meeting_minutes_11_1600414.pdf" TargetMode="External"/><Relationship Id="rId32" Type="http://schemas.openxmlformats.org/officeDocument/2006/relationships/hyperlink" Target="mailto:nk@bios.au.d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dexalimentarius.org/standards/list-of-standards/" TargetMode="External"/><Relationship Id="rId23" Type="http://schemas.openxmlformats.org/officeDocument/2006/relationships/hyperlink" Target="https://doi:%20org/10.1007/s13280-018-1042-y" TargetMode="External"/><Relationship Id="rId28" Type="http://schemas.openxmlformats.org/officeDocument/2006/relationships/hyperlink" Target="https://echa.europa.eu/-/rac-adopts-13-proposals-for-harmonized-classification-and-labelling-and-seac-adopts-the-restriction-proposal-on-lead-in-gunshot" TargetMode="External"/><Relationship Id="rId36" Type="http://schemas.openxmlformats.org/officeDocument/2006/relationships/fontTable" Target="fontTable.xml"/><Relationship Id="rId10" Type="http://schemas.openxmlformats.org/officeDocument/2006/relationships/hyperlink" Target="mailto:nk@bios.au.dk" TargetMode="External"/><Relationship Id="rId19" Type="http://schemas.openxmlformats.org/officeDocument/2006/relationships/hyperlink" Target="https://doi.org/10.1007/978-3-319-23573-8_6" TargetMode="External"/><Relationship Id="rId31" Type="http://schemas.openxmlformats.org/officeDocument/2006/relationships/hyperlink" Target="mailto:pain.debbie@gmail.com" TargetMode="External"/><Relationship Id="rId4" Type="http://schemas.microsoft.com/office/2007/relationships/stylesWithEffects" Target="stylesWithEffects.xml"/><Relationship Id="rId9" Type="http://schemas.openxmlformats.org/officeDocument/2006/relationships/hyperlink" Target="mailto:pain.debbie@gmail.com" TargetMode="External"/><Relationship Id="rId14" Type="http://schemas.openxmlformats.org/officeDocument/2006/relationships/hyperlink" Target="https://basc.org.uk/blog/press-releases/press-releases-press-releases/game-sales-bucking-the-trend/" TargetMode="External"/><Relationship Id="rId22" Type="http://schemas.openxmlformats.org/officeDocument/2006/relationships/hyperlink" Target="https://britishbirds.co.uk/article/bird-hunting-in-europe-an-analysis-of-bag-figures-and-the-potential-impact-on-the-conservation-of-threatened-species/" TargetMode="External"/><Relationship Id="rId27" Type="http://schemas.openxmlformats.org/officeDocument/2006/relationships/hyperlink" Target="https://doi.org/10.1371/journal.pone.0010315" TargetMode="External"/><Relationship Id="rId30" Type="http://schemas.openxmlformats.org/officeDocument/2006/relationships/hyperlink" Target="https://www.waitrose.com/home/inspiration/about_waitrose/the_waitrose_way/waitrose_animal_welfarecommitments.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08E2-7FDD-49DD-97B9-D5B36381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31</Pages>
  <Words>9325</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62360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Vernon Thomas</dc:creator>
  <cp:lastModifiedBy>Vernon Thomas</cp:lastModifiedBy>
  <cp:revision>170</cp:revision>
  <cp:lastPrinted>2019-12-05T18:06:00Z</cp:lastPrinted>
  <dcterms:created xsi:type="dcterms:W3CDTF">2019-11-20T07:18:00Z</dcterms:created>
  <dcterms:modified xsi:type="dcterms:W3CDTF">2020-02-24T19:23:00Z</dcterms:modified>
</cp:coreProperties>
</file>