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34" w:rsidRPr="00DE42A1" w:rsidRDefault="009E2734" w:rsidP="00DA3EC6">
      <w:pPr>
        <w:spacing w:line="480" w:lineRule="auto"/>
        <w:jc w:val="both"/>
        <w:rPr>
          <w:b/>
          <w:bCs/>
          <w:color w:val="000000" w:themeColor="text1"/>
          <w:sz w:val="28"/>
        </w:rPr>
      </w:pPr>
      <w:bookmarkStart w:id="0" w:name="OLE_LINK146"/>
      <w:bookmarkStart w:id="1" w:name="OLE_LINK147"/>
      <w:r>
        <w:rPr>
          <w:b/>
          <w:bCs/>
          <w:color w:val="000000" w:themeColor="text1"/>
          <w:sz w:val="28"/>
        </w:rPr>
        <w:t>C</w:t>
      </w:r>
      <w:r w:rsidRPr="007C5E0A">
        <w:rPr>
          <w:b/>
          <w:bCs/>
          <w:color w:val="000000" w:themeColor="text1"/>
          <w:sz w:val="28"/>
        </w:rPr>
        <w:t xml:space="preserve">ausal </w:t>
      </w:r>
      <w:r>
        <w:rPr>
          <w:b/>
          <w:bCs/>
          <w:color w:val="000000" w:themeColor="text1"/>
          <w:sz w:val="28"/>
        </w:rPr>
        <w:t>associations</w:t>
      </w:r>
      <w:r w:rsidRPr="007C5E0A">
        <w:rPr>
          <w:b/>
          <w:bCs/>
          <w:color w:val="000000" w:themeColor="text1"/>
          <w:sz w:val="28"/>
        </w:rPr>
        <w:t xml:space="preserve"> of thyroid </w:t>
      </w:r>
      <w:bookmarkEnd w:id="0"/>
      <w:bookmarkEnd w:id="1"/>
      <w:r>
        <w:rPr>
          <w:b/>
          <w:bCs/>
          <w:color w:val="000000" w:themeColor="text1"/>
          <w:sz w:val="28"/>
        </w:rPr>
        <w:t xml:space="preserve">function and </w:t>
      </w:r>
      <w:r w:rsidRPr="007C5E0A">
        <w:rPr>
          <w:b/>
          <w:bCs/>
          <w:color w:val="000000" w:themeColor="text1"/>
          <w:sz w:val="28"/>
        </w:rPr>
        <w:t xml:space="preserve">dysfunction </w:t>
      </w:r>
      <w:r>
        <w:rPr>
          <w:b/>
          <w:bCs/>
          <w:color w:val="000000" w:themeColor="text1"/>
          <w:sz w:val="28"/>
        </w:rPr>
        <w:t>with overall, breast and thyroid cancer</w:t>
      </w:r>
      <w:r w:rsidRPr="007C5E0A">
        <w:rPr>
          <w:b/>
          <w:bCs/>
          <w:color w:val="000000" w:themeColor="text1"/>
          <w:sz w:val="28"/>
        </w:rPr>
        <w:t>: a two-sample Mendelian randomization s</w:t>
      </w:r>
      <w:r>
        <w:rPr>
          <w:b/>
          <w:bCs/>
          <w:color w:val="000000" w:themeColor="text1"/>
          <w:sz w:val="28"/>
        </w:rPr>
        <w:t>tudy</w:t>
      </w:r>
    </w:p>
    <w:p w:rsidR="009E2734" w:rsidRPr="00A71E34" w:rsidRDefault="009E2734" w:rsidP="00DA3EC6">
      <w:pPr>
        <w:spacing w:line="480" w:lineRule="auto"/>
        <w:rPr>
          <w:b/>
          <w:bCs/>
          <w:color w:val="000000" w:themeColor="text1"/>
        </w:rPr>
      </w:pPr>
    </w:p>
    <w:p w:rsidR="009E2734" w:rsidRPr="00A71E34" w:rsidRDefault="009E2734" w:rsidP="00DA3EC6">
      <w:pPr>
        <w:spacing w:line="360" w:lineRule="auto"/>
        <w:jc w:val="both"/>
      </w:pPr>
      <w:r w:rsidRPr="00A71E34">
        <w:rPr>
          <w:b/>
        </w:rPr>
        <w:t>Running head:</w:t>
      </w:r>
      <w:r w:rsidRPr="00A71E34">
        <w:t xml:space="preserve"> </w:t>
      </w:r>
      <w:r w:rsidRPr="00A71E34">
        <w:rPr>
          <w:color w:val="000000" w:themeColor="text1"/>
        </w:rPr>
        <w:t>Thyroid dysfunction</w:t>
      </w:r>
      <w:r w:rsidRPr="00A71E34">
        <w:rPr>
          <w:b/>
          <w:bCs/>
          <w:color w:val="000000" w:themeColor="text1"/>
        </w:rPr>
        <w:t xml:space="preserve"> </w:t>
      </w:r>
      <w:r w:rsidRPr="00A71E34">
        <w:t>and cancer</w:t>
      </w:r>
    </w:p>
    <w:p w:rsidR="009E2734" w:rsidRPr="00A71E34" w:rsidRDefault="009E2734" w:rsidP="00DA3EC6">
      <w:pPr>
        <w:spacing w:line="480" w:lineRule="auto"/>
        <w:rPr>
          <w:b/>
          <w:bCs/>
          <w:color w:val="000000" w:themeColor="text1"/>
        </w:rPr>
      </w:pPr>
    </w:p>
    <w:p w:rsidR="009E2734" w:rsidRPr="00A71E34" w:rsidRDefault="009E2734" w:rsidP="00DA3EC6">
      <w:pPr>
        <w:spacing w:line="360" w:lineRule="auto"/>
        <w:jc w:val="both"/>
        <w:rPr>
          <w:vertAlign w:val="superscript"/>
        </w:rPr>
      </w:pPr>
      <w:r w:rsidRPr="00A71E34">
        <w:t>Shuai Yuan</w:t>
      </w:r>
      <w:r w:rsidRPr="00A71E34">
        <w:rPr>
          <w:vertAlign w:val="superscript"/>
        </w:rPr>
        <w:t>1,2</w:t>
      </w:r>
      <w:r w:rsidRPr="00A71E34">
        <w:t xml:space="preserve">, </w:t>
      </w:r>
      <w:r w:rsidRPr="00A71E34">
        <w:rPr>
          <w:color w:val="000000" w:themeColor="text1"/>
        </w:rPr>
        <w:t>Siddhartha Kar</w:t>
      </w:r>
      <w:r w:rsidRPr="00A71E34">
        <w:rPr>
          <w:vertAlign w:val="superscript"/>
        </w:rPr>
        <w:t>3,4</w:t>
      </w:r>
      <w:r w:rsidRPr="00A71E34">
        <w:t>, Mathew Vithayathil</w:t>
      </w:r>
      <w:r w:rsidRPr="00A71E34">
        <w:rPr>
          <w:vertAlign w:val="superscript"/>
        </w:rPr>
        <w:t>5</w:t>
      </w:r>
      <w:r w:rsidRPr="00A71E34">
        <w:t>, Paul Carter</w:t>
      </w:r>
      <w:r w:rsidRPr="00A71E34">
        <w:rPr>
          <w:vertAlign w:val="superscript"/>
        </w:rPr>
        <w:t>3</w:t>
      </w:r>
      <w:r w:rsidRPr="00A71E34">
        <w:t>, Amy M. Mason</w:t>
      </w:r>
      <w:r w:rsidRPr="00A71E34">
        <w:rPr>
          <w:vertAlign w:val="superscript"/>
        </w:rPr>
        <w:t>5</w:t>
      </w:r>
      <w:r w:rsidRPr="00A71E34">
        <w:t>, Stephen Burgess</w:t>
      </w:r>
      <w:r w:rsidRPr="00A71E34">
        <w:rPr>
          <w:vertAlign w:val="superscript"/>
        </w:rPr>
        <w:t xml:space="preserve">5, </w:t>
      </w:r>
      <w:r>
        <w:rPr>
          <w:vertAlign w:val="superscript"/>
        </w:rPr>
        <w:t>6</w:t>
      </w:r>
      <w:r w:rsidRPr="00A71E34">
        <w:t>, Susanna C. Larsson</w:t>
      </w:r>
      <w:r w:rsidRPr="00A71E34">
        <w:rPr>
          <w:vertAlign w:val="superscript"/>
        </w:rPr>
        <w:t>1,2</w:t>
      </w:r>
    </w:p>
    <w:p w:rsidR="009E2734" w:rsidRPr="00A71E34" w:rsidRDefault="009E2734" w:rsidP="00DA3EC6">
      <w:pPr>
        <w:autoSpaceDE w:val="0"/>
        <w:autoSpaceDN w:val="0"/>
        <w:adjustRightInd w:val="0"/>
        <w:spacing w:line="360" w:lineRule="auto"/>
        <w:jc w:val="both"/>
        <w:rPr>
          <w:rFonts w:eastAsia="SimSun"/>
          <w:b/>
          <w:color w:val="131413"/>
          <w:sz w:val="28"/>
        </w:rPr>
      </w:pPr>
    </w:p>
    <w:p w:rsidR="009E2734" w:rsidRPr="00A71E34" w:rsidRDefault="009E2734" w:rsidP="00DA3EC6">
      <w:pPr>
        <w:spacing w:line="360" w:lineRule="auto"/>
        <w:jc w:val="both"/>
      </w:pPr>
      <w:r w:rsidRPr="00A71E34">
        <w:rPr>
          <w:vertAlign w:val="superscript"/>
        </w:rPr>
        <w:t>1</w:t>
      </w:r>
      <w:r w:rsidRPr="00A71E34">
        <w:t xml:space="preserve">Unit of Cardiovascular and Nutritional Epidemiology, Institute of Environmental Medicine, Karolinska </w:t>
      </w:r>
      <w:proofErr w:type="spellStart"/>
      <w:r w:rsidRPr="00A71E34">
        <w:t>Institutet</w:t>
      </w:r>
      <w:proofErr w:type="spellEnd"/>
      <w:r w:rsidRPr="00A71E34">
        <w:t xml:space="preserve">, Stockholm, Sweden </w:t>
      </w:r>
    </w:p>
    <w:p w:rsidR="009E2734" w:rsidRPr="00A71E34" w:rsidRDefault="009E2734" w:rsidP="00DA3EC6">
      <w:pPr>
        <w:spacing w:line="360" w:lineRule="auto"/>
        <w:jc w:val="both"/>
      </w:pPr>
      <w:r w:rsidRPr="00A71E34">
        <w:rPr>
          <w:vertAlign w:val="superscript"/>
        </w:rPr>
        <w:t xml:space="preserve">2 </w:t>
      </w:r>
      <w:r w:rsidRPr="00A71E34">
        <w:t>Department of Surgical Sciences, Uppsala University, Uppsala, Sweden</w:t>
      </w:r>
    </w:p>
    <w:p w:rsidR="009E2734" w:rsidRPr="00A71E34" w:rsidRDefault="009E2734" w:rsidP="00DA3EC6">
      <w:pPr>
        <w:spacing w:line="360" w:lineRule="auto"/>
        <w:jc w:val="both"/>
      </w:pPr>
      <w:r w:rsidRPr="00A71E34">
        <w:rPr>
          <w:vertAlign w:val="superscript"/>
        </w:rPr>
        <w:t xml:space="preserve">3 </w:t>
      </w:r>
      <w:r w:rsidRPr="00A71E34">
        <w:t>Department of Public Health and Primary Care, University of Cambridge, Cambridge, UK</w:t>
      </w:r>
    </w:p>
    <w:p w:rsidR="009E2734" w:rsidRPr="00A71E34" w:rsidRDefault="009E2734" w:rsidP="00DA3EC6">
      <w:pPr>
        <w:pStyle w:val="NormalWeb"/>
        <w:shd w:val="clear" w:color="auto" w:fill="FFFFFF"/>
        <w:spacing w:before="0" w:beforeAutospacing="0" w:after="0" w:afterAutospacing="0" w:line="360" w:lineRule="auto"/>
        <w:jc w:val="both"/>
        <w:rPr>
          <w:lang w:val="en-US"/>
        </w:rPr>
      </w:pPr>
      <w:r w:rsidRPr="00A71E34">
        <w:rPr>
          <w:vertAlign w:val="superscript"/>
          <w:lang w:val="en-US"/>
        </w:rPr>
        <w:t xml:space="preserve">4 </w:t>
      </w:r>
      <w:r w:rsidRPr="00A71E34">
        <w:rPr>
          <w:lang w:val="en-US"/>
        </w:rPr>
        <w:t xml:space="preserve">MRC Integrative Epidemiology Unit, Bristol Medical School, University of Bristol, Bristol, UK </w:t>
      </w:r>
    </w:p>
    <w:p w:rsidR="009E2734" w:rsidRPr="00A71E34" w:rsidRDefault="009E2734" w:rsidP="00DA3EC6">
      <w:pPr>
        <w:pStyle w:val="NormalWeb"/>
        <w:shd w:val="clear" w:color="auto" w:fill="FFFFFF"/>
        <w:spacing w:before="0" w:beforeAutospacing="0" w:after="0" w:afterAutospacing="0" w:line="360" w:lineRule="auto"/>
        <w:jc w:val="both"/>
        <w:rPr>
          <w:lang w:val="en-US"/>
        </w:rPr>
      </w:pPr>
      <w:r w:rsidRPr="00A71E34">
        <w:rPr>
          <w:vertAlign w:val="superscript"/>
          <w:lang w:val="en-US"/>
        </w:rPr>
        <w:t xml:space="preserve">5 </w:t>
      </w:r>
      <w:r w:rsidRPr="00A71E34">
        <w:rPr>
          <w:lang w:val="en-US"/>
        </w:rPr>
        <w:t>MRC Cancer Unit, University of Cambridge, Cambridge, UK</w:t>
      </w:r>
    </w:p>
    <w:p w:rsidR="009E2734" w:rsidRPr="00A71E34" w:rsidRDefault="009E2734" w:rsidP="00DA3EC6">
      <w:pPr>
        <w:spacing w:line="360" w:lineRule="auto"/>
        <w:jc w:val="both"/>
      </w:pPr>
      <w:r>
        <w:rPr>
          <w:vertAlign w:val="superscript"/>
        </w:rPr>
        <w:t>6</w:t>
      </w:r>
      <w:r w:rsidRPr="00A71E34">
        <w:rPr>
          <w:vertAlign w:val="superscript"/>
        </w:rPr>
        <w:t xml:space="preserve"> </w:t>
      </w:r>
      <w:r w:rsidRPr="00A71E34">
        <w:t>MRC Biostatistics Unit, University of Cambridge, Cambridge, UK</w:t>
      </w:r>
    </w:p>
    <w:p w:rsidR="009E2734" w:rsidRPr="00A71E34" w:rsidRDefault="009E2734" w:rsidP="00DA3EC6">
      <w:pPr>
        <w:spacing w:line="360" w:lineRule="auto"/>
        <w:jc w:val="both"/>
      </w:pPr>
    </w:p>
    <w:p w:rsidR="00DA3EC6" w:rsidRDefault="009E2734" w:rsidP="00DA3EC6">
      <w:pPr>
        <w:spacing w:line="360" w:lineRule="auto"/>
        <w:jc w:val="both"/>
        <w:outlineLvl w:val="0"/>
      </w:pPr>
      <w:r w:rsidRPr="00A71E34">
        <w:t>*Corresponding author</w:t>
      </w:r>
    </w:p>
    <w:p w:rsidR="00DA3EC6" w:rsidRDefault="009E2734" w:rsidP="00DA3EC6">
      <w:pPr>
        <w:spacing w:line="360" w:lineRule="auto"/>
        <w:jc w:val="both"/>
        <w:outlineLvl w:val="0"/>
      </w:pPr>
      <w:r w:rsidRPr="00A71E34">
        <w:t xml:space="preserve">Susanna C. Larsson, </w:t>
      </w:r>
      <w:r w:rsidR="00DA3EC6">
        <w:t>PhD, Associate professor</w:t>
      </w:r>
    </w:p>
    <w:p w:rsidR="00DA3EC6" w:rsidRDefault="009E2734" w:rsidP="00DA3EC6">
      <w:pPr>
        <w:spacing w:line="360" w:lineRule="auto"/>
        <w:jc w:val="both"/>
        <w:outlineLvl w:val="0"/>
      </w:pPr>
      <w:r w:rsidRPr="00A71E34">
        <w:t xml:space="preserve">Institute of Environmental Medicine, Karolinska </w:t>
      </w:r>
      <w:proofErr w:type="spellStart"/>
      <w:r w:rsidRPr="00A71E34">
        <w:t>Institutet</w:t>
      </w:r>
      <w:proofErr w:type="spellEnd"/>
      <w:r w:rsidRPr="00A71E34">
        <w:t xml:space="preserve">, </w:t>
      </w:r>
      <w:bookmarkStart w:id="2" w:name="OLE_LINK298"/>
      <w:bookmarkStart w:id="3" w:name="OLE_LINK299"/>
      <w:proofErr w:type="spellStart"/>
      <w:r w:rsidRPr="00A71E34">
        <w:rPr>
          <w:rStyle w:val="lrzxr"/>
        </w:rPr>
        <w:t>Nobelsväg</w:t>
      </w:r>
      <w:proofErr w:type="spellEnd"/>
      <w:r w:rsidRPr="00A71E34">
        <w:rPr>
          <w:rStyle w:val="lrzxr"/>
        </w:rPr>
        <w:t xml:space="preserve"> 13, Stockholm, 17177, Sweden</w:t>
      </w:r>
      <w:bookmarkEnd w:id="2"/>
      <w:bookmarkEnd w:id="3"/>
      <w:r w:rsidRPr="00A71E34">
        <w:t xml:space="preserve">; </w:t>
      </w:r>
    </w:p>
    <w:p w:rsidR="009E2734" w:rsidRPr="00A71E34" w:rsidRDefault="009E2734" w:rsidP="00DA3EC6">
      <w:pPr>
        <w:spacing w:line="360" w:lineRule="auto"/>
        <w:jc w:val="both"/>
        <w:outlineLvl w:val="0"/>
      </w:pPr>
      <w:r w:rsidRPr="00A71E34">
        <w:t xml:space="preserve">Department of Surgical Sciences, Uppsala University, Dag </w:t>
      </w:r>
      <w:proofErr w:type="spellStart"/>
      <w:r w:rsidRPr="00A71E34">
        <w:t>Hammarskjölds</w:t>
      </w:r>
      <w:proofErr w:type="spellEnd"/>
      <w:r w:rsidRPr="00A71E34">
        <w:t xml:space="preserve"> </w:t>
      </w:r>
      <w:proofErr w:type="spellStart"/>
      <w:r w:rsidRPr="00A71E34">
        <w:t>Väg</w:t>
      </w:r>
      <w:proofErr w:type="spellEnd"/>
      <w:r w:rsidRPr="00A71E34">
        <w:t xml:space="preserve"> 14B, Uppsala, 75185, Sweden. </w:t>
      </w:r>
    </w:p>
    <w:p w:rsidR="009E2734" w:rsidRPr="00A71E34" w:rsidRDefault="00DA3EC6" w:rsidP="00DA3EC6">
      <w:pPr>
        <w:spacing w:line="360" w:lineRule="auto"/>
        <w:jc w:val="both"/>
        <w:rPr>
          <w:rStyle w:val="Hyperlink"/>
        </w:rPr>
      </w:pPr>
      <w:hyperlink r:id="rId7" w:history="1">
        <w:r w:rsidR="009E2734" w:rsidRPr="00A71E34">
          <w:rPr>
            <w:rStyle w:val="Hyperlink"/>
          </w:rPr>
          <w:t>Tel: 46-852486059</w:t>
        </w:r>
      </w:hyperlink>
      <w:r w:rsidR="009E2734" w:rsidRPr="00A71E34">
        <w:t xml:space="preserve">; E-mail: </w:t>
      </w:r>
      <w:hyperlink r:id="rId8" w:history="1">
        <w:r w:rsidR="009E2734" w:rsidRPr="00A71E34">
          <w:rPr>
            <w:rStyle w:val="Hyperlink"/>
          </w:rPr>
          <w:t>susanna.larsson@ki.se</w:t>
        </w:r>
      </w:hyperlink>
    </w:p>
    <w:p w:rsidR="009E2734" w:rsidRPr="00DA3EC6" w:rsidRDefault="009E2734" w:rsidP="00DA3EC6">
      <w:pPr>
        <w:spacing w:line="360" w:lineRule="auto"/>
        <w:jc w:val="both"/>
        <w:rPr>
          <w:rStyle w:val="Hyperlink"/>
          <w:color w:val="000000" w:themeColor="text1"/>
        </w:rPr>
      </w:pPr>
    </w:p>
    <w:p w:rsidR="009E2734" w:rsidRPr="00DA3EC6" w:rsidRDefault="009E2734" w:rsidP="00DA3EC6">
      <w:pPr>
        <w:spacing w:line="360" w:lineRule="auto"/>
        <w:jc w:val="both"/>
        <w:rPr>
          <w:b/>
          <w:bCs/>
          <w:color w:val="000000" w:themeColor="text1"/>
        </w:rPr>
      </w:pPr>
      <w:r w:rsidRPr="00DA3EC6">
        <w:rPr>
          <w:b/>
          <w:bCs/>
          <w:color w:val="000000" w:themeColor="text1"/>
        </w:rPr>
        <w:t>Abstract word count: 240</w:t>
      </w:r>
    </w:p>
    <w:p w:rsidR="009E2734" w:rsidRPr="00DA3EC6" w:rsidRDefault="009E2734" w:rsidP="00DA3EC6">
      <w:pPr>
        <w:spacing w:line="360" w:lineRule="auto"/>
        <w:jc w:val="both"/>
        <w:rPr>
          <w:b/>
          <w:bCs/>
          <w:color w:val="000000" w:themeColor="text1"/>
        </w:rPr>
      </w:pPr>
      <w:r w:rsidRPr="00DA3EC6">
        <w:rPr>
          <w:b/>
          <w:bCs/>
          <w:color w:val="000000" w:themeColor="text1"/>
        </w:rPr>
        <w:t>Main text word count: 341</w:t>
      </w:r>
      <w:r w:rsidR="000D72C3" w:rsidRPr="00DA3EC6">
        <w:rPr>
          <w:b/>
          <w:bCs/>
          <w:color w:val="000000" w:themeColor="text1"/>
        </w:rPr>
        <w:t>4</w:t>
      </w:r>
    </w:p>
    <w:p w:rsidR="009E2734" w:rsidRPr="00DA3EC6" w:rsidRDefault="009E2734" w:rsidP="00DA3EC6">
      <w:pPr>
        <w:spacing w:line="360" w:lineRule="auto"/>
        <w:jc w:val="both"/>
        <w:rPr>
          <w:b/>
          <w:bCs/>
          <w:color w:val="000000" w:themeColor="text1"/>
        </w:rPr>
      </w:pPr>
      <w:r w:rsidRPr="00DA3EC6">
        <w:rPr>
          <w:b/>
          <w:bCs/>
          <w:color w:val="000000" w:themeColor="text1"/>
        </w:rPr>
        <w:t>Number of Tables: 1</w:t>
      </w:r>
    </w:p>
    <w:p w:rsidR="009E2734" w:rsidRPr="00DA3EC6" w:rsidRDefault="009E2734" w:rsidP="00DA3EC6">
      <w:pPr>
        <w:spacing w:line="360" w:lineRule="auto"/>
        <w:jc w:val="both"/>
        <w:rPr>
          <w:b/>
          <w:bCs/>
          <w:color w:val="000000" w:themeColor="text1"/>
        </w:rPr>
      </w:pPr>
      <w:r w:rsidRPr="00DA3EC6">
        <w:rPr>
          <w:b/>
          <w:bCs/>
          <w:color w:val="000000" w:themeColor="text1"/>
        </w:rPr>
        <w:t xml:space="preserve">Number of </w:t>
      </w:r>
      <w:r w:rsidRPr="00DA3EC6">
        <w:rPr>
          <w:rFonts w:hint="eastAsia"/>
          <w:b/>
          <w:bCs/>
          <w:color w:val="000000" w:themeColor="text1"/>
        </w:rPr>
        <w:t>Figures</w:t>
      </w:r>
      <w:r w:rsidRPr="00DA3EC6">
        <w:rPr>
          <w:b/>
          <w:bCs/>
          <w:color w:val="000000" w:themeColor="text1"/>
        </w:rPr>
        <w:t>: 4</w:t>
      </w:r>
    </w:p>
    <w:p w:rsidR="009E2734" w:rsidRPr="00DA3EC6" w:rsidRDefault="009E2734" w:rsidP="00DA3EC6">
      <w:pPr>
        <w:spacing w:line="360" w:lineRule="auto"/>
        <w:jc w:val="both"/>
        <w:rPr>
          <w:b/>
          <w:bCs/>
          <w:color w:val="000000" w:themeColor="text1"/>
        </w:rPr>
      </w:pPr>
      <w:r w:rsidRPr="00DA3EC6">
        <w:rPr>
          <w:b/>
          <w:bCs/>
          <w:color w:val="000000" w:themeColor="text1"/>
        </w:rPr>
        <w:t>Number of supplementary tables: 2</w:t>
      </w:r>
    </w:p>
    <w:p w:rsidR="009E2734" w:rsidRDefault="009E2734" w:rsidP="00DA3EC6">
      <w:pPr>
        <w:spacing w:line="360" w:lineRule="auto"/>
        <w:jc w:val="both"/>
        <w:rPr>
          <w:b/>
          <w:bCs/>
        </w:rPr>
      </w:pPr>
      <w:r w:rsidRPr="00DA3EC6">
        <w:rPr>
          <w:b/>
          <w:bCs/>
          <w:color w:val="000000" w:themeColor="text1"/>
        </w:rPr>
        <w:t>Number of supplementary tables: 1</w:t>
      </w:r>
      <w:r>
        <w:rPr>
          <w:b/>
          <w:bCs/>
        </w:rPr>
        <w:br w:type="page"/>
      </w:r>
    </w:p>
    <w:p w:rsidR="009E2734" w:rsidRPr="00DA3EC6" w:rsidRDefault="009E2734" w:rsidP="00DA3EC6">
      <w:pPr>
        <w:spacing w:line="360" w:lineRule="auto"/>
        <w:jc w:val="both"/>
        <w:rPr>
          <w:b/>
          <w:bCs/>
          <w:color w:val="000000" w:themeColor="text1"/>
        </w:rPr>
      </w:pPr>
      <w:r w:rsidRPr="00DA3EC6">
        <w:rPr>
          <w:b/>
          <w:bCs/>
          <w:color w:val="000000" w:themeColor="text1"/>
        </w:rPr>
        <w:lastRenderedPageBreak/>
        <w:t>Abbreviation</w:t>
      </w:r>
    </w:p>
    <w:p w:rsidR="009E2734" w:rsidRPr="00DA3EC6" w:rsidRDefault="009E2734" w:rsidP="00DA3EC6">
      <w:pPr>
        <w:spacing w:line="360" w:lineRule="auto"/>
        <w:jc w:val="both"/>
        <w:rPr>
          <w:bCs/>
          <w:color w:val="000000" w:themeColor="text1"/>
        </w:rPr>
      </w:pPr>
      <w:r w:rsidRPr="00DA3EC6">
        <w:rPr>
          <w:color w:val="000000" w:themeColor="text1"/>
        </w:rPr>
        <w:t xml:space="preserve">BCAC              </w:t>
      </w:r>
      <w:r w:rsidRPr="00DA3EC6">
        <w:rPr>
          <w:bCs/>
          <w:color w:val="000000" w:themeColor="text1"/>
        </w:rPr>
        <w:t>Breast Cancer Association Consortium</w:t>
      </w:r>
    </w:p>
    <w:p w:rsidR="009E2734" w:rsidRPr="00DA3EC6" w:rsidRDefault="009E2734" w:rsidP="00DA3EC6">
      <w:pPr>
        <w:spacing w:line="360" w:lineRule="auto"/>
        <w:jc w:val="both"/>
        <w:rPr>
          <w:bCs/>
          <w:color w:val="000000" w:themeColor="text1"/>
        </w:rPr>
      </w:pPr>
      <w:r w:rsidRPr="00DA3EC6">
        <w:rPr>
          <w:bCs/>
          <w:color w:val="000000" w:themeColor="text1"/>
        </w:rPr>
        <w:t>CI                     confidence interval</w:t>
      </w:r>
    </w:p>
    <w:p w:rsidR="009E2734" w:rsidRPr="00DA3EC6" w:rsidRDefault="009E2734" w:rsidP="00DA3EC6">
      <w:pPr>
        <w:spacing w:line="360" w:lineRule="auto"/>
        <w:jc w:val="both"/>
        <w:rPr>
          <w:bCs/>
          <w:color w:val="000000" w:themeColor="text1"/>
        </w:rPr>
      </w:pPr>
      <w:r w:rsidRPr="00DA3EC6">
        <w:rPr>
          <w:bCs/>
          <w:color w:val="000000" w:themeColor="text1"/>
        </w:rPr>
        <w:t xml:space="preserve">ER                    </w:t>
      </w:r>
      <w:r w:rsidRPr="00DA3EC6">
        <w:rPr>
          <w:rFonts w:eastAsia="SimSun"/>
          <w:bCs/>
          <w:color w:val="000000" w:themeColor="text1"/>
        </w:rPr>
        <w:t>estrogen-receptor</w:t>
      </w:r>
    </w:p>
    <w:p w:rsidR="009E2734" w:rsidRPr="00DA3EC6" w:rsidRDefault="009E2734" w:rsidP="00DA3EC6">
      <w:pPr>
        <w:spacing w:line="360" w:lineRule="auto"/>
        <w:jc w:val="both"/>
        <w:rPr>
          <w:bCs/>
          <w:color w:val="000000" w:themeColor="text1"/>
        </w:rPr>
      </w:pPr>
      <w:r w:rsidRPr="00DA3EC6">
        <w:rPr>
          <w:bCs/>
          <w:color w:val="000000" w:themeColor="text1"/>
        </w:rPr>
        <w:t>GWAS             genome-wide association study</w:t>
      </w:r>
    </w:p>
    <w:p w:rsidR="009E2734" w:rsidRPr="00DA3EC6" w:rsidRDefault="009E2734" w:rsidP="00DA3EC6">
      <w:pPr>
        <w:spacing w:line="360" w:lineRule="auto"/>
        <w:jc w:val="both"/>
        <w:rPr>
          <w:rFonts w:eastAsia="SimSun"/>
          <w:color w:val="000000" w:themeColor="text1"/>
        </w:rPr>
      </w:pPr>
      <w:r w:rsidRPr="00DA3EC6">
        <w:rPr>
          <w:color w:val="000000" w:themeColor="text1"/>
        </w:rPr>
        <w:t xml:space="preserve">MR                  </w:t>
      </w:r>
      <w:r w:rsidRPr="00DA3EC6">
        <w:rPr>
          <w:rFonts w:eastAsia="SimSun"/>
          <w:color w:val="000000" w:themeColor="text1"/>
        </w:rPr>
        <w:t>Mendelian randomization</w:t>
      </w:r>
    </w:p>
    <w:p w:rsidR="009E2734" w:rsidRPr="00DA3EC6" w:rsidRDefault="009E2734" w:rsidP="00DA3EC6">
      <w:pPr>
        <w:spacing w:line="360" w:lineRule="auto"/>
        <w:jc w:val="both"/>
        <w:rPr>
          <w:rFonts w:eastAsia="SimSun"/>
          <w:bCs/>
          <w:color w:val="000000" w:themeColor="text1"/>
        </w:rPr>
      </w:pPr>
      <w:r w:rsidRPr="00DA3EC6">
        <w:rPr>
          <w:rFonts w:eastAsia="SimSun"/>
          <w:bCs/>
          <w:color w:val="000000" w:themeColor="text1"/>
        </w:rPr>
        <w:t>MR-</w:t>
      </w:r>
      <w:proofErr w:type="gramStart"/>
      <w:r w:rsidRPr="00DA3EC6">
        <w:rPr>
          <w:rFonts w:eastAsia="SimSun"/>
          <w:bCs/>
          <w:color w:val="000000" w:themeColor="text1"/>
        </w:rPr>
        <w:t>PRESSO  MR</w:t>
      </w:r>
      <w:proofErr w:type="gramEnd"/>
      <w:r w:rsidRPr="00DA3EC6">
        <w:rPr>
          <w:rFonts w:eastAsia="SimSun"/>
          <w:bCs/>
          <w:color w:val="000000" w:themeColor="text1"/>
        </w:rPr>
        <w:t>-pleiotropy residual sum and outlier</w:t>
      </w:r>
    </w:p>
    <w:p w:rsidR="009E2734" w:rsidRPr="00DA3EC6" w:rsidRDefault="009E2734" w:rsidP="00DA3EC6">
      <w:pPr>
        <w:spacing w:line="360" w:lineRule="auto"/>
        <w:jc w:val="both"/>
        <w:rPr>
          <w:rFonts w:eastAsia="SimSun"/>
          <w:bCs/>
          <w:color w:val="000000" w:themeColor="text1"/>
        </w:rPr>
      </w:pPr>
      <w:r w:rsidRPr="00DA3EC6">
        <w:rPr>
          <w:rFonts w:eastAsia="SimSun"/>
          <w:bCs/>
          <w:color w:val="000000" w:themeColor="text1"/>
        </w:rPr>
        <w:t>OR                   odds ratio</w:t>
      </w:r>
    </w:p>
    <w:p w:rsidR="009E2734" w:rsidRPr="00DA3EC6" w:rsidRDefault="009E2734" w:rsidP="00DA3EC6">
      <w:pPr>
        <w:spacing w:line="360" w:lineRule="auto"/>
        <w:jc w:val="both"/>
        <w:rPr>
          <w:rFonts w:eastAsia="SimSun"/>
          <w:color w:val="000000" w:themeColor="text1"/>
        </w:rPr>
      </w:pPr>
      <w:r w:rsidRPr="00DA3EC6">
        <w:rPr>
          <w:rFonts w:eastAsia="SimSun"/>
          <w:bCs/>
          <w:color w:val="000000" w:themeColor="text1"/>
        </w:rPr>
        <w:t>SD                    standard deviation</w:t>
      </w:r>
    </w:p>
    <w:p w:rsidR="009E2734" w:rsidRPr="00DA3EC6" w:rsidRDefault="009E2734" w:rsidP="00DA3EC6">
      <w:pPr>
        <w:spacing w:line="360" w:lineRule="auto"/>
        <w:jc w:val="both"/>
        <w:rPr>
          <w:color w:val="000000" w:themeColor="text1"/>
        </w:rPr>
      </w:pPr>
      <w:r w:rsidRPr="00DA3EC6">
        <w:rPr>
          <w:color w:val="000000" w:themeColor="text1"/>
        </w:rPr>
        <w:t>SNPs                single-nucleotide polymorphisms</w:t>
      </w:r>
    </w:p>
    <w:p w:rsidR="009E2734" w:rsidRPr="00DA3EC6" w:rsidRDefault="009E2734" w:rsidP="00DA3EC6">
      <w:pPr>
        <w:spacing w:line="360" w:lineRule="auto"/>
        <w:jc w:val="both"/>
        <w:rPr>
          <w:color w:val="000000" w:themeColor="text1"/>
        </w:rPr>
      </w:pPr>
      <w:r w:rsidRPr="00DA3EC6">
        <w:rPr>
          <w:color w:val="000000" w:themeColor="text1"/>
        </w:rPr>
        <w:t>TSH                 thyroid-stimulating hormone</w:t>
      </w:r>
    </w:p>
    <w:p w:rsidR="009E2734" w:rsidRDefault="009E2734" w:rsidP="00DA3EC6">
      <w:pPr>
        <w:spacing w:line="360" w:lineRule="auto"/>
        <w:jc w:val="both"/>
        <w:rPr>
          <w:color w:val="FF0000"/>
        </w:rPr>
      </w:pPr>
    </w:p>
    <w:p w:rsidR="009E2734" w:rsidRDefault="009E2734" w:rsidP="00DA3EC6">
      <w:pPr>
        <w:spacing w:line="360" w:lineRule="auto"/>
        <w:jc w:val="both"/>
        <w:rPr>
          <w:color w:val="FF0000"/>
        </w:rPr>
      </w:pPr>
    </w:p>
    <w:p w:rsidR="009E2734" w:rsidRPr="00DA3EC6" w:rsidRDefault="009E2734" w:rsidP="00DA3EC6">
      <w:pPr>
        <w:autoSpaceDE w:val="0"/>
        <w:autoSpaceDN w:val="0"/>
        <w:adjustRightInd w:val="0"/>
        <w:spacing w:line="480" w:lineRule="auto"/>
        <w:jc w:val="both"/>
        <w:rPr>
          <w:b/>
          <w:color w:val="000000" w:themeColor="text1"/>
        </w:rPr>
      </w:pPr>
      <w:r w:rsidRPr="00DA3EC6">
        <w:rPr>
          <w:b/>
          <w:color w:val="000000" w:themeColor="text1"/>
        </w:rPr>
        <w:t xml:space="preserve">Novelty </w:t>
      </w:r>
      <w:r w:rsidR="00233C04" w:rsidRPr="00DA3EC6">
        <w:rPr>
          <w:b/>
          <w:color w:val="000000" w:themeColor="text1"/>
        </w:rPr>
        <w:t>&amp;</w:t>
      </w:r>
      <w:r w:rsidRPr="00DA3EC6">
        <w:rPr>
          <w:b/>
          <w:color w:val="000000" w:themeColor="text1"/>
        </w:rPr>
        <w:t xml:space="preserve"> </w:t>
      </w:r>
      <w:r w:rsidR="00233C04" w:rsidRPr="00DA3EC6">
        <w:rPr>
          <w:b/>
          <w:color w:val="000000" w:themeColor="text1"/>
        </w:rPr>
        <w:t>I</w:t>
      </w:r>
      <w:r w:rsidRPr="00DA3EC6">
        <w:rPr>
          <w:b/>
          <w:color w:val="000000" w:themeColor="text1"/>
        </w:rPr>
        <w:t>mpact</w:t>
      </w:r>
    </w:p>
    <w:p w:rsidR="009E2734" w:rsidRPr="00DA3EC6" w:rsidRDefault="009E2734" w:rsidP="00DA3EC6">
      <w:pPr>
        <w:spacing w:line="360" w:lineRule="auto"/>
        <w:jc w:val="both"/>
        <w:rPr>
          <w:color w:val="000000" w:themeColor="text1"/>
        </w:rPr>
      </w:pPr>
      <w:r w:rsidRPr="00DA3EC6">
        <w:rPr>
          <w:rFonts w:eastAsia="SimSun"/>
          <w:bCs/>
          <w:color w:val="000000" w:themeColor="text1"/>
        </w:rPr>
        <w:t xml:space="preserve">We found evidence of a causal inverse association between </w:t>
      </w:r>
      <w:r w:rsidRPr="00DA3EC6">
        <w:rPr>
          <w:bCs/>
          <w:color w:val="000000" w:themeColor="text1"/>
        </w:rPr>
        <w:t>thyroid-stimulating hormone</w:t>
      </w:r>
      <w:r w:rsidRPr="00DA3EC6">
        <w:rPr>
          <w:rFonts w:eastAsia="SimSun"/>
          <w:bCs/>
          <w:color w:val="000000" w:themeColor="text1"/>
        </w:rPr>
        <w:t xml:space="preserve"> levels and overall cancer. Increased </w:t>
      </w:r>
      <w:r w:rsidRPr="00DA3EC6">
        <w:rPr>
          <w:bCs/>
          <w:color w:val="000000" w:themeColor="text1"/>
        </w:rPr>
        <w:t>thyroid-stimulating hormone</w:t>
      </w:r>
      <w:r w:rsidRPr="00DA3EC6">
        <w:rPr>
          <w:rFonts w:eastAsia="SimSun"/>
          <w:bCs/>
          <w:color w:val="000000" w:themeColor="text1"/>
        </w:rPr>
        <w:t xml:space="preserve"> levels and hypothyroidism were associated with decreased risk of breast (mainly ER positive tumors) and thyroid cancer, whereas hyperthyroidism and increased free thyroxine levels were associated with a higher risk of breast cancer (mainly ER positive tumors).</w:t>
      </w:r>
      <w:r w:rsidRPr="00DA3EC6">
        <w:rPr>
          <w:bCs/>
          <w:color w:val="000000" w:themeColor="text1"/>
        </w:rPr>
        <w:t xml:space="preserve"> </w:t>
      </w:r>
      <w:r w:rsidR="000C6D27" w:rsidRPr="00DA3EC6">
        <w:rPr>
          <w:rFonts w:eastAsia="SimSun"/>
          <w:bCs/>
          <w:color w:val="000000" w:themeColor="text1"/>
        </w:rPr>
        <w:t>I</w:t>
      </w:r>
      <w:r w:rsidRPr="00DA3EC6">
        <w:rPr>
          <w:rFonts w:eastAsia="SimSun"/>
          <w:bCs/>
          <w:color w:val="000000" w:themeColor="text1"/>
        </w:rPr>
        <w:t>t is suggested that treatment of subclinical and diagnosed</w:t>
      </w:r>
      <w:r w:rsidRPr="00DA3EC6">
        <w:rPr>
          <w:color w:val="000000" w:themeColor="text1"/>
        </w:rPr>
        <w:t xml:space="preserve"> hyperthyroidism may be an efficient cancer prevention strategy.</w:t>
      </w:r>
    </w:p>
    <w:p w:rsidR="009E2734" w:rsidRDefault="009E2734" w:rsidP="00DA3EC6">
      <w:pPr>
        <w:spacing w:line="360" w:lineRule="auto"/>
        <w:jc w:val="both"/>
        <w:rPr>
          <w:color w:val="000000" w:themeColor="text1"/>
        </w:rPr>
      </w:pPr>
    </w:p>
    <w:p w:rsidR="009E2734" w:rsidRDefault="009E2734" w:rsidP="00DA3EC6">
      <w:pPr>
        <w:spacing w:line="360" w:lineRule="auto"/>
        <w:jc w:val="both"/>
        <w:rPr>
          <w:color w:val="000000" w:themeColor="text1"/>
        </w:rPr>
      </w:pPr>
    </w:p>
    <w:p w:rsidR="009E2734" w:rsidRDefault="009E2734" w:rsidP="00DA3EC6">
      <w:pPr>
        <w:spacing w:line="360" w:lineRule="auto"/>
        <w:jc w:val="both"/>
        <w:rPr>
          <w:color w:val="000000" w:themeColor="text1"/>
        </w:rPr>
      </w:pPr>
    </w:p>
    <w:p w:rsidR="009E2734" w:rsidRDefault="009E2734" w:rsidP="00DA3EC6">
      <w:pPr>
        <w:spacing w:line="360" w:lineRule="auto"/>
        <w:jc w:val="both"/>
        <w:rPr>
          <w:b/>
          <w:bCs/>
        </w:rPr>
      </w:pPr>
    </w:p>
    <w:p w:rsidR="009E2734" w:rsidRDefault="009E2734" w:rsidP="00DA3EC6">
      <w:pPr>
        <w:spacing w:line="360" w:lineRule="auto"/>
        <w:jc w:val="both"/>
        <w:rPr>
          <w:b/>
          <w:bCs/>
        </w:rPr>
      </w:pPr>
    </w:p>
    <w:p w:rsidR="009E2734" w:rsidRDefault="009E2734" w:rsidP="00DA3EC6">
      <w:pPr>
        <w:spacing w:line="360" w:lineRule="auto"/>
        <w:jc w:val="both"/>
        <w:rPr>
          <w:b/>
          <w:bCs/>
        </w:rPr>
      </w:pPr>
    </w:p>
    <w:p w:rsidR="009E2734" w:rsidRPr="00C87579" w:rsidRDefault="009E2734" w:rsidP="00DA3EC6">
      <w:pPr>
        <w:spacing w:line="360" w:lineRule="auto"/>
        <w:jc w:val="both"/>
        <w:rPr>
          <w:b/>
          <w:bCs/>
        </w:rPr>
        <w:sectPr w:rsidR="009E2734" w:rsidRPr="00C87579" w:rsidSect="00D05070">
          <w:footerReference w:type="even" r:id="rId9"/>
          <w:footerReference w:type="default" r:id="rId10"/>
          <w:pgSz w:w="11900" w:h="16840"/>
          <w:pgMar w:top="1440" w:right="1440" w:bottom="1440" w:left="1440" w:header="708" w:footer="708" w:gutter="0"/>
          <w:cols w:space="708"/>
          <w:docGrid w:linePitch="360"/>
        </w:sectPr>
      </w:pPr>
    </w:p>
    <w:p w:rsidR="009E2734" w:rsidRDefault="009E2734" w:rsidP="00DA3EC6">
      <w:pPr>
        <w:autoSpaceDE w:val="0"/>
        <w:autoSpaceDN w:val="0"/>
        <w:adjustRightInd w:val="0"/>
        <w:spacing w:line="480" w:lineRule="auto"/>
        <w:jc w:val="both"/>
        <w:rPr>
          <w:rFonts w:eastAsia="SimSun"/>
          <w:b/>
          <w:color w:val="131413"/>
        </w:rPr>
      </w:pPr>
      <w:r w:rsidRPr="00A71E34">
        <w:rPr>
          <w:rFonts w:eastAsia="SimSun"/>
          <w:b/>
          <w:color w:val="131413"/>
        </w:rPr>
        <w:lastRenderedPageBreak/>
        <w:t>Abstract</w:t>
      </w:r>
    </w:p>
    <w:p w:rsidR="009E2734" w:rsidRPr="00DA3EC6" w:rsidRDefault="009E2734" w:rsidP="00DA3EC6">
      <w:pPr>
        <w:autoSpaceDE w:val="0"/>
        <w:autoSpaceDN w:val="0"/>
        <w:adjustRightInd w:val="0"/>
        <w:spacing w:line="480" w:lineRule="auto"/>
        <w:jc w:val="both"/>
        <w:rPr>
          <w:color w:val="000000" w:themeColor="text1"/>
        </w:rPr>
      </w:pPr>
      <w:r w:rsidRPr="00DA3EC6">
        <w:rPr>
          <w:rFonts w:eastAsia="SimSun"/>
          <w:bCs/>
          <w:color w:val="000000" w:themeColor="text1"/>
        </w:rPr>
        <w:t xml:space="preserve">Whether </w:t>
      </w:r>
      <w:bookmarkStart w:id="4" w:name="OLE_LINK172"/>
      <w:bookmarkStart w:id="5" w:name="OLE_LINK173"/>
      <w:r w:rsidRPr="00DA3EC6">
        <w:rPr>
          <w:rFonts w:eastAsia="SimSun"/>
          <w:bCs/>
          <w:color w:val="000000" w:themeColor="text1"/>
        </w:rPr>
        <w:t xml:space="preserve">thyroid dysfunction </w:t>
      </w:r>
      <w:bookmarkEnd w:id="4"/>
      <w:bookmarkEnd w:id="5"/>
      <w:r w:rsidRPr="00DA3EC6">
        <w:rPr>
          <w:rFonts w:eastAsia="SimSun"/>
          <w:bCs/>
          <w:color w:val="000000" w:themeColor="text1"/>
        </w:rPr>
        <w:t xml:space="preserve">plays a causal role in the development of cancer remains inconclusive. We conducted a two-sample Mendelian randomization study to investigate the associations between genetic predisposition to thyroid dysfunction and 22 site-specific cancers. </w:t>
      </w:r>
      <w:r w:rsidRPr="00DA3EC6">
        <w:rPr>
          <w:color w:val="000000" w:themeColor="text1"/>
        </w:rPr>
        <w:t xml:space="preserve">Single-nucleotide polymorphisms associated with four traits of thyroid function were selected from a genome-wide association meta-analysis with up to 72 167 European-descent individuals. Summary-level data </w:t>
      </w:r>
      <w:r w:rsidRPr="00DA3EC6">
        <w:rPr>
          <w:bCs/>
          <w:color w:val="000000" w:themeColor="text1"/>
        </w:rPr>
        <w:t>for breast cancer and 21 other cancers were extracted from</w:t>
      </w:r>
      <w:r w:rsidRPr="00DA3EC6">
        <w:rPr>
          <w:color w:val="000000" w:themeColor="text1"/>
        </w:rPr>
        <w:t xml:space="preserve"> the Breast Cancer Association Consortium </w:t>
      </w:r>
      <w:r w:rsidRPr="00DA3EC6">
        <w:rPr>
          <w:bCs/>
          <w:color w:val="000000" w:themeColor="text1"/>
        </w:rPr>
        <w:t>(122 977 breast cancer cases and 105 974 controls) and</w:t>
      </w:r>
      <w:r w:rsidRPr="00DA3EC6">
        <w:rPr>
          <w:color w:val="000000" w:themeColor="text1"/>
        </w:rPr>
        <w:t xml:space="preserve"> UK Biobank (</w:t>
      </w:r>
      <w:r w:rsidRPr="00DA3EC6">
        <w:rPr>
          <w:bCs/>
          <w:color w:val="000000" w:themeColor="text1"/>
        </w:rPr>
        <w:t xml:space="preserve">367 643 individuals). </w:t>
      </w:r>
      <w:r w:rsidRPr="00DA3EC6">
        <w:rPr>
          <w:color w:val="000000" w:themeColor="text1"/>
        </w:rPr>
        <w:t xml:space="preserve">For breast cancer, a meta-analysis was performed using data from both sources. </w:t>
      </w:r>
      <w:r w:rsidRPr="00DA3EC6">
        <w:rPr>
          <w:rFonts w:eastAsia="SimSun"/>
          <w:bCs/>
          <w:color w:val="000000" w:themeColor="text1"/>
        </w:rPr>
        <w:t>Genetically predicted thyroid dysfunction</w:t>
      </w:r>
      <w:r w:rsidRPr="00DA3EC6">
        <w:rPr>
          <w:color w:val="000000" w:themeColor="text1"/>
        </w:rPr>
        <w:t xml:space="preserve"> was associated with breast cancer, with similar patterns of associations in the Breast Cancer Association Consortium and UK Biobank. The combined odds ratios of breast cancer were 0.94 (</w:t>
      </w:r>
      <w:r w:rsidRPr="00DA3EC6">
        <w:rPr>
          <w:color w:val="000000" w:themeColor="text1"/>
          <w:szCs w:val="22"/>
        </w:rPr>
        <w:t>0.91-0.98</w:t>
      </w:r>
      <w:r w:rsidRPr="00DA3EC6">
        <w:rPr>
          <w:color w:val="000000" w:themeColor="text1"/>
        </w:rPr>
        <w:t xml:space="preserve">; </w:t>
      </w:r>
      <w:r w:rsidRPr="00DA3EC6">
        <w:rPr>
          <w:i/>
          <w:color w:val="000000" w:themeColor="text1"/>
        </w:rPr>
        <w:t>p</w:t>
      </w:r>
      <w:r w:rsidRPr="00DA3EC6">
        <w:rPr>
          <w:color w:val="000000" w:themeColor="text1"/>
        </w:rPr>
        <w:t xml:space="preserve">=0.007) </w:t>
      </w:r>
      <w:bookmarkStart w:id="6" w:name="OLE_LINK184"/>
      <w:bookmarkStart w:id="7" w:name="OLE_LINK185"/>
      <w:r w:rsidRPr="00DA3EC6">
        <w:rPr>
          <w:color w:val="000000" w:themeColor="text1"/>
        </w:rPr>
        <w:t>per genetically predicted one standard deviation increase in TSH levels</w:t>
      </w:r>
      <w:bookmarkEnd w:id="6"/>
      <w:bookmarkEnd w:id="7"/>
      <w:r w:rsidRPr="00DA3EC6">
        <w:rPr>
          <w:color w:val="000000" w:themeColor="text1"/>
        </w:rPr>
        <w:t xml:space="preserve">, 0.96 (0.91-1.00; </w:t>
      </w:r>
      <w:r w:rsidRPr="00DA3EC6">
        <w:rPr>
          <w:i/>
          <w:iCs/>
          <w:color w:val="000000" w:themeColor="text1"/>
        </w:rPr>
        <w:t>p</w:t>
      </w:r>
      <w:r w:rsidRPr="00DA3EC6">
        <w:rPr>
          <w:color w:val="000000" w:themeColor="text1"/>
        </w:rPr>
        <w:t xml:space="preserve">=0.053) for genetic predisposition to hypothyroidism, 1.04 (1.01-1.07; </w:t>
      </w:r>
      <w:r w:rsidRPr="00DA3EC6">
        <w:rPr>
          <w:i/>
          <w:iCs/>
          <w:color w:val="000000" w:themeColor="text1"/>
        </w:rPr>
        <w:t>p</w:t>
      </w:r>
      <w:r w:rsidRPr="00DA3EC6">
        <w:rPr>
          <w:color w:val="000000" w:themeColor="text1"/>
        </w:rPr>
        <w:t xml:space="preserve">=0.005) </w:t>
      </w:r>
      <w:bookmarkStart w:id="8" w:name="OLE_LINK188"/>
      <w:bookmarkStart w:id="9" w:name="OLE_LINK189"/>
      <w:r w:rsidRPr="00DA3EC6">
        <w:rPr>
          <w:color w:val="000000" w:themeColor="text1"/>
        </w:rPr>
        <w:t>for genetic predisposition to hyperthyroidism</w:t>
      </w:r>
      <w:bookmarkEnd w:id="8"/>
      <w:bookmarkEnd w:id="9"/>
      <w:r w:rsidRPr="00DA3EC6">
        <w:rPr>
          <w:color w:val="000000" w:themeColor="text1"/>
        </w:rPr>
        <w:t xml:space="preserve">, and 1.07 (1.02-1.12; </w:t>
      </w:r>
      <w:r w:rsidRPr="00DA3EC6">
        <w:rPr>
          <w:i/>
          <w:iCs/>
          <w:color w:val="000000" w:themeColor="text1"/>
        </w:rPr>
        <w:t>p</w:t>
      </w:r>
      <w:r w:rsidRPr="00DA3EC6">
        <w:rPr>
          <w:color w:val="000000" w:themeColor="text1"/>
        </w:rPr>
        <w:t xml:space="preserve">=0.003) per genetically predicted one standard deviation increase in free thyroxine levels. Genetically predicted TSH levels and hypothyroidism were inversely with thyroid cancer; the odds ratios were </w:t>
      </w:r>
      <w:r w:rsidRPr="00DA3EC6">
        <w:rPr>
          <w:color w:val="000000" w:themeColor="text1"/>
          <w:szCs w:val="20"/>
        </w:rPr>
        <w:t xml:space="preserve">0.47 (0.30-0.73; </w:t>
      </w:r>
      <w:r w:rsidRPr="00DA3EC6">
        <w:rPr>
          <w:i/>
          <w:color w:val="000000" w:themeColor="text1"/>
          <w:szCs w:val="20"/>
        </w:rPr>
        <w:t>p</w:t>
      </w:r>
      <w:r w:rsidRPr="00DA3EC6">
        <w:rPr>
          <w:color w:val="000000" w:themeColor="text1"/>
          <w:szCs w:val="20"/>
        </w:rPr>
        <w:t xml:space="preserve">=0.001) and 0.70 (0.51-0.98; </w:t>
      </w:r>
      <w:r w:rsidRPr="00DA3EC6">
        <w:rPr>
          <w:i/>
          <w:color w:val="000000" w:themeColor="text1"/>
          <w:szCs w:val="20"/>
        </w:rPr>
        <w:t>p</w:t>
      </w:r>
      <w:r w:rsidRPr="00DA3EC6">
        <w:rPr>
          <w:color w:val="000000" w:themeColor="text1"/>
          <w:szCs w:val="20"/>
        </w:rPr>
        <w:t>=0.038), respectively</w:t>
      </w:r>
      <w:r w:rsidRPr="00DA3EC6">
        <w:rPr>
          <w:color w:val="000000" w:themeColor="text1"/>
        </w:rPr>
        <w:t xml:space="preserve">. </w:t>
      </w:r>
      <w:r w:rsidRPr="00DA3EC6">
        <w:rPr>
          <w:rFonts w:eastAsia="SimSun"/>
          <w:bCs/>
          <w:color w:val="000000" w:themeColor="text1"/>
        </w:rPr>
        <w:t>This study provides evidence of a causal association between thyroid dysfunction and breast cancer (mainly ER positive tumors) risk. The role of</w:t>
      </w:r>
      <w:r w:rsidRPr="00DA3EC6">
        <w:rPr>
          <w:color w:val="000000" w:themeColor="text1"/>
        </w:rPr>
        <w:t xml:space="preserve"> TSH and hypothyroidism for thyroid cancer and the associations between thyroid dysfunction and other cancers need further exploration.</w:t>
      </w:r>
    </w:p>
    <w:p w:rsidR="009E2734" w:rsidRPr="00E20AED" w:rsidRDefault="009E2734" w:rsidP="00DA3EC6">
      <w:pPr>
        <w:autoSpaceDE w:val="0"/>
        <w:autoSpaceDN w:val="0"/>
        <w:adjustRightInd w:val="0"/>
        <w:spacing w:line="480" w:lineRule="auto"/>
        <w:jc w:val="both"/>
        <w:rPr>
          <w:color w:val="000000" w:themeColor="text1"/>
        </w:rPr>
      </w:pPr>
    </w:p>
    <w:p w:rsidR="009E2734" w:rsidRPr="00145BFD" w:rsidRDefault="009E2734" w:rsidP="00DA3EC6">
      <w:pPr>
        <w:autoSpaceDE w:val="0"/>
        <w:autoSpaceDN w:val="0"/>
        <w:adjustRightInd w:val="0"/>
        <w:spacing w:line="480" w:lineRule="auto"/>
        <w:jc w:val="both"/>
        <w:rPr>
          <w:bCs/>
        </w:rPr>
      </w:pPr>
      <w:r w:rsidRPr="00A71E34">
        <w:rPr>
          <w:rFonts w:eastAsia="SimSun"/>
          <w:b/>
          <w:color w:val="131413"/>
        </w:rPr>
        <w:t xml:space="preserve">Keywords: </w:t>
      </w:r>
      <w:r w:rsidRPr="00A71E34">
        <w:rPr>
          <w:bCs/>
        </w:rPr>
        <w:t>cancer</w:t>
      </w:r>
      <w:r w:rsidRPr="00A71E34">
        <w:rPr>
          <w:rFonts w:eastAsia="SimSun"/>
          <w:bCs/>
          <w:color w:val="131413"/>
        </w:rPr>
        <w:t xml:space="preserve">; </w:t>
      </w:r>
      <w:bookmarkStart w:id="10" w:name="OLE_LINK166"/>
      <w:bookmarkStart w:id="11" w:name="OLE_LINK167"/>
      <w:r w:rsidRPr="00A71E34">
        <w:rPr>
          <w:bCs/>
          <w:color w:val="000000" w:themeColor="text1"/>
        </w:rPr>
        <w:t xml:space="preserve">hyperthyroidism; </w:t>
      </w:r>
      <w:r w:rsidRPr="00A71E34">
        <w:rPr>
          <w:bCs/>
        </w:rPr>
        <w:t>hypothyroidism</w:t>
      </w:r>
      <w:r w:rsidRPr="00A71E34">
        <w:rPr>
          <w:bCs/>
          <w:color w:val="000000" w:themeColor="text1"/>
        </w:rPr>
        <w:t>; Mendelian randomization</w:t>
      </w:r>
      <w:bookmarkStart w:id="12" w:name="OLE_LINK395"/>
      <w:bookmarkStart w:id="13" w:name="OLE_LINK396"/>
      <w:r w:rsidRPr="00A71E34">
        <w:rPr>
          <w:bCs/>
          <w:color w:val="000000" w:themeColor="text1"/>
        </w:rPr>
        <w:t xml:space="preserve">; </w:t>
      </w:r>
      <w:bookmarkStart w:id="14" w:name="OLE_LINK301"/>
      <w:bookmarkStart w:id="15" w:name="OLE_LINK302"/>
      <w:r w:rsidRPr="00A71E34">
        <w:rPr>
          <w:bCs/>
          <w:color w:val="000000" w:themeColor="text1"/>
        </w:rPr>
        <w:t>thyroid-stimulating hormone</w:t>
      </w:r>
      <w:bookmarkEnd w:id="12"/>
      <w:bookmarkEnd w:id="13"/>
      <w:bookmarkEnd w:id="14"/>
      <w:bookmarkEnd w:id="15"/>
      <w:r w:rsidRPr="00A71E34">
        <w:rPr>
          <w:bCs/>
        </w:rPr>
        <w:t>; thyroxine</w:t>
      </w:r>
      <w:bookmarkEnd w:id="10"/>
      <w:bookmarkEnd w:id="11"/>
      <w:r>
        <w:rPr>
          <w:bCs/>
          <w:color w:val="000000" w:themeColor="text1"/>
        </w:rPr>
        <w:br w:type="page"/>
      </w:r>
    </w:p>
    <w:p w:rsidR="009E2734" w:rsidRPr="00DA3EC6" w:rsidRDefault="009E2734" w:rsidP="00DA3EC6">
      <w:pPr>
        <w:autoSpaceDE w:val="0"/>
        <w:autoSpaceDN w:val="0"/>
        <w:adjustRightInd w:val="0"/>
        <w:spacing w:line="480" w:lineRule="auto"/>
        <w:jc w:val="both"/>
        <w:rPr>
          <w:rFonts w:eastAsia="SimSun"/>
          <w:b/>
          <w:color w:val="000000" w:themeColor="text1"/>
        </w:rPr>
      </w:pPr>
      <w:r w:rsidRPr="00DA3EC6">
        <w:rPr>
          <w:rFonts w:eastAsia="SimSun"/>
          <w:b/>
          <w:color w:val="000000" w:themeColor="text1"/>
        </w:rPr>
        <w:lastRenderedPageBreak/>
        <w:t>Introduction</w:t>
      </w:r>
    </w:p>
    <w:p w:rsidR="009E2734" w:rsidRPr="00DA3EC6" w:rsidRDefault="009E2734" w:rsidP="00DA3EC6">
      <w:pPr>
        <w:autoSpaceDE w:val="0"/>
        <w:autoSpaceDN w:val="0"/>
        <w:adjustRightInd w:val="0"/>
        <w:spacing w:line="480" w:lineRule="auto"/>
        <w:jc w:val="both"/>
        <w:rPr>
          <w:color w:val="000000" w:themeColor="text1"/>
        </w:rPr>
      </w:pPr>
      <w:bookmarkStart w:id="16" w:name="OLE_LINK317"/>
      <w:bookmarkStart w:id="17" w:name="OLE_LINK318"/>
      <w:bookmarkStart w:id="18" w:name="OLE_LINK319"/>
      <w:bookmarkStart w:id="19" w:name="OLE_LINK322"/>
      <w:r w:rsidRPr="00DA3EC6">
        <w:rPr>
          <w:color w:val="000000" w:themeColor="text1"/>
        </w:rPr>
        <w:t>Subclinical</w:t>
      </w:r>
      <w:r w:rsidRPr="00DA3EC6">
        <w:rPr>
          <w:rFonts w:eastAsia="SimSun"/>
          <w:bCs/>
          <w:color w:val="000000" w:themeColor="text1"/>
        </w:rPr>
        <w:t xml:space="preserve"> thyroid dysfunction</w:t>
      </w:r>
      <w:bookmarkEnd w:id="16"/>
      <w:bookmarkEnd w:id="17"/>
      <w:bookmarkEnd w:id="18"/>
      <w:bookmarkEnd w:id="19"/>
      <w:r w:rsidRPr="00DA3EC6">
        <w:rPr>
          <w:rFonts w:eastAsia="SimSun"/>
          <w:bCs/>
          <w:color w:val="000000" w:themeColor="text1"/>
        </w:rPr>
        <w:t xml:space="preserve"> is defined as abnormal </w:t>
      </w:r>
      <w:r w:rsidRPr="00DA3EC6">
        <w:rPr>
          <w:color w:val="000000" w:themeColor="text1"/>
        </w:rPr>
        <w:t xml:space="preserve">serum thyroid-stimulating hormone (TSH) levels with </w:t>
      </w:r>
      <w:r w:rsidRPr="00DA3EC6">
        <w:rPr>
          <w:rFonts w:hint="eastAsia"/>
          <w:color w:val="000000" w:themeColor="text1"/>
        </w:rPr>
        <w:t>physiological</w:t>
      </w:r>
      <w:r w:rsidRPr="00DA3EC6">
        <w:rPr>
          <w:color w:val="000000" w:themeColor="text1"/>
        </w:rPr>
        <w:t xml:space="preserve">ly normal free thyroxine levels in asymptomatic patients </w:t>
      </w:r>
      <w:r w:rsidRPr="00DA3EC6">
        <w:rPr>
          <w:noProof/>
          <w:color w:val="000000" w:themeColor="text1"/>
          <w:vertAlign w:val="superscript"/>
        </w:rPr>
        <w:t>1</w:t>
      </w:r>
      <w:r w:rsidRPr="00DA3EC6">
        <w:rPr>
          <w:color w:val="000000" w:themeColor="text1"/>
        </w:rPr>
        <w:t xml:space="preserve"> and </w:t>
      </w:r>
      <w:r w:rsidRPr="00DA3EC6">
        <w:rPr>
          <w:rFonts w:eastAsia="SimSun"/>
          <w:bCs/>
          <w:color w:val="000000" w:themeColor="text1"/>
        </w:rPr>
        <w:t xml:space="preserve">is a common disorder among adults </w:t>
      </w:r>
      <w:r w:rsidRPr="00DA3EC6">
        <w:rPr>
          <w:rFonts w:eastAsia="SimSun"/>
          <w:bCs/>
          <w:noProof/>
          <w:color w:val="000000" w:themeColor="text1"/>
          <w:vertAlign w:val="superscript"/>
        </w:rPr>
        <w:t>2</w:t>
      </w:r>
      <w:r w:rsidRPr="00DA3EC6">
        <w:rPr>
          <w:rFonts w:eastAsia="SimSun"/>
          <w:bCs/>
          <w:color w:val="000000" w:themeColor="text1"/>
        </w:rPr>
        <w:t xml:space="preserve">, particularly in older women </w:t>
      </w:r>
      <w:r w:rsidRPr="00DA3EC6">
        <w:rPr>
          <w:rFonts w:eastAsia="SimSun"/>
          <w:bCs/>
          <w:noProof/>
          <w:color w:val="000000" w:themeColor="text1"/>
          <w:vertAlign w:val="superscript"/>
        </w:rPr>
        <w:t>2</w:t>
      </w:r>
      <w:r w:rsidRPr="00DA3EC6">
        <w:rPr>
          <w:rFonts w:eastAsia="SimSun"/>
          <w:bCs/>
          <w:color w:val="000000" w:themeColor="text1"/>
        </w:rPr>
        <w:t xml:space="preserve">. Considering the important role of thyroid hormones in cell proliferation and differentiation, thyroid dysfunction has been proposed as a potential and preventable risk factor for cancer, such as thyroid </w:t>
      </w:r>
      <w:r w:rsidRPr="00DA3EC6">
        <w:rPr>
          <w:rFonts w:eastAsia="SimSun"/>
          <w:bCs/>
          <w:noProof/>
          <w:color w:val="000000" w:themeColor="text1"/>
          <w:vertAlign w:val="superscript"/>
        </w:rPr>
        <w:t>3, 4</w:t>
      </w:r>
      <w:r w:rsidRPr="00DA3EC6">
        <w:rPr>
          <w:rFonts w:eastAsia="SimSun"/>
          <w:bCs/>
          <w:color w:val="000000" w:themeColor="text1"/>
        </w:rPr>
        <w:t xml:space="preserve"> and breast cancer </w:t>
      </w:r>
      <w:r w:rsidRPr="00DA3EC6">
        <w:rPr>
          <w:rFonts w:eastAsia="SimSun"/>
          <w:bCs/>
          <w:noProof/>
          <w:color w:val="000000" w:themeColor="text1"/>
          <w:vertAlign w:val="superscript"/>
        </w:rPr>
        <w:t>5, 6</w:t>
      </w:r>
      <w:r w:rsidRPr="00DA3EC6">
        <w:rPr>
          <w:rFonts w:eastAsia="SimSun"/>
          <w:bCs/>
          <w:color w:val="000000" w:themeColor="text1"/>
        </w:rPr>
        <w:t xml:space="preserve">. </w:t>
      </w:r>
    </w:p>
    <w:p w:rsidR="009E2734" w:rsidRPr="00DA3EC6" w:rsidRDefault="009E2734" w:rsidP="00DA3EC6">
      <w:pPr>
        <w:autoSpaceDE w:val="0"/>
        <w:autoSpaceDN w:val="0"/>
        <w:adjustRightInd w:val="0"/>
        <w:spacing w:line="480" w:lineRule="auto"/>
        <w:ind w:firstLine="720"/>
        <w:jc w:val="both"/>
        <w:rPr>
          <w:rFonts w:eastAsia="SimSun"/>
          <w:bCs/>
          <w:color w:val="000000" w:themeColor="text1"/>
        </w:rPr>
      </w:pPr>
      <w:r w:rsidRPr="00DA3EC6">
        <w:rPr>
          <w:rFonts w:eastAsia="SimSun"/>
          <w:bCs/>
          <w:color w:val="000000" w:themeColor="text1"/>
        </w:rPr>
        <w:t xml:space="preserve">Observational data on the associations between </w:t>
      </w:r>
      <w:bookmarkStart w:id="20" w:name="OLE_LINK323"/>
      <w:bookmarkStart w:id="21" w:name="OLE_LINK324"/>
      <w:r w:rsidRPr="00DA3EC6">
        <w:rPr>
          <w:rFonts w:eastAsia="SimSun"/>
          <w:bCs/>
          <w:color w:val="000000" w:themeColor="text1"/>
        </w:rPr>
        <w:t xml:space="preserve">thyroid dysfunction </w:t>
      </w:r>
      <w:bookmarkEnd w:id="20"/>
      <w:bookmarkEnd w:id="21"/>
      <w:r w:rsidRPr="00DA3EC6">
        <w:rPr>
          <w:rFonts w:eastAsia="SimSun"/>
          <w:bCs/>
          <w:color w:val="000000" w:themeColor="text1"/>
        </w:rPr>
        <w:t xml:space="preserve">and risk of cancer are conflicting. Low TSH levels were associated with an increased risk of thyroid carcinoma in one study </w:t>
      </w:r>
      <w:r w:rsidRPr="00DA3EC6">
        <w:rPr>
          <w:rFonts w:eastAsia="SimSun"/>
          <w:bCs/>
          <w:noProof/>
          <w:color w:val="000000" w:themeColor="text1"/>
          <w:vertAlign w:val="superscript"/>
        </w:rPr>
        <w:t>3</w:t>
      </w:r>
      <w:r w:rsidRPr="00DA3EC6">
        <w:rPr>
          <w:rFonts w:eastAsia="SimSun"/>
          <w:bCs/>
          <w:color w:val="000000" w:themeColor="text1"/>
        </w:rPr>
        <w:t xml:space="preserve">, while it was stated that higher TSH levels were associated with a higher frequency and more advanced stage of thyroid cancer in another study </w:t>
      </w:r>
      <w:r w:rsidRPr="00DA3EC6">
        <w:rPr>
          <w:rFonts w:eastAsia="SimSun"/>
          <w:bCs/>
          <w:noProof/>
          <w:color w:val="000000" w:themeColor="text1"/>
          <w:vertAlign w:val="superscript"/>
        </w:rPr>
        <w:t>7</w:t>
      </w:r>
      <w:r w:rsidRPr="00DA3EC6">
        <w:rPr>
          <w:rFonts w:eastAsia="SimSun"/>
          <w:bCs/>
          <w:color w:val="000000" w:themeColor="text1"/>
        </w:rPr>
        <w:t xml:space="preserve">. With regard to breast cancer, a meta-analysis of 13 case-control studies published until June 2016 found no association between hypo- or hyperthyroidism and breast cancer risk </w:t>
      </w:r>
      <w:r w:rsidRPr="00DA3EC6">
        <w:rPr>
          <w:rFonts w:eastAsia="SimSun"/>
          <w:bCs/>
          <w:noProof/>
          <w:color w:val="000000" w:themeColor="text1"/>
          <w:vertAlign w:val="superscript"/>
        </w:rPr>
        <w:t>8</w:t>
      </w:r>
      <w:r w:rsidRPr="00DA3EC6">
        <w:rPr>
          <w:rFonts w:eastAsia="SimSun"/>
          <w:bCs/>
          <w:color w:val="000000" w:themeColor="text1"/>
        </w:rPr>
        <w:t xml:space="preserve">. However, results from a nationwide population-based cohort study in Denmark showed that women diagnosed with hypothyroidism and hyperthyroidism had respectively lower and higher risk of breast cancer compared with the general population </w:t>
      </w:r>
      <w:r w:rsidRPr="00DA3EC6">
        <w:rPr>
          <w:rFonts w:eastAsia="SimSun"/>
          <w:bCs/>
          <w:noProof/>
          <w:color w:val="000000" w:themeColor="text1"/>
          <w:vertAlign w:val="superscript"/>
        </w:rPr>
        <w:t>9</w:t>
      </w:r>
      <w:r w:rsidRPr="00DA3EC6">
        <w:rPr>
          <w:rFonts w:eastAsia="SimSun"/>
          <w:bCs/>
          <w:color w:val="000000" w:themeColor="text1"/>
        </w:rPr>
        <w:t xml:space="preserve">. Similarly, hyperthyroidism was associated with a significant increased risk of breast cancer mortality in a prospective cohort study of 75 076 US women </w:t>
      </w:r>
      <w:r w:rsidRPr="00DA3EC6">
        <w:rPr>
          <w:rFonts w:eastAsia="SimSun"/>
          <w:bCs/>
          <w:noProof/>
          <w:color w:val="000000" w:themeColor="text1"/>
          <w:vertAlign w:val="superscript"/>
        </w:rPr>
        <w:t>10</w:t>
      </w:r>
      <w:r w:rsidRPr="00DA3EC6">
        <w:rPr>
          <w:rFonts w:eastAsia="SimSun"/>
          <w:bCs/>
          <w:color w:val="000000" w:themeColor="text1"/>
        </w:rPr>
        <w:t xml:space="preserve">. A limitation of available evidence is that observational findings are prone to be influenced by residual confounding and reverse causality, thereby </w:t>
      </w:r>
      <w:r w:rsidRPr="00DA3EC6">
        <w:rPr>
          <w:rFonts w:eastAsia="SimSun" w:hint="eastAsia"/>
          <w:bCs/>
          <w:color w:val="000000" w:themeColor="text1"/>
        </w:rPr>
        <w:t>impe</w:t>
      </w:r>
      <w:r w:rsidRPr="00DA3EC6">
        <w:rPr>
          <w:rFonts w:eastAsia="SimSun"/>
          <w:bCs/>
          <w:color w:val="000000" w:themeColor="text1"/>
        </w:rPr>
        <w:t xml:space="preserve">ding the causal inference on association between thyroid dysfunction and cancer risk. </w:t>
      </w:r>
    </w:p>
    <w:p w:rsidR="009E2734" w:rsidRPr="00DA3EC6" w:rsidRDefault="009E2734" w:rsidP="00DA3EC6">
      <w:pPr>
        <w:autoSpaceDE w:val="0"/>
        <w:autoSpaceDN w:val="0"/>
        <w:adjustRightInd w:val="0"/>
        <w:spacing w:line="480" w:lineRule="auto"/>
        <w:ind w:firstLine="720"/>
        <w:jc w:val="both"/>
        <w:rPr>
          <w:rFonts w:eastAsia="SimSun"/>
          <w:bCs/>
          <w:color w:val="000000" w:themeColor="text1"/>
        </w:rPr>
      </w:pPr>
      <w:r w:rsidRPr="00DA3EC6">
        <w:rPr>
          <w:rFonts w:eastAsia="SimSun"/>
          <w:bCs/>
          <w:color w:val="000000" w:themeColor="text1"/>
        </w:rPr>
        <w:t xml:space="preserve">Genetic variants explicitly associated with a potential risk factor (e.g., TSH levels) can be used as unbiased proxies for the risk factor to determine causality. This approach, named as Mendelian randomization (MR), is a genetic method that can strengthen the inference on the causal nature of exposure-outcome associations by diminishing the likelihood of confounding and eliminating reverse causality in conventional observational studies </w:t>
      </w:r>
      <w:r w:rsidRPr="00DA3EC6">
        <w:rPr>
          <w:rFonts w:eastAsia="SimSun"/>
          <w:bCs/>
          <w:noProof/>
          <w:color w:val="000000" w:themeColor="text1"/>
          <w:vertAlign w:val="superscript"/>
        </w:rPr>
        <w:t>11</w:t>
      </w:r>
      <w:r w:rsidRPr="00DA3EC6">
        <w:rPr>
          <w:rFonts w:eastAsia="SimSun"/>
          <w:bCs/>
          <w:color w:val="000000" w:themeColor="text1"/>
        </w:rPr>
        <w:t xml:space="preserve">. This is because the </w:t>
      </w:r>
      <w:r w:rsidRPr="00DA3EC6">
        <w:rPr>
          <w:rFonts w:eastAsia="SimSun"/>
          <w:bCs/>
          <w:color w:val="000000" w:themeColor="text1"/>
        </w:rPr>
        <w:lastRenderedPageBreak/>
        <w:t xml:space="preserve">genetic alleles associated with the exposure are randomly assorted at conception and thus unrelated to self-selected lifestyle and environmental factors and are not modified by disease. </w:t>
      </w:r>
      <w:r w:rsidRPr="00DA3EC6">
        <w:rPr>
          <w:color w:val="000000" w:themeColor="text1"/>
        </w:rPr>
        <w:t xml:space="preserve">Given the controversy and uncertainty of </w:t>
      </w:r>
      <w:r w:rsidRPr="00DA3EC6">
        <w:rPr>
          <w:rFonts w:hint="eastAsia"/>
          <w:color w:val="000000" w:themeColor="text1"/>
        </w:rPr>
        <w:t>t</w:t>
      </w:r>
      <w:r w:rsidRPr="00DA3EC6">
        <w:rPr>
          <w:color w:val="000000" w:themeColor="text1"/>
        </w:rPr>
        <w:t>he role of thyroid dysfunction for cancer</w:t>
      </w:r>
      <w:r w:rsidRPr="00DA3EC6">
        <w:rPr>
          <w:rFonts w:eastAsia="SimSun"/>
          <w:bCs/>
          <w:color w:val="000000" w:themeColor="text1"/>
        </w:rPr>
        <w:t xml:space="preserve">, we conducted a two-sample Mendelian randomization study to explore the causal associations of four indicators of thyroid function and dysfunction, including circulating </w:t>
      </w:r>
      <w:r w:rsidRPr="00DA3EC6">
        <w:rPr>
          <w:bCs/>
          <w:color w:val="000000" w:themeColor="text1"/>
        </w:rPr>
        <w:t xml:space="preserve">TSH levels, hypothyroidism, hyperthyroidism and free thyroxine levels, with overall cancer and 22 site-specific cancers. </w:t>
      </w:r>
    </w:p>
    <w:p w:rsidR="009E2734" w:rsidRPr="00DA3EC6" w:rsidRDefault="009E2734" w:rsidP="00DA3EC6">
      <w:pPr>
        <w:autoSpaceDE w:val="0"/>
        <w:autoSpaceDN w:val="0"/>
        <w:adjustRightInd w:val="0"/>
        <w:spacing w:line="480" w:lineRule="auto"/>
        <w:jc w:val="both"/>
        <w:rPr>
          <w:rFonts w:eastAsia="SimSun"/>
          <w:b/>
          <w:color w:val="000000" w:themeColor="text1"/>
        </w:rPr>
      </w:pPr>
    </w:p>
    <w:p w:rsidR="009E2734" w:rsidRPr="00DA3EC6" w:rsidRDefault="009E2734" w:rsidP="00DA3EC6">
      <w:pPr>
        <w:autoSpaceDE w:val="0"/>
        <w:autoSpaceDN w:val="0"/>
        <w:adjustRightInd w:val="0"/>
        <w:spacing w:line="480" w:lineRule="auto"/>
        <w:jc w:val="both"/>
        <w:rPr>
          <w:rFonts w:eastAsia="SimSun"/>
          <w:b/>
          <w:color w:val="000000" w:themeColor="text1"/>
        </w:rPr>
      </w:pPr>
      <w:r w:rsidRPr="00DA3EC6">
        <w:rPr>
          <w:rFonts w:eastAsia="SimSun"/>
          <w:b/>
          <w:color w:val="000000" w:themeColor="text1"/>
        </w:rPr>
        <w:t>Materials and Methods</w:t>
      </w:r>
    </w:p>
    <w:p w:rsidR="009E2734" w:rsidRPr="00DA3EC6" w:rsidRDefault="009E2734" w:rsidP="00DA3EC6">
      <w:pPr>
        <w:autoSpaceDE w:val="0"/>
        <w:autoSpaceDN w:val="0"/>
        <w:adjustRightInd w:val="0"/>
        <w:spacing w:line="480" w:lineRule="auto"/>
        <w:jc w:val="both"/>
        <w:rPr>
          <w:rFonts w:eastAsia="SimSun"/>
          <w:b/>
          <w:color w:val="000000" w:themeColor="text1"/>
        </w:rPr>
      </w:pPr>
      <w:r w:rsidRPr="00DA3EC6">
        <w:rPr>
          <w:rFonts w:eastAsia="SimSun"/>
          <w:b/>
          <w:color w:val="000000" w:themeColor="text1"/>
        </w:rPr>
        <w:t>Assumptions of MR study and study design overview</w:t>
      </w:r>
    </w:p>
    <w:p w:rsidR="009E2734" w:rsidRPr="00DA3EC6" w:rsidRDefault="009E2734" w:rsidP="00DA3EC6">
      <w:pPr>
        <w:autoSpaceDE w:val="0"/>
        <w:autoSpaceDN w:val="0"/>
        <w:adjustRightInd w:val="0"/>
        <w:spacing w:line="480" w:lineRule="auto"/>
        <w:jc w:val="both"/>
        <w:rPr>
          <w:bCs/>
          <w:color w:val="000000" w:themeColor="text1"/>
        </w:rPr>
      </w:pPr>
      <w:r w:rsidRPr="00DA3EC6">
        <w:rPr>
          <w:bCs/>
          <w:color w:val="000000" w:themeColor="text1"/>
        </w:rPr>
        <w:t xml:space="preserve">There are three key assumptions for MR analysis: 1) the genetic variants used as instrumental variables should be robustly associated with the risk factor of interest (Relevance assumption); 2) the used genetic variants should not be associated with potential confounders (Independent assumption); and 3) the genetic variants should affect the risk of the outcome only through the risk factor, not via alternative pathways (Exclusion restriction assumption). The present two-sample MR study was based on summary-level data from the </w:t>
      </w:r>
      <w:proofErr w:type="spellStart"/>
      <w:r w:rsidRPr="00DA3EC6">
        <w:rPr>
          <w:bCs/>
          <w:color w:val="000000" w:themeColor="text1"/>
        </w:rPr>
        <w:t>ThyroidOmics</w:t>
      </w:r>
      <w:proofErr w:type="spellEnd"/>
      <w:r w:rsidRPr="00DA3EC6">
        <w:rPr>
          <w:bCs/>
          <w:color w:val="000000" w:themeColor="text1"/>
        </w:rPr>
        <w:t xml:space="preserve"> Consortium </w:t>
      </w:r>
      <w:r w:rsidRPr="00DA3EC6">
        <w:rPr>
          <w:noProof/>
          <w:color w:val="000000" w:themeColor="text1"/>
          <w:vertAlign w:val="superscript"/>
        </w:rPr>
        <w:t>12</w:t>
      </w:r>
      <w:r w:rsidRPr="00DA3EC6">
        <w:rPr>
          <w:bCs/>
          <w:color w:val="000000" w:themeColor="text1"/>
        </w:rPr>
        <w:t xml:space="preserve">, the Breast Cancer Association Consortium (BCAC) </w:t>
      </w:r>
      <w:r w:rsidRPr="00DA3EC6">
        <w:rPr>
          <w:bCs/>
          <w:noProof/>
          <w:color w:val="000000" w:themeColor="text1"/>
          <w:vertAlign w:val="superscript"/>
        </w:rPr>
        <w:t>13</w:t>
      </w:r>
      <w:r w:rsidRPr="00DA3EC6">
        <w:rPr>
          <w:bCs/>
          <w:color w:val="000000" w:themeColor="text1"/>
        </w:rPr>
        <w:t xml:space="preserve"> and the UK Biobank </w:t>
      </w:r>
      <w:r w:rsidRPr="00DA3EC6">
        <w:rPr>
          <w:bCs/>
          <w:noProof/>
          <w:color w:val="000000" w:themeColor="text1"/>
          <w:vertAlign w:val="superscript"/>
        </w:rPr>
        <w:t>14</w:t>
      </w:r>
      <w:r w:rsidRPr="00DA3EC6">
        <w:rPr>
          <w:bCs/>
          <w:color w:val="000000" w:themeColor="text1"/>
        </w:rPr>
        <w:t xml:space="preserve"> (</w:t>
      </w:r>
      <w:r w:rsidRPr="00DA3EC6">
        <w:rPr>
          <w:b/>
          <w:color w:val="000000" w:themeColor="text1"/>
        </w:rPr>
        <w:t>Supplementary Table 1)</w:t>
      </w:r>
      <w:r w:rsidRPr="00DA3EC6">
        <w:rPr>
          <w:bCs/>
          <w:color w:val="000000" w:themeColor="text1"/>
        </w:rPr>
        <w:t xml:space="preserve">. Assumptions of MR study and study design is shown in </w:t>
      </w:r>
      <w:r w:rsidRPr="00DA3EC6">
        <w:rPr>
          <w:b/>
          <w:color w:val="000000" w:themeColor="text1"/>
        </w:rPr>
        <w:t>Figure 1</w:t>
      </w:r>
      <w:r w:rsidRPr="00DA3EC6">
        <w:rPr>
          <w:bCs/>
          <w:color w:val="000000" w:themeColor="text1"/>
        </w:rPr>
        <w:t>. The original genome-wide association studies (GWASs) had been approved by corresponding ethical committee and</w:t>
      </w:r>
      <w:r w:rsidR="00BA46CD">
        <w:rPr>
          <w:bCs/>
          <w:color w:val="000000" w:themeColor="text1"/>
        </w:rPr>
        <w:t xml:space="preserve"> </w:t>
      </w:r>
      <w:r w:rsidR="00BA46CD" w:rsidRPr="00BA46CD">
        <w:rPr>
          <w:bCs/>
          <w:color w:val="000000" w:themeColor="text1"/>
        </w:rPr>
        <w:t>all participants provided informed consent.</w:t>
      </w:r>
      <w:r w:rsidRPr="00DA3EC6">
        <w:rPr>
          <w:bCs/>
          <w:color w:val="000000" w:themeColor="text1"/>
        </w:rPr>
        <w:t xml:space="preserve"> </w:t>
      </w:r>
      <w:r w:rsidR="00BA46CD">
        <w:rPr>
          <w:color w:val="000000" w:themeColor="text1"/>
        </w:rPr>
        <w:t>T</w:t>
      </w:r>
      <w:r w:rsidRPr="00DA3EC6">
        <w:rPr>
          <w:color w:val="000000" w:themeColor="text1"/>
        </w:rPr>
        <w:t>he present study was approved by the Swedish Ethical Review Authority.</w:t>
      </w:r>
    </w:p>
    <w:p w:rsidR="009E2734" w:rsidRPr="00DA3EC6" w:rsidRDefault="009E2734" w:rsidP="00DA3EC6">
      <w:pPr>
        <w:autoSpaceDE w:val="0"/>
        <w:autoSpaceDN w:val="0"/>
        <w:adjustRightInd w:val="0"/>
        <w:spacing w:line="480" w:lineRule="auto"/>
        <w:jc w:val="both"/>
        <w:rPr>
          <w:rFonts w:eastAsia="SimSun"/>
          <w:bCs/>
          <w:color w:val="000000" w:themeColor="text1"/>
        </w:rPr>
      </w:pPr>
    </w:p>
    <w:p w:rsidR="009E2734" w:rsidRPr="00DA3EC6" w:rsidRDefault="009E2734" w:rsidP="00DA3EC6">
      <w:pPr>
        <w:autoSpaceDE w:val="0"/>
        <w:autoSpaceDN w:val="0"/>
        <w:adjustRightInd w:val="0"/>
        <w:spacing w:line="480" w:lineRule="auto"/>
        <w:jc w:val="both"/>
        <w:rPr>
          <w:rFonts w:eastAsia="SimSun"/>
          <w:b/>
          <w:color w:val="000000" w:themeColor="text1"/>
        </w:rPr>
      </w:pPr>
      <w:bookmarkStart w:id="22" w:name="OLE_LINK34"/>
      <w:bookmarkStart w:id="23" w:name="OLE_LINK35"/>
      <w:r w:rsidRPr="00DA3EC6">
        <w:rPr>
          <w:rFonts w:eastAsia="SimSun"/>
          <w:b/>
          <w:color w:val="000000" w:themeColor="text1"/>
        </w:rPr>
        <w:t xml:space="preserve">Instrumental variable </w:t>
      </w:r>
      <w:bookmarkEnd w:id="22"/>
      <w:bookmarkEnd w:id="23"/>
      <w:r w:rsidRPr="00DA3EC6">
        <w:rPr>
          <w:rFonts w:eastAsia="SimSun"/>
          <w:b/>
          <w:color w:val="000000" w:themeColor="text1"/>
        </w:rPr>
        <w:t>selection</w:t>
      </w:r>
    </w:p>
    <w:p w:rsidR="009E2734" w:rsidRPr="00DA3EC6" w:rsidRDefault="009E2734" w:rsidP="00DA3EC6">
      <w:pPr>
        <w:autoSpaceDE w:val="0"/>
        <w:autoSpaceDN w:val="0"/>
        <w:adjustRightInd w:val="0"/>
        <w:spacing w:line="480" w:lineRule="auto"/>
        <w:jc w:val="both"/>
        <w:rPr>
          <w:rFonts w:eastAsia="SimSun"/>
          <w:bCs/>
          <w:color w:val="000000" w:themeColor="text1"/>
        </w:rPr>
      </w:pPr>
      <w:r w:rsidRPr="00DA3EC6">
        <w:rPr>
          <w:color w:val="000000" w:themeColor="text1"/>
        </w:rPr>
        <w:t xml:space="preserve">Single-nucleotide polymorphisms (SNPs) associated with TSH (n=61), hypothyroidism (n=8), hyperthyroidism (n=8) and free thyroxine levels (n=31) at the genome-wide significance level </w:t>
      </w:r>
      <w:r w:rsidRPr="00DA3EC6">
        <w:rPr>
          <w:color w:val="000000" w:themeColor="text1"/>
        </w:rPr>
        <w:lastRenderedPageBreak/>
        <w:t>(</w:t>
      </w:r>
      <w:r w:rsidRPr="00DA3EC6">
        <w:rPr>
          <w:i/>
          <w:color w:val="000000" w:themeColor="text1"/>
        </w:rPr>
        <w:t>p</w:t>
      </w:r>
      <w:r w:rsidRPr="00DA3EC6">
        <w:rPr>
          <w:color w:val="000000" w:themeColor="text1"/>
        </w:rPr>
        <w:t>&lt;5</w:t>
      </w:r>
      <w:r w:rsidRPr="00DA3EC6">
        <w:rPr>
          <w:color w:val="000000" w:themeColor="text1"/>
        </w:rPr>
        <w:sym w:font="Symbol" w:char="F0B4"/>
      </w:r>
      <w:r w:rsidRPr="00DA3EC6">
        <w:rPr>
          <w:color w:val="000000" w:themeColor="text1"/>
        </w:rPr>
        <w:t>10</w:t>
      </w:r>
      <w:r w:rsidRPr="00DA3EC6">
        <w:rPr>
          <w:color w:val="000000" w:themeColor="text1"/>
          <w:vertAlign w:val="superscript"/>
        </w:rPr>
        <w:t>-8</w:t>
      </w:r>
      <w:r w:rsidRPr="00DA3EC6">
        <w:rPr>
          <w:color w:val="000000" w:themeColor="text1"/>
        </w:rPr>
        <w:t xml:space="preserve">) were identified from a meta-analysis of GWASs of thyroid function and dysfunction with up to 72 167 individuals of European ancestry in both discovery and replication stages </w:t>
      </w:r>
      <w:r w:rsidRPr="00DA3EC6">
        <w:rPr>
          <w:noProof/>
          <w:color w:val="000000" w:themeColor="text1"/>
          <w:vertAlign w:val="superscript"/>
        </w:rPr>
        <w:t>12</w:t>
      </w:r>
      <w:r w:rsidRPr="00DA3EC6">
        <w:rPr>
          <w:color w:val="000000" w:themeColor="text1"/>
        </w:rPr>
        <w:t xml:space="preserve"> (</w:t>
      </w:r>
      <w:r w:rsidRPr="00DA3EC6">
        <w:rPr>
          <w:b/>
          <w:bCs/>
          <w:color w:val="000000" w:themeColor="text1"/>
        </w:rPr>
        <w:t>Supplementary Table 1</w:t>
      </w:r>
      <w:r w:rsidRPr="00DA3EC6">
        <w:rPr>
          <w:color w:val="000000" w:themeColor="text1"/>
        </w:rPr>
        <w:t>).</w:t>
      </w:r>
      <w:r w:rsidRPr="00DA3EC6">
        <w:rPr>
          <w:rFonts w:eastAsia="SimSun"/>
          <w:b/>
          <w:color w:val="000000" w:themeColor="text1"/>
        </w:rPr>
        <w:t xml:space="preserve"> </w:t>
      </w:r>
      <w:r w:rsidRPr="00DA3EC6">
        <w:rPr>
          <w:color w:val="000000" w:themeColor="text1"/>
        </w:rPr>
        <w:t xml:space="preserve">One TSH-related SNP located in the </w:t>
      </w:r>
      <w:r w:rsidRPr="00DA3EC6">
        <w:rPr>
          <w:i/>
          <w:color w:val="000000" w:themeColor="text1"/>
        </w:rPr>
        <w:t>ABO</w:t>
      </w:r>
      <w:r w:rsidRPr="00DA3EC6">
        <w:rPr>
          <w:color w:val="000000" w:themeColor="text1"/>
        </w:rPr>
        <w:t xml:space="preserve"> locus was excluded due to pleiotropic effects (blood group is associated with many cancers </w:t>
      </w:r>
      <w:r w:rsidRPr="00DA3EC6">
        <w:rPr>
          <w:noProof/>
          <w:color w:val="000000" w:themeColor="text1"/>
          <w:vertAlign w:val="superscript"/>
        </w:rPr>
        <w:t>15, 16</w:t>
      </w:r>
      <w:r w:rsidRPr="00DA3EC6">
        <w:rPr>
          <w:color w:val="000000" w:themeColor="text1"/>
        </w:rPr>
        <w:t xml:space="preserve">, through effects independent of TSH), leaving 60 SNPs as instrumental variables for TSH levels. An SNP in the </w:t>
      </w:r>
      <w:r w:rsidRPr="00DA3EC6">
        <w:rPr>
          <w:i/>
          <w:color w:val="000000" w:themeColor="text1"/>
        </w:rPr>
        <w:t>GLIS1</w:t>
      </w:r>
      <w:r w:rsidRPr="00DA3EC6">
        <w:rPr>
          <w:color w:val="000000" w:themeColor="text1"/>
        </w:rPr>
        <w:t xml:space="preserve"> gene showed genome-wide significant association with both TSH and free thyroxine, and SNPs</w:t>
      </w:r>
      <w:r w:rsidRPr="00DA3EC6">
        <w:rPr>
          <w:color w:val="000000" w:themeColor="text1"/>
          <w:sz w:val="16"/>
          <w:szCs w:val="16"/>
        </w:rPr>
        <w:t xml:space="preserve"> </w:t>
      </w:r>
      <w:r w:rsidRPr="00DA3EC6">
        <w:rPr>
          <w:color w:val="000000" w:themeColor="text1"/>
        </w:rPr>
        <w:t xml:space="preserve">in </w:t>
      </w:r>
      <w:r w:rsidRPr="00DA3EC6">
        <w:rPr>
          <w:i/>
          <w:color w:val="000000" w:themeColor="text1"/>
        </w:rPr>
        <w:t>FOXE1</w:t>
      </w:r>
      <w:r w:rsidRPr="00DA3EC6">
        <w:rPr>
          <w:color w:val="000000" w:themeColor="text1"/>
        </w:rPr>
        <w:t xml:space="preserve">, </w:t>
      </w:r>
      <w:r w:rsidRPr="00DA3EC6">
        <w:rPr>
          <w:i/>
          <w:color w:val="000000" w:themeColor="text1"/>
        </w:rPr>
        <w:t>PDE8B</w:t>
      </w:r>
      <w:r w:rsidRPr="00DA3EC6">
        <w:rPr>
          <w:color w:val="000000" w:themeColor="text1"/>
        </w:rPr>
        <w:t xml:space="preserve"> and </w:t>
      </w:r>
      <w:r w:rsidRPr="00DA3EC6">
        <w:rPr>
          <w:i/>
          <w:color w:val="000000" w:themeColor="text1"/>
        </w:rPr>
        <w:t>PDE10A</w:t>
      </w:r>
      <w:r w:rsidRPr="00DA3EC6">
        <w:rPr>
          <w:color w:val="000000" w:themeColor="text1"/>
        </w:rPr>
        <w:t xml:space="preserve"> locus were associated with both hyper- and hypothyroidism. In addition, the original GWAS verified the associations of TSH and free thyroxine</w:t>
      </w:r>
      <w:r w:rsidRPr="00DA3EC6">
        <w:rPr>
          <w:rFonts w:eastAsia="SimSun"/>
          <w:bCs/>
          <w:color w:val="000000" w:themeColor="text1"/>
        </w:rPr>
        <w:t xml:space="preserve"> level with </w:t>
      </w:r>
      <w:r w:rsidRPr="00DA3EC6">
        <w:rPr>
          <w:color w:val="000000" w:themeColor="text1"/>
        </w:rPr>
        <w:t xml:space="preserve">hyper- and hypothyroidism using a genetic risk score </w:t>
      </w:r>
      <w:r w:rsidRPr="00DA3EC6">
        <w:rPr>
          <w:color w:val="000000" w:themeColor="text1"/>
          <w:vertAlign w:val="superscript"/>
        </w:rPr>
        <w:t>12</w:t>
      </w:r>
      <w:r w:rsidRPr="00DA3EC6">
        <w:rPr>
          <w:color w:val="000000" w:themeColor="text1"/>
        </w:rPr>
        <w:t xml:space="preserve">. </w:t>
      </w:r>
      <w:r w:rsidRPr="00DA3EC6">
        <w:rPr>
          <w:rFonts w:eastAsia="SimSun"/>
          <w:bCs/>
          <w:color w:val="000000" w:themeColor="text1"/>
        </w:rPr>
        <w:t>Proxy SNPs were chosen at R</w:t>
      </w:r>
      <w:r w:rsidRPr="00DA3EC6">
        <w:rPr>
          <w:rFonts w:eastAsia="SimSun"/>
          <w:bCs/>
          <w:color w:val="000000" w:themeColor="text1"/>
          <w:vertAlign w:val="superscript"/>
        </w:rPr>
        <w:t>2</w:t>
      </w:r>
      <w:r w:rsidRPr="00DA3EC6">
        <w:rPr>
          <w:rFonts w:eastAsia="SimSun"/>
          <w:bCs/>
          <w:color w:val="000000" w:themeColor="text1"/>
        </w:rPr>
        <w:t xml:space="preserve">&gt;0.9 among CEU population by searching in the dataset of Division of Cancer Epidemiology and Genetics, National Cancer Institute </w:t>
      </w:r>
      <w:r w:rsidRPr="00DA3EC6">
        <w:rPr>
          <w:rFonts w:eastAsia="SimSun"/>
          <w:bCs/>
          <w:noProof/>
          <w:color w:val="000000" w:themeColor="text1"/>
          <w:vertAlign w:val="superscript"/>
        </w:rPr>
        <w:t>17</w:t>
      </w:r>
      <w:r w:rsidRPr="00DA3EC6">
        <w:rPr>
          <w:rFonts w:eastAsia="SimSun"/>
          <w:bCs/>
          <w:color w:val="000000" w:themeColor="text1"/>
        </w:rPr>
        <w:t xml:space="preserve">. </w:t>
      </w:r>
      <w:r w:rsidRPr="00DA3EC6">
        <w:rPr>
          <w:color w:val="000000" w:themeColor="text1"/>
        </w:rPr>
        <w:t>We harmonized all instrumental variables for each trait so that the effect alleles reflected the allele associated with an increased probability or level of the exposure. All used SNPs were uncorrelated (</w:t>
      </w:r>
      <w:r w:rsidRPr="00DA3EC6">
        <w:rPr>
          <w:i/>
          <w:color w:val="000000" w:themeColor="text1"/>
        </w:rPr>
        <w:t>R</w:t>
      </w:r>
      <w:r w:rsidRPr="00DA3EC6">
        <w:rPr>
          <w:color w:val="000000" w:themeColor="text1"/>
          <w:vertAlign w:val="superscript"/>
        </w:rPr>
        <w:t>2</w:t>
      </w:r>
      <w:r w:rsidRPr="00DA3EC6">
        <w:rPr>
          <w:color w:val="000000" w:themeColor="text1"/>
        </w:rPr>
        <w:t xml:space="preserve">&lt;0.01) and details of the included SNPs are displayed in </w:t>
      </w:r>
      <w:r w:rsidRPr="00DA3EC6">
        <w:rPr>
          <w:b/>
          <w:color w:val="000000" w:themeColor="text1"/>
        </w:rPr>
        <w:t>Supplementary Table 2.</w:t>
      </w:r>
    </w:p>
    <w:p w:rsidR="009E2734" w:rsidRPr="00DA3EC6" w:rsidRDefault="009E2734" w:rsidP="00DA3EC6">
      <w:pPr>
        <w:autoSpaceDE w:val="0"/>
        <w:autoSpaceDN w:val="0"/>
        <w:adjustRightInd w:val="0"/>
        <w:spacing w:line="480" w:lineRule="auto"/>
        <w:jc w:val="both"/>
        <w:rPr>
          <w:rFonts w:eastAsia="SimSun"/>
          <w:b/>
          <w:color w:val="000000" w:themeColor="text1"/>
        </w:rPr>
      </w:pPr>
    </w:p>
    <w:p w:rsidR="009E2734" w:rsidRPr="00DA3EC6" w:rsidRDefault="009E2734" w:rsidP="00DA3EC6">
      <w:pPr>
        <w:autoSpaceDE w:val="0"/>
        <w:autoSpaceDN w:val="0"/>
        <w:adjustRightInd w:val="0"/>
        <w:spacing w:line="480" w:lineRule="auto"/>
        <w:jc w:val="both"/>
        <w:rPr>
          <w:bCs/>
          <w:color w:val="000000" w:themeColor="text1"/>
        </w:rPr>
      </w:pPr>
      <w:r w:rsidRPr="00DA3EC6">
        <w:rPr>
          <w:rFonts w:eastAsia="SimSun"/>
          <w:b/>
          <w:color w:val="000000" w:themeColor="text1"/>
        </w:rPr>
        <w:t>Outcome data sources</w:t>
      </w:r>
    </w:p>
    <w:p w:rsidR="009E2734" w:rsidRPr="00DA3EC6" w:rsidRDefault="009E2734" w:rsidP="00DA3EC6">
      <w:pPr>
        <w:autoSpaceDE w:val="0"/>
        <w:autoSpaceDN w:val="0"/>
        <w:adjustRightInd w:val="0"/>
        <w:spacing w:line="480" w:lineRule="auto"/>
        <w:jc w:val="both"/>
        <w:rPr>
          <w:bCs/>
          <w:color w:val="000000" w:themeColor="text1"/>
        </w:rPr>
      </w:pPr>
      <w:r w:rsidRPr="00DA3EC6">
        <w:rPr>
          <w:bCs/>
          <w:color w:val="000000" w:themeColor="text1"/>
        </w:rPr>
        <w:t xml:space="preserve">Summary-level data for the associations of the thyroid-associated SNPs with breast cancer were obtained from BCAC, including 228 951 individuals of European ancestry (122 977 breast cancer cases and 105 974 controls) </w:t>
      </w:r>
      <w:r w:rsidRPr="00DA3EC6">
        <w:rPr>
          <w:bCs/>
          <w:noProof/>
          <w:color w:val="000000" w:themeColor="text1"/>
          <w:vertAlign w:val="superscript"/>
        </w:rPr>
        <w:t>13</w:t>
      </w:r>
      <w:r w:rsidRPr="00DA3EC6">
        <w:rPr>
          <w:bCs/>
          <w:color w:val="000000" w:themeColor="text1"/>
        </w:rPr>
        <w:t xml:space="preserve">, and UK Biobank </w:t>
      </w:r>
      <w:r w:rsidRPr="00DA3EC6">
        <w:rPr>
          <w:bCs/>
          <w:noProof/>
          <w:color w:val="000000" w:themeColor="text1"/>
          <w:vertAlign w:val="superscript"/>
        </w:rPr>
        <w:t>14</w:t>
      </w:r>
      <w:r w:rsidRPr="00DA3EC6">
        <w:rPr>
          <w:bCs/>
          <w:color w:val="000000" w:themeColor="text1"/>
        </w:rPr>
        <w:t xml:space="preserve"> with 13 666 breast cancer cases. The GWAS based on the BCAC used 1000 Genomes Project (Phase 3) reference panel in imputation stage and adjusted for genetic principal components and country. From UK Biobank, summary-level data for the SNP-cancer associations were also derived for overall cancer and additionally 21 site-specific cancers using logistic regression models adjusted for age, sex, and ten genetic principal components. The analyses of UK Biobank were based on 367 643 participants after exclusion of related individuals (third-degree relatives or closer), </w:t>
      </w:r>
      <w:r w:rsidRPr="00DA3EC6">
        <w:rPr>
          <w:bCs/>
          <w:color w:val="000000" w:themeColor="text1"/>
        </w:rPr>
        <w:lastRenderedPageBreak/>
        <w:t xml:space="preserve">low call rate, and excess </w:t>
      </w:r>
      <w:bookmarkStart w:id="24" w:name="OLE_LINK11"/>
      <w:r w:rsidRPr="00DA3EC6">
        <w:rPr>
          <w:bCs/>
          <w:color w:val="000000" w:themeColor="text1"/>
        </w:rPr>
        <w:t>heterozygosity</w:t>
      </w:r>
      <w:bookmarkEnd w:id="24"/>
      <w:r w:rsidRPr="00DA3EC6">
        <w:rPr>
          <w:bCs/>
          <w:color w:val="000000" w:themeColor="text1"/>
        </w:rPr>
        <w:t xml:space="preserve"> (3 or more standard deviations from the mean).  Follow-up was until March 31, 2017 or death, and in total 75 037 cancer cases were included. </w:t>
      </w:r>
    </w:p>
    <w:p w:rsidR="009E2734" w:rsidRPr="00DA3EC6" w:rsidRDefault="009E2734" w:rsidP="00DA3EC6">
      <w:pPr>
        <w:autoSpaceDE w:val="0"/>
        <w:autoSpaceDN w:val="0"/>
        <w:adjustRightInd w:val="0"/>
        <w:spacing w:line="480" w:lineRule="auto"/>
        <w:jc w:val="both"/>
        <w:rPr>
          <w:rFonts w:eastAsia="SimSun"/>
          <w:b/>
          <w:color w:val="000000" w:themeColor="text1"/>
        </w:rPr>
      </w:pPr>
    </w:p>
    <w:p w:rsidR="009E2734" w:rsidRPr="00DA3EC6" w:rsidRDefault="009E2734" w:rsidP="00DA3EC6">
      <w:pPr>
        <w:autoSpaceDE w:val="0"/>
        <w:autoSpaceDN w:val="0"/>
        <w:adjustRightInd w:val="0"/>
        <w:spacing w:line="480" w:lineRule="auto"/>
        <w:jc w:val="both"/>
        <w:rPr>
          <w:rFonts w:eastAsia="SimSun"/>
          <w:b/>
          <w:color w:val="000000" w:themeColor="text1"/>
        </w:rPr>
      </w:pPr>
      <w:r w:rsidRPr="00DA3EC6">
        <w:rPr>
          <w:rFonts w:eastAsia="SimSun"/>
          <w:b/>
          <w:color w:val="000000" w:themeColor="text1"/>
        </w:rPr>
        <w:t>Statistical analysis</w:t>
      </w:r>
    </w:p>
    <w:p w:rsidR="009E2734" w:rsidRPr="00DA3EC6" w:rsidRDefault="009E2734" w:rsidP="00DA3EC6">
      <w:pPr>
        <w:autoSpaceDE w:val="0"/>
        <w:autoSpaceDN w:val="0"/>
        <w:adjustRightInd w:val="0"/>
        <w:spacing w:line="480" w:lineRule="auto"/>
        <w:jc w:val="both"/>
        <w:rPr>
          <w:color w:val="000000" w:themeColor="text1"/>
          <w:lang w:val="en-GB"/>
        </w:rPr>
      </w:pPr>
      <w:r w:rsidRPr="00DA3EC6">
        <w:rPr>
          <w:color w:val="000000" w:themeColor="text1"/>
          <w:lang w:val="en-GB"/>
        </w:rPr>
        <w:t xml:space="preserve">The Wald method was used to estimate the ratio between the SNP-outcome and SNP-exposure estimates for each SNP.  The ratio estimates for every used SNPs for one trait were combined by using the fixed-effects or multiplicative random-effects inverse-variance weighted meta-analysis method. The inverse-variance weighted method can provide the most precise estimates but could be influenced by invalid instrumental variables and pleiotropic effects. Thus, </w:t>
      </w:r>
      <w:r w:rsidRPr="00DA3EC6">
        <w:rPr>
          <w:rFonts w:eastAsia="SimSun"/>
          <w:bCs/>
          <w:color w:val="000000" w:themeColor="text1"/>
          <w:lang w:val="en-GB"/>
        </w:rPr>
        <w:t>f</w:t>
      </w:r>
      <w:r w:rsidRPr="00DA3EC6">
        <w:rPr>
          <w:rFonts w:eastAsia="SimSun"/>
          <w:bCs/>
          <w:color w:val="000000" w:themeColor="text1"/>
        </w:rPr>
        <w:t>or overall cancer as well as associations reaching the conventional significance level (</w:t>
      </w:r>
      <w:r w:rsidRPr="00DA3EC6">
        <w:rPr>
          <w:rFonts w:eastAsia="SimSun"/>
          <w:bCs/>
          <w:i/>
          <w:iCs/>
          <w:color w:val="000000" w:themeColor="text1"/>
        </w:rPr>
        <w:t>p</w:t>
      </w:r>
      <w:r w:rsidRPr="00DA3EC6">
        <w:rPr>
          <w:rFonts w:eastAsia="SimSun"/>
          <w:bCs/>
          <w:color w:val="000000" w:themeColor="text1"/>
        </w:rPr>
        <w:t xml:space="preserve">&lt;0.05), we further conducted three sensitivity analyses based on the weighted median, MR-Egger, and MR-pleiotropy residual sum and outlier (MR-PRESSO) methods to examine and correct for possible pleiotropy. The weighted median method gives accurate estimates if at least 50% of the instrumental variables are valid </w:t>
      </w:r>
      <w:r w:rsidRPr="00DA3EC6">
        <w:rPr>
          <w:rFonts w:eastAsia="SimSun"/>
          <w:bCs/>
          <w:noProof/>
          <w:color w:val="000000" w:themeColor="text1"/>
          <w:vertAlign w:val="superscript"/>
        </w:rPr>
        <w:t>18</w:t>
      </w:r>
      <w:r w:rsidRPr="00DA3EC6">
        <w:rPr>
          <w:rFonts w:eastAsia="SimSun"/>
          <w:bCs/>
          <w:color w:val="000000" w:themeColor="text1"/>
        </w:rPr>
        <w:t xml:space="preserve">. The MR-Egger regression can detect and adjust for pleiotropy albeit with low power </w:t>
      </w:r>
      <w:r w:rsidRPr="00DA3EC6">
        <w:rPr>
          <w:rFonts w:eastAsia="SimSun"/>
          <w:bCs/>
          <w:noProof/>
          <w:color w:val="000000" w:themeColor="text1"/>
          <w:vertAlign w:val="superscript"/>
        </w:rPr>
        <w:t>19</w:t>
      </w:r>
      <w:r w:rsidRPr="00DA3EC6">
        <w:rPr>
          <w:rFonts w:eastAsia="SimSun"/>
          <w:bCs/>
          <w:color w:val="000000" w:themeColor="text1"/>
        </w:rPr>
        <w:t xml:space="preserve">. The MR-PRESSO test can detect possible outliers and estimations obtained from the MR-PRESSO analysis are corrected for horizontal pleiotropy via outlier removal </w:t>
      </w:r>
      <w:r w:rsidRPr="00DA3EC6">
        <w:rPr>
          <w:rFonts w:eastAsia="SimSun"/>
          <w:bCs/>
          <w:noProof/>
          <w:color w:val="000000" w:themeColor="text1"/>
          <w:vertAlign w:val="superscript"/>
        </w:rPr>
        <w:t>20</w:t>
      </w:r>
      <w:r w:rsidRPr="00DA3EC6">
        <w:rPr>
          <w:rFonts w:eastAsia="SimSun"/>
          <w:bCs/>
          <w:color w:val="000000" w:themeColor="text1"/>
        </w:rPr>
        <w:t xml:space="preserve">. To increase the power for the analysis of breast cancer, a meta-analysis with fixed effects was performed to combine the data from the </w:t>
      </w:r>
      <w:r w:rsidRPr="00DA3EC6">
        <w:rPr>
          <w:bCs/>
          <w:color w:val="000000" w:themeColor="text1"/>
        </w:rPr>
        <w:t>BCAC</w:t>
      </w:r>
      <w:r w:rsidRPr="00DA3EC6">
        <w:rPr>
          <w:rFonts w:eastAsia="SimSun"/>
          <w:bCs/>
          <w:color w:val="000000" w:themeColor="text1"/>
        </w:rPr>
        <w:t xml:space="preserve"> and UK Biobank.</w:t>
      </w:r>
      <w:r w:rsidRPr="00DA3EC6">
        <w:rPr>
          <w:bCs/>
          <w:color w:val="000000" w:themeColor="text1"/>
        </w:rPr>
        <w:t xml:space="preserve"> </w:t>
      </w:r>
      <w:r w:rsidRPr="00DA3EC6">
        <w:rPr>
          <w:rFonts w:eastAsia="SimSun"/>
          <w:bCs/>
          <w:color w:val="000000" w:themeColor="text1"/>
        </w:rPr>
        <w:t xml:space="preserve">Odds ratios (ORs) of cancer risk were scaled to one standard deviation (SD) increase in genetically predicted TSH and free thyroxine levels and </w:t>
      </w:r>
      <w:r w:rsidRPr="00DA3EC6">
        <w:rPr>
          <w:bCs/>
          <w:color w:val="000000" w:themeColor="text1"/>
        </w:rPr>
        <w:t>one-unit increase in the log OR of</w:t>
      </w:r>
      <w:r w:rsidRPr="00DA3EC6">
        <w:rPr>
          <w:rFonts w:eastAsia="SimSun"/>
          <w:bCs/>
          <w:color w:val="000000" w:themeColor="text1"/>
        </w:rPr>
        <w:t xml:space="preserve"> hypothyroidism and hyperthyroidism in all analyses. All statistical analyses were two-sided and performed in Stata/SE 15.0 and R 3.6.0 software. We did not use </w:t>
      </w:r>
      <w:r w:rsidRPr="00DA3EC6">
        <w:rPr>
          <w:rFonts w:eastAsia="SimSun"/>
          <w:bCs/>
          <w:i/>
          <w:color w:val="000000" w:themeColor="text1"/>
        </w:rPr>
        <w:t>P</w:t>
      </w:r>
      <w:r w:rsidRPr="00DA3EC6">
        <w:rPr>
          <w:rFonts w:eastAsia="SimSun"/>
          <w:bCs/>
          <w:color w:val="000000" w:themeColor="text1"/>
        </w:rPr>
        <w:t xml:space="preserve"> values strictly to define statistical significance but interpreted the results based on the patterns of associations across the thyroid-related traits and the strengths of the associations </w:t>
      </w:r>
      <w:r w:rsidRPr="00DA3EC6">
        <w:rPr>
          <w:rFonts w:eastAsia="SimSun"/>
          <w:bCs/>
          <w:noProof/>
          <w:color w:val="000000" w:themeColor="text1"/>
          <w:vertAlign w:val="superscript"/>
        </w:rPr>
        <w:t>21</w:t>
      </w:r>
      <w:r w:rsidRPr="00DA3EC6">
        <w:rPr>
          <w:rFonts w:eastAsia="SimSun"/>
          <w:bCs/>
          <w:color w:val="000000" w:themeColor="text1"/>
        </w:rPr>
        <w:t>.</w:t>
      </w:r>
    </w:p>
    <w:p w:rsidR="009E2734" w:rsidRPr="00DA3EC6" w:rsidRDefault="009E2734" w:rsidP="00DA3EC6">
      <w:pPr>
        <w:autoSpaceDE w:val="0"/>
        <w:autoSpaceDN w:val="0"/>
        <w:adjustRightInd w:val="0"/>
        <w:spacing w:line="480" w:lineRule="auto"/>
        <w:jc w:val="both"/>
        <w:rPr>
          <w:rFonts w:eastAsia="SimSun"/>
          <w:bCs/>
          <w:color w:val="000000" w:themeColor="text1"/>
        </w:rPr>
      </w:pPr>
    </w:p>
    <w:p w:rsidR="009E2734" w:rsidRPr="00DA3EC6" w:rsidRDefault="009E2734" w:rsidP="00DA3EC6">
      <w:pPr>
        <w:autoSpaceDE w:val="0"/>
        <w:autoSpaceDN w:val="0"/>
        <w:adjustRightInd w:val="0"/>
        <w:spacing w:line="480" w:lineRule="auto"/>
        <w:jc w:val="both"/>
        <w:rPr>
          <w:rFonts w:eastAsia="SimSun"/>
          <w:b/>
          <w:color w:val="000000" w:themeColor="text1"/>
        </w:rPr>
      </w:pPr>
      <w:r w:rsidRPr="00DA3EC6">
        <w:rPr>
          <w:rFonts w:eastAsia="SimSun"/>
          <w:b/>
          <w:color w:val="000000" w:themeColor="text1"/>
        </w:rPr>
        <w:lastRenderedPageBreak/>
        <w:t xml:space="preserve">Data availability </w:t>
      </w:r>
    </w:p>
    <w:p w:rsidR="009E2734" w:rsidRPr="00DA3EC6" w:rsidRDefault="009E2734" w:rsidP="00DA3EC6">
      <w:pPr>
        <w:autoSpaceDE w:val="0"/>
        <w:autoSpaceDN w:val="0"/>
        <w:adjustRightInd w:val="0"/>
        <w:spacing w:line="480" w:lineRule="auto"/>
        <w:jc w:val="both"/>
        <w:rPr>
          <w:color w:val="000000" w:themeColor="text1"/>
        </w:rPr>
      </w:pPr>
      <w:r w:rsidRPr="00DA3EC6">
        <w:rPr>
          <w:rFonts w:eastAsia="SimSun"/>
          <w:bCs/>
          <w:color w:val="000000" w:themeColor="text1"/>
        </w:rPr>
        <w:t>Data for thyroid function can be obtained from the GWAS</w:t>
      </w:r>
      <w:r w:rsidR="00AC3F50">
        <w:rPr>
          <w:rFonts w:eastAsia="SimSun"/>
          <w:bCs/>
          <w:color w:val="000000" w:themeColor="text1"/>
        </w:rPr>
        <w:t xml:space="preserve"> (accession code phs000930 in </w:t>
      </w:r>
      <w:proofErr w:type="spellStart"/>
      <w:r w:rsidR="00AC3F50" w:rsidRPr="00AC3F50">
        <w:rPr>
          <w:rFonts w:eastAsia="SimSun"/>
          <w:bCs/>
          <w:color w:val="000000" w:themeColor="text1"/>
        </w:rPr>
        <w:t>dbGaP</w:t>
      </w:r>
      <w:proofErr w:type="spellEnd"/>
      <w:r w:rsidR="00AC3F50">
        <w:rPr>
          <w:rFonts w:eastAsia="SimSun"/>
          <w:bCs/>
          <w:color w:val="000000" w:themeColor="text1"/>
        </w:rPr>
        <w:t xml:space="preserve">, </w:t>
      </w:r>
      <w:r w:rsidR="00AC3F50" w:rsidRPr="00AC3F50">
        <w:rPr>
          <w:rFonts w:eastAsia="SimSun"/>
          <w:bCs/>
          <w:color w:val="000000" w:themeColor="text1"/>
        </w:rPr>
        <w:t>http://locuszoom.sph.umich.edu/genform.php</w:t>
      </w:r>
      <w:r w:rsidR="00AC3F50">
        <w:rPr>
          <w:rFonts w:eastAsia="SimSun"/>
          <w:bCs/>
          <w:color w:val="000000" w:themeColor="text1"/>
        </w:rPr>
        <w:t>)</w:t>
      </w:r>
      <w:r w:rsidRPr="00DA3EC6">
        <w:rPr>
          <w:noProof/>
          <w:color w:val="000000" w:themeColor="text1"/>
          <w:vertAlign w:val="superscript"/>
        </w:rPr>
        <w:t>12</w:t>
      </w:r>
      <w:r w:rsidRPr="00DA3EC6">
        <w:rPr>
          <w:rFonts w:eastAsia="SimSun"/>
          <w:bCs/>
          <w:color w:val="000000" w:themeColor="text1"/>
        </w:rPr>
        <w:t>. Summary-level data from BCAC</w:t>
      </w:r>
      <w:r w:rsidR="00AC3F50">
        <w:rPr>
          <w:rFonts w:eastAsia="SimSun"/>
          <w:bCs/>
          <w:color w:val="000000" w:themeColor="text1"/>
        </w:rPr>
        <w:t xml:space="preserve"> </w:t>
      </w:r>
      <w:r w:rsidR="00AC3F50">
        <w:rPr>
          <w:rFonts w:eastAsia="SimSun"/>
          <w:bCs/>
          <w:color w:val="000000" w:themeColor="text1"/>
          <w:vertAlign w:val="superscript"/>
        </w:rPr>
        <w:t>13</w:t>
      </w:r>
      <w:r w:rsidRPr="00DA3EC6">
        <w:rPr>
          <w:rFonts w:eastAsia="SimSun"/>
          <w:bCs/>
          <w:color w:val="000000" w:themeColor="text1"/>
        </w:rPr>
        <w:t xml:space="preserve"> are publicly available (</w:t>
      </w:r>
      <w:r w:rsidR="00AC3F50" w:rsidRPr="00AC3F50">
        <w:rPr>
          <w:color w:val="000000" w:themeColor="text1"/>
        </w:rPr>
        <w:t>http://bcac.ccge.me</w:t>
      </w:r>
      <w:r w:rsidR="00AC3F50" w:rsidRPr="00AC3F50">
        <w:rPr>
          <w:color w:val="000000" w:themeColor="text1"/>
        </w:rPr>
        <w:t>d</w:t>
      </w:r>
      <w:r w:rsidR="00AC3F50" w:rsidRPr="00AC3F50">
        <w:rPr>
          <w:color w:val="000000" w:themeColor="text1"/>
        </w:rPr>
        <w:t>schl.cam.ac.uk/</w:t>
      </w:r>
      <w:r w:rsidRPr="00AC3F50">
        <w:rPr>
          <w:rFonts w:eastAsia="SimSun"/>
          <w:bCs/>
          <w:color w:val="000000" w:themeColor="text1"/>
        </w:rPr>
        <w:t>).</w:t>
      </w:r>
      <w:r w:rsidRPr="00DA3EC6">
        <w:rPr>
          <w:rFonts w:eastAsia="SimSun"/>
          <w:bCs/>
          <w:color w:val="000000" w:themeColor="text1"/>
        </w:rPr>
        <w:t xml:space="preserve"> UK Biobank</w:t>
      </w:r>
      <w:r w:rsidR="00AC3F50">
        <w:rPr>
          <w:rFonts w:eastAsia="SimSun"/>
          <w:bCs/>
          <w:color w:val="000000" w:themeColor="text1"/>
        </w:rPr>
        <w:t xml:space="preserve"> </w:t>
      </w:r>
      <w:r w:rsidR="00AC3F50">
        <w:rPr>
          <w:rFonts w:eastAsia="SimSun"/>
          <w:bCs/>
          <w:color w:val="000000" w:themeColor="text1"/>
          <w:vertAlign w:val="superscript"/>
        </w:rPr>
        <w:t>14</w:t>
      </w:r>
      <w:r w:rsidRPr="00DA3EC6">
        <w:rPr>
          <w:rFonts w:eastAsia="SimSun"/>
          <w:bCs/>
          <w:color w:val="000000" w:themeColor="text1"/>
        </w:rPr>
        <w:t xml:space="preserve"> data are available through application (</w:t>
      </w:r>
      <w:r w:rsidRPr="00AC3F50">
        <w:rPr>
          <w:color w:val="000000" w:themeColor="text1"/>
        </w:rPr>
        <w:t>https://www.ukbiobank.ac.uk/</w:t>
      </w:r>
      <w:r w:rsidRPr="00DA3EC6">
        <w:rPr>
          <w:rFonts w:eastAsia="SimSun"/>
          <w:bCs/>
          <w:color w:val="000000" w:themeColor="text1"/>
        </w:rPr>
        <w:t>). Summary-level data for the used SNPs in the present study are available upon a reasonable request to the corresponding author.</w:t>
      </w:r>
    </w:p>
    <w:p w:rsidR="009E2734" w:rsidRPr="00DA3EC6" w:rsidRDefault="009E2734" w:rsidP="00DA3EC6">
      <w:pPr>
        <w:autoSpaceDE w:val="0"/>
        <w:autoSpaceDN w:val="0"/>
        <w:adjustRightInd w:val="0"/>
        <w:spacing w:line="480" w:lineRule="auto"/>
        <w:jc w:val="both"/>
        <w:rPr>
          <w:rFonts w:eastAsia="SimSun"/>
          <w:b/>
          <w:color w:val="000000" w:themeColor="text1"/>
        </w:rPr>
      </w:pPr>
    </w:p>
    <w:p w:rsidR="009E2734" w:rsidRPr="00DA3EC6" w:rsidRDefault="009E2734" w:rsidP="00DA3EC6">
      <w:pPr>
        <w:autoSpaceDE w:val="0"/>
        <w:autoSpaceDN w:val="0"/>
        <w:adjustRightInd w:val="0"/>
        <w:spacing w:line="480" w:lineRule="auto"/>
        <w:jc w:val="both"/>
        <w:rPr>
          <w:rFonts w:eastAsia="SimSun"/>
          <w:b/>
          <w:color w:val="000000" w:themeColor="text1"/>
        </w:rPr>
      </w:pPr>
      <w:r w:rsidRPr="00DA3EC6">
        <w:rPr>
          <w:rFonts w:eastAsia="SimSun"/>
          <w:b/>
          <w:color w:val="000000" w:themeColor="text1"/>
        </w:rPr>
        <w:t>Results</w:t>
      </w:r>
    </w:p>
    <w:p w:rsidR="009E2734" w:rsidRPr="00DA3EC6" w:rsidRDefault="009E2734" w:rsidP="00DA3EC6">
      <w:pPr>
        <w:autoSpaceDE w:val="0"/>
        <w:autoSpaceDN w:val="0"/>
        <w:adjustRightInd w:val="0"/>
        <w:spacing w:line="480" w:lineRule="auto"/>
        <w:jc w:val="both"/>
        <w:rPr>
          <w:rFonts w:eastAsia="SimSun"/>
          <w:bCs/>
          <w:color w:val="000000" w:themeColor="text1"/>
        </w:rPr>
      </w:pPr>
      <w:r w:rsidRPr="00DA3EC6">
        <w:rPr>
          <w:rFonts w:eastAsia="SimSun"/>
          <w:bCs/>
          <w:color w:val="000000" w:themeColor="text1"/>
        </w:rPr>
        <w:t xml:space="preserve">Seven of the thyroid-associated SNPs were unavailable in the UK Biobank dataset. Proxy SNPs were found for four SNPs, resulting in 58 SNPs in the analyses of TSH, 7 SNPs in the analyses of hypothyroidism, 8 SNPs in the analyses of hyperthyroidism, and 31 SNPs in the analyses of free thyroxine. One SNP for TSH was not available in the dataset of the BCAC and no suitable proxy was found. </w:t>
      </w:r>
    </w:p>
    <w:p w:rsidR="009E2734" w:rsidRPr="00DA3EC6" w:rsidRDefault="009E2734" w:rsidP="00DA3EC6">
      <w:pPr>
        <w:autoSpaceDE w:val="0"/>
        <w:autoSpaceDN w:val="0"/>
        <w:adjustRightInd w:val="0"/>
        <w:spacing w:line="480" w:lineRule="auto"/>
        <w:ind w:firstLine="397"/>
        <w:jc w:val="both"/>
        <w:rPr>
          <w:rFonts w:eastAsia="SimSun"/>
          <w:bCs/>
          <w:color w:val="000000" w:themeColor="text1"/>
        </w:rPr>
      </w:pPr>
      <w:r w:rsidRPr="00DA3EC6">
        <w:rPr>
          <w:rFonts w:eastAsia="SimSun"/>
          <w:bCs/>
          <w:color w:val="000000" w:themeColor="text1"/>
        </w:rPr>
        <w:t>Genetically predicted TSH levels showed a consistent association with overall cancer across the different MR methods (</w:t>
      </w:r>
      <w:r w:rsidRPr="00DA3EC6">
        <w:rPr>
          <w:rFonts w:eastAsia="SimSun"/>
          <w:b/>
          <w:color w:val="000000" w:themeColor="text1"/>
        </w:rPr>
        <w:t>Figure 2</w:t>
      </w:r>
      <w:r w:rsidRPr="00DA3EC6">
        <w:rPr>
          <w:rFonts w:eastAsia="SimSun"/>
          <w:bCs/>
          <w:color w:val="000000" w:themeColor="text1"/>
        </w:rPr>
        <w:t xml:space="preserve">). The OR was </w:t>
      </w:r>
      <w:r w:rsidRPr="00DA3EC6">
        <w:rPr>
          <w:bCs/>
          <w:color w:val="000000" w:themeColor="text1"/>
        </w:rPr>
        <w:t xml:space="preserve">0.93 (95% CI, 0.91-0.96; </w:t>
      </w:r>
      <w:r w:rsidRPr="00DA3EC6">
        <w:rPr>
          <w:bCs/>
          <w:i/>
          <w:iCs/>
          <w:color w:val="000000" w:themeColor="text1"/>
        </w:rPr>
        <w:t>p</w:t>
      </w:r>
      <w:r w:rsidRPr="00DA3EC6">
        <w:rPr>
          <w:bCs/>
          <w:color w:val="000000" w:themeColor="text1"/>
        </w:rPr>
        <w:t>=2.28×10</w:t>
      </w:r>
      <w:r w:rsidRPr="00DA3EC6">
        <w:rPr>
          <w:bCs/>
          <w:color w:val="000000" w:themeColor="text1"/>
          <w:vertAlign w:val="superscript"/>
        </w:rPr>
        <w:t>-6</w:t>
      </w:r>
      <w:r w:rsidRPr="00DA3EC6">
        <w:rPr>
          <w:bCs/>
          <w:color w:val="000000" w:themeColor="text1"/>
        </w:rPr>
        <w:t xml:space="preserve">) per one </w:t>
      </w:r>
      <w:r w:rsidRPr="00DA3EC6">
        <w:rPr>
          <w:color w:val="000000" w:themeColor="text1"/>
        </w:rPr>
        <w:t xml:space="preserve">standard deviation increase in </w:t>
      </w:r>
      <w:r w:rsidRPr="00DA3EC6">
        <w:rPr>
          <w:bCs/>
          <w:color w:val="000000" w:themeColor="text1"/>
        </w:rPr>
        <w:t xml:space="preserve">TSH </w:t>
      </w:r>
      <w:r w:rsidRPr="00DA3EC6">
        <w:rPr>
          <w:color w:val="000000" w:themeColor="text1"/>
        </w:rPr>
        <w:t>levels in the inverse variance weighted analysis</w:t>
      </w:r>
      <w:r w:rsidRPr="00DA3EC6">
        <w:rPr>
          <w:rFonts w:eastAsia="SimSun"/>
          <w:bCs/>
          <w:color w:val="000000" w:themeColor="text1"/>
        </w:rPr>
        <w:t>. Results for genetic liability to hypo- and hyperthyroidism were directionally consistent with those for TSH levels but less precise; in particular, the results from the MR-Egger analyses were very imprecise, indicative of very low power of this method.</w:t>
      </w:r>
    </w:p>
    <w:p w:rsidR="009E2734" w:rsidRPr="00DA3EC6" w:rsidRDefault="009E2734" w:rsidP="00DA3EC6">
      <w:pPr>
        <w:autoSpaceDE w:val="0"/>
        <w:autoSpaceDN w:val="0"/>
        <w:adjustRightInd w:val="0"/>
        <w:spacing w:line="480" w:lineRule="auto"/>
        <w:ind w:firstLine="397"/>
        <w:jc w:val="both"/>
        <w:rPr>
          <w:rFonts w:eastAsia="SimSun"/>
          <w:bCs/>
          <w:color w:val="000000" w:themeColor="text1"/>
        </w:rPr>
      </w:pPr>
      <w:r w:rsidRPr="00DA3EC6">
        <w:rPr>
          <w:rFonts w:eastAsia="SimSun"/>
          <w:bCs/>
          <w:color w:val="000000" w:themeColor="text1"/>
        </w:rPr>
        <w:t>Genetically predicted TSH and free thyroxine levels as well as genetic predisposition to thyroid dysfunction were associated with breast cancer, with similar patterns of associations in the BCAC and UK Biobank (</w:t>
      </w:r>
      <w:r w:rsidRPr="00DA3EC6">
        <w:rPr>
          <w:rFonts w:eastAsia="SimSun"/>
          <w:b/>
          <w:color w:val="000000" w:themeColor="text1"/>
        </w:rPr>
        <w:t xml:space="preserve">Table 1 </w:t>
      </w:r>
      <w:r w:rsidRPr="00DA3EC6">
        <w:rPr>
          <w:rFonts w:eastAsia="SimSun"/>
          <w:color w:val="000000" w:themeColor="text1"/>
        </w:rPr>
        <w:t>and</w:t>
      </w:r>
      <w:r w:rsidRPr="00DA3EC6">
        <w:rPr>
          <w:rFonts w:eastAsia="SimSun"/>
          <w:b/>
          <w:color w:val="000000" w:themeColor="text1"/>
        </w:rPr>
        <w:t xml:space="preserve"> Figure 3</w:t>
      </w:r>
      <w:r w:rsidRPr="00DA3EC6">
        <w:rPr>
          <w:rFonts w:eastAsia="SimSun"/>
          <w:bCs/>
          <w:color w:val="000000" w:themeColor="text1"/>
        </w:rPr>
        <w:t xml:space="preserve">). In the meta-analysis combining the results from the BCAC and UK Biobank (136 643 breast cancer cases and 459 951 non-cases), the </w:t>
      </w:r>
      <w:r w:rsidRPr="00DA3EC6">
        <w:rPr>
          <w:color w:val="000000" w:themeColor="text1"/>
        </w:rPr>
        <w:t>combined ORs of breast cancer were 0.94 (95% confidence interval (CI)</w:t>
      </w:r>
      <w:r w:rsidRPr="00DA3EC6">
        <w:rPr>
          <w:color w:val="000000" w:themeColor="text1"/>
          <w:szCs w:val="22"/>
        </w:rPr>
        <w:t xml:space="preserve"> 0.91-0.98</w:t>
      </w:r>
      <w:r w:rsidRPr="00DA3EC6">
        <w:rPr>
          <w:color w:val="000000" w:themeColor="text1"/>
        </w:rPr>
        <w:t xml:space="preserve">; </w:t>
      </w:r>
      <w:r w:rsidRPr="00DA3EC6">
        <w:rPr>
          <w:i/>
          <w:color w:val="000000" w:themeColor="text1"/>
        </w:rPr>
        <w:t>p</w:t>
      </w:r>
      <w:r w:rsidRPr="00DA3EC6">
        <w:rPr>
          <w:color w:val="000000" w:themeColor="text1"/>
        </w:rPr>
        <w:t xml:space="preserve">=0.007) per genetically predicted one SD increase in TSH levels, 0.96 (95% CI, 0.91-1.00; </w:t>
      </w:r>
      <w:r w:rsidRPr="00DA3EC6">
        <w:rPr>
          <w:i/>
          <w:iCs/>
          <w:color w:val="000000" w:themeColor="text1"/>
        </w:rPr>
        <w:t>p</w:t>
      </w:r>
      <w:r w:rsidRPr="00DA3EC6">
        <w:rPr>
          <w:color w:val="000000" w:themeColor="text1"/>
        </w:rPr>
        <w:t xml:space="preserve">=0.053) </w:t>
      </w:r>
      <w:r w:rsidRPr="00DA3EC6">
        <w:rPr>
          <w:color w:val="000000" w:themeColor="text1"/>
        </w:rPr>
        <w:lastRenderedPageBreak/>
        <w:t xml:space="preserve">per </w:t>
      </w:r>
      <w:r w:rsidRPr="00DA3EC6">
        <w:rPr>
          <w:rFonts w:eastAsia="SimSun"/>
          <w:bCs/>
          <w:color w:val="000000" w:themeColor="text1"/>
        </w:rPr>
        <w:t xml:space="preserve">one-unit increase in log odds of </w:t>
      </w:r>
      <w:r w:rsidRPr="00DA3EC6">
        <w:rPr>
          <w:color w:val="000000" w:themeColor="text1"/>
        </w:rPr>
        <w:t xml:space="preserve">hypothyroidism, 1.04 (95% CI, 1.01-1.07; </w:t>
      </w:r>
      <w:r w:rsidRPr="00DA3EC6">
        <w:rPr>
          <w:i/>
          <w:iCs/>
          <w:color w:val="000000" w:themeColor="text1"/>
        </w:rPr>
        <w:t>p</w:t>
      </w:r>
      <w:r w:rsidRPr="00DA3EC6">
        <w:rPr>
          <w:color w:val="000000" w:themeColor="text1"/>
        </w:rPr>
        <w:t xml:space="preserve">=0.005) per </w:t>
      </w:r>
      <w:r w:rsidRPr="00DA3EC6">
        <w:rPr>
          <w:rFonts w:eastAsia="SimSun"/>
          <w:bCs/>
          <w:color w:val="000000" w:themeColor="text1"/>
        </w:rPr>
        <w:t>one-unit increase in log odds of</w:t>
      </w:r>
      <w:r w:rsidRPr="00DA3EC6">
        <w:rPr>
          <w:color w:val="000000" w:themeColor="text1"/>
        </w:rPr>
        <w:t xml:space="preserve"> hyperthyroidism, and 1.07 (95% CI, 1.02-1.12; </w:t>
      </w:r>
      <w:r w:rsidRPr="00DA3EC6">
        <w:rPr>
          <w:i/>
          <w:iCs/>
          <w:color w:val="000000" w:themeColor="text1"/>
        </w:rPr>
        <w:t>p</w:t>
      </w:r>
      <w:r w:rsidRPr="00DA3EC6">
        <w:rPr>
          <w:color w:val="000000" w:themeColor="text1"/>
        </w:rPr>
        <w:t>=0.003) per genetically predicted one SD increase in free thyroxine levels (</w:t>
      </w:r>
      <w:r w:rsidRPr="00DA3EC6">
        <w:rPr>
          <w:b/>
          <w:bCs/>
          <w:color w:val="000000" w:themeColor="text1"/>
        </w:rPr>
        <w:t>Figure 3</w:t>
      </w:r>
      <w:r w:rsidRPr="00DA3EC6">
        <w:rPr>
          <w:color w:val="000000" w:themeColor="text1"/>
        </w:rPr>
        <w:t>)</w:t>
      </w:r>
      <w:r w:rsidRPr="00DA3EC6">
        <w:rPr>
          <w:rFonts w:eastAsia="SimSun"/>
          <w:bCs/>
          <w:color w:val="000000" w:themeColor="text1"/>
        </w:rPr>
        <w:t>. The OR estimates were similar but less precise in the sensitivity analyses (</w:t>
      </w:r>
      <w:r w:rsidRPr="00DA3EC6">
        <w:rPr>
          <w:rFonts w:eastAsia="SimSun"/>
          <w:b/>
          <w:color w:val="000000" w:themeColor="text1"/>
        </w:rPr>
        <w:t>Supplementary</w:t>
      </w:r>
      <w:r w:rsidRPr="00DA3EC6">
        <w:rPr>
          <w:rFonts w:eastAsia="SimSun"/>
          <w:bCs/>
          <w:color w:val="000000" w:themeColor="text1"/>
        </w:rPr>
        <w:t xml:space="preserve"> </w:t>
      </w:r>
      <w:r w:rsidRPr="00DA3EC6">
        <w:rPr>
          <w:rFonts w:eastAsia="SimSun"/>
          <w:b/>
          <w:bCs/>
          <w:color w:val="000000" w:themeColor="text1"/>
        </w:rPr>
        <w:t>Figure 1</w:t>
      </w:r>
      <w:r w:rsidRPr="00DA3EC6">
        <w:rPr>
          <w:rFonts w:eastAsia="SimSun"/>
          <w:bCs/>
          <w:color w:val="000000" w:themeColor="text1"/>
        </w:rPr>
        <w:t>). There was suggestive evidence that thyroid dysfunction, in particular hyperthyroidism and free thyroxine levels, was associated with estrogen-receptor (ER) positive but not negative tumors (</w:t>
      </w:r>
      <w:r w:rsidRPr="00DA3EC6">
        <w:rPr>
          <w:rFonts w:eastAsia="SimSun"/>
          <w:b/>
          <w:color w:val="000000" w:themeColor="text1"/>
        </w:rPr>
        <w:t>Table 1</w:t>
      </w:r>
      <w:r w:rsidRPr="00DA3EC6">
        <w:rPr>
          <w:rFonts w:eastAsia="SimSun"/>
          <w:bCs/>
          <w:color w:val="000000" w:themeColor="text1"/>
        </w:rPr>
        <w:t>).</w:t>
      </w:r>
    </w:p>
    <w:p w:rsidR="009E2734" w:rsidRPr="00DA3EC6" w:rsidRDefault="009E2734" w:rsidP="00DA3EC6">
      <w:pPr>
        <w:autoSpaceDE w:val="0"/>
        <w:autoSpaceDN w:val="0"/>
        <w:adjustRightInd w:val="0"/>
        <w:spacing w:line="480" w:lineRule="auto"/>
        <w:ind w:firstLine="397"/>
        <w:jc w:val="both"/>
        <w:rPr>
          <w:rFonts w:eastAsia="SimSun"/>
          <w:bCs/>
          <w:color w:val="000000" w:themeColor="text1"/>
        </w:rPr>
      </w:pPr>
      <w:r w:rsidRPr="00DA3EC6">
        <w:rPr>
          <w:rFonts w:eastAsia="SimSun"/>
          <w:bCs/>
          <w:color w:val="000000" w:themeColor="text1"/>
        </w:rPr>
        <w:t>Genetically higher TSH levels and liability to hypothyroidism were associated with lower odds of thyroid cancer (</w:t>
      </w:r>
      <w:r w:rsidRPr="00DA3EC6">
        <w:rPr>
          <w:rFonts w:eastAsia="SimSun"/>
          <w:b/>
          <w:bCs/>
          <w:color w:val="000000" w:themeColor="text1"/>
        </w:rPr>
        <w:t>Table 1 and Figure 4</w:t>
      </w:r>
      <w:r w:rsidRPr="00DA3EC6">
        <w:rPr>
          <w:rFonts w:eastAsia="SimSun"/>
          <w:bCs/>
          <w:color w:val="000000" w:themeColor="text1"/>
        </w:rPr>
        <w:t xml:space="preserve">). For one SD increase of TSH levels and one-unit increment of the log odds of hypothyroidism, the ORs of thyroid cancer were 0.47 (0.30-0.73; </w:t>
      </w:r>
      <w:r w:rsidRPr="00DA3EC6">
        <w:rPr>
          <w:rFonts w:eastAsia="SimSun"/>
          <w:bCs/>
          <w:i/>
          <w:iCs/>
          <w:color w:val="000000" w:themeColor="text1"/>
        </w:rPr>
        <w:t>p</w:t>
      </w:r>
      <w:r w:rsidRPr="00DA3EC6">
        <w:rPr>
          <w:rFonts w:eastAsia="SimSun"/>
          <w:bCs/>
          <w:color w:val="000000" w:themeColor="text1"/>
        </w:rPr>
        <w:t xml:space="preserve">=0.001) and 0.70 (0.51-0.98; </w:t>
      </w:r>
      <w:r w:rsidRPr="00DA3EC6">
        <w:rPr>
          <w:rFonts w:eastAsia="SimSun"/>
          <w:bCs/>
          <w:i/>
          <w:iCs/>
          <w:color w:val="000000" w:themeColor="text1"/>
        </w:rPr>
        <w:t>p</w:t>
      </w:r>
      <w:r w:rsidRPr="00DA3EC6">
        <w:rPr>
          <w:rFonts w:eastAsia="SimSun"/>
          <w:bCs/>
          <w:color w:val="000000" w:themeColor="text1"/>
        </w:rPr>
        <w:t>=0.038), respectively. Significant heterogeneity (I</w:t>
      </w:r>
      <w:r w:rsidRPr="00DA3EC6">
        <w:rPr>
          <w:rFonts w:eastAsia="SimSun"/>
          <w:bCs/>
          <w:color w:val="000000" w:themeColor="text1"/>
          <w:vertAlign w:val="superscript"/>
        </w:rPr>
        <w:t>2</w:t>
      </w:r>
      <w:r w:rsidRPr="00DA3EC6">
        <w:rPr>
          <w:rFonts w:eastAsia="SimSun"/>
          <w:bCs/>
          <w:color w:val="000000" w:themeColor="text1"/>
        </w:rPr>
        <w:t xml:space="preserve">=39; </w:t>
      </w:r>
      <w:r w:rsidRPr="00DA3EC6">
        <w:rPr>
          <w:rFonts w:eastAsia="SimSun"/>
          <w:bCs/>
          <w:i/>
          <w:iCs/>
          <w:color w:val="000000" w:themeColor="text1"/>
        </w:rPr>
        <w:t>p</w:t>
      </w:r>
      <w:r w:rsidRPr="00DA3EC6">
        <w:rPr>
          <w:rFonts w:eastAsia="SimSun"/>
          <w:bCs/>
          <w:color w:val="000000" w:themeColor="text1"/>
        </w:rPr>
        <w:t xml:space="preserve">=0.002) among estimates of individual SNPs was detected in the analysis of TSH. After removal of two outliers, the magnitude and the significance of the association between TSH and thyroid cancer remained in the MR-PRESSO analysis (OR=0.48, 0.32-0.77; </w:t>
      </w:r>
      <w:r w:rsidRPr="00DA3EC6">
        <w:rPr>
          <w:rFonts w:eastAsia="SimSun"/>
          <w:bCs/>
          <w:i/>
          <w:iCs/>
          <w:color w:val="000000" w:themeColor="text1"/>
        </w:rPr>
        <w:t>p</w:t>
      </w:r>
      <w:r w:rsidRPr="00DA3EC6">
        <w:rPr>
          <w:rFonts w:eastAsia="SimSun"/>
          <w:bCs/>
          <w:color w:val="000000" w:themeColor="text1"/>
        </w:rPr>
        <w:t>=0.001) (</w:t>
      </w:r>
      <w:r w:rsidRPr="00DA3EC6">
        <w:rPr>
          <w:rFonts w:eastAsia="SimSun"/>
          <w:b/>
          <w:bCs/>
          <w:color w:val="000000" w:themeColor="text1"/>
        </w:rPr>
        <w:t>Figure 4</w:t>
      </w:r>
      <w:r w:rsidRPr="00DA3EC6">
        <w:rPr>
          <w:rFonts w:eastAsia="SimSun"/>
          <w:bCs/>
          <w:color w:val="000000" w:themeColor="text1"/>
        </w:rPr>
        <w:t>). The associations were similar in sensitivity analyses using the weighted median and MR-Egger methods (</w:t>
      </w:r>
      <w:r w:rsidRPr="00DA3EC6">
        <w:rPr>
          <w:rFonts w:eastAsia="SimSun"/>
          <w:b/>
          <w:color w:val="000000" w:themeColor="text1"/>
        </w:rPr>
        <w:t>Figure 4</w:t>
      </w:r>
      <w:r w:rsidRPr="00DA3EC6">
        <w:rPr>
          <w:rFonts w:eastAsia="SimSun"/>
          <w:bCs/>
          <w:color w:val="000000" w:themeColor="text1"/>
        </w:rPr>
        <w:t xml:space="preserve">). </w:t>
      </w:r>
    </w:p>
    <w:p w:rsidR="009E2734" w:rsidRPr="00DA3EC6" w:rsidRDefault="009E2734" w:rsidP="00DA3EC6">
      <w:pPr>
        <w:autoSpaceDE w:val="0"/>
        <w:autoSpaceDN w:val="0"/>
        <w:adjustRightInd w:val="0"/>
        <w:spacing w:line="480" w:lineRule="auto"/>
        <w:ind w:firstLine="397"/>
        <w:jc w:val="both"/>
        <w:rPr>
          <w:rFonts w:eastAsia="SimSun"/>
          <w:bCs/>
          <w:color w:val="000000" w:themeColor="text1"/>
        </w:rPr>
      </w:pPr>
      <w:r w:rsidRPr="00DA3EC6">
        <w:rPr>
          <w:rFonts w:eastAsia="SimSun"/>
          <w:bCs/>
          <w:color w:val="000000" w:themeColor="text1"/>
        </w:rPr>
        <w:t>There was no clear pattern of associations of genetically predicted thyroid dysfunction with the other 20 cancers studied (</w:t>
      </w:r>
      <w:r w:rsidRPr="00DA3EC6">
        <w:rPr>
          <w:rFonts w:eastAsia="SimSun"/>
          <w:b/>
          <w:color w:val="000000" w:themeColor="text1"/>
        </w:rPr>
        <w:t>Table 1</w:t>
      </w:r>
      <w:r w:rsidRPr="00DA3EC6">
        <w:rPr>
          <w:rFonts w:eastAsia="SimSun"/>
          <w:bCs/>
          <w:color w:val="000000" w:themeColor="text1"/>
        </w:rPr>
        <w:t xml:space="preserve">). Nevertheless, there was suggestive evidence of inverse associations of genetically predicted TSH levels with uterine and prostate cancer; an inverse association between genetic liability to hyperthyroidism and brain cancer; and inverse associations between free thyroxine levels and ovarian and bladder cancer and melanoma. </w:t>
      </w:r>
    </w:p>
    <w:p w:rsidR="009E2734" w:rsidRPr="00DA3EC6" w:rsidRDefault="009E2734" w:rsidP="00DA3EC6">
      <w:pPr>
        <w:autoSpaceDE w:val="0"/>
        <w:autoSpaceDN w:val="0"/>
        <w:adjustRightInd w:val="0"/>
        <w:spacing w:line="480" w:lineRule="auto"/>
        <w:jc w:val="both"/>
        <w:rPr>
          <w:rFonts w:eastAsia="SimSun"/>
          <w:bCs/>
          <w:color w:val="000000" w:themeColor="text1"/>
        </w:rPr>
      </w:pPr>
    </w:p>
    <w:p w:rsidR="009E2734" w:rsidRPr="00DA3EC6" w:rsidRDefault="009E2734" w:rsidP="00DA3EC6">
      <w:pPr>
        <w:autoSpaceDE w:val="0"/>
        <w:autoSpaceDN w:val="0"/>
        <w:adjustRightInd w:val="0"/>
        <w:spacing w:line="480" w:lineRule="auto"/>
        <w:jc w:val="both"/>
        <w:rPr>
          <w:rFonts w:eastAsia="SimSun"/>
          <w:b/>
          <w:color w:val="000000" w:themeColor="text1"/>
        </w:rPr>
      </w:pPr>
      <w:r w:rsidRPr="00DA3EC6">
        <w:rPr>
          <w:rFonts w:eastAsia="SimSun"/>
          <w:b/>
          <w:color w:val="000000" w:themeColor="text1"/>
        </w:rPr>
        <w:t>Discussion</w:t>
      </w:r>
    </w:p>
    <w:p w:rsidR="009E2734" w:rsidRPr="00DA3EC6" w:rsidRDefault="009E2734" w:rsidP="00DA3EC6">
      <w:pPr>
        <w:autoSpaceDE w:val="0"/>
        <w:autoSpaceDN w:val="0"/>
        <w:adjustRightInd w:val="0"/>
        <w:spacing w:line="480" w:lineRule="auto"/>
        <w:jc w:val="both"/>
        <w:rPr>
          <w:color w:val="000000" w:themeColor="text1"/>
        </w:rPr>
      </w:pPr>
      <w:r w:rsidRPr="00DA3EC6">
        <w:rPr>
          <w:rFonts w:eastAsia="SimSun"/>
          <w:bCs/>
          <w:color w:val="000000" w:themeColor="text1"/>
        </w:rPr>
        <w:t xml:space="preserve">In the present study, we found evidence of a causal inverse association between TSH levels and overall cancer. Furthermore, increased TSH levels and hypothyroidism were associated with a decreased odds of breast cancer (mainly ER positive tumors) and thyroid cancer, </w:t>
      </w:r>
      <w:r w:rsidRPr="00DA3EC6">
        <w:rPr>
          <w:rFonts w:eastAsia="SimSun"/>
          <w:bCs/>
          <w:color w:val="000000" w:themeColor="text1"/>
        </w:rPr>
        <w:lastRenderedPageBreak/>
        <w:t xml:space="preserve">whereas hyperthyroidism and increased free thyroxine levels were associated with a higher odds of breast cancer (mainly ER positive tumors). We found limited evidence supporting causal associations of thyroid dysfunction with 20 other cancers. </w:t>
      </w:r>
    </w:p>
    <w:p w:rsidR="009E2734" w:rsidRPr="00DA3EC6" w:rsidRDefault="009E2734" w:rsidP="00DA3EC6">
      <w:pPr>
        <w:spacing w:line="480" w:lineRule="auto"/>
        <w:ind w:firstLine="420"/>
        <w:jc w:val="both"/>
        <w:rPr>
          <w:color w:val="000000" w:themeColor="text1"/>
        </w:rPr>
      </w:pPr>
      <w:r w:rsidRPr="00DA3EC6">
        <w:rPr>
          <w:color w:val="000000" w:themeColor="text1"/>
        </w:rPr>
        <w:t xml:space="preserve">Observational studies have found that thyroid disorder and thyroid hormone levels were related to risk of overall cancer </w:t>
      </w:r>
      <w:r w:rsidRPr="00DA3EC6">
        <w:rPr>
          <w:noProof/>
          <w:color w:val="000000" w:themeColor="text1"/>
          <w:vertAlign w:val="superscript"/>
        </w:rPr>
        <w:t>10, 22-24</w:t>
      </w:r>
      <w:r w:rsidRPr="00DA3EC6">
        <w:rPr>
          <w:color w:val="000000" w:themeColor="text1"/>
        </w:rPr>
        <w:t xml:space="preserve">. Consistent with our findings, a 9-year cohort study of 29 691 individuals without previously known thyroid disease found that participants with low TSH levels had increased cancer risk compared with the euthyroid reference group after adjustment of age, sex, and smoking status </w:t>
      </w:r>
      <w:r w:rsidRPr="00DA3EC6">
        <w:rPr>
          <w:noProof/>
          <w:color w:val="000000" w:themeColor="text1"/>
          <w:vertAlign w:val="superscript"/>
        </w:rPr>
        <w:t>24</w:t>
      </w:r>
      <w:r w:rsidRPr="00DA3EC6">
        <w:rPr>
          <w:color w:val="000000" w:themeColor="text1"/>
        </w:rPr>
        <w:t xml:space="preserve">. Another cohort study of 75 076 US women and 30-year follow-up period showed that women with hyperthyroidism had an elevated risk of cancer, especially breast and ovarian cancer </w:t>
      </w:r>
      <w:r w:rsidRPr="00DA3EC6">
        <w:rPr>
          <w:noProof/>
          <w:color w:val="000000" w:themeColor="text1"/>
          <w:vertAlign w:val="superscript"/>
        </w:rPr>
        <w:t>10</w:t>
      </w:r>
      <w:r w:rsidRPr="00DA3EC6">
        <w:rPr>
          <w:color w:val="000000" w:themeColor="text1"/>
        </w:rPr>
        <w:t xml:space="preserve">. In contrast, a cohort study of 115 746 Asians found that subclinical hypothyroidism was associated with increased cancer mortality over a 10-year follow-up period </w:t>
      </w:r>
      <w:r w:rsidRPr="00DA3EC6">
        <w:rPr>
          <w:noProof/>
          <w:color w:val="000000" w:themeColor="text1"/>
          <w:vertAlign w:val="superscript"/>
        </w:rPr>
        <w:t>25</w:t>
      </w:r>
      <w:r w:rsidRPr="00DA3EC6">
        <w:rPr>
          <w:color w:val="000000" w:themeColor="text1"/>
        </w:rPr>
        <w:t xml:space="preserve">. </w:t>
      </w:r>
    </w:p>
    <w:p w:rsidR="009E2734" w:rsidRPr="00DA3EC6" w:rsidRDefault="009E2734" w:rsidP="00DA3EC6">
      <w:pPr>
        <w:spacing w:line="480" w:lineRule="auto"/>
        <w:ind w:firstLine="420"/>
        <w:jc w:val="both"/>
        <w:rPr>
          <w:color w:val="000000" w:themeColor="text1"/>
        </w:rPr>
      </w:pPr>
      <w:r w:rsidRPr="00DA3EC6">
        <w:rPr>
          <w:color w:val="000000" w:themeColor="text1"/>
        </w:rPr>
        <w:t xml:space="preserve">In line with our MR results, most observational prospective studies have found that hypothyroidism is associated with a lower risk of breast cancer </w:t>
      </w:r>
      <w:r w:rsidRPr="00DA3EC6">
        <w:rPr>
          <w:noProof/>
          <w:color w:val="000000" w:themeColor="text1"/>
          <w:vertAlign w:val="superscript"/>
        </w:rPr>
        <w:t>9, 26</w:t>
      </w:r>
      <w:r w:rsidRPr="00DA3EC6">
        <w:rPr>
          <w:color w:val="000000" w:themeColor="text1"/>
        </w:rPr>
        <w:t xml:space="preserve">, whereas hyperthyroidism </w:t>
      </w:r>
      <w:r w:rsidRPr="00DA3EC6">
        <w:rPr>
          <w:noProof/>
          <w:color w:val="000000" w:themeColor="text1"/>
          <w:vertAlign w:val="superscript"/>
        </w:rPr>
        <w:t>9, 10</w:t>
      </w:r>
      <w:r w:rsidRPr="00DA3EC6">
        <w:rPr>
          <w:color w:val="000000" w:themeColor="text1"/>
        </w:rPr>
        <w:t xml:space="preserve"> and high free thyroxine levels </w:t>
      </w:r>
      <w:r w:rsidRPr="00DA3EC6">
        <w:rPr>
          <w:noProof/>
          <w:color w:val="000000" w:themeColor="text1"/>
          <w:vertAlign w:val="superscript"/>
        </w:rPr>
        <w:t>5, 27, 28</w:t>
      </w:r>
      <w:r w:rsidRPr="00DA3EC6">
        <w:rPr>
          <w:color w:val="000000" w:themeColor="text1"/>
        </w:rPr>
        <w:t xml:space="preserve"> are associated with an increased breast cancer risk, especially among overweight </w:t>
      </w:r>
      <w:r w:rsidRPr="00DA3EC6">
        <w:rPr>
          <w:noProof/>
          <w:color w:val="000000" w:themeColor="text1"/>
          <w:vertAlign w:val="superscript"/>
        </w:rPr>
        <w:t>27</w:t>
      </w:r>
      <w:r w:rsidRPr="00DA3EC6">
        <w:rPr>
          <w:color w:val="000000" w:themeColor="text1"/>
        </w:rPr>
        <w:t xml:space="preserve"> and postmenopausal women </w:t>
      </w:r>
      <w:r w:rsidRPr="00DA3EC6">
        <w:rPr>
          <w:noProof/>
          <w:color w:val="000000" w:themeColor="text1"/>
          <w:vertAlign w:val="superscript"/>
        </w:rPr>
        <w:t>28</w:t>
      </w:r>
      <w:r w:rsidRPr="00DA3EC6">
        <w:rPr>
          <w:color w:val="000000" w:themeColor="text1"/>
        </w:rPr>
        <w:t xml:space="preserve">. TSH levels were inversely associated with breast cancer risk in one study </w:t>
      </w:r>
      <w:r w:rsidRPr="00DA3EC6">
        <w:rPr>
          <w:noProof/>
          <w:color w:val="000000" w:themeColor="text1"/>
          <w:vertAlign w:val="superscript"/>
        </w:rPr>
        <w:t>28</w:t>
      </w:r>
      <w:r w:rsidRPr="00DA3EC6">
        <w:rPr>
          <w:color w:val="000000" w:themeColor="text1"/>
        </w:rPr>
        <w:t xml:space="preserve"> but not in two other </w:t>
      </w:r>
      <w:r w:rsidRPr="00DA3EC6">
        <w:rPr>
          <w:noProof/>
          <w:color w:val="000000" w:themeColor="text1"/>
          <w:vertAlign w:val="superscript"/>
        </w:rPr>
        <w:t>5, 27</w:t>
      </w:r>
      <w:r w:rsidRPr="00DA3EC6">
        <w:rPr>
          <w:color w:val="000000" w:themeColor="text1"/>
        </w:rPr>
        <w:t xml:space="preserve">. On the contrary, two meta-analyses based on data from 12 or 13 case-control studies showed no association of hypo- or hyperthyroidism with odds of breast cancer </w:t>
      </w:r>
      <w:r w:rsidRPr="00DA3EC6">
        <w:rPr>
          <w:noProof/>
          <w:color w:val="000000" w:themeColor="text1"/>
          <w:vertAlign w:val="superscript"/>
        </w:rPr>
        <w:t>8, 29</w:t>
      </w:r>
      <w:r w:rsidRPr="00DA3EC6">
        <w:rPr>
          <w:color w:val="000000" w:themeColor="text1"/>
        </w:rPr>
        <w:t xml:space="preserve">. The inconsistency among studies may be attributable to reverse causation bias in the case-control studies, measurement bias (causing dilution of the effect), or inadequate power. In this MR study, results for thyroid function in relation to breast cancer were in the same direction in the BCAC and UK Biobank albeit less precise in UK Biobank. When combining the results from the two data sources, thereby increasing the sample size, all associations became statistically significant. In the present study, based on data from the BCAC, the associations of thyroid function and dysfunction with breast </w:t>
      </w:r>
      <w:r w:rsidRPr="00DA3EC6">
        <w:rPr>
          <w:color w:val="000000" w:themeColor="text1"/>
        </w:rPr>
        <w:lastRenderedPageBreak/>
        <w:t xml:space="preserve">cancer risk were mainly observed for </w:t>
      </w:r>
      <w:r w:rsidRPr="00DA3EC6">
        <w:rPr>
          <w:rFonts w:eastAsia="SimSun"/>
          <w:bCs/>
          <w:color w:val="000000" w:themeColor="text1"/>
        </w:rPr>
        <w:t xml:space="preserve">ER positive tumors, though a suggestive association was also observed between hypothyroidism and ER negative tumors. Considering that ER positive tumors make up around 70% of total breast cancers in all populations, the observed association with overall breast cancer may reflect the association between thyroid dysfunction and ER positive breast cancer. However, as data for ER status of the breast tumors were not available in UK Biobank, this difference could not be replicated in an independent population and needs confirmation. </w:t>
      </w:r>
    </w:p>
    <w:p w:rsidR="009E2734" w:rsidRPr="00DA3EC6" w:rsidRDefault="009E2734" w:rsidP="00DA3EC6">
      <w:pPr>
        <w:spacing w:line="480" w:lineRule="auto"/>
        <w:ind w:firstLine="420"/>
        <w:jc w:val="both"/>
        <w:rPr>
          <w:color w:val="000000" w:themeColor="text1"/>
        </w:rPr>
      </w:pPr>
      <w:r w:rsidRPr="00DA3EC6">
        <w:rPr>
          <w:color w:val="000000" w:themeColor="text1"/>
        </w:rPr>
        <w:t xml:space="preserve">The results of the present study are in line with most findings supporting a protective role of high TSH levels in thyroid cancer. An individual-matched nested case-control study with 1482 individuals found an inverse association between </w:t>
      </w:r>
      <w:r w:rsidRPr="00DA3EC6">
        <w:rPr>
          <w:rFonts w:hint="eastAsia"/>
          <w:color w:val="000000" w:themeColor="text1"/>
        </w:rPr>
        <w:t>p</w:t>
      </w:r>
      <w:r w:rsidRPr="00DA3EC6">
        <w:rPr>
          <w:color w:val="000000" w:themeColor="text1"/>
        </w:rPr>
        <w:t xml:space="preserve">hysiologically high TSH levels and thyroid cancer </w:t>
      </w:r>
      <w:r w:rsidRPr="00DA3EC6">
        <w:rPr>
          <w:noProof/>
          <w:color w:val="000000" w:themeColor="text1"/>
          <w:vertAlign w:val="superscript"/>
        </w:rPr>
        <w:t>30</w:t>
      </w:r>
      <w:r w:rsidRPr="00DA3EC6">
        <w:rPr>
          <w:color w:val="000000" w:themeColor="text1"/>
        </w:rPr>
        <w:t xml:space="preserve">. Similarly, another small case-control study showed that low levels of TSH might predispose to thyroid cancer </w:t>
      </w:r>
      <w:r w:rsidRPr="00DA3EC6">
        <w:rPr>
          <w:noProof/>
          <w:color w:val="000000" w:themeColor="text1"/>
          <w:vertAlign w:val="superscript"/>
        </w:rPr>
        <w:t>3</w:t>
      </w:r>
      <w:r w:rsidRPr="00DA3EC6">
        <w:rPr>
          <w:color w:val="000000" w:themeColor="text1"/>
        </w:rPr>
        <w:t xml:space="preserve">. The possible mechanism behind the association may be TSH-specific mediated effect on thyroid tissue through cellular proliferation </w:t>
      </w:r>
      <w:r w:rsidRPr="00DA3EC6">
        <w:rPr>
          <w:noProof/>
          <w:color w:val="000000" w:themeColor="text1"/>
          <w:vertAlign w:val="superscript"/>
        </w:rPr>
        <w:t>31</w:t>
      </w:r>
      <w:r w:rsidRPr="00DA3EC6">
        <w:rPr>
          <w:color w:val="000000" w:themeColor="text1"/>
        </w:rPr>
        <w:t xml:space="preserve">. However, a retrospective study including 3791 patients with thyroidectomy found that increased serum TSH levels were related to higher odds of papillary thyroid cancer </w:t>
      </w:r>
      <w:r w:rsidRPr="00DA3EC6">
        <w:rPr>
          <w:noProof/>
          <w:color w:val="000000" w:themeColor="text1"/>
          <w:vertAlign w:val="superscript"/>
        </w:rPr>
        <w:t>32</w:t>
      </w:r>
      <w:r w:rsidRPr="00DA3EC6">
        <w:rPr>
          <w:color w:val="000000" w:themeColor="text1"/>
        </w:rPr>
        <w:t xml:space="preserve">. Among patients with thyroid nodule, several studies have shown that high serum TSH levels increase thyroid cancer risk </w:t>
      </w:r>
      <w:r w:rsidRPr="00DA3EC6">
        <w:rPr>
          <w:noProof/>
          <w:color w:val="000000" w:themeColor="text1"/>
          <w:vertAlign w:val="superscript"/>
        </w:rPr>
        <w:t>33, 34</w:t>
      </w:r>
      <w:r w:rsidRPr="00DA3EC6">
        <w:rPr>
          <w:color w:val="000000" w:themeColor="text1"/>
        </w:rPr>
        <w:t xml:space="preserve">. In addition, TSH suppression therapy has been suggested as an efficient treatment for patients with high-risk thyroid cancer or recurrent tumor. However, in the present study, we observed an inverse association between higher TSH levels and thyroid cancer risk, which is in line with previous population-based epidemiological and genetic studies </w:t>
      </w:r>
      <w:r w:rsidRPr="00DA3EC6">
        <w:rPr>
          <w:noProof/>
          <w:color w:val="000000" w:themeColor="text1"/>
          <w:vertAlign w:val="superscript"/>
        </w:rPr>
        <w:t>35, 36</w:t>
      </w:r>
      <w:r w:rsidRPr="00DA3EC6">
        <w:rPr>
          <w:color w:val="000000" w:themeColor="text1"/>
        </w:rPr>
        <w:t xml:space="preserve">. Discrepancy may be explained by the differences of response to TSH in normal and </w:t>
      </w:r>
      <w:r w:rsidRPr="00DA3EC6">
        <w:rPr>
          <w:rFonts w:hint="eastAsia"/>
          <w:color w:val="000000" w:themeColor="text1"/>
        </w:rPr>
        <w:t>cancerous</w:t>
      </w:r>
      <w:r w:rsidRPr="00DA3EC6">
        <w:rPr>
          <w:color w:val="000000" w:themeColor="text1"/>
        </w:rPr>
        <w:t xml:space="preserve"> tissues. A nationwide cohort study found no association of hypothyroidism with thyroid cancer among 63 143 patients with hypothyroidism compared with the general population but observed that benign thyroid disease was associated with higher standardized incidence ratio of thyroid cancer </w:t>
      </w:r>
      <w:r w:rsidRPr="00DA3EC6">
        <w:rPr>
          <w:noProof/>
          <w:color w:val="000000" w:themeColor="text1"/>
          <w:vertAlign w:val="superscript"/>
        </w:rPr>
        <w:t>37</w:t>
      </w:r>
      <w:r w:rsidRPr="00DA3EC6">
        <w:rPr>
          <w:color w:val="000000" w:themeColor="text1"/>
        </w:rPr>
        <w:t xml:space="preserve">. A possible reason for the null association between hypothyroidism and thyroid cancer </w:t>
      </w:r>
      <w:r w:rsidRPr="00DA3EC6">
        <w:rPr>
          <w:color w:val="000000" w:themeColor="text1"/>
        </w:rPr>
        <w:lastRenderedPageBreak/>
        <w:t xml:space="preserve">risk may be that once diagnosed with hypothyroidism, most patients are treated for the disorder and no longer hypothyroid, leading to altered cancer risk. This MR study found a possible inverse association between </w:t>
      </w:r>
      <w:bookmarkStart w:id="25" w:name="OLE_LINK403"/>
      <w:bookmarkStart w:id="26" w:name="OLE_LINK404"/>
      <w:r w:rsidRPr="00DA3EC6">
        <w:rPr>
          <w:color w:val="000000" w:themeColor="text1"/>
        </w:rPr>
        <w:t xml:space="preserve">genetic liability to hypothyroidism </w:t>
      </w:r>
      <w:bookmarkEnd w:id="25"/>
      <w:bookmarkEnd w:id="26"/>
      <w:r w:rsidRPr="00DA3EC6">
        <w:rPr>
          <w:color w:val="000000" w:themeColor="text1"/>
        </w:rPr>
        <w:t xml:space="preserve">and thyroid cancer, which needs verification due to a small number of thyroid cancer cases. In addition, even though there was no causal association between hyperthyroidism and thyroid cancer in our study, a systematic review documented that </w:t>
      </w:r>
      <w:bookmarkStart w:id="27" w:name="OLE_LINK397"/>
      <w:bookmarkStart w:id="28" w:name="OLE_LINK398"/>
      <w:r w:rsidRPr="00DA3EC6">
        <w:rPr>
          <w:rFonts w:hint="eastAsia"/>
          <w:color w:val="000000" w:themeColor="text1"/>
        </w:rPr>
        <w:t>pathological</w:t>
      </w:r>
      <w:r w:rsidRPr="00DA3EC6">
        <w:rPr>
          <w:color w:val="000000" w:themeColor="text1"/>
        </w:rPr>
        <w:t xml:space="preserve"> hyperthyroid</w:t>
      </w:r>
      <w:bookmarkEnd w:id="27"/>
      <w:bookmarkEnd w:id="28"/>
      <w:r w:rsidRPr="00DA3EC6">
        <w:rPr>
          <w:color w:val="000000" w:themeColor="text1"/>
        </w:rPr>
        <w:t xml:space="preserve"> caused by Graves’ disease was associated with an increased risk of thyroid cancer </w:t>
      </w:r>
      <w:r w:rsidRPr="00DA3EC6">
        <w:rPr>
          <w:noProof/>
          <w:color w:val="000000" w:themeColor="text1"/>
          <w:vertAlign w:val="superscript"/>
        </w:rPr>
        <w:t>38</w:t>
      </w:r>
      <w:r w:rsidRPr="00DA3EC6">
        <w:rPr>
          <w:color w:val="000000" w:themeColor="text1"/>
        </w:rPr>
        <w:t xml:space="preserve">. </w:t>
      </w:r>
    </w:p>
    <w:p w:rsidR="009E2734" w:rsidRPr="00DA3EC6" w:rsidRDefault="009E2734" w:rsidP="00DA3EC6">
      <w:pPr>
        <w:spacing w:line="480" w:lineRule="auto"/>
        <w:ind w:firstLine="420"/>
        <w:jc w:val="both"/>
        <w:rPr>
          <w:color w:val="000000" w:themeColor="text1"/>
        </w:rPr>
      </w:pPr>
      <w:r w:rsidRPr="00DA3EC6">
        <w:rPr>
          <w:color w:val="000000" w:themeColor="text1"/>
        </w:rPr>
        <w:t xml:space="preserve">Some observational studies have reported associations of thyroid-related traits with </w:t>
      </w:r>
      <w:bookmarkStart w:id="29" w:name="OLE_LINK405"/>
      <w:bookmarkStart w:id="30" w:name="OLE_LINK406"/>
      <w:r w:rsidRPr="00DA3EC6">
        <w:rPr>
          <w:color w:val="000000" w:themeColor="text1"/>
        </w:rPr>
        <w:t xml:space="preserve">other cancers, such as </w:t>
      </w:r>
      <w:bookmarkStart w:id="31" w:name="OLE_LINK411"/>
      <w:bookmarkStart w:id="32" w:name="OLE_LINK412"/>
      <w:r w:rsidRPr="00DA3EC6">
        <w:rPr>
          <w:color w:val="000000" w:themeColor="text1"/>
        </w:rPr>
        <w:t>colorectal</w:t>
      </w:r>
      <w:bookmarkEnd w:id="29"/>
      <w:bookmarkEnd w:id="30"/>
      <w:r w:rsidRPr="00DA3EC6">
        <w:rPr>
          <w:color w:val="000000" w:themeColor="text1"/>
        </w:rPr>
        <w:t>, prostate and lung cancer</w:t>
      </w:r>
      <w:bookmarkEnd w:id="31"/>
      <w:bookmarkEnd w:id="32"/>
      <w:r w:rsidRPr="00DA3EC6">
        <w:rPr>
          <w:color w:val="000000" w:themeColor="text1"/>
        </w:rPr>
        <w:t xml:space="preserve">. Elevated TSH levels, hypothyroidism and decreased free thyroxine levels have been reported to associate with a higher risk of prostate cancer </w:t>
      </w:r>
      <w:r w:rsidRPr="00DA3EC6">
        <w:rPr>
          <w:noProof/>
          <w:color w:val="000000" w:themeColor="text1"/>
          <w:vertAlign w:val="superscript"/>
        </w:rPr>
        <w:t>39, 40</w:t>
      </w:r>
      <w:r w:rsidRPr="00DA3EC6">
        <w:rPr>
          <w:color w:val="000000" w:themeColor="text1"/>
        </w:rPr>
        <w:t xml:space="preserve">. A large-scale nested case-control study showed that hyperthyroidism and untreated hypothyroidism were associated with a modestly elevated risk of colorectal cancer </w:t>
      </w:r>
      <w:r w:rsidRPr="00DA3EC6">
        <w:rPr>
          <w:noProof/>
          <w:color w:val="000000" w:themeColor="text1"/>
          <w:vertAlign w:val="superscript"/>
        </w:rPr>
        <w:t>41</w:t>
      </w:r>
      <w:r w:rsidRPr="00DA3EC6">
        <w:rPr>
          <w:color w:val="000000" w:themeColor="text1"/>
        </w:rPr>
        <w:t xml:space="preserve">. However, results for </w:t>
      </w:r>
      <w:bookmarkStart w:id="33" w:name="OLE_LINK409"/>
      <w:bookmarkStart w:id="34" w:name="OLE_LINK410"/>
      <w:r w:rsidRPr="00DA3EC6">
        <w:rPr>
          <w:color w:val="000000" w:themeColor="text1"/>
        </w:rPr>
        <w:t xml:space="preserve">lung cancer </w:t>
      </w:r>
      <w:bookmarkEnd w:id="33"/>
      <w:bookmarkEnd w:id="34"/>
      <w:r w:rsidRPr="00DA3EC6">
        <w:rPr>
          <w:color w:val="000000" w:themeColor="text1"/>
        </w:rPr>
        <w:t xml:space="preserve">have been conflicting with a positive </w:t>
      </w:r>
      <w:r w:rsidRPr="00DA3EC6">
        <w:rPr>
          <w:noProof/>
          <w:color w:val="000000" w:themeColor="text1"/>
          <w:vertAlign w:val="superscript"/>
        </w:rPr>
        <w:t>5</w:t>
      </w:r>
      <w:r w:rsidRPr="00DA3EC6">
        <w:rPr>
          <w:color w:val="000000" w:themeColor="text1"/>
        </w:rPr>
        <w:t xml:space="preserve"> or null </w:t>
      </w:r>
      <w:r w:rsidRPr="00DA3EC6">
        <w:rPr>
          <w:noProof/>
          <w:color w:val="000000" w:themeColor="text1"/>
          <w:vertAlign w:val="superscript"/>
        </w:rPr>
        <w:t>39</w:t>
      </w:r>
      <w:r w:rsidRPr="00DA3EC6">
        <w:rPr>
          <w:color w:val="000000" w:themeColor="text1"/>
        </w:rPr>
        <w:t xml:space="preserve"> association found between free thyroxine levels and lung cancer risk. The present MR study showed little evidence in support for an association of thyroid dysfunction with colorectal, prostate and lung cancers, except for an inverse association between TSH levels and prostate cancer. Possible explanations behind the discrepancy in results across studies may be residual confounding or reverse causality in the observational studies or an inadequate power in the present MR study owing to a small number of cases for these site-specific cancers. </w:t>
      </w:r>
    </w:p>
    <w:p w:rsidR="009E2734" w:rsidRPr="00DA3EC6" w:rsidRDefault="009E2734" w:rsidP="00DA3EC6">
      <w:pPr>
        <w:spacing w:line="480" w:lineRule="auto"/>
        <w:ind w:firstLine="420"/>
        <w:jc w:val="both"/>
        <w:rPr>
          <w:color w:val="000000" w:themeColor="text1"/>
        </w:rPr>
      </w:pPr>
      <w:r w:rsidRPr="00DA3EC6">
        <w:rPr>
          <w:color w:val="000000" w:themeColor="text1"/>
        </w:rPr>
        <w:t xml:space="preserve">Thyroid hormones are involved in physiological processes vital to normal metabolism, development, and growth, and hypothyroidism is a known cause of growth retardation. Hence, not unexpectedly, genetic risk scores for elevated TSH and decreased free thyroxine levels are associated with decreased body height </w:t>
      </w:r>
      <w:r w:rsidRPr="00DA3EC6">
        <w:rPr>
          <w:noProof/>
          <w:color w:val="000000" w:themeColor="text1"/>
          <w:vertAlign w:val="superscript"/>
        </w:rPr>
        <w:t>12</w:t>
      </w:r>
      <w:r w:rsidRPr="00DA3EC6">
        <w:rPr>
          <w:color w:val="000000" w:themeColor="text1"/>
        </w:rPr>
        <w:t xml:space="preserve">. Adult height is positively associated with risk of breast </w:t>
      </w:r>
      <w:r w:rsidRPr="00DA3EC6">
        <w:rPr>
          <w:noProof/>
          <w:color w:val="000000" w:themeColor="text1"/>
          <w:vertAlign w:val="superscript"/>
        </w:rPr>
        <w:t>42</w:t>
      </w:r>
      <w:r w:rsidRPr="00DA3EC6">
        <w:rPr>
          <w:color w:val="000000" w:themeColor="text1"/>
        </w:rPr>
        <w:t xml:space="preserve"> and thyroid cancer </w:t>
      </w:r>
      <w:r w:rsidRPr="00DA3EC6">
        <w:rPr>
          <w:noProof/>
          <w:color w:val="000000" w:themeColor="text1"/>
          <w:vertAlign w:val="superscript"/>
        </w:rPr>
        <w:t>43</w:t>
      </w:r>
      <w:r w:rsidRPr="00DA3EC6">
        <w:rPr>
          <w:color w:val="000000" w:themeColor="text1"/>
        </w:rPr>
        <w:t xml:space="preserve">. This suggests that height (through more cells) might mediate the associations of thyroid dysfunction with breast and thyroid cancer, or that growth processes </w:t>
      </w:r>
      <w:r w:rsidRPr="00DA3EC6">
        <w:rPr>
          <w:color w:val="000000" w:themeColor="text1"/>
        </w:rPr>
        <w:lastRenderedPageBreak/>
        <w:t xml:space="preserve">related to thyroid hormones are driving the positive association between height and cancer risk. Nevertheless, we did not detect any association of the thyroid hormones with other site-specific cancers that are also associated with height </w:t>
      </w:r>
      <w:r w:rsidRPr="00DA3EC6">
        <w:rPr>
          <w:noProof/>
          <w:color w:val="000000" w:themeColor="text1"/>
          <w:vertAlign w:val="superscript"/>
        </w:rPr>
        <w:t>44, 45</w:t>
      </w:r>
      <w:r w:rsidRPr="00DA3EC6">
        <w:rPr>
          <w:color w:val="000000" w:themeColor="text1"/>
        </w:rPr>
        <w:t xml:space="preserve">. Hence, it is reasonable to conclude that height is not biasing the results through vertical pleiotropy but that other </w:t>
      </w:r>
      <w:r w:rsidRPr="00DA3EC6">
        <w:rPr>
          <w:rFonts w:hint="eastAsia"/>
          <w:color w:val="000000" w:themeColor="text1"/>
        </w:rPr>
        <w:t>dominating</w:t>
      </w:r>
      <w:r w:rsidRPr="00DA3EC6">
        <w:rPr>
          <w:color w:val="000000" w:themeColor="text1"/>
        </w:rPr>
        <w:t xml:space="preserve"> mechanisms explain the associations of thyroid dysfunction with breast and thyroid cancer. Previous studies indicated that body mass index might act as a mediator in the pathway from thyroid dysfunction to breast cancer </w:t>
      </w:r>
      <w:r w:rsidRPr="00DA3EC6">
        <w:rPr>
          <w:noProof/>
          <w:color w:val="000000" w:themeColor="text1"/>
          <w:vertAlign w:val="superscript"/>
        </w:rPr>
        <w:t>46</w:t>
      </w:r>
      <w:r w:rsidRPr="00DA3EC6">
        <w:rPr>
          <w:color w:val="000000" w:themeColor="text1"/>
        </w:rPr>
        <w:t xml:space="preserve">. Nevertheless, genetically predicted TSH and free thyroxine levels were not associated with BMI using the genetic risk score analysis </w:t>
      </w:r>
      <w:r w:rsidRPr="00DA3EC6">
        <w:rPr>
          <w:noProof/>
          <w:color w:val="000000" w:themeColor="text1"/>
          <w:vertAlign w:val="superscript"/>
        </w:rPr>
        <w:t>12</w:t>
      </w:r>
      <w:r w:rsidRPr="00DA3EC6">
        <w:rPr>
          <w:color w:val="000000" w:themeColor="text1"/>
        </w:rPr>
        <w:t xml:space="preserve"> and we detected no such association of the liability to hypothyroidism and hyperthyroidism with BMI either (not shown). </w:t>
      </w:r>
    </w:p>
    <w:p w:rsidR="009E2734" w:rsidRPr="00DA3EC6" w:rsidRDefault="009E2734" w:rsidP="00DA3EC6">
      <w:pPr>
        <w:spacing w:line="480" w:lineRule="auto"/>
        <w:ind w:firstLine="420"/>
        <w:jc w:val="both"/>
        <w:rPr>
          <w:color w:val="000000" w:themeColor="text1"/>
        </w:rPr>
      </w:pPr>
      <w:r w:rsidRPr="00DA3EC6">
        <w:rPr>
          <w:color w:val="000000" w:themeColor="text1"/>
        </w:rPr>
        <w:t xml:space="preserve">The exact mechanisms linking thyroid dysfunction to breast and thyroid cancer have not been clarified. There are several potential hypotheses, such as uptake and oxidation of iodine </w:t>
      </w:r>
      <w:r w:rsidRPr="00DA3EC6">
        <w:rPr>
          <w:noProof/>
          <w:color w:val="000000" w:themeColor="text1"/>
          <w:vertAlign w:val="superscript"/>
        </w:rPr>
        <w:t>6</w:t>
      </w:r>
      <w:r w:rsidRPr="00DA3EC6">
        <w:rPr>
          <w:color w:val="000000" w:themeColor="text1"/>
        </w:rPr>
        <w:t xml:space="preserve"> and a proliferative effect of triiodothyronine </w:t>
      </w:r>
      <w:r w:rsidRPr="00DA3EC6">
        <w:rPr>
          <w:noProof/>
          <w:color w:val="000000" w:themeColor="text1"/>
          <w:vertAlign w:val="superscript"/>
        </w:rPr>
        <w:t>9</w:t>
      </w:r>
      <w:r w:rsidRPr="00DA3EC6">
        <w:rPr>
          <w:color w:val="000000" w:themeColor="text1"/>
        </w:rPr>
        <w:t xml:space="preserve">. Moreover, it has been shown that thyroxine is a proliferative factor </w:t>
      </w:r>
      <w:r w:rsidRPr="00DA3EC6">
        <w:rPr>
          <w:i/>
          <w:color w:val="000000" w:themeColor="text1"/>
        </w:rPr>
        <w:t>in vitro</w:t>
      </w:r>
      <w:r w:rsidRPr="00DA3EC6">
        <w:rPr>
          <w:color w:val="000000" w:themeColor="text1"/>
        </w:rPr>
        <w:t xml:space="preserve"> for breast cancer cells and that thyroxine can promote nuclear estrogen receptor alpha-dependent proliferation of breast cancer cells bearing this receptor </w:t>
      </w:r>
      <w:r w:rsidRPr="00DA3EC6">
        <w:rPr>
          <w:noProof/>
          <w:color w:val="000000" w:themeColor="text1"/>
          <w:vertAlign w:val="superscript"/>
        </w:rPr>
        <w:t>47</w:t>
      </w:r>
      <w:r w:rsidRPr="00DA3EC6">
        <w:rPr>
          <w:color w:val="000000" w:themeColor="text1"/>
        </w:rPr>
        <w:t xml:space="preserve">. Genetic studies have established a link connecting circulating TSH levels and thyroid cancer and found that </w:t>
      </w:r>
      <w:r w:rsidRPr="00DA3EC6">
        <w:rPr>
          <w:i/>
          <w:iCs/>
          <w:color w:val="000000" w:themeColor="text1"/>
        </w:rPr>
        <w:t>DIRC3</w:t>
      </w:r>
      <w:r w:rsidRPr="00DA3EC6">
        <w:rPr>
          <w:color w:val="000000" w:themeColor="text1"/>
        </w:rPr>
        <w:t xml:space="preserve">, </w:t>
      </w:r>
      <w:r w:rsidRPr="00DA3EC6">
        <w:rPr>
          <w:i/>
          <w:iCs/>
          <w:color w:val="000000" w:themeColor="text1"/>
        </w:rPr>
        <w:t>MBIP</w:t>
      </w:r>
      <w:r w:rsidRPr="00DA3EC6">
        <w:rPr>
          <w:color w:val="000000" w:themeColor="text1"/>
        </w:rPr>
        <w:t xml:space="preserve"> and </w:t>
      </w:r>
      <w:r w:rsidRPr="00DA3EC6">
        <w:rPr>
          <w:i/>
          <w:iCs/>
          <w:color w:val="000000" w:themeColor="text1"/>
        </w:rPr>
        <w:t>NRG1</w:t>
      </w:r>
      <w:r w:rsidRPr="00DA3EC6">
        <w:rPr>
          <w:color w:val="000000" w:themeColor="text1"/>
        </w:rPr>
        <w:t xml:space="preserve"> (encoding the signaling protein neuregulin 1) genes may play vital roles in this association </w:t>
      </w:r>
      <w:r w:rsidRPr="00DA3EC6">
        <w:rPr>
          <w:noProof/>
          <w:color w:val="000000" w:themeColor="text1"/>
          <w:vertAlign w:val="superscript"/>
        </w:rPr>
        <w:t>36</w:t>
      </w:r>
      <w:r w:rsidRPr="00DA3EC6">
        <w:rPr>
          <w:color w:val="000000" w:themeColor="text1"/>
        </w:rPr>
        <w:t xml:space="preserve">. More studies focusing on the downstream of certain gene regions, such as key enzymes, metabolites and signal, transport and receptor proteins, are warranted for prevention strategy and therapy development. </w:t>
      </w:r>
    </w:p>
    <w:p w:rsidR="009E2734" w:rsidRPr="00DA3EC6" w:rsidRDefault="009E2734" w:rsidP="00DA3EC6">
      <w:pPr>
        <w:spacing w:line="480" w:lineRule="auto"/>
        <w:ind w:firstLine="420"/>
        <w:jc w:val="both"/>
        <w:rPr>
          <w:color w:val="000000" w:themeColor="text1"/>
        </w:rPr>
      </w:pPr>
      <w:r w:rsidRPr="00DA3EC6">
        <w:rPr>
          <w:color w:val="000000" w:themeColor="text1"/>
        </w:rPr>
        <w:t xml:space="preserve">This is the first MR study comprehensively assessing the associations of four thyroid function indicators with overall and 22 site-specific cancers. The major advantage of this study is the two-sample MR study design, which diminishes unobserved confounding and reverse causality potentially distorting the results of observational studies. The results were less likely to be biased by population stratification since we only used data from European populations, but this confined the transferability of our findings to other populations. </w:t>
      </w:r>
    </w:p>
    <w:p w:rsidR="009E2734" w:rsidRPr="00DA3EC6" w:rsidRDefault="009E2734" w:rsidP="00DA3EC6">
      <w:pPr>
        <w:spacing w:line="480" w:lineRule="auto"/>
        <w:ind w:firstLine="420"/>
        <w:jc w:val="both"/>
        <w:rPr>
          <w:color w:val="000000" w:themeColor="text1"/>
        </w:rPr>
      </w:pPr>
      <w:r w:rsidRPr="00DA3EC6">
        <w:rPr>
          <w:color w:val="000000" w:themeColor="text1"/>
        </w:rPr>
        <w:lastRenderedPageBreak/>
        <w:t>A major limitation of this study is that the number of cases was few for several cancers, leading to low precision of the estimates. Even though our results showed limited evidence supporting a causal association between thyroid dysfunction and site-specific cancers except breast and thyroid cancer, we cannot exclude that we may have missed weak associations owing to few cases. However, the precision was high in the analysis of breast cancer by combining the results from the BCAC and UK Biobank. Furthermore, the thyroid-related traits showed similar patterns of associations in both BCAC and UK Biobank, indicating that a false positive finding is unlikely</w:t>
      </w:r>
      <w:r w:rsidRPr="00DA3EC6">
        <w:rPr>
          <w:bCs/>
          <w:color w:val="000000" w:themeColor="text1"/>
        </w:rPr>
        <w:t xml:space="preserve">. The SNPs used as instrumental variables for the thyroid-function related traits have been reported to be associated with other factors, such as </w:t>
      </w:r>
      <w:r w:rsidRPr="00DA3EC6">
        <w:rPr>
          <w:color w:val="000000" w:themeColor="text1"/>
        </w:rPr>
        <w:t xml:space="preserve">height, age at menarche, obesity-related traits, serum lipids, blood metabolite levels and serum urate </w:t>
      </w:r>
      <w:r w:rsidRPr="00DA3EC6">
        <w:rPr>
          <w:color w:val="000000" w:themeColor="text1"/>
          <w:vertAlign w:val="superscript"/>
        </w:rPr>
        <w:t>12</w:t>
      </w:r>
      <w:r w:rsidRPr="00DA3EC6">
        <w:rPr>
          <w:color w:val="000000" w:themeColor="text1"/>
        </w:rPr>
        <w:t xml:space="preserve">. However, considering the biological roles of </w:t>
      </w:r>
      <w:r w:rsidRPr="00DA3EC6">
        <w:rPr>
          <w:bCs/>
          <w:color w:val="000000" w:themeColor="text1"/>
        </w:rPr>
        <w:t xml:space="preserve">thyroid hormones, these factors are more likely to act as mediators (known as the vertical pleiotropy) in the pathway from thyroid function to cancer, which will not bias our findings. In addition, </w:t>
      </w:r>
      <w:r w:rsidRPr="00DA3EC6">
        <w:rPr>
          <w:color w:val="000000" w:themeColor="text1"/>
        </w:rPr>
        <w:t xml:space="preserve">the consistency in results across sensitivity analyses and </w:t>
      </w:r>
      <w:r w:rsidRPr="00DA3EC6">
        <w:rPr>
          <w:bCs/>
          <w:color w:val="000000" w:themeColor="text1"/>
        </w:rPr>
        <w:t>no detectable directional pleiotropy suggest a negligible distortion of the results by potential horizontal pleiotropy. Nevertheless, several thyroid-function related SNPs were directly associated with thyroid cancer. Thus, we cannot rule out that there are other direct pathways causing this cancer and consequently decreases TSH levels.</w:t>
      </w:r>
    </w:p>
    <w:p w:rsidR="009E2734" w:rsidRPr="00DA3EC6" w:rsidRDefault="00343CCA" w:rsidP="00343CCA">
      <w:pPr>
        <w:spacing w:line="480" w:lineRule="auto"/>
        <w:ind w:firstLine="720"/>
        <w:jc w:val="both"/>
        <w:rPr>
          <w:color w:val="000000" w:themeColor="text1"/>
        </w:rPr>
      </w:pPr>
      <w:r w:rsidRPr="00DA3EC6">
        <w:rPr>
          <w:rFonts w:eastAsia="SimSun"/>
          <w:bCs/>
          <w:color w:val="000000" w:themeColor="text1"/>
        </w:rPr>
        <w:t>In summary, t</w:t>
      </w:r>
      <w:r w:rsidR="009E2734" w:rsidRPr="00DA3EC6">
        <w:rPr>
          <w:rFonts w:eastAsia="SimSun"/>
          <w:bCs/>
          <w:color w:val="000000" w:themeColor="text1"/>
        </w:rPr>
        <w:t xml:space="preserve">he present two-sample MR study strengthened the evidence of causal associations of thyroid function and dysfunction with risk of overall cancer and breast cancer (mainly ER positive tumors). The observed inverse associations of circulating TSH levels and hypothyroidism with thyroid cancer need verification in other MR studies with larger number of cases. Along with the benefits of thyroid dysfunction treatment on cancer survival </w:t>
      </w:r>
      <w:r w:rsidR="009E2734" w:rsidRPr="00DA3EC6">
        <w:rPr>
          <w:rFonts w:eastAsia="SimSun"/>
          <w:bCs/>
          <w:noProof/>
          <w:color w:val="000000" w:themeColor="text1"/>
          <w:vertAlign w:val="superscript"/>
        </w:rPr>
        <w:t>48</w:t>
      </w:r>
      <w:r w:rsidR="009E2734" w:rsidRPr="00DA3EC6">
        <w:rPr>
          <w:rFonts w:eastAsia="SimSun"/>
          <w:bCs/>
          <w:color w:val="000000" w:themeColor="text1"/>
        </w:rPr>
        <w:t xml:space="preserve"> and cardiovascular diseases </w:t>
      </w:r>
      <w:r w:rsidR="009E2734" w:rsidRPr="00DA3EC6">
        <w:rPr>
          <w:rFonts w:eastAsia="SimSun"/>
          <w:bCs/>
          <w:noProof/>
          <w:color w:val="000000" w:themeColor="text1"/>
          <w:vertAlign w:val="superscript"/>
        </w:rPr>
        <w:t>49</w:t>
      </w:r>
      <w:r w:rsidR="009E2734" w:rsidRPr="00DA3EC6">
        <w:rPr>
          <w:rFonts w:eastAsia="SimSun"/>
          <w:bCs/>
          <w:color w:val="000000" w:themeColor="text1"/>
        </w:rPr>
        <w:t>, it is suggested that treatment of subclinical and diagnosed</w:t>
      </w:r>
      <w:r w:rsidR="009E2734" w:rsidRPr="00DA3EC6">
        <w:rPr>
          <w:color w:val="000000" w:themeColor="text1"/>
        </w:rPr>
        <w:t xml:space="preserve"> </w:t>
      </w:r>
      <w:bookmarkStart w:id="35" w:name="OLE_LINK305"/>
      <w:bookmarkStart w:id="36" w:name="OLE_LINK306"/>
      <w:r w:rsidR="009E2734" w:rsidRPr="00DA3EC6">
        <w:rPr>
          <w:color w:val="000000" w:themeColor="text1"/>
        </w:rPr>
        <w:t>hyperthyroidism</w:t>
      </w:r>
      <w:bookmarkEnd w:id="35"/>
      <w:bookmarkEnd w:id="36"/>
      <w:r w:rsidR="009E2734" w:rsidRPr="00DA3EC6">
        <w:rPr>
          <w:color w:val="000000" w:themeColor="text1"/>
        </w:rPr>
        <w:t xml:space="preserve"> may be an efficient cancer prevention strategy. </w:t>
      </w:r>
    </w:p>
    <w:p w:rsidR="009E2734" w:rsidRDefault="009E2734" w:rsidP="00DA3EC6">
      <w:pPr>
        <w:autoSpaceDE w:val="0"/>
        <w:autoSpaceDN w:val="0"/>
        <w:adjustRightInd w:val="0"/>
        <w:spacing w:line="480" w:lineRule="auto"/>
        <w:jc w:val="both"/>
        <w:rPr>
          <w:rFonts w:eastAsia="SimSun"/>
          <w:b/>
          <w:color w:val="131413"/>
        </w:rPr>
      </w:pPr>
    </w:p>
    <w:p w:rsidR="00E25E0F" w:rsidRPr="00A71E34" w:rsidRDefault="00E25E0F" w:rsidP="00DA3EC6">
      <w:pPr>
        <w:autoSpaceDE w:val="0"/>
        <w:autoSpaceDN w:val="0"/>
        <w:adjustRightInd w:val="0"/>
        <w:spacing w:line="480" w:lineRule="auto"/>
        <w:jc w:val="both"/>
        <w:rPr>
          <w:rFonts w:eastAsia="SimSun"/>
          <w:b/>
          <w:color w:val="131413"/>
        </w:rPr>
      </w:pPr>
      <w:r>
        <w:rPr>
          <w:rFonts w:eastAsia="SimSun"/>
          <w:b/>
          <w:color w:val="131413"/>
        </w:rPr>
        <w:lastRenderedPageBreak/>
        <w:t>Additional information</w:t>
      </w:r>
    </w:p>
    <w:p w:rsidR="009E2734" w:rsidRPr="00A71E34" w:rsidRDefault="009E2734" w:rsidP="00DA3EC6">
      <w:pPr>
        <w:spacing w:line="480" w:lineRule="auto"/>
        <w:jc w:val="both"/>
        <w:rPr>
          <w:b/>
          <w:bCs/>
          <w:color w:val="000000" w:themeColor="text1"/>
        </w:rPr>
      </w:pPr>
      <w:r w:rsidRPr="00A71E34">
        <w:rPr>
          <w:b/>
          <w:bCs/>
          <w:color w:val="000000" w:themeColor="text1"/>
        </w:rPr>
        <w:t>Acknowledgments</w:t>
      </w:r>
    </w:p>
    <w:p w:rsidR="009E2734" w:rsidRDefault="009E2734" w:rsidP="00DA3EC6">
      <w:pPr>
        <w:spacing w:line="480" w:lineRule="auto"/>
        <w:jc w:val="both"/>
      </w:pPr>
      <w:r w:rsidRPr="00A71E34">
        <w:rPr>
          <w:color w:val="000000" w:themeColor="text1"/>
          <w:shd w:val="clear" w:color="auto" w:fill="FFFFFF"/>
        </w:rPr>
        <w:t xml:space="preserve">Summary-level data for </w:t>
      </w:r>
      <w:r>
        <w:rPr>
          <w:color w:val="000000" w:themeColor="text1"/>
          <w:shd w:val="clear" w:color="auto" w:fill="FFFFFF"/>
        </w:rPr>
        <w:t xml:space="preserve">SNPs associated with </w:t>
      </w:r>
      <w:r w:rsidRPr="00A71E34">
        <w:rPr>
          <w:color w:val="000000" w:themeColor="text1"/>
          <w:shd w:val="clear" w:color="auto" w:fill="FFFFFF"/>
        </w:rPr>
        <w:t xml:space="preserve">thyroid function-related traits were extracted from </w:t>
      </w:r>
      <w:r w:rsidRPr="00A71E34">
        <w:rPr>
          <w:bCs/>
          <w:color w:val="000000" w:themeColor="text1"/>
        </w:rPr>
        <w:t xml:space="preserve">The </w:t>
      </w:r>
      <w:proofErr w:type="spellStart"/>
      <w:r w:rsidRPr="00A71E34">
        <w:rPr>
          <w:bCs/>
          <w:color w:val="000000" w:themeColor="text1"/>
        </w:rPr>
        <w:t>ThyroidOmics</w:t>
      </w:r>
      <w:proofErr w:type="spellEnd"/>
      <w:r w:rsidRPr="00A71E34">
        <w:rPr>
          <w:bCs/>
          <w:color w:val="000000" w:themeColor="text1"/>
        </w:rPr>
        <w:t xml:space="preserve"> Consortium</w:t>
      </w:r>
      <w:r w:rsidRPr="00A71E34">
        <w:rPr>
          <w:color w:val="000000" w:themeColor="text1"/>
          <w:shd w:val="clear" w:color="auto" w:fill="FFFFFF"/>
        </w:rPr>
        <w:t xml:space="preserve">. Summary-level </w:t>
      </w:r>
      <w:r w:rsidRPr="00A71E34">
        <w:rPr>
          <w:color w:val="000000" w:themeColor="text1"/>
        </w:rPr>
        <w:t xml:space="preserve">data for genetic associations with the cancers have been contributed by the Breast Cancer Association Consortium. The authors thank all investigators for sharing these data. </w:t>
      </w:r>
      <w:r w:rsidRPr="00A71E34">
        <w:t>The analyses of UK Biobank data were conducted under application 29202.</w:t>
      </w:r>
    </w:p>
    <w:p w:rsidR="00E25E0F" w:rsidRDefault="00E25E0F" w:rsidP="00DA3EC6">
      <w:pPr>
        <w:spacing w:line="480" w:lineRule="auto"/>
        <w:jc w:val="both"/>
        <w:rPr>
          <w:b/>
          <w:bCs/>
          <w:color w:val="000000" w:themeColor="text1"/>
        </w:rPr>
      </w:pPr>
      <w:r w:rsidRPr="00E25E0F">
        <w:rPr>
          <w:b/>
          <w:bCs/>
          <w:color w:val="000000" w:themeColor="text1"/>
        </w:rPr>
        <w:t>Author contributions</w:t>
      </w:r>
    </w:p>
    <w:p w:rsidR="00E25E0F" w:rsidRPr="00E25E0F" w:rsidRDefault="00E25E0F" w:rsidP="00DA3EC6">
      <w:pPr>
        <w:spacing w:line="480" w:lineRule="auto"/>
        <w:jc w:val="both"/>
        <w:rPr>
          <w:color w:val="000000" w:themeColor="text1"/>
        </w:rPr>
      </w:pPr>
      <w:r w:rsidRPr="00E25E0F">
        <w:rPr>
          <w:color w:val="000000" w:themeColor="text1"/>
        </w:rPr>
        <w:t xml:space="preserve">S.Y. analyzed and interpreted </w:t>
      </w:r>
      <w:r w:rsidR="000E2DDF" w:rsidRPr="00E25E0F">
        <w:rPr>
          <w:color w:val="000000" w:themeColor="text1"/>
        </w:rPr>
        <w:t>data</w:t>
      </w:r>
      <w:r w:rsidR="000E2DDF">
        <w:rPr>
          <w:color w:val="000000" w:themeColor="text1"/>
        </w:rPr>
        <w:t xml:space="preserve"> and</w:t>
      </w:r>
      <w:r w:rsidRPr="00E25E0F">
        <w:rPr>
          <w:color w:val="000000" w:themeColor="text1"/>
        </w:rPr>
        <w:t xml:space="preserve"> wrote </w:t>
      </w:r>
      <w:r>
        <w:rPr>
          <w:color w:val="000000" w:themeColor="text1"/>
        </w:rPr>
        <w:t xml:space="preserve">and </w:t>
      </w:r>
      <w:r w:rsidRPr="00E25E0F">
        <w:rPr>
          <w:color w:val="000000" w:themeColor="text1"/>
        </w:rPr>
        <w:t>reviewed the manuscript. S.K.</w:t>
      </w:r>
      <w:r>
        <w:rPr>
          <w:color w:val="000000" w:themeColor="text1"/>
        </w:rPr>
        <w:t>,</w:t>
      </w:r>
      <w:r w:rsidRPr="00E25E0F">
        <w:rPr>
          <w:color w:val="000000" w:themeColor="text1"/>
        </w:rPr>
        <w:t xml:space="preserve"> M.V.</w:t>
      </w:r>
      <w:r>
        <w:rPr>
          <w:color w:val="000000" w:themeColor="text1"/>
        </w:rPr>
        <w:t xml:space="preserve"> and </w:t>
      </w:r>
      <w:r w:rsidRPr="00E25E0F">
        <w:rPr>
          <w:color w:val="000000" w:themeColor="text1"/>
        </w:rPr>
        <w:t>P.C. reviewed the manuscript. A.M.M. and S.B. prepared the data and reviewed the manuscript.</w:t>
      </w:r>
      <w:r>
        <w:rPr>
          <w:color w:val="000000" w:themeColor="text1"/>
        </w:rPr>
        <w:t xml:space="preserve"> </w:t>
      </w:r>
      <w:r w:rsidRPr="00E25E0F">
        <w:rPr>
          <w:color w:val="000000" w:themeColor="text1"/>
        </w:rPr>
        <w:t>S.C.L. designed the research, analyzed and interpreted the data and reviewed the manuscript. All authors read and approved the final manuscript.</w:t>
      </w:r>
    </w:p>
    <w:p w:rsidR="009E2734" w:rsidRPr="00A71E34" w:rsidRDefault="009E2734" w:rsidP="00DA3EC6">
      <w:pPr>
        <w:spacing w:line="480" w:lineRule="auto"/>
        <w:jc w:val="both"/>
        <w:rPr>
          <w:b/>
          <w:bCs/>
          <w:color w:val="000000" w:themeColor="text1"/>
        </w:rPr>
      </w:pPr>
      <w:r w:rsidRPr="00A71E34">
        <w:rPr>
          <w:b/>
          <w:bCs/>
          <w:color w:val="000000" w:themeColor="text1"/>
        </w:rPr>
        <w:t>Sources of Funding</w:t>
      </w:r>
    </w:p>
    <w:p w:rsidR="009E2734" w:rsidRPr="00E25E0F" w:rsidRDefault="009E2734" w:rsidP="00DA3EC6">
      <w:pPr>
        <w:spacing w:line="480" w:lineRule="auto"/>
        <w:jc w:val="both"/>
        <w:rPr>
          <w:color w:val="000000" w:themeColor="text1"/>
          <w:lang w:eastAsia="en-US"/>
        </w:rPr>
      </w:pPr>
      <w:r w:rsidRPr="00A71E34">
        <w:rPr>
          <w:color w:val="000000" w:themeColor="text1"/>
          <w:lang w:eastAsia="en-US"/>
        </w:rPr>
        <w:t>Funding for this study came from the Swedish Research Council for Health, Working Life and Welfare (Forte) and the Swedish Research Council (</w:t>
      </w:r>
      <w:proofErr w:type="spellStart"/>
      <w:r w:rsidRPr="00A71E34">
        <w:rPr>
          <w:color w:val="000000" w:themeColor="text1"/>
          <w:lang w:eastAsia="en-US"/>
        </w:rPr>
        <w:t>Vetenskapsrådet</w:t>
      </w:r>
      <w:proofErr w:type="spellEnd"/>
      <w:r w:rsidRPr="00A71E34">
        <w:rPr>
          <w:color w:val="000000" w:themeColor="text1"/>
          <w:lang w:eastAsia="en-US"/>
        </w:rPr>
        <w:t xml:space="preserve">). </w:t>
      </w:r>
      <w:r w:rsidRPr="00A71E34">
        <w:t xml:space="preserve">Stephen Burgess is supported by a Sir Henry Dale Fellowship jointly funded by the </w:t>
      </w:r>
      <w:proofErr w:type="spellStart"/>
      <w:r w:rsidRPr="00A71E34">
        <w:t>Wellcome</w:t>
      </w:r>
      <w:proofErr w:type="spellEnd"/>
      <w:r w:rsidRPr="00A71E34">
        <w:t xml:space="preserve"> Trust and the Royal Society (Grant Number 204623/Z/16/Z).</w:t>
      </w:r>
      <w:r>
        <w:t xml:space="preserve"> </w:t>
      </w:r>
      <w:r w:rsidRPr="00A50162">
        <w:t xml:space="preserve">Siddhartha Kar is supported by a Cancer Research UK </w:t>
      </w:r>
      <w:proofErr w:type="spellStart"/>
      <w:r w:rsidRPr="00A50162">
        <w:t>programme</w:t>
      </w:r>
      <w:proofErr w:type="spellEnd"/>
      <w:r w:rsidRPr="00A50162">
        <w:t xml:space="preserve"> grant, the Integrative Cancer Epidemiology </w:t>
      </w:r>
      <w:proofErr w:type="spellStart"/>
      <w:r w:rsidRPr="00A50162">
        <w:t>Programme</w:t>
      </w:r>
      <w:proofErr w:type="spellEnd"/>
      <w:r w:rsidRPr="00A50162">
        <w:t xml:space="preserve"> (C18281/A19169), and a Junior Research Fellowship from Homerton College, Cambridge.</w:t>
      </w:r>
      <w:r>
        <w:t xml:space="preserve"> </w:t>
      </w:r>
    </w:p>
    <w:p w:rsidR="00343CCA" w:rsidRDefault="00343CCA" w:rsidP="00DA3EC6">
      <w:pPr>
        <w:autoSpaceDE w:val="0"/>
        <w:autoSpaceDN w:val="0"/>
        <w:adjustRightInd w:val="0"/>
        <w:spacing w:line="480" w:lineRule="auto"/>
        <w:jc w:val="both"/>
        <w:rPr>
          <w:b/>
          <w:bCs/>
          <w:color w:val="000000" w:themeColor="text1"/>
        </w:rPr>
      </w:pPr>
      <w:r>
        <w:rPr>
          <w:b/>
          <w:bCs/>
          <w:color w:val="000000" w:themeColor="text1"/>
        </w:rPr>
        <w:t>Conflict of interest</w:t>
      </w:r>
    </w:p>
    <w:p w:rsidR="009E2734" w:rsidRPr="00343CCA" w:rsidRDefault="00343CCA" w:rsidP="00DA3EC6">
      <w:pPr>
        <w:autoSpaceDE w:val="0"/>
        <w:autoSpaceDN w:val="0"/>
        <w:adjustRightInd w:val="0"/>
        <w:spacing w:line="480" w:lineRule="auto"/>
        <w:jc w:val="both"/>
        <w:rPr>
          <w:rFonts w:eastAsia="SimSun"/>
          <w:color w:val="131413"/>
        </w:rPr>
      </w:pPr>
      <w:r w:rsidRPr="00343CCA">
        <w:rPr>
          <w:color w:val="000000" w:themeColor="text1"/>
        </w:rPr>
        <w:t>The authors declare no conflicts of interest.</w:t>
      </w:r>
      <w:r w:rsidR="009E2734" w:rsidRPr="00343CCA">
        <w:rPr>
          <w:rFonts w:eastAsia="SimSun"/>
          <w:color w:val="131413"/>
        </w:rPr>
        <w:br w:type="page"/>
      </w:r>
    </w:p>
    <w:p w:rsidR="009E2734" w:rsidRPr="00A71E34" w:rsidRDefault="009E2734" w:rsidP="00DA3EC6">
      <w:pPr>
        <w:autoSpaceDE w:val="0"/>
        <w:autoSpaceDN w:val="0"/>
        <w:adjustRightInd w:val="0"/>
        <w:spacing w:line="480" w:lineRule="auto"/>
        <w:jc w:val="both"/>
        <w:rPr>
          <w:rFonts w:eastAsia="SimSun"/>
          <w:b/>
          <w:color w:val="131413"/>
        </w:rPr>
      </w:pPr>
      <w:r w:rsidRPr="00A71E34">
        <w:rPr>
          <w:rFonts w:eastAsia="SimSun"/>
          <w:b/>
          <w:color w:val="131413"/>
        </w:rPr>
        <w:lastRenderedPageBreak/>
        <w:t>References</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 Biondi B, Cooper DS. The clinical significance of subclinical thyroid dysfunction. </w:t>
      </w:r>
      <w:r w:rsidRPr="00DA3EC6">
        <w:rPr>
          <w:rFonts w:ascii="Times New Roman" w:hAnsi="Times New Roman" w:cs="Times New Roman"/>
          <w:i/>
          <w:noProof/>
        </w:rPr>
        <w:t>Endocr Rev</w:t>
      </w:r>
      <w:r w:rsidRPr="00DA3EC6">
        <w:rPr>
          <w:rFonts w:ascii="Times New Roman" w:hAnsi="Times New Roman" w:cs="Times New Roman"/>
          <w:noProof/>
        </w:rPr>
        <w:t xml:space="preserve"> 2008;29: 76-131.</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 Taylor PN, Albrecht D, Scholz A, </w:t>
      </w:r>
      <w:r w:rsidR="00DA3EC6">
        <w:rPr>
          <w:rFonts w:ascii="Times New Roman" w:hAnsi="Times New Roman" w:cs="Times New Roman"/>
          <w:noProof/>
        </w:rPr>
        <w:t>et al</w:t>
      </w:r>
      <w:r w:rsidRPr="00DA3EC6">
        <w:rPr>
          <w:rFonts w:ascii="Times New Roman" w:hAnsi="Times New Roman" w:cs="Times New Roman"/>
          <w:noProof/>
        </w:rPr>
        <w:t xml:space="preserve">. Global epidemiology of hyperthyroidism and hypothyroidism. </w:t>
      </w:r>
      <w:r w:rsidRPr="00DA3EC6">
        <w:rPr>
          <w:rFonts w:ascii="Times New Roman" w:hAnsi="Times New Roman" w:cs="Times New Roman"/>
          <w:i/>
          <w:noProof/>
        </w:rPr>
        <w:t>Nat Rev Endocrinol</w:t>
      </w:r>
      <w:r w:rsidRPr="00DA3EC6">
        <w:rPr>
          <w:rFonts w:ascii="Times New Roman" w:hAnsi="Times New Roman" w:cs="Times New Roman"/>
          <w:noProof/>
        </w:rPr>
        <w:t xml:space="preserve"> 2018;14: 301-16.</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 Rinaldi S, Plummer M, Biessy C, et al. Thyroid-stimulating hormone, thyroglobulin, and thyroid hormones and risk of differentiated thyroid carcinoma: the EPIC study. </w:t>
      </w:r>
      <w:r w:rsidRPr="00DA3EC6">
        <w:rPr>
          <w:rFonts w:ascii="Times New Roman" w:hAnsi="Times New Roman" w:cs="Times New Roman"/>
          <w:i/>
          <w:noProof/>
        </w:rPr>
        <w:t>J Natl Cancer Inst</w:t>
      </w:r>
      <w:r w:rsidRPr="00DA3EC6">
        <w:rPr>
          <w:rFonts w:ascii="Times New Roman" w:hAnsi="Times New Roman" w:cs="Times New Roman"/>
          <w:noProof/>
        </w:rPr>
        <w:t xml:space="preserve"> 2014;106: dju097.</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 Balasubramaniam S, Ron E, Gridley G, Schneider AB, Brenner AV. Association between benign thyroid and endocrine disorders and subsequent risk of thyroid cancer among 4.5 million U.S. male veterans. </w:t>
      </w:r>
      <w:r w:rsidRPr="00DA3EC6">
        <w:rPr>
          <w:rFonts w:ascii="Times New Roman" w:hAnsi="Times New Roman" w:cs="Times New Roman"/>
          <w:i/>
          <w:noProof/>
        </w:rPr>
        <w:t>J Clin Endocrinol Metab</w:t>
      </w:r>
      <w:r w:rsidRPr="00DA3EC6">
        <w:rPr>
          <w:rFonts w:ascii="Times New Roman" w:hAnsi="Times New Roman" w:cs="Times New Roman"/>
          <w:noProof/>
        </w:rPr>
        <w:t xml:space="preserve"> 2012;97: 2661-9.</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5. Khan SR, Chaker L, Ruiter R, </w:t>
      </w:r>
      <w:r w:rsidR="00DA3EC6">
        <w:rPr>
          <w:rFonts w:ascii="Times New Roman" w:hAnsi="Times New Roman" w:cs="Times New Roman"/>
          <w:noProof/>
        </w:rPr>
        <w:t>et al</w:t>
      </w:r>
      <w:r w:rsidRPr="00DA3EC6">
        <w:rPr>
          <w:rFonts w:ascii="Times New Roman" w:hAnsi="Times New Roman" w:cs="Times New Roman"/>
          <w:noProof/>
        </w:rPr>
        <w:t xml:space="preserve">. Thyroid Function and Cancer Risk: The Rotterdam Study. </w:t>
      </w:r>
      <w:r w:rsidRPr="00DA3EC6">
        <w:rPr>
          <w:rFonts w:ascii="Times New Roman" w:hAnsi="Times New Roman" w:cs="Times New Roman"/>
          <w:i/>
          <w:noProof/>
        </w:rPr>
        <w:t>J Clin Endocrinol Metab</w:t>
      </w:r>
      <w:r w:rsidRPr="00DA3EC6">
        <w:rPr>
          <w:rFonts w:ascii="Times New Roman" w:hAnsi="Times New Roman" w:cs="Times New Roman"/>
          <w:noProof/>
        </w:rPr>
        <w:t xml:space="preserve"> 2016;101: 5030-6.</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6. Hardefeldt PJ, Eslick GD, Edirimanne S. Benign thyroid disease is associated with breast cancer: a meta-analysis. </w:t>
      </w:r>
      <w:r w:rsidRPr="00DA3EC6">
        <w:rPr>
          <w:rFonts w:ascii="Times New Roman" w:hAnsi="Times New Roman" w:cs="Times New Roman"/>
          <w:i/>
          <w:noProof/>
        </w:rPr>
        <w:t>Breast Cancer Res Treat</w:t>
      </w:r>
      <w:r w:rsidRPr="00DA3EC6">
        <w:rPr>
          <w:rFonts w:ascii="Times New Roman" w:hAnsi="Times New Roman" w:cs="Times New Roman"/>
          <w:noProof/>
        </w:rPr>
        <w:t xml:space="preserve"> 2012;133: 1169-77.</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7. Fiore E, Vitti P. Serum TSH and risk of papillary thyroid cancer in nodular thyroid disease. </w:t>
      </w:r>
      <w:r w:rsidRPr="00DA3EC6">
        <w:rPr>
          <w:rFonts w:ascii="Times New Roman" w:hAnsi="Times New Roman" w:cs="Times New Roman"/>
          <w:i/>
          <w:noProof/>
        </w:rPr>
        <w:t>J Clin Endocrinol Metab</w:t>
      </w:r>
      <w:r w:rsidRPr="00DA3EC6">
        <w:rPr>
          <w:rFonts w:ascii="Times New Roman" w:hAnsi="Times New Roman" w:cs="Times New Roman"/>
          <w:noProof/>
        </w:rPr>
        <w:t xml:space="preserve"> 2012;97: 1134-45.</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8. Fang Y, Yao L, Sun J, </w:t>
      </w:r>
      <w:r w:rsidR="00DA3EC6">
        <w:rPr>
          <w:rFonts w:ascii="Times New Roman" w:hAnsi="Times New Roman" w:cs="Times New Roman"/>
          <w:noProof/>
        </w:rPr>
        <w:t>et al</w:t>
      </w:r>
      <w:r w:rsidRPr="00DA3EC6">
        <w:rPr>
          <w:rFonts w:ascii="Times New Roman" w:hAnsi="Times New Roman" w:cs="Times New Roman"/>
          <w:noProof/>
        </w:rPr>
        <w:t xml:space="preserve">. Does thyroid dysfunction increase the risk of breast cancer? A systematic review and meta-analysis. </w:t>
      </w:r>
      <w:r w:rsidRPr="00DA3EC6">
        <w:rPr>
          <w:rFonts w:ascii="Times New Roman" w:hAnsi="Times New Roman" w:cs="Times New Roman"/>
          <w:i/>
          <w:noProof/>
        </w:rPr>
        <w:t>J Endocrinol Invest</w:t>
      </w:r>
      <w:r w:rsidRPr="00DA3EC6">
        <w:rPr>
          <w:rFonts w:ascii="Times New Roman" w:hAnsi="Times New Roman" w:cs="Times New Roman"/>
          <w:noProof/>
        </w:rPr>
        <w:t xml:space="preserve"> 2017;40: 1035-47.</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9. Sogaard M, Farkas DK, Ehrenstein V, </w:t>
      </w:r>
      <w:r w:rsidR="00DA3EC6">
        <w:rPr>
          <w:rFonts w:ascii="Times New Roman" w:hAnsi="Times New Roman" w:cs="Times New Roman"/>
          <w:noProof/>
        </w:rPr>
        <w:t>et al</w:t>
      </w:r>
      <w:r w:rsidRPr="00DA3EC6">
        <w:rPr>
          <w:rFonts w:ascii="Times New Roman" w:hAnsi="Times New Roman" w:cs="Times New Roman"/>
          <w:noProof/>
        </w:rPr>
        <w:t xml:space="preserve">. Hypothyroidism and hyperthyroidism and breast cancer risk: a nationwide cohort study. </w:t>
      </w:r>
      <w:r w:rsidRPr="00DA3EC6">
        <w:rPr>
          <w:rFonts w:ascii="Times New Roman" w:hAnsi="Times New Roman" w:cs="Times New Roman"/>
          <w:i/>
          <w:noProof/>
        </w:rPr>
        <w:t>Eur J Endocrinol</w:t>
      </w:r>
      <w:r w:rsidRPr="00DA3EC6">
        <w:rPr>
          <w:rFonts w:ascii="Times New Roman" w:hAnsi="Times New Roman" w:cs="Times New Roman"/>
          <w:noProof/>
        </w:rPr>
        <w:t xml:space="preserve"> 2016;174: 409-14.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10. Journy NMY, Bernier MO, Doody MM, </w:t>
      </w:r>
      <w:r w:rsidR="00DA3EC6">
        <w:rPr>
          <w:rFonts w:ascii="Times New Roman" w:hAnsi="Times New Roman" w:cs="Times New Roman"/>
          <w:noProof/>
        </w:rPr>
        <w:t>et al</w:t>
      </w:r>
      <w:r w:rsidRPr="00DA3EC6">
        <w:rPr>
          <w:rFonts w:ascii="Times New Roman" w:hAnsi="Times New Roman" w:cs="Times New Roman"/>
          <w:noProof/>
        </w:rPr>
        <w:t xml:space="preserve">. Hyperthyroidism, Hypothyroidism, and Cause-Specific Mortality in a Large Cohort of Women. </w:t>
      </w:r>
      <w:r w:rsidRPr="00DA3EC6">
        <w:rPr>
          <w:rFonts w:ascii="Times New Roman" w:hAnsi="Times New Roman" w:cs="Times New Roman"/>
          <w:i/>
          <w:noProof/>
        </w:rPr>
        <w:t>Thyroid</w:t>
      </w:r>
      <w:r w:rsidRPr="00DA3EC6">
        <w:rPr>
          <w:rFonts w:ascii="Times New Roman" w:hAnsi="Times New Roman" w:cs="Times New Roman"/>
          <w:noProof/>
        </w:rPr>
        <w:t xml:space="preserve"> 2017;27: 1001-10.</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11. Smith GD, Ebrahim S. 'Mendelian randomization': can genetic epidemiology contribute to understanding environmental determinants of disease? </w:t>
      </w:r>
      <w:r w:rsidRPr="00DA3EC6">
        <w:rPr>
          <w:rFonts w:ascii="Times New Roman" w:hAnsi="Times New Roman" w:cs="Times New Roman"/>
          <w:i/>
          <w:noProof/>
        </w:rPr>
        <w:t>Int J Epidemiol</w:t>
      </w:r>
      <w:r w:rsidRPr="00DA3EC6">
        <w:rPr>
          <w:rFonts w:ascii="Times New Roman" w:hAnsi="Times New Roman" w:cs="Times New Roman"/>
          <w:noProof/>
        </w:rPr>
        <w:t xml:space="preserve"> 2003;32: 1-22.</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12. Teumer A, Chaker L, Groeneweg S, et al. Genome-wide analyses identify a role for SLC17A4 and AADAT in thyroid hormone regulation. </w:t>
      </w:r>
      <w:r w:rsidRPr="00DA3EC6">
        <w:rPr>
          <w:rFonts w:ascii="Times New Roman" w:hAnsi="Times New Roman" w:cs="Times New Roman"/>
          <w:i/>
          <w:noProof/>
        </w:rPr>
        <w:t>Nat Commun</w:t>
      </w:r>
      <w:r w:rsidRPr="00DA3EC6">
        <w:rPr>
          <w:rFonts w:ascii="Times New Roman" w:hAnsi="Times New Roman" w:cs="Times New Roman"/>
          <w:noProof/>
        </w:rPr>
        <w:t xml:space="preserve"> 2018;9: 4455.</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13. Michailidou K, Lindstrom S, Dennis J, et al. Association analysis identifies 65 new breast cancer risk loci. </w:t>
      </w:r>
      <w:r w:rsidRPr="00DA3EC6">
        <w:rPr>
          <w:rFonts w:ascii="Times New Roman" w:hAnsi="Times New Roman" w:cs="Times New Roman"/>
          <w:i/>
          <w:noProof/>
        </w:rPr>
        <w:t>Nature</w:t>
      </w:r>
      <w:r w:rsidRPr="00DA3EC6">
        <w:rPr>
          <w:rFonts w:ascii="Times New Roman" w:hAnsi="Times New Roman" w:cs="Times New Roman"/>
          <w:noProof/>
        </w:rPr>
        <w:t xml:space="preserve"> 2017;551: 92-4.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14. Sudlow C, Gallacher J, Allen N, et al. UK biobank: an open access resource for identifying the causes of a wide range of complex diseases of middle and old age. </w:t>
      </w:r>
      <w:r w:rsidRPr="00DA3EC6">
        <w:rPr>
          <w:rFonts w:ascii="Times New Roman" w:hAnsi="Times New Roman" w:cs="Times New Roman"/>
          <w:i/>
          <w:noProof/>
        </w:rPr>
        <w:t>PLoS Med</w:t>
      </w:r>
      <w:r w:rsidRPr="00DA3EC6">
        <w:rPr>
          <w:rFonts w:ascii="Times New Roman" w:hAnsi="Times New Roman" w:cs="Times New Roman"/>
          <w:noProof/>
        </w:rPr>
        <w:t xml:space="preserve"> 2015;12: e1001779.</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15. Iodice S, Maisonneuve P, Botteri E, </w:t>
      </w:r>
      <w:r w:rsidR="00DA3EC6">
        <w:rPr>
          <w:rFonts w:ascii="Times New Roman" w:hAnsi="Times New Roman" w:cs="Times New Roman"/>
          <w:noProof/>
        </w:rPr>
        <w:t>et al</w:t>
      </w:r>
      <w:r w:rsidRPr="00DA3EC6">
        <w:rPr>
          <w:rFonts w:ascii="Times New Roman" w:hAnsi="Times New Roman" w:cs="Times New Roman"/>
          <w:noProof/>
        </w:rPr>
        <w:t xml:space="preserve">. ABO blood group and cancer. </w:t>
      </w:r>
      <w:r w:rsidRPr="00DA3EC6">
        <w:rPr>
          <w:rFonts w:ascii="Times New Roman" w:hAnsi="Times New Roman" w:cs="Times New Roman"/>
          <w:i/>
          <w:noProof/>
        </w:rPr>
        <w:t>Eur J Cancer</w:t>
      </w:r>
      <w:r w:rsidRPr="00DA3EC6">
        <w:rPr>
          <w:rFonts w:ascii="Times New Roman" w:hAnsi="Times New Roman" w:cs="Times New Roman"/>
          <w:noProof/>
        </w:rPr>
        <w:t xml:space="preserve"> 2010;46: 3345-50.</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16. Zhang BL, He N, Huang YB, </w:t>
      </w:r>
      <w:r w:rsidR="00DA3EC6">
        <w:rPr>
          <w:rFonts w:ascii="Times New Roman" w:hAnsi="Times New Roman" w:cs="Times New Roman"/>
          <w:noProof/>
        </w:rPr>
        <w:t>et al</w:t>
      </w:r>
      <w:r w:rsidRPr="00DA3EC6">
        <w:rPr>
          <w:rFonts w:ascii="Times New Roman" w:hAnsi="Times New Roman" w:cs="Times New Roman"/>
          <w:noProof/>
        </w:rPr>
        <w:t xml:space="preserve">. ABO blood groups and risk of cancer: a systematic review and meta-analysis. </w:t>
      </w:r>
      <w:r w:rsidRPr="00DA3EC6">
        <w:rPr>
          <w:rFonts w:ascii="Times New Roman" w:hAnsi="Times New Roman" w:cs="Times New Roman"/>
          <w:i/>
          <w:noProof/>
        </w:rPr>
        <w:t>Asian Pac J Cancer Prev</w:t>
      </w:r>
      <w:r w:rsidRPr="00DA3EC6">
        <w:rPr>
          <w:rFonts w:ascii="Times New Roman" w:hAnsi="Times New Roman" w:cs="Times New Roman"/>
          <w:noProof/>
        </w:rPr>
        <w:t xml:space="preserve"> 2014;15: 4643-50.</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17. Machiela MJ, Chanock SJ. LDassoc: an online tool for interactively exploring genome-wide association study results and prioritizing variants for functional investigation. </w:t>
      </w:r>
      <w:r w:rsidRPr="00DA3EC6">
        <w:rPr>
          <w:rFonts w:ascii="Times New Roman" w:hAnsi="Times New Roman" w:cs="Times New Roman"/>
          <w:i/>
          <w:noProof/>
        </w:rPr>
        <w:t>Bioinformatics</w:t>
      </w:r>
      <w:r w:rsidRPr="00DA3EC6">
        <w:rPr>
          <w:rFonts w:ascii="Times New Roman" w:hAnsi="Times New Roman" w:cs="Times New Roman"/>
          <w:noProof/>
        </w:rPr>
        <w:t xml:space="preserve"> 2018;34: 887-9.</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18. Bowden J, Davey Smith G, Haycock PC, </w:t>
      </w:r>
      <w:r w:rsidR="00DA3EC6">
        <w:rPr>
          <w:rFonts w:ascii="Times New Roman" w:hAnsi="Times New Roman" w:cs="Times New Roman"/>
          <w:noProof/>
        </w:rPr>
        <w:t>et al</w:t>
      </w:r>
      <w:r w:rsidRPr="00DA3EC6">
        <w:rPr>
          <w:rFonts w:ascii="Times New Roman" w:hAnsi="Times New Roman" w:cs="Times New Roman"/>
          <w:noProof/>
        </w:rPr>
        <w:t xml:space="preserve">. Consistent Estimation in Mendelian Randomization with Some Invalid Instruments Using a Weighted Median Estimator. </w:t>
      </w:r>
      <w:r w:rsidRPr="00DA3EC6">
        <w:rPr>
          <w:rFonts w:ascii="Times New Roman" w:hAnsi="Times New Roman" w:cs="Times New Roman"/>
          <w:i/>
          <w:noProof/>
        </w:rPr>
        <w:t>Genet Epidemiol</w:t>
      </w:r>
      <w:r w:rsidRPr="00DA3EC6">
        <w:rPr>
          <w:rFonts w:ascii="Times New Roman" w:hAnsi="Times New Roman" w:cs="Times New Roman"/>
          <w:noProof/>
        </w:rPr>
        <w:t xml:space="preserve"> 2016;40: 304-14.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lastRenderedPageBreak/>
        <w:t xml:space="preserve">19. Burgess S, Thompson SG. Interpreting findings from Mendelian randomization using the MR-Egger method. </w:t>
      </w:r>
      <w:r w:rsidRPr="00DA3EC6">
        <w:rPr>
          <w:rFonts w:ascii="Times New Roman" w:hAnsi="Times New Roman" w:cs="Times New Roman"/>
          <w:i/>
          <w:noProof/>
        </w:rPr>
        <w:t>Eur J Epidemiol</w:t>
      </w:r>
      <w:r w:rsidRPr="00DA3EC6">
        <w:rPr>
          <w:rFonts w:ascii="Times New Roman" w:hAnsi="Times New Roman" w:cs="Times New Roman"/>
          <w:noProof/>
        </w:rPr>
        <w:t xml:space="preserve"> 2017;32: 377-89.</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20. Verbanck M, Chen CY, Neale B, </w:t>
      </w:r>
      <w:r w:rsidR="00DA3EC6">
        <w:rPr>
          <w:rFonts w:ascii="Times New Roman" w:hAnsi="Times New Roman" w:cs="Times New Roman"/>
          <w:noProof/>
        </w:rPr>
        <w:t>et al</w:t>
      </w:r>
      <w:r w:rsidRPr="00DA3EC6">
        <w:rPr>
          <w:rFonts w:ascii="Times New Roman" w:hAnsi="Times New Roman" w:cs="Times New Roman"/>
          <w:noProof/>
        </w:rPr>
        <w:t xml:space="preserve">. Detection of widespread horizontal pleiotropy in causal relationships inferred from Mendelian randomization between complex traits and diseases. </w:t>
      </w:r>
      <w:r w:rsidRPr="00DA3EC6">
        <w:rPr>
          <w:rFonts w:ascii="Times New Roman" w:hAnsi="Times New Roman" w:cs="Times New Roman"/>
          <w:i/>
          <w:noProof/>
        </w:rPr>
        <w:t>Nat Genet</w:t>
      </w:r>
      <w:r w:rsidRPr="00DA3EC6">
        <w:rPr>
          <w:rFonts w:ascii="Times New Roman" w:hAnsi="Times New Roman" w:cs="Times New Roman"/>
          <w:noProof/>
        </w:rPr>
        <w:t xml:space="preserve"> 2018;50: 693-8.</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21. Sterne JA, Davey Smith G. Sifting the evidence-what's wrong with significance tests? </w:t>
      </w:r>
      <w:r w:rsidRPr="00DA3EC6">
        <w:rPr>
          <w:rFonts w:ascii="Times New Roman" w:hAnsi="Times New Roman" w:cs="Times New Roman"/>
          <w:i/>
          <w:noProof/>
        </w:rPr>
        <w:t>Bmj</w:t>
      </w:r>
      <w:r w:rsidRPr="00DA3EC6">
        <w:rPr>
          <w:rFonts w:ascii="Times New Roman" w:hAnsi="Times New Roman" w:cs="Times New Roman"/>
          <w:noProof/>
        </w:rPr>
        <w:t xml:space="preserve"> 2001;322: 226-31.</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22. Mellemgaard A, From G, Jorgensen T, </w:t>
      </w:r>
      <w:r w:rsidR="00DA3EC6">
        <w:rPr>
          <w:rFonts w:ascii="Times New Roman" w:hAnsi="Times New Roman" w:cs="Times New Roman"/>
          <w:noProof/>
        </w:rPr>
        <w:t>et al</w:t>
      </w:r>
      <w:r w:rsidRPr="00DA3EC6">
        <w:rPr>
          <w:rFonts w:ascii="Times New Roman" w:hAnsi="Times New Roman" w:cs="Times New Roman"/>
          <w:noProof/>
        </w:rPr>
        <w:t xml:space="preserve">. Cancer risk in individuals with benign thyroid disorders. </w:t>
      </w:r>
      <w:r w:rsidRPr="00DA3EC6">
        <w:rPr>
          <w:rFonts w:ascii="Times New Roman" w:hAnsi="Times New Roman" w:cs="Times New Roman"/>
          <w:i/>
          <w:noProof/>
        </w:rPr>
        <w:t>Thyroid</w:t>
      </w:r>
      <w:r w:rsidRPr="00DA3EC6">
        <w:rPr>
          <w:rFonts w:ascii="Times New Roman" w:hAnsi="Times New Roman" w:cs="Times New Roman"/>
          <w:noProof/>
        </w:rPr>
        <w:t xml:space="preserve"> 1998;8: 751-4.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23. Hercbergs AH, Ashur-Fabian O, Garfield D. Thyroid hormones and cancer: clinical studies of hypothyroidism in oncology. </w:t>
      </w:r>
      <w:r w:rsidRPr="00DA3EC6">
        <w:rPr>
          <w:rFonts w:ascii="Times New Roman" w:hAnsi="Times New Roman" w:cs="Times New Roman"/>
          <w:i/>
          <w:noProof/>
        </w:rPr>
        <w:t>Curr Opin Endocrinol Diabetes Obes</w:t>
      </w:r>
      <w:r w:rsidRPr="00DA3EC6">
        <w:rPr>
          <w:rFonts w:ascii="Times New Roman" w:hAnsi="Times New Roman" w:cs="Times New Roman"/>
          <w:noProof/>
        </w:rPr>
        <w:t xml:space="preserve"> 2010;17: 432-6.</w:t>
      </w:r>
    </w:p>
    <w:p w:rsidR="009E2734" w:rsidRPr="00DA3EC6" w:rsidRDefault="00DA3EC6"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2</w:t>
      </w:r>
      <w:r w:rsidR="009E2734" w:rsidRPr="00DA3EC6">
        <w:rPr>
          <w:rFonts w:ascii="Times New Roman" w:hAnsi="Times New Roman" w:cs="Times New Roman"/>
          <w:noProof/>
        </w:rPr>
        <w:t xml:space="preserve">4. Hellevik AI, Asvold BO, Bjoro T, </w:t>
      </w:r>
      <w:r>
        <w:rPr>
          <w:rFonts w:ascii="Times New Roman" w:hAnsi="Times New Roman" w:cs="Times New Roman"/>
          <w:noProof/>
        </w:rPr>
        <w:t>et al</w:t>
      </w:r>
      <w:r w:rsidR="009E2734" w:rsidRPr="00DA3EC6">
        <w:rPr>
          <w:rFonts w:ascii="Times New Roman" w:hAnsi="Times New Roman" w:cs="Times New Roman"/>
          <w:noProof/>
        </w:rPr>
        <w:t xml:space="preserve">. Thyroid function and cancer risk: a prospective population study. </w:t>
      </w:r>
      <w:r w:rsidR="009E2734" w:rsidRPr="00DA3EC6">
        <w:rPr>
          <w:rFonts w:ascii="Times New Roman" w:hAnsi="Times New Roman" w:cs="Times New Roman"/>
          <w:i/>
          <w:noProof/>
        </w:rPr>
        <w:t>Cancer Epidemiol Biomarkers Prev</w:t>
      </w:r>
      <w:r w:rsidR="009E2734" w:rsidRPr="00DA3EC6">
        <w:rPr>
          <w:rFonts w:ascii="Times New Roman" w:hAnsi="Times New Roman" w:cs="Times New Roman"/>
          <w:noProof/>
        </w:rPr>
        <w:t xml:space="preserve"> 2009;18: 570-4.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25. Tseng FY, Lin WY, Li CI, </w:t>
      </w:r>
      <w:r w:rsidR="00DA3EC6">
        <w:rPr>
          <w:rFonts w:ascii="Times New Roman" w:hAnsi="Times New Roman" w:cs="Times New Roman"/>
          <w:noProof/>
        </w:rPr>
        <w:t>et al</w:t>
      </w:r>
      <w:r w:rsidRPr="00DA3EC6">
        <w:rPr>
          <w:rFonts w:ascii="Times New Roman" w:hAnsi="Times New Roman" w:cs="Times New Roman"/>
          <w:noProof/>
        </w:rPr>
        <w:t xml:space="preserve">. Subclinical hypothyroidism is associated with increased risk for cancer mortality in adult Taiwanese-a 10 years population-based cohort. </w:t>
      </w:r>
      <w:r w:rsidRPr="00DA3EC6">
        <w:rPr>
          <w:rFonts w:ascii="Times New Roman" w:hAnsi="Times New Roman" w:cs="Times New Roman"/>
          <w:i/>
          <w:noProof/>
        </w:rPr>
        <w:t>PLoS One</w:t>
      </w:r>
      <w:r w:rsidRPr="00DA3EC6">
        <w:rPr>
          <w:rFonts w:ascii="Times New Roman" w:hAnsi="Times New Roman" w:cs="Times New Roman"/>
          <w:noProof/>
        </w:rPr>
        <w:t xml:space="preserve"> 2015;10: e0122955.</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26. Cristofanilli M, Yamamura Y, Kau SW, </w:t>
      </w:r>
      <w:r w:rsidR="00DA3EC6">
        <w:rPr>
          <w:rFonts w:ascii="Times New Roman" w:hAnsi="Times New Roman" w:cs="Times New Roman"/>
          <w:noProof/>
        </w:rPr>
        <w:t>et al</w:t>
      </w:r>
      <w:r w:rsidRPr="00DA3EC6">
        <w:rPr>
          <w:rFonts w:ascii="Times New Roman" w:hAnsi="Times New Roman" w:cs="Times New Roman"/>
          <w:noProof/>
        </w:rPr>
        <w:t xml:space="preserve">. Thyroid hormone and breast carcinoma. Primary hypothyroidism is associated with a reduced incidence of primary breast carcinoma. </w:t>
      </w:r>
      <w:r w:rsidRPr="00DA3EC6">
        <w:rPr>
          <w:rFonts w:ascii="Times New Roman" w:hAnsi="Times New Roman" w:cs="Times New Roman"/>
          <w:i/>
          <w:noProof/>
        </w:rPr>
        <w:t>Cancer</w:t>
      </w:r>
      <w:r w:rsidRPr="00DA3EC6">
        <w:rPr>
          <w:rFonts w:ascii="Times New Roman" w:hAnsi="Times New Roman" w:cs="Times New Roman"/>
          <w:noProof/>
        </w:rPr>
        <w:t xml:space="preserve"> 2005;103: 1122-8.</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27. Tosovic A, Becker C, Bondeson AG, </w:t>
      </w:r>
      <w:r w:rsidR="00DA3EC6">
        <w:rPr>
          <w:rFonts w:ascii="Times New Roman" w:hAnsi="Times New Roman" w:cs="Times New Roman"/>
          <w:noProof/>
        </w:rPr>
        <w:t>et al</w:t>
      </w:r>
      <w:r w:rsidRPr="00DA3EC6">
        <w:rPr>
          <w:rFonts w:ascii="Times New Roman" w:hAnsi="Times New Roman" w:cs="Times New Roman"/>
          <w:noProof/>
        </w:rPr>
        <w:t xml:space="preserve">. Prospectively measured thyroid hormones and thyroid peroxidase antibodies in relation to breast cancer risk. </w:t>
      </w:r>
      <w:r w:rsidRPr="00DA3EC6">
        <w:rPr>
          <w:rFonts w:ascii="Times New Roman" w:hAnsi="Times New Roman" w:cs="Times New Roman"/>
          <w:i/>
          <w:noProof/>
        </w:rPr>
        <w:t>Int J Cancer</w:t>
      </w:r>
      <w:r w:rsidRPr="00DA3EC6">
        <w:rPr>
          <w:rFonts w:ascii="Times New Roman" w:hAnsi="Times New Roman" w:cs="Times New Roman"/>
          <w:noProof/>
        </w:rPr>
        <w:t xml:space="preserve"> 2012;131: 2126-33.</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28. Kim EY, Chang Y, Lee KH, </w:t>
      </w:r>
      <w:r w:rsidR="00DA3EC6">
        <w:rPr>
          <w:rFonts w:ascii="Times New Roman" w:hAnsi="Times New Roman" w:cs="Times New Roman"/>
          <w:noProof/>
        </w:rPr>
        <w:t>et al</w:t>
      </w:r>
      <w:r w:rsidRPr="00DA3EC6">
        <w:rPr>
          <w:rFonts w:ascii="Times New Roman" w:hAnsi="Times New Roman" w:cs="Times New Roman"/>
          <w:noProof/>
        </w:rPr>
        <w:t xml:space="preserve">. Serum concentration of thyroid hormones in abnormal and euthyroid ranges and breast cancer risk: A cohort study. </w:t>
      </w:r>
      <w:r w:rsidRPr="00DA3EC6">
        <w:rPr>
          <w:rFonts w:ascii="Times New Roman" w:hAnsi="Times New Roman" w:cs="Times New Roman"/>
          <w:i/>
          <w:noProof/>
        </w:rPr>
        <w:t>Int J Cancer</w:t>
      </w:r>
      <w:r w:rsidRPr="00DA3EC6">
        <w:rPr>
          <w:rFonts w:ascii="Times New Roman" w:hAnsi="Times New Roman" w:cs="Times New Roman"/>
          <w:noProof/>
        </w:rPr>
        <w:t xml:space="preserve"> 2019.</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29. Angelousi AG, Anagnostou VK, Stamatakos MK, </w:t>
      </w:r>
      <w:r w:rsidR="00DA3EC6">
        <w:rPr>
          <w:rFonts w:ascii="Times New Roman" w:hAnsi="Times New Roman" w:cs="Times New Roman"/>
          <w:noProof/>
        </w:rPr>
        <w:t>et al</w:t>
      </w:r>
      <w:r w:rsidRPr="00DA3EC6">
        <w:rPr>
          <w:rFonts w:ascii="Times New Roman" w:hAnsi="Times New Roman" w:cs="Times New Roman"/>
          <w:noProof/>
        </w:rPr>
        <w:t xml:space="preserve">. Mechanisms in endocrinology: primary HT and risk for breast cancer: a systematic review and meta-analysis. </w:t>
      </w:r>
      <w:r w:rsidRPr="00DA3EC6">
        <w:rPr>
          <w:rFonts w:ascii="Times New Roman" w:hAnsi="Times New Roman" w:cs="Times New Roman"/>
          <w:i/>
          <w:noProof/>
        </w:rPr>
        <w:t>Eur J Endocrinol</w:t>
      </w:r>
      <w:r w:rsidRPr="00DA3EC6">
        <w:rPr>
          <w:rFonts w:ascii="Times New Roman" w:hAnsi="Times New Roman" w:cs="Times New Roman"/>
          <w:noProof/>
        </w:rPr>
        <w:t xml:space="preserve"> 2012;166: 373-81.</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30. Huang H, Rusiecki J, Zhao N, </w:t>
      </w:r>
      <w:r w:rsidR="00DA3EC6">
        <w:rPr>
          <w:rFonts w:ascii="Times New Roman" w:hAnsi="Times New Roman" w:cs="Times New Roman"/>
          <w:noProof/>
        </w:rPr>
        <w:t>et al</w:t>
      </w:r>
      <w:r w:rsidRPr="00DA3EC6">
        <w:rPr>
          <w:rFonts w:ascii="Times New Roman" w:hAnsi="Times New Roman" w:cs="Times New Roman"/>
          <w:noProof/>
        </w:rPr>
        <w:t xml:space="preserve">. Thyroid-Stimulating Hormone, Thyroid Hormones, and Risk of Papillary Thyroid Cancer: A Nested Case-Control Study. </w:t>
      </w:r>
      <w:r w:rsidRPr="00DA3EC6">
        <w:rPr>
          <w:rFonts w:ascii="Times New Roman" w:hAnsi="Times New Roman" w:cs="Times New Roman"/>
          <w:i/>
          <w:noProof/>
        </w:rPr>
        <w:t>Cancer Epidemiol Biomarkers Prev</w:t>
      </w:r>
      <w:r w:rsidRPr="00DA3EC6">
        <w:rPr>
          <w:rFonts w:ascii="Times New Roman" w:hAnsi="Times New Roman" w:cs="Times New Roman"/>
          <w:noProof/>
        </w:rPr>
        <w:t xml:space="preserve"> 2017;26: 1209-18.</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31. Cantara S, D'Angeli F, Toti P, </w:t>
      </w:r>
      <w:r w:rsidR="00DA3EC6">
        <w:rPr>
          <w:rFonts w:ascii="Times New Roman" w:hAnsi="Times New Roman" w:cs="Times New Roman"/>
          <w:noProof/>
        </w:rPr>
        <w:t>et al</w:t>
      </w:r>
      <w:r w:rsidRPr="00DA3EC6">
        <w:rPr>
          <w:rFonts w:ascii="Times New Roman" w:hAnsi="Times New Roman" w:cs="Times New Roman"/>
          <w:noProof/>
        </w:rPr>
        <w:t xml:space="preserve">. Expression of the ring ligase PRAJA2 in thyroid cancer. </w:t>
      </w:r>
      <w:r w:rsidRPr="00DA3EC6">
        <w:rPr>
          <w:rFonts w:ascii="Times New Roman" w:hAnsi="Times New Roman" w:cs="Times New Roman"/>
          <w:i/>
          <w:noProof/>
        </w:rPr>
        <w:t>J Clin Endocrinol Metab</w:t>
      </w:r>
      <w:r w:rsidRPr="00DA3EC6">
        <w:rPr>
          <w:rFonts w:ascii="Times New Roman" w:hAnsi="Times New Roman" w:cs="Times New Roman"/>
          <w:noProof/>
        </w:rPr>
        <w:t xml:space="preserve"> 2012;97: 4253-9.</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32. Sohn SY, Kim HJ, Jang HW, </w:t>
      </w:r>
      <w:r w:rsidR="00DA3EC6">
        <w:rPr>
          <w:rFonts w:ascii="Times New Roman" w:hAnsi="Times New Roman" w:cs="Times New Roman"/>
          <w:noProof/>
        </w:rPr>
        <w:t>et al</w:t>
      </w:r>
      <w:r w:rsidRPr="00DA3EC6">
        <w:rPr>
          <w:rFonts w:ascii="Times New Roman" w:hAnsi="Times New Roman" w:cs="Times New Roman"/>
          <w:noProof/>
        </w:rPr>
        <w:t xml:space="preserve">. Lack of association between high serum thyroid-stimulating hormone level and risk of papillary thyroid microcarcinomas. </w:t>
      </w:r>
      <w:r w:rsidRPr="00DA3EC6">
        <w:rPr>
          <w:rFonts w:ascii="Times New Roman" w:hAnsi="Times New Roman" w:cs="Times New Roman"/>
          <w:i/>
          <w:noProof/>
        </w:rPr>
        <w:t>Head Neck</w:t>
      </w:r>
      <w:r w:rsidRPr="00DA3EC6">
        <w:rPr>
          <w:rFonts w:ascii="Times New Roman" w:hAnsi="Times New Roman" w:cs="Times New Roman"/>
          <w:noProof/>
        </w:rPr>
        <w:t xml:space="preserve"> 2014;36: 43-6.</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33. Haymart MR, Repplinger DJ, Leverson GE, </w:t>
      </w:r>
      <w:r w:rsidR="00DA3EC6">
        <w:rPr>
          <w:rFonts w:ascii="Times New Roman" w:hAnsi="Times New Roman" w:cs="Times New Roman"/>
          <w:noProof/>
        </w:rPr>
        <w:t>et al</w:t>
      </w:r>
      <w:r w:rsidRPr="00DA3EC6">
        <w:rPr>
          <w:rFonts w:ascii="Times New Roman" w:hAnsi="Times New Roman" w:cs="Times New Roman"/>
          <w:noProof/>
        </w:rPr>
        <w:t xml:space="preserve">. Higher serum thyroid stimulating hormone level in thyroid nodule patients is associated with greater risks of differentiated thyroid cancer and advanced tumor stage. </w:t>
      </w:r>
      <w:r w:rsidRPr="00DA3EC6">
        <w:rPr>
          <w:rFonts w:ascii="Times New Roman" w:hAnsi="Times New Roman" w:cs="Times New Roman"/>
          <w:i/>
          <w:noProof/>
        </w:rPr>
        <w:t>J Clin Endocrinol Metab</w:t>
      </w:r>
      <w:r w:rsidRPr="00DA3EC6">
        <w:rPr>
          <w:rFonts w:ascii="Times New Roman" w:hAnsi="Times New Roman" w:cs="Times New Roman"/>
          <w:noProof/>
        </w:rPr>
        <w:t xml:space="preserve"> 2008;93: 809-14.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34. Azizi G, Keller JM, Lewis M, </w:t>
      </w:r>
      <w:r w:rsidR="00DA3EC6">
        <w:rPr>
          <w:rFonts w:ascii="Times New Roman" w:hAnsi="Times New Roman" w:cs="Times New Roman"/>
          <w:noProof/>
        </w:rPr>
        <w:t>et al</w:t>
      </w:r>
      <w:r w:rsidRPr="00DA3EC6">
        <w:rPr>
          <w:rFonts w:ascii="Times New Roman" w:hAnsi="Times New Roman" w:cs="Times New Roman"/>
          <w:noProof/>
        </w:rPr>
        <w:t xml:space="preserve">. Association of Hashimoto's thyroiditis with thyroid cancer. </w:t>
      </w:r>
      <w:r w:rsidRPr="00DA3EC6">
        <w:rPr>
          <w:rFonts w:ascii="Times New Roman" w:hAnsi="Times New Roman" w:cs="Times New Roman"/>
          <w:i/>
          <w:noProof/>
        </w:rPr>
        <w:t>Endocr Relat Cancer</w:t>
      </w:r>
      <w:r w:rsidRPr="00DA3EC6">
        <w:rPr>
          <w:rFonts w:ascii="Times New Roman" w:hAnsi="Times New Roman" w:cs="Times New Roman"/>
          <w:noProof/>
        </w:rPr>
        <w:t xml:space="preserve"> 2014;21: 845-52.</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35. Biondi B, Filetti S, Schlumberger M. Thyroid-hormone therapy and thyroid cancer: a reassessment. </w:t>
      </w:r>
      <w:r w:rsidRPr="00DA3EC6">
        <w:rPr>
          <w:rFonts w:ascii="Times New Roman" w:hAnsi="Times New Roman" w:cs="Times New Roman"/>
          <w:i/>
          <w:noProof/>
        </w:rPr>
        <w:t>Nat Clin Pract Endocrinol Metab</w:t>
      </w:r>
      <w:r w:rsidRPr="00DA3EC6">
        <w:rPr>
          <w:rFonts w:ascii="Times New Roman" w:hAnsi="Times New Roman" w:cs="Times New Roman"/>
          <w:noProof/>
        </w:rPr>
        <w:t xml:space="preserve"> 2005;1: 32-40.</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lastRenderedPageBreak/>
        <w:t xml:space="preserve">36. Gudmundsson J, Sulem P, Gudbjartsson DF, et al. Discovery of common variants associated with low TSH levels and thyroid cancer risk. </w:t>
      </w:r>
      <w:r w:rsidRPr="00DA3EC6">
        <w:rPr>
          <w:rFonts w:ascii="Times New Roman" w:hAnsi="Times New Roman" w:cs="Times New Roman"/>
          <w:i/>
          <w:noProof/>
        </w:rPr>
        <w:t>Nat Genet</w:t>
      </w:r>
      <w:r w:rsidRPr="00DA3EC6">
        <w:rPr>
          <w:rFonts w:ascii="Times New Roman" w:hAnsi="Times New Roman" w:cs="Times New Roman"/>
          <w:noProof/>
        </w:rPr>
        <w:t xml:space="preserve"> 2012;44: 319-22.</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37. Kitahara CM, D KRF, Jorgensen JOL, </w:t>
      </w:r>
      <w:r w:rsidR="00DA3EC6">
        <w:rPr>
          <w:rFonts w:ascii="Times New Roman" w:hAnsi="Times New Roman" w:cs="Times New Roman"/>
          <w:noProof/>
        </w:rPr>
        <w:t>et al</w:t>
      </w:r>
      <w:r w:rsidRPr="00DA3EC6">
        <w:rPr>
          <w:rFonts w:ascii="Times New Roman" w:hAnsi="Times New Roman" w:cs="Times New Roman"/>
          <w:noProof/>
        </w:rPr>
        <w:t xml:space="preserve">. Benign Thyroid Diseases and Risk of Thyroid Cancer: A Nationwide Cohort Study. </w:t>
      </w:r>
      <w:r w:rsidRPr="00DA3EC6">
        <w:rPr>
          <w:rFonts w:ascii="Times New Roman" w:hAnsi="Times New Roman" w:cs="Times New Roman"/>
          <w:i/>
          <w:noProof/>
        </w:rPr>
        <w:t>J Clin Endocrinol Metab</w:t>
      </w:r>
      <w:r w:rsidRPr="00DA3EC6">
        <w:rPr>
          <w:rFonts w:ascii="Times New Roman" w:hAnsi="Times New Roman" w:cs="Times New Roman"/>
          <w:noProof/>
        </w:rPr>
        <w:t xml:space="preserve"> 2018;103: 2216-24.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38. Pazaitou-Panayiotou K, Michalakis K, Paschke R. Thyroid cancer in patients with hyperthyroidism. </w:t>
      </w:r>
      <w:r w:rsidRPr="00DA3EC6">
        <w:rPr>
          <w:rFonts w:ascii="Times New Roman" w:hAnsi="Times New Roman" w:cs="Times New Roman"/>
          <w:i/>
          <w:noProof/>
        </w:rPr>
        <w:t>Horm Metab Res</w:t>
      </w:r>
      <w:r w:rsidRPr="00DA3EC6">
        <w:rPr>
          <w:rFonts w:ascii="Times New Roman" w:hAnsi="Times New Roman" w:cs="Times New Roman"/>
          <w:noProof/>
        </w:rPr>
        <w:t xml:space="preserve"> 2012;44: 255-62.</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39. Chan YX, Knuiman MW, Divitini ML, </w:t>
      </w:r>
      <w:r w:rsidR="00DA3EC6">
        <w:rPr>
          <w:rFonts w:ascii="Times New Roman" w:hAnsi="Times New Roman" w:cs="Times New Roman"/>
          <w:noProof/>
        </w:rPr>
        <w:t>et al</w:t>
      </w:r>
      <w:r w:rsidRPr="00DA3EC6">
        <w:rPr>
          <w:rFonts w:ascii="Times New Roman" w:hAnsi="Times New Roman" w:cs="Times New Roman"/>
          <w:noProof/>
        </w:rPr>
        <w:t xml:space="preserve">. Lower TSH and higher free thyroxine predict incidence of prostate but not breast, colorectal or lung cancer. </w:t>
      </w:r>
      <w:r w:rsidRPr="00DA3EC6">
        <w:rPr>
          <w:rFonts w:ascii="Times New Roman" w:hAnsi="Times New Roman" w:cs="Times New Roman"/>
          <w:i/>
          <w:noProof/>
        </w:rPr>
        <w:t>Eur J Endocrinol</w:t>
      </w:r>
      <w:r w:rsidRPr="00DA3EC6">
        <w:rPr>
          <w:rFonts w:ascii="Times New Roman" w:hAnsi="Times New Roman" w:cs="Times New Roman"/>
          <w:noProof/>
        </w:rPr>
        <w:t xml:space="preserve"> 2017;177: 297-308.</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40. Mondul AM, Weinstein SJ, Bosworth T, </w:t>
      </w:r>
      <w:r w:rsidR="00DA3EC6">
        <w:rPr>
          <w:rFonts w:ascii="Times New Roman" w:hAnsi="Times New Roman" w:cs="Times New Roman"/>
          <w:noProof/>
        </w:rPr>
        <w:t>et al</w:t>
      </w:r>
      <w:r w:rsidRPr="00DA3EC6">
        <w:rPr>
          <w:rFonts w:ascii="Times New Roman" w:hAnsi="Times New Roman" w:cs="Times New Roman"/>
          <w:noProof/>
        </w:rPr>
        <w:t xml:space="preserve">. Circulating thyroxine, thyroid-stimulating hormone, and hypothyroid status and the risk of prostate cancer. </w:t>
      </w:r>
      <w:r w:rsidRPr="00DA3EC6">
        <w:rPr>
          <w:rFonts w:ascii="Times New Roman" w:hAnsi="Times New Roman" w:cs="Times New Roman"/>
          <w:i/>
          <w:noProof/>
        </w:rPr>
        <w:t>PLoS One</w:t>
      </w:r>
      <w:r w:rsidRPr="00DA3EC6">
        <w:rPr>
          <w:rFonts w:ascii="Times New Roman" w:hAnsi="Times New Roman" w:cs="Times New Roman"/>
          <w:noProof/>
        </w:rPr>
        <w:t xml:space="preserve"> 2012;7: e47730.</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41. Boursi B, Haynes K, Mamtani R, </w:t>
      </w:r>
      <w:r w:rsidR="00DA3EC6">
        <w:rPr>
          <w:rFonts w:ascii="Times New Roman" w:hAnsi="Times New Roman" w:cs="Times New Roman"/>
          <w:noProof/>
        </w:rPr>
        <w:t>et al</w:t>
      </w:r>
      <w:r w:rsidRPr="00DA3EC6">
        <w:rPr>
          <w:rFonts w:ascii="Times New Roman" w:hAnsi="Times New Roman" w:cs="Times New Roman"/>
          <w:noProof/>
        </w:rPr>
        <w:t xml:space="preserve">. Thyroid dysfunction, thyroid hormone replacement and colorectal cancer risk. </w:t>
      </w:r>
      <w:r w:rsidRPr="00DA3EC6">
        <w:rPr>
          <w:rFonts w:ascii="Times New Roman" w:hAnsi="Times New Roman" w:cs="Times New Roman"/>
          <w:i/>
          <w:noProof/>
        </w:rPr>
        <w:t>J Natl Cancer Inst</w:t>
      </w:r>
      <w:r w:rsidRPr="00DA3EC6">
        <w:rPr>
          <w:rFonts w:ascii="Times New Roman" w:hAnsi="Times New Roman" w:cs="Times New Roman"/>
          <w:noProof/>
        </w:rPr>
        <w:t xml:space="preserve"> 2015;107: djv084.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42. Zhang B, Shu XO, Delahanty RJ, et al. Height and Breast Cancer Risk: Evidence From Prospective Studies and Mendelian Randomization. </w:t>
      </w:r>
      <w:r w:rsidRPr="00DA3EC6">
        <w:rPr>
          <w:rFonts w:ascii="Times New Roman" w:hAnsi="Times New Roman" w:cs="Times New Roman"/>
          <w:i/>
          <w:noProof/>
        </w:rPr>
        <w:t>J Natl Cancer Inst</w:t>
      </w:r>
      <w:r w:rsidRPr="00DA3EC6">
        <w:rPr>
          <w:rFonts w:ascii="Times New Roman" w:hAnsi="Times New Roman" w:cs="Times New Roman"/>
          <w:noProof/>
        </w:rPr>
        <w:t xml:space="preserve"> 2015;107.</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43. Jing Z, Hou X, Liu Y,</w:t>
      </w:r>
      <w:r w:rsidR="00DA3EC6">
        <w:rPr>
          <w:rFonts w:ascii="Times New Roman" w:hAnsi="Times New Roman" w:cs="Times New Roman"/>
          <w:noProof/>
        </w:rPr>
        <w:t xml:space="preserve"> et al</w:t>
      </w:r>
      <w:r w:rsidRPr="00DA3EC6">
        <w:rPr>
          <w:rFonts w:ascii="Times New Roman" w:hAnsi="Times New Roman" w:cs="Times New Roman"/>
          <w:noProof/>
        </w:rPr>
        <w:t xml:space="preserve">. Association between height and thyroid cancer risk: a meta-analysis of prospective cohort studies. </w:t>
      </w:r>
      <w:r w:rsidRPr="00DA3EC6">
        <w:rPr>
          <w:rFonts w:ascii="Times New Roman" w:hAnsi="Times New Roman" w:cs="Times New Roman"/>
          <w:i/>
          <w:noProof/>
        </w:rPr>
        <w:t>Int J Cancer</w:t>
      </w:r>
      <w:r w:rsidRPr="00DA3EC6">
        <w:rPr>
          <w:rFonts w:ascii="Times New Roman" w:hAnsi="Times New Roman" w:cs="Times New Roman"/>
          <w:noProof/>
        </w:rPr>
        <w:t xml:space="preserve"> 2015;137: 1484-90.</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44. Khankari NK, Shu XO, Wen W, et al. Association between Adult Height and Risk of Colorectal, Lung, and Prostate Cancer: Results from Meta-analyses of Prospective Studies and Mendelian Randomization Analyses. </w:t>
      </w:r>
      <w:r w:rsidRPr="00DA3EC6">
        <w:rPr>
          <w:rFonts w:ascii="Times New Roman" w:hAnsi="Times New Roman" w:cs="Times New Roman"/>
          <w:i/>
          <w:noProof/>
        </w:rPr>
        <w:t>PLoS Med</w:t>
      </w:r>
      <w:r w:rsidRPr="00DA3EC6">
        <w:rPr>
          <w:rFonts w:ascii="Times New Roman" w:hAnsi="Times New Roman" w:cs="Times New Roman"/>
          <w:noProof/>
        </w:rPr>
        <w:t xml:space="preserve"> 2016;13: e1002118.</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45. Lai FY, Nath M, Hamby SE, </w:t>
      </w:r>
      <w:r w:rsidR="0005278A">
        <w:rPr>
          <w:rFonts w:ascii="Times New Roman" w:hAnsi="Times New Roman" w:cs="Times New Roman"/>
          <w:noProof/>
        </w:rPr>
        <w:t>et al</w:t>
      </w:r>
      <w:r w:rsidRPr="00DA3EC6">
        <w:rPr>
          <w:rFonts w:ascii="Times New Roman" w:hAnsi="Times New Roman" w:cs="Times New Roman"/>
          <w:noProof/>
        </w:rPr>
        <w:t xml:space="preserve">. Adult height and risk of 50 diseases: a combined epidemiological and genetic analysis. </w:t>
      </w:r>
      <w:r w:rsidRPr="00DA3EC6">
        <w:rPr>
          <w:rFonts w:ascii="Times New Roman" w:hAnsi="Times New Roman" w:cs="Times New Roman"/>
          <w:i/>
          <w:noProof/>
        </w:rPr>
        <w:t>BMC Med</w:t>
      </w:r>
      <w:r w:rsidRPr="00DA3EC6">
        <w:rPr>
          <w:rFonts w:ascii="Times New Roman" w:hAnsi="Times New Roman" w:cs="Times New Roman"/>
          <w:noProof/>
        </w:rPr>
        <w:t xml:space="preserve"> 2018;16: 187.</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46. Ortega-Olvera C, Ulloa-Aguirre A, Angeles-Llerenas A, </w:t>
      </w:r>
      <w:r w:rsidR="0005278A">
        <w:rPr>
          <w:rFonts w:ascii="Times New Roman" w:hAnsi="Times New Roman" w:cs="Times New Roman"/>
          <w:noProof/>
        </w:rPr>
        <w:t>et al</w:t>
      </w:r>
      <w:r w:rsidRPr="00DA3EC6">
        <w:rPr>
          <w:rFonts w:ascii="Times New Roman" w:hAnsi="Times New Roman" w:cs="Times New Roman"/>
          <w:noProof/>
        </w:rPr>
        <w:t xml:space="preserve">. Thyroid hormones and breast cancer association according to menopausal status and body mass index. </w:t>
      </w:r>
      <w:r w:rsidRPr="00DA3EC6">
        <w:rPr>
          <w:rFonts w:ascii="Times New Roman" w:hAnsi="Times New Roman" w:cs="Times New Roman"/>
          <w:i/>
          <w:noProof/>
        </w:rPr>
        <w:t>Breast Cancer Res</w:t>
      </w:r>
      <w:r w:rsidRPr="00DA3EC6">
        <w:rPr>
          <w:rFonts w:ascii="Times New Roman" w:hAnsi="Times New Roman" w:cs="Times New Roman"/>
          <w:noProof/>
        </w:rPr>
        <w:t xml:space="preserve"> 2018;20: 94.</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47. Tang HY, Lin HY, Zhang S, </w:t>
      </w:r>
      <w:r w:rsidR="0005278A">
        <w:rPr>
          <w:rFonts w:ascii="Times New Roman" w:hAnsi="Times New Roman" w:cs="Times New Roman"/>
          <w:noProof/>
        </w:rPr>
        <w:t>et al</w:t>
      </w:r>
      <w:r w:rsidRPr="00DA3EC6">
        <w:rPr>
          <w:rFonts w:ascii="Times New Roman" w:hAnsi="Times New Roman" w:cs="Times New Roman"/>
          <w:noProof/>
        </w:rPr>
        <w:t xml:space="preserve">. Thyroid hormone causes mitogen-activated protein kinase-dependent phosphorylation of the nuclear estrogen receptor. </w:t>
      </w:r>
      <w:r w:rsidRPr="00DA3EC6">
        <w:rPr>
          <w:rFonts w:ascii="Times New Roman" w:hAnsi="Times New Roman" w:cs="Times New Roman"/>
          <w:i/>
          <w:noProof/>
        </w:rPr>
        <w:t>Endocrinology</w:t>
      </w:r>
      <w:r w:rsidRPr="00DA3EC6">
        <w:rPr>
          <w:rFonts w:ascii="Times New Roman" w:hAnsi="Times New Roman" w:cs="Times New Roman"/>
          <w:noProof/>
        </w:rPr>
        <w:t xml:space="preserve"> 2004;145: 3265-72.</w:t>
      </w:r>
    </w:p>
    <w:p w:rsidR="009E2734"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48. Brandt J, Borgquist S, Almquist M, </w:t>
      </w:r>
      <w:r w:rsidR="0005278A">
        <w:rPr>
          <w:rFonts w:ascii="Times New Roman" w:hAnsi="Times New Roman" w:cs="Times New Roman"/>
          <w:noProof/>
        </w:rPr>
        <w:t>et al</w:t>
      </w:r>
      <w:r w:rsidRPr="00DA3EC6">
        <w:rPr>
          <w:rFonts w:ascii="Times New Roman" w:hAnsi="Times New Roman" w:cs="Times New Roman"/>
          <w:noProof/>
        </w:rPr>
        <w:t xml:space="preserve">. Thyroid function and survival following breast cancer. </w:t>
      </w:r>
      <w:r w:rsidRPr="00DA3EC6">
        <w:rPr>
          <w:rFonts w:ascii="Times New Roman" w:hAnsi="Times New Roman" w:cs="Times New Roman"/>
          <w:i/>
          <w:noProof/>
        </w:rPr>
        <w:t>Br J Surg</w:t>
      </w:r>
      <w:r w:rsidRPr="00DA3EC6">
        <w:rPr>
          <w:rFonts w:ascii="Times New Roman" w:hAnsi="Times New Roman" w:cs="Times New Roman"/>
          <w:noProof/>
        </w:rPr>
        <w:t xml:space="preserve"> 2016;103: 1649-57.</w:t>
      </w:r>
    </w:p>
    <w:p w:rsidR="004164F0" w:rsidRPr="00DA3EC6" w:rsidRDefault="009E2734" w:rsidP="00DA3EC6">
      <w:pPr>
        <w:pStyle w:val="EndNoteBibliography"/>
        <w:spacing w:line="276" w:lineRule="auto"/>
        <w:rPr>
          <w:rFonts w:ascii="Times New Roman" w:hAnsi="Times New Roman" w:cs="Times New Roman"/>
          <w:noProof/>
        </w:rPr>
      </w:pPr>
      <w:r w:rsidRPr="00DA3EC6">
        <w:rPr>
          <w:rFonts w:ascii="Times New Roman" w:hAnsi="Times New Roman" w:cs="Times New Roman"/>
          <w:noProof/>
        </w:rPr>
        <w:t xml:space="preserve">49. Larsson SC, Allara E, Mason AM, </w:t>
      </w:r>
      <w:r w:rsidR="0005278A">
        <w:rPr>
          <w:rFonts w:ascii="Times New Roman" w:hAnsi="Times New Roman" w:cs="Times New Roman"/>
          <w:noProof/>
        </w:rPr>
        <w:t>et al</w:t>
      </w:r>
      <w:r w:rsidRPr="00DA3EC6">
        <w:rPr>
          <w:rFonts w:ascii="Times New Roman" w:hAnsi="Times New Roman" w:cs="Times New Roman"/>
          <w:noProof/>
        </w:rPr>
        <w:t xml:space="preserve"> S. Thyroid Function and Dysfunction in Relation to 16 Cardiovascular Diseases. </w:t>
      </w:r>
      <w:r w:rsidRPr="00DA3EC6">
        <w:rPr>
          <w:rFonts w:ascii="Times New Roman" w:hAnsi="Times New Roman" w:cs="Times New Roman"/>
          <w:i/>
          <w:noProof/>
        </w:rPr>
        <w:t>Circ Genom Precis Med</w:t>
      </w:r>
      <w:r w:rsidRPr="00DA3EC6">
        <w:rPr>
          <w:rFonts w:ascii="Times New Roman" w:hAnsi="Times New Roman" w:cs="Times New Roman"/>
          <w:noProof/>
        </w:rPr>
        <w:t xml:space="preserve"> 2019;12: e002468.</w:t>
      </w:r>
    </w:p>
    <w:p w:rsidR="004164F0" w:rsidRPr="00DA3EC6" w:rsidRDefault="004164F0" w:rsidP="004164F0">
      <w:pPr>
        <w:autoSpaceDE w:val="0"/>
        <w:autoSpaceDN w:val="0"/>
        <w:adjustRightInd w:val="0"/>
        <w:spacing w:line="480" w:lineRule="auto"/>
        <w:jc w:val="both"/>
        <w:rPr>
          <w:rFonts w:eastAsia="SimSun"/>
          <w:b/>
          <w:bCs/>
          <w:color w:val="000000" w:themeColor="text1"/>
          <w:szCs w:val="22"/>
        </w:rPr>
      </w:pPr>
      <w:r>
        <w:rPr>
          <w:rFonts w:eastAsia="SimSun"/>
          <w:b/>
          <w:bCs/>
          <w:color w:val="FF0000"/>
          <w:szCs w:val="22"/>
        </w:rPr>
        <w:br w:type="page"/>
      </w:r>
      <w:r w:rsidRPr="00DA3EC6">
        <w:rPr>
          <w:rFonts w:eastAsia="SimSun"/>
          <w:b/>
          <w:bCs/>
          <w:color w:val="000000" w:themeColor="text1"/>
          <w:szCs w:val="22"/>
        </w:rPr>
        <w:lastRenderedPageBreak/>
        <w:t>Figure 1. Assumptions of MR study and study design overview</w:t>
      </w:r>
    </w:p>
    <w:p w:rsidR="004164F0" w:rsidRDefault="004164F0" w:rsidP="004164F0">
      <w:pPr>
        <w:autoSpaceDE w:val="0"/>
        <w:autoSpaceDN w:val="0"/>
        <w:adjustRightInd w:val="0"/>
        <w:spacing w:line="480" w:lineRule="auto"/>
        <w:jc w:val="both"/>
        <w:rPr>
          <w:rFonts w:eastAsia="SimSun"/>
          <w:b/>
          <w:bCs/>
          <w:color w:val="131413"/>
          <w:szCs w:val="22"/>
        </w:rPr>
      </w:pPr>
    </w:p>
    <w:p w:rsidR="004164F0" w:rsidRDefault="004164F0" w:rsidP="004164F0">
      <w:pPr>
        <w:autoSpaceDE w:val="0"/>
        <w:autoSpaceDN w:val="0"/>
        <w:adjustRightInd w:val="0"/>
        <w:spacing w:line="480" w:lineRule="auto"/>
        <w:jc w:val="both"/>
        <w:rPr>
          <w:rFonts w:eastAsia="SimSun"/>
          <w:b/>
          <w:bCs/>
          <w:color w:val="131413"/>
          <w:szCs w:val="22"/>
        </w:rPr>
      </w:pPr>
      <w:r>
        <w:rPr>
          <w:rFonts w:eastAsia="SimSun"/>
          <w:b/>
          <w:bCs/>
          <w:color w:val="131413"/>
          <w:szCs w:val="22"/>
        </w:rPr>
        <w:t xml:space="preserve">Figure 2. Associations of </w:t>
      </w:r>
      <w:r w:rsidRPr="00A71E34">
        <w:rPr>
          <w:rFonts w:eastAsia="SimSun"/>
          <w:b/>
          <w:bCs/>
          <w:color w:val="131413"/>
        </w:rPr>
        <w:t xml:space="preserve">genetically predicted </w:t>
      </w:r>
      <w:r w:rsidRPr="00A71E34">
        <w:rPr>
          <w:b/>
          <w:bCs/>
          <w:color w:val="000000" w:themeColor="text1"/>
        </w:rPr>
        <w:t xml:space="preserve">TSH and free </w:t>
      </w:r>
      <w:r w:rsidRPr="00A71E34">
        <w:rPr>
          <w:b/>
          <w:bCs/>
        </w:rPr>
        <w:t>thyroxine levels</w:t>
      </w:r>
      <w:r w:rsidRPr="00A71E34">
        <w:rPr>
          <w:b/>
          <w:bCs/>
          <w:color w:val="000000" w:themeColor="text1"/>
        </w:rPr>
        <w:t>,</w:t>
      </w:r>
      <w:r w:rsidRPr="00A71E34">
        <w:rPr>
          <w:rFonts w:eastAsia="SimSun"/>
          <w:b/>
          <w:bCs/>
          <w:color w:val="131413"/>
        </w:rPr>
        <w:t xml:space="preserve"> </w:t>
      </w:r>
      <w:r w:rsidRPr="00A71E34">
        <w:rPr>
          <w:b/>
          <w:bCs/>
        </w:rPr>
        <w:t>hypothyroidism</w:t>
      </w:r>
      <w:r w:rsidRPr="00A71E34">
        <w:rPr>
          <w:rFonts w:eastAsia="SimSun"/>
          <w:b/>
          <w:bCs/>
          <w:color w:val="131413"/>
        </w:rPr>
        <w:t xml:space="preserve"> </w:t>
      </w:r>
      <w:r w:rsidRPr="00A71E34">
        <w:rPr>
          <w:b/>
          <w:bCs/>
          <w:color w:val="000000" w:themeColor="text1"/>
        </w:rPr>
        <w:t>and hyperthyroidism with</w:t>
      </w:r>
      <w:r>
        <w:rPr>
          <w:rFonts w:eastAsia="SimSun"/>
          <w:b/>
          <w:bCs/>
          <w:color w:val="131413"/>
          <w:szCs w:val="22"/>
        </w:rPr>
        <w:t xml:space="preserve"> overall cancer in UK Biobank with 75 037 cancer cases at any site. </w:t>
      </w:r>
      <w:r w:rsidRPr="00A71E34">
        <w:rPr>
          <w:rFonts w:eastAsia="SimSun"/>
          <w:bCs/>
          <w:color w:val="131413"/>
          <w:szCs w:val="22"/>
        </w:rPr>
        <w:t xml:space="preserve">CI indicates confidence interval; MR-PRESSO, Mendelian randomization-pleiotropy residual sum and outlier; </w:t>
      </w:r>
      <w:r w:rsidRPr="00A71E34">
        <w:t xml:space="preserve">TSH, </w:t>
      </w:r>
      <w:r w:rsidRPr="00A71E34">
        <w:rPr>
          <w:color w:val="000000" w:themeColor="text1"/>
        </w:rPr>
        <w:t>thyroid-stimulating hormone;</w:t>
      </w:r>
      <w:r w:rsidRPr="00A71E34">
        <w:t xml:space="preserve"> </w:t>
      </w:r>
      <w:r w:rsidRPr="00A71E34">
        <w:rPr>
          <w:rFonts w:eastAsia="SimSun"/>
          <w:bCs/>
          <w:color w:val="131413"/>
          <w:szCs w:val="22"/>
        </w:rPr>
        <w:t>IVW, inverse-variance weighted; OR, odds ratio;</w:t>
      </w:r>
      <w:r>
        <w:rPr>
          <w:rFonts w:eastAsia="SimSun"/>
          <w:bCs/>
          <w:color w:val="131413"/>
          <w:szCs w:val="22"/>
        </w:rPr>
        <w:t xml:space="preserve"> </w:t>
      </w:r>
      <w:r w:rsidRPr="00A71E34">
        <w:t xml:space="preserve">Heterogeneity was observed in the analysis </w:t>
      </w:r>
      <w:r>
        <w:t>of</w:t>
      </w:r>
      <w:r w:rsidRPr="00A71E34">
        <w:t xml:space="preserve"> hyp</w:t>
      </w:r>
      <w:r>
        <w:t>o</w:t>
      </w:r>
      <w:r w:rsidRPr="00A71E34">
        <w:t>thyroidism</w:t>
      </w:r>
      <w:r>
        <w:t xml:space="preserve"> and </w:t>
      </w:r>
      <w:r w:rsidRPr="00A71E34">
        <w:t>hyp</w:t>
      </w:r>
      <w:r>
        <w:t>er</w:t>
      </w:r>
      <w:r w:rsidRPr="00A71E34">
        <w:t>thyroidis</w:t>
      </w:r>
      <w:r>
        <w:t>m</w:t>
      </w:r>
      <w:r w:rsidRPr="00A71E34">
        <w:t xml:space="preserve">. There was no detected pleiotropy in all </w:t>
      </w:r>
      <w:r>
        <w:t xml:space="preserve">MR-Egger </w:t>
      </w:r>
      <w:r w:rsidRPr="00A71E34">
        <w:t xml:space="preserve">analyses. </w:t>
      </w:r>
      <w:r>
        <w:t xml:space="preserve">Two and one </w:t>
      </w:r>
      <w:r w:rsidRPr="00A71E34">
        <w:t xml:space="preserve">outliers were detected and corrected in the MR-PRESSO analysis </w:t>
      </w:r>
      <w:r>
        <w:t>of</w:t>
      </w:r>
      <w:r w:rsidRPr="00A71E34">
        <w:t xml:space="preserve"> hyp</w:t>
      </w:r>
      <w:r>
        <w:t>o</w:t>
      </w:r>
      <w:r w:rsidRPr="00A71E34">
        <w:t>thyroidism</w:t>
      </w:r>
      <w:r>
        <w:t xml:space="preserve"> and </w:t>
      </w:r>
      <w:r w:rsidRPr="00A71E34">
        <w:t>hy</w:t>
      </w:r>
      <w:bookmarkStart w:id="37" w:name="_GoBack"/>
      <w:bookmarkEnd w:id="37"/>
      <w:r w:rsidRPr="00A71E34">
        <w:t>p</w:t>
      </w:r>
      <w:r>
        <w:t>er</w:t>
      </w:r>
      <w:r w:rsidRPr="00A71E34">
        <w:t xml:space="preserve">thyroidism, respectively. </w:t>
      </w:r>
      <w:r>
        <w:t xml:space="preserve">No outlier was detected in the analysis of TSH and free thyroxine. </w:t>
      </w:r>
    </w:p>
    <w:p w:rsidR="004164F0" w:rsidRDefault="004164F0" w:rsidP="004164F0">
      <w:pPr>
        <w:spacing w:line="480" w:lineRule="auto"/>
        <w:jc w:val="both"/>
        <w:rPr>
          <w:rFonts w:eastAsia="SimSun"/>
          <w:b/>
          <w:bCs/>
          <w:color w:val="131413"/>
          <w:szCs w:val="22"/>
        </w:rPr>
      </w:pPr>
    </w:p>
    <w:p w:rsidR="004164F0" w:rsidRPr="004164F0" w:rsidRDefault="004164F0" w:rsidP="004164F0">
      <w:pPr>
        <w:spacing w:line="480" w:lineRule="auto"/>
        <w:jc w:val="both"/>
        <w:rPr>
          <w:rFonts w:eastAsia="SimSun"/>
          <w:bCs/>
          <w:color w:val="131413"/>
          <w:szCs w:val="22"/>
        </w:rPr>
      </w:pPr>
      <w:r w:rsidRPr="00A71E34">
        <w:rPr>
          <w:rFonts w:eastAsia="SimSun"/>
          <w:b/>
          <w:bCs/>
          <w:color w:val="131413"/>
          <w:szCs w:val="22"/>
        </w:rPr>
        <w:t xml:space="preserve">Figure </w:t>
      </w:r>
      <w:r>
        <w:rPr>
          <w:rFonts w:eastAsia="SimSun"/>
          <w:b/>
          <w:bCs/>
          <w:color w:val="131413"/>
          <w:szCs w:val="22"/>
        </w:rPr>
        <w:t>3</w:t>
      </w:r>
      <w:r w:rsidRPr="00A71E34">
        <w:rPr>
          <w:rFonts w:eastAsia="SimSun"/>
          <w:b/>
          <w:bCs/>
          <w:color w:val="131413"/>
          <w:szCs w:val="22"/>
        </w:rPr>
        <w:t>. Meta-analysis of the associations of</w:t>
      </w:r>
      <w:r w:rsidRPr="00A71E34">
        <w:rPr>
          <w:b/>
          <w:bCs/>
          <w:color w:val="000000" w:themeColor="text1"/>
        </w:rPr>
        <w:t xml:space="preserve"> </w:t>
      </w:r>
      <w:r w:rsidRPr="00A71E34">
        <w:rPr>
          <w:rFonts w:eastAsia="SimSun"/>
          <w:b/>
          <w:bCs/>
          <w:color w:val="131413"/>
          <w:szCs w:val="22"/>
        </w:rPr>
        <w:t xml:space="preserve">genetically </w:t>
      </w:r>
      <w:bookmarkStart w:id="38" w:name="OLE_LINK170"/>
      <w:bookmarkStart w:id="39" w:name="OLE_LINK171"/>
      <w:r w:rsidRPr="00A71E34">
        <w:rPr>
          <w:rFonts w:eastAsia="SimSun"/>
          <w:b/>
          <w:bCs/>
          <w:color w:val="131413"/>
          <w:szCs w:val="22"/>
        </w:rPr>
        <w:t xml:space="preserve">predicted </w:t>
      </w:r>
      <w:r w:rsidRPr="00A71E34">
        <w:rPr>
          <w:b/>
          <w:bCs/>
          <w:color w:val="000000" w:themeColor="text1"/>
        </w:rPr>
        <w:t xml:space="preserve">TSH and </w:t>
      </w:r>
      <w:bookmarkStart w:id="40" w:name="OLE_LINK168"/>
      <w:bookmarkStart w:id="41" w:name="OLE_LINK169"/>
      <w:r w:rsidRPr="00A71E34">
        <w:rPr>
          <w:b/>
          <w:bCs/>
          <w:color w:val="000000" w:themeColor="text1"/>
        </w:rPr>
        <w:t xml:space="preserve">free </w:t>
      </w:r>
      <w:r w:rsidRPr="00A71E34">
        <w:rPr>
          <w:b/>
          <w:bCs/>
        </w:rPr>
        <w:t>thyroxine</w:t>
      </w:r>
      <w:bookmarkEnd w:id="40"/>
      <w:bookmarkEnd w:id="41"/>
      <w:r w:rsidRPr="00A71E34">
        <w:rPr>
          <w:b/>
          <w:bCs/>
        </w:rPr>
        <w:t xml:space="preserve"> levels</w:t>
      </w:r>
      <w:r w:rsidRPr="00A71E34">
        <w:rPr>
          <w:b/>
          <w:bCs/>
          <w:color w:val="000000" w:themeColor="text1"/>
        </w:rPr>
        <w:t>,</w:t>
      </w:r>
      <w:r w:rsidRPr="00A71E34">
        <w:rPr>
          <w:rFonts w:eastAsia="SimSun"/>
          <w:b/>
          <w:bCs/>
          <w:color w:val="131413"/>
          <w:szCs w:val="22"/>
        </w:rPr>
        <w:t xml:space="preserve"> </w:t>
      </w:r>
      <w:r w:rsidRPr="00A71E34">
        <w:rPr>
          <w:b/>
          <w:bCs/>
        </w:rPr>
        <w:t>hypothyroidism and</w:t>
      </w:r>
      <w:r w:rsidRPr="00A71E34">
        <w:rPr>
          <w:rFonts w:eastAsia="SimSun"/>
          <w:b/>
          <w:bCs/>
          <w:color w:val="131413"/>
          <w:szCs w:val="22"/>
        </w:rPr>
        <w:t xml:space="preserve"> </w:t>
      </w:r>
      <w:r w:rsidRPr="00A71E34">
        <w:rPr>
          <w:b/>
          <w:bCs/>
          <w:color w:val="000000" w:themeColor="text1"/>
        </w:rPr>
        <w:t xml:space="preserve">hyperthyroidism </w:t>
      </w:r>
      <w:bookmarkEnd w:id="38"/>
      <w:bookmarkEnd w:id="39"/>
      <w:r w:rsidRPr="00A71E34">
        <w:rPr>
          <w:b/>
          <w:bCs/>
          <w:color w:val="000000" w:themeColor="text1"/>
        </w:rPr>
        <w:t>with</w:t>
      </w:r>
      <w:r w:rsidRPr="00A71E34">
        <w:rPr>
          <w:rFonts w:eastAsia="SimSun"/>
          <w:b/>
          <w:bCs/>
          <w:color w:val="131413"/>
          <w:szCs w:val="22"/>
        </w:rPr>
        <w:t xml:space="preserve"> breast cancer</w:t>
      </w:r>
      <w:r>
        <w:rPr>
          <w:rFonts w:eastAsia="SimSun"/>
          <w:bCs/>
          <w:color w:val="131413"/>
          <w:szCs w:val="22"/>
        </w:rPr>
        <w:t xml:space="preserve">. </w:t>
      </w:r>
      <w:r w:rsidRPr="00A71E34">
        <w:t xml:space="preserve">BCAC indicates breast cancer association consortium; CI; confidence interval; TSH, </w:t>
      </w:r>
      <w:r w:rsidRPr="00A71E34">
        <w:rPr>
          <w:color w:val="000000" w:themeColor="text1"/>
        </w:rPr>
        <w:t>thyroid-stimulating hormone;</w:t>
      </w:r>
      <w:r w:rsidRPr="00A71E34">
        <w:t xml:space="preserve"> OR, odds ratio; UKBB, UK Biobank. </w:t>
      </w:r>
    </w:p>
    <w:p w:rsidR="004164F0" w:rsidRDefault="004164F0" w:rsidP="004164F0">
      <w:pPr>
        <w:spacing w:line="480" w:lineRule="auto"/>
      </w:pPr>
    </w:p>
    <w:p w:rsidR="004164F0" w:rsidRPr="00A71E34" w:rsidRDefault="004164F0" w:rsidP="004164F0">
      <w:pPr>
        <w:spacing w:line="480" w:lineRule="auto"/>
      </w:pPr>
      <w:r w:rsidRPr="00B50FAA">
        <w:rPr>
          <w:b/>
          <w:bCs/>
        </w:rPr>
        <w:t xml:space="preserve">Figure </w:t>
      </w:r>
      <w:r>
        <w:rPr>
          <w:b/>
          <w:bCs/>
        </w:rPr>
        <w:t>4</w:t>
      </w:r>
      <w:r w:rsidRPr="00B50FAA">
        <w:rPr>
          <w:b/>
          <w:bCs/>
        </w:rPr>
        <w:t>.</w:t>
      </w:r>
      <w:r w:rsidRPr="00A71E34">
        <w:rPr>
          <w:b/>
          <w:bCs/>
        </w:rPr>
        <w:t xml:space="preserve"> </w:t>
      </w:r>
      <w:r w:rsidRPr="00A71E34">
        <w:rPr>
          <w:rFonts w:eastAsia="SimSun"/>
          <w:b/>
          <w:bCs/>
          <w:color w:val="131413"/>
        </w:rPr>
        <w:t xml:space="preserve">Associations of genetically predicted </w:t>
      </w:r>
      <w:r w:rsidRPr="00A71E34">
        <w:rPr>
          <w:b/>
          <w:bCs/>
          <w:color w:val="000000" w:themeColor="text1"/>
        </w:rPr>
        <w:t xml:space="preserve">TSH and free </w:t>
      </w:r>
      <w:r w:rsidRPr="00A71E34">
        <w:rPr>
          <w:b/>
          <w:bCs/>
        </w:rPr>
        <w:t>thyroxine levels</w:t>
      </w:r>
      <w:r w:rsidRPr="00A71E34">
        <w:rPr>
          <w:b/>
          <w:bCs/>
          <w:color w:val="000000" w:themeColor="text1"/>
        </w:rPr>
        <w:t>,</w:t>
      </w:r>
      <w:r w:rsidRPr="00A71E34">
        <w:rPr>
          <w:rFonts w:eastAsia="SimSun"/>
          <w:b/>
          <w:bCs/>
          <w:color w:val="131413"/>
        </w:rPr>
        <w:t xml:space="preserve"> </w:t>
      </w:r>
      <w:r w:rsidRPr="00A71E34">
        <w:rPr>
          <w:b/>
          <w:bCs/>
        </w:rPr>
        <w:t>hypothyroidism</w:t>
      </w:r>
      <w:r w:rsidRPr="00A71E34">
        <w:rPr>
          <w:rFonts w:eastAsia="SimSun"/>
          <w:b/>
          <w:bCs/>
          <w:color w:val="131413"/>
        </w:rPr>
        <w:t xml:space="preserve"> </w:t>
      </w:r>
      <w:r w:rsidRPr="00A71E34">
        <w:rPr>
          <w:b/>
          <w:bCs/>
          <w:color w:val="000000" w:themeColor="text1"/>
        </w:rPr>
        <w:t>and hyperthyroidism with</w:t>
      </w:r>
      <w:r w:rsidRPr="00A71E34">
        <w:rPr>
          <w:rFonts w:eastAsia="SimSun"/>
          <w:b/>
          <w:bCs/>
          <w:color w:val="131413"/>
        </w:rPr>
        <w:t xml:space="preserve"> </w:t>
      </w:r>
      <w:r w:rsidRPr="00A71E34">
        <w:rPr>
          <w:rFonts w:eastAsia="SimSun"/>
          <w:b/>
          <w:color w:val="131413"/>
        </w:rPr>
        <w:t>thyroid cancer</w:t>
      </w:r>
      <w:r>
        <w:rPr>
          <w:rFonts w:eastAsia="SimSun"/>
          <w:b/>
          <w:color w:val="131413"/>
        </w:rPr>
        <w:t xml:space="preserve">. </w:t>
      </w:r>
      <w:r w:rsidRPr="00A71E34">
        <w:rPr>
          <w:rFonts w:eastAsia="SimSun"/>
          <w:bCs/>
          <w:color w:val="131413"/>
          <w:szCs w:val="22"/>
        </w:rPr>
        <w:t xml:space="preserve">CI indicates confidence interval; MR-PRESSO, Mendelian randomization-pleiotropy residual sum and outlier; </w:t>
      </w:r>
      <w:r w:rsidRPr="00A71E34">
        <w:t xml:space="preserve">TSH, </w:t>
      </w:r>
      <w:r w:rsidRPr="00A71E34">
        <w:rPr>
          <w:color w:val="000000" w:themeColor="text1"/>
        </w:rPr>
        <w:t>thyroid-stimulating hormone;</w:t>
      </w:r>
      <w:r w:rsidRPr="00A71E34">
        <w:t xml:space="preserve"> </w:t>
      </w:r>
      <w:r w:rsidRPr="00A71E34">
        <w:rPr>
          <w:rFonts w:eastAsia="SimSun"/>
          <w:bCs/>
          <w:color w:val="131413"/>
          <w:szCs w:val="22"/>
        </w:rPr>
        <w:t>IVW, inverse-variance weighted; OR, odds ratio;</w:t>
      </w:r>
      <w:r>
        <w:rPr>
          <w:rFonts w:eastAsia="SimSun"/>
          <w:bCs/>
          <w:color w:val="131413"/>
          <w:szCs w:val="22"/>
        </w:rPr>
        <w:t xml:space="preserve"> </w:t>
      </w:r>
      <w:r w:rsidRPr="00A71E34">
        <w:t xml:space="preserve">Heterogeneity was observed in the analysis of TSH, hyperthyroidism and free thyroxine. There was no detected pleiotropy in all </w:t>
      </w:r>
      <w:r>
        <w:t xml:space="preserve">MR-Egger </w:t>
      </w:r>
      <w:r w:rsidRPr="00A71E34">
        <w:t xml:space="preserve">analyses. Two, one and two outliers were detected and corrected in the MR-PRESSO analysis of TSH, hyperthyroidism and thyroxine, respectively. </w:t>
      </w:r>
    </w:p>
    <w:p w:rsidR="004164F0" w:rsidRPr="00A71E34" w:rsidRDefault="004164F0" w:rsidP="00DA3EC6">
      <w:pPr>
        <w:spacing w:line="480" w:lineRule="auto"/>
        <w:rPr>
          <w:sz w:val="22"/>
          <w:szCs w:val="22"/>
        </w:rPr>
        <w:sectPr w:rsidR="004164F0" w:rsidRPr="00A71E34" w:rsidSect="00D05070">
          <w:pgSz w:w="11900" w:h="16840"/>
          <w:pgMar w:top="1440" w:right="1440" w:bottom="1440" w:left="1440" w:header="708" w:footer="708" w:gutter="0"/>
          <w:cols w:space="708"/>
          <w:docGrid w:linePitch="360"/>
        </w:sectPr>
      </w:pPr>
    </w:p>
    <w:p w:rsidR="009E2734" w:rsidRPr="00DA3EC6" w:rsidRDefault="009E2734" w:rsidP="00DA3EC6">
      <w:pPr>
        <w:autoSpaceDE w:val="0"/>
        <w:autoSpaceDN w:val="0"/>
        <w:adjustRightInd w:val="0"/>
        <w:spacing w:line="480" w:lineRule="auto"/>
        <w:jc w:val="both"/>
        <w:rPr>
          <w:rFonts w:eastAsia="SimSun"/>
          <w:b/>
          <w:bCs/>
          <w:color w:val="000000" w:themeColor="text1"/>
        </w:rPr>
      </w:pPr>
      <w:r w:rsidRPr="00DA3EC6">
        <w:rPr>
          <w:b/>
          <w:bCs/>
          <w:color w:val="000000" w:themeColor="text1"/>
        </w:rPr>
        <w:lastRenderedPageBreak/>
        <w:t xml:space="preserve">Table 1. </w:t>
      </w:r>
      <w:r w:rsidRPr="00DA3EC6">
        <w:rPr>
          <w:rFonts w:eastAsia="SimSun"/>
          <w:b/>
          <w:bCs/>
          <w:color w:val="000000" w:themeColor="text1"/>
        </w:rPr>
        <w:t xml:space="preserve">Associations of genetically predicted </w:t>
      </w:r>
      <w:r w:rsidRPr="00DA3EC6">
        <w:rPr>
          <w:b/>
          <w:bCs/>
          <w:color w:val="000000" w:themeColor="text1"/>
        </w:rPr>
        <w:t>TSH and free thyroxine levels,</w:t>
      </w:r>
      <w:r w:rsidRPr="00DA3EC6">
        <w:rPr>
          <w:rFonts w:eastAsia="SimSun"/>
          <w:b/>
          <w:bCs/>
          <w:color w:val="000000" w:themeColor="text1"/>
        </w:rPr>
        <w:t xml:space="preserve"> </w:t>
      </w:r>
      <w:r w:rsidRPr="00DA3EC6">
        <w:rPr>
          <w:b/>
          <w:bCs/>
          <w:color w:val="000000" w:themeColor="text1"/>
        </w:rPr>
        <w:t>hypothyroidism</w:t>
      </w:r>
      <w:r w:rsidRPr="00DA3EC6">
        <w:rPr>
          <w:rFonts w:eastAsia="SimSun"/>
          <w:b/>
          <w:bCs/>
          <w:color w:val="000000" w:themeColor="text1"/>
        </w:rPr>
        <w:t xml:space="preserve"> </w:t>
      </w:r>
      <w:r w:rsidRPr="00DA3EC6">
        <w:rPr>
          <w:b/>
          <w:bCs/>
          <w:color w:val="000000" w:themeColor="text1"/>
        </w:rPr>
        <w:t>and hyperthyroidism with</w:t>
      </w:r>
      <w:r w:rsidRPr="00DA3EC6">
        <w:rPr>
          <w:rFonts w:eastAsia="SimSun"/>
          <w:b/>
          <w:bCs/>
          <w:color w:val="000000" w:themeColor="text1"/>
        </w:rPr>
        <w:t xml:space="preserve"> 22 cancers in random effects inverse-variance weighted model</w:t>
      </w:r>
    </w:p>
    <w:tbl>
      <w:tblPr>
        <w:tblW w:w="14454" w:type="dxa"/>
        <w:jc w:val="center"/>
        <w:tblBorders>
          <w:top w:val="single" w:sz="4" w:space="0" w:color="auto"/>
          <w:bottom w:val="single" w:sz="4" w:space="0" w:color="auto"/>
        </w:tblBorders>
        <w:tblLook w:val="04A0" w:firstRow="1" w:lastRow="0" w:firstColumn="1" w:lastColumn="0" w:noHBand="0" w:noVBand="1"/>
      </w:tblPr>
      <w:tblGrid>
        <w:gridCol w:w="2552"/>
        <w:gridCol w:w="961"/>
        <w:gridCol w:w="2016"/>
        <w:gridCol w:w="1050"/>
        <w:gridCol w:w="1594"/>
        <w:gridCol w:w="736"/>
        <w:gridCol w:w="1969"/>
        <w:gridCol w:w="1010"/>
        <w:gridCol w:w="1669"/>
        <w:gridCol w:w="897"/>
      </w:tblGrid>
      <w:tr w:rsidR="009E2734" w:rsidRPr="00A71E34" w:rsidTr="00DA3EC6">
        <w:trPr>
          <w:trHeight w:val="320"/>
          <w:jc w:val="center"/>
        </w:trPr>
        <w:tc>
          <w:tcPr>
            <w:tcW w:w="2552" w:type="dxa"/>
            <w:vMerge w:val="restart"/>
            <w:tcBorders>
              <w:top w:val="single" w:sz="12" w:space="0" w:color="auto"/>
              <w:bottom w:val="nil"/>
            </w:tcBorders>
            <w:shd w:val="clear" w:color="auto" w:fill="AEAAAA" w:themeFill="background2" w:themeFillShade="BF"/>
            <w:noWrap/>
            <w:vAlign w:val="center"/>
          </w:tcPr>
          <w:p w:rsidR="009E2734" w:rsidRPr="00A71E34" w:rsidRDefault="009E2734" w:rsidP="00DA3EC6">
            <w:pPr>
              <w:jc w:val="center"/>
              <w:rPr>
                <w:b/>
                <w:bCs/>
                <w:color w:val="000000" w:themeColor="text1"/>
                <w:sz w:val="20"/>
                <w:szCs w:val="20"/>
              </w:rPr>
            </w:pPr>
            <w:r w:rsidRPr="004164F0">
              <w:rPr>
                <w:b/>
                <w:bCs/>
                <w:color w:val="000000" w:themeColor="text1"/>
                <w:sz w:val="20"/>
                <w:szCs w:val="20"/>
              </w:rPr>
              <w:t>Cancer site or cancer</w:t>
            </w:r>
          </w:p>
        </w:tc>
        <w:tc>
          <w:tcPr>
            <w:tcW w:w="961" w:type="dxa"/>
            <w:vMerge w:val="restart"/>
            <w:tcBorders>
              <w:top w:val="single" w:sz="12" w:space="0" w:color="auto"/>
              <w:bottom w:val="nil"/>
            </w:tcBorders>
            <w:shd w:val="clear" w:color="auto" w:fill="AEAAAA" w:themeFill="background2" w:themeFillShade="BF"/>
            <w:noWrap/>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Cases</w:t>
            </w:r>
          </w:p>
        </w:tc>
        <w:tc>
          <w:tcPr>
            <w:tcW w:w="3066" w:type="dxa"/>
            <w:gridSpan w:val="2"/>
            <w:tcBorders>
              <w:top w:val="single" w:sz="12" w:space="0" w:color="auto"/>
              <w:bottom w:val="single" w:sz="6"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TSH</w:t>
            </w:r>
          </w:p>
        </w:tc>
        <w:tc>
          <w:tcPr>
            <w:tcW w:w="2330" w:type="dxa"/>
            <w:gridSpan w:val="2"/>
            <w:tcBorders>
              <w:top w:val="single" w:sz="12" w:space="0" w:color="auto"/>
              <w:bottom w:val="single" w:sz="6" w:space="0" w:color="auto"/>
            </w:tcBorders>
            <w:shd w:val="clear" w:color="auto" w:fill="AEAAAA" w:themeFill="background2" w:themeFillShade="BF"/>
            <w:noWrap/>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Hypothyroidism</w:t>
            </w:r>
          </w:p>
        </w:tc>
        <w:tc>
          <w:tcPr>
            <w:tcW w:w="2979" w:type="dxa"/>
            <w:gridSpan w:val="2"/>
            <w:tcBorders>
              <w:top w:val="single" w:sz="12" w:space="0" w:color="auto"/>
              <w:bottom w:val="single" w:sz="6"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Hyperthyroidism</w:t>
            </w:r>
          </w:p>
        </w:tc>
        <w:tc>
          <w:tcPr>
            <w:tcW w:w="2566" w:type="dxa"/>
            <w:gridSpan w:val="2"/>
            <w:tcBorders>
              <w:top w:val="single" w:sz="12" w:space="0" w:color="auto"/>
              <w:bottom w:val="single" w:sz="6"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Pr>
                <w:b/>
                <w:bCs/>
                <w:color w:val="000000" w:themeColor="text1"/>
                <w:sz w:val="20"/>
                <w:szCs w:val="20"/>
              </w:rPr>
              <w:t>Free t</w:t>
            </w:r>
            <w:r w:rsidRPr="00A71E34">
              <w:rPr>
                <w:b/>
                <w:bCs/>
                <w:color w:val="000000" w:themeColor="text1"/>
                <w:sz w:val="20"/>
                <w:szCs w:val="20"/>
              </w:rPr>
              <w:t>hyroxine</w:t>
            </w:r>
          </w:p>
        </w:tc>
      </w:tr>
      <w:tr w:rsidR="009E2734" w:rsidRPr="00A71E34" w:rsidTr="00DA3EC6">
        <w:trPr>
          <w:trHeight w:val="320"/>
          <w:jc w:val="center"/>
        </w:trPr>
        <w:tc>
          <w:tcPr>
            <w:tcW w:w="2552" w:type="dxa"/>
            <w:vMerge/>
            <w:tcBorders>
              <w:top w:val="nil"/>
              <w:bottom w:val="single" w:sz="4" w:space="0" w:color="auto"/>
            </w:tcBorders>
            <w:shd w:val="clear" w:color="auto" w:fill="AEAAAA" w:themeFill="background2" w:themeFillShade="BF"/>
            <w:noWrap/>
            <w:vAlign w:val="center"/>
            <w:hideMark/>
          </w:tcPr>
          <w:p w:rsidR="009E2734" w:rsidRPr="00A71E34" w:rsidRDefault="009E2734" w:rsidP="00DA3EC6">
            <w:pPr>
              <w:jc w:val="center"/>
              <w:rPr>
                <w:b/>
                <w:bCs/>
                <w:color w:val="000000" w:themeColor="text1"/>
                <w:sz w:val="20"/>
                <w:szCs w:val="20"/>
              </w:rPr>
            </w:pPr>
          </w:p>
        </w:tc>
        <w:tc>
          <w:tcPr>
            <w:tcW w:w="961" w:type="dxa"/>
            <w:vMerge/>
            <w:tcBorders>
              <w:top w:val="nil"/>
              <w:bottom w:val="single" w:sz="4" w:space="0" w:color="auto"/>
            </w:tcBorders>
            <w:shd w:val="clear" w:color="auto" w:fill="AEAAAA" w:themeFill="background2" w:themeFillShade="BF"/>
            <w:noWrap/>
            <w:vAlign w:val="center"/>
            <w:hideMark/>
          </w:tcPr>
          <w:p w:rsidR="009E2734" w:rsidRPr="00A71E34" w:rsidRDefault="009E2734" w:rsidP="00DA3EC6">
            <w:pPr>
              <w:jc w:val="center"/>
              <w:rPr>
                <w:b/>
                <w:bCs/>
                <w:color w:val="000000" w:themeColor="text1"/>
                <w:sz w:val="20"/>
                <w:szCs w:val="20"/>
              </w:rPr>
            </w:pPr>
          </w:p>
        </w:tc>
        <w:tc>
          <w:tcPr>
            <w:tcW w:w="2016" w:type="dxa"/>
            <w:tcBorders>
              <w:top w:val="single" w:sz="6" w:space="0" w:color="auto"/>
              <w:bottom w:val="single" w:sz="4"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OR (95% CI)</w:t>
            </w:r>
          </w:p>
        </w:tc>
        <w:tc>
          <w:tcPr>
            <w:tcW w:w="1050" w:type="dxa"/>
            <w:tcBorders>
              <w:top w:val="single" w:sz="6" w:space="0" w:color="auto"/>
              <w:bottom w:val="single" w:sz="4"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P</w:t>
            </w:r>
          </w:p>
        </w:tc>
        <w:tc>
          <w:tcPr>
            <w:tcW w:w="1594" w:type="dxa"/>
            <w:tcBorders>
              <w:top w:val="single" w:sz="6" w:space="0" w:color="auto"/>
              <w:bottom w:val="single" w:sz="4" w:space="0" w:color="auto"/>
            </w:tcBorders>
            <w:shd w:val="clear" w:color="auto" w:fill="AEAAAA" w:themeFill="background2" w:themeFillShade="BF"/>
            <w:noWrap/>
            <w:vAlign w:val="center"/>
            <w:hideMark/>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OR (95% CI)</w:t>
            </w:r>
          </w:p>
        </w:tc>
        <w:tc>
          <w:tcPr>
            <w:tcW w:w="736" w:type="dxa"/>
            <w:tcBorders>
              <w:top w:val="single" w:sz="6" w:space="0" w:color="auto"/>
              <w:bottom w:val="single" w:sz="4" w:space="0" w:color="auto"/>
            </w:tcBorders>
            <w:shd w:val="clear" w:color="auto" w:fill="AEAAAA" w:themeFill="background2" w:themeFillShade="BF"/>
            <w:noWrap/>
            <w:vAlign w:val="center"/>
            <w:hideMark/>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P</w:t>
            </w:r>
          </w:p>
        </w:tc>
        <w:tc>
          <w:tcPr>
            <w:tcW w:w="1969" w:type="dxa"/>
            <w:tcBorders>
              <w:top w:val="single" w:sz="6" w:space="0" w:color="auto"/>
              <w:bottom w:val="single" w:sz="4"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OR (95% CI)</w:t>
            </w:r>
          </w:p>
        </w:tc>
        <w:tc>
          <w:tcPr>
            <w:tcW w:w="1010" w:type="dxa"/>
            <w:tcBorders>
              <w:top w:val="single" w:sz="6" w:space="0" w:color="auto"/>
              <w:bottom w:val="single" w:sz="4"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P</w:t>
            </w:r>
          </w:p>
        </w:tc>
        <w:tc>
          <w:tcPr>
            <w:tcW w:w="1669" w:type="dxa"/>
            <w:tcBorders>
              <w:top w:val="single" w:sz="6" w:space="0" w:color="auto"/>
              <w:bottom w:val="single" w:sz="4"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OR (95% CI)</w:t>
            </w:r>
          </w:p>
        </w:tc>
        <w:tc>
          <w:tcPr>
            <w:tcW w:w="897" w:type="dxa"/>
            <w:tcBorders>
              <w:top w:val="single" w:sz="6" w:space="0" w:color="auto"/>
              <w:bottom w:val="single" w:sz="4" w:space="0" w:color="auto"/>
            </w:tcBorders>
            <w:shd w:val="clear" w:color="auto" w:fill="AEAAAA" w:themeFill="background2" w:themeFillShade="BF"/>
            <w:vAlign w:val="center"/>
          </w:tcPr>
          <w:p w:rsidR="009E2734" w:rsidRPr="00A71E34" w:rsidRDefault="009E2734" w:rsidP="00DA3EC6">
            <w:pPr>
              <w:jc w:val="center"/>
              <w:rPr>
                <w:b/>
                <w:bCs/>
                <w:color w:val="000000" w:themeColor="text1"/>
                <w:sz w:val="20"/>
                <w:szCs w:val="20"/>
              </w:rPr>
            </w:pPr>
            <w:r w:rsidRPr="00A71E34">
              <w:rPr>
                <w:b/>
                <w:bCs/>
                <w:color w:val="000000" w:themeColor="text1"/>
                <w:sz w:val="20"/>
                <w:szCs w:val="20"/>
              </w:rPr>
              <w:t>P</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Pr>
                <w:b/>
                <w:color w:val="000000" w:themeColor="text1"/>
                <w:sz w:val="20"/>
                <w:szCs w:val="20"/>
              </w:rPr>
              <w:t>Sex-specific</w:t>
            </w:r>
          </w:p>
        </w:tc>
        <w:tc>
          <w:tcPr>
            <w:tcW w:w="961" w:type="dxa"/>
            <w:shd w:val="clear" w:color="auto" w:fill="auto"/>
            <w:noWrap/>
            <w:vAlign w:val="center"/>
          </w:tcPr>
          <w:p w:rsidR="009E2734" w:rsidRPr="00A0447B" w:rsidRDefault="009E2734" w:rsidP="00DA3EC6">
            <w:pPr>
              <w:jc w:val="center"/>
              <w:rPr>
                <w:color w:val="000000" w:themeColor="text1"/>
                <w:sz w:val="20"/>
                <w:szCs w:val="20"/>
              </w:rPr>
            </w:pPr>
          </w:p>
        </w:tc>
        <w:tc>
          <w:tcPr>
            <w:tcW w:w="2016" w:type="dxa"/>
            <w:vAlign w:val="center"/>
          </w:tcPr>
          <w:p w:rsidR="009E2734" w:rsidRPr="00A0447B" w:rsidRDefault="009E2734" w:rsidP="00DA3EC6">
            <w:pPr>
              <w:jc w:val="center"/>
              <w:rPr>
                <w:color w:val="000000" w:themeColor="text1"/>
                <w:sz w:val="20"/>
                <w:szCs w:val="20"/>
              </w:rPr>
            </w:pPr>
          </w:p>
        </w:tc>
        <w:tc>
          <w:tcPr>
            <w:tcW w:w="1050" w:type="dxa"/>
            <w:vAlign w:val="center"/>
          </w:tcPr>
          <w:p w:rsidR="009E2734" w:rsidRPr="00A0447B" w:rsidRDefault="009E2734" w:rsidP="00DA3EC6">
            <w:pPr>
              <w:jc w:val="center"/>
              <w:rPr>
                <w:color w:val="000000" w:themeColor="text1"/>
                <w:sz w:val="20"/>
                <w:szCs w:val="20"/>
              </w:rPr>
            </w:pPr>
          </w:p>
        </w:tc>
        <w:tc>
          <w:tcPr>
            <w:tcW w:w="1594" w:type="dxa"/>
            <w:shd w:val="clear" w:color="auto" w:fill="auto"/>
            <w:noWrap/>
            <w:vAlign w:val="center"/>
          </w:tcPr>
          <w:p w:rsidR="009E2734" w:rsidRPr="00A0447B" w:rsidRDefault="009E2734" w:rsidP="00DA3EC6">
            <w:pPr>
              <w:jc w:val="center"/>
              <w:rPr>
                <w:color w:val="000000" w:themeColor="text1"/>
                <w:sz w:val="20"/>
                <w:szCs w:val="20"/>
              </w:rPr>
            </w:pPr>
          </w:p>
        </w:tc>
        <w:tc>
          <w:tcPr>
            <w:tcW w:w="736" w:type="dxa"/>
            <w:shd w:val="clear" w:color="auto" w:fill="auto"/>
            <w:noWrap/>
            <w:vAlign w:val="center"/>
          </w:tcPr>
          <w:p w:rsidR="009E2734" w:rsidRPr="00A0447B" w:rsidRDefault="009E2734" w:rsidP="00DA3EC6">
            <w:pPr>
              <w:jc w:val="center"/>
              <w:rPr>
                <w:color w:val="000000" w:themeColor="text1"/>
                <w:sz w:val="20"/>
                <w:szCs w:val="20"/>
              </w:rPr>
            </w:pPr>
          </w:p>
        </w:tc>
        <w:tc>
          <w:tcPr>
            <w:tcW w:w="1969" w:type="dxa"/>
            <w:vAlign w:val="center"/>
          </w:tcPr>
          <w:p w:rsidR="009E2734" w:rsidRPr="00A0447B" w:rsidRDefault="009E2734" w:rsidP="00DA3EC6">
            <w:pPr>
              <w:jc w:val="center"/>
              <w:rPr>
                <w:color w:val="000000" w:themeColor="text1"/>
                <w:sz w:val="20"/>
                <w:szCs w:val="20"/>
              </w:rPr>
            </w:pPr>
          </w:p>
        </w:tc>
        <w:tc>
          <w:tcPr>
            <w:tcW w:w="1010" w:type="dxa"/>
            <w:vAlign w:val="center"/>
          </w:tcPr>
          <w:p w:rsidR="009E2734" w:rsidRPr="00A0447B" w:rsidRDefault="009E2734" w:rsidP="00DA3EC6">
            <w:pPr>
              <w:jc w:val="center"/>
              <w:rPr>
                <w:color w:val="000000" w:themeColor="text1"/>
                <w:sz w:val="20"/>
                <w:szCs w:val="20"/>
              </w:rPr>
            </w:pPr>
          </w:p>
        </w:tc>
        <w:tc>
          <w:tcPr>
            <w:tcW w:w="1669" w:type="dxa"/>
            <w:vAlign w:val="center"/>
          </w:tcPr>
          <w:p w:rsidR="009E2734" w:rsidRPr="00A0447B" w:rsidRDefault="009E2734" w:rsidP="00DA3EC6">
            <w:pPr>
              <w:jc w:val="center"/>
              <w:rPr>
                <w:color w:val="000000" w:themeColor="text1"/>
                <w:sz w:val="20"/>
                <w:szCs w:val="20"/>
              </w:rPr>
            </w:pPr>
          </w:p>
        </w:tc>
        <w:tc>
          <w:tcPr>
            <w:tcW w:w="897" w:type="dxa"/>
            <w:vAlign w:val="center"/>
          </w:tcPr>
          <w:p w:rsidR="009E2734" w:rsidRPr="00A0447B" w:rsidRDefault="009E2734" w:rsidP="00DA3EC6">
            <w:pPr>
              <w:jc w:val="center"/>
              <w:rPr>
                <w:color w:val="000000" w:themeColor="text1"/>
                <w:sz w:val="20"/>
                <w:szCs w:val="20"/>
              </w:rPr>
            </w:pP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Breast (BCAC)</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122 977</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 xml:space="preserve">0.95 (0.90, 1.00) </w:t>
            </w:r>
          </w:p>
        </w:tc>
        <w:tc>
          <w:tcPr>
            <w:tcW w:w="1050"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0.064</w:t>
            </w:r>
          </w:p>
        </w:tc>
        <w:tc>
          <w:tcPr>
            <w:tcW w:w="1594"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0.97 (0.92, 1.03)</w:t>
            </w:r>
          </w:p>
        </w:tc>
        <w:tc>
          <w:tcPr>
            <w:tcW w:w="736"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0.303</w:t>
            </w:r>
          </w:p>
        </w:tc>
        <w:tc>
          <w:tcPr>
            <w:tcW w:w="1969"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1.03 (1.00, 1.06)</w:t>
            </w:r>
          </w:p>
        </w:tc>
        <w:tc>
          <w:tcPr>
            <w:tcW w:w="1010"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0.053</w:t>
            </w:r>
          </w:p>
        </w:tc>
        <w:tc>
          <w:tcPr>
            <w:tcW w:w="1669"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1.07 (1.02, 1.13)</w:t>
            </w:r>
          </w:p>
        </w:tc>
        <w:tc>
          <w:tcPr>
            <w:tcW w:w="897"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0.006</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Breast ER+ (BCAC)</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69 501</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0.95 (0.90, 1.00)</w:t>
            </w:r>
          </w:p>
        </w:tc>
        <w:tc>
          <w:tcPr>
            <w:tcW w:w="1050"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0.066</w:t>
            </w:r>
          </w:p>
        </w:tc>
        <w:tc>
          <w:tcPr>
            <w:tcW w:w="1594"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0.98 (0.93, 1.04)</w:t>
            </w:r>
          </w:p>
        </w:tc>
        <w:tc>
          <w:tcPr>
            <w:tcW w:w="736"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0.553</w:t>
            </w:r>
          </w:p>
        </w:tc>
        <w:tc>
          <w:tcPr>
            <w:tcW w:w="1969"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1.04 (1.00, 1.07)</w:t>
            </w:r>
          </w:p>
        </w:tc>
        <w:tc>
          <w:tcPr>
            <w:tcW w:w="1010"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0.026</w:t>
            </w:r>
          </w:p>
        </w:tc>
        <w:tc>
          <w:tcPr>
            <w:tcW w:w="1669"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1.08 (1.02, 1.14)</w:t>
            </w:r>
          </w:p>
        </w:tc>
        <w:tc>
          <w:tcPr>
            <w:tcW w:w="897"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0.005</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Breast ER- (BCAC)</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21 468</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1.02 (0.95, 1.09)</w:t>
            </w:r>
          </w:p>
        </w:tc>
        <w:tc>
          <w:tcPr>
            <w:tcW w:w="1050"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0.585</w:t>
            </w:r>
          </w:p>
        </w:tc>
        <w:tc>
          <w:tcPr>
            <w:tcW w:w="1594"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0.95 (0.91, 1.00)</w:t>
            </w:r>
          </w:p>
        </w:tc>
        <w:tc>
          <w:tcPr>
            <w:tcW w:w="736"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0.067</w:t>
            </w:r>
          </w:p>
        </w:tc>
        <w:tc>
          <w:tcPr>
            <w:tcW w:w="1969"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0.99 (0.96, 1.03)</w:t>
            </w:r>
          </w:p>
        </w:tc>
        <w:tc>
          <w:tcPr>
            <w:tcW w:w="1010"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0.670</w:t>
            </w:r>
          </w:p>
        </w:tc>
        <w:tc>
          <w:tcPr>
            <w:tcW w:w="1669"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1.04 (0.96, 1.13)</w:t>
            </w:r>
          </w:p>
        </w:tc>
        <w:tc>
          <w:tcPr>
            <w:tcW w:w="897"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0.297</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Breast (UKBB)</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13 666</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0.93 (0.86, 1.00)</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0.045</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0.92 (0.84, 1.00)</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0.045</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1.08 (1.03, 1.12)</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0.001</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1.05 (0.96, 1.16)</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0.269</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Uterus</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1931</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0.83 (0.70, 0.98)</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0.025</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0.93 (0.80, 1.08)</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0.331</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1.10 (0.96, 1.26)</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0.177</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1.06 (0.85, 1.34)</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0.591</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Cervix</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1928</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1.00 (0.84, 1.17)</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0.953</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0.94 (0.81, 1.09)</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0.432</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1.09 (0.97, 1.22)</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0.156</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1.17 (0.93, 1.48)</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0.169</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Ovary</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1520</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1.05 (0.89, 1.25)</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0.552</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0.96 (0.82, 1.14)</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0.650</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1.07 (0.91, 1.25)</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0.408</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0.79 (0.63, 1.00)</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0.049</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Prostate</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7872</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0.91 (0.84, 0.99)</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0.026</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0.96 (0.89, 1.04)</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0.305</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0.99 (0.93, 1.06)</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0.820</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1.06 (0.93, 1.20)</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0.400</w:t>
            </w:r>
          </w:p>
        </w:tc>
      </w:tr>
      <w:tr w:rsidR="009E2734" w:rsidRPr="00A0447B" w:rsidTr="00DA3EC6">
        <w:trPr>
          <w:trHeight w:val="320"/>
          <w:jc w:val="center"/>
        </w:trPr>
        <w:tc>
          <w:tcPr>
            <w:tcW w:w="2552"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Testis</w:t>
            </w:r>
          </w:p>
        </w:tc>
        <w:tc>
          <w:tcPr>
            <w:tcW w:w="961" w:type="dxa"/>
            <w:shd w:val="clear" w:color="auto" w:fill="auto"/>
            <w:noWrap/>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735</w:t>
            </w:r>
          </w:p>
        </w:tc>
        <w:tc>
          <w:tcPr>
            <w:tcW w:w="2016" w:type="dxa"/>
            <w:vAlign w:val="center"/>
          </w:tcPr>
          <w:p w:rsidR="009E2734" w:rsidRPr="00A0447B" w:rsidRDefault="009E2734" w:rsidP="00DA3EC6">
            <w:pPr>
              <w:jc w:val="center"/>
              <w:rPr>
                <w:color w:val="000000" w:themeColor="text1"/>
                <w:sz w:val="20"/>
                <w:szCs w:val="20"/>
              </w:rPr>
            </w:pPr>
            <w:r w:rsidRPr="00A71E34">
              <w:rPr>
                <w:color w:val="000000" w:themeColor="text1"/>
                <w:sz w:val="20"/>
                <w:szCs w:val="20"/>
              </w:rPr>
              <w:t>0.89 (0.69, 1.16)</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0.388</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0.92 (0.71, 1.19)</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0.520</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1.01 (0.85, 1.20)</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0.883</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0.97 (0.70, 1.35)</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0.859</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b/>
                <w:color w:val="000000" w:themeColor="text1"/>
                <w:sz w:val="20"/>
                <w:szCs w:val="20"/>
              </w:rPr>
            </w:pPr>
            <w:r w:rsidRPr="00A71E34">
              <w:rPr>
                <w:b/>
                <w:color w:val="000000" w:themeColor="text1"/>
                <w:sz w:val="20"/>
                <w:szCs w:val="20"/>
              </w:rPr>
              <w:t>Gastrointestinal tract</w:t>
            </w:r>
          </w:p>
        </w:tc>
        <w:tc>
          <w:tcPr>
            <w:tcW w:w="961" w:type="dxa"/>
            <w:shd w:val="clear" w:color="auto" w:fill="auto"/>
            <w:noWrap/>
            <w:vAlign w:val="center"/>
          </w:tcPr>
          <w:p w:rsidR="009E2734" w:rsidRPr="00A71E34" w:rsidRDefault="009E2734" w:rsidP="00DA3EC6">
            <w:pPr>
              <w:jc w:val="center"/>
              <w:rPr>
                <w:color w:val="000000" w:themeColor="text1"/>
                <w:sz w:val="20"/>
                <w:szCs w:val="20"/>
              </w:rPr>
            </w:pPr>
          </w:p>
        </w:tc>
        <w:tc>
          <w:tcPr>
            <w:tcW w:w="2016" w:type="dxa"/>
            <w:vAlign w:val="center"/>
          </w:tcPr>
          <w:p w:rsidR="009E2734" w:rsidRPr="00A71E34" w:rsidRDefault="009E2734" w:rsidP="00DA3EC6">
            <w:pPr>
              <w:jc w:val="center"/>
              <w:rPr>
                <w:color w:val="000000" w:themeColor="text1"/>
                <w:sz w:val="20"/>
                <w:szCs w:val="20"/>
              </w:rPr>
            </w:pPr>
          </w:p>
        </w:tc>
        <w:tc>
          <w:tcPr>
            <w:tcW w:w="1050" w:type="dxa"/>
            <w:vAlign w:val="center"/>
          </w:tcPr>
          <w:p w:rsidR="009E2734" w:rsidRPr="00222103" w:rsidRDefault="009E2734" w:rsidP="00DA3EC6">
            <w:pPr>
              <w:jc w:val="center"/>
              <w:rPr>
                <w:color w:val="000000" w:themeColor="text1"/>
                <w:sz w:val="20"/>
                <w:szCs w:val="20"/>
              </w:rPr>
            </w:pPr>
          </w:p>
        </w:tc>
        <w:tc>
          <w:tcPr>
            <w:tcW w:w="1594" w:type="dxa"/>
            <w:shd w:val="clear" w:color="auto" w:fill="auto"/>
            <w:noWrap/>
            <w:vAlign w:val="center"/>
          </w:tcPr>
          <w:p w:rsidR="009E2734" w:rsidRPr="00222103" w:rsidRDefault="009E2734" w:rsidP="00DA3EC6">
            <w:pPr>
              <w:jc w:val="center"/>
              <w:rPr>
                <w:color w:val="000000" w:themeColor="text1"/>
                <w:sz w:val="20"/>
                <w:szCs w:val="20"/>
              </w:rPr>
            </w:pPr>
          </w:p>
        </w:tc>
        <w:tc>
          <w:tcPr>
            <w:tcW w:w="736" w:type="dxa"/>
            <w:shd w:val="clear" w:color="auto" w:fill="auto"/>
            <w:noWrap/>
            <w:vAlign w:val="center"/>
          </w:tcPr>
          <w:p w:rsidR="009E2734" w:rsidRPr="00222103" w:rsidRDefault="009E2734" w:rsidP="00DA3EC6">
            <w:pPr>
              <w:jc w:val="center"/>
              <w:rPr>
                <w:color w:val="000000" w:themeColor="text1"/>
                <w:sz w:val="20"/>
                <w:szCs w:val="20"/>
              </w:rPr>
            </w:pPr>
          </w:p>
        </w:tc>
        <w:tc>
          <w:tcPr>
            <w:tcW w:w="1969" w:type="dxa"/>
            <w:vAlign w:val="center"/>
          </w:tcPr>
          <w:p w:rsidR="009E2734" w:rsidRPr="00222103" w:rsidRDefault="009E2734" w:rsidP="00DA3EC6">
            <w:pPr>
              <w:jc w:val="center"/>
              <w:rPr>
                <w:color w:val="000000" w:themeColor="text1"/>
                <w:sz w:val="20"/>
                <w:szCs w:val="20"/>
              </w:rPr>
            </w:pPr>
          </w:p>
        </w:tc>
        <w:tc>
          <w:tcPr>
            <w:tcW w:w="1010" w:type="dxa"/>
            <w:vAlign w:val="center"/>
          </w:tcPr>
          <w:p w:rsidR="009E2734" w:rsidRPr="00222103" w:rsidRDefault="009E2734" w:rsidP="00DA3EC6">
            <w:pPr>
              <w:jc w:val="center"/>
              <w:rPr>
                <w:color w:val="000000" w:themeColor="text1"/>
                <w:sz w:val="20"/>
                <w:szCs w:val="20"/>
              </w:rPr>
            </w:pPr>
          </w:p>
        </w:tc>
        <w:tc>
          <w:tcPr>
            <w:tcW w:w="1669" w:type="dxa"/>
            <w:vAlign w:val="center"/>
          </w:tcPr>
          <w:p w:rsidR="009E2734" w:rsidRPr="00222103" w:rsidRDefault="009E2734" w:rsidP="00DA3EC6">
            <w:pPr>
              <w:jc w:val="center"/>
              <w:rPr>
                <w:color w:val="000000" w:themeColor="text1"/>
                <w:sz w:val="20"/>
                <w:szCs w:val="20"/>
              </w:rPr>
            </w:pPr>
          </w:p>
        </w:tc>
        <w:tc>
          <w:tcPr>
            <w:tcW w:w="897" w:type="dxa"/>
            <w:vAlign w:val="center"/>
          </w:tcPr>
          <w:p w:rsidR="009E2734" w:rsidRPr="00222103" w:rsidRDefault="009E2734" w:rsidP="00DA3EC6">
            <w:pPr>
              <w:jc w:val="center"/>
              <w:rPr>
                <w:color w:val="000000" w:themeColor="text1"/>
                <w:sz w:val="20"/>
                <w:szCs w:val="20"/>
              </w:rPr>
            </w:pP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proofErr w:type="spellStart"/>
            <w:r w:rsidRPr="00A71E34">
              <w:rPr>
                <w:color w:val="000000" w:themeColor="text1"/>
                <w:sz w:val="20"/>
                <w:szCs w:val="20"/>
              </w:rPr>
              <w:t>Oesophagus</w:t>
            </w:r>
            <w:proofErr w:type="spellEnd"/>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843</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0.80 (0.64, 1.01)</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0.061</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0.91 (0.72, 1.14)</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0.393</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1.08 (0.89, 1.31)</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0.463</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1.28 (0.94, 1.75)</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0.122</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Stomach</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736</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0.97 (0.76, 1.23)</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0.788</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0.91 (0.72, 1.15)</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0.440</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1.06 (0.89, 1.25)</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0.529</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1.12 (0.81, 1.56)</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0.487</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Colorectum</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5486</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1.00 (0.91, 1.09)</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0.915</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0.94 (0.80, 1.10)</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0.454</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0.97 (0.91, 1.04)</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0.390</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1.02 (0.89, 1.18)</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0.743</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Pancreas</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1264</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0.92 (0.76, 1.11)</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0.366</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1.04 (0.86, 1.24)</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0.698</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1.10 (0.96, 1.25)</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0.166</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0.99 (0.77, 1.28)</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0.959</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Liver</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324</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0.82 (0.55, 1.23)</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0.336</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0.76 (0.45, 1.30)</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0.322</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1.14 (0.78, 1.65)</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0.496</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0.82 (0.46, 1.46)</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0.509</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Biliary tract</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387</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1.18 (0.84, 1.66)</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0.329</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1.04 (0.75, 1.44)</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0.814</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0.93 (0.73, 1.18)</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0.552</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1.33 (0.84, 2.08)</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0.223</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b/>
                <w:color w:val="000000" w:themeColor="text1"/>
                <w:sz w:val="20"/>
                <w:szCs w:val="20"/>
              </w:rPr>
            </w:pPr>
            <w:r w:rsidRPr="00A71E34">
              <w:rPr>
                <w:b/>
                <w:color w:val="000000" w:themeColor="text1"/>
                <w:sz w:val="20"/>
                <w:szCs w:val="20"/>
              </w:rPr>
              <w:t>Urinary tract</w:t>
            </w:r>
          </w:p>
        </w:tc>
        <w:tc>
          <w:tcPr>
            <w:tcW w:w="961" w:type="dxa"/>
            <w:shd w:val="clear" w:color="auto" w:fill="auto"/>
            <w:noWrap/>
            <w:vAlign w:val="center"/>
          </w:tcPr>
          <w:p w:rsidR="009E2734" w:rsidRPr="00A71E34" w:rsidRDefault="009E2734" w:rsidP="00DA3EC6">
            <w:pPr>
              <w:jc w:val="center"/>
              <w:rPr>
                <w:color w:val="000000" w:themeColor="text1"/>
                <w:sz w:val="20"/>
                <w:szCs w:val="20"/>
              </w:rPr>
            </w:pPr>
          </w:p>
        </w:tc>
        <w:tc>
          <w:tcPr>
            <w:tcW w:w="2016" w:type="dxa"/>
            <w:vAlign w:val="center"/>
          </w:tcPr>
          <w:p w:rsidR="009E2734" w:rsidRPr="00A71E34" w:rsidRDefault="009E2734" w:rsidP="00DA3EC6">
            <w:pPr>
              <w:jc w:val="center"/>
              <w:rPr>
                <w:color w:val="000000" w:themeColor="text1"/>
                <w:sz w:val="20"/>
                <w:szCs w:val="20"/>
              </w:rPr>
            </w:pPr>
          </w:p>
        </w:tc>
        <w:tc>
          <w:tcPr>
            <w:tcW w:w="1050" w:type="dxa"/>
            <w:vAlign w:val="center"/>
          </w:tcPr>
          <w:p w:rsidR="009E2734" w:rsidRPr="00222103" w:rsidRDefault="009E2734" w:rsidP="00DA3EC6">
            <w:pPr>
              <w:jc w:val="center"/>
              <w:rPr>
                <w:color w:val="000000" w:themeColor="text1"/>
                <w:sz w:val="20"/>
                <w:szCs w:val="20"/>
              </w:rPr>
            </w:pPr>
          </w:p>
        </w:tc>
        <w:tc>
          <w:tcPr>
            <w:tcW w:w="1594" w:type="dxa"/>
            <w:shd w:val="clear" w:color="auto" w:fill="auto"/>
            <w:noWrap/>
            <w:vAlign w:val="center"/>
          </w:tcPr>
          <w:p w:rsidR="009E2734" w:rsidRPr="00222103" w:rsidRDefault="009E2734" w:rsidP="00DA3EC6">
            <w:pPr>
              <w:jc w:val="center"/>
              <w:rPr>
                <w:color w:val="000000" w:themeColor="text1"/>
                <w:sz w:val="20"/>
                <w:szCs w:val="20"/>
              </w:rPr>
            </w:pPr>
          </w:p>
        </w:tc>
        <w:tc>
          <w:tcPr>
            <w:tcW w:w="736" w:type="dxa"/>
            <w:shd w:val="clear" w:color="auto" w:fill="auto"/>
            <w:noWrap/>
            <w:vAlign w:val="center"/>
          </w:tcPr>
          <w:p w:rsidR="009E2734" w:rsidRPr="00222103" w:rsidRDefault="009E2734" w:rsidP="00DA3EC6">
            <w:pPr>
              <w:jc w:val="center"/>
              <w:rPr>
                <w:color w:val="000000" w:themeColor="text1"/>
                <w:sz w:val="20"/>
                <w:szCs w:val="20"/>
              </w:rPr>
            </w:pPr>
          </w:p>
        </w:tc>
        <w:tc>
          <w:tcPr>
            <w:tcW w:w="1969" w:type="dxa"/>
            <w:vAlign w:val="center"/>
          </w:tcPr>
          <w:p w:rsidR="009E2734" w:rsidRPr="00222103" w:rsidRDefault="009E2734" w:rsidP="00DA3EC6">
            <w:pPr>
              <w:jc w:val="center"/>
              <w:rPr>
                <w:color w:val="000000" w:themeColor="text1"/>
                <w:sz w:val="20"/>
                <w:szCs w:val="20"/>
              </w:rPr>
            </w:pPr>
          </w:p>
        </w:tc>
        <w:tc>
          <w:tcPr>
            <w:tcW w:w="1010" w:type="dxa"/>
            <w:vAlign w:val="center"/>
          </w:tcPr>
          <w:p w:rsidR="009E2734" w:rsidRPr="00222103" w:rsidRDefault="009E2734" w:rsidP="00DA3EC6">
            <w:pPr>
              <w:jc w:val="center"/>
              <w:rPr>
                <w:color w:val="000000" w:themeColor="text1"/>
                <w:sz w:val="20"/>
                <w:szCs w:val="20"/>
              </w:rPr>
            </w:pPr>
          </w:p>
        </w:tc>
        <w:tc>
          <w:tcPr>
            <w:tcW w:w="1669" w:type="dxa"/>
            <w:vAlign w:val="center"/>
          </w:tcPr>
          <w:p w:rsidR="009E2734" w:rsidRPr="00222103" w:rsidRDefault="009E2734" w:rsidP="00DA3EC6">
            <w:pPr>
              <w:jc w:val="center"/>
              <w:rPr>
                <w:color w:val="000000" w:themeColor="text1"/>
                <w:sz w:val="20"/>
                <w:szCs w:val="20"/>
              </w:rPr>
            </w:pPr>
          </w:p>
        </w:tc>
        <w:tc>
          <w:tcPr>
            <w:tcW w:w="897" w:type="dxa"/>
            <w:vAlign w:val="center"/>
          </w:tcPr>
          <w:p w:rsidR="009E2734" w:rsidRPr="00222103" w:rsidRDefault="009E2734" w:rsidP="00DA3EC6">
            <w:pPr>
              <w:jc w:val="center"/>
              <w:rPr>
                <w:color w:val="000000" w:themeColor="text1"/>
                <w:sz w:val="20"/>
                <w:szCs w:val="20"/>
              </w:rPr>
            </w:pP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Bladder</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2588</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1.14 (0.97, 1.33)</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0.116</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0.99 (0.87, 1.13)</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0.929</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0.93 (0.79, 1.09)</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0.379</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0.82 (0.68, 0.99)</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0.036</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Kidney</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1310</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0.90 (0.74, 1.08)</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0.257</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0.91 (0.74, 1.13)</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0.402</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1.09 (0.95, 1.24)</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0.212</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0.97 (0.76, 1.25)</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0.835</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b/>
                <w:color w:val="000000" w:themeColor="text1"/>
                <w:sz w:val="20"/>
                <w:szCs w:val="20"/>
              </w:rPr>
            </w:pPr>
            <w:r w:rsidRPr="00A71E34">
              <w:rPr>
                <w:b/>
                <w:color w:val="000000" w:themeColor="text1"/>
                <w:sz w:val="20"/>
                <w:szCs w:val="20"/>
              </w:rPr>
              <w:t>Blood/bone marrow/lymph</w:t>
            </w:r>
          </w:p>
        </w:tc>
        <w:tc>
          <w:tcPr>
            <w:tcW w:w="961" w:type="dxa"/>
            <w:shd w:val="clear" w:color="auto" w:fill="auto"/>
            <w:noWrap/>
            <w:vAlign w:val="center"/>
          </w:tcPr>
          <w:p w:rsidR="009E2734" w:rsidRPr="00A71E34" w:rsidRDefault="009E2734" w:rsidP="00DA3EC6">
            <w:pPr>
              <w:jc w:val="center"/>
              <w:rPr>
                <w:color w:val="000000" w:themeColor="text1"/>
                <w:sz w:val="20"/>
                <w:szCs w:val="20"/>
              </w:rPr>
            </w:pPr>
          </w:p>
        </w:tc>
        <w:tc>
          <w:tcPr>
            <w:tcW w:w="2016" w:type="dxa"/>
            <w:vAlign w:val="center"/>
          </w:tcPr>
          <w:p w:rsidR="009E2734" w:rsidRPr="00A71E34" w:rsidRDefault="009E2734" w:rsidP="00DA3EC6">
            <w:pPr>
              <w:jc w:val="center"/>
              <w:rPr>
                <w:color w:val="000000" w:themeColor="text1"/>
                <w:sz w:val="20"/>
                <w:szCs w:val="20"/>
              </w:rPr>
            </w:pPr>
          </w:p>
        </w:tc>
        <w:tc>
          <w:tcPr>
            <w:tcW w:w="1050" w:type="dxa"/>
            <w:vAlign w:val="center"/>
          </w:tcPr>
          <w:p w:rsidR="009E2734" w:rsidRPr="00222103" w:rsidRDefault="009E2734" w:rsidP="00DA3EC6">
            <w:pPr>
              <w:jc w:val="center"/>
              <w:rPr>
                <w:color w:val="000000" w:themeColor="text1"/>
                <w:sz w:val="20"/>
                <w:szCs w:val="20"/>
              </w:rPr>
            </w:pPr>
          </w:p>
        </w:tc>
        <w:tc>
          <w:tcPr>
            <w:tcW w:w="1594" w:type="dxa"/>
            <w:shd w:val="clear" w:color="auto" w:fill="auto"/>
            <w:noWrap/>
            <w:vAlign w:val="center"/>
          </w:tcPr>
          <w:p w:rsidR="009E2734" w:rsidRPr="00222103" w:rsidRDefault="009E2734" w:rsidP="00DA3EC6">
            <w:pPr>
              <w:jc w:val="center"/>
              <w:rPr>
                <w:color w:val="000000" w:themeColor="text1"/>
                <w:sz w:val="20"/>
                <w:szCs w:val="20"/>
              </w:rPr>
            </w:pPr>
          </w:p>
        </w:tc>
        <w:tc>
          <w:tcPr>
            <w:tcW w:w="736" w:type="dxa"/>
            <w:shd w:val="clear" w:color="auto" w:fill="auto"/>
            <w:noWrap/>
            <w:vAlign w:val="center"/>
          </w:tcPr>
          <w:p w:rsidR="009E2734" w:rsidRPr="00222103" w:rsidRDefault="009E2734" w:rsidP="00DA3EC6">
            <w:pPr>
              <w:jc w:val="center"/>
              <w:rPr>
                <w:color w:val="000000" w:themeColor="text1"/>
                <w:sz w:val="20"/>
                <w:szCs w:val="20"/>
              </w:rPr>
            </w:pPr>
          </w:p>
        </w:tc>
        <w:tc>
          <w:tcPr>
            <w:tcW w:w="1969" w:type="dxa"/>
            <w:vAlign w:val="center"/>
          </w:tcPr>
          <w:p w:rsidR="009E2734" w:rsidRPr="00222103" w:rsidRDefault="009E2734" w:rsidP="00DA3EC6">
            <w:pPr>
              <w:jc w:val="center"/>
              <w:rPr>
                <w:color w:val="000000" w:themeColor="text1"/>
                <w:sz w:val="20"/>
                <w:szCs w:val="20"/>
              </w:rPr>
            </w:pPr>
          </w:p>
        </w:tc>
        <w:tc>
          <w:tcPr>
            <w:tcW w:w="1010" w:type="dxa"/>
            <w:vAlign w:val="center"/>
          </w:tcPr>
          <w:p w:rsidR="009E2734" w:rsidRPr="00222103" w:rsidRDefault="009E2734" w:rsidP="00DA3EC6">
            <w:pPr>
              <w:jc w:val="center"/>
              <w:rPr>
                <w:color w:val="000000" w:themeColor="text1"/>
                <w:sz w:val="20"/>
                <w:szCs w:val="20"/>
              </w:rPr>
            </w:pPr>
          </w:p>
        </w:tc>
        <w:tc>
          <w:tcPr>
            <w:tcW w:w="1669" w:type="dxa"/>
            <w:vAlign w:val="center"/>
          </w:tcPr>
          <w:p w:rsidR="009E2734" w:rsidRPr="00222103" w:rsidRDefault="009E2734" w:rsidP="00DA3EC6">
            <w:pPr>
              <w:jc w:val="center"/>
              <w:rPr>
                <w:color w:val="000000" w:themeColor="text1"/>
                <w:sz w:val="20"/>
                <w:szCs w:val="20"/>
              </w:rPr>
            </w:pPr>
          </w:p>
        </w:tc>
        <w:tc>
          <w:tcPr>
            <w:tcW w:w="897" w:type="dxa"/>
            <w:vAlign w:val="center"/>
          </w:tcPr>
          <w:p w:rsidR="009E2734" w:rsidRPr="00222103" w:rsidRDefault="009E2734" w:rsidP="00DA3EC6">
            <w:pPr>
              <w:jc w:val="center"/>
              <w:rPr>
                <w:color w:val="000000" w:themeColor="text1"/>
                <w:sz w:val="20"/>
                <w:szCs w:val="20"/>
              </w:rPr>
            </w:pP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Leukemia</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1403</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0.90 (0.76, 1.08)</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0.254</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0.96 (0.81, 1.14)</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0.639</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1.01 (0.89, 1.14)</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0.926</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0.98 (0.78, 1.25)</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0.921</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lastRenderedPageBreak/>
              <w:t>Non-Hodgkin lymphoma</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2296</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1.03 (0.90, 1.18)</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0.687</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0.87 (0.74, 1.01)</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0.075</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1.02 (0.93, 1.12)</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0.663</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0.88 (0.73, 1.06)</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0.190</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Multiple myeloma</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656</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0.99 (0.75, 1.30)</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0.917</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1.13 (0.88, 1.46)</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0.328</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0.95 (0.79, 1.14)</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0.582</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0.97 (0.68, 1.37)</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0.853</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b/>
                <w:color w:val="000000" w:themeColor="text1"/>
                <w:sz w:val="20"/>
                <w:szCs w:val="20"/>
              </w:rPr>
            </w:pPr>
            <w:r w:rsidRPr="00A71E34">
              <w:rPr>
                <w:b/>
                <w:color w:val="000000" w:themeColor="text1"/>
                <w:sz w:val="20"/>
                <w:szCs w:val="20"/>
              </w:rPr>
              <w:t xml:space="preserve">Other </w:t>
            </w:r>
          </w:p>
        </w:tc>
        <w:tc>
          <w:tcPr>
            <w:tcW w:w="961" w:type="dxa"/>
            <w:shd w:val="clear" w:color="auto" w:fill="auto"/>
            <w:noWrap/>
            <w:vAlign w:val="center"/>
          </w:tcPr>
          <w:p w:rsidR="009E2734" w:rsidRPr="00A71E34" w:rsidRDefault="009E2734" w:rsidP="00DA3EC6">
            <w:pPr>
              <w:jc w:val="center"/>
              <w:rPr>
                <w:color w:val="000000" w:themeColor="text1"/>
                <w:sz w:val="20"/>
                <w:szCs w:val="20"/>
              </w:rPr>
            </w:pPr>
          </w:p>
        </w:tc>
        <w:tc>
          <w:tcPr>
            <w:tcW w:w="2016" w:type="dxa"/>
            <w:vAlign w:val="center"/>
          </w:tcPr>
          <w:p w:rsidR="009E2734" w:rsidRPr="00A71E34" w:rsidRDefault="009E2734" w:rsidP="00DA3EC6">
            <w:pPr>
              <w:jc w:val="center"/>
              <w:rPr>
                <w:color w:val="000000" w:themeColor="text1"/>
                <w:sz w:val="20"/>
                <w:szCs w:val="20"/>
              </w:rPr>
            </w:pPr>
          </w:p>
        </w:tc>
        <w:tc>
          <w:tcPr>
            <w:tcW w:w="1050" w:type="dxa"/>
            <w:vAlign w:val="center"/>
          </w:tcPr>
          <w:p w:rsidR="009E2734" w:rsidRPr="00222103" w:rsidRDefault="009E2734" w:rsidP="00DA3EC6">
            <w:pPr>
              <w:jc w:val="center"/>
              <w:rPr>
                <w:color w:val="000000" w:themeColor="text1"/>
                <w:sz w:val="20"/>
                <w:szCs w:val="20"/>
              </w:rPr>
            </w:pPr>
          </w:p>
        </w:tc>
        <w:tc>
          <w:tcPr>
            <w:tcW w:w="1594" w:type="dxa"/>
            <w:shd w:val="clear" w:color="auto" w:fill="auto"/>
            <w:noWrap/>
            <w:vAlign w:val="center"/>
          </w:tcPr>
          <w:p w:rsidR="009E2734" w:rsidRPr="00222103" w:rsidRDefault="009E2734" w:rsidP="00DA3EC6">
            <w:pPr>
              <w:jc w:val="center"/>
              <w:rPr>
                <w:color w:val="000000" w:themeColor="text1"/>
                <w:sz w:val="20"/>
                <w:szCs w:val="20"/>
              </w:rPr>
            </w:pPr>
          </w:p>
        </w:tc>
        <w:tc>
          <w:tcPr>
            <w:tcW w:w="736" w:type="dxa"/>
            <w:shd w:val="clear" w:color="auto" w:fill="auto"/>
            <w:noWrap/>
            <w:vAlign w:val="center"/>
          </w:tcPr>
          <w:p w:rsidR="009E2734" w:rsidRPr="00222103" w:rsidRDefault="009E2734" w:rsidP="00DA3EC6">
            <w:pPr>
              <w:jc w:val="center"/>
              <w:rPr>
                <w:color w:val="000000" w:themeColor="text1"/>
                <w:sz w:val="20"/>
                <w:szCs w:val="20"/>
              </w:rPr>
            </w:pPr>
          </w:p>
        </w:tc>
        <w:tc>
          <w:tcPr>
            <w:tcW w:w="1969" w:type="dxa"/>
            <w:vAlign w:val="center"/>
          </w:tcPr>
          <w:p w:rsidR="009E2734" w:rsidRPr="00222103" w:rsidRDefault="009E2734" w:rsidP="00DA3EC6">
            <w:pPr>
              <w:jc w:val="center"/>
              <w:rPr>
                <w:color w:val="000000" w:themeColor="text1"/>
                <w:sz w:val="20"/>
                <w:szCs w:val="20"/>
              </w:rPr>
            </w:pPr>
          </w:p>
        </w:tc>
        <w:tc>
          <w:tcPr>
            <w:tcW w:w="1010" w:type="dxa"/>
            <w:vAlign w:val="center"/>
          </w:tcPr>
          <w:p w:rsidR="009E2734" w:rsidRPr="00222103" w:rsidRDefault="009E2734" w:rsidP="00DA3EC6">
            <w:pPr>
              <w:jc w:val="center"/>
              <w:rPr>
                <w:color w:val="000000" w:themeColor="text1"/>
                <w:sz w:val="20"/>
                <w:szCs w:val="20"/>
              </w:rPr>
            </w:pPr>
          </w:p>
        </w:tc>
        <w:tc>
          <w:tcPr>
            <w:tcW w:w="1669" w:type="dxa"/>
            <w:vAlign w:val="center"/>
          </w:tcPr>
          <w:p w:rsidR="009E2734" w:rsidRPr="00222103" w:rsidRDefault="009E2734" w:rsidP="00DA3EC6">
            <w:pPr>
              <w:jc w:val="center"/>
              <w:rPr>
                <w:color w:val="000000" w:themeColor="text1"/>
                <w:sz w:val="20"/>
                <w:szCs w:val="20"/>
              </w:rPr>
            </w:pPr>
          </w:p>
        </w:tc>
        <w:tc>
          <w:tcPr>
            <w:tcW w:w="897" w:type="dxa"/>
            <w:vAlign w:val="center"/>
          </w:tcPr>
          <w:p w:rsidR="009E2734" w:rsidRPr="00222103" w:rsidRDefault="009E2734" w:rsidP="00DA3EC6">
            <w:pPr>
              <w:jc w:val="center"/>
              <w:rPr>
                <w:color w:val="000000" w:themeColor="text1"/>
                <w:sz w:val="20"/>
                <w:szCs w:val="20"/>
              </w:rPr>
            </w:pP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Brain</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810</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0.92 (0.72, 1.17)</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0.497</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0.82 (0.61, 1.09)</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0.168</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1.24 (1.05, 1.46)</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0.010</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0.82 (0.59, 1.12)</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0.207</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Head</w:t>
            </w:r>
            <w:r>
              <w:rPr>
                <w:color w:val="000000" w:themeColor="text1"/>
                <w:sz w:val="20"/>
                <w:szCs w:val="20"/>
              </w:rPr>
              <w:t xml:space="preserve"> and </w:t>
            </w:r>
            <w:r w:rsidRPr="00A71E34">
              <w:rPr>
                <w:color w:val="000000" w:themeColor="text1"/>
                <w:sz w:val="20"/>
                <w:szCs w:val="20"/>
              </w:rPr>
              <w:t>neck</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1615</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0.95 (0.80, 1.12)</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0.528</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0.98 (0.76, 1.26)</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0.878</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0.95 (0.85, 1.07)</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0.398</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1.13 (0.89, 1.43)</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0.308</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Lung</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2838</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1.00 (0.88, 1.14)</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0.964</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1.03 (0.91, 1.16)</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0.648</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1.07 (0.96, 1.18)</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0.224</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0.98 (0.79, 1.23)</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0.880</w:t>
            </w:r>
          </w:p>
        </w:tc>
      </w:tr>
      <w:tr w:rsidR="009E2734" w:rsidRPr="00A71E34" w:rsidTr="00DA3EC6">
        <w:trPr>
          <w:trHeight w:val="320"/>
          <w:jc w:val="center"/>
        </w:trPr>
        <w:tc>
          <w:tcPr>
            <w:tcW w:w="2552"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Melanoma</w:t>
            </w:r>
          </w:p>
        </w:tc>
        <w:tc>
          <w:tcPr>
            <w:tcW w:w="961" w:type="dxa"/>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4869</w:t>
            </w:r>
          </w:p>
        </w:tc>
        <w:tc>
          <w:tcPr>
            <w:tcW w:w="2016" w:type="dxa"/>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1.03 (0.93, 1.14)</w:t>
            </w:r>
          </w:p>
        </w:tc>
        <w:tc>
          <w:tcPr>
            <w:tcW w:w="105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0.614</w:t>
            </w:r>
          </w:p>
        </w:tc>
        <w:tc>
          <w:tcPr>
            <w:tcW w:w="1594"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1.00 (0.88, 1.13)</w:t>
            </w:r>
          </w:p>
        </w:tc>
        <w:tc>
          <w:tcPr>
            <w:tcW w:w="736" w:type="dxa"/>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0.997</w:t>
            </w:r>
          </w:p>
        </w:tc>
        <w:tc>
          <w:tcPr>
            <w:tcW w:w="19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1.04 (0.96, 1.12)</w:t>
            </w:r>
          </w:p>
        </w:tc>
        <w:tc>
          <w:tcPr>
            <w:tcW w:w="1010"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0.356</w:t>
            </w:r>
          </w:p>
        </w:tc>
        <w:tc>
          <w:tcPr>
            <w:tcW w:w="1669"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0.85 (0.73, 0.99)</w:t>
            </w:r>
          </w:p>
        </w:tc>
        <w:tc>
          <w:tcPr>
            <w:tcW w:w="897" w:type="dxa"/>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0.040</w:t>
            </w:r>
          </w:p>
        </w:tc>
      </w:tr>
      <w:tr w:rsidR="009E2734" w:rsidRPr="00A71E34" w:rsidTr="00DA3EC6">
        <w:trPr>
          <w:trHeight w:val="320"/>
          <w:jc w:val="center"/>
        </w:trPr>
        <w:tc>
          <w:tcPr>
            <w:tcW w:w="2552" w:type="dxa"/>
            <w:tcBorders>
              <w:bottom w:val="single" w:sz="12" w:space="0" w:color="auto"/>
            </w:tcBorders>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Thyroid</w:t>
            </w:r>
          </w:p>
        </w:tc>
        <w:tc>
          <w:tcPr>
            <w:tcW w:w="961" w:type="dxa"/>
            <w:tcBorders>
              <w:bottom w:val="single" w:sz="12" w:space="0" w:color="auto"/>
            </w:tcBorders>
            <w:shd w:val="clear" w:color="auto" w:fill="auto"/>
            <w:noWrap/>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375</w:t>
            </w:r>
          </w:p>
        </w:tc>
        <w:tc>
          <w:tcPr>
            <w:tcW w:w="2016" w:type="dxa"/>
            <w:tcBorders>
              <w:bottom w:val="single" w:sz="12" w:space="0" w:color="auto"/>
            </w:tcBorders>
            <w:vAlign w:val="center"/>
          </w:tcPr>
          <w:p w:rsidR="009E2734" w:rsidRPr="00A71E34" w:rsidRDefault="009E2734" w:rsidP="00DA3EC6">
            <w:pPr>
              <w:jc w:val="center"/>
              <w:rPr>
                <w:color w:val="000000" w:themeColor="text1"/>
                <w:sz w:val="20"/>
                <w:szCs w:val="20"/>
              </w:rPr>
            </w:pPr>
            <w:r w:rsidRPr="00A71E34">
              <w:rPr>
                <w:color w:val="000000" w:themeColor="text1"/>
                <w:sz w:val="20"/>
                <w:szCs w:val="20"/>
              </w:rPr>
              <w:t>0.47 (0.30, 0.73)</w:t>
            </w:r>
          </w:p>
        </w:tc>
        <w:tc>
          <w:tcPr>
            <w:tcW w:w="1050" w:type="dxa"/>
            <w:tcBorders>
              <w:bottom w:val="single" w:sz="12" w:space="0" w:color="auto"/>
            </w:tcBorders>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0.001</w:t>
            </w:r>
          </w:p>
        </w:tc>
        <w:tc>
          <w:tcPr>
            <w:tcW w:w="1594" w:type="dxa"/>
            <w:tcBorders>
              <w:bottom w:val="single" w:sz="12" w:space="0" w:color="auto"/>
            </w:tcBorders>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0.70 (0.51, 0.98)</w:t>
            </w:r>
          </w:p>
        </w:tc>
        <w:tc>
          <w:tcPr>
            <w:tcW w:w="736" w:type="dxa"/>
            <w:tcBorders>
              <w:bottom w:val="single" w:sz="12" w:space="0" w:color="auto"/>
            </w:tcBorders>
            <w:shd w:val="clear" w:color="auto" w:fill="auto"/>
            <w:noWrap/>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0.038</w:t>
            </w:r>
          </w:p>
        </w:tc>
        <w:tc>
          <w:tcPr>
            <w:tcW w:w="1969" w:type="dxa"/>
            <w:tcBorders>
              <w:bottom w:val="single" w:sz="12" w:space="0" w:color="auto"/>
            </w:tcBorders>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0.95 (0.46, 1.96)</w:t>
            </w:r>
          </w:p>
        </w:tc>
        <w:tc>
          <w:tcPr>
            <w:tcW w:w="1010" w:type="dxa"/>
            <w:tcBorders>
              <w:bottom w:val="single" w:sz="12" w:space="0" w:color="auto"/>
            </w:tcBorders>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0.897</w:t>
            </w:r>
          </w:p>
        </w:tc>
        <w:tc>
          <w:tcPr>
            <w:tcW w:w="1669" w:type="dxa"/>
            <w:tcBorders>
              <w:bottom w:val="single" w:sz="12" w:space="0" w:color="auto"/>
            </w:tcBorders>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0.60 (0.26, 1.38)</w:t>
            </w:r>
          </w:p>
        </w:tc>
        <w:tc>
          <w:tcPr>
            <w:tcW w:w="897" w:type="dxa"/>
            <w:tcBorders>
              <w:bottom w:val="single" w:sz="12" w:space="0" w:color="auto"/>
            </w:tcBorders>
            <w:vAlign w:val="center"/>
          </w:tcPr>
          <w:p w:rsidR="009E2734" w:rsidRPr="00222103" w:rsidRDefault="009E2734" w:rsidP="00DA3EC6">
            <w:pPr>
              <w:jc w:val="center"/>
              <w:rPr>
                <w:color w:val="000000" w:themeColor="text1"/>
                <w:sz w:val="20"/>
                <w:szCs w:val="20"/>
              </w:rPr>
            </w:pPr>
            <w:r w:rsidRPr="00222103">
              <w:rPr>
                <w:color w:val="000000" w:themeColor="text1"/>
                <w:sz w:val="20"/>
                <w:szCs w:val="20"/>
              </w:rPr>
              <w:t>0.228</w:t>
            </w:r>
          </w:p>
        </w:tc>
      </w:tr>
    </w:tbl>
    <w:p w:rsidR="004164F0" w:rsidRDefault="004164F0" w:rsidP="00DA3EC6">
      <w:pPr>
        <w:autoSpaceDE w:val="0"/>
        <w:autoSpaceDN w:val="0"/>
        <w:adjustRightInd w:val="0"/>
        <w:jc w:val="both"/>
      </w:pPr>
    </w:p>
    <w:p w:rsidR="009E2734" w:rsidRDefault="009E2734" w:rsidP="00DA3EC6">
      <w:pPr>
        <w:autoSpaceDE w:val="0"/>
        <w:autoSpaceDN w:val="0"/>
        <w:adjustRightInd w:val="0"/>
        <w:jc w:val="both"/>
        <w:rPr>
          <w:rFonts w:eastAsia="SimSun"/>
          <w:color w:val="131413"/>
          <w:szCs w:val="22"/>
        </w:rPr>
      </w:pPr>
      <w:r w:rsidRPr="00A71E34">
        <w:t>BCAC indicates Breast Cancer Association Consortium</w:t>
      </w:r>
      <w:r w:rsidRPr="00A71E34">
        <w:rPr>
          <w:rFonts w:eastAsia="SimSun"/>
          <w:bCs/>
          <w:color w:val="131413"/>
          <w:szCs w:val="22"/>
        </w:rPr>
        <w:t>; CI</w:t>
      </w:r>
      <w:r>
        <w:rPr>
          <w:rFonts w:eastAsia="SimSun"/>
          <w:bCs/>
          <w:color w:val="131413"/>
          <w:szCs w:val="22"/>
        </w:rPr>
        <w:t xml:space="preserve">, </w:t>
      </w:r>
      <w:r w:rsidRPr="00A71E34">
        <w:rPr>
          <w:rFonts w:eastAsia="SimSun"/>
          <w:bCs/>
          <w:color w:val="131413"/>
          <w:szCs w:val="22"/>
        </w:rPr>
        <w:t xml:space="preserve">confidence interval; ER, estrogen receptor; </w:t>
      </w:r>
      <w:r w:rsidRPr="00A71E34">
        <w:t xml:space="preserve">TSH, </w:t>
      </w:r>
      <w:r w:rsidRPr="00A71E34">
        <w:rPr>
          <w:color w:val="000000" w:themeColor="text1"/>
        </w:rPr>
        <w:t>thyroid-stimulating hormone;</w:t>
      </w:r>
      <w:r w:rsidRPr="00A71E34">
        <w:t xml:space="preserve"> </w:t>
      </w:r>
      <w:r w:rsidRPr="00A71E34">
        <w:rPr>
          <w:rFonts w:eastAsia="SimSun"/>
          <w:bCs/>
          <w:color w:val="131413"/>
          <w:szCs w:val="22"/>
        </w:rPr>
        <w:t xml:space="preserve">OR, odds ratio; </w:t>
      </w:r>
      <w:r w:rsidRPr="00A71E34">
        <w:t>UKBB, UK Biobank</w:t>
      </w:r>
      <w:r w:rsidRPr="00A71E34">
        <w:rPr>
          <w:rFonts w:eastAsia="SimSun"/>
          <w:color w:val="131413"/>
          <w:szCs w:val="22"/>
        </w:rPr>
        <w:t xml:space="preserve">. </w:t>
      </w:r>
    </w:p>
    <w:p w:rsidR="009E2734" w:rsidRPr="00A71E34" w:rsidRDefault="009E2734" w:rsidP="00DA3EC6">
      <w:pPr>
        <w:autoSpaceDE w:val="0"/>
        <w:autoSpaceDN w:val="0"/>
        <w:adjustRightInd w:val="0"/>
        <w:jc w:val="both"/>
        <w:rPr>
          <w:rFonts w:eastAsia="SimSun"/>
          <w:bCs/>
          <w:color w:val="131413"/>
          <w:szCs w:val="22"/>
        </w:rPr>
      </w:pPr>
    </w:p>
    <w:sectPr w:rsidR="009E2734" w:rsidRPr="00A71E34" w:rsidSect="00DA3EC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BA" w:rsidRDefault="004C15BA">
      <w:r>
        <w:separator/>
      </w:r>
    </w:p>
  </w:endnote>
  <w:endnote w:type="continuationSeparator" w:id="0">
    <w:p w:rsidR="004C15BA" w:rsidRDefault="004C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3202077"/>
      <w:docPartObj>
        <w:docPartGallery w:val="Page Numbers (Bottom of Page)"/>
        <w:docPartUnique/>
      </w:docPartObj>
    </w:sdtPr>
    <w:sdtContent>
      <w:p w:rsidR="00DA3EC6" w:rsidRDefault="00DA3EC6" w:rsidP="00DA3E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3EC6" w:rsidRDefault="00DA3EC6" w:rsidP="00DA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5933940"/>
      <w:docPartObj>
        <w:docPartGallery w:val="Page Numbers (Bottom of Page)"/>
        <w:docPartUnique/>
      </w:docPartObj>
    </w:sdtPr>
    <w:sdtContent>
      <w:p w:rsidR="00DA3EC6" w:rsidRDefault="00DA3EC6" w:rsidP="00DA3E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A3EC6" w:rsidRDefault="00DA3EC6" w:rsidP="00DA3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BA" w:rsidRDefault="004C15BA">
      <w:r>
        <w:separator/>
      </w:r>
    </w:p>
  </w:footnote>
  <w:footnote w:type="continuationSeparator" w:id="0">
    <w:p w:rsidR="004C15BA" w:rsidRDefault="004C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52E0"/>
    <w:multiLevelType w:val="hybridMultilevel"/>
    <w:tmpl w:val="69B8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203E6"/>
    <w:multiLevelType w:val="hybridMultilevel"/>
    <w:tmpl w:val="5666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167D9"/>
    <w:multiLevelType w:val="hybridMultilevel"/>
    <w:tmpl w:val="6F9A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E2734"/>
    <w:rsid w:val="00050773"/>
    <w:rsid w:val="0005278A"/>
    <w:rsid w:val="00053EEF"/>
    <w:rsid w:val="000C2755"/>
    <w:rsid w:val="000C6D27"/>
    <w:rsid w:val="000D658F"/>
    <w:rsid w:val="000D72C3"/>
    <w:rsid w:val="000E2DDF"/>
    <w:rsid w:val="0017681C"/>
    <w:rsid w:val="0019072A"/>
    <w:rsid w:val="00222BDF"/>
    <w:rsid w:val="00233C04"/>
    <w:rsid w:val="00234F20"/>
    <w:rsid w:val="00236AB8"/>
    <w:rsid w:val="002417E8"/>
    <w:rsid w:val="0029154C"/>
    <w:rsid w:val="002B2743"/>
    <w:rsid w:val="002B56C3"/>
    <w:rsid w:val="002D1783"/>
    <w:rsid w:val="0034299B"/>
    <w:rsid w:val="00343CCA"/>
    <w:rsid w:val="00357A70"/>
    <w:rsid w:val="00384783"/>
    <w:rsid w:val="003C03DC"/>
    <w:rsid w:val="003C3009"/>
    <w:rsid w:val="004164F0"/>
    <w:rsid w:val="004271E0"/>
    <w:rsid w:val="00450BA1"/>
    <w:rsid w:val="004C15BA"/>
    <w:rsid w:val="005320D1"/>
    <w:rsid w:val="005966A7"/>
    <w:rsid w:val="005D0502"/>
    <w:rsid w:val="00641320"/>
    <w:rsid w:val="006420A2"/>
    <w:rsid w:val="0064591D"/>
    <w:rsid w:val="00711EB4"/>
    <w:rsid w:val="0076338E"/>
    <w:rsid w:val="00766AD8"/>
    <w:rsid w:val="00772C97"/>
    <w:rsid w:val="00777027"/>
    <w:rsid w:val="007E08E1"/>
    <w:rsid w:val="00837525"/>
    <w:rsid w:val="008B6596"/>
    <w:rsid w:val="008C017F"/>
    <w:rsid w:val="008D647F"/>
    <w:rsid w:val="008E4485"/>
    <w:rsid w:val="00904E08"/>
    <w:rsid w:val="00925993"/>
    <w:rsid w:val="00930574"/>
    <w:rsid w:val="00957F9E"/>
    <w:rsid w:val="009E2734"/>
    <w:rsid w:val="00A24C61"/>
    <w:rsid w:val="00A563D7"/>
    <w:rsid w:val="00A662D4"/>
    <w:rsid w:val="00AB6B4C"/>
    <w:rsid w:val="00AC3F50"/>
    <w:rsid w:val="00B01AE4"/>
    <w:rsid w:val="00B34499"/>
    <w:rsid w:val="00B761C1"/>
    <w:rsid w:val="00BA46CD"/>
    <w:rsid w:val="00BB3868"/>
    <w:rsid w:val="00BC011B"/>
    <w:rsid w:val="00C12479"/>
    <w:rsid w:val="00CA1A30"/>
    <w:rsid w:val="00D05070"/>
    <w:rsid w:val="00D56F84"/>
    <w:rsid w:val="00DA3EC6"/>
    <w:rsid w:val="00DD7558"/>
    <w:rsid w:val="00E25E0F"/>
    <w:rsid w:val="00E64BDC"/>
    <w:rsid w:val="00EA03BA"/>
    <w:rsid w:val="00EA6D6D"/>
    <w:rsid w:val="00F85C46"/>
    <w:rsid w:val="00F95068"/>
    <w:rsid w:val="00F97905"/>
    <w:rsid w:val="00FF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6498FF"/>
  <w15:chartTrackingRefBased/>
  <w15:docId w15:val="{8C73BE0A-901D-DD48-8DD9-5B75F714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34"/>
    <w:rPr>
      <w:rFonts w:ascii="Times New Roman" w:eastAsia="Times New Roman" w:hAnsi="Times New Roman" w:cs="Times New Roman"/>
    </w:rPr>
  </w:style>
  <w:style w:type="paragraph" w:styleId="Heading1">
    <w:name w:val="heading 1"/>
    <w:basedOn w:val="Normal"/>
    <w:link w:val="Heading1Char"/>
    <w:uiPriority w:val="9"/>
    <w:qFormat/>
    <w:rsid w:val="009E2734"/>
    <w:pPr>
      <w:spacing w:before="100" w:beforeAutospacing="1" w:after="100" w:afterAutospacing="1"/>
      <w:outlineLvl w:val="0"/>
    </w:pPr>
    <w:rPr>
      <w:rFonts w:eastAsiaTheme="minorEastAsia"/>
      <w:b/>
      <w:bCs/>
      <w:kern w:val="36"/>
      <w:sz w:val="48"/>
      <w:szCs w:val="4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34"/>
    <w:rPr>
      <w:rFonts w:ascii="Times New Roman" w:hAnsi="Times New Roman" w:cs="Times New Roman"/>
      <w:b/>
      <w:bCs/>
      <w:kern w:val="36"/>
      <w:sz w:val="48"/>
      <w:szCs w:val="48"/>
      <w:lang w:val="sv-SE" w:eastAsia="sv-SE"/>
    </w:rPr>
  </w:style>
  <w:style w:type="character" w:styleId="Hyperlink">
    <w:name w:val="Hyperlink"/>
    <w:basedOn w:val="DefaultParagraphFont"/>
    <w:uiPriority w:val="99"/>
    <w:unhideWhenUsed/>
    <w:rsid w:val="009E2734"/>
    <w:rPr>
      <w:color w:val="0000FF"/>
      <w:u w:val="single"/>
    </w:rPr>
  </w:style>
  <w:style w:type="character" w:customStyle="1" w:styleId="lrzxr">
    <w:name w:val="lrzxr"/>
    <w:basedOn w:val="DefaultParagraphFont"/>
    <w:rsid w:val="009E2734"/>
  </w:style>
  <w:style w:type="paragraph" w:styleId="BalloonText">
    <w:name w:val="Balloon Text"/>
    <w:basedOn w:val="Normal"/>
    <w:link w:val="BalloonTextChar"/>
    <w:uiPriority w:val="99"/>
    <w:semiHidden/>
    <w:unhideWhenUsed/>
    <w:rsid w:val="009E2734"/>
    <w:rPr>
      <w:sz w:val="18"/>
      <w:szCs w:val="18"/>
    </w:rPr>
  </w:style>
  <w:style w:type="character" w:customStyle="1" w:styleId="BalloonTextChar">
    <w:name w:val="Balloon Text Char"/>
    <w:basedOn w:val="DefaultParagraphFont"/>
    <w:link w:val="BalloonText"/>
    <w:uiPriority w:val="99"/>
    <w:semiHidden/>
    <w:rsid w:val="009E2734"/>
    <w:rPr>
      <w:rFonts w:ascii="Times New Roman" w:eastAsia="Times New Roman" w:hAnsi="Times New Roman" w:cs="Times New Roman"/>
      <w:sz w:val="18"/>
      <w:szCs w:val="18"/>
    </w:rPr>
  </w:style>
  <w:style w:type="paragraph" w:customStyle="1" w:styleId="EndNoteBibliographyTitle">
    <w:name w:val="EndNote Bibliography Title"/>
    <w:basedOn w:val="Normal"/>
    <w:link w:val="EndNoteBibliographyTitleChar"/>
    <w:rsid w:val="009E2734"/>
    <w:pPr>
      <w:jc w:val="center"/>
    </w:pPr>
    <w:rPr>
      <w:rFonts w:ascii="Calibri" w:eastAsiaTheme="minorEastAsia" w:hAnsi="Calibri" w:cs="Calibri"/>
    </w:rPr>
  </w:style>
  <w:style w:type="character" w:customStyle="1" w:styleId="EndNoteBibliographyTitleChar">
    <w:name w:val="EndNote Bibliography Title Char"/>
    <w:basedOn w:val="DefaultParagraphFont"/>
    <w:link w:val="EndNoteBibliographyTitle"/>
    <w:rsid w:val="009E2734"/>
    <w:rPr>
      <w:rFonts w:ascii="Calibri" w:hAnsi="Calibri" w:cs="Calibri"/>
    </w:rPr>
  </w:style>
  <w:style w:type="paragraph" w:customStyle="1" w:styleId="EndNoteBibliography">
    <w:name w:val="EndNote Bibliography"/>
    <w:basedOn w:val="Normal"/>
    <w:link w:val="EndNoteBibliographyChar"/>
    <w:rsid w:val="009E2734"/>
    <w:rPr>
      <w:rFonts w:ascii="Calibri" w:eastAsiaTheme="minorEastAsia" w:hAnsi="Calibri" w:cs="Calibri"/>
    </w:rPr>
  </w:style>
  <w:style w:type="character" w:customStyle="1" w:styleId="EndNoteBibliographyChar">
    <w:name w:val="EndNote Bibliography Char"/>
    <w:basedOn w:val="DefaultParagraphFont"/>
    <w:link w:val="EndNoteBibliography"/>
    <w:rsid w:val="009E2734"/>
    <w:rPr>
      <w:rFonts w:ascii="Calibri" w:hAnsi="Calibri" w:cs="Calibri"/>
    </w:rPr>
  </w:style>
  <w:style w:type="table" w:styleId="TableGrid">
    <w:name w:val="Table Grid"/>
    <w:basedOn w:val="TableNormal"/>
    <w:uiPriority w:val="39"/>
    <w:rsid w:val="009E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2734"/>
    <w:pPr>
      <w:spacing w:before="100" w:beforeAutospacing="1" w:after="100" w:afterAutospacing="1"/>
    </w:pPr>
    <w:rPr>
      <w:rFonts w:eastAsiaTheme="minorHAnsi"/>
      <w:lang w:val="sv-SE" w:eastAsia="sv-SE"/>
    </w:rPr>
  </w:style>
  <w:style w:type="character" w:styleId="CommentReference">
    <w:name w:val="annotation reference"/>
    <w:basedOn w:val="DefaultParagraphFont"/>
    <w:uiPriority w:val="99"/>
    <w:semiHidden/>
    <w:unhideWhenUsed/>
    <w:rsid w:val="009E2734"/>
    <w:rPr>
      <w:sz w:val="18"/>
      <w:szCs w:val="18"/>
    </w:rPr>
  </w:style>
  <w:style w:type="paragraph" w:styleId="CommentText">
    <w:name w:val="annotation text"/>
    <w:basedOn w:val="Normal"/>
    <w:link w:val="CommentTextChar"/>
    <w:uiPriority w:val="99"/>
    <w:semiHidden/>
    <w:unhideWhenUsed/>
    <w:rsid w:val="009E2734"/>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9E2734"/>
  </w:style>
  <w:style w:type="paragraph" w:styleId="CommentSubject">
    <w:name w:val="annotation subject"/>
    <w:basedOn w:val="CommentText"/>
    <w:next w:val="CommentText"/>
    <w:link w:val="CommentSubjectChar"/>
    <w:uiPriority w:val="99"/>
    <w:semiHidden/>
    <w:unhideWhenUsed/>
    <w:rsid w:val="009E2734"/>
    <w:rPr>
      <w:b/>
      <w:bCs/>
      <w:sz w:val="20"/>
      <w:szCs w:val="20"/>
    </w:rPr>
  </w:style>
  <w:style w:type="character" w:customStyle="1" w:styleId="CommentSubjectChar">
    <w:name w:val="Comment Subject Char"/>
    <w:basedOn w:val="CommentTextChar"/>
    <w:link w:val="CommentSubject"/>
    <w:uiPriority w:val="99"/>
    <w:semiHidden/>
    <w:rsid w:val="009E2734"/>
    <w:rPr>
      <w:b/>
      <w:bCs/>
      <w:sz w:val="20"/>
      <w:szCs w:val="20"/>
    </w:rPr>
  </w:style>
  <w:style w:type="paragraph" w:customStyle="1" w:styleId="p1">
    <w:name w:val="p1"/>
    <w:basedOn w:val="Normal"/>
    <w:rsid w:val="009E2734"/>
    <w:rPr>
      <w:rFonts w:ascii="Helvetica" w:eastAsiaTheme="minorEastAsia" w:hAnsi="Helvetica"/>
      <w:sz w:val="14"/>
      <w:szCs w:val="14"/>
      <w:lang w:val="sv-SE" w:eastAsia="sv-SE"/>
    </w:rPr>
  </w:style>
  <w:style w:type="character" w:customStyle="1" w:styleId="highlight">
    <w:name w:val="highlight"/>
    <w:basedOn w:val="DefaultParagraphFont"/>
    <w:rsid w:val="009E2734"/>
  </w:style>
  <w:style w:type="character" w:customStyle="1" w:styleId="apple-converted-space">
    <w:name w:val="apple-converted-space"/>
    <w:basedOn w:val="DefaultParagraphFont"/>
    <w:rsid w:val="009E2734"/>
  </w:style>
  <w:style w:type="character" w:customStyle="1" w:styleId="ref-journal">
    <w:name w:val="ref-journal"/>
    <w:basedOn w:val="DefaultParagraphFont"/>
    <w:rsid w:val="009E2734"/>
  </w:style>
  <w:style w:type="character" w:customStyle="1" w:styleId="ref-vol">
    <w:name w:val="ref-vol"/>
    <w:basedOn w:val="DefaultParagraphFont"/>
    <w:rsid w:val="009E2734"/>
  </w:style>
  <w:style w:type="paragraph" w:styleId="Revision">
    <w:name w:val="Revision"/>
    <w:hidden/>
    <w:uiPriority w:val="99"/>
    <w:semiHidden/>
    <w:rsid w:val="009E2734"/>
  </w:style>
  <w:style w:type="paragraph" w:styleId="ListParagraph">
    <w:name w:val="List Paragraph"/>
    <w:basedOn w:val="Normal"/>
    <w:uiPriority w:val="34"/>
    <w:qFormat/>
    <w:rsid w:val="009E2734"/>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9E2734"/>
    <w:pPr>
      <w:tabs>
        <w:tab w:val="center" w:pos="4680"/>
        <w:tab w:val="right" w:pos="9360"/>
      </w:tabs>
    </w:pPr>
  </w:style>
  <w:style w:type="character" w:customStyle="1" w:styleId="FooterChar">
    <w:name w:val="Footer Char"/>
    <w:basedOn w:val="DefaultParagraphFont"/>
    <w:link w:val="Footer"/>
    <w:uiPriority w:val="99"/>
    <w:rsid w:val="009E2734"/>
    <w:rPr>
      <w:rFonts w:ascii="Times New Roman" w:eastAsia="Times New Roman" w:hAnsi="Times New Roman" w:cs="Times New Roman"/>
    </w:rPr>
  </w:style>
  <w:style w:type="character" w:styleId="PageNumber">
    <w:name w:val="page number"/>
    <w:basedOn w:val="DefaultParagraphFont"/>
    <w:uiPriority w:val="99"/>
    <w:semiHidden/>
    <w:unhideWhenUsed/>
    <w:rsid w:val="009E2734"/>
  </w:style>
  <w:style w:type="character" w:styleId="UnresolvedMention">
    <w:name w:val="Unresolved Mention"/>
    <w:basedOn w:val="DefaultParagraphFont"/>
    <w:uiPriority w:val="99"/>
    <w:semiHidden/>
    <w:unhideWhenUsed/>
    <w:rsid w:val="00AC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larsson@ki.se" TargetMode="External"/><Relationship Id="rId3" Type="http://schemas.openxmlformats.org/officeDocument/2006/relationships/settings" Target="settings.xml"/><Relationship Id="rId7" Type="http://schemas.openxmlformats.org/officeDocument/2006/relationships/hyperlink" Target="Tel:46-8524860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6306</Words>
  <Characters>35946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Yuan</dc:creator>
  <cp:keywords/>
  <dc:description/>
  <cp:lastModifiedBy>Shuai Yuan</cp:lastModifiedBy>
  <cp:revision>12</cp:revision>
  <dcterms:created xsi:type="dcterms:W3CDTF">2020-02-11T08:59:00Z</dcterms:created>
  <dcterms:modified xsi:type="dcterms:W3CDTF">2020-03-12T13:36:00Z</dcterms:modified>
</cp:coreProperties>
</file>