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96320" w14:textId="2A515B6D" w:rsidR="000C2445" w:rsidRPr="000C2445" w:rsidRDefault="000C2445" w:rsidP="000C2445">
      <w:pPr>
        <w:jc w:val="center"/>
        <w:rPr>
          <w:sz w:val="36"/>
          <w:szCs w:val="36"/>
        </w:rPr>
      </w:pPr>
      <w:bookmarkStart w:id="0" w:name="_GoBack"/>
      <w:bookmarkEnd w:id="0"/>
      <w:r w:rsidRPr="000C2445">
        <w:rPr>
          <w:sz w:val="36"/>
          <w:szCs w:val="36"/>
        </w:rPr>
        <w:t>Impacts of a large-scale titling initiative on deforestation in the Brazilian Amazon</w:t>
      </w:r>
    </w:p>
    <w:p w14:paraId="2DBC7B0C" w14:textId="77777777" w:rsidR="000C2445" w:rsidRPr="00950D97" w:rsidRDefault="000C2445" w:rsidP="000C2445">
      <w:pPr>
        <w:ind w:left="360"/>
        <w:jc w:val="center"/>
        <w:rPr>
          <w:rFonts w:eastAsia="MS Gothic"/>
          <w:sz w:val="36"/>
        </w:rPr>
      </w:pPr>
    </w:p>
    <w:p w14:paraId="32C94C95" w14:textId="77777777" w:rsidR="000C2445" w:rsidRPr="00950D97" w:rsidRDefault="000C2445" w:rsidP="000C2445">
      <w:pPr>
        <w:ind w:left="360"/>
        <w:jc w:val="center"/>
        <w:rPr>
          <w:rFonts w:eastAsia="MS Gothic"/>
        </w:rPr>
      </w:pPr>
    </w:p>
    <w:p w14:paraId="618FCB8F" w14:textId="77777777" w:rsidR="00C73E4E" w:rsidRPr="00950D97" w:rsidRDefault="00C73E4E" w:rsidP="00C73E4E">
      <w:pPr>
        <w:autoSpaceDE w:val="0"/>
        <w:autoSpaceDN w:val="0"/>
        <w:adjustRightInd w:val="0"/>
        <w:spacing w:after="240" w:line="300" w:lineRule="atLeast"/>
        <w:rPr>
          <w:rFonts w:eastAsia="MS Gothic"/>
        </w:rPr>
      </w:pPr>
      <w:r w:rsidRPr="00950D97">
        <w:rPr>
          <w:rFonts w:eastAsia="MS Gothic"/>
        </w:rPr>
        <w:t>Benedict Probst</w:t>
      </w:r>
      <w:r w:rsidRPr="00950D97">
        <w:rPr>
          <w:rFonts w:eastAsia="MS Gothic"/>
          <w:vertAlign w:val="superscript"/>
        </w:rPr>
        <w:t>a</w:t>
      </w:r>
      <w:r w:rsidRPr="00950D97">
        <w:rPr>
          <w:rFonts w:eastAsia="MS Gothic"/>
        </w:rPr>
        <w:t>, Ariel BenYishay</w:t>
      </w:r>
      <w:r w:rsidRPr="00950D97">
        <w:rPr>
          <w:rFonts w:eastAsia="MS Gothic"/>
          <w:vertAlign w:val="superscript"/>
        </w:rPr>
        <w:t>bc</w:t>
      </w:r>
      <w:r w:rsidRPr="00950D97">
        <w:rPr>
          <w:rFonts w:eastAsia="MS Gothic"/>
        </w:rPr>
        <w:t>, Andreas Kontoleon*</w:t>
      </w:r>
      <w:r w:rsidRPr="00950D97">
        <w:rPr>
          <w:rFonts w:eastAsia="MS Gothic"/>
          <w:vertAlign w:val="superscript"/>
        </w:rPr>
        <w:t>a</w:t>
      </w:r>
      <w:r w:rsidRPr="00950D97">
        <w:rPr>
          <w:rFonts w:eastAsia="MS Gothic"/>
        </w:rPr>
        <w:t>, Tiago</w:t>
      </w:r>
      <w:r>
        <w:rPr>
          <w:rFonts w:eastAsia="MS Gothic"/>
        </w:rPr>
        <w:t xml:space="preserve"> N. P. dos</w:t>
      </w:r>
      <w:r w:rsidRPr="00950D97">
        <w:rPr>
          <w:rFonts w:eastAsia="MS Gothic"/>
        </w:rPr>
        <w:t xml:space="preserve"> Reis</w:t>
      </w:r>
      <w:r w:rsidRPr="00950D97">
        <w:rPr>
          <w:rFonts w:eastAsia="MS Gothic"/>
          <w:vertAlign w:val="superscript"/>
        </w:rPr>
        <w:t>d</w:t>
      </w:r>
      <w:r>
        <w:rPr>
          <w:rFonts w:eastAsia="MS Gothic"/>
          <w:vertAlign w:val="superscript"/>
        </w:rPr>
        <w:t>e</w:t>
      </w:r>
    </w:p>
    <w:p w14:paraId="648112DA" w14:textId="77777777" w:rsidR="00C73E4E" w:rsidRPr="00C10E22" w:rsidRDefault="00C73E4E" w:rsidP="00C73E4E">
      <w:pPr>
        <w:autoSpaceDE w:val="0"/>
        <w:autoSpaceDN w:val="0"/>
        <w:adjustRightInd w:val="0"/>
        <w:rPr>
          <w:rFonts w:eastAsia="MS Gothic"/>
          <w:sz w:val="20"/>
          <w:szCs w:val="20"/>
        </w:rPr>
      </w:pPr>
      <w:r w:rsidRPr="00950D97">
        <w:rPr>
          <w:rFonts w:eastAsia="MS Gothic"/>
          <w:sz w:val="20"/>
          <w:szCs w:val="20"/>
          <w:vertAlign w:val="superscript"/>
        </w:rPr>
        <w:t>a</w:t>
      </w:r>
      <w:r w:rsidRPr="00950D97">
        <w:rPr>
          <w:rFonts w:eastAsia="MS Gothic"/>
          <w:sz w:val="20"/>
          <w:szCs w:val="20"/>
        </w:rPr>
        <w:t xml:space="preserve"> Department of Land Economy, University of Cambridge, United Kingdom; </w:t>
      </w:r>
      <w:r w:rsidRPr="00950D97">
        <w:rPr>
          <w:rFonts w:eastAsia="MS Gothic"/>
          <w:sz w:val="20"/>
          <w:szCs w:val="20"/>
          <w:vertAlign w:val="superscript"/>
        </w:rPr>
        <w:t>b</w:t>
      </w:r>
      <w:r w:rsidRPr="00950D97">
        <w:rPr>
          <w:rFonts w:eastAsia="MS Gothic"/>
          <w:sz w:val="20"/>
          <w:szCs w:val="20"/>
        </w:rPr>
        <w:t xml:space="preserve"> Department of Economics, The College of William &amp; Mary, United States; </w:t>
      </w:r>
      <w:r w:rsidRPr="00950D97">
        <w:rPr>
          <w:rFonts w:eastAsia="MS Gothic"/>
          <w:sz w:val="20"/>
          <w:szCs w:val="20"/>
          <w:vertAlign w:val="superscript"/>
        </w:rPr>
        <w:t>c</w:t>
      </w:r>
      <w:r w:rsidRPr="00950D97">
        <w:rPr>
          <w:rFonts w:eastAsia="MS Gothic"/>
          <w:sz w:val="20"/>
          <w:szCs w:val="20"/>
        </w:rPr>
        <w:t xml:space="preserve"> AidData, United States; </w:t>
      </w:r>
      <w:r w:rsidRPr="00950D97">
        <w:rPr>
          <w:rFonts w:eastAsia="MS Gothic"/>
          <w:sz w:val="20"/>
          <w:szCs w:val="20"/>
          <w:vertAlign w:val="superscript"/>
        </w:rPr>
        <w:t>d</w:t>
      </w:r>
      <w:r>
        <w:rPr>
          <w:rFonts w:eastAsia="MS Gothic"/>
          <w:sz w:val="20"/>
          <w:szCs w:val="20"/>
          <w:vertAlign w:val="superscript"/>
        </w:rPr>
        <w:t xml:space="preserve"> </w:t>
      </w:r>
      <w:r w:rsidRPr="00F06973">
        <w:rPr>
          <w:rFonts w:eastAsia="MS Gothic"/>
          <w:sz w:val="20"/>
          <w:szCs w:val="20"/>
        </w:rPr>
        <w:t xml:space="preserve">Earth and Life </w:t>
      </w:r>
      <w:r w:rsidRPr="00C10E22">
        <w:rPr>
          <w:rFonts w:eastAsia="MS Gothic"/>
          <w:sz w:val="20"/>
          <w:szCs w:val="20"/>
        </w:rPr>
        <w:t>Institute</w:t>
      </w:r>
      <w:r>
        <w:rPr>
          <w:rFonts w:eastAsia="MS Gothic"/>
          <w:sz w:val="20"/>
          <w:szCs w:val="20"/>
        </w:rPr>
        <w:t>,</w:t>
      </w:r>
      <w:r w:rsidRPr="00C10E22">
        <w:rPr>
          <w:rFonts w:eastAsia="MS Gothic"/>
          <w:sz w:val="20"/>
          <w:szCs w:val="20"/>
        </w:rPr>
        <w:t xml:space="preserve"> </w:t>
      </w:r>
      <w:r w:rsidRPr="008F20A0">
        <w:rPr>
          <w:rFonts w:eastAsia="MS Gothic"/>
          <w:sz w:val="20"/>
          <w:szCs w:val="20"/>
        </w:rPr>
        <w:t>Université catholique de Louvain, Belgium</w:t>
      </w:r>
      <w:r>
        <w:rPr>
          <w:rFonts w:eastAsia="MS Gothic"/>
          <w:sz w:val="20"/>
          <w:szCs w:val="20"/>
        </w:rPr>
        <w:t xml:space="preserve">; </w:t>
      </w:r>
      <w:r w:rsidRPr="008F20A0">
        <w:rPr>
          <w:rFonts w:eastAsia="MS Gothic"/>
          <w:sz w:val="20"/>
          <w:szCs w:val="20"/>
          <w:vertAlign w:val="superscript"/>
        </w:rPr>
        <w:t>e</w:t>
      </w:r>
      <w:r>
        <w:rPr>
          <w:rFonts w:eastAsia="MS Gothic"/>
          <w:sz w:val="20"/>
          <w:szCs w:val="20"/>
          <w:vertAlign w:val="superscript"/>
        </w:rPr>
        <w:t xml:space="preserve"> </w:t>
      </w:r>
      <w:r w:rsidRPr="008F20A0">
        <w:rPr>
          <w:rFonts w:eastAsia="MS Gothic"/>
          <w:sz w:val="20"/>
          <w:szCs w:val="20"/>
        </w:rPr>
        <w:t>A</w:t>
      </w:r>
      <w:r>
        <w:rPr>
          <w:rFonts w:eastAsia="MS Gothic"/>
          <w:sz w:val="20"/>
          <w:szCs w:val="20"/>
        </w:rPr>
        <w:t xml:space="preserve">ssociate-researcher, </w:t>
      </w:r>
      <w:r w:rsidRPr="00C10E22">
        <w:rPr>
          <w:rFonts w:eastAsia="MS Gothic"/>
          <w:sz w:val="20"/>
          <w:szCs w:val="20"/>
        </w:rPr>
        <w:t>Instituto de Pesquisa Ambiental da Amazônia (IPAM), Brazil</w:t>
      </w:r>
      <w:r>
        <w:rPr>
          <w:rFonts w:eastAsia="MS Gothic"/>
          <w:sz w:val="20"/>
          <w:szCs w:val="20"/>
        </w:rPr>
        <w:t>.</w:t>
      </w:r>
      <w:r w:rsidRPr="00C10E22">
        <w:rPr>
          <w:rFonts w:eastAsia="MS Gothic"/>
          <w:sz w:val="20"/>
          <w:szCs w:val="20"/>
        </w:rPr>
        <w:t xml:space="preserve"> </w:t>
      </w:r>
    </w:p>
    <w:p w14:paraId="46BD103C" w14:textId="77777777" w:rsidR="00C73E4E" w:rsidRPr="00950D97" w:rsidRDefault="00C73E4E" w:rsidP="00C73E4E">
      <w:pPr>
        <w:autoSpaceDE w:val="0"/>
        <w:autoSpaceDN w:val="0"/>
        <w:adjustRightInd w:val="0"/>
        <w:spacing w:after="240" w:line="300" w:lineRule="atLeast"/>
        <w:rPr>
          <w:rFonts w:eastAsia="MS Gothic"/>
          <w:sz w:val="20"/>
          <w:szCs w:val="20"/>
        </w:rPr>
      </w:pPr>
      <w:r w:rsidRPr="00950D97">
        <w:rPr>
          <w:rFonts w:eastAsia="MS Gothic"/>
          <w:sz w:val="20"/>
          <w:szCs w:val="20"/>
        </w:rPr>
        <w:t xml:space="preserve">* Corresponding author, email: </w:t>
      </w:r>
      <w:hyperlink r:id="rId11" w:history="1">
        <w:r w:rsidRPr="00950D97">
          <w:rPr>
            <w:rStyle w:val="Hyperlink"/>
            <w:rFonts w:eastAsia="MS Gothic"/>
            <w:sz w:val="20"/>
            <w:szCs w:val="20"/>
          </w:rPr>
          <w:t>ak219@cam.ac.uk</w:t>
        </w:r>
      </w:hyperlink>
      <w:r w:rsidRPr="00950D97">
        <w:rPr>
          <w:rFonts w:eastAsia="MS Gothic"/>
          <w:sz w:val="20"/>
          <w:szCs w:val="20"/>
        </w:rPr>
        <w:t>, +44 1223 339773, Fax: +44 (0)1223 337130</w:t>
      </w:r>
    </w:p>
    <w:p w14:paraId="616D3609" w14:textId="77777777" w:rsidR="000C2445" w:rsidRPr="00950D97" w:rsidRDefault="000C2445" w:rsidP="000C2445">
      <w:pPr>
        <w:autoSpaceDE w:val="0"/>
        <w:autoSpaceDN w:val="0"/>
        <w:adjustRightInd w:val="0"/>
        <w:spacing w:after="240" w:line="300" w:lineRule="atLeast"/>
        <w:rPr>
          <w:rFonts w:eastAsia="MS Gothic"/>
          <w:sz w:val="20"/>
          <w:szCs w:val="20"/>
        </w:rPr>
      </w:pPr>
    </w:p>
    <w:sdt>
      <w:sdtPr>
        <w:rPr>
          <w:rFonts w:ascii="Times New Roman" w:eastAsiaTheme="minorHAnsi" w:hAnsi="Times New Roman" w:cs="Times New Roman"/>
          <w:b w:val="0"/>
          <w:bCs w:val="0"/>
          <w:color w:val="auto"/>
          <w:sz w:val="24"/>
          <w:szCs w:val="24"/>
          <w:lang w:val="en-GB"/>
        </w:rPr>
        <w:id w:val="625665615"/>
        <w:docPartObj>
          <w:docPartGallery w:val="Table of Contents"/>
          <w:docPartUnique/>
        </w:docPartObj>
      </w:sdtPr>
      <w:sdtEndPr>
        <w:rPr>
          <w:noProof/>
        </w:rPr>
      </w:sdtEndPr>
      <w:sdtContent>
        <w:p w14:paraId="38987246" w14:textId="5F167860" w:rsidR="000C2445" w:rsidRPr="000C2445" w:rsidRDefault="000C2445">
          <w:pPr>
            <w:pStyle w:val="TOCHeading"/>
            <w:rPr>
              <w:rFonts w:ascii="Times New Roman" w:hAnsi="Times New Roman" w:cs="Times New Roman"/>
              <w:color w:val="222A35" w:themeColor="text2" w:themeShade="80"/>
            </w:rPr>
          </w:pPr>
          <w:r w:rsidRPr="000C2445">
            <w:rPr>
              <w:rFonts w:ascii="Times New Roman" w:hAnsi="Times New Roman" w:cs="Times New Roman"/>
              <w:color w:val="222A35" w:themeColor="text2" w:themeShade="80"/>
            </w:rPr>
            <w:t>Table of Contents</w:t>
          </w:r>
        </w:p>
        <w:p w14:paraId="24F57369" w14:textId="7AD1D22B" w:rsidR="00993F81" w:rsidRDefault="000C2445">
          <w:pPr>
            <w:pStyle w:val="TOC1"/>
            <w:rPr>
              <w:rFonts w:eastAsiaTheme="minorEastAsia" w:cstheme="minorBidi"/>
              <w:b w:val="0"/>
              <w:bCs w:val="0"/>
              <w:i w:val="0"/>
              <w:iCs w:val="0"/>
              <w:noProof/>
            </w:rPr>
          </w:pPr>
          <w:r w:rsidRPr="000C2445">
            <w:rPr>
              <w:rFonts w:ascii="Times New Roman" w:hAnsi="Times New Roman"/>
            </w:rPr>
            <w:fldChar w:fldCharType="begin"/>
          </w:r>
          <w:r w:rsidRPr="000C2445">
            <w:rPr>
              <w:rFonts w:ascii="Times New Roman" w:hAnsi="Times New Roman"/>
            </w:rPr>
            <w:instrText xml:space="preserve"> TOC \o "1-3" \h \z \u </w:instrText>
          </w:r>
          <w:r w:rsidRPr="000C2445">
            <w:rPr>
              <w:rFonts w:ascii="Times New Roman" w:hAnsi="Times New Roman"/>
            </w:rPr>
            <w:fldChar w:fldCharType="separate"/>
          </w:r>
          <w:hyperlink w:anchor="_Toc34650088" w:history="1">
            <w:r w:rsidR="00993F81" w:rsidRPr="007666B7">
              <w:rPr>
                <w:rStyle w:val="Hyperlink"/>
                <w:noProof/>
              </w:rPr>
              <w:t>1.</w:t>
            </w:r>
            <w:r w:rsidR="00993F81">
              <w:rPr>
                <w:rFonts w:eastAsiaTheme="minorEastAsia" w:cstheme="minorBidi"/>
                <w:b w:val="0"/>
                <w:bCs w:val="0"/>
                <w:i w:val="0"/>
                <w:iCs w:val="0"/>
                <w:noProof/>
              </w:rPr>
              <w:tab/>
            </w:r>
            <w:r w:rsidR="00993F81" w:rsidRPr="007666B7">
              <w:rPr>
                <w:rStyle w:val="Hyperlink"/>
                <w:noProof/>
              </w:rPr>
              <w:t>Supplementary Information</w:t>
            </w:r>
            <w:r w:rsidR="00993F81">
              <w:rPr>
                <w:noProof/>
                <w:webHidden/>
              </w:rPr>
              <w:tab/>
            </w:r>
            <w:r w:rsidR="00993F81">
              <w:rPr>
                <w:noProof/>
                <w:webHidden/>
              </w:rPr>
              <w:fldChar w:fldCharType="begin"/>
            </w:r>
            <w:r w:rsidR="00993F81">
              <w:rPr>
                <w:noProof/>
                <w:webHidden/>
              </w:rPr>
              <w:instrText xml:space="preserve"> PAGEREF _Toc34650088 \h </w:instrText>
            </w:r>
            <w:r w:rsidR="00993F81">
              <w:rPr>
                <w:noProof/>
                <w:webHidden/>
              </w:rPr>
            </w:r>
            <w:r w:rsidR="00993F81">
              <w:rPr>
                <w:noProof/>
                <w:webHidden/>
              </w:rPr>
              <w:fldChar w:fldCharType="separate"/>
            </w:r>
            <w:r w:rsidR="00993F81">
              <w:rPr>
                <w:noProof/>
                <w:webHidden/>
              </w:rPr>
              <w:t>2</w:t>
            </w:r>
            <w:r w:rsidR="00993F81">
              <w:rPr>
                <w:noProof/>
                <w:webHidden/>
              </w:rPr>
              <w:fldChar w:fldCharType="end"/>
            </w:r>
          </w:hyperlink>
        </w:p>
        <w:p w14:paraId="775956D6" w14:textId="24496594" w:rsidR="00993F81" w:rsidRDefault="00573755">
          <w:pPr>
            <w:pStyle w:val="TOC1"/>
            <w:rPr>
              <w:rFonts w:eastAsiaTheme="minorEastAsia" w:cstheme="minorBidi"/>
              <w:b w:val="0"/>
              <w:bCs w:val="0"/>
              <w:i w:val="0"/>
              <w:iCs w:val="0"/>
              <w:noProof/>
            </w:rPr>
          </w:pPr>
          <w:hyperlink w:anchor="_Toc34650089" w:history="1">
            <w:r w:rsidR="00993F81" w:rsidRPr="007666B7">
              <w:rPr>
                <w:rStyle w:val="Hyperlink"/>
                <w:noProof/>
              </w:rPr>
              <w:t>Supplementary Notes</w:t>
            </w:r>
            <w:r w:rsidR="00993F81">
              <w:rPr>
                <w:noProof/>
                <w:webHidden/>
              </w:rPr>
              <w:tab/>
            </w:r>
            <w:r w:rsidR="00993F81">
              <w:rPr>
                <w:noProof/>
                <w:webHidden/>
              </w:rPr>
              <w:fldChar w:fldCharType="begin"/>
            </w:r>
            <w:r w:rsidR="00993F81">
              <w:rPr>
                <w:noProof/>
                <w:webHidden/>
              </w:rPr>
              <w:instrText xml:space="preserve"> PAGEREF _Toc34650089 \h </w:instrText>
            </w:r>
            <w:r w:rsidR="00993F81">
              <w:rPr>
                <w:noProof/>
                <w:webHidden/>
              </w:rPr>
            </w:r>
            <w:r w:rsidR="00993F81">
              <w:rPr>
                <w:noProof/>
                <w:webHidden/>
              </w:rPr>
              <w:fldChar w:fldCharType="separate"/>
            </w:r>
            <w:r w:rsidR="00993F81">
              <w:rPr>
                <w:noProof/>
                <w:webHidden/>
              </w:rPr>
              <w:t>2</w:t>
            </w:r>
            <w:r w:rsidR="00993F81">
              <w:rPr>
                <w:noProof/>
                <w:webHidden/>
              </w:rPr>
              <w:fldChar w:fldCharType="end"/>
            </w:r>
          </w:hyperlink>
        </w:p>
        <w:p w14:paraId="39654BD3" w14:textId="6B2DFC4A" w:rsidR="00993F81" w:rsidRDefault="00573755">
          <w:pPr>
            <w:pStyle w:val="TOC1"/>
            <w:rPr>
              <w:rFonts w:eastAsiaTheme="minorEastAsia" w:cstheme="minorBidi"/>
              <w:b w:val="0"/>
              <w:bCs w:val="0"/>
              <w:i w:val="0"/>
              <w:iCs w:val="0"/>
              <w:noProof/>
            </w:rPr>
          </w:pPr>
          <w:hyperlink w:anchor="_Toc34650090" w:history="1">
            <w:r w:rsidR="00993F81" w:rsidRPr="007666B7">
              <w:rPr>
                <w:rStyle w:val="Hyperlink"/>
                <w:noProof/>
              </w:rPr>
              <w:t>Supplementary Figures</w:t>
            </w:r>
            <w:r w:rsidR="00993F81">
              <w:rPr>
                <w:noProof/>
                <w:webHidden/>
              </w:rPr>
              <w:tab/>
            </w:r>
            <w:r w:rsidR="00993F81">
              <w:rPr>
                <w:noProof/>
                <w:webHidden/>
              </w:rPr>
              <w:fldChar w:fldCharType="begin"/>
            </w:r>
            <w:r w:rsidR="00993F81">
              <w:rPr>
                <w:noProof/>
                <w:webHidden/>
              </w:rPr>
              <w:instrText xml:space="preserve"> PAGEREF _Toc34650090 \h </w:instrText>
            </w:r>
            <w:r w:rsidR="00993F81">
              <w:rPr>
                <w:noProof/>
                <w:webHidden/>
              </w:rPr>
            </w:r>
            <w:r w:rsidR="00993F81">
              <w:rPr>
                <w:noProof/>
                <w:webHidden/>
              </w:rPr>
              <w:fldChar w:fldCharType="separate"/>
            </w:r>
            <w:r w:rsidR="00993F81">
              <w:rPr>
                <w:noProof/>
                <w:webHidden/>
              </w:rPr>
              <w:t>7</w:t>
            </w:r>
            <w:r w:rsidR="00993F81">
              <w:rPr>
                <w:noProof/>
                <w:webHidden/>
              </w:rPr>
              <w:fldChar w:fldCharType="end"/>
            </w:r>
          </w:hyperlink>
        </w:p>
        <w:p w14:paraId="7E1AAFB2" w14:textId="6E3AA506" w:rsidR="00993F81" w:rsidRDefault="00573755">
          <w:pPr>
            <w:pStyle w:val="TOC1"/>
            <w:rPr>
              <w:rFonts w:eastAsiaTheme="minorEastAsia" w:cstheme="minorBidi"/>
              <w:b w:val="0"/>
              <w:bCs w:val="0"/>
              <w:i w:val="0"/>
              <w:iCs w:val="0"/>
              <w:noProof/>
            </w:rPr>
          </w:pPr>
          <w:hyperlink w:anchor="_Toc34650091" w:history="1">
            <w:r w:rsidR="00993F81" w:rsidRPr="007666B7">
              <w:rPr>
                <w:rStyle w:val="Hyperlink"/>
                <w:noProof/>
              </w:rPr>
              <w:t>Supplementary Tables</w:t>
            </w:r>
            <w:r w:rsidR="00993F81">
              <w:rPr>
                <w:noProof/>
                <w:webHidden/>
              </w:rPr>
              <w:tab/>
            </w:r>
            <w:r w:rsidR="00993F81">
              <w:rPr>
                <w:noProof/>
                <w:webHidden/>
              </w:rPr>
              <w:fldChar w:fldCharType="begin"/>
            </w:r>
            <w:r w:rsidR="00993F81">
              <w:rPr>
                <w:noProof/>
                <w:webHidden/>
              </w:rPr>
              <w:instrText xml:space="preserve"> PAGEREF _Toc34650091 \h </w:instrText>
            </w:r>
            <w:r w:rsidR="00993F81">
              <w:rPr>
                <w:noProof/>
                <w:webHidden/>
              </w:rPr>
            </w:r>
            <w:r w:rsidR="00993F81">
              <w:rPr>
                <w:noProof/>
                <w:webHidden/>
              </w:rPr>
              <w:fldChar w:fldCharType="separate"/>
            </w:r>
            <w:r w:rsidR="00993F81">
              <w:rPr>
                <w:noProof/>
                <w:webHidden/>
              </w:rPr>
              <w:t>11</w:t>
            </w:r>
            <w:r w:rsidR="00993F81">
              <w:rPr>
                <w:noProof/>
                <w:webHidden/>
              </w:rPr>
              <w:fldChar w:fldCharType="end"/>
            </w:r>
          </w:hyperlink>
        </w:p>
        <w:p w14:paraId="60D33BE5" w14:textId="235372CC" w:rsidR="00993F81" w:rsidRDefault="00573755">
          <w:pPr>
            <w:pStyle w:val="TOC1"/>
            <w:rPr>
              <w:rFonts w:eastAsiaTheme="minorEastAsia" w:cstheme="minorBidi"/>
              <w:b w:val="0"/>
              <w:bCs w:val="0"/>
              <w:i w:val="0"/>
              <w:iCs w:val="0"/>
              <w:noProof/>
            </w:rPr>
          </w:pPr>
          <w:hyperlink w:anchor="_Toc34650092" w:history="1">
            <w:r w:rsidR="00993F81" w:rsidRPr="007666B7">
              <w:rPr>
                <w:rStyle w:val="Hyperlink"/>
                <w:noProof/>
              </w:rPr>
              <w:t>Supplementary References</w:t>
            </w:r>
            <w:r w:rsidR="00993F81">
              <w:rPr>
                <w:noProof/>
                <w:webHidden/>
              </w:rPr>
              <w:tab/>
            </w:r>
            <w:r w:rsidR="00993F81">
              <w:rPr>
                <w:noProof/>
                <w:webHidden/>
              </w:rPr>
              <w:fldChar w:fldCharType="begin"/>
            </w:r>
            <w:r w:rsidR="00993F81">
              <w:rPr>
                <w:noProof/>
                <w:webHidden/>
              </w:rPr>
              <w:instrText xml:space="preserve"> PAGEREF _Toc34650092 \h </w:instrText>
            </w:r>
            <w:r w:rsidR="00993F81">
              <w:rPr>
                <w:noProof/>
                <w:webHidden/>
              </w:rPr>
            </w:r>
            <w:r w:rsidR="00993F81">
              <w:rPr>
                <w:noProof/>
                <w:webHidden/>
              </w:rPr>
              <w:fldChar w:fldCharType="separate"/>
            </w:r>
            <w:r w:rsidR="00993F81">
              <w:rPr>
                <w:noProof/>
                <w:webHidden/>
              </w:rPr>
              <w:t>14</w:t>
            </w:r>
            <w:r w:rsidR="00993F81">
              <w:rPr>
                <w:noProof/>
                <w:webHidden/>
              </w:rPr>
              <w:fldChar w:fldCharType="end"/>
            </w:r>
          </w:hyperlink>
        </w:p>
        <w:p w14:paraId="4B64C6BD" w14:textId="60DCBE7E" w:rsidR="000C2445" w:rsidRPr="000C2445" w:rsidRDefault="000C2445">
          <w:r w:rsidRPr="000C2445">
            <w:rPr>
              <w:b/>
              <w:bCs/>
              <w:noProof/>
            </w:rPr>
            <w:fldChar w:fldCharType="end"/>
          </w:r>
        </w:p>
      </w:sdtContent>
    </w:sdt>
    <w:p w14:paraId="10363D46" w14:textId="77777777" w:rsidR="000C2445" w:rsidRPr="000C2445" w:rsidRDefault="000C2445">
      <w:pPr>
        <w:rPr>
          <w:rFonts w:eastAsia="DengXian Light"/>
          <w:bCs/>
          <w:color w:val="000000"/>
          <w:sz w:val="32"/>
          <w:szCs w:val="32"/>
          <w:lang w:eastAsia="de-DE"/>
        </w:rPr>
      </w:pPr>
      <w:r w:rsidRPr="000C2445">
        <w:br w:type="page"/>
      </w:r>
    </w:p>
    <w:p w14:paraId="674AFE74" w14:textId="472276D9" w:rsidR="0096001D" w:rsidRDefault="0096001D" w:rsidP="00614FE2">
      <w:pPr>
        <w:pStyle w:val="Heading11"/>
        <w:numPr>
          <w:ilvl w:val="0"/>
          <w:numId w:val="2"/>
        </w:numPr>
        <w:spacing w:line="480" w:lineRule="auto"/>
        <w:ind w:left="284" w:hanging="284"/>
      </w:pPr>
      <w:bookmarkStart w:id="1" w:name="_Toc34650088"/>
      <w:r>
        <w:lastRenderedPageBreak/>
        <w:t>Supplementary Information</w:t>
      </w:r>
      <w:bookmarkEnd w:id="1"/>
      <w:r>
        <w:t xml:space="preserve"> </w:t>
      </w:r>
    </w:p>
    <w:p w14:paraId="6892235D" w14:textId="0704A9E4" w:rsidR="0096001D" w:rsidRDefault="0096001D" w:rsidP="00993F81">
      <w:pPr>
        <w:spacing w:line="480" w:lineRule="auto"/>
        <w:jc w:val="both"/>
      </w:pPr>
      <w:r w:rsidRPr="0022702B">
        <w:t xml:space="preserve">The following section provides a brief overview of settlement history in the Brazilian Amazon – and associated environmental degradation – and the rationale for the Terra Legal Programme. </w:t>
      </w:r>
    </w:p>
    <w:p w14:paraId="58F638BD" w14:textId="78EB8B3D" w:rsidR="00993F81" w:rsidRDefault="00993F81" w:rsidP="00993F81">
      <w:pPr>
        <w:spacing w:line="480" w:lineRule="auto"/>
        <w:jc w:val="both"/>
      </w:pPr>
    </w:p>
    <w:p w14:paraId="7F49A887" w14:textId="173DEA12" w:rsidR="00993F81" w:rsidRDefault="00993F81" w:rsidP="00993F81">
      <w:pPr>
        <w:pStyle w:val="Heading1"/>
      </w:pPr>
      <w:bookmarkStart w:id="2" w:name="_Toc34650089"/>
      <w:r>
        <w:t>Supplementary Notes</w:t>
      </w:r>
      <w:bookmarkEnd w:id="2"/>
    </w:p>
    <w:p w14:paraId="3D49659E" w14:textId="43CC3743" w:rsidR="00993F81" w:rsidRDefault="00993F81" w:rsidP="00993F81"/>
    <w:p w14:paraId="0C70EF84" w14:textId="79596925" w:rsidR="00993F81" w:rsidRPr="00993F81" w:rsidRDefault="00993F81" w:rsidP="00993F81">
      <w:pPr>
        <w:rPr>
          <w:b/>
        </w:rPr>
      </w:pPr>
      <w:r w:rsidRPr="00993F81">
        <w:rPr>
          <w:b/>
        </w:rPr>
        <w:t xml:space="preserve">Related Literature </w:t>
      </w:r>
    </w:p>
    <w:p w14:paraId="2D18B97D" w14:textId="04AC6862" w:rsidR="00B979F6" w:rsidRPr="00950D97" w:rsidRDefault="00B979F6" w:rsidP="005E0E6F">
      <w:pPr>
        <w:spacing w:line="480" w:lineRule="auto"/>
        <w:jc w:val="both"/>
      </w:pPr>
      <w:r w:rsidRPr="00950D97">
        <w:t>We are only aware of four published studies that use quasi-experimental methods and a credible counterfactual to explore the effect of tenure rights on forest cover: Blackman et al.</w:t>
      </w:r>
      <w:r w:rsidR="005E0E6F">
        <w:fldChar w:fldCharType="begin" w:fldLock="1"/>
      </w:r>
      <w:r w:rsidR="005E0E6F">
        <w:instrText>ADDIN CSL_CITATION {"citationItems":[{"id":"ITEM-1","itemData":{"DOI":"10.1073/pnas.1603290114","author":[{"dropping-particle":"","family":"Blackman","given":"Allen","non-dropping-particle":"","parse-names":false,"suffix":""},{"dropping-particle":"","family":"Corral","given":"Leonardo","non-dropping-particle":"","parse-names":false,"suffix":""},{"dropping-particle":"","family":"Santos","given":"Eirivelthon","non-dropping-particle":"","parse-names":false,"suffix":""},{"dropping-particle":"","family":"Asner","given":"Gregory P","non-dropping-particle":"","parse-names":false,"suffix":""}],"id":"ITEM-1","issued":{"date-parts":[["2017"]]},"title":"Titling indigenous communities protects forests in the Peruvian Amazon","type":"article-journal"},"uris":["http://www.mendeley.com/documents/?uuid=4b4f7e21-9a20-4270-b13e-d12791a07248"]}],"mendeley":{"formattedCitation":"&lt;sup&gt;1&lt;/sup&gt;","plainTextFormattedCitation":"1","previouslyFormattedCitation":"&lt;sup&gt;1&lt;/sup&gt;"},"properties":{"noteIndex":0},"schema":"https://github.com/citation-style-language/schema/raw/master/csl-citation.json"}</w:instrText>
      </w:r>
      <w:r w:rsidR="005E0E6F">
        <w:fldChar w:fldCharType="separate"/>
      </w:r>
      <w:r w:rsidR="005E0E6F" w:rsidRPr="005E0E6F">
        <w:rPr>
          <w:noProof/>
          <w:vertAlign w:val="superscript"/>
        </w:rPr>
        <w:t>1</w:t>
      </w:r>
      <w:r w:rsidR="005E0E6F">
        <w:fldChar w:fldCharType="end"/>
      </w:r>
      <w:r w:rsidRPr="00950D97">
        <w:t>, Buntaine et al.</w:t>
      </w:r>
      <w:r w:rsidR="005E0E6F">
        <w:fldChar w:fldCharType="begin" w:fldLock="1"/>
      </w:r>
      <w:r w:rsidR="005E0E6F">
        <w:instrText>ADDIN CSL_CITATION {"citationItems":[{"id":"ITEM-1","itemData":{"abstract":"Land tenure and land titling programs for forests have become a mainstay of conservation and resource management policy worldwide. They are thought to reduce deforestation by lengthening the time horizon of landholders and improving the ability of landholders to legally exclude competing users. Despite these expectations, reliable evidence about how land titling programs affect forest cover is limited because programs are targeted according to other factors that themselves influence the conversion of forests, such as indigenous status or low population density. We investigate the effect of a donor-funded land titling and management program on forest cover in Morona-Santiago, Ecuador. To estimate the impact of community land titles and management plans, we match plots in program areas with similar plots outside program areas on a variety of covariates that influence forest conversion. Based on matched comparisons, we do not find evidence that land titling or the creation of community management plans reduced forest loss in the first five years after the program. Our results are some of the first evidence about the effects of land titling programs on forests that account for spatial assignment and interactions with other institutions. More broadly, our analysis demonstrates the promise of using remotely sensed data to evaluate the effects of policies beyond normal cycles of policy and program evaluation. Acknowledgement: The authors wish to thank USAID for their support of this work. Mississippi. His research examines the role of land-cover land-use change on issues of development including food security and access to livelihoods. AidData – a joint venture of the College of William and Mary, Development Gateway and Brigham Young University – is a research and innovation lab that seeks to make development finance more transparent, accountable, and effective. Users can track over $40 trillion in funding for development including remittances, foreign direct investment, aid, and most recently US private foundation flows all on a publicly accessible data portal on AidData.org. AidData's work is made possible through funding from and partnerships with USAID, the World Bank, the Asian Development Bank, the African Development Bank, the Islamic Development Bank, the Open Aid Partnership, DFATD, the Hewlett Foundation, the Gates Foundation, Humanity United, and 20+ finance and planning ministries in Asia, Africa, and Latin America.","author":[{"dropping-particle":"","family":"Buntaine","given":"Mark T","non-dropping-particle":"","parse-names":false,"suffix":""},{"dropping-particle":"","family":"Hamilton","given":"Stuart E","non-dropping-particle":"","parse-names":false,"suffix":""},{"dropping-particle":"","family":"Millones","given":"Marco","non-dropping-particle":"","parse-names":false,"suffix":""},{"dropping-particle":"","family":"Hamilton","given":"Stuart","non-dropping-particle":"","parse-names":false,"suffix":""}],"id":"ITEM-1","issue":"October 2014","issued":{"date-parts":[["2014"]]},"title":"Titling Community Land to Prevent Deforestation: No Reduction in Forest Loss in Morona-Santiago, Ecuador","type":"article-journal"},"uris":["http://www.mendeley.com/documents/?uuid=885b1b21-6e0b-4328-9595-6b27801624d2"]}],"mendeley":{"formattedCitation":"&lt;sup&gt;2&lt;/sup&gt;","plainTextFormattedCitation":"2","previouslyFormattedCitation":"&lt;sup&gt;2&lt;/sup&gt;"},"properties":{"noteIndex":0},"schema":"https://github.com/citation-style-language/schema/raw/master/csl-citation.json"}</w:instrText>
      </w:r>
      <w:r w:rsidR="005E0E6F">
        <w:fldChar w:fldCharType="separate"/>
      </w:r>
      <w:r w:rsidR="005E0E6F" w:rsidRPr="005E0E6F">
        <w:rPr>
          <w:noProof/>
          <w:vertAlign w:val="superscript"/>
        </w:rPr>
        <w:t>2</w:t>
      </w:r>
      <w:r w:rsidR="005E0E6F">
        <w:fldChar w:fldCharType="end"/>
      </w:r>
      <w:r w:rsidRPr="00950D97">
        <w:t>, BenYishay et al.</w:t>
      </w:r>
      <w:r w:rsidR="005E0E6F">
        <w:fldChar w:fldCharType="begin" w:fldLock="1"/>
      </w:r>
      <w:r w:rsidR="005E0E6F">
        <w:instrText>ADDIN CSL_CITATION {"citationItems":[{"id":"ITEM-1","itemData":{"DOI":"10.1016/j.jeem.2017.07.008","ISSN":"10960449","abstract":"Concerns over the expropriation of and encroachment on indigenous communities' lands have led to greater formalization of these communities' rights in a number of developing countries. We study whether formalization of indigenous communities' land rights affects the rate of deforestation in both the short and medium terms. Beginning in 1995, the Government of Brazil formalized the rights of several hundred indigenous communities whose lands cover more than 40 million hectares in the Amazon region and provided support for these rights’ enforcement. We study the program's impacts using a long time-series of satellite-based forest cover data. Using both plausibly exogenous variation in the timing of formalization and matched samples of treated and comparison communities, we find no effect of these protections on satellite-based greenness measures. This is true even for communities that received support for surveillance and enforcement of these rights. Notably, we observe low counterfactual rates of deforestation on communities' lands between 1982 and 2010, suggesting that indigenous land rights programs should not uniformly be justified on the basis of their forest protection, at least in the medium term.","author":[{"dropping-particle":"","family":"BenYishay","given":"Ariel","non-dropping-particle":"","parse-names":false,"suffix":""},{"dropping-particle":"","family":"Heuser","given":"Silke","non-dropping-particle":"","parse-names":false,"suffix":""},{"dropping-particle":"","family":"Runfola","given":"Daniel","non-dropping-particle":"","parse-names":false,"suffix":""},{"dropping-particle":"","family":"Trichler","given":"Rachel","non-dropping-particle":"","parse-names":false,"suffix":""}],"container-title":"Journal of Environmental Economics and Management","id":"ITEM-1","issued":{"date-parts":[["2017"]]},"page":"29-47","publisher":"Elsevier Inc.","title":"Indigenous land rights and deforestation: Evidence from the Brazilian Amazon","type":"article-journal","volume":"86"},"uris":["http://www.mendeley.com/documents/?uuid=86d92e26-d9b1-42b7-9675-9da73ac623b6"]}],"mendeley":{"formattedCitation":"&lt;sup&gt;3&lt;/sup&gt;","plainTextFormattedCitation":"3","previouslyFormattedCitation":"&lt;sup&gt;3&lt;/sup&gt;"},"properties":{"noteIndex":0},"schema":"https://github.com/citation-style-language/schema/raw/master/csl-citation.json"}</w:instrText>
      </w:r>
      <w:r w:rsidR="005E0E6F">
        <w:fldChar w:fldCharType="separate"/>
      </w:r>
      <w:r w:rsidR="005E0E6F" w:rsidRPr="005E0E6F">
        <w:rPr>
          <w:noProof/>
          <w:vertAlign w:val="superscript"/>
        </w:rPr>
        <w:t>3</w:t>
      </w:r>
      <w:r w:rsidR="005E0E6F">
        <w:fldChar w:fldCharType="end"/>
      </w:r>
      <w:r w:rsidRPr="00950D97">
        <w:t>, and Liscow</w:t>
      </w:r>
      <w:r w:rsidR="005E0E6F">
        <w:fldChar w:fldCharType="begin" w:fldLock="1"/>
      </w:r>
      <w:r w:rsidR="005E0E6F">
        <w:instrText>ADDIN CSL_CITATION {"citationItems":[{"id":"ITEM-1","itemData":{"DOI":"10.1016/j.jeem.2012.07.001","ISSN":"0095-0696","author":[{"dropping-particle":"","family":"Liscow","given":"Zachary D","non-dropping-particle":"","parse-names":false,"suffix":""}],"container-title":"Journal of Environmental Economics and Management","id":"ITEM-1","issue":"2","issued":{"date-parts":[["2013"]]},"page":"241-261","publisher":"Elsevier","title":"Do property rights promote investment but cause deforestation ? Quasi-experimental evidence from Nicaragua","type":"article-journal","volume":"65"},"uris":["http://www.mendeley.com/documents/?uuid=93e34427-4f4d-4817-9fde-ccdc5e95e2ea"]}],"mendeley":{"formattedCitation":"&lt;sup&gt;4&lt;/sup&gt;","plainTextFormattedCitation":"4","previouslyFormattedCitation":"&lt;sup&gt;4&lt;/sup&gt;"},"properties":{"noteIndex":0},"schema":"https://github.com/citation-style-language/schema/raw/master/csl-citation.json"}</w:instrText>
      </w:r>
      <w:r w:rsidR="005E0E6F">
        <w:fldChar w:fldCharType="separate"/>
      </w:r>
      <w:r w:rsidR="005E0E6F" w:rsidRPr="005E0E6F">
        <w:rPr>
          <w:noProof/>
          <w:vertAlign w:val="superscript"/>
        </w:rPr>
        <w:t>4</w:t>
      </w:r>
      <w:r w:rsidR="005E0E6F">
        <w:fldChar w:fldCharType="end"/>
      </w:r>
      <w:r w:rsidRPr="00950D97">
        <w:t xml:space="preserve">. Whereas the first three focus on indigenous lands, the last focuses on private landholders. </w:t>
      </w:r>
    </w:p>
    <w:p w14:paraId="2890C348" w14:textId="7F1AC2C0" w:rsidR="00B979F6" w:rsidRDefault="00B979F6" w:rsidP="00B979F6">
      <w:pPr>
        <w:spacing w:line="480" w:lineRule="auto"/>
        <w:ind w:firstLine="360"/>
        <w:jc w:val="both"/>
      </w:pPr>
      <w:r w:rsidRPr="00950D97">
        <w:t>Blackman et al.</w:t>
      </w:r>
      <w:r w:rsidR="005E0E6F">
        <w:fldChar w:fldCharType="begin" w:fldLock="1"/>
      </w:r>
      <w:r w:rsidR="005E0E6F">
        <w:instrText>ADDIN CSL_CITATION {"citationItems":[{"id":"ITEM-1","itemData":{"DOI":"10.1073/pnas.1603290114","author":[{"dropping-particle":"","family":"Blackman","given":"Allen","non-dropping-particle":"","parse-names":false,"suffix":""},{"dropping-particle":"","family":"Corral","given":"Leonardo","non-dropping-particle":"","parse-names":false,"suffix":""},{"dropping-particle":"","family":"Santos","given":"Eirivelthon","non-dropping-particle":"","parse-names":false,"suffix":""},{"dropping-particle":"","family":"Asner","given":"Gregory P","non-dropping-particle":"","parse-names":false,"suffix":""}],"id":"ITEM-1","issued":{"date-parts":[["2017"]]},"title":"Titling indigenous communities protects forests in the Peruvian Amazon","type":"article-journal"},"uris":["http://www.mendeley.com/documents/?uuid=4b4f7e21-9a20-4270-b13e-d12791a07248"]}],"mendeley":{"formattedCitation":"&lt;sup&gt;1&lt;/sup&gt;","plainTextFormattedCitation":"1","previouslyFormattedCitation":"&lt;sup&gt;1&lt;/sup&gt;"},"properties":{"noteIndex":0},"schema":"https://github.com/citation-style-language/schema/raw/master/csl-citation.json"}</w:instrText>
      </w:r>
      <w:r w:rsidR="005E0E6F">
        <w:fldChar w:fldCharType="separate"/>
      </w:r>
      <w:r w:rsidR="005E0E6F" w:rsidRPr="005E0E6F">
        <w:rPr>
          <w:noProof/>
          <w:vertAlign w:val="superscript"/>
        </w:rPr>
        <w:t>1</w:t>
      </w:r>
      <w:r w:rsidR="005E0E6F">
        <w:fldChar w:fldCharType="end"/>
      </w:r>
      <w:r w:rsidRPr="00950D97">
        <w:t xml:space="preserve"> use satellite and community-level longitudinal data to explore the impact of titling indigenous land on deforestation and forest degradation in Peru, and find that titling significantly reduces forest disturbance in the two years after the title was received. Buntaine et al.</w:t>
      </w:r>
      <w:r w:rsidR="005E0E6F">
        <w:fldChar w:fldCharType="begin" w:fldLock="1"/>
      </w:r>
      <w:r w:rsidR="005E0E6F">
        <w:instrText>ADDIN CSL_CITATION {"citationItems":[{"id":"ITEM-1","itemData":{"abstract":"Land tenure and land titling programs for forests have become a mainstay of conservation and resource management policy worldwide. They are thought to reduce deforestation by lengthening the time horizon of landholders and improving the ability of landholders to legally exclude competing users. Despite these expectations, reliable evidence about how land titling programs affect forest cover is limited because programs are targeted according to other factors that themselves influence the conversion of forests, such as indigenous status or low population density. We investigate the effect of a donor-funded land titling and management program on forest cover in Morona-Santiago, Ecuador. To estimate the impact of community land titles and management plans, we match plots in program areas with similar plots outside program areas on a variety of covariates that influence forest conversion. Based on matched comparisons, we do not find evidence that land titling or the creation of community management plans reduced forest loss in the first five years after the program. Our results are some of the first evidence about the effects of land titling programs on forests that account for spatial assignment and interactions with other institutions. More broadly, our analysis demonstrates the promise of using remotely sensed data to evaluate the effects of policies beyond normal cycles of policy and program evaluation. Acknowledgement: The authors wish to thank USAID for their support of this work. Mississippi. His research examines the role of land-cover land-use change on issues of development including food security and access to livelihoods. AidData – a joint venture of the College of William and Mary, Development Gateway and Brigham Young University – is a research and innovation lab that seeks to make development finance more transparent, accountable, and effective. Users can track over $40 trillion in funding for development including remittances, foreign direct investment, aid, and most recently US private foundation flows all on a publicly accessible data portal on AidData.org. AidData's work is made possible through funding from and partnerships with USAID, the World Bank, the Asian Development Bank, the African Development Bank, the Islamic Development Bank, the Open Aid Partnership, DFATD, the Hewlett Foundation, the Gates Foundation, Humanity United, and 20+ finance and planning ministries in Asia, Africa, and Latin America.","author":[{"dropping-particle":"","family":"Buntaine","given":"Mark T","non-dropping-particle":"","parse-names":false,"suffix":""},{"dropping-particle":"","family":"Hamilton","given":"Stuart E","non-dropping-particle":"","parse-names":false,"suffix":""},{"dropping-particle":"","family":"Millones","given":"Marco","non-dropping-particle":"","parse-names":false,"suffix":""},{"dropping-particle":"","family":"Hamilton","given":"Stuart","non-dropping-particle":"","parse-names":false,"suffix":""}],"id":"ITEM-1","issue":"October 2014","issued":{"date-parts":[["2014"]]},"title":"Titling Community Land to Prevent Deforestation: No Reduction in Forest Loss in Morona-Santiago, Ecuador","type":"article-journal"},"uris":["http://www.mendeley.com/documents/?uuid=885b1b21-6e0b-4328-9595-6b27801624d2"]}],"mendeley":{"formattedCitation":"&lt;sup&gt;2&lt;/sup&gt;","plainTextFormattedCitation":"2"},"properties":{"noteIndex":0},"schema":"https://github.com/citation-style-language/schema/raw/master/csl-citation.json"}</w:instrText>
      </w:r>
      <w:r w:rsidR="005E0E6F">
        <w:fldChar w:fldCharType="separate"/>
      </w:r>
      <w:r w:rsidR="005E0E6F" w:rsidRPr="005E0E6F">
        <w:rPr>
          <w:noProof/>
          <w:vertAlign w:val="superscript"/>
        </w:rPr>
        <w:t>2</w:t>
      </w:r>
      <w:r w:rsidR="005E0E6F">
        <w:fldChar w:fldCharType="end"/>
      </w:r>
      <w:r w:rsidRPr="00950D97">
        <w:t xml:space="preserve"> use a five-year time frame and employ matched difference-in-difference models to investigate the effect of titling indigenous land on deforestation in Peru. In contrast, BenYishay et al. (2017) find that titling indigenous land in Brazil had no effect on deforestation after matching titled and untitled communities. These results suggest that there might be inter-country differences, such as population density and outside deforestation pressures, as well as differences in time frames that affect the study results. Our study is closest to Liscow (2013), who uses a natural experiment to study the effect of the Sandinista land reform in Nicaragua that created differences in land tenure security along geographical lines. By analysing cross-sectional data and employing instrumental variables, he finds improved tenure rights on private and cooperative landholdings were associated with higher levels of deforestation. However, Liscow (2013) results rely on self-reported deforestation data, whereas our results use high-resolution satellite imagery. </w:t>
      </w:r>
    </w:p>
    <w:p w14:paraId="7882985E" w14:textId="77777777" w:rsidR="003C0B5A" w:rsidRPr="00950D97" w:rsidRDefault="003C0B5A" w:rsidP="00B979F6">
      <w:pPr>
        <w:spacing w:line="480" w:lineRule="auto"/>
        <w:ind w:firstLine="360"/>
        <w:jc w:val="both"/>
      </w:pPr>
    </w:p>
    <w:p w14:paraId="49FD4900" w14:textId="00E77BDF" w:rsidR="00B979F6" w:rsidRPr="00993F81" w:rsidRDefault="003C0B5A" w:rsidP="00993F81">
      <w:pPr>
        <w:rPr>
          <w:b/>
        </w:rPr>
      </w:pPr>
      <w:r w:rsidRPr="00993F81">
        <w:rPr>
          <w:b/>
        </w:rPr>
        <w:t>Deforestation in Brazil</w:t>
      </w:r>
    </w:p>
    <w:p w14:paraId="49639CB9" w14:textId="255DD3B7" w:rsidR="0096001D" w:rsidRPr="0022702B" w:rsidRDefault="0096001D" w:rsidP="0096001D">
      <w:pPr>
        <w:spacing w:line="480" w:lineRule="auto"/>
        <w:jc w:val="both"/>
      </w:pPr>
      <w:r w:rsidRPr="0022702B">
        <w:t>In the 1940s, Brazil started colonizing the Amazonian region more actively, since the government feared that other countries could take over the sparsely occupied territory. In the following decades, governmental institutions, such as National Institute for Colonization and Agrarian Reform (INCRA), incentivised almost one million Brazilians to move into 85 million hectares of forested land. Major infrastructure extension, such as the Trans-Amazon Highway, further aided the economic integration</w:t>
      </w:r>
      <w:r w:rsidR="00875C68">
        <w:fldChar w:fldCharType="begin" w:fldLock="1"/>
      </w:r>
      <w:r w:rsidR="005E0E6F">
        <w:instrText>ADDIN CSL_CITATION {"citationItems":[{"id":"ITEM-1","itemData":{"author":[{"dropping-particle":"","family":"Alston","given":"Lee J","non-dropping-particle":"","parse-names":false,"suffix":""},{"dropping-particle":"","family":"Libecap","given":"Gary D","non-dropping-particle":"","parse-names":false,"suffix":""},{"dropping-particle":"","family":"Schneider","given":"Robert","non-dropping-particle":"","parse-names":false,"suffix":""}],"container-title":"The Journal of Law, Economics, and Organization","id":"ITEM-1","issue":"September 1993","issued":{"date-parts":[["1995"]]},"title":"The Determinants and Impact of Property Rights : Land Titles on the Brazilian Frontier","type":"article-journal"},"uris":["http://www.mendeley.com/documents/?uuid=4cb8a626-5293-47c6-bfa6-a279a7273a54"]}],"mendeley":{"formattedCitation":"&lt;sup&gt;5&lt;/sup&gt;","plainTextFormattedCitation":"5","previouslyFormattedCitation":"&lt;sup&gt;5&lt;/sup&gt;"},"properties":{"noteIndex":0},"schema":"https://github.com/citation-style-language/schema/raw/master/csl-citation.json"}</w:instrText>
      </w:r>
      <w:r w:rsidR="00875C68">
        <w:fldChar w:fldCharType="separate"/>
      </w:r>
      <w:r w:rsidR="005E0E6F" w:rsidRPr="005E0E6F">
        <w:rPr>
          <w:noProof/>
          <w:vertAlign w:val="superscript"/>
        </w:rPr>
        <w:t>5</w:t>
      </w:r>
      <w:r w:rsidR="00875C68">
        <w:fldChar w:fldCharType="end"/>
      </w:r>
      <w:r w:rsidR="00875C68">
        <w:t xml:space="preserve">. </w:t>
      </w:r>
    </w:p>
    <w:p w14:paraId="0D803B4E" w14:textId="32E94D3F" w:rsidR="0096001D" w:rsidRPr="0022702B" w:rsidRDefault="0096001D" w:rsidP="0096001D">
      <w:pPr>
        <w:spacing w:line="480" w:lineRule="auto"/>
        <w:jc w:val="both"/>
      </w:pPr>
      <w:r w:rsidRPr="0022702B">
        <w:tab/>
        <w:t>In these remote territories, often without an intact judicial system, deforestation was used to signal ownership in the Amazon, where land rights continue to be weak, overlapping and contentious.  This approach is similar to colonisation in the United States in the 18th and 19th century, where so-called 'tomahawk rights' – which included marking trees – were</w:t>
      </w:r>
      <w:r>
        <w:t xml:space="preserve"> used as extra-legal titles, which </w:t>
      </w:r>
      <w:r w:rsidRPr="0022702B">
        <w:t>were later legalised</w:t>
      </w:r>
      <w:r w:rsidR="008C3586">
        <w:fldChar w:fldCharType="begin" w:fldLock="1"/>
      </w:r>
      <w:r w:rsidR="005E0E6F">
        <w:instrText>ADDIN CSL_CITATION {"citationItems":[{"id":"ITEM-1","itemData":{"author":[{"dropping-particle":"","family":"Araujo","given":"Catherine","non-dropping-particle":"","parse-names":false,"suffix":""},{"dropping-particle":"","family":"Bonjean","given":"C.A.","non-dropping-particle":"","parse-names":false,"suffix":""},{"dropping-particle":"","family":"Combes","given":"J.L.","non-dropping-particle":"","parse-names":false,"suffix":""},{"dropping-particle":"","family":"Combes Motel","given":"P.","non-dropping-particle":"","parse-names":false,"suffix":""},{"dropping-particle":"","family":"Reis","given":"E.J.","non-dropping-particle":"","parse-names":false,"suffix":""}],"container-title":"Ecological Economics","id":"ITEM-1","issue":"8-9","issued":{"date-parts":[["2009"]]},"page":"2461–2468","title":"Property rights and deforestation in the Brazilian Amazon","type":"article-journal","volume":"68"},"uris":["http://www.mendeley.com/documents/?uuid=2560f8b7-f226-40a5-a0d6-3535c92102b5"]}],"mendeley":{"formattedCitation":"&lt;sup&gt;6&lt;/sup&gt;","plainTextFormattedCitation":"6","previouslyFormattedCitation":"&lt;sup&gt;6&lt;/sup&gt;"},"properties":{"noteIndex":0},"schema":"https://github.com/citation-style-language/schema/raw/master/csl-citation.json"}</w:instrText>
      </w:r>
      <w:r w:rsidR="008C3586">
        <w:fldChar w:fldCharType="separate"/>
      </w:r>
      <w:r w:rsidR="005E0E6F" w:rsidRPr="005E0E6F">
        <w:rPr>
          <w:noProof/>
          <w:vertAlign w:val="superscript"/>
        </w:rPr>
        <w:t>6</w:t>
      </w:r>
      <w:r w:rsidR="008C3586">
        <w:fldChar w:fldCharType="end"/>
      </w:r>
      <w:r w:rsidRPr="0022702B">
        <w:t>.  Skyrocketing deforestation rates, which reached 27,000 km</w:t>
      </w:r>
      <w:r w:rsidRPr="0022702B">
        <w:rPr>
          <w:vertAlign w:val="superscript"/>
        </w:rPr>
        <w:t>2</w:t>
      </w:r>
      <w:r w:rsidRPr="0022702B">
        <w:t xml:space="preserve"> in 2004, led the Brazilian government to launch an inter-ministerial effort called Plan for the Prevention and Control of Deforestation in the Brazilian Amazon (Portuguese acronym: PPCDam) in 2004</w:t>
      </w:r>
      <w:r w:rsidR="008C3586">
        <w:t xml:space="preserve"> </w:t>
      </w:r>
      <w:r w:rsidR="008C3586">
        <w:fldChar w:fldCharType="begin" w:fldLock="1"/>
      </w:r>
      <w:r w:rsidR="005E0E6F">
        <w:instrText>ADDIN CSL_CITATION {"citationItems":[{"id":"ITEM-1","itemData":{"author":[{"dropping-particle":"","family":"Kupper","given":"Bettina","non-dropping-particle":"","parse-names":false,"suffix":""},{"dropping-particle":"","family":"Teixeira","given":"José Dumont","non-dropping-particle":"","parse-names":false,"suffix":""},{"dropping-particle":"","family":"De","given":"A N A Paula Ferreira","non-dropping-particle":"","parse-names":false,"suffix":""},{"dropping-particle":"","family":"Disarz","given":"Robson","non-dropping-particle":"","parse-names":false,"suffix":""},{"dropping-particle":"","family":"Moreira","given":"Otávio","non-dropping-particle":"","parse-names":false,"suffix":""},{"dropping-particle":"","family":"Carmo","given":"D O","non-dropping-particle":"","parse-names":false,"suffix":""},{"dropping-particle":"","family":"Stabile","given":"Marcelo C C","non-dropping-particle":"","parse-names":false,"suffix":""},{"dropping-particle":"","family":"Reis","given":"Tiago","non-dropping-particle":"","parse-names":false,"suffix":""},{"dropping-particle":"","family":"Seibel","given":"Pedro I B","non-dropping-particle":"","parse-names":false,"suffix":""},{"dropping-particle":"","family":"Cabral","given":"Rogério","non-dropping-particle":"","parse-names":false,"suffix":""}],"id":"ITEM-1","issued":{"date-parts":[["2017"]]},"page":"1-25","title":"Protection and Sustainabe Use of Tropical Forests Need Land Tenure Regularization: Evidence from Brazil","type":"article-journal"},"uris":["http://www.mendeley.com/documents/?uuid=b7d0a07b-a38b-4824-bd53-767f3b108a09"]}],"mendeley":{"formattedCitation":"&lt;sup&gt;7&lt;/sup&gt;","plainTextFormattedCitation":"7","previouslyFormattedCitation":"&lt;sup&gt;7&lt;/sup&gt;"},"properties":{"noteIndex":0},"schema":"https://github.com/citation-style-language/schema/raw/master/csl-citation.json"}</w:instrText>
      </w:r>
      <w:r w:rsidR="008C3586">
        <w:fldChar w:fldCharType="separate"/>
      </w:r>
      <w:r w:rsidR="005E0E6F" w:rsidRPr="005E0E6F">
        <w:rPr>
          <w:noProof/>
          <w:vertAlign w:val="superscript"/>
        </w:rPr>
        <w:t>7</w:t>
      </w:r>
      <w:r w:rsidR="008C3586">
        <w:fldChar w:fldCharType="end"/>
      </w:r>
      <w:r w:rsidR="008C3586">
        <w:t>.</w:t>
      </w:r>
      <w:r w:rsidRPr="0022702B">
        <w:tab/>
      </w:r>
    </w:p>
    <w:p w14:paraId="0B6FC780" w14:textId="577D2E10" w:rsidR="0096001D" w:rsidRPr="0022702B" w:rsidRDefault="0096001D" w:rsidP="0096001D">
      <w:pPr>
        <w:spacing w:line="480" w:lineRule="auto"/>
        <w:jc w:val="both"/>
      </w:pPr>
      <w:r w:rsidRPr="0022702B">
        <w:tab/>
        <w:t>The interventions of the PPCDam have contributed to the more than fourfold reduction in deforestation rates between 2004 and 2014 (Figure 1).  However, the period 2014-2016 has seen a spike in deforestation again, reaching almost 8,000 km</w:t>
      </w:r>
      <w:r w:rsidRPr="0022702B">
        <w:rPr>
          <w:vertAlign w:val="superscript"/>
        </w:rPr>
        <w:t>2</w:t>
      </w:r>
      <w:r w:rsidRPr="0022702B">
        <w:t xml:space="preserve"> in 2016, which represents a 37.5% increase since 2014. Currently in its fourth phase (2016-2020), the PPCDam centres around four thematic axes, namely i) land and territorial planning, ii) environmental monitoring and control, iii) promotion of sustainable activities, and iv) economic and regulatory instruments</w:t>
      </w:r>
      <w:r w:rsidR="008C3586">
        <w:t xml:space="preserve"> </w:t>
      </w:r>
      <w:r w:rsidR="008C3586">
        <w:fldChar w:fldCharType="begin" w:fldLock="1"/>
      </w:r>
      <w:r w:rsidR="005E0E6F">
        <w:instrText>ADDIN CSL_CITATION {"citationItems":[{"id":"ITEM-1","itemData":{"author":[{"dropping-particle":"","family":"Kupper","given":"Bettina","non-dropping-particle":"","parse-names":false,"suffix":""},{"dropping-particle":"","family":"Teixeira","given":"José Dumont","non-dropping-particle":"","parse-names":false,"suffix":""},{"dropping-particle":"","family":"De","given":"A N A Paula Ferreira","non-dropping-particle":"","parse-names":false,"suffix":""},{"dropping-particle":"","family":"Disarz","given":"Robson","non-dropping-particle":"","parse-names":false,"suffix":""},{"dropping-particle":"","family":"Moreira","given":"Otávio","non-dropping-particle":"","parse-names":false,"suffix":""},{"dropping-particle":"","family":"Carmo","given":"D O","non-dropping-particle":"","parse-names":false,"suffix":""},{"dropping-particle":"","family":"Stabile","given":"Marcelo C C","non-dropping-particle":"","parse-names":false,"suffix":""},{"dropping-particle":"","family":"Reis","given":"Tiago","non-dropping-particle":"","parse-names":false,"suffix":""},{"dropping-particle":"","family":"Seibel","given":"Pedro I B","non-dropping-particle":"","parse-names":false,"suffix":""},{"dropping-particle":"","family":"Cabral","given":"Rogério","non-dropping-particle":"","parse-names":false,"suffix":""}],"id":"ITEM-1","issued":{"date-parts":[["2017"]]},"page":"1-25","title":"Protection and Sustainabe Use of Tropical Forests Need Land Tenure Regularization: Evidence from Brazil","type":"article-journal"},"uris":["http://www.mendeley.com/documents/?uuid=b7d0a07b-a38b-4824-bd53-767f3b108a09"]}],"mendeley":{"formattedCitation":"&lt;sup&gt;7&lt;/sup&gt;","plainTextFormattedCitation":"7","previouslyFormattedCitation":"&lt;sup&gt;7&lt;/sup&gt;"},"properties":{"noteIndex":0},"schema":"https://github.com/citation-style-language/schema/raw/master/csl-citation.json"}</w:instrText>
      </w:r>
      <w:r w:rsidR="008C3586">
        <w:fldChar w:fldCharType="separate"/>
      </w:r>
      <w:r w:rsidR="005E0E6F" w:rsidRPr="005E0E6F">
        <w:rPr>
          <w:noProof/>
          <w:vertAlign w:val="superscript"/>
        </w:rPr>
        <w:t>7</w:t>
      </w:r>
      <w:r w:rsidR="008C3586">
        <w:fldChar w:fldCharType="end"/>
      </w:r>
      <w:r w:rsidR="008C3586">
        <w:t>.</w:t>
      </w:r>
    </w:p>
    <w:p w14:paraId="5A453AC3" w14:textId="77777777" w:rsidR="0096001D" w:rsidRPr="0022702B" w:rsidRDefault="0096001D" w:rsidP="0096001D">
      <w:pPr>
        <w:spacing w:line="480" w:lineRule="auto"/>
        <w:jc w:val="both"/>
      </w:pPr>
    </w:p>
    <w:p w14:paraId="565919BF" w14:textId="77777777" w:rsidR="00177C90" w:rsidRDefault="0096001D" w:rsidP="00177C90">
      <w:pPr>
        <w:keepNext/>
        <w:spacing w:line="480" w:lineRule="auto"/>
        <w:ind w:firstLine="1560"/>
        <w:jc w:val="both"/>
      </w:pPr>
      <w:r w:rsidRPr="00BB3060">
        <w:rPr>
          <w:noProof/>
          <w:lang w:eastAsia="en-GB"/>
        </w:rPr>
        <w:lastRenderedPageBreak/>
        <w:drawing>
          <wp:inline distT="0" distB="0" distL="0" distR="0" wp14:anchorId="5B5BE359" wp14:editId="6F2DA778">
            <wp:extent cx="3766185" cy="4463415"/>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6185" cy="4463415"/>
                    </a:xfrm>
                    <a:prstGeom prst="rect">
                      <a:avLst/>
                    </a:prstGeom>
                    <a:noFill/>
                    <a:ln>
                      <a:noFill/>
                    </a:ln>
                  </pic:spPr>
                </pic:pic>
              </a:graphicData>
            </a:graphic>
          </wp:inline>
        </w:drawing>
      </w:r>
    </w:p>
    <w:p w14:paraId="2CEC2CB3" w14:textId="6F9A7BE6" w:rsidR="0096001D" w:rsidRPr="0022702B" w:rsidRDefault="009A395E" w:rsidP="00177C90">
      <w:pPr>
        <w:pStyle w:val="Caption"/>
        <w:jc w:val="both"/>
      </w:pPr>
      <w:r>
        <w:t xml:space="preserve">Supplementary </w:t>
      </w:r>
      <w:r w:rsidR="00177C90">
        <w:t xml:space="preserve">Figure </w:t>
      </w:r>
      <w:fldSimple w:instr=" SEQ Figure \* ARABIC ">
        <w:r w:rsidR="00177C90">
          <w:rPr>
            <w:noProof/>
          </w:rPr>
          <w:t>1</w:t>
        </w:r>
      </w:fldSimple>
      <w:r w:rsidR="00177C90" w:rsidRPr="00177C90">
        <w:t>:</w:t>
      </w:r>
      <w:r w:rsidR="00177C90" w:rsidRPr="00177C90">
        <w:rPr>
          <w:b w:val="0"/>
        </w:rPr>
        <w:t xml:space="preserve"> </w:t>
      </w:r>
      <w:r w:rsidR="00177C90" w:rsidRPr="00B671F8">
        <w:rPr>
          <w:b w:val="0"/>
        </w:rPr>
        <w:t>Yearly deforestation rates in the Brazilian Amazon from 2004–2016 (IPAM, 2017). The inter-ministerial effort called Plan for the Prevention and Control of Deforestation in the Brazilian Amazon (PPCDam) is credited with playing a central role in reducing deforestation.</w:t>
      </w:r>
    </w:p>
    <w:p w14:paraId="4D9211CB" w14:textId="77777777" w:rsidR="0096001D" w:rsidRPr="0022702B" w:rsidRDefault="0096001D" w:rsidP="0096001D">
      <w:pPr>
        <w:spacing w:line="480" w:lineRule="auto"/>
        <w:jc w:val="both"/>
        <w:rPr>
          <w:b/>
          <w:bCs/>
        </w:rPr>
      </w:pPr>
    </w:p>
    <w:p w14:paraId="77C168B1" w14:textId="77777777" w:rsidR="0096001D" w:rsidRPr="00993F81" w:rsidRDefault="0096001D" w:rsidP="00993F81">
      <w:pPr>
        <w:rPr>
          <w:b/>
        </w:rPr>
      </w:pPr>
      <w:bookmarkStart w:id="3" w:name="_Toc359248521"/>
      <w:bookmarkStart w:id="4" w:name="_Toc361497981"/>
      <w:r w:rsidRPr="00993F81">
        <w:rPr>
          <w:b/>
        </w:rPr>
        <w:t>Terra Legal Programme</w:t>
      </w:r>
      <w:bookmarkEnd w:id="3"/>
      <w:bookmarkEnd w:id="4"/>
      <w:r w:rsidRPr="00993F81">
        <w:rPr>
          <w:b/>
        </w:rPr>
        <w:t xml:space="preserve"> </w:t>
      </w:r>
    </w:p>
    <w:p w14:paraId="51DA473C" w14:textId="77CC498C" w:rsidR="0096001D" w:rsidRPr="0022702B" w:rsidRDefault="0096001D" w:rsidP="0096001D">
      <w:pPr>
        <w:spacing w:line="480" w:lineRule="auto"/>
        <w:jc w:val="both"/>
        <w:rPr>
          <w:i/>
        </w:rPr>
      </w:pPr>
      <w:r w:rsidRPr="0022702B">
        <w:t xml:space="preserve">The Terra Legal Programme (TLP) was introduced in 2009 and falls under the first category of the PPCDam (land and territorial planning). It gained momentum during a larger shift in the Brazilian Amazon to geo-reference and monitor properties to ascertain that they </w:t>
      </w:r>
      <w:r w:rsidR="00BC052B" w:rsidRPr="0022702B">
        <w:t>follow</w:t>
      </w:r>
      <w:r w:rsidRPr="0022702B">
        <w:t xml:space="preserve"> environmental requirements, such as the Forest Code. As mentioned in the literature review, properties are required to be registered in a central database, called Cadastro Ambiental Rural (CAR), which facilities oversight and control by public authorities.</w:t>
      </w:r>
      <w:r w:rsidRPr="0022702B">
        <w:rPr>
          <w:i/>
        </w:rPr>
        <w:t xml:space="preserve">  </w:t>
      </w:r>
    </w:p>
    <w:p w14:paraId="3DEBA93B" w14:textId="0AB841C0" w:rsidR="0096001D" w:rsidRPr="0022702B" w:rsidRDefault="00177C90" w:rsidP="0096001D">
      <w:pPr>
        <w:spacing w:line="480" w:lineRule="auto"/>
        <w:jc w:val="both"/>
        <w:rPr>
          <w:b/>
          <w:bCs/>
        </w:rPr>
      </w:pPr>
      <w:r>
        <w:rPr>
          <w:noProof/>
          <w:lang w:eastAsia="en-GB"/>
        </w:rPr>
        <w:drawing>
          <wp:anchor distT="0" distB="0" distL="114300" distR="114300" simplePos="0" relativeHeight="251659264" behindDoc="0" locked="0" layoutInCell="1" allowOverlap="1" wp14:anchorId="6E50B185" wp14:editId="62C67B81">
            <wp:simplePos x="0" y="0"/>
            <wp:positionH relativeFrom="column">
              <wp:posOffset>4256520</wp:posOffset>
            </wp:positionH>
            <wp:positionV relativeFrom="paragraph">
              <wp:posOffset>227908</wp:posOffset>
            </wp:positionV>
            <wp:extent cx="1600835" cy="1036320"/>
            <wp:effectExtent l="0" t="0" r="0" b="0"/>
            <wp:wrapNone/>
            <wp:docPr id="21"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83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98BD6" w14:textId="1A5CC9F2" w:rsidR="009A395E" w:rsidRDefault="0096001D" w:rsidP="009A395E">
      <w:pPr>
        <w:keepNext/>
        <w:spacing w:line="480" w:lineRule="auto"/>
        <w:jc w:val="both"/>
      </w:pPr>
      <w:r>
        <w:rPr>
          <w:noProof/>
          <w:lang w:eastAsia="en-GB"/>
        </w:rPr>
        <w:lastRenderedPageBreak/>
        <mc:AlternateContent>
          <mc:Choice Requires="wps">
            <w:drawing>
              <wp:anchor distT="0" distB="0" distL="114300" distR="114300" simplePos="0" relativeHeight="251661312" behindDoc="0" locked="0" layoutInCell="1" allowOverlap="1" wp14:anchorId="457E9424" wp14:editId="2405F223">
                <wp:simplePos x="0" y="0"/>
                <wp:positionH relativeFrom="column">
                  <wp:posOffset>4425315</wp:posOffset>
                </wp:positionH>
                <wp:positionV relativeFrom="paragraph">
                  <wp:posOffset>2514600</wp:posOffset>
                </wp:positionV>
                <wp:extent cx="154940" cy="914400"/>
                <wp:effectExtent l="0" t="0" r="10160" b="0"/>
                <wp:wrapNone/>
                <wp:docPr id="23" name="Geschweifte Klammer recht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914400"/>
                        </a:xfrm>
                        <a:prstGeom prst="rightBrac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0EA422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1" o:spid="_x0000_s1026" type="#_x0000_t88" style="position:absolute;margin-left:348.45pt;margin-top:198pt;width:12.2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" adj="305" strokecolor="windowText" strokeweight=".25pt">
                <v:stroke joinstyle="miter"/>
              </v:shape>
            </w:pict>
          </mc:Fallback>
        </mc:AlternateContent>
      </w:r>
      <w:r>
        <w:rPr>
          <w:noProof/>
          <w:lang w:eastAsia="en-GB"/>
        </w:rPr>
        <w:drawing>
          <wp:anchor distT="0" distB="0" distL="114300" distR="114300" simplePos="0" relativeHeight="251660288" behindDoc="0" locked="0" layoutInCell="1" allowOverlap="1" wp14:anchorId="1326E004" wp14:editId="556CAEE0">
            <wp:simplePos x="0" y="0"/>
            <wp:positionH relativeFrom="column">
              <wp:posOffset>4572000</wp:posOffset>
            </wp:positionH>
            <wp:positionV relativeFrom="paragraph">
              <wp:posOffset>2265680</wp:posOffset>
            </wp:positionV>
            <wp:extent cx="1283335" cy="1411605"/>
            <wp:effectExtent l="0" t="0" r="0" b="0"/>
            <wp:wrapNone/>
            <wp:docPr id="22"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333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060">
        <w:rPr>
          <w:b/>
          <w:noProof/>
          <w:lang w:eastAsia="en-GB"/>
        </w:rPr>
        <w:drawing>
          <wp:inline distT="0" distB="0" distL="0" distR="0" wp14:anchorId="457DB4C5" wp14:editId="028CCAE7">
            <wp:extent cx="5214620" cy="4227830"/>
            <wp:effectExtent l="0" t="0" r="0" b="0"/>
            <wp:docPr id="2" name="Bild 17" descr="Untitled:Users:benedictprobst:Desktop:Amazon Data:Maps:Map_Brazil_G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7" descr="Untitled:Users:benedictprobst:Desktop:Amazon Data:Maps:Map_Brazil_Gen.png"/>
                    <pic:cNvPicPr>
                      <a:picLocks/>
                    </pic:cNvPicPr>
                  </pic:nvPicPr>
                  <pic:blipFill>
                    <a:blip r:embed="rId15">
                      <a:extLst>
                        <a:ext uri="{28A0092B-C50C-407E-A947-70E740481C1C}">
                          <a14:useLocalDpi xmlns:a14="http://schemas.microsoft.com/office/drawing/2010/main" val="0"/>
                        </a:ext>
                      </a:extLst>
                    </a:blip>
                    <a:srcRect l="23302" t="19304" r="23283" b="19299"/>
                    <a:stretch>
                      <a:fillRect/>
                    </a:stretch>
                  </pic:blipFill>
                  <pic:spPr bwMode="auto">
                    <a:xfrm>
                      <a:off x="0" y="0"/>
                      <a:ext cx="5214620" cy="4227830"/>
                    </a:xfrm>
                    <a:prstGeom prst="rect">
                      <a:avLst/>
                    </a:prstGeom>
                    <a:noFill/>
                    <a:ln>
                      <a:noFill/>
                    </a:ln>
                  </pic:spPr>
                </pic:pic>
              </a:graphicData>
            </a:graphic>
          </wp:inline>
        </w:drawing>
      </w:r>
    </w:p>
    <w:p w14:paraId="0CF48873" w14:textId="753653A6" w:rsidR="00177C90" w:rsidRDefault="009A395E" w:rsidP="009A395E">
      <w:pPr>
        <w:pStyle w:val="Caption"/>
        <w:jc w:val="both"/>
      </w:pPr>
      <w:r>
        <w:t xml:space="preserve">Supplementary </w:t>
      </w:r>
      <w:r w:rsidR="00177C90">
        <w:t xml:space="preserve">Figure </w:t>
      </w:r>
      <w:fldSimple w:instr=" SEQ Figure \* ARABIC ">
        <w:r w:rsidR="00177C90">
          <w:rPr>
            <w:noProof/>
          </w:rPr>
          <w:t>2</w:t>
        </w:r>
      </w:fldSimple>
      <w:r w:rsidR="00177C90" w:rsidRPr="00177C90">
        <w:t>:</w:t>
      </w:r>
      <w:r w:rsidR="00177C90" w:rsidRPr="00177C90">
        <w:rPr>
          <w:b w:val="0"/>
        </w:rPr>
        <w:t xml:space="preserve"> </w:t>
      </w:r>
      <w:r w:rsidR="00177C90" w:rsidRPr="00B671F8">
        <w:rPr>
          <w:b w:val="0"/>
        </w:rPr>
        <w:t xml:space="preserve">The Terra Legal Programme is rolled in the Legal Amazon in Brazil set to regulate an area as big as Germany and France combined. Green areas represent undesignated public land, which is being regulated. Orange polygons are landholdings of varying size. </w:t>
      </w:r>
      <w:r w:rsidR="00177C90" w:rsidRPr="00C9343B">
        <w:t xml:space="preserve">Note: the titled plots are shown in more detail in </w:t>
      </w:r>
      <w:r>
        <w:t xml:space="preserve">Supplementary </w:t>
      </w:r>
      <w:r w:rsidR="00177C90" w:rsidRPr="00C9343B">
        <w:t>Figure 3-5.</w:t>
      </w:r>
      <w:r w:rsidR="00177C90">
        <w:rPr>
          <w:b w:val="0"/>
        </w:rPr>
        <w:t xml:space="preserve"> </w:t>
      </w:r>
      <w:r w:rsidR="00177C90" w:rsidRPr="00B671F8">
        <w:rPr>
          <w:b w:val="0"/>
        </w:rPr>
        <w:t>Source: Author</w:t>
      </w:r>
    </w:p>
    <w:p w14:paraId="14C80D82" w14:textId="5C160974" w:rsidR="0096001D" w:rsidRPr="0022702B" w:rsidRDefault="0096001D" w:rsidP="0096001D">
      <w:pPr>
        <w:spacing w:line="480" w:lineRule="auto"/>
        <w:jc w:val="both"/>
        <w:rPr>
          <w:b/>
          <w:bCs/>
        </w:rPr>
      </w:pPr>
    </w:p>
    <w:p w14:paraId="314DB33F" w14:textId="6F8B0BE8" w:rsidR="0096001D" w:rsidRPr="0022702B" w:rsidRDefault="0096001D" w:rsidP="0096001D">
      <w:pPr>
        <w:spacing w:line="480" w:lineRule="auto"/>
        <w:jc w:val="both"/>
      </w:pPr>
      <w:r w:rsidRPr="0022702B">
        <w:tab/>
        <w:t>Terra Legal seeks to title 57 out of 120 million hectares of so-called 'undesignated public land', which has no special purpose such as a protected area or indigenous land. This surface corresponds to the size of France and Germany put together. For generations, people have inhabited these territories without possessing a formal land title. The programme has limited financial resources, with around $0,12 per hectare in 2016</w:t>
      </w:r>
      <w:r w:rsidR="00EB2990">
        <w:t xml:space="preserve">. </w:t>
      </w:r>
      <w:r w:rsidRPr="0022702B">
        <w:t xml:space="preserve">Despite a slower rollout than initially planned, the TLP has to date assigned more than 18 million hectares, which accounts for 30% of the total area designated to be allocated. </w:t>
      </w:r>
    </w:p>
    <w:p w14:paraId="1850A52A" w14:textId="17631CBD" w:rsidR="00177C90" w:rsidRDefault="0096001D" w:rsidP="006F2A33">
      <w:pPr>
        <w:spacing w:line="480" w:lineRule="auto"/>
        <w:jc w:val="both"/>
      </w:pPr>
      <w:r w:rsidRPr="0022702B">
        <w:tab/>
        <w:t>The TLP follows a sequence of steps</w:t>
      </w:r>
      <w:r w:rsidR="00BC052B">
        <w:t xml:space="preserve"> to determine property boundaries</w:t>
      </w:r>
      <w:r w:rsidRPr="0022702B">
        <w:t xml:space="preserve">. The first is the geo-referencing of the undesignated public lands and the farm plots within it. To date, more than 150,000 occupations have been geo-referenced corresponding to 59 million hectares of </w:t>
      </w:r>
      <w:r w:rsidRPr="0022702B">
        <w:lastRenderedPageBreak/>
        <w:t>land</w:t>
      </w:r>
      <w:r w:rsidR="00011425">
        <w:t xml:space="preserve">. </w:t>
      </w:r>
      <w:r w:rsidR="00177C90">
        <w:t xml:space="preserve">This is more than the 57 million hectares </w:t>
      </w:r>
      <w:r w:rsidR="00177C90" w:rsidRPr="00C63066">
        <w:t xml:space="preserve">the TLP should originally address and already includes land that will be </w:t>
      </w:r>
      <w:r w:rsidR="00177C90">
        <w:t>titled</w:t>
      </w:r>
      <w:r w:rsidR="00177C90" w:rsidRPr="00C63066">
        <w:t xml:space="preserve"> in the future by the TLP.</w:t>
      </w:r>
      <w:r w:rsidR="00177C90">
        <w:t xml:space="preserve"> </w:t>
      </w:r>
      <w:r w:rsidRPr="0022702B">
        <w:t xml:space="preserve">Secondly, to be eligible for the land title, occupants need to prove effective cultivation and occupations prior to </w:t>
      </w:r>
      <w:r w:rsidR="00212CA3">
        <w:t>July 2008</w:t>
      </w:r>
      <w:r w:rsidRPr="0022702B">
        <w:t>. The land title – once handed out – remains temporary for ten years and its final transfer is contingent on a number of social and environmental conditions, such as 80% of forest cover needs to be maintained or afforested in case of deforestation. An important exception to this rule is if deforestation took place before 200</w:t>
      </w:r>
      <w:r w:rsidR="00432AB9">
        <w:t>8</w:t>
      </w:r>
      <w:r w:rsidRPr="0022702B">
        <w:t>, then an amnesty is granted</w:t>
      </w:r>
      <w:r w:rsidR="00432AB9">
        <w:t>, but still requires the landholders to at least maintain 50% of forest cover</w:t>
      </w:r>
      <w:r w:rsidRPr="0022702B">
        <w:t xml:space="preserve">. To this date around 14,000 titles have been handed out. </w:t>
      </w:r>
    </w:p>
    <w:p w14:paraId="50524218" w14:textId="7EBE7ED6" w:rsidR="00993F81" w:rsidRDefault="00993F81" w:rsidP="006F2A33">
      <w:pPr>
        <w:spacing w:line="480" w:lineRule="auto"/>
        <w:jc w:val="both"/>
      </w:pPr>
    </w:p>
    <w:p w14:paraId="544B499F" w14:textId="77777777" w:rsidR="00993F81" w:rsidRPr="00993F81" w:rsidRDefault="00993F81" w:rsidP="00993F81">
      <w:pPr>
        <w:rPr>
          <w:b/>
        </w:rPr>
      </w:pPr>
      <w:r w:rsidRPr="00993F81">
        <w:rPr>
          <w:b/>
        </w:rPr>
        <w:t xml:space="preserve">Strategic Registration </w:t>
      </w:r>
    </w:p>
    <w:p w14:paraId="675443AF" w14:textId="77777777" w:rsidR="00993F81" w:rsidRPr="004A2AF0" w:rsidRDefault="00993F81" w:rsidP="00993F81">
      <w:pPr>
        <w:spacing w:line="480" w:lineRule="auto"/>
        <w:rPr>
          <w:b/>
        </w:rPr>
      </w:pPr>
      <w:r w:rsidRPr="006424EC">
        <w:t xml:space="preserve">We also tested whether strategic registration took place within the programme, which is to be expected if landholders self-declare their property boundaries. This is important to understand for several reasons. First, it is important for the design of future tenure regularisation policies, which might set incentives for landholders to intentionally falsify the self-declaration of their property boundaries. Second, those that self-select into property sizes just below a threshold (which carries laxer standards, see below) might tend to deforest more. Hence, introducing more random checks for these properties might be warranted. </w:t>
      </w:r>
    </w:p>
    <w:p w14:paraId="3ED71FF7" w14:textId="7F3FF6D6" w:rsidR="00907001" w:rsidRDefault="00993F81" w:rsidP="00993F81">
      <w:pPr>
        <w:spacing w:line="480" w:lineRule="auto"/>
        <w:ind w:firstLine="720"/>
        <w:jc w:val="both"/>
      </w:pPr>
      <w:r w:rsidRPr="006424EC">
        <w:t xml:space="preserve">For each State, there are clear thresholds in terms of property size in hectares, of what is considered small, medium and large. These property sizes are measures in so-called Módulos Ficais (MF), which are between 5-110 hectares per unit depending on the </w:t>
      </w:r>
      <w:r>
        <w:t>municipality</w:t>
      </w:r>
      <w:r w:rsidRPr="006424EC">
        <w:t>. Three landholder groups can be distinguished with respect to the level of fee that has to be paid to receive their provisional title. Landholders with small properties receive the title for free. Landholders with medium-sized properties need to pay a symbolic fee for the title while famers with large properties pay a higher fee per hectare and are also subjected to more on-site inspections from TLP staff to verify their claims.</w:t>
      </w:r>
      <w:r>
        <w:t xml:space="preserve"> P</w:t>
      </w:r>
      <w:r w:rsidRPr="006424EC">
        <w:t xml:space="preserve">articipants in the TLP </w:t>
      </w:r>
      <w:r>
        <w:t xml:space="preserve">clearly </w:t>
      </w:r>
      <w:r w:rsidRPr="006424EC">
        <w:t xml:space="preserve">have an </w:t>
      </w:r>
      <w:r w:rsidRPr="006424EC">
        <w:lastRenderedPageBreak/>
        <w:t xml:space="preserve">incentive to register plots just below </w:t>
      </w:r>
      <w:r>
        <w:t xml:space="preserve">each threshold. </w:t>
      </w:r>
      <w:r w:rsidRPr="006424EC">
        <w:t>Ratios indicating the proportion just under a threshold compared to the proportion just over it indicate that strategic registration took place in the TLP. We observe that 73% more plots registered just below the ‘small property’ threshold, while the effect was even more pronounced for the threshold between medium and large, where 92% more properties were registered just below the threshold.</w:t>
      </w:r>
      <w:r>
        <w:t xml:space="preserve"> </w:t>
      </w:r>
      <w:r w:rsidRPr="006424EC">
        <w:t>Generally, it is not allowed to split plots into different sizes and register them, but there have been some reported instances of attempted fraud (Brito and Barreto, 2011).</w:t>
      </w:r>
      <w:r>
        <w:t xml:space="preserve"> Notably</w:t>
      </w:r>
      <w:r w:rsidRPr="006424EC">
        <w:t xml:space="preserve">, comparing the average deforestation rate during the study period shows that properties just under 4 MF deforest on average 57% more than those just over the </w:t>
      </w:r>
      <w:r>
        <w:t>threshold</w:t>
      </w:r>
      <w:r w:rsidRPr="006424EC">
        <w:t>.</w:t>
      </w:r>
    </w:p>
    <w:p w14:paraId="4FD94375" w14:textId="0553BE87" w:rsidR="00993F81" w:rsidRDefault="00993F81" w:rsidP="00993F81">
      <w:pPr>
        <w:pStyle w:val="Heading1"/>
      </w:pPr>
      <w:bookmarkStart w:id="5" w:name="_Toc34650090"/>
      <w:r>
        <w:t>Supplementary Figures</w:t>
      </w:r>
      <w:bookmarkEnd w:id="5"/>
    </w:p>
    <w:p w14:paraId="78C0EBE6" w14:textId="77777777" w:rsidR="00993F81" w:rsidRPr="00993F81" w:rsidRDefault="00993F81" w:rsidP="00993F81"/>
    <w:p w14:paraId="54EC38DD" w14:textId="7623A900" w:rsidR="006F2A33" w:rsidRDefault="006E6D5A" w:rsidP="00993F81">
      <w:pPr>
        <w:rPr>
          <w:b/>
        </w:rPr>
      </w:pPr>
      <w:r w:rsidRPr="00993F81">
        <w:rPr>
          <w:b/>
        </w:rPr>
        <w:t>Geographic Distribution of Plots &amp; Highest deforesters</w:t>
      </w:r>
    </w:p>
    <w:p w14:paraId="511748E1" w14:textId="77777777" w:rsidR="00993F81" w:rsidRPr="00993F81" w:rsidRDefault="00993F81" w:rsidP="00993F81">
      <w:pPr>
        <w:rPr>
          <w:b/>
        </w:rPr>
      </w:pPr>
    </w:p>
    <w:p w14:paraId="6E8D59DE" w14:textId="501177AA" w:rsidR="00907001" w:rsidRPr="00907001" w:rsidRDefault="00907001" w:rsidP="0096001D">
      <w:pPr>
        <w:spacing w:line="480" w:lineRule="auto"/>
      </w:pPr>
      <w:r>
        <w:t xml:space="preserve">The following maps and figures show the geographic distribution across the states of the Legal Amazon in Brazil. </w:t>
      </w:r>
    </w:p>
    <w:p w14:paraId="4033F0E1" w14:textId="0F74BDCC" w:rsidR="009A395E" w:rsidRDefault="006216CA" w:rsidP="009A395E">
      <w:pPr>
        <w:pStyle w:val="Caption"/>
        <w:keepNext/>
      </w:pPr>
      <w:r w:rsidRPr="006216CA">
        <w:rPr>
          <w:noProof/>
          <w:lang w:eastAsia="en-GB"/>
        </w:rPr>
        <w:lastRenderedPageBreak/>
        <w:drawing>
          <wp:inline distT="0" distB="0" distL="0" distR="0" wp14:anchorId="00C1BB3E" wp14:editId="1DF324F2">
            <wp:extent cx="5727700" cy="4295775"/>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4295775"/>
                    </a:xfrm>
                    <a:prstGeom prst="rect">
                      <a:avLst/>
                    </a:prstGeom>
                  </pic:spPr>
                </pic:pic>
              </a:graphicData>
            </a:graphic>
          </wp:inline>
        </w:drawing>
      </w:r>
    </w:p>
    <w:p w14:paraId="2AD14E1C" w14:textId="0CA1FC9A" w:rsidR="00177C90" w:rsidRPr="00177C90" w:rsidRDefault="009A395E" w:rsidP="009A395E">
      <w:pPr>
        <w:pStyle w:val="Caption"/>
        <w:rPr>
          <w:b w:val="0"/>
        </w:rPr>
      </w:pPr>
      <w:r>
        <w:t xml:space="preserve">Supplementary </w:t>
      </w:r>
      <w:r w:rsidR="00177C90" w:rsidRPr="00177C90">
        <w:t xml:space="preserve">Figure </w:t>
      </w:r>
      <w:fldSimple w:instr=" SEQ Figure \* ARABIC ">
        <w:r w:rsidR="00177C90">
          <w:rPr>
            <w:noProof/>
          </w:rPr>
          <w:t>3</w:t>
        </w:r>
      </w:fldSimple>
      <w:r w:rsidR="00177C90" w:rsidRPr="00177C90">
        <w:t>:</w:t>
      </w:r>
      <w:r w:rsidR="00177C90" w:rsidRPr="00177C90">
        <w:rPr>
          <w:b w:val="0"/>
        </w:rPr>
        <w:t xml:space="preserve"> Overview of titled plots across </w:t>
      </w:r>
      <w:r w:rsidR="00177C90">
        <w:rPr>
          <w:b w:val="0"/>
        </w:rPr>
        <w:t>the Legal Amazon</w:t>
      </w:r>
    </w:p>
    <w:p w14:paraId="4CD1AE6A" w14:textId="3753C489" w:rsidR="0064745F" w:rsidRDefault="0064745F">
      <w:pPr>
        <w:rPr>
          <w:rFonts w:eastAsia="DengXian"/>
          <w:b/>
          <w:bCs/>
          <w:color w:val="00000A"/>
          <w:sz w:val="18"/>
          <w:szCs w:val="18"/>
          <w:lang w:eastAsia="de-DE"/>
        </w:rPr>
      </w:pPr>
      <w:r>
        <w:br w:type="page"/>
      </w:r>
    </w:p>
    <w:p w14:paraId="33E5E8F5" w14:textId="6F8D6714" w:rsidR="0064745F" w:rsidRPr="00B0350C" w:rsidRDefault="0064745F" w:rsidP="0064745F">
      <w:pPr>
        <w:pStyle w:val="Caption"/>
        <w:keepNext/>
        <w:rPr>
          <w:b w:val="0"/>
        </w:rPr>
      </w:pPr>
    </w:p>
    <w:p w14:paraId="3D6449FB" w14:textId="2E1CAA73" w:rsidR="009A395E" w:rsidRDefault="00CC1A6B" w:rsidP="009A395E">
      <w:pPr>
        <w:pStyle w:val="Caption"/>
        <w:keepNext/>
      </w:pPr>
      <w:r w:rsidRPr="00CC1A6B">
        <w:rPr>
          <w:b w:val="0"/>
          <w:noProof/>
          <w:lang w:eastAsia="en-GB"/>
        </w:rPr>
        <w:drawing>
          <wp:inline distT="0" distB="0" distL="0" distR="0" wp14:anchorId="16992137" wp14:editId="02CD3BBD">
            <wp:extent cx="5648960" cy="42367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49643" cy="4237232"/>
                    </a:xfrm>
                    <a:prstGeom prst="rect">
                      <a:avLst/>
                    </a:prstGeom>
                  </pic:spPr>
                </pic:pic>
              </a:graphicData>
            </a:graphic>
          </wp:inline>
        </w:drawing>
      </w:r>
    </w:p>
    <w:p w14:paraId="191674E7" w14:textId="4B76F833" w:rsidR="00CC1A6B" w:rsidRDefault="009A395E" w:rsidP="009A395E">
      <w:pPr>
        <w:pStyle w:val="Caption"/>
        <w:rPr>
          <w:b w:val="0"/>
        </w:rPr>
      </w:pPr>
      <w:r>
        <w:t xml:space="preserve">Supplementary </w:t>
      </w:r>
      <w:r w:rsidR="00177C90">
        <w:t xml:space="preserve">Figure </w:t>
      </w:r>
      <w:fldSimple w:instr=" SEQ Figure \* ARABIC ">
        <w:r w:rsidR="00177C90">
          <w:rPr>
            <w:noProof/>
          </w:rPr>
          <w:t>4</w:t>
        </w:r>
      </w:fldSimple>
      <w:r w:rsidR="00177C90" w:rsidRPr="00177C90">
        <w:t xml:space="preserve">: </w:t>
      </w:r>
      <w:r w:rsidR="00177C90" w:rsidRPr="00177C90">
        <w:rPr>
          <w:b w:val="0"/>
        </w:rPr>
        <w:t>Map of titling patters in Rondônia. Black dots on map are the titled properties. Source: author</w:t>
      </w:r>
    </w:p>
    <w:p w14:paraId="680E3815" w14:textId="77777777" w:rsidR="00177C90" w:rsidRDefault="00177C90" w:rsidP="005D2094">
      <w:pPr>
        <w:pStyle w:val="Caption"/>
        <w:keepNext/>
        <w:rPr>
          <w:b w:val="0"/>
        </w:rPr>
      </w:pPr>
    </w:p>
    <w:p w14:paraId="1C7F75BA" w14:textId="60D4108F" w:rsidR="000D00FA" w:rsidRDefault="000D00FA" w:rsidP="005D2094">
      <w:pPr>
        <w:pStyle w:val="Caption"/>
        <w:keepNext/>
        <w:rPr>
          <w:b w:val="0"/>
        </w:rPr>
      </w:pPr>
    </w:p>
    <w:p w14:paraId="1326AEFE" w14:textId="1B866EC0" w:rsidR="000D00FA" w:rsidRPr="00B0350C" w:rsidRDefault="000D00FA" w:rsidP="000D00FA">
      <w:pPr>
        <w:pStyle w:val="Caption"/>
        <w:keepNext/>
        <w:rPr>
          <w:b w:val="0"/>
        </w:rPr>
      </w:pPr>
    </w:p>
    <w:p w14:paraId="1CC3C32A" w14:textId="5D9391C7" w:rsidR="009A395E" w:rsidRDefault="000D00FA" w:rsidP="009A395E">
      <w:pPr>
        <w:pStyle w:val="Caption"/>
        <w:keepNext/>
      </w:pPr>
      <w:r w:rsidRPr="000D00FA">
        <w:rPr>
          <w:b w:val="0"/>
          <w:noProof/>
          <w:lang w:eastAsia="en-GB"/>
        </w:rPr>
        <w:drawing>
          <wp:inline distT="0" distB="0" distL="0" distR="0" wp14:anchorId="32C4CA13" wp14:editId="28916C69">
            <wp:extent cx="5727607" cy="3397770"/>
            <wp:effectExtent l="0" t="0" r="63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112" b="16791"/>
                    <a:stretch/>
                  </pic:blipFill>
                  <pic:spPr bwMode="auto">
                    <a:xfrm>
                      <a:off x="0" y="0"/>
                      <a:ext cx="5727700" cy="3397825"/>
                    </a:xfrm>
                    <a:prstGeom prst="rect">
                      <a:avLst/>
                    </a:prstGeom>
                    <a:ln>
                      <a:noFill/>
                    </a:ln>
                    <a:extLst>
                      <a:ext uri="{53640926-AAD7-44D8-BBD7-CCE9431645EC}">
                        <a14:shadowObscured xmlns:a14="http://schemas.microsoft.com/office/drawing/2010/main"/>
                      </a:ext>
                    </a:extLst>
                  </pic:spPr>
                </pic:pic>
              </a:graphicData>
            </a:graphic>
          </wp:inline>
        </w:drawing>
      </w:r>
    </w:p>
    <w:p w14:paraId="52452F16" w14:textId="1D22DD61" w:rsidR="00177C90" w:rsidRDefault="009A395E" w:rsidP="009A395E">
      <w:pPr>
        <w:pStyle w:val="Caption"/>
        <w:rPr>
          <w:b w:val="0"/>
        </w:rPr>
      </w:pPr>
      <w:r>
        <w:t xml:space="preserve">Supplementary </w:t>
      </w:r>
      <w:r w:rsidR="00177C90">
        <w:t xml:space="preserve">Figure </w:t>
      </w:r>
      <w:fldSimple w:instr=" SEQ Figure \* ARABIC ">
        <w:r w:rsidR="00177C90">
          <w:rPr>
            <w:noProof/>
          </w:rPr>
          <w:t>5</w:t>
        </w:r>
      </w:fldSimple>
      <w:r w:rsidR="00177C90" w:rsidRPr="00177C90">
        <w:t xml:space="preserve">: </w:t>
      </w:r>
      <w:r w:rsidR="00177C90" w:rsidRPr="00177C90">
        <w:rPr>
          <w:b w:val="0"/>
        </w:rPr>
        <w:t xml:space="preserve">Map of titling patters </w:t>
      </w:r>
      <w:r w:rsidR="00177C90">
        <w:rPr>
          <w:b w:val="0"/>
        </w:rPr>
        <w:t>across Pará and Maranhão</w:t>
      </w:r>
      <w:r w:rsidR="00177C90" w:rsidRPr="00177C90">
        <w:rPr>
          <w:b w:val="0"/>
        </w:rPr>
        <w:t>. Black dots on map are the titled properties. Source: author</w:t>
      </w:r>
    </w:p>
    <w:p w14:paraId="428C380C" w14:textId="281F4274" w:rsidR="000D00FA" w:rsidRDefault="000D00FA" w:rsidP="00177C90">
      <w:pPr>
        <w:pStyle w:val="Caption"/>
        <w:rPr>
          <w:b w:val="0"/>
        </w:rPr>
      </w:pPr>
    </w:p>
    <w:p w14:paraId="4B879191" w14:textId="2AE83D65" w:rsidR="00177C90" w:rsidRDefault="00177C90" w:rsidP="005D2094">
      <w:pPr>
        <w:pStyle w:val="Caption"/>
        <w:keepNext/>
        <w:rPr>
          <w:b w:val="0"/>
        </w:rPr>
      </w:pPr>
    </w:p>
    <w:p w14:paraId="2A881DBD" w14:textId="77777777" w:rsidR="00177C90" w:rsidRPr="006E6D5A" w:rsidRDefault="00177C90" w:rsidP="005D2094">
      <w:pPr>
        <w:pStyle w:val="Caption"/>
        <w:keepNext/>
        <w:rPr>
          <w:b w:val="0"/>
        </w:rPr>
      </w:pPr>
    </w:p>
    <w:p w14:paraId="014C5A56" w14:textId="475940D2" w:rsidR="009A395E" w:rsidRDefault="00825391" w:rsidP="009A395E">
      <w:pPr>
        <w:keepNext/>
        <w:spacing w:line="480" w:lineRule="auto"/>
      </w:pPr>
      <w:r w:rsidRPr="00825391">
        <w:rPr>
          <w:noProof/>
          <w:lang w:eastAsia="en-GB"/>
        </w:rPr>
        <w:drawing>
          <wp:inline distT="0" distB="0" distL="0" distR="0" wp14:anchorId="49C09923" wp14:editId="02BE5858">
            <wp:extent cx="5727700" cy="33629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6083" b="5632"/>
                    <a:stretch/>
                  </pic:blipFill>
                  <pic:spPr bwMode="auto">
                    <a:xfrm>
                      <a:off x="0" y="0"/>
                      <a:ext cx="5727700" cy="3362960"/>
                    </a:xfrm>
                    <a:prstGeom prst="rect">
                      <a:avLst/>
                    </a:prstGeom>
                    <a:ln>
                      <a:noFill/>
                    </a:ln>
                    <a:extLst>
                      <a:ext uri="{53640926-AAD7-44D8-BBD7-CCE9431645EC}">
                        <a14:shadowObscured xmlns:a14="http://schemas.microsoft.com/office/drawing/2010/main"/>
                      </a:ext>
                    </a:extLst>
                  </pic:spPr>
                </pic:pic>
              </a:graphicData>
            </a:graphic>
          </wp:inline>
        </w:drawing>
      </w:r>
    </w:p>
    <w:p w14:paraId="2CA60068" w14:textId="69323CF4" w:rsidR="00D86E19" w:rsidRDefault="009A395E" w:rsidP="009A395E">
      <w:pPr>
        <w:pStyle w:val="Caption"/>
        <w:rPr>
          <w:b w:val="0"/>
        </w:rPr>
      </w:pPr>
      <w:r>
        <w:t xml:space="preserve">Supplementary </w:t>
      </w:r>
      <w:r w:rsidR="00177C90">
        <w:t xml:space="preserve">Figure </w:t>
      </w:r>
      <w:fldSimple w:instr=" SEQ Figure \* ARABIC ">
        <w:r w:rsidR="00177C90">
          <w:rPr>
            <w:noProof/>
          </w:rPr>
          <w:t>6</w:t>
        </w:r>
      </w:fldSimple>
      <w:r w:rsidR="00177C90" w:rsidRPr="00177C90">
        <w:t xml:space="preserve">: </w:t>
      </w:r>
      <w:r w:rsidR="00177C90" w:rsidRPr="00177C90">
        <w:rPr>
          <w:b w:val="0"/>
        </w:rPr>
        <w:t>(a) Distribution of titling per state, (b) 90</w:t>
      </w:r>
      <w:r w:rsidR="00177C90" w:rsidRPr="00177C90">
        <w:rPr>
          <w:b w:val="0"/>
          <w:vertAlign w:val="superscript"/>
        </w:rPr>
        <w:t>th</w:t>
      </w:r>
      <w:r w:rsidR="00177C90" w:rsidRPr="00177C90">
        <w:rPr>
          <w:b w:val="0"/>
        </w:rPr>
        <w:t xml:space="preserve"> percentile deforestation in % per state, and (c) 99</w:t>
      </w:r>
      <w:r w:rsidR="00177C90" w:rsidRPr="00177C90">
        <w:rPr>
          <w:b w:val="0"/>
          <w:vertAlign w:val="superscript"/>
        </w:rPr>
        <w:t>th</w:t>
      </w:r>
      <w:r w:rsidR="00177C90" w:rsidRPr="00177C90">
        <w:rPr>
          <w:b w:val="0"/>
        </w:rPr>
        <w:t xml:space="preserve"> percentile of deforestation</w:t>
      </w:r>
      <w:r w:rsidR="00177C90">
        <w:rPr>
          <w:b w:val="0"/>
        </w:rPr>
        <w:t>. Source: author</w:t>
      </w:r>
    </w:p>
    <w:p w14:paraId="4C04BA44" w14:textId="77777777" w:rsidR="00177C90" w:rsidRDefault="00177C90" w:rsidP="00177C90">
      <w:pPr>
        <w:pStyle w:val="Caption"/>
      </w:pPr>
    </w:p>
    <w:p w14:paraId="36AA2806" w14:textId="38CE4B51" w:rsidR="00177C90" w:rsidRDefault="00177C90" w:rsidP="00A271F2">
      <w:pPr>
        <w:spacing w:line="480" w:lineRule="auto"/>
        <w:ind w:left="1134" w:firstLine="567"/>
      </w:pPr>
    </w:p>
    <w:p w14:paraId="5D2C33CC" w14:textId="03CBFCFE" w:rsidR="00177C90" w:rsidRDefault="00177C90" w:rsidP="00A271F2">
      <w:pPr>
        <w:spacing w:line="480" w:lineRule="auto"/>
        <w:ind w:left="1134" w:firstLine="567"/>
      </w:pPr>
    </w:p>
    <w:p w14:paraId="6B97D9E4" w14:textId="79E739B5" w:rsidR="00177C90" w:rsidRDefault="00993F81" w:rsidP="00993F81">
      <w:pPr>
        <w:pStyle w:val="Heading1"/>
      </w:pPr>
      <w:bookmarkStart w:id="6" w:name="_Toc34650091"/>
      <w:r>
        <w:t>Supplementary Tables</w:t>
      </w:r>
      <w:bookmarkEnd w:id="6"/>
    </w:p>
    <w:p w14:paraId="6BEF9E55" w14:textId="480FC45A" w:rsidR="00177C90" w:rsidRDefault="00177C90" w:rsidP="000C2445">
      <w:pPr>
        <w:spacing w:line="360" w:lineRule="auto"/>
      </w:pPr>
      <w:r>
        <w:t xml:space="preserve">The following tables are from the </w:t>
      </w:r>
      <w:r w:rsidR="00993F81">
        <w:t xml:space="preserve">Results and the </w:t>
      </w:r>
      <w:r>
        <w:t xml:space="preserve">Methods section in the main article. The numbering of the tables following the numbering in the main text. </w:t>
      </w:r>
    </w:p>
    <w:p w14:paraId="4F7D86D7" w14:textId="77777777" w:rsidR="00993F81" w:rsidRDefault="00993F81" w:rsidP="00993F81">
      <w:pPr>
        <w:keepNext/>
        <w:spacing w:line="480" w:lineRule="auto"/>
        <w:ind w:left="1134" w:firstLine="567"/>
      </w:pPr>
      <w:r w:rsidRPr="00A271F2">
        <w:rPr>
          <w:noProof/>
          <w:lang w:eastAsia="en-GB"/>
        </w:rPr>
        <w:lastRenderedPageBreak/>
        <w:drawing>
          <wp:inline distT="0" distB="0" distL="0" distR="0" wp14:anchorId="3D72577B" wp14:editId="6692CFE4">
            <wp:extent cx="2923540" cy="469268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243" t="4499" r="16235"/>
                    <a:stretch/>
                  </pic:blipFill>
                  <pic:spPr bwMode="auto">
                    <a:xfrm>
                      <a:off x="0" y="0"/>
                      <a:ext cx="2924228" cy="4693784"/>
                    </a:xfrm>
                    <a:prstGeom prst="rect">
                      <a:avLst/>
                    </a:prstGeom>
                    <a:ln>
                      <a:noFill/>
                    </a:ln>
                    <a:extLst>
                      <a:ext uri="{53640926-AAD7-44D8-BBD7-CCE9431645EC}">
                        <a14:shadowObscured xmlns:a14="http://schemas.microsoft.com/office/drawing/2010/main"/>
                      </a:ext>
                    </a:extLst>
                  </pic:spPr>
                </pic:pic>
              </a:graphicData>
            </a:graphic>
          </wp:inline>
        </w:drawing>
      </w:r>
    </w:p>
    <w:p w14:paraId="1DAAD321" w14:textId="77777777" w:rsidR="00993F81" w:rsidRPr="00177C90" w:rsidRDefault="00993F81" w:rsidP="00993F81">
      <w:pPr>
        <w:pStyle w:val="Caption"/>
        <w:rPr>
          <w:b w:val="0"/>
        </w:rPr>
      </w:pPr>
      <w:r>
        <w:t xml:space="preserve">Supplementary Table </w:t>
      </w:r>
      <w:fldSimple w:instr=" SEQ Table \* ARABIC ">
        <w:r>
          <w:rPr>
            <w:noProof/>
          </w:rPr>
          <w:t>1</w:t>
        </w:r>
      </w:fldSimple>
      <w:r>
        <w:t xml:space="preserve">: </w:t>
      </w:r>
      <w:r>
        <w:rPr>
          <w:b w:val="0"/>
        </w:rPr>
        <w:t xml:space="preserve">The impact of receiving a property title on deforestation. </w:t>
      </w:r>
    </w:p>
    <w:p w14:paraId="24FB15BC" w14:textId="77777777" w:rsidR="00993F81" w:rsidRDefault="00993F81" w:rsidP="000C2445">
      <w:pPr>
        <w:spacing w:line="360" w:lineRule="auto"/>
      </w:pPr>
    </w:p>
    <w:p w14:paraId="65454E0F" w14:textId="1001DC43" w:rsidR="009A395E" w:rsidRDefault="00177C90" w:rsidP="009A395E">
      <w:pPr>
        <w:keepNext/>
        <w:spacing w:line="480" w:lineRule="auto"/>
        <w:jc w:val="both"/>
      </w:pPr>
      <w:r w:rsidRPr="00950D97">
        <w:rPr>
          <w:noProof/>
          <w:lang w:eastAsia="en-GB"/>
        </w:rPr>
        <w:lastRenderedPageBreak/>
        <w:drawing>
          <wp:inline distT="0" distB="0" distL="0" distR="0" wp14:anchorId="199BF75B" wp14:editId="0F6D1057">
            <wp:extent cx="5758180" cy="1847215"/>
            <wp:effectExtent l="0" t="0" r="0" b="0"/>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8180" cy="1847215"/>
                    </a:xfrm>
                    <a:prstGeom prst="rect">
                      <a:avLst/>
                    </a:prstGeom>
                    <a:noFill/>
                    <a:ln>
                      <a:noFill/>
                    </a:ln>
                  </pic:spPr>
                </pic:pic>
              </a:graphicData>
            </a:graphic>
          </wp:inline>
        </w:drawing>
      </w:r>
    </w:p>
    <w:p w14:paraId="38322CD2" w14:textId="2ED0816C" w:rsidR="00177C90" w:rsidRPr="00177C90" w:rsidRDefault="009A395E" w:rsidP="009A395E">
      <w:pPr>
        <w:pStyle w:val="Caption"/>
        <w:keepNext/>
        <w:jc w:val="both"/>
        <w:rPr>
          <w:b w:val="0"/>
        </w:rPr>
      </w:pPr>
      <w:r>
        <w:t xml:space="preserve">Supplementary </w:t>
      </w:r>
      <w:r w:rsidR="00177C90">
        <w:t xml:space="preserve">Table </w:t>
      </w:r>
      <w:fldSimple w:instr=" SEQ Table \* ARABIC ">
        <w:r w:rsidR="00177C90">
          <w:rPr>
            <w:noProof/>
          </w:rPr>
          <w:t>2</w:t>
        </w:r>
      </w:fldSimple>
      <w:r w:rsidR="00177C90" w:rsidRPr="00177C90">
        <w:t xml:space="preserve">: </w:t>
      </w:r>
      <w:r w:rsidR="00177C90" w:rsidRPr="00950D97">
        <w:rPr>
          <w:b w:val="0"/>
        </w:rPr>
        <w:t>Number of titled plots across different titling years per state</w:t>
      </w:r>
    </w:p>
    <w:p w14:paraId="326BA984" w14:textId="77918768" w:rsidR="009A395E" w:rsidRDefault="00177C90" w:rsidP="009A395E">
      <w:pPr>
        <w:keepNext/>
        <w:spacing w:line="480" w:lineRule="auto"/>
        <w:jc w:val="both"/>
      </w:pPr>
      <w:r w:rsidRPr="00950D97">
        <w:rPr>
          <w:noProof/>
          <w:lang w:eastAsia="en-GB"/>
        </w:rPr>
        <w:drawing>
          <wp:inline distT="0" distB="0" distL="0" distR="0" wp14:anchorId="66188882" wp14:editId="5639D830">
            <wp:extent cx="5758180" cy="1448435"/>
            <wp:effectExtent l="0" t="0" r="0" b="0"/>
            <wp:docPr id="11"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8180" cy="1448435"/>
                    </a:xfrm>
                    <a:prstGeom prst="rect">
                      <a:avLst/>
                    </a:prstGeom>
                    <a:noFill/>
                    <a:ln>
                      <a:noFill/>
                    </a:ln>
                  </pic:spPr>
                </pic:pic>
              </a:graphicData>
            </a:graphic>
          </wp:inline>
        </w:drawing>
      </w:r>
    </w:p>
    <w:p w14:paraId="5AD0DC30" w14:textId="6753091D" w:rsidR="00177C90" w:rsidRPr="00950D97" w:rsidRDefault="009A395E" w:rsidP="009A395E">
      <w:pPr>
        <w:pStyle w:val="Caption"/>
        <w:jc w:val="both"/>
      </w:pPr>
      <w:r>
        <w:t xml:space="preserve">Supplementary </w:t>
      </w:r>
      <w:r w:rsidR="00177C90">
        <w:t xml:space="preserve">Table </w:t>
      </w:r>
      <w:fldSimple w:instr=" SEQ Table \* ARABIC ">
        <w:r w:rsidR="00177C90">
          <w:rPr>
            <w:noProof/>
          </w:rPr>
          <w:t>3</w:t>
        </w:r>
      </w:fldSimple>
      <w:r w:rsidR="00177C90" w:rsidRPr="00177C90">
        <w:t xml:space="preserve">: </w:t>
      </w:r>
      <w:r w:rsidR="00177C90">
        <w:rPr>
          <w:b w:val="0"/>
        </w:rPr>
        <w:t>T</w:t>
      </w:r>
      <w:r w:rsidR="00177C90" w:rsidRPr="00950D97">
        <w:rPr>
          <w:b w:val="0"/>
        </w:rPr>
        <w:t xml:space="preserve">itling </w:t>
      </w:r>
      <w:r w:rsidR="00177C90">
        <w:rPr>
          <w:b w:val="0"/>
        </w:rPr>
        <w:t xml:space="preserve">trends </w:t>
      </w:r>
      <w:r w:rsidR="00177C90" w:rsidRPr="00950D97">
        <w:rPr>
          <w:b w:val="0"/>
        </w:rPr>
        <w:t>across years and plot sizes</w:t>
      </w:r>
    </w:p>
    <w:p w14:paraId="0A76381F" w14:textId="7453C304" w:rsidR="00590D05" w:rsidRDefault="00590D05" w:rsidP="00A271F2">
      <w:pPr>
        <w:spacing w:line="480" w:lineRule="auto"/>
        <w:ind w:left="1134" w:firstLine="567"/>
      </w:pPr>
    </w:p>
    <w:p w14:paraId="250493E0" w14:textId="77329BDD" w:rsidR="009A395E" w:rsidRDefault="00177C90" w:rsidP="009A395E">
      <w:pPr>
        <w:keepNext/>
        <w:spacing w:line="480" w:lineRule="auto"/>
        <w:jc w:val="both"/>
      </w:pPr>
      <w:r w:rsidRPr="001A5FC0">
        <w:rPr>
          <w:noProof/>
          <w:lang w:eastAsia="en-GB"/>
        </w:rPr>
        <w:drawing>
          <wp:inline distT="0" distB="0" distL="0" distR="0" wp14:anchorId="5E6363D5" wp14:editId="25F9D09A">
            <wp:extent cx="5726806" cy="2269197"/>
            <wp:effectExtent l="0" t="0" r="127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6530" b="30639"/>
                    <a:stretch/>
                  </pic:blipFill>
                  <pic:spPr bwMode="auto">
                    <a:xfrm>
                      <a:off x="0" y="0"/>
                      <a:ext cx="5727700" cy="2269551"/>
                    </a:xfrm>
                    <a:prstGeom prst="rect">
                      <a:avLst/>
                    </a:prstGeom>
                    <a:ln>
                      <a:noFill/>
                    </a:ln>
                    <a:extLst>
                      <a:ext uri="{53640926-AAD7-44D8-BBD7-CCE9431645EC}">
                        <a14:shadowObscured xmlns:a14="http://schemas.microsoft.com/office/drawing/2010/main"/>
                      </a:ext>
                    </a:extLst>
                  </pic:spPr>
                </pic:pic>
              </a:graphicData>
            </a:graphic>
          </wp:inline>
        </w:drawing>
      </w:r>
    </w:p>
    <w:p w14:paraId="7B71F8D1" w14:textId="3BA9ABDA" w:rsidR="00177C90" w:rsidRPr="00950D97" w:rsidRDefault="009A395E" w:rsidP="009A395E">
      <w:pPr>
        <w:pStyle w:val="Caption"/>
        <w:jc w:val="both"/>
      </w:pPr>
      <w:r>
        <w:t xml:space="preserve">Supplementary </w:t>
      </w:r>
      <w:r w:rsidR="00177C90">
        <w:t xml:space="preserve">Figure </w:t>
      </w:r>
      <w:fldSimple w:instr=" SEQ Figure \* ARABIC ">
        <w:r w:rsidR="00177C90">
          <w:rPr>
            <w:noProof/>
          </w:rPr>
          <w:t>7</w:t>
        </w:r>
      </w:fldSimple>
      <w:r w:rsidR="00177C90" w:rsidRPr="00177C90">
        <w:t>:</w:t>
      </w:r>
      <w:bookmarkStart w:id="7" w:name="_Toc361392188"/>
      <w:bookmarkStart w:id="8" w:name="_Toc361497179"/>
      <w:r w:rsidR="00177C90" w:rsidRPr="00177C90">
        <w:rPr>
          <w:b w:val="0"/>
        </w:rPr>
        <w:t xml:space="preserve"> </w:t>
      </w:r>
      <w:r w:rsidR="00177C90" w:rsidRPr="00950D97">
        <w:rPr>
          <w:b w:val="0"/>
        </w:rPr>
        <w:t>Characteristics of titled plots across different titling years</w:t>
      </w:r>
      <w:bookmarkEnd w:id="7"/>
      <w:bookmarkEnd w:id="8"/>
      <w:r w:rsidR="00177C90" w:rsidRPr="00950D97">
        <w:rPr>
          <w:b w:val="0"/>
        </w:rPr>
        <w:t xml:space="preserve"> shows slight variations across year, but no substantial differences between titling years.</w:t>
      </w:r>
    </w:p>
    <w:p w14:paraId="4C6D74C7" w14:textId="77777777" w:rsidR="00590D05" w:rsidRDefault="00590D05" w:rsidP="00A271F2">
      <w:pPr>
        <w:spacing w:line="480" w:lineRule="auto"/>
        <w:ind w:left="1134" w:firstLine="567"/>
      </w:pPr>
    </w:p>
    <w:p w14:paraId="04A7BC0B" w14:textId="77777777" w:rsidR="00D536BB" w:rsidRDefault="00D536BB">
      <w:pPr>
        <w:rPr>
          <w:rFonts w:eastAsia="DengXian Light"/>
          <w:bCs/>
          <w:color w:val="000000"/>
          <w:sz w:val="32"/>
          <w:szCs w:val="32"/>
          <w:lang w:eastAsia="de-DE"/>
        </w:rPr>
      </w:pPr>
      <w:r>
        <w:br w:type="page"/>
      </w:r>
    </w:p>
    <w:p w14:paraId="5C74F339" w14:textId="096876F0" w:rsidR="00CC1775" w:rsidRPr="00036C0E" w:rsidRDefault="00993F81" w:rsidP="00D536BB">
      <w:pPr>
        <w:pStyle w:val="Heading11"/>
        <w:rPr>
          <w:b/>
          <w:sz w:val="24"/>
          <w:szCs w:val="24"/>
        </w:rPr>
      </w:pPr>
      <w:bookmarkStart w:id="9" w:name="_Toc34650092"/>
      <w:r>
        <w:rPr>
          <w:b/>
          <w:sz w:val="24"/>
          <w:szCs w:val="24"/>
        </w:rPr>
        <w:lastRenderedPageBreak/>
        <w:t xml:space="preserve">Supplementary </w:t>
      </w:r>
      <w:r w:rsidR="00D536BB" w:rsidRPr="00036C0E">
        <w:rPr>
          <w:b/>
          <w:sz w:val="24"/>
          <w:szCs w:val="24"/>
        </w:rPr>
        <w:t>References</w:t>
      </w:r>
      <w:bookmarkEnd w:id="9"/>
    </w:p>
    <w:p w14:paraId="18F0C30D" w14:textId="43DF147F" w:rsidR="005E0E6F" w:rsidRPr="005E0E6F" w:rsidRDefault="00D536BB" w:rsidP="005E0E6F">
      <w:pPr>
        <w:widowControl w:val="0"/>
        <w:autoSpaceDE w:val="0"/>
        <w:autoSpaceDN w:val="0"/>
        <w:adjustRightInd w:val="0"/>
        <w:spacing w:before="240" w:after="120" w:line="360" w:lineRule="auto"/>
        <w:ind w:left="640" w:hanging="640"/>
        <w:rPr>
          <w:noProof/>
          <w:lang w:val="en-US"/>
        </w:rPr>
      </w:pPr>
      <w:r w:rsidRPr="00036C0E">
        <w:fldChar w:fldCharType="begin" w:fldLock="1"/>
      </w:r>
      <w:r w:rsidRPr="00036C0E">
        <w:instrText xml:space="preserve">ADDIN Mendeley Bibliography CSL_BIBLIOGRAPHY </w:instrText>
      </w:r>
      <w:r w:rsidRPr="00036C0E">
        <w:fldChar w:fldCharType="separate"/>
      </w:r>
      <w:r w:rsidR="005E0E6F" w:rsidRPr="005E0E6F">
        <w:rPr>
          <w:noProof/>
          <w:lang w:val="en-US"/>
        </w:rPr>
        <w:t>1.</w:t>
      </w:r>
      <w:r w:rsidR="005E0E6F" w:rsidRPr="005E0E6F">
        <w:rPr>
          <w:noProof/>
          <w:lang w:val="en-US"/>
        </w:rPr>
        <w:tab/>
        <w:t>Blackman, A., Corral, L., Santos, E. &amp; Asner, G. P. Titling indigenous communities protects forests in the Peruvian Amazon. (2017). doi:10.1073/pnas.1603290114</w:t>
      </w:r>
    </w:p>
    <w:p w14:paraId="67777DA5" w14:textId="77777777" w:rsidR="005E0E6F" w:rsidRPr="005E0E6F" w:rsidRDefault="005E0E6F" w:rsidP="005E0E6F">
      <w:pPr>
        <w:widowControl w:val="0"/>
        <w:autoSpaceDE w:val="0"/>
        <w:autoSpaceDN w:val="0"/>
        <w:adjustRightInd w:val="0"/>
        <w:spacing w:before="240" w:after="120" w:line="360" w:lineRule="auto"/>
        <w:ind w:left="640" w:hanging="640"/>
        <w:rPr>
          <w:noProof/>
          <w:lang w:val="en-US"/>
        </w:rPr>
      </w:pPr>
      <w:r w:rsidRPr="005E0E6F">
        <w:rPr>
          <w:noProof/>
          <w:lang w:val="en-US"/>
        </w:rPr>
        <w:t>2.</w:t>
      </w:r>
      <w:r w:rsidRPr="005E0E6F">
        <w:rPr>
          <w:noProof/>
          <w:lang w:val="en-US"/>
        </w:rPr>
        <w:tab/>
        <w:t>Buntaine, M. T., Hamilton, S. E., Millones, M. &amp; Hamilton, S. Titling Community Land to Prevent Deforestation: No Reduction in Forest Loss in Morona-Santiago, Ecuador. (2014).</w:t>
      </w:r>
    </w:p>
    <w:p w14:paraId="6E1C1E6C" w14:textId="77777777" w:rsidR="005E0E6F" w:rsidRPr="005E0E6F" w:rsidRDefault="005E0E6F" w:rsidP="005E0E6F">
      <w:pPr>
        <w:widowControl w:val="0"/>
        <w:autoSpaceDE w:val="0"/>
        <w:autoSpaceDN w:val="0"/>
        <w:adjustRightInd w:val="0"/>
        <w:spacing w:before="240" w:after="120" w:line="360" w:lineRule="auto"/>
        <w:ind w:left="640" w:hanging="640"/>
        <w:rPr>
          <w:noProof/>
          <w:lang w:val="en-US"/>
        </w:rPr>
      </w:pPr>
      <w:r w:rsidRPr="005E0E6F">
        <w:rPr>
          <w:noProof/>
          <w:lang w:val="en-US"/>
        </w:rPr>
        <w:t>3.</w:t>
      </w:r>
      <w:r w:rsidRPr="005E0E6F">
        <w:rPr>
          <w:noProof/>
          <w:lang w:val="en-US"/>
        </w:rPr>
        <w:tab/>
        <w:t xml:space="preserve">BenYishay, A., Heuser, S., Runfola, D. &amp; Trichler, R. Indigenous land rights and deforestation: Evidence from the Brazilian Amazon. </w:t>
      </w:r>
      <w:r w:rsidRPr="005E0E6F">
        <w:rPr>
          <w:i/>
          <w:iCs/>
          <w:noProof/>
          <w:lang w:val="en-US"/>
        </w:rPr>
        <w:t>J. Environ. Econ. Manage.</w:t>
      </w:r>
      <w:r w:rsidRPr="005E0E6F">
        <w:rPr>
          <w:noProof/>
          <w:lang w:val="en-US"/>
        </w:rPr>
        <w:t xml:space="preserve"> </w:t>
      </w:r>
      <w:r w:rsidRPr="005E0E6F">
        <w:rPr>
          <w:b/>
          <w:bCs/>
          <w:noProof/>
          <w:lang w:val="en-US"/>
        </w:rPr>
        <w:t>86</w:t>
      </w:r>
      <w:r w:rsidRPr="005E0E6F">
        <w:rPr>
          <w:noProof/>
          <w:lang w:val="en-US"/>
        </w:rPr>
        <w:t>, 29–47 (2017).</w:t>
      </w:r>
    </w:p>
    <w:p w14:paraId="47C7FC43" w14:textId="77777777" w:rsidR="005E0E6F" w:rsidRPr="005E0E6F" w:rsidRDefault="005E0E6F" w:rsidP="005E0E6F">
      <w:pPr>
        <w:widowControl w:val="0"/>
        <w:autoSpaceDE w:val="0"/>
        <w:autoSpaceDN w:val="0"/>
        <w:adjustRightInd w:val="0"/>
        <w:spacing w:before="240" w:after="120" w:line="360" w:lineRule="auto"/>
        <w:ind w:left="640" w:hanging="640"/>
        <w:rPr>
          <w:noProof/>
          <w:lang w:val="en-US"/>
        </w:rPr>
      </w:pPr>
      <w:r w:rsidRPr="005E0E6F">
        <w:rPr>
          <w:noProof/>
          <w:lang w:val="en-US"/>
        </w:rPr>
        <w:t>4.</w:t>
      </w:r>
      <w:r w:rsidRPr="005E0E6F">
        <w:rPr>
          <w:noProof/>
          <w:lang w:val="en-US"/>
        </w:rPr>
        <w:tab/>
        <w:t xml:space="preserve">Liscow, Z. D. Do property rights promote investment but cause deforestation ? Quasi-experimental evidence from Nicaragua. </w:t>
      </w:r>
      <w:r w:rsidRPr="005E0E6F">
        <w:rPr>
          <w:i/>
          <w:iCs/>
          <w:noProof/>
          <w:lang w:val="en-US"/>
        </w:rPr>
        <w:t>J. Environ. Econ. Manage.</w:t>
      </w:r>
      <w:r w:rsidRPr="005E0E6F">
        <w:rPr>
          <w:noProof/>
          <w:lang w:val="en-US"/>
        </w:rPr>
        <w:t xml:space="preserve"> </w:t>
      </w:r>
      <w:r w:rsidRPr="005E0E6F">
        <w:rPr>
          <w:b/>
          <w:bCs/>
          <w:noProof/>
          <w:lang w:val="en-US"/>
        </w:rPr>
        <w:t>65</w:t>
      </w:r>
      <w:r w:rsidRPr="005E0E6F">
        <w:rPr>
          <w:noProof/>
          <w:lang w:val="en-US"/>
        </w:rPr>
        <w:t>, 241–261 (2013).</w:t>
      </w:r>
    </w:p>
    <w:p w14:paraId="5E2566E3" w14:textId="77777777" w:rsidR="005E0E6F" w:rsidRPr="005E0E6F" w:rsidRDefault="005E0E6F" w:rsidP="005E0E6F">
      <w:pPr>
        <w:widowControl w:val="0"/>
        <w:autoSpaceDE w:val="0"/>
        <w:autoSpaceDN w:val="0"/>
        <w:adjustRightInd w:val="0"/>
        <w:spacing w:before="240" w:after="120" w:line="360" w:lineRule="auto"/>
        <w:ind w:left="640" w:hanging="640"/>
        <w:rPr>
          <w:noProof/>
          <w:lang w:val="en-US"/>
        </w:rPr>
      </w:pPr>
      <w:r w:rsidRPr="005E0E6F">
        <w:rPr>
          <w:noProof/>
          <w:lang w:val="en-US"/>
        </w:rPr>
        <w:t>5.</w:t>
      </w:r>
      <w:r w:rsidRPr="005E0E6F">
        <w:rPr>
          <w:noProof/>
          <w:lang w:val="en-US"/>
        </w:rPr>
        <w:tab/>
        <w:t xml:space="preserve">Alston, L. J., Libecap, G. D. &amp; Schneider, R. The Determinants and Impact of Property Rights : Land Titles on the Brazilian Frontier. </w:t>
      </w:r>
      <w:r w:rsidRPr="005E0E6F">
        <w:rPr>
          <w:i/>
          <w:iCs/>
          <w:noProof/>
          <w:lang w:val="en-US"/>
        </w:rPr>
        <w:t>J. Law, Econ. Organ.</w:t>
      </w:r>
      <w:r w:rsidRPr="005E0E6F">
        <w:rPr>
          <w:noProof/>
          <w:lang w:val="en-US"/>
        </w:rPr>
        <w:t xml:space="preserve"> (1995).</w:t>
      </w:r>
    </w:p>
    <w:p w14:paraId="5BE8F66B" w14:textId="77777777" w:rsidR="005E0E6F" w:rsidRPr="005E0E6F" w:rsidRDefault="005E0E6F" w:rsidP="005E0E6F">
      <w:pPr>
        <w:widowControl w:val="0"/>
        <w:autoSpaceDE w:val="0"/>
        <w:autoSpaceDN w:val="0"/>
        <w:adjustRightInd w:val="0"/>
        <w:spacing w:before="240" w:after="120" w:line="360" w:lineRule="auto"/>
        <w:ind w:left="640" w:hanging="640"/>
        <w:rPr>
          <w:noProof/>
          <w:lang w:val="en-US"/>
        </w:rPr>
      </w:pPr>
      <w:r w:rsidRPr="005E0E6F">
        <w:rPr>
          <w:noProof/>
          <w:lang w:val="en-US"/>
        </w:rPr>
        <w:t>6.</w:t>
      </w:r>
      <w:r w:rsidRPr="005E0E6F">
        <w:rPr>
          <w:noProof/>
          <w:lang w:val="en-US"/>
        </w:rPr>
        <w:tab/>
        <w:t xml:space="preserve">Araujo, C., Bonjean, C. A., Combes, J. L., Combes Motel, P. &amp; Reis, E. J. Property rights and deforestation in the Brazilian Amazon. </w:t>
      </w:r>
      <w:r w:rsidRPr="005E0E6F">
        <w:rPr>
          <w:i/>
          <w:iCs/>
          <w:noProof/>
          <w:lang w:val="en-US"/>
        </w:rPr>
        <w:t>Ecol. Econ.</w:t>
      </w:r>
      <w:r w:rsidRPr="005E0E6F">
        <w:rPr>
          <w:noProof/>
          <w:lang w:val="en-US"/>
        </w:rPr>
        <w:t xml:space="preserve"> </w:t>
      </w:r>
      <w:r w:rsidRPr="005E0E6F">
        <w:rPr>
          <w:b/>
          <w:bCs/>
          <w:noProof/>
          <w:lang w:val="en-US"/>
        </w:rPr>
        <w:t>68</w:t>
      </w:r>
      <w:r w:rsidRPr="005E0E6F">
        <w:rPr>
          <w:noProof/>
          <w:lang w:val="en-US"/>
        </w:rPr>
        <w:t>, 2461–2468 (2009).</w:t>
      </w:r>
    </w:p>
    <w:p w14:paraId="13424C8D" w14:textId="77777777" w:rsidR="005E0E6F" w:rsidRPr="005E0E6F" w:rsidRDefault="005E0E6F" w:rsidP="005E0E6F">
      <w:pPr>
        <w:widowControl w:val="0"/>
        <w:autoSpaceDE w:val="0"/>
        <w:autoSpaceDN w:val="0"/>
        <w:adjustRightInd w:val="0"/>
        <w:spacing w:before="240" w:after="120" w:line="360" w:lineRule="auto"/>
        <w:ind w:left="640" w:hanging="640"/>
        <w:rPr>
          <w:noProof/>
        </w:rPr>
      </w:pPr>
      <w:r w:rsidRPr="005E0E6F">
        <w:rPr>
          <w:noProof/>
          <w:lang w:val="en-US"/>
        </w:rPr>
        <w:t>7.</w:t>
      </w:r>
      <w:r w:rsidRPr="005E0E6F">
        <w:rPr>
          <w:noProof/>
          <w:lang w:val="en-US"/>
        </w:rPr>
        <w:tab/>
        <w:t xml:space="preserve">Kupper, B. </w:t>
      </w:r>
      <w:r w:rsidRPr="005E0E6F">
        <w:rPr>
          <w:i/>
          <w:iCs/>
          <w:noProof/>
          <w:lang w:val="en-US"/>
        </w:rPr>
        <w:t>et al.</w:t>
      </w:r>
      <w:r w:rsidRPr="005E0E6F">
        <w:rPr>
          <w:noProof/>
          <w:lang w:val="en-US"/>
        </w:rPr>
        <w:t xml:space="preserve"> Protection and Sustainabe Use of Tropical Forests Need Land Tenure Regularization: Evidence from Brazil. 1–25 (2017).</w:t>
      </w:r>
    </w:p>
    <w:p w14:paraId="0333DB48" w14:textId="40AE2AD3" w:rsidR="00D536BB" w:rsidRDefault="00D536BB" w:rsidP="005E0E6F">
      <w:pPr>
        <w:widowControl w:val="0"/>
        <w:autoSpaceDE w:val="0"/>
        <w:autoSpaceDN w:val="0"/>
        <w:adjustRightInd w:val="0"/>
        <w:spacing w:before="240" w:after="120" w:line="360" w:lineRule="auto"/>
        <w:ind w:left="640" w:hanging="640"/>
      </w:pPr>
      <w:r w:rsidRPr="00036C0E">
        <w:fldChar w:fldCharType="end"/>
      </w:r>
    </w:p>
    <w:sectPr w:rsidR="00D536BB" w:rsidSect="002D678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58D0AE" w14:textId="77777777" w:rsidR="00573755" w:rsidRDefault="00573755" w:rsidP="0096001D">
      <w:r>
        <w:separator/>
      </w:r>
    </w:p>
  </w:endnote>
  <w:endnote w:type="continuationSeparator" w:id="0">
    <w:p w14:paraId="19C68EC3" w14:textId="77777777" w:rsidR="00573755" w:rsidRDefault="00573755" w:rsidP="00960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ource Sans Pro Light">
    <w:altName w:val="Times New Roman"/>
    <w:panose1 w:val="020B0403030403020204"/>
    <w:charset w:val="A1"/>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4EF70" w14:textId="77777777" w:rsidR="00573755" w:rsidRDefault="00573755" w:rsidP="0096001D">
      <w:r>
        <w:separator/>
      </w:r>
    </w:p>
  </w:footnote>
  <w:footnote w:type="continuationSeparator" w:id="0">
    <w:p w14:paraId="19807C56" w14:textId="77777777" w:rsidR="00573755" w:rsidRDefault="00573755" w:rsidP="0096001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601C10"/>
    <w:multiLevelType w:val="multilevel"/>
    <w:tmpl w:val="3A4AAB8C"/>
    <w:lvl w:ilvl="0">
      <w:start w:val="1"/>
      <w:numFmt w:val="decimal"/>
      <w:lvlText w:val="%1. "/>
      <w:lvlJc w:val="left"/>
      <w:pPr>
        <w:ind w:left="5047" w:hanging="3062"/>
      </w:pPr>
    </w:lvl>
    <w:lvl w:ilvl="1">
      <w:start w:val="1"/>
      <w:numFmt w:val="decimal"/>
      <w:pStyle w:val="Heading21"/>
      <w:lvlText w:val="%1.%2"/>
      <w:lvlJc w:val="left"/>
      <w:pPr>
        <w:ind w:left="5047" w:hanging="2836"/>
      </w:pPr>
      <w:rPr>
        <w:b w:val="0"/>
      </w:rPr>
    </w:lvl>
    <w:lvl w:ilvl="2">
      <w:start w:val="1"/>
      <w:numFmt w:val="decimal"/>
      <w:pStyle w:val="Heading31"/>
      <w:lvlText w:val="%1.%2.%3"/>
      <w:lvlJc w:val="left"/>
      <w:pPr>
        <w:ind w:left="5047" w:hanging="2212"/>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46FF75B9"/>
    <w:multiLevelType w:val="multilevel"/>
    <w:tmpl w:val="D55015E4"/>
    <w:styleLink w:val="BenStylev0"/>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o"/>
      <w:lvlJc w:val="left"/>
      <w:pPr>
        <w:ind w:left="288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AxNbU0NDGyNDYxNTNX0lEKTi0uzszPAykwrAUA/N3oqSwAAAA="/>
  </w:docVars>
  <w:rsids>
    <w:rsidRoot w:val="00342C08"/>
    <w:rsid w:val="00011425"/>
    <w:rsid w:val="00036C0E"/>
    <w:rsid w:val="00065840"/>
    <w:rsid w:val="00081B8A"/>
    <w:rsid w:val="000C2445"/>
    <w:rsid w:val="000D00FA"/>
    <w:rsid w:val="000E7ED9"/>
    <w:rsid w:val="00123CF2"/>
    <w:rsid w:val="001568FE"/>
    <w:rsid w:val="00177C90"/>
    <w:rsid w:val="001B192A"/>
    <w:rsid w:val="001D53E6"/>
    <w:rsid w:val="00212CA3"/>
    <w:rsid w:val="00225B3A"/>
    <w:rsid w:val="00236C24"/>
    <w:rsid w:val="002D6786"/>
    <w:rsid w:val="00306813"/>
    <w:rsid w:val="00342C08"/>
    <w:rsid w:val="00351C09"/>
    <w:rsid w:val="0038656C"/>
    <w:rsid w:val="0039779F"/>
    <w:rsid w:val="003C0B5A"/>
    <w:rsid w:val="00400FC8"/>
    <w:rsid w:val="00432AB9"/>
    <w:rsid w:val="00460A9C"/>
    <w:rsid w:val="00463BA6"/>
    <w:rsid w:val="004A2AF0"/>
    <w:rsid w:val="004A46BF"/>
    <w:rsid w:val="004F1CF9"/>
    <w:rsid w:val="00544C55"/>
    <w:rsid w:val="00573755"/>
    <w:rsid w:val="00590D05"/>
    <w:rsid w:val="005D2094"/>
    <w:rsid w:val="005E0E6F"/>
    <w:rsid w:val="00614FE2"/>
    <w:rsid w:val="006216CA"/>
    <w:rsid w:val="006251D7"/>
    <w:rsid w:val="0064745F"/>
    <w:rsid w:val="006E6D5A"/>
    <w:rsid w:val="006F13B9"/>
    <w:rsid w:val="006F2A33"/>
    <w:rsid w:val="00703E87"/>
    <w:rsid w:val="007063B8"/>
    <w:rsid w:val="007A3647"/>
    <w:rsid w:val="007E0E63"/>
    <w:rsid w:val="00825391"/>
    <w:rsid w:val="00875C68"/>
    <w:rsid w:val="008C3586"/>
    <w:rsid w:val="008D1572"/>
    <w:rsid w:val="00907001"/>
    <w:rsid w:val="00937720"/>
    <w:rsid w:val="0096001D"/>
    <w:rsid w:val="00974E53"/>
    <w:rsid w:val="00993F81"/>
    <w:rsid w:val="009A395E"/>
    <w:rsid w:val="009C7D51"/>
    <w:rsid w:val="00A2330C"/>
    <w:rsid w:val="00A271F2"/>
    <w:rsid w:val="00A6412D"/>
    <w:rsid w:val="00A6687A"/>
    <w:rsid w:val="00A83F09"/>
    <w:rsid w:val="00AD414B"/>
    <w:rsid w:val="00B0350C"/>
    <w:rsid w:val="00B2283C"/>
    <w:rsid w:val="00B979F6"/>
    <w:rsid w:val="00BC052B"/>
    <w:rsid w:val="00C61187"/>
    <w:rsid w:val="00C73E4E"/>
    <w:rsid w:val="00C9343B"/>
    <w:rsid w:val="00CA0F16"/>
    <w:rsid w:val="00CC1775"/>
    <w:rsid w:val="00CC1A6B"/>
    <w:rsid w:val="00CD4F0C"/>
    <w:rsid w:val="00D536BB"/>
    <w:rsid w:val="00D56423"/>
    <w:rsid w:val="00D803DB"/>
    <w:rsid w:val="00D8420F"/>
    <w:rsid w:val="00D86E19"/>
    <w:rsid w:val="00DA3FDF"/>
    <w:rsid w:val="00DC168E"/>
    <w:rsid w:val="00E94D92"/>
    <w:rsid w:val="00EB2990"/>
    <w:rsid w:val="00ED63DD"/>
    <w:rsid w:val="00EF6AFF"/>
    <w:rsid w:val="00FA0F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55337"/>
  <w15:chartTrackingRefBased/>
  <w15:docId w15:val="{D79C5F35-DDB1-AB47-A06D-8CDF65BF2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01D"/>
  </w:style>
  <w:style w:type="paragraph" w:styleId="Heading1">
    <w:name w:val="heading 1"/>
    <w:basedOn w:val="Normal"/>
    <w:next w:val="Normal"/>
    <w:link w:val="Heading1Char"/>
    <w:uiPriority w:val="9"/>
    <w:qFormat/>
    <w:rsid w:val="00993F81"/>
    <w:pPr>
      <w:keepNext/>
      <w:keepLines/>
      <w:spacing w:before="240"/>
      <w:outlineLvl w:val="0"/>
    </w:pPr>
    <w:rPr>
      <w:rFonts w:asciiTheme="majorHAnsi" w:eastAsiaTheme="majorEastAsia" w:hAnsiTheme="majorHAnsi" w:cstheme="majorBidi"/>
      <w:color w:val="1F3864" w:themeColor="accent1" w:themeShade="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enStylev0">
    <w:name w:val="Ben_Style_v0"/>
    <w:uiPriority w:val="99"/>
    <w:rsid w:val="00225B3A"/>
    <w:pPr>
      <w:numPr>
        <w:numId w:val="1"/>
      </w:numPr>
    </w:pPr>
  </w:style>
  <w:style w:type="paragraph" w:styleId="FootnoteText">
    <w:name w:val="footnote text"/>
    <w:basedOn w:val="Normal"/>
    <w:link w:val="FootnoteTextChar"/>
    <w:uiPriority w:val="99"/>
    <w:unhideWhenUsed/>
    <w:qFormat/>
    <w:rsid w:val="0096001D"/>
    <w:rPr>
      <w:rFonts w:eastAsia="DengXian"/>
      <w:color w:val="00000A"/>
      <w:sz w:val="20"/>
      <w:lang w:eastAsia="de-DE"/>
    </w:rPr>
  </w:style>
  <w:style w:type="character" w:customStyle="1" w:styleId="FootnoteTextChar">
    <w:name w:val="Footnote Text Char"/>
    <w:basedOn w:val="DefaultParagraphFont"/>
    <w:link w:val="FootnoteText"/>
    <w:uiPriority w:val="99"/>
    <w:qFormat/>
    <w:rsid w:val="0096001D"/>
    <w:rPr>
      <w:rFonts w:eastAsia="DengXian"/>
      <w:color w:val="00000A"/>
      <w:sz w:val="20"/>
      <w:lang w:eastAsia="de-DE"/>
    </w:rPr>
  </w:style>
  <w:style w:type="character" w:styleId="FootnoteReference">
    <w:name w:val="footnote reference"/>
    <w:uiPriority w:val="99"/>
    <w:unhideWhenUsed/>
    <w:qFormat/>
    <w:rsid w:val="0096001D"/>
    <w:rPr>
      <w:vertAlign w:val="superscript"/>
    </w:rPr>
  </w:style>
  <w:style w:type="paragraph" w:styleId="Caption">
    <w:name w:val="caption"/>
    <w:basedOn w:val="Normal"/>
    <w:uiPriority w:val="35"/>
    <w:unhideWhenUsed/>
    <w:qFormat/>
    <w:rsid w:val="0096001D"/>
    <w:pPr>
      <w:spacing w:after="200"/>
    </w:pPr>
    <w:rPr>
      <w:rFonts w:eastAsia="DengXian"/>
      <w:b/>
      <w:bCs/>
      <w:color w:val="00000A"/>
      <w:sz w:val="18"/>
      <w:szCs w:val="18"/>
      <w:lang w:eastAsia="de-DE"/>
    </w:rPr>
  </w:style>
  <w:style w:type="paragraph" w:customStyle="1" w:styleId="Heading11">
    <w:name w:val="Heading 11"/>
    <w:basedOn w:val="Normal"/>
    <w:uiPriority w:val="9"/>
    <w:qFormat/>
    <w:rsid w:val="0096001D"/>
    <w:pPr>
      <w:keepNext/>
      <w:keepLines/>
      <w:spacing w:before="240" w:after="120" w:line="360" w:lineRule="auto"/>
      <w:jc w:val="both"/>
      <w:outlineLvl w:val="0"/>
    </w:pPr>
    <w:rPr>
      <w:rFonts w:eastAsia="DengXian Light"/>
      <w:bCs/>
      <w:color w:val="000000"/>
      <w:sz w:val="32"/>
      <w:szCs w:val="32"/>
      <w:lang w:eastAsia="de-DE"/>
    </w:rPr>
  </w:style>
  <w:style w:type="paragraph" w:customStyle="1" w:styleId="Heading21">
    <w:name w:val="Heading 21"/>
    <w:basedOn w:val="Normal"/>
    <w:uiPriority w:val="9"/>
    <w:unhideWhenUsed/>
    <w:qFormat/>
    <w:rsid w:val="0096001D"/>
    <w:pPr>
      <w:keepNext/>
      <w:keepLines/>
      <w:numPr>
        <w:ilvl w:val="1"/>
        <w:numId w:val="2"/>
      </w:numPr>
      <w:spacing w:before="200" w:after="200" w:line="360" w:lineRule="auto"/>
      <w:jc w:val="both"/>
      <w:outlineLvl w:val="1"/>
    </w:pPr>
    <w:rPr>
      <w:rFonts w:eastAsia="DengXian Light"/>
      <w:color w:val="000000"/>
      <w:sz w:val="26"/>
      <w:szCs w:val="26"/>
      <w:lang w:eastAsia="de-DE"/>
    </w:rPr>
  </w:style>
  <w:style w:type="paragraph" w:customStyle="1" w:styleId="Heading31">
    <w:name w:val="Heading 31"/>
    <w:basedOn w:val="Normal"/>
    <w:uiPriority w:val="9"/>
    <w:unhideWhenUsed/>
    <w:qFormat/>
    <w:rsid w:val="0096001D"/>
    <w:pPr>
      <w:keepNext/>
      <w:keepLines/>
      <w:numPr>
        <w:ilvl w:val="2"/>
        <w:numId w:val="2"/>
      </w:numPr>
      <w:pBdr>
        <w:bottom w:val="single" w:sz="2" w:space="1" w:color="8DB3E2"/>
      </w:pBdr>
      <w:spacing w:before="200" w:after="200" w:line="360" w:lineRule="auto"/>
      <w:ind w:left="0" w:firstLine="0"/>
      <w:outlineLvl w:val="2"/>
    </w:pPr>
    <w:rPr>
      <w:rFonts w:ascii="Source Sans Pro Light" w:eastAsia="DengXian Light" w:hAnsi="Source Sans Pro Light"/>
      <w:bCs/>
      <w:color w:val="ACB9CA"/>
      <w:lang w:eastAsia="de-DE"/>
    </w:rPr>
  </w:style>
  <w:style w:type="character" w:styleId="EndnoteReference">
    <w:name w:val="endnote reference"/>
    <w:basedOn w:val="DefaultParagraphFont"/>
    <w:uiPriority w:val="99"/>
    <w:semiHidden/>
    <w:unhideWhenUsed/>
    <w:rsid w:val="00D536BB"/>
    <w:rPr>
      <w:vertAlign w:val="superscript"/>
    </w:rPr>
  </w:style>
  <w:style w:type="paragraph" w:styleId="Revision">
    <w:name w:val="Revision"/>
    <w:hidden/>
    <w:uiPriority w:val="99"/>
    <w:semiHidden/>
    <w:rsid w:val="00590D05"/>
  </w:style>
  <w:style w:type="character" w:styleId="Hyperlink">
    <w:name w:val="Hyperlink"/>
    <w:basedOn w:val="DefaultParagraphFont"/>
    <w:uiPriority w:val="99"/>
    <w:unhideWhenUsed/>
    <w:rsid w:val="000C2445"/>
    <w:rPr>
      <w:color w:val="0000FF"/>
      <w:u w:val="single"/>
    </w:rPr>
  </w:style>
  <w:style w:type="character" w:customStyle="1" w:styleId="Heading1Char">
    <w:name w:val="Heading 1 Char"/>
    <w:basedOn w:val="DefaultParagraphFont"/>
    <w:link w:val="Heading1"/>
    <w:uiPriority w:val="9"/>
    <w:rsid w:val="00993F81"/>
    <w:rPr>
      <w:rFonts w:asciiTheme="majorHAnsi" w:eastAsiaTheme="majorEastAsia" w:hAnsiTheme="majorHAnsi" w:cstheme="majorBidi"/>
      <w:color w:val="1F3864" w:themeColor="accent1" w:themeShade="80"/>
      <w:sz w:val="32"/>
      <w:szCs w:val="32"/>
    </w:rPr>
  </w:style>
  <w:style w:type="paragraph" w:styleId="TOCHeading">
    <w:name w:val="TOC Heading"/>
    <w:basedOn w:val="Heading1"/>
    <w:next w:val="Normal"/>
    <w:uiPriority w:val="39"/>
    <w:unhideWhenUsed/>
    <w:qFormat/>
    <w:rsid w:val="000C2445"/>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5E0E6F"/>
    <w:pPr>
      <w:tabs>
        <w:tab w:val="left" w:pos="480"/>
        <w:tab w:val="right" w:leader="dot" w:pos="9010"/>
      </w:tabs>
      <w:spacing w:before="120"/>
    </w:pPr>
    <w:rPr>
      <w:rFonts w:asciiTheme="minorHAnsi" w:hAnsiTheme="minorHAnsi"/>
      <w:b/>
      <w:bCs/>
      <w:i/>
      <w:iCs/>
    </w:rPr>
  </w:style>
  <w:style w:type="paragraph" w:styleId="TOC2">
    <w:name w:val="toc 2"/>
    <w:basedOn w:val="Normal"/>
    <w:next w:val="Normal"/>
    <w:autoRedefine/>
    <w:uiPriority w:val="39"/>
    <w:unhideWhenUsed/>
    <w:rsid w:val="000C2445"/>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0C2445"/>
    <w:pPr>
      <w:ind w:left="480"/>
    </w:pPr>
    <w:rPr>
      <w:rFonts w:asciiTheme="minorHAnsi" w:hAnsiTheme="minorHAnsi"/>
      <w:sz w:val="20"/>
      <w:szCs w:val="20"/>
    </w:rPr>
  </w:style>
  <w:style w:type="paragraph" w:styleId="TOC4">
    <w:name w:val="toc 4"/>
    <w:basedOn w:val="Normal"/>
    <w:next w:val="Normal"/>
    <w:autoRedefine/>
    <w:uiPriority w:val="39"/>
    <w:semiHidden/>
    <w:unhideWhenUsed/>
    <w:rsid w:val="000C2445"/>
    <w:pPr>
      <w:ind w:left="720"/>
    </w:pPr>
    <w:rPr>
      <w:rFonts w:asciiTheme="minorHAnsi" w:hAnsiTheme="minorHAnsi"/>
      <w:sz w:val="20"/>
      <w:szCs w:val="20"/>
    </w:rPr>
  </w:style>
  <w:style w:type="paragraph" w:styleId="TOC5">
    <w:name w:val="toc 5"/>
    <w:basedOn w:val="Normal"/>
    <w:next w:val="Normal"/>
    <w:autoRedefine/>
    <w:uiPriority w:val="39"/>
    <w:semiHidden/>
    <w:unhideWhenUsed/>
    <w:rsid w:val="000C2445"/>
    <w:pPr>
      <w:ind w:left="960"/>
    </w:pPr>
    <w:rPr>
      <w:rFonts w:asciiTheme="minorHAnsi" w:hAnsiTheme="minorHAnsi"/>
      <w:sz w:val="20"/>
      <w:szCs w:val="20"/>
    </w:rPr>
  </w:style>
  <w:style w:type="paragraph" w:styleId="TOC6">
    <w:name w:val="toc 6"/>
    <w:basedOn w:val="Normal"/>
    <w:next w:val="Normal"/>
    <w:autoRedefine/>
    <w:uiPriority w:val="39"/>
    <w:semiHidden/>
    <w:unhideWhenUsed/>
    <w:rsid w:val="000C2445"/>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0C2445"/>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0C2445"/>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0C2445"/>
    <w:pPr>
      <w:ind w:left="1920"/>
    </w:pPr>
    <w:rPr>
      <w:rFonts w:asciiTheme="minorHAnsi" w:hAnsiTheme="minorHAnsi"/>
      <w:sz w:val="20"/>
      <w:szCs w:val="20"/>
    </w:rPr>
  </w:style>
  <w:style w:type="paragraph" w:styleId="BalloonText">
    <w:name w:val="Balloon Text"/>
    <w:basedOn w:val="Normal"/>
    <w:link w:val="BalloonTextChar"/>
    <w:uiPriority w:val="99"/>
    <w:semiHidden/>
    <w:unhideWhenUsed/>
    <w:rsid w:val="00937720"/>
    <w:rPr>
      <w:sz w:val="18"/>
      <w:szCs w:val="18"/>
    </w:rPr>
  </w:style>
  <w:style w:type="character" w:customStyle="1" w:styleId="BalloonTextChar">
    <w:name w:val="Balloon Text Char"/>
    <w:basedOn w:val="DefaultParagraphFont"/>
    <w:link w:val="BalloonText"/>
    <w:uiPriority w:val="99"/>
    <w:semiHidden/>
    <w:rsid w:val="0093772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482540">
      <w:bodyDiv w:val="1"/>
      <w:marLeft w:val="0"/>
      <w:marRight w:val="0"/>
      <w:marTop w:val="0"/>
      <w:marBottom w:val="0"/>
      <w:divBdr>
        <w:top w:val="none" w:sz="0" w:space="0" w:color="auto"/>
        <w:left w:val="none" w:sz="0" w:space="0" w:color="auto"/>
        <w:bottom w:val="none" w:sz="0" w:space="0" w:color="auto"/>
        <w:right w:val="none" w:sz="0" w:space="0" w:color="auto"/>
      </w:divBdr>
    </w:div>
    <w:div w:id="524757398">
      <w:bodyDiv w:val="1"/>
      <w:marLeft w:val="0"/>
      <w:marRight w:val="0"/>
      <w:marTop w:val="0"/>
      <w:marBottom w:val="0"/>
      <w:divBdr>
        <w:top w:val="none" w:sz="0" w:space="0" w:color="auto"/>
        <w:left w:val="none" w:sz="0" w:space="0" w:color="auto"/>
        <w:bottom w:val="none" w:sz="0" w:space="0" w:color="auto"/>
        <w:right w:val="none" w:sz="0" w:space="0" w:color="auto"/>
      </w:divBdr>
    </w:div>
    <w:div w:id="663163244">
      <w:bodyDiv w:val="1"/>
      <w:marLeft w:val="0"/>
      <w:marRight w:val="0"/>
      <w:marTop w:val="0"/>
      <w:marBottom w:val="0"/>
      <w:divBdr>
        <w:top w:val="none" w:sz="0" w:space="0" w:color="auto"/>
        <w:left w:val="none" w:sz="0" w:space="0" w:color="auto"/>
        <w:bottom w:val="none" w:sz="0" w:space="0" w:color="auto"/>
        <w:right w:val="none" w:sz="0" w:space="0" w:color="auto"/>
      </w:divBdr>
    </w:div>
    <w:div w:id="1050149637">
      <w:bodyDiv w:val="1"/>
      <w:marLeft w:val="0"/>
      <w:marRight w:val="0"/>
      <w:marTop w:val="0"/>
      <w:marBottom w:val="0"/>
      <w:divBdr>
        <w:top w:val="none" w:sz="0" w:space="0" w:color="auto"/>
        <w:left w:val="none" w:sz="0" w:space="0" w:color="auto"/>
        <w:bottom w:val="none" w:sz="0" w:space="0" w:color="auto"/>
        <w:right w:val="none" w:sz="0" w:space="0" w:color="auto"/>
      </w:divBdr>
    </w:div>
    <w:div w:id="161501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k219@cam.ac.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FEDDC467086B439050AD5D1397FBF2" ma:contentTypeVersion="13" ma:contentTypeDescription="Crée un document." ma:contentTypeScope="" ma:versionID="55e799a497eee1490b7654e11d5ad47f">
  <xsd:schema xmlns:xsd="http://www.w3.org/2001/XMLSchema" xmlns:xs="http://www.w3.org/2001/XMLSchema" xmlns:p="http://schemas.microsoft.com/office/2006/metadata/properties" xmlns:ns3="dc08034b-8ea7-4713-9c20-66d840047559" xmlns:ns4="98ffaba2-cfb2-4c23-bcb7-4c5682c2535a" targetNamespace="http://schemas.microsoft.com/office/2006/metadata/properties" ma:root="true" ma:fieldsID="bbcbe69d6a37b0346693c4205ca589e2" ns3:_="" ns4:_="">
    <xsd:import namespace="dc08034b-8ea7-4713-9c20-66d840047559"/>
    <xsd:import namespace="98ffaba2-cfb2-4c23-bcb7-4c5682c2535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8034b-8ea7-4713-9c20-66d840047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ffaba2-cfb2-4c23-bcb7-4c5682c2535a"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SharingHintHash" ma:index="16"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EA5452F-DF98-45FB-BE91-4FAABC9A8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8034b-8ea7-4713-9c20-66d840047559"/>
    <ds:schemaRef ds:uri="98ffaba2-cfb2-4c23-bcb7-4c5682c25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8F066E-F5D6-43CF-A667-9227C1AEC3DB}">
  <ds:schemaRefs>
    <ds:schemaRef ds:uri="http://schemas.microsoft.com/sharepoint/v3/contenttype/forms"/>
  </ds:schemaRefs>
</ds:datastoreItem>
</file>

<file path=customXml/itemProps3.xml><?xml version="1.0" encoding="utf-8"?>
<ds:datastoreItem xmlns:ds="http://schemas.openxmlformats.org/officeDocument/2006/customXml" ds:itemID="{EC4B5261-A752-46EE-B60C-E8AB7BC241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3D6389-584D-4950-A1A3-C1F19243C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4673</Words>
  <Characters>26641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benedict probst</dc:creator>
  <cp:keywords/>
  <dc:description/>
  <cp:lastModifiedBy>Andreas Kontoleon</cp:lastModifiedBy>
  <cp:revision>4</cp:revision>
  <dcterms:created xsi:type="dcterms:W3CDTF">2020-03-12T03:08:00Z</dcterms:created>
  <dcterms:modified xsi:type="dcterms:W3CDTF">2020-03-15T20:42:00Z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d8c96738-57eb-3850-8bb6-5d7480fd9446</vt:lpwstr>
  </property>
  <property fmtid="{D5CDD505-2E9C-101B-9397-08002B2CF9AE}" pid="24" name="Mendeley Citation Style_1">
    <vt:lpwstr>http://www.zotero.org/styles/nature</vt:lpwstr>
  </property>
  <property fmtid="{D5CDD505-2E9C-101B-9397-08002B2CF9AE}" pid="25" name="ContentTypeId">
    <vt:lpwstr>0x01010006FEDDC467086B439050AD5D1397FBF2</vt:lpwstr>
  </property>
</Properties>
</file>