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20C8B5" w14:textId="4D85F057" w:rsidR="001D46BE" w:rsidRDefault="00170E3E" w:rsidP="002A6AD7">
      <w:pPr>
        <w:spacing w:line="360" w:lineRule="auto"/>
        <w:jc w:val="center"/>
        <w:rPr>
          <w:b/>
          <w:sz w:val="24"/>
        </w:rPr>
      </w:pPr>
      <w:r>
        <w:rPr>
          <w:b/>
          <w:sz w:val="24"/>
        </w:rPr>
        <w:t xml:space="preserve">Extent of N-terminus exposure </w:t>
      </w:r>
      <w:r w:rsidR="00D11A24">
        <w:rPr>
          <w:b/>
          <w:sz w:val="24"/>
        </w:rPr>
        <w:t>of</w:t>
      </w:r>
      <w:r w:rsidR="003768C0" w:rsidRPr="002A6AD7">
        <w:rPr>
          <w:b/>
          <w:sz w:val="24"/>
        </w:rPr>
        <w:t xml:space="preserve"> monomeric </w:t>
      </w:r>
      <w:r w:rsidR="00D11A24">
        <w:rPr>
          <w:b/>
          <w:sz w:val="24"/>
        </w:rPr>
        <w:t>alpha</w:t>
      </w:r>
      <w:r w:rsidR="006D163A">
        <w:rPr>
          <w:b/>
          <w:sz w:val="24"/>
        </w:rPr>
        <w:t>-</w:t>
      </w:r>
      <w:r w:rsidR="00D11A24">
        <w:rPr>
          <w:b/>
          <w:sz w:val="24"/>
        </w:rPr>
        <w:t>synuclein</w:t>
      </w:r>
      <w:r w:rsidR="00D11A24" w:rsidRPr="002A6AD7">
        <w:rPr>
          <w:b/>
          <w:sz w:val="24"/>
        </w:rPr>
        <w:t xml:space="preserve"> </w:t>
      </w:r>
      <w:r>
        <w:rPr>
          <w:b/>
          <w:sz w:val="24"/>
        </w:rPr>
        <w:t xml:space="preserve">determines </w:t>
      </w:r>
      <w:r w:rsidR="00081383">
        <w:rPr>
          <w:b/>
          <w:sz w:val="24"/>
        </w:rPr>
        <w:t xml:space="preserve">its </w:t>
      </w:r>
      <w:r>
        <w:rPr>
          <w:b/>
          <w:sz w:val="24"/>
        </w:rPr>
        <w:t>aggregation propensity</w:t>
      </w:r>
    </w:p>
    <w:p w14:paraId="6A492F96" w14:textId="6A1CCCE0" w:rsidR="00EE2469" w:rsidRDefault="00EE2469" w:rsidP="00E976B1">
      <w:pPr>
        <w:spacing w:line="240" w:lineRule="auto"/>
        <w:rPr>
          <w:b/>
          <w:sz w:val="24"/>
        </w:rPr>
      </w:pPr>
    </w:p>
    <w:p w14:paraId="5516F0D9" w14:textId="509B7D4C" w:rsidR="00635120" w:rsidRDefault="00635120" w:rsidP="00926B16">
      <w:pPr>
        <w:spacing w:line="360" w:lineRule="auto"/>
        <w:rPr>
          <w:rFonts w:cstheme="minorHAnsi"/>
          <w:sz w:val="24"/>
          <w:vertAlign w:val="superscript"/>
        </w:rPr>
      </w:pPr>
      <w:r>
        <w:rPr>
          <w:sz w:val="24"/>
        </w:rPr>
        <w:t>Amberley D. Stephens</w:t>
      </w:r>
      <w:r w:rsidRPr="00EE2469">
        <w:rPr>
          <w:sz w:val="24"/>
          <w:vertAlign w:val="superscript"/>
        </w:rPr>
        <w:t>1*</w:t>
      </w:r>
      <w:r>
        <w:rPr>
          <w:sz w:val="24"/>
        </w:rPr>
        <w:t>, Maria Zacharopoulou</w:t>
      </w:r>
      <w:r w:rsidRPr="00EE2469">
        <w:rPr>
          <w:sz w:val="24"/>
          <w:vertAlign w:val="superscript"/>
        </w:rPr>
        <w:t>1*</w:t>
      </w:r>
      <w:r>
        <w:rPr>
          <w:sz w:val="24"/>
        </w:rPr>
        <w:t>, Rani Moons</w:t>
      </w:r>
      <w:r w:rsidRPr="00EE2469">
        <w:rPr>
          <w:sz w:val="24"/>
          <w:vertAlign w:val="superscript"/>
        </w:rPr>
        <w:t>2</w:t>
      </w:r>
      <w:r>
        <w:rPr>
          <w:sz w:val="24"/>
        </w:rPr>
        <w:t>, Giuliana Fusco</w:t>
      </w:r>
      <w:r w:rsidRPr="00EE2469">
        <w:rPr>
          <w:sz w:val="24"/>
          <w:vertAlign w:val="superscript"/>
        </w:rPr>
        <w:t>3</w:t>
      </w:r>
      <w:r>
        <w:rPr>
          <w:sz w:val="24"/>
        </w:rPr>
        <w:t xml:space="preserve">, </w:t>
      </w:r>
      <w:proofErr w:type="spellStart"/>
      <w:r>
        <w:rPr>
          <w:sz w:val="24"/>
        </w:rPr>
        <w:t>Neeleema</w:t>
      </w:r>
      <w:proofErr w:type="spellEnd"/>
      <w:r>
        <w:rPr>
          <w:sz w:val="24"/>
        </w:rPr>
        <w:t xml:space="preserve"> Seetaloo</w:t>
      </w:r>
      <w:r w:rsidRPr="00EE2469">
        <w:rPr>
          <w:sz w:val="24"/>
          <w:vertAlign w:val="superscript"/>
        </w:rPr>
        <w:t>4</w:t>
      </w:r>
      <w:r w:rsidR="004D7CAE">
        <w:rPr>
          <w:sz w:val="24"/>
        </w:rPr>
        <w:t xml:space="preserve">, </w:t>
      </w:r>
      <w:proofErr w:type="spellStart"/>
      <w:r w:rsidR="004D7CAE">
        <w:rPr>
          <w:sz w:val="24"/>
        </w:rPr>
        <w:t>An</w:t>
      </w:r>
      <w:r>
        <w:rPr>
          <w:sz w:val="24"/>
        </w:rPr>
        <w:t>as</w:t>
      </w:r>
      <w:r w:rsidR="004D7CAE">
        <w:rPr>
          <w:sz w:val="24"/>
        </w:rPr>
        <w:t>s</w:t>
      </w:r>
      <w:proofErr w:type="spellEnd"/>
      <w:r>
        <w:rPr>
          <w:sz w:val="24"/>
        </w:rPr>
        <w:t xml:space="preserve"> Chiki</w:t>
      </w:r>
      <w:r w:rsidRPr="00EE2469">
        <w:rPr>
          <w:sz w:val="24"/>
          <w:vertAlign w:val="superscript"/>
        </w:rPr>
        <w:t>5</w:t>
      </w:r>
      <w:r>
        <w:rPr>
          <w:sz w:val="24"/>
        </w:rPr>
        <w:t xml:space="preserve">, Philippa J. </w:t>
      </w:r>
      <w:r w:rsidR="0095510F">
        <w:rPr>
          <w:sz w:val="24"/>
        </w:rPr>
        <w:t>Woodhams</w:t>
      </w:r>
      <w:r w:rsidRPr="00EE2469">
        <w:rPr>
          <w:sz w:val="24"/>
          <w:vertAlign w:val="superscript"/>
        </w:rPr>
        <w:t>1</w:t>
      </w:r>
      <w:r>
        <w:rPr>
          <w:sz w:val="24"/>
        </w:rPr>
        <w:t xml:space="preserve">, </w:t>
      </w:r>
      <w:proofErr w:type="spellStart"/>
      <w:r>
        <w:rPr>
          <w:sz w:val="24"/>
        </w:rPr>
        <w:t>Ioanna</w:t>
      </w:r>
      <w:proofErr w:type="spellEnd"/>
      <w:r>
        <w:rPr>
          <w:sz w:val="24"/>
        </w:rPr>
        <w:t xml:space="preserve"> Mela</w:t>
      </w:r>
      <w:r w:rsidRPr="00EE2469">
        <w:rPr>
          <w:sz w:val="24"/>
          <w:vertAlign w:val="superscript"/>
        </w:rPr>
        <w:t>1</w:t>
      </w:r>
      <w:r>
        <w:rPr>
          <w:sz w:val="24"/>
        </w:rPr>
        <w:t xml:space="preserve">, </w:t>
      </w:r>
      <w:proofErr w:type="spellStart"/>
      <w:r>
        <w:rPr>
          <w:sz w:val="24"/>
        </w:rPr>
        <w:t>Hilal</w:t>
      </w:r>
      <w:proofErr w:type="spellEnd"/>
      <w:r>
        <w:rPr>
          <w:sz w:val="24"/>
        </w:rPr>
        <w:t xml:space="preserve"> A. Lashuel</w:t>
      </w:r>
      <w:r w:rsidRPr="00EE2469">
        <w:rPr>
          <w:sz w:val="24"/>
          <w:vertAlign w:val="superscript"/>
        </w:rPr>
        <w:t>5</w:t>
      </w:r>
      <w:r>
        <w:rPr>
          <w:sz w:val="24"/>
        </w:rPr>
        <w:t xml:space="preserve">, Jonathan J </w:t>
      </w:r>
      <w:r w:rsidRPr="00EE2469">
        <w:rPr>
          <w:sz w:val="24"/>
        </w:rPr>
        <w:t>Phillips</w:t>
      </w:r>
      <w:r w:rsidRPr="00EE2469">
        <w:rPr>
          <w:sz w:val="24"/>
          <w:vertAlign w:val="superscript"/>
        </w:rPr>
        <w:t>4</w:t>
      </w:r>
      <w:r w:rsidRPr="00EE2469">
        <w:rPr>
          <w:sz w:val="24"/>
        </w:rPr>
        <w:t xml:space="preserve">, Alfonso </w:t>
      </w:r>
      <w:r w:rsidR="00926B16">
        <w:rPr>
          <w:sz w:val="24"/>
        </w:rPr>
        <w:t>D</w:t>
      </w:r>
      <w:r w:rsidRPr="00EE2469">
        <w:rPr>
          <w:sz w:val="24"/>
        </w:rPr>
        <w:t>e Simone</w:t>
      </w:r>
      <w:r w:rsidR="00EE2469" w:rsidRPr="00EE2469">
        <w:rPr>
          <w:sz w:val="24"/>
          <w:vertAlign w:val="superscript"/>
        </w:rPr>
        <w:t>6</w:t>
      </w:r>
      <w:r w:rsidRPr="00EE2469">
        <w:rPr>
          <w:sz w:val="24"/>
        </w:rPr>
        <w:t>, Frank Sobott</w:t>
      </w:r>
      <w:r w:rsidR="00EE2469" w:rsidRPr="00EE2469">
        <w:rPr>
          <w:sz w:val="24"/>
          <w:vertAlign w:val="superscript"/>
        </w:rPr>
        <w:t>2,7</w:t>
      </w:r>
      <w:r w:rsidRPr="00EE2469">
        <w:rPr>
          <w:sz w:val="24"/>
        </w:rPr>
        <w:t>, Gabriele S. Kaminski Schierle</w:t>
      </w:r>
      <w:r w:rsidRPr="00EE2469">
        <w:rPr>
          <w:sz w:val="24"/>
          <w:vertAlign w:val="superscript"/>
        </w:rPr>
        <w:t>1</w:t>
      </w:r>
      <w:r w:rsidR="00E976B1">
        <w:rPr>
          <w:rFonts w:cstheme="minorHAnsi"/>
          <w:sz w:val="24"/>
          <w:vertAlign w:val="superscript"/>
        </w:rPr>
        <w:t>#</w:t>
      </w:r>
    </w:p>
    <w:p w14:paraId="56AC009F" w14:textId="77777777" w:rsidR="00E976B1" w:rsidRPr="00EE2469" w:rsidRDefault="00E976B1" w:rsidP="00926B16">
      <w:pPr>
        <w:spacing w:line="240" w:lineRule="auto"/>
        <w:rPr>
          <w:sz w:val="24"/>
        </w:rPr>
      </w:pPr>
    </w:p>
    <w:p w14:paraId="4FB5A26A" w14:textId="5D2B9D86" w:rsidR="00635120" w:rsidRPr="00EE2469" w:rsidRDefault="00EE2469" w:rsidP="00D77476">
      <w:pPr>
        <w:pStyle w:val="NoSpacing"/>
        <w:spacing w:line="360" w:lineRule="auto"/>
        <w:jc w:val="both"/>
        <w:rPr>
          <w:sz w:val="20"/>
        </w:rPr>
      </w:pPr>
      <w:r w:rsidRPr="00EE2469">
        <w:rPr>
          <w:sz w:val="20"/>
          <w:vertAlign w:val="superscript"/>
        </w:rPr>
        <w:t>1</w:t>
      </w:r>
      <w:r w:rsidR="00635120" w:rsidRPr="00EE2469">
        <w:rPr>
          <w:sz w:val="20"/>
        </w:rPr>
        <w:t>Department of Chemical Engineering and Biotechnology, University of Cambridge, Philippa Fawcett Drive, Cambridge, UK</w:t>
      </w:r>
    </w:p>
    <w:p w14:paraId="51172F5F" w14:textId="1B3AFBF7" w:rsidR="00635120" w:rsidRPr="00EE2469" w:rsidRDefault="00EE2469" w:rsidP="00D77476">
      <w:pPr>
        <w:pStyle w:val="NoSpacing"/>
        <w:spacing w:line="360" w:lineRule="auto"/>
        <w:jc w:val="both"/>
        <w:rPr>
          <w:sz w:val="20"/>
        </w:rPr>
      </w:pPr>
      <w:r w:rsidRPr="00EE2469">
        <w:rPr>
          <w:sz w:val="20"/>
          <w:vertAlign w:val="superscript"/>
        </w:rPr>
        <w:t>2</w:t>
      </w:r>
      <w:r w:rsidR="00635120" w:rsidRPr="00EE2469">
        <w:rPr>
          <w:sz w:val="20"/>
        </w:rPr>
        <w:t>Department of Chemistry, University of Antwerp, Antwerp, Belgium</w:t>
      </w:r>
    </w:p>
    <w:p w14:paraId="3129A556" w14:textId="143433BF" w:rsidR="00635120" w:rsidRPr="00EE2469" w:rsidRDefault="00EE2469" w:rsidP="00D77476">
      <w:pPr>
        <w:pStyle w:val="NoSpacing"/>
        <w:spacing w:line="360" w:lineRule="auto"/>
        <w:jc w:val="both"/>
        <w:rPr>
          <w:sz w:val="20"/>
        </w:rPr>
      </w:pPr>
      <w:r w:rsidRPr="00EE2469">
        <w:rPr>
          <w:sz w:val="20"/>
          <w:vertAlign w:val="superscript"/>
        </w:rPr>
        <w:t>3</w:t>
      </w:r>
      <w:r w:rsidR="00635120" w:rsidRPr="00EE2469">
        <w:rPr>
          <w:sz w:val="20"/>
        </w:rPr>
        <w:t xml:space="preserve">Department of Chemistry, University of Cambridge, </w:t>
      </w:r>
      <w:proofErr w:type="spellStart"/>
      <w:r w:rsidR="00635120" w:rsidRPr="00EE2469">
        <w:rPr>
          <w:sz w:val="20"/>
        </w:rPr>
        <w:t>Lensfield</w:t>
      </w:r>
      <w:proofErr w:type="spellEnd"/>
      <w:r w:rsidR="00635120" w:rsidRPr="00EE2469">
        <w:rPr>
          <w:sz w:val="20"/>
        </w:rPr>
        <w:t xml:space="preserve"> Road, Cambridge, UK</w:t>
      </w:r>
    </w:p>
    <w:p w14:paraId="6FE7497F" w14:textId="458D3327" w:rsidR="00453CAC" w:rsidRPr="00EE2469" w:rsidRDefault="00EE2469" w:rsidP="00D77476">
      <w:pPr>
        <w:pStyle w:val="NoSpacing"/>
        <w:spacing w:line="360" w:lineRule="auto"/>
        <w:jc w:val="both"/>
        <w:rPr>
          <w:sz w:val="20"/>
        </w:rPr>
      </w:pPr>
      <w:r w:rsidRPr="00EE2469">
        <w:rPr>
          <w:sz w:val="20"/>
          <w:vertAlign w:val="superscript"/>
        </w:rPr>
        <w:t>4</w:t>
      </w:r>
      <w:r w:rsidR="00635120" w:rsidRPr="00EE2469">
        <w:rPr>
          <w:sz w:val="20"/>
        </w:rPr>
        <w:t>Living Systems Institute, University of Exeter, Stocker Road, Exeter, UK</w:t>
      </w:r>
    </w:p>
    <w:p w14:paraId="1689C39C" w14:textId="211C0F23" w:rsidR="00635120" w:rsidRPr="00EE2469" w:rsidRDefault="00EE2469" w:rsidP="00D77476">
      <w:pPr>
        <w:pStyle w:val="NoSpacing"/>
        <w:spacing w:line="360" w:lineRule="auto"/>
        <w:jc w:val="both"/>
        <w:rPr>
          <w:sz w:val="20"/>
        </w:rPr>
      </w:pPr>
      <w:r w:rsidRPr="00EE2469">
        <w:rPr>
          <w:sz w:val="20"/>
          <w:vertAlign w:val="superscript"/>
        </w:rPr>
        <w:t>5</w:t>
      </w:r>
      <w:r w:rsidR="00635120" w:rsidRPr="00EE2469">
        <w:rPr>
          <w:sz w:val="20"/>
        </w:rPr>
        <w:t xml:space="preserve">Laboratory of Molecular and Chemical Biology of Neurodegeneration, Brain Mind Institute, School of Life Sciences, Ecole Polytechnique </w:t>
      </w:r>
      <w:proofErr w:type="spellStart"/>
      <w:r w:rsidR="00635120" w:rsidRPr="00EE2469">
        <w:rPr>
          <w:sz w:val="20"/>
        </w:rPr>
        <w:t>Fédérale</w:t>
      </w:r>
      <w:proofErr w:type="spellEnd"/>
      <w:r w:rsidR="00635120" w:rsidRPr="00EE2469">
        <w:rPr>
          <w:sz w:val="20"/>
        </w:rPr>
        <w:t xml:space="preserve"> de Lausanne, CH</w:t>
      </w:r>
      <w:r w:rsidR="00635120" w:rsidRPr="00EE2469">
        <w:rPr>
          <w:rFonts w:ascii="Cambria Math" w:hAnsi="Cambria Math" w:cs="Cambria Math"/>
          <w:sz w:val="20"/>
        </w:rPr>
        <w:t>‑</w:t>
      </w:r>
      <w:r w:rsidR="00635120" w:rsidRPr="00EE2469">
        <w:rPr>
          <w:sz w:val="20"/>
        </w:rPr>
        <w:t>1015 Lausanne, Switzerland</w:t>
      </w:r>
    </w:p>
    <w:p w14:paraId="0960FA74" w14:textId="01D9F832" w:rsidR="00635120" w:rsidRPr="00EE2469" w:rsidRDefault="00EE2469" w:rsidP="00635120">
      <w:pPr>
        <w:pStyle w:val="NoSpacing"/>
        <w:spacing w:line="360" w:lineRule="auto"/>
        <w:jc w:val="both"/>
        <w:rPr>
          <w:sz w:val="20"/>
        </w:rPr>
      </w:pPr>
      <w:r w:rsidRPr="00EE2469">
        <w:rPr>
          <w:sz w:val="20"/>
          <w:vertAlign w:val="superscript"/>
        </w:rPr>
        <w:t>6</w:t>
      </w:r>
      <w:r w:rsidR="00635120" w:rsidRPr="00EE2469">
        <w:rPr>
          <w:sz w:val="20"/>
        </w:rPr>
        <w:t>Department of Life Sciences, Imperial College London, London, UK</w:t>
      </w:r>
    </w:p>
    <w:p w14:paraId="09C1EA56" w14:textId="77777777" w:rsidR="00E976B1" w:rsidRDefault="00EE2469" w:rsidP="00EE2469">
      <w:pPr>
        <w:pStyle w:val="NoSpacing"/>
        <w:spacing w:line="360" w:lineRule="auto"/>
        <w:jc w:val="both"/>
        <w:rPr>
          <w:sz w:val="20"/>
        </w:rPr>
      </w:pPr>
      <w:r w:rsidRPr="00EE2469">
        <w:rPr>
          <w:sz w:val="20"/>
          <w:vertAlign w:val="superscript"/>
        </w:rPr>
        <w:t>7</w:t>
      </w:r>
      <w:r w:rsidR="00525771" w:rsidRPr="0011728D">
        <w:rPr>
          <w:sz w:val="20"/>
        </w:rPr>
        <w:t>School of Molecular and Cellular Biology and The Astbury Centre for Structural Molecular Biology, University of Leeds, Woodhouse Lane, Leeds, UK</w:t>
      </w:r>
      <w:r w:rsidR="00525771" w:rsidRPr="00EE2469" w:rsidDel="00525771">
        <w:rPr>
          <w:sz w:val="20"/>
        </w:rPr>
        <w:t xml:space="preserve"> </w:t>
      </w:r>
    </w:p>
    <w:p w14:paraId="5DC40BAD" w14:textId="457A8EB7" w:rsidR="00635120" w:rsidRDefault="00EE2469" w:rsidP="00EE2469">
      <w:pPr>
        <w:pStyle w:val="NoSpacing"/>
        <w:spacing w:line="360" w:lineRule="auto"/>
        <w:jc w:val="both"/>
        <w:rPr>
          <w:sz w:val="20"/>
        </w:rPr>
      </w:pPr>
      <w:r w:rsidRPr="00EE2469">
        <w:rPr>
          <w:sz w:val="20"/>
          <w:vertAlign w:val="superscript"/>
        </w:rPr>
        <w:t>*</w:t>
      </w:r>
      <w:r w:rsidRPr="00EE2469">
        <w:rPr>
          <w:sz w:val="20"/>
        </w:rPr>
        <w:t>Contributed equally to this work</w:t>
      </w:r>
    </w:p>
    <w:p w14:paraId="372AE637" w14:textId="5DDEA941" w:rsidR="00EE2469" w:rsidRDefault="00E976B1" w:rsidP="00EE2469">
      <w:pPr>
        <w:pStyle w:val="NoSpacing"/>
        <w:spacing w:line="360" w:lineRule="auto"/>
        <w:jc w:val="both"/>
        <w:rPr>
          <w:sz w:val="20"/>
        </w:rPr>
      </w:pPr>
      <w:r w:rsidRPr="00E976B1">
        <w:rPr>
          <w:sz w:val="20"/>
          <w:vertAlign w:val="superscript"/>
        </w:rPr>
        <w:t>#</w:t>
      </w:r>
      <w:r>
        <w:rPr>
          <w:sz w:val="20"/>
        </w:rPr>
        <w:t xml:space="preserve">Corresponding author: </w:t>
      </w:r>
      <w:hyperlink r:id="rId8" w:history="1">
        <w:r w:rsidRPr="006E3F0F">
          <w:rPr>
            <w:rStyle w:val="Hyperlink"/>
            <w:sz w:val="20"/>
          </w:rPr>
          <w:t>gsk20@cam.ac.uk</w:t>
        </w:r>
      </w:hyperlink>
    </w:p>
    <w:p w14:paraId="2F3E1B17" w14:textId="77777777" w:rsidR="00E976B1" w:rsidRDefault="00E976B1" w:rsidP="00EE2469">
      <w:pPr>
        <w:pStyle w:val="NoSpacing"/>
        <w:spacing w:line="360" w:lineRule="auto"/>
        <w:jc w:val="both"/>
        <w:rPr>
          <w:sz w:val="20"/>
        </w:rPr>
      </w:pPr>
    </w:p>
    <w:p w14:paraId="3828B6E1" w14:textId="77777777" w:rsidR="005D335F" w:rsidRPr="009F251C" w:rsidRDefault="005D335F" w:rsidP="00D77476">
      <w:pPr>
        <w:pStyle w:val="NoSpacing"/>
        <w:spacing w:line="360" w:lineRule="auto"/>
        <w:jc w:val="both"/>
        <w:rPr>
          <w:b/>
        </w:rPr>
      </w:pPr>
      <w:r w:rsidRPr="009F251C">
        <w:rPr>
          <w:b/>
        </w:rPr>
        <w:t>Abstract</w:t>
      </w:r>
    </w:p>
    <w:p w14:paraId="462A6867" w14:textId="1F8F45EB" w:rsidR="00F40A43" w:rsidRDefault="0095510F" w:rsidP="00D77476">
      <w:pPr>
        <w:pStyle w:val="NoSpacing"/>
        <w:spacing w:line="360" w:lineRule="auto"/>
        <w:jc w:val="both"/>
      </w:pPr>
      <w:r w:rsidRPr="0095510F">
        <w:t>As an intrinsically disordered protein, monomeric alpha</w:t>
      </w:r>
      <w:r w:rsidR="006D163A">
        <w:t>-</w:t>
      </w:r>
      <w:r w:rsidRPr="0095510F">
        <w:t>synuclein (</w:t>
      </w:r>
      <w:proofErr w:type="spellStart"/>
      <w:r w:rsidRPr="0095510F">
        <w:t>aSyn</w:t>
      </w:r>
      <w:proofErr w:type="spellEnd"/>
      <w:r w:rsidRPr="0095510F">
        <w:t xml:space="preserve">) </w:t>
      </w:r>
      <w:r w:rsidR="00EC5900">
        <w:t>occupies a large conformational</w:t>
      </w:r>
      <w:r w:rsidRPr="0095510F">
        <w:t xml:space="preserve"> space. Certain conformations lead to aggregation prone and non-aggregation prone intermediates, but identifying these within the dynamic ensemble of monomeric conformations is difficult. Herein, we used the biologically relevant calcium ion to investigate the conformation of monomeric aSyn in relat</w:t>
      </w:r>
      <w:r w:rsidR="001A640B">
        <w:t>ion to its aggregation propensi</w:t>
      </w:r>
      <w:r w:rsidRPr="0095510F">
        <w:t xml:space="preserve">ty. We observe that the more exposed the N-terminus and the beginning of the NAC </w:t>
      </w:r>
      <w:r w:rsidR="001A640B">
        <w:t>region of aSyn are, the more ag</w:t>
      </w:r>
      <w:r w:rsidRPr="0095510F">
        <w:t xml:space="preserve">gregation prone monomeric aSyn conformations become. Solvent exposure of the N-terminus of aSyn occurs upon release of C-terminus interactions when calcium binds, but the level of exposure and </w:t>
      </w:r>
      <w:proofErr w:type="spellStart"/>
      <w:r w:rsidRPr="0095510F">
        <w:t>aSyn’s</w:t>
      </w:r>
      <w:proofErr w:type="spellEnd"/>
      <w:r w:rsidRPr="0095510F">
        <w:t xml:space="preserve"> aggregation propensity is sequence </w:t>
      </w:r>
      <w:r w:rsidR="00665238">
        <w:t xml:space="preserve">and post translational modification </w:t>
      </w:r>
      <w:r w:rsidRPr="0095510F">
        <w:t xml:space="preserve">dependent. </w:t>
      </w:r>
      <w:r w:rsidR="00373BC0">
        <w:t>Identifying</w:t>
      </w:r>
      <w:r w:rsidRPr="0095510F">
        <w:t xml:space="preserve"> aggregation prone conformations of mo</w:t>
      </w:r>
      <w:r w:rsidR="001A640B">
        <w:t>nomeric aSyn and the environmen</w:t>
      </w:r>
      <w:r w:rsidRPr="0095510F">
        <w:t>tal conditions they form under will allow us to design new therapeutics targeted to the monomeric protein</w:t>
      </w:r>
      <w:r w:rsidR="00373BC0">
        <w:t>.</w:t>
      </w:r>
    </w:p>
    <w:p w14:paraId="5498160F" w14:textId="77777777" w:rsidR="00EA0F6C" w:rsidRPr="005D335F" w:rsidRDefault="005D335F" w:rsidP="00D77476">
      <w:pPr>
        <w:pStyle w:val="NoSpacing"/>
        <w:spacing w:line="360" w:lineRule="auto"/>
        <w:jc w:val="both"/>
        <w:rPr>
          <w:b/>
        </w:rPr>
      </w:pPr>
      <w:r w:rsidRPr="005D335F">
        <w:rPr>
          <w:b/>
        </w:rPr>
        <w:t>Introduction</w:t>
      </w:r>
    </w:p>
    <w:p w14:paraId="4EBE1B01" w14:textId="20CB04FD" w:rsidR="0095510F" w:rsidRPr="001A640B" w:rsidRDefault="0095510F" w:rsidP="001A640B">
      <w:pPr>
        <w:pStyle w:val="TAMainText"/>
      </w:pPr>
      <w:r w:rsidRPr="001A640B">
        <w:lastRenderedPageBreak/>
        <w:t xml:space="preserve">In Parkinson’s disease (PD) and other </w:t>
      </w:r>
      <w:proofErr w:type="spellStart"/>
      <w:r w:rsidRPr="001A640B">
        <w:t>synucleinopathies</w:t>
      </w:r>
      <w:proofErr w:type="spellEnd"/>
      <w:r w:rsidRPr="001A640B">
        <w:t>, the monomeric protein alpha</w:t>
      </w:r>
      <w:r w:rsidR="006D163A">
        <w:t>-</w:t>
      </w:r>
      <w:r w:rsidRPr="001A640B">
        <w:t>synuclein (</w:t>
      </w:r>
      <w:proofErr w:type="spellStart"/>
      <w:r w:rsidRPr="001A640B">
        <w:t>aSyn</w:t>
      </w:r>
      <w:proofErr w:type="spellEnd"/>
      <w:r w:rsidRPr="001A640B">
        <w:t xml:space="preserve">) becomes destabilised, misfolds and aggregates into insoluble, highly structured and β-sheet containing fibrils which form part of Lewy bodies (LB) and Lewy neurites (LN) </w:t>
      </w:r>
      <w:r w:rsidRPr="001A640B">
        <w:fldChar w:fldCharType="begin" w:fldLock="1"/>
      </w:r>
      <w:r w:rsidR="00373BC0">
        <w:instrText>ADDIN CSL_CITATION {"citationItems":[{"id":"ITEM-1","itemData":{"DOI":"10.1038/s41593-019-0423-2","ISSN":"1097-6256","abstract":"Parkinson’s disease, the most common age-related movement disorder, is a progressive neurodegenerative disease with unclear etiology. Key neuropathological hallmarks are Lewy bodies and Lewy neurites: neuronal inclusions immunopositive for the protein α-synuclein. In-depth ultrastructural analysis of Lewy pathology is crucial to understanding pathogenesis of this disease. Using correlative light and electron microscopy and tomography on postmortem human brain tissue from Parkinson’s disease brain donors, we identified α-synuclein immunopositive Lewy pathology and show a crowded environment of membranes therein, including vesicular structures and dysmorphic organelles. Filaments interspersed between the membranes and organelles were identifiable in many but not all α-synuclein inclusions. Crowding of organellar components was confirmed by stimulated emission depletion (STED)-based super-resolution microscopy, and high lipid content within α-synuclein immunopositive inclusions was corroborated by confocal imaging, Fourier-transform coherent anti-Stokes Raman scattering infrared imaging and lipidomics. Applying such correlative high-resolution imaging and biophysical approaches, we discovered an aggregated protein–lipid compartmentalization not previously described in the Parkinsons’ disease brain.","author":[{"dropping-particle":"","family":"Shahmoradian","given":"Sarah H.","non-dropping-particle":"","parse-names":false,"suffix":""},{"dropping-particle":"","family":"Lewis","given":"Amanda J.","non-dropping-particle":"","parse-names":false,"suffix":""},{"dropping-particle":"","family":"Genoud","given":"Christel","non-dropping-particle":"","parse-names":false,"suffix":""},{"dropping-particle":"","family":"Hench","given":"Jürgen","non-dropping-particle":"","parse-names":false,"suffix":""},{"dropping-particle":"","family":"Moors","given":"Tim E.","non-dropping-particle":"","parse-names":false,"suffix":""},{"dropping-particle":"","family":"Navarro","given":"Paula P.","non-dropping-particle":"","parse-names":false,"suffix":""},{"dropping-particle":"","family":"Castaño-Díez","given":"Daniel","non-dropping-particle":"","parse-names":false,"suffix":""},{"dropping-particle":"","family":"Schweighauser","given":"Gabriel","non-dropping-particle":"","parse-names":false,"suffix":""},{"dropping-particle":"","family":"Graff-Meyer","given":"Alexandra","non-dropping-particle":"","parse-names":false,"suffix":""},{"dropping-particle":"","family":"Goldie","given":"Kenneth N.","non-dropping-particle":"","parse-names":false,"suffix":""},{"dropping-particle":"","family":"Sütterlin","given":"Rosmarie","non-dropping-particle":"","parse-names":false,"suffix":""},{"dropping-particle":"","family":"Huisman","given":"Evelien","non-dropping-particle":"","parse-names":false,"suffix":""},{"dropping-particle":"","family":"Ingrassia","given":"Angela","non-dropping-particle":"","parse-names":false,"suffix":""},{"dropping-particle":"de","family":"Gier","given":"Yvonne","non-dropping-particle":"","parse-names":false,"suffix":""},{"dropping-particle":"","family":"Rozemuller","given":"Annemieke J. M.","non-dropping-particle":"","parse-names":false,"suffix":""},{"dropping-particle":"","family":"Wang","given":"Jing","non-dropping-particle":"","parse-names":false,"suffix":""},{"dropping-particle":"De","family":"Paepe","given":"Anne","non-dropping-particle":"","parse-names":false,"suffix":""},{"dropping-particle":"","family":"Erny","given":"Johannes","non-dropping-particle":"","parse-names":false,"suffix":""},{"dropping-particle":"","family":"Staempfli","given":"Andreas","non-dropping-particle":"","parse-names":false,"suffix":""},{"dropping-particle":"","family":"Hoernschemeyer","given":"Joerg","non-dropping-particle":"","parse-names":false,"suffix":""},{"dropping-particle":"","family":"Großerüschkamp","given":"Frederik","non-dropping-particle":"","parse-names":false,"suffix":""},{"dropping-particle":"","family":"Niedieker","given":"Daniel","non-dropping-particle":"","parse-names":false,"suffix":""},{"dropping-particle":"","family":"El-Mashtoly","given":"Samir F.","non-dropping-particle":"","parse-names":false,"suffix":""},{"dropping-particle":"","family":"Quadri","given":"Marialuisa","non-dropping-particle":"","parse-names":false,"suffix":""},{"dropping-particle":"","family":"IJcken","given":"Wilfred F. J.","non-dropping-particle":"Van","parse-names":false,"suffix":""},{"dropping-particle":"","family":"Bonifati","given":"Vincenzo","non-dropping-particle":"","parse-names":false,"suffix":""},{"dropping-particle":"","family":"Gerwert","given":"Klaus","non-dropping-particle":"","parse-names":false,"suffix":""},{"dropping-particle":"","family":"Bohrmann","given":"Bernd","non-dropping-particle":"","parse-names":false,"suffix":""},{"dropping-particle":"","family":"Frank","given":"Stephan","non-dropping-particle":"","parse-names":false,"suffix":""},{"dropping-particle":"","family":"Britschgi","given":"Markus","non-dropping-particle":"","parse-names":false,"suffix":""},{"dropping-particle":"","family":"Stahlberg","given":"Henning","non-dropping-particle":"","parse-names":false,"suffix":""},{"dropping-particle":"","family":"Berg","given":"Wilma D. J.","non-dropping-particle":"Van de","parse-names":false,"suffix":""},{"dropping-particle":"","family":"Lauer","given":"Matthias E.","non-dropping-particle":"","parse-names":false,"suffix":""}],"container-title":"Nature Neuroscience","id":"ITEM-1","issue":"7","issued":{"date-parts":[["2019","7","24"]]},"page":"1099-1109","publisher":"Nature Publishing Group","title":"Lewy pathology in Parkinson’s disease consists of crowded organelles and lipid membranes","type":"article-journal","volume":"22"},"uris":["http://www.mendeley.com/documents/?uuid=2c3a9a9f-3607-355b-b236-e00dc58db3c3"]},{"id":"ITEM-2","itemData":{"DOI":"10.1073/pnas.1913904117","ISSN":"1091-6490","PMID":"32075919","abstract":"Parkinson's disease (PD) is characterized by the accumulation of misfolded and aggregated α-synuclein (α-syn) into intraneuronal inclusions named Lewy bodies (LBs). Although it is widely believed that α-syn plays a central role in the pathogenesis of PD, the processes that govern α-syn fibrillization and LB formation remain poorly understood. In this work, we sought to dissect the spatiotemporal events involved in the biogenesis of the LBs at the genetic, molecular, biochemical, structural, and cellular levels. Toward this goal, we further developed a seeding-based model of α-syn fibrillization to generate a neuronal model that reproduces the key events leading to LB formation, including seeding, fibrillization, and the formation of inclusions that recapitulate many of the biochemical, structural, and organizational features of bona fide LBs. Using an integrative omics, biochemical and imaging approach, we dissected the molecular events associated with the different stages of LB formation and their contribution to neuronal dysfunction and degeneration. In addition, we demonstrate that LB formation involves a complex interplay between α-syn fibrillization, posttranslational modifications, and interactions between α-syn aggregates and membranous organelles, including mitochondria, the autophagosome, and endolysosome. Finally, we show that the process of LB formation, rather than simply fibril formation, is one of the major drivers of neurodegeneration through disruption of cellular functions and inducing mitochondria damage and deficits, and synaptic dysfunctions. We believe that this model represents a powerful platform to further investigate the mechanisms of LB formation and clearance and to screen and evaluate therapeutics targeting α-syn aggregation and LB formation.","author":[{"dropping-particle":"","family":"Mahul-Mellier","given":"Anne-Laure","non-dropping-particle":"","parse-names":false,"suffix":""},{"dropping-particle":"","family":"Burtscher","given":"Johannes","non-dropping-particle":"","parse-names":false,"suffix":""},{"dropping-particle":"","family":"Maharjan","given":"Niran","non-dropping-particle":"","parse-names":false,"suffix":""},{"dropping-particle":"","family":"Weerens","given":"Laura","non-dropping-particle":"","parse-names":false,"suffix":""},{"dropping-particle":"","family":"Croisier","given":"Marie","non-dropping-particle":"","parse-names":false,"suffix":""},{"dropping-particle":"","family":"Kuttler","given":"Fabien","non-dropping-particle":"","parse-names":false,"suffix":""},{"dropping-particle":"","family":"Leleu","given":"Marion","non-dropping-particle":"","parse-names":false,"suffix":""},{"dropping-particle":"","family":"Knott","given":"Graham W","non-dropping-particle":"","parse-names":false,"suffix":""},{"dropping-particle":"","family":"Lashuel","given":"Hilal A","non-dropping-particle":"","parse-names":false,"suffix":""}],"container-title":"Proceedings of the National Academy of Sciences of the United States of America","id":"ITEM-2","issue":"9","issued":{"date-parts":[["2020","2","19"]]},"page":"4971-4982","publisher":"National Academy of Sciences","title":"The process of Lewy body formation, rather than simply α-synuclein fibrillization, is one of the major drivers of neurodegeneration.","type":"article-journal","volume":"117"},"uris":["http://www.mendeley.com/documents/?uuid=badcba9c-1f1f-3d68-9625-dc44632cb2e2"]}],"mendeley":{"formattedCitation":"&lt;sup&gt;1,2&lt;/sup&gt;","plainTextFormattedCitation":"1,2","previouslyFormattedCitation":"&lt;sup&gt;1,2&lt;/sup&gt;"},"properties":{"noteIndex":0},"schema":"https://github.com/citation-style-language/schema/raw/master/csl-citation.json"}</w:instrText>
      </w:r>
      <w:r w:rsidRPr="001A640B">
        <w:fldChar w:fldCharType="separate"/>
      </w:r>
      <w:r w:rsidRPr="001A640B">
        <w:rPr>
          <w:noProof/>
          <w:vertAlign w:val="superscript"/>
        </w:rPr>
        <w:t>1,2</w:t>
      </w:r>
      <w:r w:rsidRPr="001A640B">
        <w:fldChar w:fldCharType="end"/>
      </w:r>
      <w:r w:rsidRPr="001A640B">
        <w:t>. In its monomeric form,</w:t>
      </w:r>
      <w:r w:rsidR="006D163A">
        <w:t xml:space="preserve"> the </w:t>
      </w:r>
      <w:r w:rsidR="006D163A">
        <w:rPr>
          <w:szCs w:val="19"/>
        </w:rPr>
        <w:t xml:space="preserve">14.46 </w:t>
      </w:r>
      <w:proofErr w:type="spellStart"/>
      <w:r w:rsidR="006D163A">
        <w:rPr>
          <w:szCs w:val="19"/>
        </w:rPr>
        <w:t>kDa</w:t>
      </w:r>
      <w:proofErr w:type="spellEnd"/>
      <w:r w:rsidRPr="001A640B">
        <w:t xml:space="preserve"> </w:t>
      </w:r>
      <w:proofErr w:type="spellStart"/>
      <w:r w:rsidRPr="001A640B">
        <w:t>aSyn</w:t>
      </w:r>
      <w:proofErr w:type="spellEnd"/>
      <w:r w:rsidR="006D163A">
        <w:t xml:space="preserve"> </w:t>
      </w:r>
      <w:r w:rsidRPr="001A640B">
        <w:t xml:space="preserve">is a soluble, intrinsically disordered protein (IDP) that is highly flexible and thereby enables plasticity in its function. In particular, it has been proposed that aSyn plays a role in synaptic vesicle recycling and homeostasis in neurons </w:t>
      </w:r>
      <w:r w:rsidRPr="001A640B">
        <w:fldChar w:fldCharType="begin" w:fldLock="1"/>
      </w:r>
      <w:r w:rsidR="00805857">
        <w:instrText>ADDIN CSL_CITATION {"citationItems":[{"id":"ITEM-1","itemData":{"DOI":"10.1016/j.tcb.2017.02.002","ISSN":"18793088","PMID":"28259601","abstract":"α-Synuclein is known as a presynaptic protein that binds to small synaptic vesicles. Recent studies suggest that α-synuclein is not only attracted to these tiny and therewith highly curved membranes, but that in fact the sensing and regulation of membrane curvature is part of its physiological function. Moreover, recent studies have suggested that α-synuclein plays a role in the endocytosis of synaptic vesicles, and have provided support for a function of α-synuclein during exo- and endocytosis in which curvature sensing and membrane stabilization are crucial steps. This review aims to highlight recent research in the field and adds a new picture on the function of α-synuclein in maintaining synaptic homeostasis upon intense and repetitive neuronal activity. Membrane remodeling processes are crucial steps for the exo- and endocytosis of synaptic vesicles. From structure–function relationships, α-synuclein has been proposed to be a curvature sensing and regulating protein, thus proposing a role in mechanisms of exo- and endocytosis. A function in exocytosis has been suggested (i) via mediating SNARE-complex assembly, (ii) curvature stabilization, thus preventing premature fusion of vesicles, and (iii) in tethering of synaptic vesicles via lipid binding of α-synuclein with both its N- and a more C-terminal region. Latest studies indicate a function of α-synuclein in synaptic vesicle endocytosis. (i) A possible function in clathrin-mediated endocytosis has been proposed, but a function also seems likely in (ii) fast endocytotic pathways such as kiss-and-run, or in (iii) the recently discovered ultrafast endocytosis process.","author":[{"dropping-particle":"","family":"Lautenschläger","given":"Janin","non-dropping-particle":"","parse-names":false,"suffix":""},{"dropping-particle":"","family":"Kaminski","given":"Clemens F.","non-dropping-particle":"","parse-names":false,"suffix":""},{"dropping-particle":"","family":"Kaminski Schierle","given":"Gabriele S.","non-dropping-particle":"","parse-names":false,"suffix":""}],"container-title":"Trends in Cell Biology","id":"ITEM-1","issue":"7","issued":{"date-parts":[["2017"]]},"page":"468-479","title":"α-Synuclein – Regulator of Exocytosis, Endocytosis, or Both?","type":"article-journal","volume":"27"},"uris":["http://www.mendeley.com/documents/?uuid=bd403009-a808-3014-8554-50f25dafd790"]},{"id":"ITEM-2","itemData":{"DOI":"10.1038/nn.4529","ISSN":"15461726","abstract":"The authors used knockout mice to demonstrate the normal function of the protein α-synuclein, which has a central role in Parkinson's and other neurodegenerative diseases. The presynaptic protein promoted dilation of the exocytotic fusion pore, and mutations that cause Parkinson's disease specifically impaired this normal function.","author":[{"dropping-particle":"","family":"Logan","given":"Todd","non-dropping-particle":"","parse-names":false,"suffix":""},{"dropping-particle":"","family":"Bendor","given":"Jacob","non-dropping-particle":"","parse-names":false,"suffix":""},{"dropping-particle":"","family":"Toupin","given":"Chantal","non-dropping-particle":"","parse-names":false,"suffix":""},{"dropping-particle":"","family":"Thorn","given":"Kurt","non-dropping-particle":"","parse-names":false,"suffix":""},{"dropping-particle":"","family":"Edwards","given":"Robert H.","non-dropping-particle":"","parse-names":false,"suffix":""}],"container-title":"Nature Neuroscience","id":"ITEM-2","issue":"5","issued":{"date-parts":[["2017"]]},"page":"681-689","title":"α-Synuclein promotes dilation of the exocytotic fusion pore","type":"article-journal","volume":"20"},"uris":["http://www.mendeley.com/documents/?uuid=2f323c4b-3536-4916-a97e-bed3a498b4da","http://www.mendeley.com/documents/?uuid=cfb09ade-8e4e-4480-906c-13c83e31e7cf"]}],"mendeley":{"formattedCitation":"&lt;sup&gt;3,4&lt;/sup&gt;","plainTextFormattedCitation":"3,4","previouslyFormattedCitation":"&lt;sup&gt;3,4&lt;/sup&gt;"},"properties":{"noteIndex":0},"schema":"https://github.com/citation-style-language/schema/raw/master/csl-citation.json"}</w:instrText>
      </w:r>
      <w:r w:rsidRPr="001A640B">
        <w:fldChar w:fldCharType="separate"/>
      </w:r>
      <w:r w:rsidRPr="001A640B">
        <w:rPr>
          <w:noProof/>
          <w:vertAlign w:val="superscript"/>
        </w:rPr>
        <w:t>3,4</w:t>
      </w:r>
      <w:r w:rsidRPr="001A640B">
        <w:fldChar w:fldCharType="end"/>
      </w:r>
      <w:r w:rsidRPr="001A640B">
        <w:t xml:space="preserve">. Transient and dynamic electrostatic and hydrophobic intramolecular interactions maintain aSyn in its soluble monomeric form. These intramolecular interactions are responsible for </w:t>
      </w:r>
      <w:proofErr w:type="spellStart"/>
      <w:r w:rsidRPr="001A640B">
        <w:t>aSyn’s</w:t>
      </w:r>
      <w:proofErr w:type="spellEnd"/>
      <w:r w:rsidRPr="001A640B">
        <w:t xml:space="preserve"> smaller radius of gyration (</w:t>
      </w:r>
      <w:proofErr w:type="spellStart"/>
      <w:r w:rsidRPr="001A640B">
        <w:rPr>
          <w:i/>
        </w:rPr>
        <w:t>R</w:t>
      </w:r>
      <w:r w:rsidRPr="001A640B">
        <w:rPr>
          <w:i/>
          <w:vertAlign w:val="subscript"/>
        </w:rPr>
        <w:t>g</w:t>
      </w:r>
      <w:proofErr w:type="spellEnd"/>
      <w:r w:rsidRPr="001A640B">
        <w:t>) than expecte</w:t>
      </w:r>
      <w:r w:rsidR="00C060C7">
        <w:t>d for a 140 residue</w:t>
      </w:r>
      <w:r w:rsidRPr="001A640B">
        <w:t xml:space="preserve"> </w:t>
      </w:r>
      <w:r w:rsidR="00CC7E90">
        <w:t xml:space="preserve">fully </w:t>
      </w:r>
      <w:r w:rsidRPr="001A640B">
        <w:t xml:space="preserve">unfolded protein and suggest that some residual structure remains </w:t>
      </w:r>
      <w:r w:rsidRPr="001A640B">
        <w:fldChar w:fldCharType="begin" w:fldLock="1"/>
      </w:r>
      <w:r w:rsidRPr="001A640B">
        <w:instrText>ADDIN CSL_CITATION {"citationItems":[{"id":"ITEM-1","itemData":{"DOI":"10.1074/jbc.M109541200","ISBN":"1197011978","ISSN":"0021-9258","PMID":"11812782","abstract":"The pathological hallmark of Parkinson's disease is the presence of intracellular inclusions, Lewy bodies, and Lewy neurites, in the dopaminergic neurons of the substantia nigra and several other brain regions. Filamentous -synuclein is the major component of these deposits and its aggregation is believed to play an important role in Parkinson's disease and several other neurodegenerative diseases. Two homologous proteins, {beta}- and {gamma}-synucleins, are also abundant in the brain. The synucleins are natively unfolded proteins. {beta}-Synuclein, which lacks 11 central hydrophobic residues compared with its homologs, exhibited the properties of a random coil, whereas - and {gamma}-synucleins were slightly more compact and structured. {gamma}-Synuclein, unlike its homologs, formed a soluble oligomer at relatively low concentrations, which appears to be an off-fibrillation pathway species. Here we show that, although they have similar biophysical properties to -synuclein, {beta}- And {gamma}-synucleins inhibit -synuclein fibril formation. Complete inhibition of -synuclein fibrillation was observed at 4:1 molar excess of {beta}- and {gamma}-synucleins. No significant incorporation of {beta}-synuclein into the fibrils was detected. The lack of fibrils formed by {beta}-synuclein is most readily explained by the absence of a stretch of hydrophobic residues from the middle region of the protein. A model for the inhibition is proposed.","author":[{"dropping-particle":"","family":"Uversky","given":"Vladimir N.","non-dropping-particle":"","parse-names":false,"suffix":""},{"dropping-particle":"","family":"Li","given":"Jie","non-dropping-particle":"","parse-names":false,"suffix":""},{"dropping-particle":"","family":"Souillac","given":"Pierre","non-dropping-particle":"","parse-names":false,"suffix":""},{"dropping-particle":"","family":"Millett","given":"Ian S.","non-dropping-particle":"","parse-names":false,"suffix":""},{"dropping-particle":"","family":"Doniach","given":"Sebastian","non-dropping-particle":"","parse-names":false,"suffix":""},{"dropping-particle":"","family":"Jakes","given":"Ross","non-dropping-particle":"","parse-names":false,"suffix":""},{"dropping-particle":"","family":"Goedert","given":"Michel","non-dropping-particle":"","parse-names":false,"suffix":""},{"dropping-particle":"","family":"Fink","given":"Anthony L.","non-dropping-particle":"","parse-names":false,"suffix":""}],"container-title":"Journal of Biological Chemistry","id":"ITEM-1","issue":"14","issued":{"date-parts":[["2002"]]},"page":"11970-11978","publisher":"in Press","title":"Biophysical Properties of the Synucleins and Their Propensities to Fibrillate","type":"article-journal","volume":"277"},"uris":["http://www.mendeley.com/documents/?uuid=e0fa4c67-fdb4-3c9e-8931-a7b51f7eed63","http://www.mendeley.com/documents/?uuid=1363ee91-2e30-49ff-8740-8d5e0951e415"]}],"mendeley":{"formattedCitation":"&lt;sup&gt;5&lt;/sup&gt;","plainTextFormattedCitation":"5","previouslyFormattedCitation":"&lt;sup&gt;5&lt;/sup&gt;"},"properties":{"noteIndex":0},"schema":"https://github.com/citation-style-language/schema/raw/master/csl-citation.json"}</w:instrText>
      </w:r>
      <w:r w:rsidRPr="001A640B">
        <w:fldChar w:fldCharType="separate"/>
      </w:r>
      <w:r w:rsidRPr="001A640B">
        <w:rPr>
          <w:noProof/>
          <w:vertAlign w:val="superscript"/>
        </w:rPr>
        <w:t>5</w:t>
      </w:r>
      <w:r w:rsidRPr="001A640B">
        <w:fldChar w:fldCharType="end"/>
      </w:r>
      <w:r w:rsidRPr="001A640B">
        <w:t xml:space="preserve">. Therefore, the word ‘monomer’ actually describes a plethora of conformational states which are constantly reconfiguring. These dynamic interactions are heavily influenced by the surrounding environment of aSyn and their disruption can lead to skewing of the ensemble of monomeric conformations </w:t>
      </w:r>
      <w:r w:rsidRPr="001A640B">
        <w:fldChar w:fldCharType="begin" w:fldLock="1"/>
      </w:r>
      <w:r w:rsidR="00805857">
        <w:instrText>ADDIN CSL_CITATION {"citationItems":[{"id":"ITEM-1","itemData":{"DOI":"10.1016/j.tibs.2018.11.005","ISSN":"13624326","abstract":"The presynaptic protein α-synuclein (aSyn) is an ‘intrinsically disordered protein’ that is highly dynamic in conformation. Transient intramolecular interactions between its charged N and C termini, and between its hydrophobic region and the C terminus, prevent self-association. These interactions inhibit the formation of insoluble inclusions, which are the pathological hallmark of Parkinson's disease and many other synucleinopathies. This review discusses how these intramolecular interactions are influenced by the specific environment aSyn is in. We discuss how charge, pH, calcium, and salt affect the physiological structure of monomeric aSyn, and how they may favour the formation of toxic structures. The more we understand the dynamic conformations of aSyn, the better we can design desperately needed therapeutics to prevent disease progression.","author":[{"dropping-particle":"","family":"Stephens","given":"Amberley D.","non-dropping-particle":"","parse-names":false,"suffix":""},{"dropping-particle":"","family":"Zacharopoulou","given":"Maria","non-dropping-particle":"","parse-names":false,"suffix":""},{"dropping-particle":"","family":"Kaminski Schierle","given":"Gabriele S.","non-dropping-particle":"","parse-names":false,"suffix":""}],"container-title":"Trends in Biochemical Sciences","id":"ITEM-1","issue":"5","issued":{"date-parts":[["2019","12","7"]]},"page":"453-466","publisher":"Elsevier Current Trends","title":"The Cellular Environment Affects Monomeric α-Synuclein Structure","type":"article-journal","volume":"44"},"uris":["http://www.mendeley.com/documents/?uuid=4626f0a2-02fe-3be0-b212-7931ce059bd9"]}],"mendeley":{"formattedCitation":"&lt;sup&gt;6&lt;/sup&gt;","plainTextFormattedCitation":"6","previouslyFormattedCitation":"&lt;sup&gt;6&lt;/sup&gt;"},"properties":{"noteIndex":0},"schema":"https://github.com/citation-style-language/schema/raw/master/csl-citation.json"}</w:instrText>
      </w:r>
      <w:r w:rsidRPr="001A640B">
        <w:fldChar w:fldCharType="separate"/>
      </w:r>
      <w:r w:rsidRPr="001A640B">
        <w:rPr>
          <w:noProof/>
          <w:vertAlign w:val="superscript"/>
        </w:rPr>
        <w:t>6</w:t>
      </w:r>
      <w:r w:rsidRPr="001A640B">
        <w:fldChar w:fldCharType="end"/>
      </w:r>
      <w:r w:rsidRPr="001A640B">
        <w:t>. This, in turn, may influence which aggregation competent/incompetent pathways are taken and whether these are subsequently toxic or not. Identifying conformations of aggregation prone monomeric aSyn or the environment that can destabilise monomeric conformations to favour aggregation will aid in the design of anti-aggregation therapeutics to stabilise the native aSyn conformation.</w:t>
      </w:r>
    </w:p>
    <w:p w14:paraId="4AEB83D0" w14:textId="5A8E0818" w:rsidR="0063785E" w:rsidRDefault="0095510F" w:rsidP="0095510F">
      <w:pPr>
        <w:spacing w:line="360" w:lineRule="auto"/>
        <w:jc w:val="both"/>
      </w:pPr>
      <w:r w:rsidRPr="00C45B5C">
        <w:rPr>
          <w:szCs w:val="19"/>
        </w:rPr>
        <w:t xml:space="preserve">aSyn is a characteristic IDP with high opposing charge at its termini and low overall hydrophobicity </w:t>
      </w:r>
      <w:r w:rsidRPr="00C45B5C">
        <w:rPr>
          <w:szCs w:val="19"/>
        </w:rPr>
        <w:fldChar w:fldCharType="begin" w:fldLock="1"/>
      </w:r>
      <w:r>
        <w:rPr>
          <w:szCs w:val="19"/>
        </w:rPr>
        <w:instrText>ADDIN CSL_CITATION {"citationItems":[{"id":"ITEM-1","itemData":{"DOI":"10.1074/jbc.M109541200","ISBN":"1197011978","ISSN":"0021-9258","PMID":"11812782","abstract":"The pathological hallmark of Parkinson's disease is the presence of intracellular inclusions, Lewy bodies, and Lewy neurites, in the dopaminergic neurons of the substantia nigra and several other brain regions. Filamentous -synuclein is the major component of these deposits and its aggregation is believed to play an important role in Parkinson's disease and several other neurodegenerative diseases. Two homologous proteins, {beta}- and {gamma}-synucleins, are also abundant in the brain. The synucleins are natively unfolded proteins. {beta}-Synuclein, which lacks 11 central hydrophobic residues compared with its homologs, exhibited the properties of a random coil, whereas - and {gamma}-synucleins were slightly more compact and structured. {gamma}-Synuclein, unlike its homologs, formed a soluble oligomer at relatively low concentrations, which appears to be an off-fibrillation pathway species. Here we show that, although they have similar biophysical properties to -synuclein, {beta}- And {gamma}-synucleins inhibit -synuclein fibril formation. Complete inhibition of -synuclein fibrillation was observed at 4:1 molar excess of {beta}- and {gamma}-synucleins. No significant incorporation of {beta}-synuclein into the fibrils was detected. The lack of fibrils formed by {beta}-synuclein is most readily explained by the absence of a stretch of hydrophobic residues from the middle region of the protein. A model for the inhibition is proposed.","author":[{"dropping-particle":"","family":"Uversky","given":"Vladimir N.","non-dropping-particle":"","parse-names":false,"suffix":""},{"dropping-particle":"","family":"Li","given":"Jie","non-dropping-particle":"","parse-names":false,"suffix":""},{"dropping-particle":"","family":"Souillac","given":"Pierre","non-dropping-particle":"","parse-names":false,"suffix":""},{"dropping-particle":"","family":"Millett","given":"Ian S.","non-dropping-particle":"","parse-names":false,"suffix":""},{"dropping-particle":"","family":"Doniach","given":"Sebastian","non-dropping-particle":"","parse-names":false,"suffix":""},{"dropping-particle":"","family":"Jakes","given":"Ross","non-dropping-particle":"","parse-names":false,"suffix":""},{"dropping-particle":"","family":"Goedert","given":"Michel","non-dropping-particle":"","parse-names":false,"suffix":""},{"dropping-particle":"","family":"Fink","given":"Anthony L.","non-dropping-particle":"","parse-names":false,"suffix":""}],"container-title":"Journal of Biological Chemistry","id":"ITEM-1","issue":"14","issued":{"date-parts":[["2002"]]},"page":"11970-11978","publisher":"in Press","title":"Biophysical Properties of the Synucleins and Their Propensities to Fibrillate","type":"article-journal","volume":"277"},"uris":["http://www.mendeley.com/documents/?uuid=1363ee91-2e30-49ff-8740-8d5e0951e415","http://www.mendeley.com/documents/?uuid=e0fa4c67-fdb4-3c9e-8931-a7b51f7eed63"]}],"mendeley":{"formattedCitation":"&lt;sup&gt;5&lt;/sup&gt;","plainTextFormattedCitation":"5","previouslyFormattedCitation":"&lt;sup&gt;5&lt;/sup&gt;"},"properties":{"noteIndex":0},"schema":"https://github.com/citation-style-language/schema/raw/master/csl-citation.json"}</w:instrText>
      </w:r>
      <w:r w:rsidRPr="00C45B5C">
        <w:rPr>
          <w:szCs w:val="19"/>
        </w:rPr>
        <w:fldChar w:fldCharType="separate"/>
      </w:r>
      <w:r w:rsidRPr="00C45B5C">
        <w:rPr>
          <w:noProof/>
          <w:szCs w:val="19"/>
          <w:vertAlign w:val="superscript"/>
        </w:rPr>
        <w:t>5</w:t>
      </w:r>
      <w:r w:rsidRPr="00C45B5C">
        <w:rPr>
          <w:szCs w:val="19"/>
        </w:rPr>
        <w:fldChar w:fldCharType="end"/>
      </w:r>
      <w:r w:rsidRPr="00C45B5C">
        <w:rPr>
          <w:szCs w:val="19"/>
        </w:rPr>
        <w:t xml:space="preserve">. Monomeric aSyn has three characteristic main regions; the N-terminus, </w:t>
      </w:r>
      <w:r w:rsidR="00C060C7">
        <w:rPr>
          <w:szCs w:val="19"/>
        </w:rPr>
        <w:t>residues</w:t>
      </w:r>
      <w:r w:rsidRPr="00C45B5C">
        <w:rPr>
          <w:szCs w:val="19"/>
        </w:rPr>
        <w:t xml:space="preserve"> 1-60, which is overall positively charged, the non-amyloid-β </w:t>
      </w:r>
      <w:r>
        <w:rPr>
          <w:szCs w:val="19"/>
        </w:rPr>
        <w:t>component (NAC) region 61-95</w:t>
      </w:r>
      <w:r w:rsidRPr="00C45B5C">
        <w:rPr>
          <w:szCs w:val="19"/>
        </w:rPr>
        <w:t xml:space="preserve">, </w:t>
      </w:r>
      <w:r w:rsidR="009F585A">
        <w:rPr>
          <w:szCs w:val="19"/>
        </w:rPr>
        <w:t>which</w:t>
      </w:r>
      <w:r w:rsidR="00571C4A">
        <w:rPr>
          <w:szCs w:val="19"/>
        </w:rPr>
        <w:t xml:space="preserve"> </w:t>
      </w:r>
      <w:r w:rsidRPr="00C45B5C">
        <w:rPr>
          <w:szCs w:val="19"/>
        </w:rPr>
        <w:t xml:space="preserve">is hydrophobic and forms the core of fibrils during aggregation </w:t>
      </w:r>
      <w:r w:rsidRPr="00C45B5C">
        <w:rPr>
          <w:szCs w:val="19"/>
        </w:rPr>
        <w:fldChar w:fldCharType="begin" w:fldLock="1"/>
      </w:r>
      <w:r w:rsidR="00805857">
        <w:rPr>
          <w:szCs w:val="19"/>
        </w:rPr>
        <w:instrText>ADDIN CSL_CITATION {"citationItems":[{"id":"ITEM-1","itemData":{"DOI":"10.1074/jbc.M008919200","ISSN":"0021-9258","PMID":"11060312","abstract":"Neuronal and oligodendrocytic aggregates of fibrillar alpha-synuclein define several diseases of the nervous system. It is likely that these inclusions impair vital metabolic processes and compromise viability of affected cells. Here, we report that a 12-amino acid stretch ((71)VTGVTAVAQKTV(82)) in the middle of the hydrophobic domain of human alpha-synuclein is necessary and sufficient for its fibrillization based on the following observations: 1) human beta-synuclein is highly homologous to alpha-synuclein but lacks these 12 residues, and it does not assemble into filaments in vitro; 2) the rate of alpha-synuclein polymerization in vitro decreases after the introduction of a single charged amino acid within these 12 residues, and a deletion within this region abrogates assembly; 3) this stretch of 12 amino acids appears to form the core of alpha-synuclein filaments, because it is resistant to proteolytic digestion in alpha-synuclein filaments; and 4) synthetic peptides corresponding to this 12-amino acid stretch self-polymerize to form filaments, and these peptides promote fibrillization of full-length human alpha-synuclein in vitro. Thus, we have identified key sequence elements necessary for the assembly of human alpha-synuclein into filaments, and these elements may be exploited as targets for the design of drugs that inhibit alpha-synuclein fibrillization and might arrest disease progression.","author":[{"dropping-particle":"","family":"Giasson","given":"B I","non-dropping-particle":"","parse-names":false,"suffix":""},{"dropping-particle":"V","family":"Murray","given":"I","non-dropping-particle":"","parse-names":false,"suffix":""},{"dropping-particle":"","family":"Trojanowski","given":"J Q","non-dropping-particle":"","parse-names":false,"suffix":""},{"dropping-particle":"","family":"Lee","given":"V M","non-dropping-particle":"","parse-names":false,"suffix":""}],"container-title":"The Journal of biological chemistry","id":"ITEM-1","issue":"4","issued":{"date-parts":[["2001","1","26"]]},"page":"2380-6","publisher":"American Society for Biochemistry and Molecular Biology","title":"A hydrophobic stretch of 12 amino acid residues in the middle of alpha-synuclein is essential for filament assembly.","type":"article-journal","volume":"276"},"uris":["http://www.mendeley.com/documents/?uuid=1054414b-7a05-36c0-9e49-e74d33d4dbdc","http://www.mendeley.com/documents/?uuid=649c4de7-c6e0-4162-94d3-722e0c4ed215"]}],"mendeley":{"formattedCitation":"&lt;sup&gt;7&lt;/sup&gt;","plainTextFormattedCitation":"7","previouslyFormattedCitation":"&lt;sup&gt;7&lt;/sup&gt;"},"properties":{"noteIndex":0},"schema":"https://github.com/citation-style-language/schema/raw/master/csl-citation.json"}</w:instrText>
      </w:r>
      <w:r w:rsidRPr="00C45B5C">
        <w:rPr>
          <w:szCs w:val="19"/>
        </w:rPr>
        <w:fldChar w:fldCharType="separate"/>
      </w:r>
      <w:r w:rsidRPr="00C45B5C">
        <w:rPr>
          <w:noProof/>
          <w:szCs w:val="19"/>
          <w:vertAlign w:val="superscript"/>
        </w:rPr>
        <w:t>7</w:t>
      </w:r>
      <w:r w:rsidRPr="00C45B5C">
        <w:rPr>
          <w:szCs w:val="19"/>
        </w:rPr>
        <w:fldChar w:fldCharType="end"/>
      </w:r>
      <w:r w:rsidRPr="00C45B5C">
        <w:rPr>
          <w:szCs w:val="19"/>
        </w:rPr>
        <w:t xml:space="preserve">, and the C-terminus, </w:t>
      </w:r>
      <w:r w:rsidR="00C060C7">
        <w:rPr>
          <w:szCs w:val="19"/>
        </w:rPr>
        <w:t>residues</w:t>
      </w:r>
      <w:r w:rsidRPr="00C45B5C">
        <w:rPr>
          <w:szCs w:val="19"/>
        </w:rPr>
        <w:t xml:space="preserve"> 90-140, is a highly negatively charged region which binds metal ions </w:t>
      </w:r>
      <w:r w:rsidRPr="00C45B5C">
        <w:rPr>
          <w:szCs w:val="19"/>
        </w:rPr>
        <w:fldChar w:fldCharType="begin" w:fldLock="1"/>
      </w:r>
      <w:r w:rsidR="00805857">
        <w:rPr>
          <w:szCs w:val="19"/>
        </w:rPr>
        <w:instrText xml:space="preserve">ADDIN CSL_CITATION {"citationItems":[{"id":"ITEM-1","itemData":{"DOI":"10.1021/ja0618649","ISBN":"1611616123","ISSN":"00027863","PMID":"16866548","abstract":"The aggregation of R-synuclein (AS) is characteristic of Parkinson's disease and other neurodegenerative synucleinopathies. Interactions with metal ions affect dramatically the kinetics of fibrillation of AS in vitro and are proposed to play a potential role in vivo. We recently showed that Cu(II) binds at the N-terminus of AS with high affinity (Kd </w:instrText>
      </w:r>
      <w:r w:rsidR="00805857">
        <w:rPr>
          <w:rFonts w:ascii="Cambria Math" w:hAnsi="Cambria Math" w:cs="Cambria Math"/>
          <w:szCs w:val="19"/>
        </w:rPr>
        <w:instrText>∼</w:instrText>
      </w:r>
      <w:r w:rsidR="00805857">
        <w:rPr>
          <w:szCs w:val="19"/>
        </w:rPr>
        <w:instrText xml:space="preserve"> 0.1 </w:instrText>
      </w:r>
      <w:r w:rsidR="00805857">
        <w:rPr>
          <w:rFonts w:ascii="Calibri" w:hAnsi="Calibri" w:cs="Calibri"/>
          <w:szCs w:val="19"/>
        </w:rPr>
        <w:instrText>µ</w:instrText>
      </w:r>
      <w:r w:rsidR="00805857">
        <w:rPr>
          <w:szCs w:val="19"/>
        </w:rPr>
        <w:instrText>M) and accelerates its fibrillation. In this work we investigated the binding features of the divalent metal ions Fe(II), Mn(II), Co(II), and Ni(II), and their effects on AS aggregation. By exploiting the different paramagnetic properties of these metal ions, NMR spectroscopy provides detailed information about the protein-metal interactions at the atomic level. The divalent metal ions bind preferentially and with low affinity (millimolar) to the C-terminus of AS, the primary binding site being the 119 DPDNEA 124 motif, in which Asp121 acts as the main anchoring residue. Combined with backbone residual dipolar coupling measurements, these results suggest that metal binding is not driven exclusively by electrostatic interactions but is mostly determined by the residual structure of the C-terminus of AS. A comparative analysis with Cu(II) revealed a hierarchal effect of AS-metal(II) interactions on AS aggregation kinetics, dictated by structural factors corresponding to different protein domains. These findings reveal a strong link between the specificity of AS-metal(II) interactions and the enhancement of aggregation of AS in vitro. The elucidation of the structural basis of AS metal binding specificity is then required to elucidate the mechanism and clarify the role of metal-protein interactions in the etiology of Parkinson's disease.","author":[{"dropping-particle":"","family":"Binolfi","given":"Andrés","non-dropping-particle":"","parse-names":false,"suffix":""},{"dropping-particle":"","family":"Rasia","given":"Rodolfo M","non-dropping-particle":"","parse-names":false,"suffix":""},{"dropping-particle":"","family":"Bertoncini","given":"Carlos W","non-dropping-particle":"","parse-names":false,"suffix":""},{"dropping-particle":"","family":"Ceolin","given":"Marcelo","non-dropping-particle":"","parse-names":false,"suffix":""},{"dropping-particle":"","family":"Zweckstetter","given":"Markus","non-dropping-particle":"","parse-names":false,"suffix":""},{"dropping-particle":"","family":"Griesinger","given":"Christian","non-dropping-particle":"","parse-names":false,"suffix":""},{"dropping-particle":"","family":"Jovin","given":"Thomas M","non-dropping-particle":"","parse-names":false,"suffix":""},{"dropping-particle":"","family":"Fernández","given":"Claudio O.","non-dropping-particle":"","parse-names":false,"suffix":""}],"container-title":"Journal of the American Chemical Society","id":"ITEM-1","issue":"30","issued":{"date-parts":[["2006"]]},"page":"9893-9901","title":"Interaction of α-synuclein with divalent metal ions reveals key differences: A link between structure, binding specificity and fibrillation enhancement","type":"article-journal","volume":"128"},"uris":["http://www.mendeley.com/documents/?uuid=6784a789-b1e5-31a1-9f49-b82263ed3139"]}],"mendeley":{"formattedCitation":"&lt;sup&gt;8&lt;/sup&gt;","plainTextFormattedCitation":"8","previouslyFormattedCitation":"&lt;sup&gt;8&lt;/sup&gt;"},"properties":{"noteIndex":0},"schema":"https://github.com/citation-style-language/schema/raw/master/csl-citation.json"}</w:instrText>
      </w:r>
      <w:r w:rsidRPr="00C45B5C">
        <w:rPr>
          <w:szCs w:val="19"/>
        </w:rPr>
        <w:fldChar w:fldCharType="separate"/>
      </w:r>
      <w:r w:rsidRPr="00C45B5C">
        <w:rPr>
          <w:noProof/>
          <w:szCs w:val="19"/>
          <w:vertAlign w:val="superscript"/>
        </w:rPr>
        <w:t>8</w:t>
      </w:r>
      <w:r w:rsidRPr="00C45B5C">
        <w:rPr>
          <w:szCs w:val="19"/>
        </w:rPr>
        <w:fldChar w:fldCharType="end"/>
      </w:r>
      <w:r w:rsidRPr="00C45B5C">
        <w:rPr>
          <w:szCs w:val="19"/>
        </w:rPr>
        <w:t xml:space="preserve"> (Figure 1a). To date, six disease-related mutations have been identified in the </w:t>
      </w:r>
      <w:r w:rsidRPr="00C45B5C">
        <w:rPr>
          <w:i/>
          <w:szCs w:val="19"/>
        </w:rPr>
        <w:t>SNCA</w:t>
      </w:r>
      <w:r w:rsidRPr="00C45B5C">
        <w:rPr>
          <w:szCs w:val="19"/>
        </w:rPr>
        <w:t xml:space="preserve"> gene, encoding the aSyn protein, A30P, E46K, H50Q, G51D, A53T, A53E, which are a hallmark for hereditary autosomal dominant PD and are primarily linked to early age</w:t>
      </w:r>
      <w:r w:rsidR="006D163A">
        <w:rPr>
          <w:szCs w:val="19"/>
        </w:rPr>
        <w:t>,</w:t>
      </w:r>
      <w:r w:rsidRPr="00C45B5C">
        <w:rPr>
          <w:szCs w:val="19"/>
        </w:rPr>
        <w:t xml:space="preserve"> but also late age </w:t>
      </w:r>
      <w:r w:rsidR="006D163A" w:rsidRPr="00C45B5C">
        <w:rPr>
          <w:szCs w:val="19"/>
        </w:rPr>
        <w:t>of onset</w:t>
      </w:r>
      <w:r w:rsidR="00E05B1F">
        <w:rPr>
          <w:szCs w:val="19"/>
        </w:rPr>
        <w:t xml:space="preserve"> </w:t>
      </w:r>
      <w:r w:rsidR="00E05B1F" w:rsidRPr="00C45B5C">
        <w:rPr>
          <w:szCs w:val="19"/>
        </w:rPr>
        <w:t>(H50Q)</w:t>
      </w:r>
      <w:r w:rsidR="00E05B1F">
        <w:rPr>
          <w:szCs w:val="19"/>
        </w:rPr>
        <w:t xml:space="preserve"> </w:t>
      </w:r>
      <w:r w:rsidRPr="00C45B5C">
        <w:rPr>
          <w:szCs w:val="19"/>
        </w:rPr>
        <w:t xml:space="preserve"> </w:t>
      </w:r>
      <w:r w:rsidRPr="00C45B5C">
        <w:rPr>
          <w:szCs w:val="19"/>
        </w:rPr>
        <w:fldChar w:fldCharType="begin" w:fldLock="1"/>
      </w:r>
      <w:r w:rsidR="0057742D">
        <w:rPr>
          <w:szCs w:val="19"/>
        </w:rPr>
        <w:instrText>ADDIN CSL_CITATION {"citationItems":[{"id":"ITEM-1","itemData":{"DOI":"10.1126/science.276.5321.2045","ISBN":"0036-8075 (Print)\\r0036-8075 (Linking)","ISSN":"00368075","PMID":"9197268","abstract":"Parkinson's disease (PD) is a common neurodegenerative disorder with a lifetime incidence of approximately 2 percent. A pattern of familial aggregation has been documented for the disorder, and it was recently reported that a PD susceptibility gene in a large Italian kindred is located on the long arm of human chromosome 4. A mutation was identified in the α- synuclein gene, which codes for a presynaptic protein thought to be involved in neuronal plasticity, in the italian kindred and in three unrelated families of Greek origin with autosomal dominant inheritance for the PD phenotype. This finding of a specific molecular alteration associated with PD will facilitate the detailed understanding of the pathophysiology of the disorder.","author":[{"dropping-particle":"","family":"Polymeropoulos","given":"Mihael H.","non-dropping-particle":"","parse-names":false,"suffix":""},{"dropping-particle":"","family":"Lavedan","given":"Christian","non-dropping-particle":"","parse-names":false,"suffix":""},{"dropping-particle":"","family":"Leroy","given":"Elisabeth","non-dropping-particle":"","parse-names":false,"suffix":""},{"dropping-particle":"","family":"Ide","given":"Susan E.","non-dropping-particle":"","parse-names":false,"suffix":""},{"dropping-particle":"","family":"Dehejia","given":"Anindya","non-dropping-particle":"","parse-names":false,"suffix":""},{"dropping-particle":"","family":"Dutra","given":"Amalia","non-dropping-particle":"","parse-names":false,"suffix":""},{"dropping-particle":"","family":"Pike","given":"Brian","non-dropping-particle":"","parse-names":false,"suffix":""},{"dropping-particle":"","family":"Root","given":"Holly","non-dropping-particle":"","parse-names":false,"suffix":""},{"dropping-particle":"","family":"Rubenstein","given":"Jeffrey","non-dropping-particle":"","parse-names":false,"suffix":""},{"dropping-particle":"","family":"Boyer","given":"Rebecca","non-dropping-particle":"","parse-names":false,"suffix":""},{"dropping-particle":"","family":"Stenroos","given":"Edward S.","non-dropping-particle":"","parse-names":false,"suffix":""},{"dropping-particle":"","family":"Chandrasekharappa","given":"Settara","non-dropping-particle":"","parse-names":false,"suffix":""},{"dropping-particle":"","family":"Athanassiadou","given":"Aglaia","non-dropping-particle":"","parse-names":false,"suffix":""},{"dropping-particle":"","family":"Papapetropoulos","given":"Theodore","non-dropping-particle":"","parse-names":false,"suffix":""},{"dropping-particle":"","family":"Johnson","given":"William G.","non-dropping-particle":"","parse-names":false,"suffix":""},{"dropping-particle":"","family":"Lazzarini","given":"Alice M.","non-dropping-particle":"","parse-names":false,"suffix":""},{"dropping-particle":"","family":"Duvoisin","given":"Roger C.","non-dropping-particle":"","parse-names":false,"suffix":""},{"dropping-particle":"","family":"Iorio","given":"Giuseppe","non-dropping-particle":"Di","parse-names":false,"suffix":""},{"dropping-particle":"","family":"Golbe","given":"Lawrence I.","non-dropping-particle":"","parse-names":false,"suffix":""},{"dropping-particle":"","family":"Nussbaum","given":"Robert L.","non-dropping-particle":"","parse-names":false,"suffix":""}],"container-title":"Science","id":"ITEM-1","issue":"5321","issued":{"date-parts":[["1997","6","27"]]},"page":"2045-2047","publisher":"American Association for the Advancement of Science","title":"Mutation in the α-synuclein gene identified in families with Parkinson's disease","type":"article-journal","volume":"276"},"uris":["http://www.mendeley.com/documents/?uuid=38838775-ca57-3203-8ee1-f74dc0709bcd","http://www.mendeley.com/documents/?uuid=2a68f4d9-936a-4141-832e-1e32640ee830"]},{"id":"ITEM-2","itemData":{"DOI":"10.1038/ng0298-106","ISBN":"1061-4036 (Print)\\n1061-4036 (Linking)","ISSN":"1061-4036","PMID":"9462735","abstract":"The interrelationship between alpha-synuclein (alpha-syn) and mitochondria is not clearly understood. Owing to the lack of the signal peptide and its predominant localization in the cytosol, alpha-syn is generally considered to affect mitochondrial function through some secondary effects. Contrary to this assumption, here, we show that a portion of alpha-syn is present in the membrane of mitochondria in normal dopaminergic neurons. The same profile is also found in other alpha-syn-positive neurons. Thus, binding to the membrane of mitochondria is the physiological nature of alpha-syn and might also contribute to the pathological role of this protein in the mitochondrial dysfunction in Parkinson's disease.","author":[{"dropping-particle":"","family":"Krüger","given":"Rejko","non-dropping-particle":"","parse-names":false,"suffix":""},{"dropping-particle":"","family":"Kuhn","given":"Wilfried","non-dropping-particle":"","parse-names":false,"suffix":""},{"dropping-particle":"","family":"Müller","given":"Thomas","non-dropping-particle":"","parse-names":false,"suffix":""},{"dropping-particle":"","family":"Woitalla","given":"Dirk","non-dropping-particle":"","parse-names":false,"suffix":""},{"dropping-particle":"","family":"Graeber","given":"Manuel","non-dropping-particle":"","parse-names":false,"suffix":""},{"dropping-particle":"","family":"Kösel","given":"Sigfried","non-dropping-particle":"","parse-names":false,"suffix":""},{"dropping-particle":"","family":"Przuntek","given":"Horst","non-dropping-particle":"","parse-names":false,"suffix":""},{"dropping-particle":"","family":"Epplen","given":"Jörg T.","non-dropping-particle":"","parse-names":false,"suffix":""},{"dropping-particle":"","family":"Schols","given":"Ludger","non-dropping-particle":"","parse-names":false,"suffix":""},{"dropping-particle":"","family":"Riess","given":"Olaf","non-dropping-particle":"","parse-names":false,"suffix":""}],"container-title":"Nature Genetics","id":"ITEM-2","issue":"2","issued":{"date-parts":[["1998","2","1"]]},"page":"106-108","publisher":"Nature Publishing Group","title":"Ala30Pro mutation in the gene encoding α-synuclein in Parkinson's disease","type":"article-journal","volume":"18"},"uris":["http://www.mendeley.com/documents/?uuid=8cac6da2-b85f-36e1-a666-2e16de60bd40","http://www.mendeley.com/documents/?uuid=06cee650-b8ee-4117-b247-083807f92bca"]},{"id":"ITEM-3","itemData":{"DOI":"10.1002/ana.10795","ISSN":"03645134","author":[{"dropping-particle":"","family":"Zarranz","given":"Juan J.","non-dropping-particle":"","parse-names":false,"suffix":""},{"dropping-particle":"","family":"Alegre","given":"Javier","non-dropping-particle":"","parse-names":false,"suffix":""},{"dropping-particle":"","family":"Gómez-Esteban","given":"Juan C.","non-dropping-particle":"","parse-names":false,"suffix":""},{"dropping-particle":"","family":"Lezcano","given":"Elena","non-dropping-particle":"","parse-names":false,"suffix":""},{"dropping-particle":"","family":"Ros","given":"Raquel","non-dropping-particle":"","parse-names":false,"suffix":""},{"dropping-particle":"","family":"Ampuero","given":"Israel","non-dropping-particle":"","parse-names":false,"suffix":""},{"dropping-particle":"","family":"Vidal","given":"Lídice","non-dropping-particle":"","parse-names":false,"suffix":""},{"dropping-particle":"","family":"Hoenicka","given":"Janet","non-dropping-particle":"","parse-names":false,"suffix":""},{"dropping-particle":"","family":"Rodriguez","given":"Olga","non-dropping-particle":"","parse-names":false,"suffix":""},{"dropping-particle":"","family":"Atarés","given":"Begoña","non-dropping-particle":"","parse-names":false,"suffix":""},{"dropping-particle":"","family":"Llorens","given":"Verónica","non-dropping-particle":"","parse-names":false,"suffix":""},{"dropping-particle":"","family":"Tortosa","given":"Estrella Gomez","non-dropping-particle":"","parse-names":false,"suffix":""},{"dropping-particle":"","family":"Ser","given":"Teodoro","non-dropping-particle":"del","parse-names":false,"suffix":""},{"dropping-particle":"","family":"Muñoz","given":"David G.","non-dropping-particle":"","parse-names":false,"suffix":""},{"dropping-particle":"","family":"Yebenes","given":"Justo G.","non-dropping-particle":"de","parse-names":false,"suffix":""}],"container-title":"Annals of Neurology","id":"ITEM-3","issue":"2","issued":{"date-parts":[["2004","2"]]},"page":"164-173","publisher":"Wiley-Blackwell","title":"The new mutation, E46K, of α-synuclein causes parkinson and Lewy body dementia","type":"article-journal","volume":"55"},"uris":["http://www.mendeley.com/documents/?uuid=0ce7691a-dce7-31f8-a04a-bd5452e87e3e"]},{"id":"ITEM-4","itemData":{"DOI":"10.1212/WNL.0b013e31828727ba","ISBN":"1526-632X (Electronic) 0028-3878 (Linking)","ISSN":"00283878","PMID":"23427326","abstract":"Alpha-synuclein (SNCA) is central to the pathogenesis of Parkinson disease (PD), with 3 missense mutations reported to date. We report a novel mutation (p.H50Q) in a pathologically proven case.","author":[{"dropping-particle":"","family":"Proukakis","given":"Christos","non-dropping-particle":"","parse-names":false,"suffix":""},{"dropping-particle":"","family":"Dudzik","given":"Christopher G.","non-dropping-particle":"","parse-names":false,"suffix":""},{"dropping-particle":"","family":"Brier","given":"Timothy","non-dropping-particle":"","parse-names":false,"suffix":""},{"dropping-particle":"","family":"MacKay","given":"Donna S.","non-dropping-particle":"","parse-names":false,"suffix":""},{"dropping-particle":"","family":"Cooper","given":"J. Mark","non-dropping-particle":"","parse-names":false,"suffix":""},{"dropping-particle":"","family":"Millhauser","given":"Glenn L.","non-dropping-particle":"","parse-names":false,"suffix":""},{"dropping-particle":"","family":"Houlden","given":"Henry","non-dropping-particle":"","parse-names":false,"suffix":""},{"dropping-particle":"","family":"Schapira","given":"Anthony H.","non-dropping-particle":"","parse-names":false,"suffix":""}],"container-title":"Neurology","id":"ITEM-4","issue":"11","issued":{"date-parts":[["2013","3","12"]]},"page":"1062-1064","publisher":"American Academy of Neurology","title":"A novel α-synuclein missense mutation in Parkinson disease","type":"article","volume":"80"},"uris":["http://www.mendeley.com/documents/?uuid=a8819b20-3758-33f9-aa4a-ad24d193366b"]},{"id":"ITEM-5","itemData":{"DOI":"10.1002/mds.25421","ISSN":"08853185","author":[{"dropping-particle":"","family":"Appel-Cresswell","given":"Silke","non-dropping-particle":"","parse-names":false,"suffix":""},{"dropping-particle":"","family":"Vilarino-Guell","given":"Carles","non-dropping-particle":"","parse-names":false,"suffix":""},{"dropping-particle":"","family":"Encarnacion","given":"Mary","non-dropping-particle":"","parse-names":false,"suffix":""},{"dropping-particle":"","family":"Sherman","given":"Holly","non-dropping-particle":"","parse-names":false,"suffix":""},{"dropping-particle":"","family":"Yu","given":"Irene","non-dropping-particle":"","parse-names":false,"suffix":""},{"dropping-particle":"","family":"Shah","given":"Brinda","non-dropping-particle":"","parse-names":false,"suffix":""},{"dropping-particle":"","family":"Weir","given":"David","non-dropping-particle":"","parse-names":false,"suffix":""},{"dropping-particle":"","family":"Thompson","given":"Christina","non-dropping-particle":"","parse-names":false,"suffix":""},{"dropping-particle":"","family":"Szu-Tu","given":"Chelsea","non-dropping-particle":"","parse-names":false,"suffix":""},{"dropping-particle":"","family":"Trinh","given":"Joanne","non-dropping-particle":"","parse-names":false,"suffix":""},{"dropping-particle":"","family":"Aasly","given":"Jan O.","non-dropping-particle":"","parse-names":false,"suffix":""},{"dropping-particle":"","family":"Rajput","given":"Alex","non-dropping-particle":"","parse-names":false,"suffix":""},{"dropping-particle":"","family":"Rajput","given":"Ali H.","non-dropping-particle":"","parse-names":false,"suffix":""},{"dropping-particle":"","family":"Jon Stoessl","given":"A.","non-dropping-particle":"","parse-names":false,"suffix":""},{"dropping-particle":"","family":"Farrer","given":"Matthew J.","non-dropping-particle":"","parse-names":false,"suffix":""}],"container-title":"Movement Disorders","id":"ITEM-5","issue":"6","issued":{"date-parts":[["2013","6"]]},"page":"811-813","publisher":"Wiley-Blackwell","title":"Alpha-synuclein p.H50Q, a novel pathogenic mutation for Parkinson's disease","type":"article-journal","volume":"28"},"uris":["http://www.mendeley.com/documents/?uuid=af5548ab-0d72-34bf-98d8-813af38633ab","http://www.mendeley.com/documents/?uuid=1756954d-4855-45c3-80a9-5dcbdb644319"]},{"id":"ITEM-6","itemData":{"DOI":"10.1002/ana.23894","ISBN":"1531-8249 (Electronic)\\r0364-5134 (Linking)","ISSN":"03645134","PMID":"23526723","abstract":"OBJECTIVE: To date, 3 rare missense mutations in the SNCA (α-synuclein) gene and the more frequent duplications or triplications of the wild-type gene are known to cause a broad array of clinical and pathological symptoms in familial Parkinson disease (PD). Here, we describe a French family with a parkinsonian-pyramidal syndrome harboring a novel heterozygous SNCA mutation.\\n\\nMETHODS: Whole exome sequencing of DNA from 3 patients in a 3-generation pedigree was used to identify a new PD-associated mutation in SNCA. Clinical and pathological features of the patients were analyzed. The cytotoxic effects of the mutant and wild-type proteins were assessed by analytical ultracentrifugation, thioflavin T binding, transmission electron microscopy, cell viability assay, and caspase-3 activation.\\n\\nRESULTS: We identified a novel SNCA G51D (c.152 G&gt;A) mutation that cosegregated with the disease and was absent from controls. G51D was associated with an unusual PD phenotype characterized by early disease onset, moderate response to levodopa, rapid progression leading to loss of autonomy and death within a few years, marked pyramidal signs including bilateral extensor plantar reflexes, occasionally spasticity, and frequently psychiatric symptoms. Pathological lesions predominated in the basal ganglia and the pyramidal tracts and included fine, diffuse cytoplasmic inclusions containing phospho-α-synuclein in superficial layers of the cerebral cortex, including the entorhinal cortex. Functional studies showed that G51D α-synuclein oligomerizes more slowly and its fibrils are more toxic than those of the wild-type protein.\\n\\nINTERPRETATION: We have identified a novel SNCA G51D mutation that causes a form of PD with unusual clinical, neuropathological, and biochemical features.","author":[{"dropping-particle":"","family":"Lesage","given":"Suzanne","non-dropping-particle":"","parse-names":false,"suffix":""},{"dropping-particle":"","family":"Anheim","given":"Mathieu","non-dropping-particle":"","parse-names":false,"suffix":""},{"dropping-particle":"","family":"Letournel","given":"Franck","non-dropping-particle":"","parse-names":false,"suffix":""},{"dropping-particle":"","family":"Bousset","given":"Luc","non-dropping-particle":"","parse-names":false,"suffix":""},{"dropping-particle":"","family":"Honoré","given":"Aurélie","non-dropping-particle":"","parse-names":false,"suffix":""},{"dropping-particle":"","family":"Rozas","given":"Nelly","non-dropping-particle":"","parse-names":false,"suffix":""},{"dropping-particle":"","family":"Pieri","given":"Laura","non-dropping-particle":"","parse-names":false,"suffix":""},{"dropping-particle":"","family":"Madiona","given":"Karine","non-dropping-particle":"","parse-names":false,"suffix":""},{"dropping-particle":"","family":"Dürr","given":"Alexandra","non-dropping-particle":"","parse-names":false,"suffix":""},{"dropping-particle":"","family":"Melki","given":"Ronald","non-dropping-particle":"","parse-names":false,"suffix":""},{"dropping-particle":"","family":"Verny","given":"Christophe","non-dropping-particle":"","parse-names":false,"suffix":""},{"dropping-particle":"","family":"Brice","given":"Alexis","non-dropping-particle":"","parse-names":false,"suffix":""}],"container-title":"Annals of Neurology","id":"ITEM-6","issue":"4","issued":{"date-parts":[["2013","4"]]},"page":"459-471","publisher":"Wiley-Blackwell","title":"G51D α-synuclein mutation causes a novel Parkinsonian-pyramidal syndrome","type":"article-journal","volume":"73"},"uris":["http://www.mendeley.com/documents/?uuid=596d303f-0f60-319e-a9dd-c121c23beaed"]},{"id":"ITEM-7","itemData":{"DOI":"10.1016/j.neurobiolaging.2014.03.024","ISBN":"1558-1497 (Electronic) 0197-4580 (Linking)","ISSN":"15581497","PMID":"24746362","abstract":"We describe the clinical, neuropathological, and genetic features of a Finnish patient with a novel α-synuclein (SNCA) mutation A53E. The patient was clinically diagnosed with atypical Parkinson's disease (PD) with age of onset at 36years. In the neuropathological analysis performed at the age of 60 years, highly abundant SNCA pathology was observed throughout the brain and spinal cord showing features of multiple system atrophy and PD. Neuronal and glial (including oligodendroglial) SNCA inclusions and neurites were found to be particularly prominent in the putamen, caudatus, amygdala, temporal and insular cortices, gyrus cinguli, and hippocampus CA2-3 region. These areas as well as the substantia nigra and locus coeruleus showed neuronal loss and gliosis. We also found TDP-43 positive but mostly SNCA negative perinuclear inclusions in the dentate fascia of the hippocampus. The A53E mutation was found in 2 other relatives who had parkinsonism. Our results suggest that the novel SNCA A53E substitution is a causative mutation resulting clinically in parkinsonism and pathologically in severe multiple system atrophy- and PD-type phenotype. © 2014 Elsevier Inc.","author":[{"dropping-particle":"","family":"Pasanen","given":"Petra","non-dropping-particle":"","parse-names":false,"suffix":""},{"dropping-particle":"","family":"Myllykangas","given":"Liisa","non-dropping-particle":"","parse-names":false,"suffix":""},{"dropping-particle":"","family":"Siitonen","given":"Maija","non-dropping-particle":"","parse-names":false,"suffix":""},{"dropping-particle":"","family":"Raunio","given":"Anna","non-dropping-particle":"","parse-names":false,"suffix":""},{"dropping-particle":"","family":"Kaakkola","given":"Seppo","non-dropping-particle":"","parse-names":false,"suffix":""},{"dropping-particle":"","family":"Lyytinen","given":"Jukka","non-dropping-particle":"","parse-names":false,"suffix":""},{"dropping-particle":"","family":"Tienari","given":"Pentti J.","non-dropping-particle":"","parse-names":false,"suffix":""},{"dropping-particle":"","family":"Pöyhönen","given":"Minna","non-dropping-particle":"","parse-names":false,"suffix":""},{"dropping-particle":"","family":"Paetau","given":"Anders","non-dropping-particle":"","parse-names":false,"suffix":""}],"container-title":"Neurobiology of Aging","id":"ITEM-7","issue":"9","issued":{"date-parts":[["2014","9","1"]]},"page":"2180.e1-2180.e5","publisher":"Elsevier","title":"A novel α-synuclein mutation A53E associated with atypical multiple system atrophy and Parkinson's disease-type pathology","type":"article-journal","volume":"35"},"uris":["http://www.mendeley.com/documents/?uuid=f3ef2421-d747-391e-b52a-1b970ce4261a"]}],"mendeley":{"formattedCitation":"&lt;sup&gt;9–15&lt;/sup&gt;","plainTextFormattedCitation":"9–15","previouslyFormattedCitation":"&lt;sup&gt;9–15&lt;/sup&gt;"},"properties":{"noteIndex":0},"schema":"https://github.com/citation-style-language/schema/raw/master/csl-citation.json"}</w:instrText>
      </w:r>
      <w:r w:rsidRPr="00C45B5C">
        <w:rPr>
          <w:szCs w:val="19"/>
        </w:rPr>
        <w:fldChar w:fldCharType="separate"/>
      </w:r>
      <w:r w:rsidRPr="00C45B5C">
        <w:rPr>
          <w:noProof/>
          <w:szCs w:val="19"/>
          <w:vertAlign w:val="superscript"/>
        </w:rPr>
        <w:t>9–15</w:t>
      </w:r>
      <w:r w:rsidRPr="00C45B5C">
        <w:rPr>
          <w:szCs w:val="19"/>
        </w:rPr>
        <w:fldChar w:fldCharType="end"/>
      </w:r>
      <w:r w:rsidRPr="00C45B5C">
        <w:rPr>
          <w:szCs w:val="19"/>
        </w:rPr>
        <w:t xml:space="preserve">. However, genetic mutations and multiplications of the </w:t>
      </w:r>
      <w:r w:rsidRPr="00C45B5C">
        <w:rPr>
          <w:i/>
          <w:szCs w:val="19"/>
        </w:rPr>
        <w:t>SNCA</w:t>
      </w:r>
      <w:r w:rsidRPr="00C45B5C">
        <w:rPr>
          <w:szCs w:val="19"/>
        </w:rPr>
        <w:t xml:space="preserve"> gene</w:t>
      </w:r>
      <w:r>
        <w:rPr>
          <w:szCs w:val="19"/>
        </w:rPr>
        <w:t xml:space="preserve"> and other PD-associated genes</w:t>
      </w:r>
      <w:r w:rsidRPr="00C45B5C">
        <w:rPr>
          <w:szCs w:val="19"/>
        </w:rPr>
        <w:t xml:space="preserve"> only account for 5-10% of PD cases and the remaining cases are sporadic (idiopathic) and age-related </w:t>
      </w:r>
      <w:r w:rsidRPr="00C45B5C">
        <w:rPr>
          <w:szCs w:val="19"/>
        </w:rPr>
        <w:fldChar w:fldCharType="begin" w:fldLock="1"/>
      </w:r>
      <w:r>
        <w:rPr>
          <w:szCs w:val="19"/>
        </w:rPr>
        <w:instrText>ADDIN CSL_CITATION {"citationItems":[{"id":"ITEM-1","itemData":{"DOI":"10.1016/j.mcp.2016.11.001","ISBN":"9780444528094","ISSN":"10961194","PMID":"22315721","abstract":"Almost two decades after the identification of SNCA as the first causative gene in Parkinson's disease (PD) and the subsequent understanding that genetic factors play a substantial role in PD development, our knowledge of the genetic architecture underlying this disease has vastly improved. Approximately 5–10% of patients suffer from a monogenic form of PD where autosomal dominant mutations in SNCA, LRRK2, and VPS35 and autosomal recessive mutations in PINK1, DJ-1, and Parkin cause the disease with high penetrance. Furthermore, recent whole-exome sequencing have described autosomal recessive DNAJC6 mutations in predominately atypical, but also cases with typical PD. In addition, several other genes have been linked to atypical Parkinsonian phenotypes. However, the vast majority of PD is genetically complex, i.e. it is caused by the combined action of common genetic variants in concert with environmental factors. By the application of genome-wide association studies, 26 PD risk loci have been established to date. Similar to other genetically complex diseases, these show only moderate effects on PD risk. Increasing this etiologic complexity, many of the involved genetic and environmental risk factors likely interact in an intricate fashion. This article aims to provide a comprehensive overview of the current knowledge in PD genetics.","author":[{"dropping-particle":"","family":"Lill","given":"Christina M.","non-dropping-particle":"","parse-names":false,"suffix":""}],"container-title":"Molecular and Cellular Probes","id":"ITEM-1","issue":"6","issued":{"date-parts":[["2016"]]},"page":"386-396","title":"Genetics of Parkinson's disease","type":"article-journal","volume":"30"},"uris":["http://www.mendeley.com/documents/?uuid=1b8b96b4-03f2-406e-ad0b-95df13386320","http://www.mendeley.com/documents/?uuid=f83ac272-a2ba-4455-8c5d-1bc2f35c319d"]}],"mendeley":{"formattedCitation":"&lt;sup&gt;16&lt;/sup&gt;","plainTextFormattedCitation":"16","previouslyFormattedCitation":"&lt;sup&gt;16&lt;/sup&gt;"},"properties":{"noteIndex":0},"schema":"https://github.com/citation-style-language/schema/raw/master/csl-citation.json"}</w:instrText>
      </w:r>
      <w:r w:rsidRPr="00C45B5C">
        <w:rPr>
          <w:szCs w:val="19"/>
        </w:rPr>
        <w:fldChar w:fldCharType="separate"/>
      </w:r>
      <w:r w:rsidRPr="00C45B5C">
        <w:rPr>
          <w:noProof/>
          <w:szCs w:val="19"/>
          <w:vertAlign w:val="superscript"/>
        </w:rPr>
        <w:t>16</w:t>
      </w:r>
      <w:r w:rsidRPr="00C45B5C">
        <w:rPr>
          <w:szCs w:val="19"/>
        </w:rPr>
        <w:fldChar w:fldCharType="end"/>
      </w:r>
      <w:r w:rsidRPr="00C45B5C">
        <w:rPr>
          <w:szCs w:val="19"/>
        </w:rPr>
        <w:t xml:space="preserve">. Yet, we still have not identified mechanistically why these mutations lead to early-onset PD, or what triggers misfolding of </w:t>
      </w:r>
      <w:r w:rsidR="00EC5900">
        <w:rPr>
          <w:szCs w:val="19"/>
        </w:rPr>
        <w:t>wild-type (</w:t>
      </w:r>
      <w:r w:rsidRPr="00C45B5C">
        <w:rPr>
          <w:szCs w:val="19"/>
        </w:rPr>
        <w:t>WT</w:t>
      </w:r>
      <w:r w:rsidR="00EC5900">
        <w:rPr>
          <w:szCs w:val="19"/>
        </w:rPr>
        <w:t>)</w:t>
      </w:r>
      <w:r w:rsidRPr="00C45B5C">
        <w:rPr>
          <w:szCs w:val="19"/>
        </w:rPr>
        <w:t xml:space="preserve"> aSyn.</w:t>
      </w:r>
      <w:r w:rsidR="00A262CB" w:rsidRPr="003F4699">
        <w:t xml:space="preserve"> </w:t>
      </w:r>
    </w:p>
    <w:p w14:paraId="7910E583" w14:textId="0890C9B8" w:rsidR="0095510F" w:rsidRPr="0095510F" w:rsidRDefault="0095510F" w:rsidP="0095510F">
      <w:pPr>
        <w:spacing w:line="360" w:lineRule="auto"/>
        <w:jc w:val="both"/>
      </w:pPr>
      <w:r w:rsidRPr="0095510F">
        <w:t xml:space="preserve">Intramolecular long-range interactions of aSyn have been detected between many different regions of aSyn. Electrostatic interactions, mediated by the positively charged N-terminus and negatively charged C-terminus, as well as hydrophobic interactions between some residues of the C-terminus and NAC region of aSyn, have been identified using a range of techniques including different nuclear magnetic resonance (NMR) techniques, mass spectrometry (MS) and hydrogen-deuterium exchange MS (HDX-MS) </w:t>
      </w:r>
      <w:r w:rsidRPr="0095510F">
        <w:fldChar w:fldCharType="begin" w:fldLock="1"/>
      </w:r>
      <w:r w:rsidR="00373BC0">
        <w:instrText>ADDIN CSL_CITATION {"citationItems":[{"id":"ITEM-1","itemData":{"DOI":"10.1021/ja9105495","ISBN":"0002-7863","ISSN":"00027863","PMID":"20359221","abstract":"NMR paramagnetic relaxation enhancement experiments were applied to the intrinsically disordered protein alpha-synuclein, the primary protein in Parkinson's disease, to directly characterize transient intermolecular complexes at neutral and low pH. At neutral pH, we observed weak N- to C-terminal interchain contacts driven by electrostatic interactions, while at low pH, the C- to C-terminal interchain interactions are significantly stronger and driven by hydrophobic contacts. Characterization of these first interchain interactions will provide fundamental insight into the mechanism of amyloid formation.","author":[{"dropping-particle":"","family":"Wu","given":"Kuen Phon","non-dropping-particle":"","parse-names":false,"suffix":""},{"dropping-particle":"","family":"Baum","given":"Jean","non-dropping-particle":"","parse-names":false,"suffix":""}],"container-title":"Journal of the American Chemical Society","id":"ITEM-1","issue":"16","issued":{"date-parts":[["2010"]]},"page":"5546-5547","title":"Detection of transient interchain interactions in the intrinsically disordered protein α-synuclein by NMR paramagnetic relaxation enhancement","type":"article-journal","volume":"132"},"uris":["http://www.mendeley.com/documents/?uuid=62dfd9b8-5ea6-37ca-a058-41cc04da0d00"]},{"id":"ITEM-2","itemData":{"DOI":"10.1021/acs.analchem.8b01264","ISSN":"0003-2700","abstract":"Understanding the mechanisms behind amyloid protein aggregation in diseases such as Parkinson’s and Alzheimer’s disease is often hampered by the reproducibility of in vitro assays. Yet, understanding the basic mechanisms of protein misfolding is essential for the development of novel therapeutic strategies. We show here, that for the amyloid protein alpha-synuclein (aSyn), a protein involved in Parkinson’s disease (PD), chromatographic buffers and storage conditions can significantly interfere with the overall structure of the protein and thus affect protein aggregation kinetics. We apply several biophysical and biochemical methods including, size exclusion chromatography (SEC), dynamic light scattering (DLS), and atomic force microscopy (AFM), to characterise the high molecular weight conformers formed during protein purification and storage. We further apply hydrogen/deuterium-exchange mass spectrometry (HDX-MS) to characterise the monomeric form of aSyn and reveal a thus far unknown structural componen...","author":[{"dropping-particle":"","family":"Stephens","given":"Amberley","non-dropping-particle":"","parse-names":false,"suffix":""},{"dropping-particle":"","family":"Nespovitaya","given":"Nadezhda","non-dropping-particle":"","parse-names":false,"suffix":""},{"dropping-particle":"","family":"Zacharopoulou","given":"Maria","non-dropping-particle":"","parse-names":false,"suffix":""},{"dropping-particle":"","family":"Kaminski","given":"F","non-dropping-particle":"","parse-names":false,"suffix":""},{"dropping-particle":"","family":"Phillips","given":"Jonathan James","non-dropping-particle":"","parse-names":false,"suffix":""},{"dropping-particle":"","family":"Schierle","given":"Gabriele S Kaminski","non-dropping-particle":"","parse-names":false,"suffix":""}],"container-title":"Analytical Chemistry","id":"ITEM-2","issued":{"date-parts":[["2018","5","11"]]},"page":"acs.analchem.8b01264","publisher":"American Chemical Society","title":"Different structural conformers of monomeric alpha- synuclein identified after lyophilising and freezing","type":"article-journal"},"uris":["http://www.mendeley.com/documents/?uuid=0da14628-e72f-3785-881a-dec7e039d479"]},{"id":"ITEM-3","itemData":{"DOI":"10.1021/ja044834j","ISBN":"0002-7863","ISSN":"00027863","PMID":"15643843","abstract":"The intrinsically disordered protein alpha-synuclein plays a key role in the pathogenesis of Parkinson's disease (PD). We show here that the native state of alpha-synuclein consists of a broad distribution of conformers with an ensemble-averaged hydrodynamic radius significantly smaller than that expected for a random coil structure. This partial condensation is driven by interactions between the highly charged C-terminus and a large hydrophobic central region of the protein sequence. We suggest that this structure could inhibit the formation of alpha-synuclein aggregates, which are thought to be the cytotoxic species responsible for neurodegeneration in PD.","author":[{"dropping-particle":"","family":"Dedmon","given":"Matthew M.","non-dropping-particle":"","parse-names":false,"suffix":""},{"dropping-particle":"","family":"Lindorff-Larsen","given":"Kresten","non-dropping-particle":"","parse-names":false,"suffix":""},{"dropping-particle":"","family":"Christodoulou","given":"John","non-dropping-particle":"","parse-names":false,"suffix":""},{"dropping-particle":"","family":"Vendruscolo","given":"Michele","non-dropping-particle":"","parse-names":false,"suffix":""},{"dropping-particle":"","family":"Dobson","given":"Christopher M.","non-dropping-particle":"","parse-names":false,"suffix":""}],"container-title":"Journal of the American Chemical Society","id":"ITEM-3","issue":"2","issued":{"date-parts":[["2005"]]},"page":"476-477","publisher":"American Chemical Society","title":"Mapping long-range interactions in α-synuclein using spin-label NMR and ensemble molecular dynamics simulations","type":"article-journal","volume":"127"},"uris":["http://www.mendeley.com/documents/?uuid=382de5dd-a42f-3da7-aa7f-b7bdb19e715c"]},{"id":"ITEM-4","itemData":{"DOI":"10.1016/j.bbadis.2009.12.004","ISBN":"0006-3002 (Print)\\r0006-3002 (Linking)","ISSN":"09254439","PMID":"20026206","abstract":"Oxidative stress and aggregation of the presynaptic protein ??-synuclein (??-Syn) are implied in the pathogenesis of Parkinson's disease and several other neurodegenerative diseases. Various posttranslational modifications, such as oxidation, nitration and truncation, have significant effects on the kinetics of ??-Syn fibrillation in vitro. ??-Syn is a typical natively unfolded protein, which possesses some residual structure. The existence of long-range intra-molecular interactions between the C-terminal tail (residues 120-140) and the central part of ??-Syn (residues 30-100) was recently established (Bertoncini et al. (2005) Proc Natl Acad Sci U S A 102, 1430-1435). Since ??-Syn has four methionines, two of which (Met 1 and 5) are at the N-terminus and the other two (Met 116 and 127) are in the hydrophobic cluster at the C-terminus of protein, the perturbation of these residues via their oxidation represents a good model for studying the effect of long-range interaction on ??-Syn fibril formation. In this paper we show that Met 1, 116, and 127 are more protected from the oxidation than Met 5 likely due to the residual structure in the natively unfolded ??-Syn. In addition to the hydrophobic interactions between the C-terminal hydrophobic cluster and hydrophobic central region of ??-Syn, there are some long-range electrostatic interactions in this protein. Both of these interactions likely serve as auto-inhibitors of ??-Syn fibrillation. Methionine oxidation affects both electrostatic and hydrophobic long-range interactions in ??-Syn. Finally, oxidation of methionines by H2O2 greatly inhibited ??-Syn fibrillation in vitro, leading to the formation of relatively stable oligomers, which are not toxic to dopaminergic and GABAergic neurons. ?? 2009 Elsevier B.V. All rights reserved.","author":[{"dropping-particle":"","family":"Zhou","given":"Wenbo","non-dropping-particle":"","parse-names":false,"suffix":""},{"dropping-particle":"","family":"Long","given":"Chunmei","non-dropping-particle":"","parse-names":false,"suffix":""},{"dropping-particle":"","family":"Reaney","given":"Stephen H","non-dropping-particle":"","parse-names":false,"suffix":""},{"dropping-particle":"","family":"Monte","given":"Donato A","non-dropping-particle":"Di","parse-names":false,"suffix":""},{"dropping-particle":"","family":"Fink","given":"Anthony L","non-dropping-particle":"","parse-names":false,"suffix":""},{"dropping-particle":"","family":"Uversky","given":"Vladimir N","non-dropping-particle":"","parse-names":false,"suffix":""}],"container-title":"Biochimica et Biophysica Acta - Molecular Basis of Disease","id":"ITEM-4","issue":"3","issued":{"date-parts":[["2010"]]},"page":"322-330","title":"Methionine oxidation stabilizes non-toxic oligomers of α-synuclein through strengthening the auto-inhibitory intra-molecular long-range interactions","type":"article-journal","volume":"1802"},"uris":["http://www.mendeley.com/documents/?uuid=99583210-d8c5-39cb-96a4-5cafce42f7ef"]},{"id":"ITEM-5","itemData":{"DOI":"10.1016/j.bpj.2013.07.044","ISSN":"00063495","abstract":"Structural conversion of the presynaptic, intrinsically disordered protein α-synuclein into amyloid fibrils underlies neurotoxicity in Parkinson's disease. The detailed mechanism by which this conversion occurs is largely unknown. Here, we identify a discrete pattern of transient tertiary interactions in monomeric α-synuclein involving amino acid residues that are, in the fibrillar state, part of β-strands. Importantly, this pattern of pairwise interactions does not correspond to that found in the amyloid state. A redistribution of this network of fibril-like contacts must precede aggregation into the amyloid structure. © 2013 Biophysical Society.","author":[{"dropping-particle":"","family":"Esteban-Martín","given":"Santiago","non-dropping-particle":"","parse-names":false,"suffix":""},{"dropping-particle":"","family":"Silvestre-Ryan","given":"Jordi","non-dropping-particle":"","parse-names":false,"suffix":""},{"dropping-particle":"","family":"Bertoncini","given":"Carlos W.","non-dropping-particle":"","parse-names":false,"suffix":""},{"dropping-particle":"","family":"Salvatella","given":"Xavier","non-dropping-particle":"","parse-names":false,"suffix":""}],"container-title":"Biophysical Journal","id":"ITEM-5","issue":"5","issued":{"date-parts":[["2013"]]},"page":"1192-1198","title":"Identification of fibril-like tertiary contacts in soluble monomeric α-synuclein","type":"article-journal","volume":"105"},"uris":["http://www.mendeley.com/documents/?uuid=d4c92998-55e7-4ea6-a4fd-bf1483e90527","http://www.mendeley.com/documents/?uuid=fc3c9b60-db33-4ceb-b415-3b2a692f53ec"]},{"id":"ITEM-6","itemData":{"DOI":"10.1002/pro.149","ISBN":"1469-896X (Electronic)","ISSN":"09618368","PMID":"19475665","abstract":"Alpha-synuclein (alphaS) is the primary component of Lewy bodies, the pathological hallmark of Parkinson's Disease. Aggregation of alphaS is thought to proceed from a primarily disordered state with nascent secondary structure through intermediate conformations to oligomeric forms and finally to mature amyloid fibrils. Low pH conditions lead to conformational changes associated with increased alphaS fibril formation. Here we characterize these structural and dynamic changes using solution state NMR measurements of secondary chemical shifts, relaxation parameters, residual dipolar couplings, and paramagnetic relaxation enhancement. We find that the neutralization of negatively charged side-chains eliminates electrostatic repulsion in the C-terminal tail of alphaS and leads to a collapse of this region at low pH. Hydrophobic contacts between the compact C-terminal tail and the NAC (non-amyloid-beta component) region are maintained and may lead to the formation of a globular domain. Transient long-range contacts between the C-terminus of the protein and regions N-terminal to the NAC region are also preserved. Thus, the release of long-range contacts does not play a role in the increased aggregation of alphaS at low pH, which we instead attribute to the increased hydrophobicity of the protein.","author":[{"dropping-particle":"","family":"McClendon","given":"Sebastian","non-dropping-particle":"","parse-names":false,"suffix":""},{"dropping-particle":"","family":"Rospigliosi","given":"Carla C","non-dropping-particle":"","parse-names":false,"suffix":""},{"dropping-particle":"","family":"Eliezer","given":"David","non-dropping-particle":"","parse-names":false,"suffix":""}],"container-title":"Protein Science","id":"ITEM-6","issue":"7","issued":{"date-parts":[["2009","7"]]},"page":"1531-1540","publisher":"Wiley-Blackwell","title":"Charge neutralization and collapse of the C-terminal tail of alpha-synuclein at low pH","type":"article-journal","volume":"18"},"uris":["http://www.mendeley.com/documents/?uuid=66aef6dc-b8dc-3cff-9a5c-bd72ef95831e"]},{"id":"ITEM-7","itemData":{"DOI":"10.1021/acschemneuro.7b00149","ISSN":"19487193","abstract":"The characteristic cross-β-sheet rich amyloid fibril formation by intrinsically disordered α-Synuclein protein is one of the pathological hallmarks of Parkinson’s disease. Although unstructured in solution, presence of autoinhibitory long-range contacts in monomeric form prevents protein aggregation. Out of the various factors that affect the rate of amyloid formation, familial mutations play an important role in α-Synuclein aggregation. Eventhough these mutations are believed to form aggregation prone intermediate by perturbing these contacts, the correlation between perturbation and rate of fibril formation is not very straightforward. A combination of solution and solid-state NMR in conjunction with other biophysical methods has been used to identify the underlying mechanism behind the anomaly in the rate of aggregation for the novel mutants H50Q (fast aggregating) and G51D (slow aggregating). Perturbation of long-range contacts at the mutation sites and C-terminus in all the six familial mutants of α-...","author":[{"dropping-particle":"","family":"Ranjan","given":"Priyatosh","non-dropping-particle":"","parse-names":false,"suffix":""},{"dropping-particle":"","family":"Kumar","given":"Ashutosh","non-dropping-particle":"","parse-names":false,"suffix":""}],"container-title":"ACS Chemical Neuroscience","id":"ITEM-7","issue":"10","issued":{"date-parts":[["2017","10","18"]]},"page":"2235-2246","publisher":"American Chemical Society","title":"Perturbation in Long-Range Contacts Modulates the Kinetics of Amyloid Formation in α-Synuclein Familial Mutants","type":"article-journal","volume":"8"},"uris":["http://www.mendeley.com/documents/?uuid=357fa9e6-7236-3b33-9df3-56feee2d47e2"]},{"id":"ITEM-8","itemData":{"DOI":"10.1016/J.JMB.2007.07.008","ISSN":"0022-2836","abstract":"The human synuclein protein family includes α-synuclein, which has been linked to both familial and sporadic Parkinson's disease, and the highly homologous β and γ-synuclein. Mutations in α-synuclein cause autosomal dominant early onset Parkinson's, and the protein is found deposited in a fibrillar form in hereditary and idiopathic forms of the disease. No genetic link between β and γ-synuclein, and any neurodegenerative disease has been established, and it is generally considered that these proteins are not highly pathogenic. In addition, β and γ-synuclein are reported to aggregate less readily than α-synuclein in vitro. Indeed, β-synuclein has been reported to protect against α-synuclein aggregation in vitro, as well as α-synuclein-mediated toxicity in vivo. Earlier, we compared the structural properties of the highly helical states adopted by all three synucleins in association with detergent micelles in an attempt to delineate the basis for functional differences between the three proteins. Here, we report a comparison of the structural and dynamic properties of the free states of all three proteins in order to shed light on differences that may help to explain their different propensities to aggregate, which in turn may underlie their differing contributions to the etiology of Parkinson's disease. We find that γ-synuclein closely resembles α-synuclein in its free-state residual secondary structure, consistent with the more similar propensities of the two proteins to aggregate in vitro. β-Synuclein, however, differs significantly from α-synuclein, exhibiting a lower predisposition towards helical structure in the second half of its lipid-binding domain, and a higher preference for extended structures in its C-terminal tail. Both β and γ-synuclein show less extensive transient long-range structure than that observed in α-synuclein. These results raise questions regarding the role of secondary structure propensities and transient long-range contacts in directing synuclein aggregation reactions.","author":[{"dropping-particle":"","family":"Sung","given":"Yoon-hui","non-dropping-particle":"","parse-names":false,"suffix":""},{"dropping-particle":"","family":"Eliezer","given":"David","non-dropping-particle":"","parse-names":false,"suffix":""}],"container-title":"Journal of Molecular Biology","id":"ITEM-8","issue":"3","issued":{"date-parts":[["2007","9","21"]]},"page":"689-707","publisher":"Academic Press","title":"Residual Structure, Backbone Dynamics, and Interactions within the Synuclein Family","type":"article-journal","volume":"372"},"uris":["http://www.mendeley.com/documents/?uuid=b08e24a9-c75f-34eb-a9e6-bc9c1d918f63"]},{"id":"ITEM-9","itemData":{"DOI":"10.1073/pnas.0407146102","ISBN":"0027-8424","ISSN":"0027-8424","PMID":"15671169","abstract":"In idiopathic Parkinson's disease, intracytoplasmic neuronal inclusions (Lewy bodies) containing aggregates of the protein alpha-synuclein (alphaS) are deposited in the pigmented nuclei of the brainstem. The mechanisms underlying the structural transition of innocuous, presumably natively unfolded, alphaS to neurotoxic forms are largely unknown. Using paramagnetic relaxation enhancement and NMR dipolar couplings, we show that monomeric alphaS assumes conformations that are stabilized by long-range interactions and act to inhibit oligomerization and aggregation. The autoinhibitory conformations fluctuate in the range of nanoseconds to micro-seconds corresponding to the time scale of secondary structure formation during folding. Polyamine binding and/or temperature increase, conditions that induce aggregation in vitro, release this inherent tertiary structure, leading to a completely unfolded conformation that associates readily. Stabilization of the native, autoinhibitory structure of alphaS constitutes a potential strategy for reducing or inhibiting oligomerization and aggregation in Parkinson's disease.","author":[{"dropping-particle":"","family":"Bertoncini","given":"C. W.","non-dropping-particle":"","parse-names":false,"suffix":""},{"dropping-particle":"","family":"Jung","given":"Y.-S.","non-dropping-particle":"","parse-names":false,"suffix":""},{"dropping-particle":"","family":"Fernandez","given":"C. O.","non-dropping-particle":"","parse-names":false,"suffix":""},{"dropping-particle":"","family":"Hoyer","given":"W.","non-dropping-particle":"","parse-names":false,"suffix":""},{"dropping-particle":"","family":"Griesinger","given":"C.","non-dropping-particle":"","parse-names":false,"suffix":""},{"dropping-particle":"","family":"Jovin","given":"T. M.","non-dropping-particle":"","parse-names":false,"suffix":""},{"dropping-particle":"","family":"Zweckstetter","given":"M.","non-dropping-particle":"","parse-names":false,"suffix":""}],"container-title":"Proceedings of the National Academy of Sciences","id":"ITEM-9","issue":"5","issued":{"date-parts":[["2005"]]},"page":"1430-1435","title":"From The Cover: Release of long-range tertiary interactions potentiates aggregation of natively unstructured  -synuclein","type":"article-journal","volume":"102"},"uris":["http://www.mendeley.com/documents/?uuid=f03e4540-34b8-4b6a-ab94-62b7c56ae58e"]},{"id":"ITEM-10","itemData":{"DOI":"10.1016/j.tibs.2018.11.005","ISSN":"13624326","abstract":"The presynaptic protein α-synuclein (aSyn) is an ‘intrinsically disordered protein’ that is highly dynamic in conformation. Transient intramolecular interactions between its charged N and C termini, and between its hydrophobic region and the C terminus, prevent self-association. These interactions inhibit the formation of insoluble inclusions, which are the pathological hallmark of Parkinson's disease and many other synucleinopathies. This review discusses how these intramolecular interactions are influenced by the specific environment aSyn is in. We discuss how charge, pH, calcium, and salt affect the physiological structure of monomeric aSyn, and how they may favour the formation of toxic structures. The more we understand the dynamic conformations of aSyn, the better we can design desperately needed therapeutics to prevent disease progression.","author":[{"dropping-particle":"","family":"Stephens","given":"Amberley D.","non-dropping-particle":"","parse-names":false,"suffix":""},{"dropping-particle":"","family":"Zacharopoulou","given":"Maria","non-dropping-particle":"","parse-names":false,"suffix":""},{"dropping-particle":"","family":"Kaminski Schierle","given":"Gabriele S.","non-dropping-particle":"","parse-names":false,"suffix":""}],"container-title":"Trends in Biochemical Sciences","id":"ITEM-10","issue":"5","issued":{"date-parts":[["2019","12","7"]]},"page":"453-466","publisher":"Elsevier Current Trends","title":"The Cellular Environment Affects Monomeric α-Synuclein Structure","type":"article-journal","volume":"44"},"uris":["http://www.mendeley.com/documents/?uuid=4626f0a2-02fe-3be0-b212-7931ce059bd9"]}],"mendeley":{"formattedCitation":"&lt;sup&gt;6,17–25&lt;/sup&gt;","plainTextFormattedCitation":"6,17–25","previouslyFormattedCitation":"&lt;sup&gt;6,17–25&lt;/sup&gt;"},"properties":{"noteIndex":0},"schema":"https://github.com/citation-style-language/schema/raw/master/csl-citation.json"}</w:instrText>
      </w:r>
      <w:r w:rsidRPr="0095510F">
        <w:fldChar w:fldCharType="separate"/>
      </w:r>
      <w:r w:rsidR="003662AA" w:rsidRPr="003662AA">
        <w:rPr>
          <w:noProof/>
          <w:vertAlign w:val="superscript"/>
        </w:rPr>
        <w:t>6,17–25</w:t>
      </w:r>
      <w:r w:rsidRPr="0095510F">
        <w:fldChar w:fldCharType="end"/>
      </w:r>
      <w:r w:rsidRPr="0095510F">
        <w:t xml:space="preserve"> (Figure 1b). The importance of these long-range interactions was demonstrated in studies in which charge and hydrophobicity of the protein were altered by mutations, particularly </w:t>
      </w:r>
      <w:r w:rsidRPr="0095510F">
        <w:lastRenderedPageBreak/>
        <w:t xml:space="preserve">at the C-terminus, leading to differences in </w:t>
      </w:r>
      <w:r w:rsidR="00EC5900">
        <w:t xml:space="preserve">the </w:t>
      </w:r>
      <w:r w:rsidRPr="0095510F">
        <w:t xml:space="preserve">aggregation propensity </w:t>
      </w:r>
      <w:r w:rsidR="00EC5900">
        <w:t xml:space="preserve">of aSyn </w:t>
      </w:r>
      <w:r w:rsidRPr="0095510F">
        <w:fldChar w:fldCharType="begin" w:fldLock="1"/>
      </w:r>
      <w:r w:rsidR="00373BC0">
        <w:instrText>ADDIN CSL_CITATION {"citationItems":[{"id":"ITEM-1","itemData":{"DOI":"10.1016/j.bpj.2017.08.027","ISSN":"15420086","PMID":"28939194","abstract":"Aggregation of neuronal protein α-synuclein leads to the formation of amyloid fibrils, which are associated with the development of Parkinson's disease. The mechanism of α-synuclein pathology is not fully understood and is a subject of active research in the field. To tackle this problem, the fusions of fluorescent proteins to α-synuclein C-terminus are often used in cellular and animal studies. The effects induced by such α-synuclein sequence extension on α-synuclein aggregation propensity are, however, not systematically examined despite the evidence that the negatively charged C-terminus plays a critical role in the regulation of α-synuclein aggregation. In this work, we investigated how the charge and length variations of the C-terminus affect the aggregation propensity of α-synuclein. To address these questions, we prepared mutants of α-synuclein carrying additional moieties of different charge and length at the protein C-terminus. We determined the rates of two different aggregation stages (primary nucleation and elongation) based on a thioflavin T kinetic assay. We observed that all mutants bearing neutrally charged moieties of different length fibrilized slower than wild-type α-synuclein. The primary nucleation and elongation rates strongly decreased with increase of the C-terminal extension length. Meanwhile, charge variation of the C-terminus significantly changed the rate of α-synuclein nucleation, but did not markedly affect the rate of fibril elongation. Our data demonstrate that both the charge and length of the C-terminus play an important role at the stage of initial fibril formation, but the stage of fibril elongation is affected mainly by the length of C-terminal extension. In addition, our results suggest that there are at least two steps of incorporation of α-synuclein monomers into the amyloid fibril: namely, the initial monomer binding to the fibril end (charge-dependent, relatively fast), and the subsequent conformational change of the protein (charge-independent, relatively slow, and thus the rate-limiting step).","author":[{"dropping-particle":"","family":"Afitska","given":"Kseniia","non-dropping-particle":"","parse-names":false,"suffix":""},{"dropping-particle":"","family":"Fucikova","given":"Anna","non-dropping-particle":"","parse-names":false,"suffix":""},{"dropping-particle":"V","family":"Shvadchak","given":"Volodymyr","non-dropping-particle":"","parse-names":false,"suffix":""},{"dropping-particle":"","family":"Yushchenko","given":"Dmytro A","non-dropping-particle":"","parse-names":false,"suffix":""}],"container-title":"Biophysical Journal","id":"ITEM-1","issue":"10","issued":{"date-parts":[["2017","9","19"]]},"page":"2182-2191","publisher":"Elsevier","title":"Modification of C Terminus Provides New Insights into the Mechanism of α-Synuclein Aggregation","type":"article-journal","volume":"113"},"uris":["http://www.mendeley.com/documents/?uuid=d01707ef-2636-3b4c-a1b4-d4eee5422d1d"]},{"id":"ITEM-2","itemData":{"DOI":"10.1016/j.bbadis.2008.07.004","ISSN":"09254439","abstract":"Substantial evidence suggests that the fibrillation of α-synuclein is a critical step in the development of Parkinson's disease. In vitro, α-synuclein forms fibrils with morphologies and a staining characteristic similar to those extracted from disease-affected brain. Monomeric α-synuclein is an intrinsically disordered protein, with three Tyr residues in the C-terminal region, one in the N-terminus, and lacking Trp. It is thought that interactions between the C-terminus and the central portion of the molecule may prevent or minimize aggregation/fibrillation. To test this hypothesis we examined the importance of the Tyr residues on the propensity for α-synuclein to fibrillate in vitro. Fibril formation of α-synuclein was completely inhibited, in the timescale over which measurements were made, by replacing the three C-terminal Tyr residues with Ala. In addition, substitution of Tyr133 by Ala also resulted in the absence of fibrillation, whereas the individual Y125A and Y136A mutants showed limited inhibition. Replacement of Tyr39 by Ala also resulted in substantial inhibition of fibrillation. Structural analysis showed that the Y133A mutant had a substantially different conformation, rich in α-helical secondary structure, as compared with the wild-type and other mutants, although the formation of any tertiary structure has not been observed as can be judged from near-UV-CD spectra. These observations suggest that the long-range intramolecular interactions between the N- and C-termini of α-synuclein are likely to be crucial to the fibrillation process. © 2008 Elsevier B.V. All rights reserved.","author":[{"dropping-particle":"","family":"Ulrih","given":"Nataša Poklar","non-dropping-particle":"","parse-names":false,"suffix":""},{"dropping-particle":"","family":"Barry","given":"Christopher H","non-dropping-particle":"","parse-names":false,"suffix":""},{"dropping-particle":"","family":"Fink","given":"Anthony L","non-dropping-particle":"","parse-names":false,"suffix":""}],"container-title":"Biochimica et Biophysica Acta - Molecular Basis of Disease","id":"ITEM-2","issue":"10","issued":{"date-parts":[["2008"]]},"page":"581-585","title":"Impact of Tyr to Ala mutations on α-synuclein fibrillation and structural properties","type":"article-journal","volume":"1782"},"uris":["http://www.mendeley.com/documents/?uuid=3ce9a747-af03-393f-80c3-32177db2572e"]},{"id":"ITEM-3","itemData":{"DOI":"10.1101/700377","abstract":"α-Synuclein (aSyn) aggregation is thought to play a central role in neurodegenerative disorders termed synucleinopathies, including Parkinson’s disease (PD). Mouse aSyn contains a threonine residue at position 53 that mimics the human familial PD substitution A53T, yet in contrast to A53T patients, mice show no evidence of aSyn neuropathology even after aging. Here we studied the neurotoxicity of human A53T, mouse aSyn, and various human-mouse chimeras in cellular and in vivo models as well as their biochemical properties relevant to aSyn pathobiology. We report that mouse aSyn is less neurotoxic than the human A53T variant as a result of inhibitory effects of two C-terminal amino acid substitutions on membrane-induced aSyn aggregation and aSyn-mediated vesicle permeabilization. Our findings highlight the importance of membrane-induced self-assembly in aSyn neurotoxicity and suggest that inhibiting this process by targeting the C-terminal domain could slow neurodegeneration in PD and other synucleinopathy disorders.","author":[{"dropping-particle":"","family":"Landeck","given":"Natalie","non-dropping-particle":"","parse-names":false,"suffix":""},{"dropping-particle":"","family":"Strathearn","given":"Katherine E E","non-dropping-particle":"","parse-names":false,"suffix":""},{"dropping-particle":"","family":"Ysselstein","given":"Daniel","non-dropping-particle":"","parse-names":false,"suffix":""},{"dropping-particle":"","family":"Buck","given":"Kerstin","non-dropping-particle":"","parse-names":false,"suffix":""},{"dropping-particle":"","family":"Hulleman","given":"John D D","non-dropping-particle":"","parse-names":false,"suffix":""},{"dropping-particle":"","family":"Hindupur","given":"Jagadish","non-dropping-particle":"","parse-names":false,"suffix":""},{"dropping-particle":"","family":"Griggs","given":"Amy M M","non-dropping-particle":"","parse-names":false,"suffix":""},{"dropping-particle":"","family":"Padalkar","given":"Sonal","non-dropping-particle":"","parse-names":false,"suffix":""},{"dropping-particle":"","family":"Stanciu","given":"A","non-dropping-particle":"","parse-names":false,"suffix":""},{"dropping-particle":"","family":"Kirik","given":"Deniz","non-dropping-particle":"","parse-names":false,"suffix":""},{"dropping-particle":"","family":"Rochet","given":"Jean-christophe","non-dropping-particle":"","parse-names":false,"suffix":""}],"container-title":"bioRxiv","id":"ITEM-3","issued":{"date-parts":[["2019","7","12"]]},"page":"700377","publisher":"Cold Spring Harbor Laboratory","title":"Two C-terminal sequence variations determine differential neurotoxicity between human and mouse α -synuclein","type":"article-journal"},"uris":["http://www.mendeley.com/documents/?uuid=6a1cf845-e871-4a93-aa3a-559758dce0b3"]},{"id":"ITEM-4","itemData":{"DOI":"10.1101/500058","abstract":"Although converging evidence point to α-synuclein (α-syn) aggregation and Lewy body (LB) formation as central events in Parkinson’s disease (PD), the molecular mechanisms that regulate these processes and their role in disease pathogenesis remain poorly understood. Herein, we applied an integrative biochemical, structural and imaging approach to elucidate the sequence, molecular and cellular mechanisms that regulate LB formation in primary neurons. Our results establish that post-fibrillization C-terminal truncation mediated by calpains 1 and 2 and potentially other enzymes, plays critical roles in regulating α-syn seeding, fibrillization and orchestrates many of the events associated with LB formation and maturation. These findings combined with the abundance of α-syn truncated species in LBs and pathological α-syn aggregates have significant implications for ongoing efforts to develop therapeutic strategies based on targeting the C-terminus of α-syn or proteolytic processing of this region.","author":[{"dropping-particle":"","family":"Mahul-Mellier","given":"Anne-Laure","non-dropping-particle":"","parse-names":false,"suffix":""},{"dropping-particle":"","family":"Altay","given":"Melek Firat","non-dropping-particle":"","parse-names":false,"suffix":""},{"dropping-particle":"","family":"Burtscher","given":"Johannes","non-dropping-particle":"","parse-names":false,"suffix":""},{"dropping-particle":"","family":"Maharjan","given":"Niran","non-dropping-particle":"","parse-names":false,"suffix":""},{"dropping-particle":"","family":"Ait-Bouziad","given":"Nadine","non-dropping-particle":"","parse-names":false,"suffix":""},{"dropping-particle":"","family":"Chiki","given":"Anass","non-dropping-particle":"","parse-names":false,"suffix":""},{"dropping-particle":"","family":"Vingill","given":"Siv","non-dropping-particle":"","parse-names":false,"suffix":""},{"dropping-particle":"","family":"Wade-Martins","given":"Richard","non-dropping-particle":"","parse-names":false,"suffix":""},{"dropping-particle":"","family":"Holton","given":"Janice","non-dropping-particle":"","parse-names":false,"suffix":""},{"dropping-particle":"","family":"Strand","given":"Catherine","non-dropping-particle":"","parse-names":false,"suffix":""},{"dropping-particle":"","family":"Haikal","given":"Caroline","non-dropping-particle":"","parse-names":false,"suffix":""},{"dropping-particle":"","family":"Li","given":"Jia-Yi","non-dropping-particle":"","parse-names":false,"suffix":""},{"dropping-particle":"","family":"Hamelin","given":"Romain","non-dropping-particle":"","parse-names":false,"suffix":""},{"dropping-particle":"","family":"Croisier","given":"Marie","non-dropping-particle":"","parse-names":false,"suffix":""},{"dropping-particle":"","family":"Knott","given":"Graham","non-dropping-particle":"","parse-names":false,"suffix":""},{"dropping-particle":"","family":"Mairet-Coello","given":"Georges","non-dropping-particle":"","parse-names":false,"suffix":""},{"dropping-particle":"","family":"Weerens","given":"Laura","non-dropping-particle":"","parse-names":false,"suffix":""},{"dropping-particle":"","family":"Michel","given":"Anne","non-dropping-particle":"","parse-names":false,"suffix":""},{"dropping-particle":"","family":"Downey","given":"Patrick","non-dropping-particle":"","parse-names":false,"suffix":""},{"dropping-particle":"","family":"Citron","given":"Martin","non-dropping-particle":"","parse-names":false,"suffix":""},{"dropping-particle":"","family":"Lashuel","given":"Hilal A.","non-dropping-particle":"","parse-names":false,"suffix":""}],"container-title":"bioRxiv","id":"ITEM-4","issued":{"date-parts":[["2018","12","19"]]},"page":"500058","publisher":"Cold Spring Harbor Laboratory","title":"The making of a Lewy body: the role of α-synuclein post-fibrillization modifications in regulating the formation and the maturation of pathological inclusions","type":"article-journal"},"uris":["http://www.mendeley.com/documents/?uuid=63de6032-b7ed-3be8-96c5-55c37cb241ef"]}],"mendeley":{"formattedCitation":"&lt;sup&gt;26–29&lt;/sup&gt;","plainTextFormattedCitation":"26–29","previouslyFormattedCitation":"&lt;sup&gt;26–29&lt;/sup&gt;"},"properties":{"noteIndex":0},"schema":"https://github.com/citation-style-language/schema/raw/master/csl-citation.json"}</w:instrText>
      </w:r>
      <w:r w:rsidRPr="0095510F">
        <w:fldChar w:fldCharType="separate"/>
      </w:r>
      <w:r w:rsidR="00373BC0" w:rsidRPr="00373BC0">
        <w:rPr>
          <w:noProof/>
          <w:vertAlign w:val="superscript"/>
        </w:rPr>
        <w:t>26–29</w:t>
      </w:r>
      <w:r w:rsidRPr="0095510F">
        <w:fldChar w:fldCharType="end"/>
      </w:r>
      <w:r w:rsidRPr="0095510F">
        <w:t>. Reduction of charge also occurs during the binding of metal ions, salt ions or polyamines which leads to shielding of the charged N- and C-termini and which permits more energetically favourable packing</w:t>
      </w:r>
      <w:r w:rsidR="00A80D19">
        <w:t xml:space="preserve"> into fibrils</w:t>
      </w:r>
      <w:r w:rsidRPr="0095510F">
        <w:t xml:space="preserve"> </w:t>
      </w:r>
      <w:r w:rsidRPr="0095510F">
        <w:fldChar w:fldCharType="begin" w:fldLock="1"/>
      </w:r>
      <w:r w:rsidR="00373BC0">
        <w:instrText xml:space="preserve">ADDIN CSL_CITATION {"citationItems":[{"id":"ITEM-1","itemData":{"DOI":"10.1038/srep41051","ISSN":"2045-2322","PMID":"28112214","abstract":"The aggregation of the intrinsically disordered protein alpha-synuclein (αS) into amyloid fibrils is thought to play a central role in the pathology of Parkinson's disease. Using a combination of techniques (AFM, UV-CD, XRD, and amide-I 1D- and 2D-IR spectroscopy) we show that the structure of αS fibrils varies as a function of ionic strength: fibrils aggregated in low ionic-strength buffers ([NaCl] ≤ 25 mM) have a significantly different structure than fibrils grown in higher ionic-strength buffers. The observations for fibrils aggregated in low-salt buffers are consistent with an extended conformation of αS molecules, forming hydrogen-bonded intermolecular β-sheets that are loosely packed in a parallel fashion. For fibrils aggregated in high-salt buffers (including those prepared in buffers with a physiological salt concentration) the measurements are consistent with αS molecules in a more tightly-packed, antiparallel intramolecular conformation, and suggest a structure characterized by two twisting stacks of approximately five hydrogen-bonded intermolecular β-sheets each. We find evidence that the high-frequency peak in the amide-I spectrum of αS fibrils involves a normal mode that differs fundamentally from the canonical high-frequency antiparallel β-sheet mode. The high sensitivity of the fibril structure to the ionic strength might form the basis of differences in αS-related pathologies.","author":[{"dropping-particle":"","family":"Roeters","given":"Steven J.","non-dropping-particle":"","parse-names":false,"suffix":""},{"dropping-particle":"","family":"Iyer","given":"Aditya","non-dropping-particle":"","parse-names":false,"suffix":""},{"dropping-particle":"","family":"Pletikapić","given":"Galja","non-dropping-particle":"","parse-names":false,"suffix":""},{"dropping-particle":"","family":"Kogan","given":"Vladimir","non-dropping-particle":"","parse-names":false,"suffix":""},{"dropping-particle":"","family":"Subramaniam","given":"Vinod","non-dropping-particle":"","parse-names":false,"suffix":""},{"dropping-particle":"","family":"Woutersen","given":"Sander","non-dropping-particle":"","parse-names":false,"suffix":""}],"container-title":"Scientific Reports","id":"ITEM-1","issued":{"date-parts":[["2017","1","23"]]},"page":"41051","publisher":"Nature Publishing Group","title":"Evidence for Intramolecular Antiparallel Beta-Sheet Structure in Alpha-Synuclein Fibrils from a Combination of Two-Dimensional Infrared Spectroscopy and Atomic Force Microscopy","type":"article-journal","volume":"7"},"uris":["http://www.mendeley.com/documents/?uuid=72595895-473f-336f-a7a7-2350664d0fa7"]},{"id":"ITEM-2","itemData":{"DOI":"10.1021/ja0618649","ISBN":"1611616123","ISSN":"00027863","PMID":"16866548","abstract":"The aggregation of R-synuclein (AS) is characteristic of Parkinson's disease and other neurodegenerative synucleinopathies. Interactions with metal ions affect dramatically the kinetics of fibrillation of AS in vitro and are proposed to play a potential role in vivo. We recently showed that Cu(II) binds at the N-terminus of AS with high affinity (Kd </w:instrText>
      </w:r>
      <w:r w:rsidR="00373BC0">
        <w:rPr>
          <w:rFonts w:ascii="Cambria Math" w:hAnsi="Cambria Math" w:cs="Cambria Math"/>
        </w:rPr>
        <w:instrText>∼</w:instrText>
      </w:r>
      <w:r w:rsidR="00373BC0">
        <w:instrText xml:space="preserve"> 0.1 </w:instrText>
      </w:r>
      <w:r w:rsidR="00373BC0">
        <w:rPr>
          <w:rFonts w:ascii="Calibri" w:hAnsi="Calibri" w:cs="Calibri"/>
        </w:rPr>
        <w:instrText>µ</w:instrText>
      </w:r>
      <w:r w:rsidR="00373BC0">
        <w:instrText>M) and accelerates its fibrillation. In this work we investigated the binding features of the divalent metal ions Fe(II), Mn(II), Co(II), and Ni(II), and their effects on AS aggregation. By exploiting the different paramagnetic properties of these metal ions, NMR spectroscopy provides detailed information about the protein-metal interactions at the atomic level. The divalent metal ions bind preferentially and with low affinity (millimolar) to the C-terminus of AS, the primary binding site being the 119 DPDNEA 124 motif, in which Asp121 acts as the main anchoring residue. Combined with backbone residual dipolar coupling measurements, these results suggest that metal binding is not driven exclusively by electrostatic interactions but is mostly determined by the residual structure of the C-terminus of AS. A comparative analysis with Cu(II) revealed a hierarchal effect of AS-metal(II) interactions on AS aggregation kinetics, dictated by structural factors corresponding to different protein domains. These findings reveal a strong link between the specificity of AS-metal(II) interactions and the enhancement of aggregation of AS in vitro. The elucidation of the structural basis of AS metal binding specificity is then required to elucidate the mechanism and clarify the role of metal-protein interactions in the etiology of Parkinson's disease.","author":[{"dropping-particle":"","family":"Binolfi","given":"Andrés","non-dropping-particle":"","parse-names":false,"suffix":""},{"dropping-particle":"","family":"Rasia","given":"Rodolfo M","non-dropping-particle":"","parse-names":false,"suffix":""},{"dropping-particle":"","family":"Bertoncini","given":"Carlos W","non-dropping-particle":"","parse-names":false,"suffix":""},{"dropping-particle":"","family":"Ceolin","given":"Marcelo","non-dropping-particle":"","parse-names":false,"suffix":""},{"dropping-particle":"","family":"Zweckstetter","given":"Markus","non-dropping-particle":"","parse-names":false,"suffix":""},{"dropping-particle":"","family":"Griesinger","given":"Christian","non-dropping-particle":"","parse-names":false,"suffix":""},{"dropping-particle":"","family":"Jovin","given":"Thomas M","non-dropping-particle":"","parse-names":false,"suffix":""},{"dropping-particle":"","family":"Fernández","given":"Claudio O.","non-dropping-particle":"","parse-names":false,"suffix":""}],"container-title":"Journal of the American Chemical Society","id":"ITEM-2","issue":"30","issued":{"date-parts":[["2006"]]},"page":"9893-9901","title":"Interaction of α-synuclein with divalent metal ions reveals key differences: A link between structure, binding specificity and fibrillation enhancement","type":"article-journal","volume":"128"},"uris":["http://www.mendeley.com/documents/?uuid=6784a789-b1e5-31a1-9f49-b82263ed3139"]}],"mendeley":{"formattedCitation":"&lt;sup&gt;8,30&lt;/sup&gt;","plainTextFormattedCitation":"8,30","previouslyFormattedCitation":"&lt;sup&gt;8,30&lt;/sup&gt;"},"properties":{"noteIndex":0},"schema":"https://github.com/citation-style-language/schema/raw/master/csl-citation.json"}</w:instrText>
      </w:r>
      <w:r w:rsidRPr="0095510F">
        <w:fldChar w:fldCharType="separate"/>
      </w:r>
      <w:r w:rsidR="00373BC0" w:rsidRPr="00373BC0">
        <w:rPr>
          <w:noProof/>
          <w:vertAlign w:val="superscript"/>
        </w:rPr>
        <w:t>8,30</w:t>
      </w:r>
      <w:r w:rsidRPr="0095510F">
        <w:fldChar w:fldCharType="end"/>
      </w:r>
      <w:r w:rsidRPr="0095510F">
        <w:t xml:space="preserve">. </w:t>
      </w:r>
    </w:p>
    <w:p w14:paraId="1841BC9E" w14:textId="2BFF2D96" w:rsidR="0095510F" w:rsidRPr="0095510F" w:rsidRDefault="0095510F" w:rsidP="0095510F">
      <w:pPr>
        <w:spacing w:line="360" w:lineRule="auto"/>
        <w:jc w:val="both"/>
      </w:pPr>
      <w:r w:rsidRPr="0095510F">
        <w:t>Furthermore, post-translational modifications (PTM), such as nitration and phosphorylation, also alter aggregation rates of aSyn. In particular, phosphorylation of S129 which increases the negative charge of the C-terminus by the addition of a PO</w:t>
      </w:r>
      <w:r w:rsidRPr="0095510F">
        <w:rPr>
          <w:vertAlign w:val="subscript"/>
        </w:rPr>
        <w:t>4</w:t>
      </w:r>
      <w:r w:rsidR="00621ADE">
        <w:rPr>
          <w:vertAlign w:val="superscript"/>
        </w:rPr>
        <w:t>2-</w:t>
      </w:r>
      <w:r w:rsidRPr="0095510F">
        <w:t xml:space="preserve"> group seems to be pertinent in disease as only 4% of monomeric aSyn is phosphorylated, yet 96% of aSyn in LB and LN are phosphorylated </w:t>
      </w:r>
      <w:r w:rsidRPr="0095510F">
        <w:fldChar w:fldCharType="begin" w:fldLock="1"/>
      </w:r>
      <w:r w:rsidR="00373BC0">
        <w:instrText>ADDIN CSL_CITATION {"citationItems":[{"id":"ITEM-1","itemData":{"DOI":"10.1074/jbc.M600933200","ISSN":"0021-9258","PMID":"16847063","abstract":"A comprehensive, unbiased inventory of synuclein forms present in Lewy bodies from patients with dementia with Lewy bodies was carried out using two-dimensional immunoblot analysis, novel sandwich enzyme-linked immunosorbent assays with modification-specific synuclein antibodies, and mass spectroscopy. The predominant modification of alpha-synuclein in Lewy bodies is a single phosphorylation at Ser-129. In addition, there is a set of characteristic modifications that are present to a lesser extent, including ubiquitination at Lys residues 12, 21, and 23 and specific truncations at Asp-115, Asp-119, Asn-122, Tyr-133, and Asp-135. No other modifications are detectable by tandem mass spectrometry mapping, except for a ubiquitous N-terminal acetylation. Small amounts of Ser-129 phosphorylated and Asp-119-truncated alpha-synuclein are present in the soluble fraction of both normal and disease brains, suggesting that these Lewy body-associated forms are produced during normal metabolism of alpha-synuclein. In contrast, ubiquitination is only detected in Lewy bodies and is primarily present on phosphorylated synuclein; it therefore likely occurs after phosphorylated synuclein has deposited into Lewy bodies. This invariant pattern of specific phosphorylation, truncation, and ubiquitination is also present in the detergent-insoluble fraction of brain from patients with familial Parkinson's disease (synuclein A53T mutation) as well as multiple system atrophy, suggesting a common pathogenic pathway for both genetic and sporadic Lewy body diseases. These observations are most consistent with a model in which preferential accumulation of normally produced Ser-129 phosphorylated alpha-synuclein is the key event responsible for the formation of Lewy bodies in various Lewy body diseases.","author":[{"dropping-particle":"","family":"Anderson","given":"John P","non-dropping-particle":"","parse-names":false,"suffix":""},{"dropping-particle":"","family":"Walker","given":"Donald E","non-dropping-particle":"","parse-names":false,"suffix":""},{"dropping-particle":"","family":"Goldstein","given":"Jason M","non-dropping-particle":"","parse-names":false,"suffix":""},{"dropping-particle":"","family":"Laat","given":"Rian","non-dropping-particle":"de","parse-names":false,"suffix":""},{"dropping-particle":"","family":"Banducci","given":"Kelly","non-dropping-particle":"","parse-names":false,"suffix":""},{"dropping-particle":"","family":"Caccavello","given":"Russell J","non-dropping-particle":"","parse-names":false,"suffix":""},{"dropping-particle":"","family":"Barbour","given":"Robin","non-dropping-particle":"","parse-names":false,"suffix":""},{"dropping-particle":"","family":"Huang","given":"Jiping","non-dropping-particle":"","parse-names":false,"suffix":""},{"dropping-particle":"","family":"Kling","given":"Kristin","non-dropping-particle":"","parse-names":false,"suffix":""},{"dropping-particle":"","family":"Lee","given":"Michael","non-dropping-particle":"","parse-names":false,"suffix":""},{"dropping-particle":"","family":"Diep","given":"Linnea","non-dropping-particle":"","parse-names":false,"suffix":""},{"dropping-particle":"","family":"Keim","given":"Pamela S","non-dropping-particle":"","parse-names":false,"suffix":""},{"dropping-particle":"","family":"Shen","given":"Xiaofeng","non-dropping-particle":"","parse-names":false,"suffix":""},{"dropping-particle":"","family":"Chataway","given":"Tim","non-dropping-particle":"","parse-names":false,"suffix":""},{"dropping-particle":"","family":"Schlossmacher","given":"Michael G","non-dropping-particle":"","parse-names":false,"suffix":""},{"dropping-particle":"","family":"Seubert","given":"Peter","non-dropping-particle":"","parse-names":false,"suffix":""},{"dropping-particle":"","family":"Schenk","given":"Dale","non-dropping-particle":"","parse-names":false,"suffix":""},{"dropping-particle":"","family":"Sinha","given":"Sukanto","non-dropping-particle":"","parse-names":false,"suffix":""},{"dropping-particle":"","family":"Gai","given":"Wei Ping","non-dropping-particle":"","parse-names":false,"suffix":""},{"dropping-particle":"","family":"Chilcote","given":"Tamie J","non-dropping-particle":"","parse-names":false,"suffix":""}],"container-title":"The Journal of biological chemistry","id":"ITEM-1","issue":"40","issued":{"date-parts":[["2006","10","6"]]},"page":"29739-52","publisher":"American Society for Biochemistry and Molecular Biology","title":"Phosphorylation of Ser-129 is the dominant pathological modification of alpha-synuclein in familial and sporadic Lewy body disease.","type":"article-journal","volume":"281"},"uris":["http://www.mendeley.com/documents/?uuid=480c36f9-f747-3da2-94ed-68d5842e9a64"]}],"mendeley":{"formattedCitation":"&lt;sup&gt;31&lt;/sup&gt;","plainTextFormattedCitation":"31","previouslyFormattedCitation":"&lt;sup&gt;31&lt;/sup&gt;"},"properties":{"noteIndex":0},"schema":"https://github.com/citation-style-language/schema/raw/master/csl-citation.json"}</w:instrText>
      </w:r>
      <w:r w:rsidRPr="0095510F">
        <w:fldChar w:fldCharType="separate"/>
      </w:r>
      <w:r w:rsidR="00373BC0" w:rsidRPr="00373BC0">
        <w:rPr>
          <w:noProof/>
          <w:vertAlign w:val="superscript"/>
        </w:rPr>
        <w:t>31</w:t>
      </w:r>
      <w:r w:rsidRPr="0095510F">
        <w:fldChar w:fldCharType="end"/>
      </w:r>
      <w:r w:rsidRPr="0095510F">
        <w:t xml:space="preserve">. However, it is not clear whether phosphorylation of S129 is involved in the physiological or pathological function of aSyn, whether it enhances aggregation </w:t>
      </w:r>
      <w:r w:rsidRPr="0095510F">
        <w:fldChar w:fldCharType="begin" w:fldLock="1"/>
      </w:r>
      <w:r w:rsidR="00373BC0">
        <w:instrText>ADDIN CSL_CITATION {"citationItems":[{"id":"ITEM-1","itemData":{"DOI":"10.1038/ncb748","ISSN":"14657392","abstract":"The deposition of the abundant presynaptic brain protein α-synuclein as fibrillary aggregates in neurons or glial cells is a hallmark lesion in a subset of neurodegenerative disorders. These disorders include Parkinson’s disease (PD), dementia with Lewy bodies (DLB) and multiple system atrophy, collectively referred to as synucleinopathies 1,2 . Importantly, the identification of missense mutations in the α-synuclein gene in some pedigrees of familial PD has strongly implicated α-synuclein in the pathogenesis of PD and other synucleinopathies 3 . However, specific post-translational modifications that underlie the aggregation of α-synuclein in affected brains have not, as yet, been identified. Here, we show by mass spectrometry analysis and studies with an antibody that specifically recognizes phospho-Ser 129 of α-synuclein, that this residue is selectively and extensively phosphorylated in synucleinopathy lesions. Furthermore, phosphorylation of α-synuclein at Ser 129 promoted fibril formation in vitro. These results highlight the importance of phosphorylation of filamentous proteins in the pathogenesis of neurodegenerative disorders. © 2002 Nature Publishing Group.","author":[{"dropping-particle":"","family":"Fujiwara","given":"Hideo","non-dropping-particle":"","parse-names":false,"suffix":""},{"dropping-particle":"","family":"Hasegawa","given":"Masato","non-dropping-particle":"","parse-names":false,"suffix":""},{"dropping-particle":"","family":"Dohmae","given":"Naoshi","non-dropping-particle":"","parse-names":false,"suffix":""},{"dropping-particle":"","family":"Kawashima","given":"Akiko","non-dropping-particle":"","parse-names":false,"suffix":""},{"dropping-particle":"","family":"Masliah","given":"Eliezer","non-dropping-particle":"","parse-names":false,"suffix":""},{"dropping-particle":"","family":"Goldberg","given":"Matthew S.","non-dropping-particle":"","parse-names":false,"suffix":""},{"dropping-particle":"","family":"Shen","given":"Jie","non-dropping-particle":"","parse-names":false,"suffix":""},{"dropping-particle":"","family":"Takio","given":"Koji","non-dropping-particle":"","parse-names":false,"suffix":""},{"dropping-particle":"","family":"Iwatsubo","given":"Takeshi","non-dropping-particle":"","parse-names":false,"suffix":""}],"container-title":"Nature Cell Biology","id":"ITEM-1","issue":"2","issued":{"date-parts":[["2002","2","28"]]},"page":"160-164","publisher":"Nature Publishing Group","title":"Α-Synuclein Is Phosphorylated in Synucleinopathy Lesions","type":"article-journal","volume":"4"},"uris":["http://www.mendeley.com/documents/?uuid=44555dbb-53b4-4254-8d6f-5326d735613a","http://www.mendeley.com/documents/?uuid=9a890c9a-066a-4d4d-8f4e-8f0b4911890c"]},{"id":"ITEM-2","itemData":{"DOI":"10.1074/jbc.M115.705095","ISSN":"1083351X","abstract":"Although trace levels of phosphorylated α-synuclein (α-syn) are detectable in normal brains, nearly all α-syn accumulated within Lewy bodies in Parkinson disease brains is phosphorylated on serine 129 (Ser-129). The role of the phosphoserine residue and its effects on α-syn structure, function, and intracellular accumulation are poorly understood. Here, co-expression of α-syn and polo-like kinase 2 (PLK2), a kinase that targets Ser-129, was used to generate phosphorylated α-syn for biophysical and biological characterization. Misfolding and fibril formation of phosphorylated α-syn isoforms were detected earlier, although the fibrils remained phosphatase- and protease-sensitive. Membrane binding of α-syn monomers was differentially affected by phosphorylation depending on the Parkinson disease-linked mutation. WT α-syn binding to presynaptic membranes was not affected by phosphorylation, whereas A30P α-syn binding was greatly increased, and A53T α-syn was slightly lower, implicating distal effects of the carboxyl- on amino-terminal membrane binding. Endocytic vesicle-mediated internalization of pre-formed fibrils into non-neuronal cells and dopaminergic neurons matched the efficacy of α-syn membrane binding. Finally, the disruption of internalized vesicle membranes was enhanced by the phosphorylated α-syn isoforms, a potential means for misfolded extracellular or lumenal α-syn to access cytosolic α-syn. Our results suggest that the threshold for vesicle permeabilization is evident even at low levels of α-syn internalization and are relevant to therapeutic strategies to reduce intercellular propagation of α-syn misfolding.","author":[{"dropping-particle":"","family":"Samuel","given":"Filsy","non-dropping-particle":"","parse-names":false,"suffix":""},{"dropping-particle":"","family":"Flavin","given":"William P.","non-dropping-particle":"","parse-names":false,"suffix":""},{"dropping-particle":"","family":"Iqbal","given":"Sobia","non-dropping-particle":"","parse-names":false,"suffix":""},{"dropping-particle":"","family":"Pacelli","given":"Consiglia","non-dropping-particle":"","parse-names":false,"suffix":""},{"dropping-particle":"","family":"Renganathan","given":"Sri Dushyaanthan Sri","non-dropping-particle":"","parse-names":false,"suffix":""},{"dropping-particle":"","family":"Trudeau","given":"Louis Eric","non-dropping-particle":"","parse-names":false,"suffix":""},{"dropping-particle":"","family":"Campbell","given":"Edward M.","non-dropping-particle":"","parse-names":false,"suffix":""},{"dropping-particle":"","family":"Fraser","given":"Paul E.","non-dropping-particle":"","parse-names":false,"suffix":""},{"dropping-particle":"","family":"Tandon","given":"Anurag","non-dropping-particle":"","parse-names":false,"suffix":""}],"container-title":"Journal of Biological Chemistry","id":"ITEM-2","issue":"9","issued":{"date-parts":[["2016"]]},"page":"4374-4385","title":"Effects of serine 129 phosphorylation on α-synuclein aggregation, membrane association, and internalization","type":"article-journal","volume":"291"},"uris":["http://www.mendeley.com/documents/?uuid=09797888-b800-4913-b7dc-0621247fa5c5","http://www.mendeley.com/documents/?uuid=710ca4d6-32d9-476d-a792-4ef793bea8fc"]}],"mendeley":{"formattedCitation":"&lt;sup&gt;32,33&lt;/sup&gt;","plainTextFormattedCitation":"32,33","previouslyFormattedCitation":"&lt;sup&gt;32,33&lt;/sup&gt;"},"properties":{"noteIndex":0},"schema":"https://github.com/citation-style-language/schema/raw/master/csl-citation.json"}</w:instrText>
      </w:r>
      <w:r w:rsidRPr="0095510F">
        <w:fldChar w:fldCharType="separate"/>
      </w:r>
      <w:r w:rsidR="00373BC0" w:rsidRPr="00373BC0">
        <w:rPr>
          <w:noProof/>
          <w:vertAlign w:val="superscript"/>
        </w:rPr>
        <w:t>32,33</w:t>
      </w:r>
      <w:r w:rsidRPr="0095510F">
        <w:fldChar w:fldCharType="end"/>
      </w:r>
      <w:r w:rsidRPr="0095510F">
        <w:t xml:space="preserve"> or retards aggregation </w:t>
      </w:r>
      <w:r w:rsidRPr="0095510F">
        <w:fldChar w:fldCharType="begin" w:fldLock="1"/>
      </w:r>
      <w:r w:rsidR="00373BC0">
        <w:instrText>ADDIN CSL_CITATION {"citationItems":[{"id":"ITEM-1","itemData":{"DOI":"10.1074/jbc.M800747200","ISBN":"0021-9258 (Print)\\n0021-9258 (Linking)","ISSN":"00219258","PMID":"18343814","abstract":"alpha-Synuclein (alpha-syn) phosphorylation at serine 129 is characteristic of Parkinson disease (PD) and related alpha-synulceinopathies. However, whether phosphorylation promotes or inhibits alpha-syn aggregation and neurotoxicity in vivo remains unknown. This understanding is critical for elucidating the role of alpha-syn in the pathogenesis of PD and for development of therapeutic strategies for PD. To better understand the structural and molecular consequences of Ser-129 phosphorylation, we compared the biochemical, structural, and membrane binding properties of wild type alpha-syn to those of the phosphorylation mimics (S129E, S129D) as well as of in vitro phosphorylated alpha-syn using a battery of biophysical techniques. Our results demonstrate that phosphorylation at Ser-129 increases the conformational flexibility of alpha-syn and inhibits its fibrillogenesis in vitro but does not perturb its membrane-bound conformation. In addition, we show that the phosphorylation mimics (S129E/D) do not reproduce the effect of phosphorylation on the structural and aggregation properties of alpha-syn in vitro. Our findings have significant implications for current strategies to elucidate the role of phosphorylation in modulating protein structure and function in health and disease and provide novel insight into the underlying mechanisms that govern alpha-syn aggregation and toxicity in PD and related alpha-synulceinopathies.","author":[{"dropping-particle":"","family":"Paleologou","given":"Katerina E","non-dropping-particle":"","parse-names":false,"suffix":""},{"dropping-particle":"","family":"Schmid","given":"Adrian W","non-dropping-particle":"","parse-names":false,"suffix":""},{"dropping-particle":"","family":"Rospigliosi","given":"Carla C","non-dropping-particle":"","parse-names":false,"suffix":""},{"dropping-particle":"","family":"Kim","given":"Hai Young","non-dropping-particle":"","parse-names":false,"suffix":""},{"dropping-particle":"","family":"Lamberto","given":"Gonzalo R","non-dropping-particle":"","parse-names":false,"suffix":""},{"dropping-particle":"","family":"Fredenburg","given":"Ross A","non-dropping-particle":"","parse-names":false,"suffix":""},{"dropping-particle":"","family":"Lansbury","given":"Peter T","non-dropping-particle":"","parse-names":false,"suffix":""},{"dropping-particle":"","family":"Fernandez","given":"Claudio O","non-dropping-particle":"","parse-names":false,"suffix":""},{"dropping-particle":"","family":"Eliezer","given":"David","non-dropping-particle":"","parse-names":false,"suffix":""},{"dropping-particle":"","family":"Zweckstetter","given":"Markus","non-dropping-particle":"","parse-names":false,"suffix":""},{"dropping-particle":"","family":"Lashuel","given":"Hilal A","non-dropping-particle":"","parse-names":false,"suffix":""}],"container-title":"Journal of Biological Chemistry","id":"ITEM-1","issue":"24","issued":{"date-parts":[["2008"]]},"page":"16895-16905","publisher":"in Press","title":"Phosphorylation at Ser-129 but not the phosphomimics S129E/D inhibits the fibrillation of α-synuclein","type":"article-journal","volume":"283"},"uris":["http://www.mendeley.com/documents/?uuid=8b35fa59-3f27-40a5-a014-635583e0234e"]}],"mendeley":{"formattedCitation":"&lt;sup&gt;34&lt;/sup&gt;","plainTextFormattedCitation":"34","previouslyFormattedCitation":"&lt;sup&gt;34&lt;/sup&gt;"},"properties":{"noteIndex":0},"schema":"https://github.com/citation-style-language/schema/raw/master/csl-citation.json"}</w:instrText>
      </w:r>
      <w:r w:rsidRPr="0095510F">
        <w:fldChar w:fldCharType="separate"/>
      </w:r>
      <w:r w:rsidR="00373BC0" w:rsidRPr="00373BC0">
        <w:rPr>
          <w:noProof/>
          <w:vertAlign w:val="superscript"/>
        </w:rPr>
        <w:t>34</w:t>
      </w:r>
      <w:r w:rsidRPr="0095510F">
        <w:fldChar w:fldCharType="end"/>
      </w:r>
      <w:r w:rsidRPr="0095510F">
        <w:t xml:space="preserve">. In terms of disease association, the presence of aSyn familial mutations leads to different aggregation rates dependent on the mutation. NMR experiments have shown that C-terminus residues are transiently in contact with all six mutation sites at the N-terminus via long-range interactions </w:t>
      </w:r>
      <w:r w:rsidRPr="0095510F">
        <w:fldChar w:fldCharType="begin" w:fldLock="1"/>
      </w:r>
      <w:r w:rsidR="00805857">
        <w:instrText>ADDIN CSL_CITATION {"citationItems":[{"id":"ITEM-1","itemData":{"DOI":"10.1021/acschemneuro.7b00149","ISSN":"19487193","abstract":"The characteristic cross-β-sheet rich amyloid fibril formation by intrinsically disordered α-Synuclein protein is one of the pathological hallmarks of Parkinson’s disease. Although unstructured in solution, presence of autoinhibitory long-range contacts in monomeric form prevents protein aggregation. Out of the various factors that affect the rate of amyloid formation, familial mutations play an important role in α-Synuclein aggregation. Eventhough these mutations are believed to form aggregation prone intermediate by perturbing these contacts, the correlation between perturbation and rate of fibril formation is not very straightforward. A combination of solution and solid-state NMR in conjunction with other biophysical methods has been used to identify the underlying mechanism behind the anomaly in the rate of aggregation for the novel mutants H50Q (fast aggregating) and G51D (slow aggregating). Perturbation of long-range contacts at the mutation sites and C-terminus in all the six familial mutants of α-...","author":[{"dropping-particle":"","family":"Ranjan","given":"Priyatosh","non-dropping-particle":"","parse-names":false,"suffix":""},{"dropping-particle":"","family":"Kumar","given":"Ashutosh","non-dropping-particle":"","parse-names":false,"suffix":""}],"container-title":"ACS Chemical Neuroscience","id":"ITEM-1","issue":"10","issued":{"date-parts":[["2017","10","18"]]},"page":"2235-2246","publisher":"American Chemical Society","title":"Perturbation in Long-Range Contacts Modulates the Kinetics of Amyloid Formation in α-Synuclein Familial Mutants","type":"article-journal","volume":"8"},"uris":["http://www.mendeley.com/documents/?uuid=357fa9e6-7236-3b33-9df3-56feee2d47e2"]}],"mendeley":{"formattedCitation":"&lt;sup&gt;23&lt;/sup&gt;","plainTextFormattedCitation":"23","previouslyFormattedCitation":"&lt;sup&gt;23&lt;/sup&gt;"},"properties":{"noteIndex":0},"schema":"https://github.com/citation-style-language/schema/raw/master/csl-citation.json"}</w:instrText>
      </w:r>
      <w:r w:rsidRPr="0095510F">
        <w:fldChar w:fldCharType="separate"/>
      </w:r>
      <w:r w:rsidRPr="0095510F">
        <w:rPr>
          <w:noProof/>
          <w:vertAlign w:val="superscript"/>
        </w:rPr>
        <w:t>23</w:t>
      </w:r>
      <w:r w:rsidRPr="0095510F">
        <w:fldChar w:fldCharType="end"/>
      </w:r>
      <w:r w:rsidRPr="0095510F">
        <w:t xml:space="preserve">, yet the different mutations lead to differences in levels of solvent exposure, destabilisation, perturbation of the ensemble of conformers and alterations in long-range interactions </w:t>
      </w:r>
      <w:r w:rsidRPr="0095510F">
        <w:fldChar w:fldCharType="begin" w:fldLock="1"/>
      </w:r>
      <w:r w:rsidR="00373BC0">
        <w:instrText>ADDIN CSL_CITATION {"citationItems":[{"id":"ITEM-1","itemData":{"DOI":"10.1074/jbc.C500288200","ISBN":"0021-9258 (Print)\\r0021-9258 (Linking)","ISSN":"00219258","PMID":"16020550","abstract":"A30P and A53T mutations of the presynaptic protein alpha-synuclein are associated with familial forms of Parkinson disease. NMR spectroscopy demonstrates that Parkinsonism-linked mutations greatly perturb specific tertiary interactions essential for the native state of alpha-synuclein. However, alpha-synuclein is not completely unfolded but exhibits structural fluctuations on the time scale of secondary structure formation and loses its native conformation gradually when protein stability decreases. The redistribution of the ensemble of alpha-synuclein conformers may underlie toxic gain-of-function by fostering self-association and altered binding affinity to ligands and receptors.","author":[{"dropping-particle":"","family":"Bertoncini","given":"Carlos W","non-dropping-particle":"","parse-names":false,"suffix":""},{"dropping-particle":"","family":"Fernandez","given":"Claudio O","non-dropping-particle":"","parse-names":false,"suffix":""},{"dropping-particle":"","family":"Griesinger","given":"Christian","non-dropping-particle":"","parse-names":false,"suffix":""},{"dropping-particle":"","family":"Jovin","given":"Thomas M","non-dropping-particle":"","parse-names":false,"suffix":""},{"dropping-particle":"","family":"Zweckstetter","given":"Markus","non-dropping-particle":"","parse-names":false,"suffix":""}],"container-title":"Journal of Biological Chemistry","id":"ITEM-1","issue":"35","issued":{"date-parts":[["2005"]]},"page":"30649-30652","publisher":"in Press","title":"Familial mutants of α-synuclein with increased neurotoxicity have a destabilized conformation","type":"article-journal","volume":"280"},"uris":["http://www.mendeley.com/documents/?uuid=32e9e1e9-4f0b-3b4e-86d7-ed7b6f747c85"]},{"id":"ITEM-2","itemData":{"DOI":"10.1039/c7cc09597j","ISSN":"1364548X","abstract":"Familial mutations in α-synuclein affect the immediate chemical environment of the protein's backbone, changing its aggregation kinetics and forming diverse structural and functional intermediates.Familial mutations in α-synuclein affect the immediate chemical environment of the protein's backbone, changing its aggregation kinetics and forming diverse structural and functional intermediates. This study, concerning two oppositely aggregating mutants A30P and E46K, reveals a completely diverse conformational landscape for each, thus providing atomistic insights into differences in their aggregation dynamics.","author":[{"dropping-particle":"","family":"Bhattacharyya","given":"Dipita","non-dropping-particle":"","parse-names":false,"suffix":""},{"dropping-particle":"","family":"Kumar","given":"Rakesh","non-dropping-particle":"","parse-names":false,"suffix":""},{"dropping-particle":"","family":"Mehra","given":"Surabhi","non-dropping-particle":"","parse-names":false,"suffix":""},{"dropping-particle":"","family":"Ghosh","given":"Anirban","non-dropping-particle":"","parse-names":false,"suffix":""},{"dropping-particle":"","family":"Maji","given":"Samir K","non-dropping-particle":"","parse-names":false,"suffix":""},{"dropping-particle":"","family":"Bhunia","given":"Anirban","non-dropping-particle":"","parse-names":false,"suffix":""}],"container-title":"Chemical Communications","id":"ITEM-2","issue":"29","issued":{"date-parts":[["2018"]]},"page":"3605-3608","title":"Multitude NMR studies of α-synuclein familial mutants: Probing their differential aggregation propensities","type":"article-journal","volume":"54"},"uris":["http://www.mendeley.com/documents/?uuid=057791d0-38cc-392c-94e7-fa67101a52a9"]},{"id":"ITEM-3","itemData":{"DOI":"10.1073/pnas.1604645113","ISBN":"1604645113","ISSN":"0027-8424","PMID":"27573854","abstract":"SignificanceProteinaceous deposits composed primarily of amyloid fibrils of -synuclein are a hallmark of a range of neurological disorders including Parkinsons disease. Mutations of the gene encoding -synuclein have been associated with familial variants of Parkinsons disease and lead to early- and late-onset forms of the disease. Using a combination of experimental and theoretical approaches specifically designed for the study of -synuclein, we report that the mutations dramatically affect the rate of lipid-induced fibril production and surface-catalyzed fibril amplification processes. Such a systematic study provides new insights into the influence that single-amino acid replacements in -synuclein can have on the two steps of -synuclein aggregation that are likely to be crucial for disease: the initial formation of aggregates and their proliferation. Parkinsons disease is a highly debilitating neurodegenerative condition whose pathological hallmark is the presence in nerve cells of proteinacious deposits, known as Lewy bodies, composed primarily of amyloid fibrils of -synuclein. Several missense mutations in the gene encoding -synuclein have been associated with familial variants of Parkinsons disease and have been shown to affect the kinetics of the aggregation of the protein. Using a combination of experimental and theoretical approaches, we present a systematic in vitro study of the influence of disease-associated single-point mutations on the individual processes involved in -synuclein aggregation into amyloid fibrils. We find that lipid-induced fibril production and surface catalyzed fibril amplification are the processes most strongly affected by these mutations and show that familial mutations can induce dramatic changes in the crucial processes thought to be associated with the initiation and spreading of the aggregation of -synuclein.","author":[{"dropping-particle":"","family":"Flagmeier","given":"Patrick","non-dropping-particle":"","parse-names":false,"suffix":""},{"dropping-particle":"","family":"Meisl","given":"Georg","non-dropping-particle":"","parse-names":false,"suffix":""},{"dropping-particle":"","family":"Vendruscolo","given":"Michele","non-dropping-particle":"","parse-names":false,"suffix":""},{"dropping-particle":"","family":"Knowles","given":"Tuomas P J","non-dropping-particle":"","parse-names":false,"suffix":""},{"dropping-particle":"","family":"Dobson","given":"Christopher M","non-dropping-particle":"","parse-names":false,"suffix":""},{"dropping-particle":"","family":"Buell","given":"Alexander K","non-dropping-particle":"","parse-names":false,"suffix":""},{"dropping-particle":"","family":"Galvagnion","given":"Céline","non-dropping-particle":"","parse-names":false,"suffix":""}],"container-title":"Proceedings of the National Academy of Sciences","id":"ITEM-3","issue":"37","issued":{"date-parts":[["2016"]]},"page":"10328-10333","title":"Mutations associated with familial Parkinson’s disease alter the initiation and amplification steps of α-synuclein aggregation","type":"article-journal","volume":"113"},"uris":["http://www.mendeley.com/documents/?uuid=b55c1515-a74a-3593-bb12-52db9e579c71"]},{"id":"ITEM-4","itemData":{"DOI":"10.1021/cn3002027","ISSN":"19487193","abstract":"The E46K genetic missense mutation of the wild-type α-synuclein protein was recently identified in a family of Spanish origin with hereditary Parkinson's disease. Detailed understanding of the structures of the monomeric E46K mutant-type α-synuclein protein as well as the impact of the E46K missense mutation on the conformations and free energy landscapes of the wild-type α-synuclein are required for gaining insights into the pathogenic mechanism of Parkinson's disease. In this study, we use extensive parallel tempering molecular dynamics simulations along with thermodynamic calculations to assess the secondary and tertiary structural properties as well as the conformational preferences of the monomeric wild-type and E46K mutant-type α-synuclein proteins in an aqueous solution environment. We also present the residual secondary structure component conversion stabilities with dynamics using a theoretical strategy, which we most recently developed. To the best of our knowledge, this study presents the first detailed comparison of the structural and thermodynamic properties of the wild-type and E46K mutant-type α-synuclein proteins in an aqueous solution environment at the atomic level with dynamics. We find that the E46K mutation results not only in local but also in long-range changes in the structural properties of the wild-type α-synuclein protein. The mutation site shows a significant decrease in helical content as well as a large increase in β-sheet structure formation upon E46K mutation. In addition, the β-sheet content of the C-terminal region increases significantly in the E46K mutant-type αS in comparison to the wild-type αS. Our theoretical strategy developed to assess the thermodynamic preference of secondary structure transitions indicates that this shift in secondary structure is the result of a decrease in the thermodynamic preference of turn to helix conversions while the coil to β-sheet preference increases for these residues. Long-range intramolecular protein interactions of the C-terminal with the N-terminal and NAC regions increase upon E46K mutation, resulting in more compact structures for the E46K mutant-type rather than wild-type αS. However, the E46K mutant-type αS structures are less stable than the wild-type αS. Overall, our results show that the E46K mutant-type αS has a higher propensity to aggregate than the wild-type αS and that the N-terminal and C-terminal regions are reactive toward fibrillization and aggregation upon E46K…","author":[{"dropping-particle":"","family":"Wise-Scira","given":"Olivia","non-dropping-particle":"","parse-names":false,"suffix":""},{"dropping-particle":"","family":"Dunn","given":"Aquila","non-dropping-particle":"","parse-names":false,"suffix":""},{"dropping-particle":"","family":"Aloglu","given":"Ahmet K","non-dropping-particle":"","parse-names":false,"suffix":""},{"dropping-particle":"","family":"Sakallioglu","given":"Isin T","non-dropping-particle":"","parse-names":false,"suffix":""},{"dropping-particle":"","family":"Coskuner","given":"Orkid","non-dropping-particle":"","parse-names":false,"suffix":""}],"container-title":"ACS Chemical Neuroscience","id":"ITEM-4","issue":"3","issued":{"date-parts":[["2013"]]},"page":"498-508","title":"Structures of the E46K mutant-type α-synuclein protein and impact of E46K mutation on the structures of the wild-type α-synuclein protein","type":"article-journal","volume":"4"},"uris":["http://www.mendeley.com/documents/?uuid=f9528251-ef19-388c-8382-bd03972ddfa6"]}],"mendeley":{"formattedCitation":"&lt;sup&gt;35–38&lt;/sup&gt;","plainTextFormattedCitation":"35–38","previouslyFormattedCitation":"&lt;sup&gt;35–38&lt;/sup&gt;"},"properties":{"noteIndex":0},"schema":"https://github.com/citation-style-language/schema/raw/master/csl-citation.json"}</w:instrText>
      </w:r>
      <w:r w:rsidRPr="0095510F">
        <w:fldChar w:fldCharType="separate"/>
      </w:r>
      <w:r w:rsidR="00373BC0" w:rsidRPr="00373BC0">
        <w:rPr>
          <w:noProof/>
          <w:vertAlign w:val="superscript"/>
        </w:rPr>
        <w:t>35–38</w:t>
      </w:r>
      <w:r w:rsidRPr="0095510F">
        <w:fldChar w:fldCharType="end"/>
      </w:r>
      <w:r w:rsidRPr="0095510F">
        <w:t xml:space="preserve">. Identifying conformations or significant long-range interactions that maintain soluble aSyn is critical in understanding what triggers </w:t>
      </w:r>
      <w:proofErr w:type="spellStart"/>
      <w:r w:rsidRPr="0095510F">
        <w:t>aSyn</w:t>
      </w:r>
      <w:proofErr w:type="spellEnd"/>
      <w:r w:rsidRPr="0095510F">
        <w:t xml:space="preserve"> misfolding, but the difficulty in identifying these long-range interactions and determining the influence of mutations and aggregation prone conformations of aSyn lies in the complexity of sampling an ensemble of dynamic conformations of the monomeric protein. </w:t>
      </w:r>
    </w:p>
    <w:p w14:paraId="2CEDADC6" w14:textId="13C2EF95" w:rsidR="0095510F" w:rsidRPr="0095510F" w:rsidRDefault="0095510F" w:rsidP="0095510F">
      <w:pPr>
        <w:spacing w:line="360" w:lineRule="auto"/>
        <w:jc w:val="both"/>
      </w:pPr>
      <w:r w:rsidRPr="0095510F">
        <w:t xml:space="preserve">In the current study, we apply a plethora of techniques, including NMR, HDX-MS, and native </w:t>
      </w:r>
      <w:r w:rsidR="00E05B1F">
        <w:t xml:space="preserve">nano electrospray ionisation (ESI) </w:t>
      </w:r>
      <w:r w:rsidRPr="0095510F">
        <w:t xml:space="preserve">MS to study the differences in the conformation of aggregation prone and non-aggregation prone monomeric aSyn including phosphorylated aSyn, pS129, and familial aSyn mutants, A30P, E46K, H50Q, G51D, A53T and A53E. To investigate potential differences in residual structure and long-range interactions, we also performed experiments in the presence of calcium to purposefully skew the dynamic ensemble of conformations as calcium binds at the C-terminus and leads to charge neutralisation </w:t>
      </w:r>
      <w:r w:rsidRPr="0095510F">
        <w:fldChar w:fldCharType="begin" w:fldLock="1"/>
      </w:r>
      <w:r w:rsidR="00373BC0">
        <w:instrText>ADDIN CSL_CITATION {"citationItems":[{"id":"ITEM-1","itemData":{"DOI":"10.1039/b926659c","ISBN":"3172789217","ISSN":"17565901","abstract":"Significant evidence has been accumulated linking exposure to heavy metals and/or distortion of metal homeostasis with the development of various neurodegenerative diseases. α-Synuclein is known to be involved in pathogenesis of a subset of neurodegenerative diseases collectively known as synucleinopathies. Therefore the interplay between metals, α-synuclein and neurodegeneration has attracted significant attention of researchers. This review discusses some of the aspects of the α-synuclein metalloproteomics and represents the peculiarities and consequences of α-synuclein interaction with various metal ions. Both non-specific and specific binding of this protein to metals is considered together with the analysis of the effects of such interactions on α-synuclein structure and aggregation propensity. © 2010 The Royal Society of Chemistry.","author":[{"dropping-particle":"","family":"Santner","given":"Aaron","non-dropping-particle":"","parse-names":false,"suffix":""},{"dropping-particle":"","family":"Uversky","given":"Vladimir N.","non-dropping-particle":"","parse-names":false,"suffix":""}],"container-title":"Metallomics","id":"ITEM-1","issue":"6","issued":{"date-parts":[["2010"]]},"page":"378-392","title":"Metalloproteomics and metal toxicology of α-synuclein","type":"article-journal","volume":"2"},"uris":["http://www.mendeley.com/documents/?uuid=2320a244-33b0-4d89-9c16-12d82f8e341d","http://www.mendeley.com/documents/?uuid=713b81c1-1b67-4924-9ba5-cd96f1683890"]}],"mendeley":{"formattedCitation":"&lt;sup&gt;39&lt;/sup&gt;","plainTextFormattedCitation":"39","previouslyFormattedCitation":"&lt;sup&gt;39&lt;/sup&gt;"},"properties":{"noteIndex":0},"schema":"https://github.com/citation-style-language/schema/raw/master/csl-citation.json"}</w:instrText>
      </w:r>
      <w:r w:rsidRPr="0095510F">
        <w:fldChar w:fldCharType="separate"/>
      </w:r>
      <w:r w:rsidR="00373BC0" w:rsidRPr="00373BC0">
        <w:rPr>
          <w:noProof/>
          <w:vertAlign w:val="superscript"/>
        </w:rPr>
        <w:t>39</w:t>
      </w:r>
      <w:r w:rsidRPr="0095510F">
        <w:fldChar w:fldCharType="end"/>
      </w:r>
      <w:r w:rsidRPr="0095510F">
        <w:t xml:space="preserve">. Calcium has been shown to play a role in the physiological and pathological function of aSyn, as calcium binding at the C-terminus of aSyn facilitates interaction with synaptic vesicles and enhances aSyn aggregation rates </w:t>
      </w:r>
      <w:r w:rsidRPr="0095510F">
        <w:fldChar w:fldCharType="begin" w:fldLock="1"/>
      </w:r>
      <w:r w:rsidR="00373BC0">
        <w:instrText xml:space="preserve">ADDIN CSL_CITATION {"citationItems":[{"id":"ITEM-1","itemData":{"DOI":"10.1038/s41467-018-03111-4","ISSN":"20411723","abstract":"Alpha-synuclein is known to bind to small unilamellar vesicles (SUVs) via its N terminus, which forms an amphipathic alpha-helix upon membrane interaction. Here we show that calcium binds to the C terminus of alpha-synuclein, therewith increasing its lipid-binding capacity. Using CEST-NMR, we reveal that alpha-synuclein interacts with isolated synaptic vesicles with two regions, the N terminus, already known from studies on SUVs, and additionally via its C terminus, which is regulated by the binding of calcium. Indeed, dSTORM on synaptosomes shows that calcium mediates the localization of alpha-synuclein at the pre-synaptic terminal, and an imbalance in calcium or alpha-synuclein can cause synaptic vesicle clustering, as seen ex vivo and in vitro. This study provides a new view on the binding of alpha-synuclein to synaptic vesicles, which might also affect our understanding of synucleinopathies.","author":[{"dropping-particle":"","family":"Lautenschläger","given":"Janin","non-dropping-particle":"","parse-names":false,"suffix":""},{"dropping-particle":"","family":"Stephens","given":"Amberley D.","non-dropping-particle":"","parse-names":false,"suffix":""},{"dropping-particle":"","family":"Fusco","given":"Giuliana","non-dropping-particle":"","parse-names":false,"suffix":""},{"dropping-particle":"","family":"Ströhl","given":"Florian","non-dropping-particle":"","parse-names":false,"suffix":""},{"dropping-particle":"","family":"Curry","given":"Nathan","non-dropping-particle":"","parse-names":false,"suffix":""},{"dropping-particle":"","family":"Zacharopoulou","given":"Maria","non-dropping-particle":"","parse-names":false,"suffix":""},{"dropping-particle":"","family":"Michel","given":"Claire H.","non-dropping-particle":"","parse-names":false,"suffix":""},{"dropping-particle":"","family":"Laine","given":"Romain","non-dropping-particle":"","parse-names":false,"suffix":""},{"dropping-particle":"","family":"Nespovitaya","given":"Nadezhda","non-dropping-particle":"","parse-names":false,"suffix":""},{"dropping-particle":"","family":"Fantham","given":"Marcus","non-dropping-particle":"","parse-names":false,"suffix":""},{"dropping-particle":"","family":"Pinotsi","given":"Dorothea","non-dropping-particle":"","parse-names":false,"suffix":""},{"dropping-particle":"","family":"Zago","given":"Wagner","non-dropping-particle":"","parse-names":false,"suffix":""},{"dropping-particle":"","family":"Fraser","given":"Paul","non-dropping-particle":"","parse-names":false,"suffix":""},{"dropping-particle":"","family":"Tandon","given":"Anurag","non-dropping-particle":"","parse-names":false,"suffix":""},{"dropping-particle":"","family":"St George-Hyslop","given":"Peter","non-dropping-particle":"","parse-names":false,"suffix":""},{"dropping-particle":"","family":"Rees","given":"Eric","non-dropping-particle":"","parse-names":false,"suffix":""},{"dropping-particle":"","family":"Phillips","given":"Jonathan J.","non-dropping-particle":"","parse-names":false,"suffix":""},{"dropping-particle":"","family":"Simone","given":"Alfonso","non-dropping-particle":"De","parse-names":false,"suffix":""},{"dropping-particle":"","family":"Kaminski","given":"Clemens F.","non-dropping-particle":"","parse-names":false,"suffix":""},{"dropping-particle":"","family":"Schierle","given":"Gabriele S.Kaminski","non-dropping-particle":"","parse-names":false,"suffix":""}],"container-title":"Nature Communications","id":"ITEM-1","issue":"1","issued":{"date-parts":[["2018","12","19"]]},"page":"712","publisher":"Nature Publishing Group","title":"C-terminal calcium binding of α-synuclein modulates synaptic vesicle interaction","type":"article-journal","volume":"9"},"uris":["http://www.mendeley.com/documents/?uuid=5da06726-0802-3970-b05f-1380256f2e9a"]},{"id":"ITEM-2","itemData":{"DOI":"10.1021/ja0618649","ISBN":"1611616123","ISSN":"00027863","PMID":"16866548","abstract":"The aggregation of R-synuclein (AS) is characteristic of Parkinson's disease and other neurodegenerative synucleinopathies. Interactions with metal ions affect dramatically the kinetics of fibrillation of AS in vitro and are proposed to play a potential role in vivo. We recently showed that Cu(II) binds at the N-terminus of AS with high affinity (Kd </w:instrText>
      </w:r>
      <w:r w:rsidR="00373BC0">
        <w:rPr>
          <w:rFonts w:ascii="Cambria Math" w:hAnsi="Cambria Math" w:cs="Cambria Math"/>
        </w:rPr>
        <w:instrText>∼</w:instrText>
      </w:r>
      <w:r w:rsidR="00373BC0">
        <w:instrText xml:space="preserve"> 0.1 </w:instrText>
      </w:r>
      <w:r w:rsidR="00373BC0">
        <w:rPr>
          <w:rFonts w:ascii="Calibri" w:hAnsi="Calibri" w:cs="Calibri"/>
        </w:rPr>
        <w:instrText>µ</w:instrText>
      </w:r>
      <w:r w:rsidR="00373BC0">
        <w:instrText>M) and accelerates its fibrillation. In this work we investigated the binding features of the divalent metal ions Fe(II), Mn(II), Co(II), and Ni(II), and their effects on AS aggregation. By exploiting the different paramagnetic properties of these metal ions, NMR spectroscopy provides detailed information about the protein-metal interactions at the atomic level. The divalent metal ions bind preferentially and with low affinity (millimolar) to the C-terminus of AS, the primary binding site being the 119 DPDNEA 124 motif, in which Asp121 acts as the main anchoring residue. Combined with backbone residual dipolar coupling measurements, these results suggest that metal binding is not driven exclusively by electrostatic interactions but is mostly determined by the residual structure of the C-terminus of AS. A comparative analysis with Cu(II) revealed a hierarchal effect of AS-metal(II) interactions on AS aggregation kinetics, dictated by structural factors corresponding to different protein domains. These findings reveal a strong link between the specificity of AS-metal(II) interactions and the enhancement of aggregation of AS in vitro. The elucidation of the structural basis of AS metal binding specificity is then required to elucidate the mechanism and clarify the role of metal-protein interactions in the etiology of Parkinson's disease.","author":[{"dropping-particle":"","family":"Binolfi","given":"Andrés","non-dropping-particle":"","parse-names":false,"suffix":""},{"dropping-particle":"","family":"Rasia","given":"Rodolfo M","non-dropping-particle":"","parse-names":false,"suffix":""},{"dropping-particle":"","family":"Bertoncini","given":"Carlos W","non-dropping-particle":"","parse-names":false,"suffix":""},{"dropping-particle":"","family":"Ceolin","given":"Marcelo","non-dropping-particle":"","parse-names":false,"suffix":""},{"dropping-particle":"","family":"Zweckstetter","given":"Markus","non-dropping-particle":"","parse-names":false,"suffix":""},{"dropping-particle":"","family":"Griesinger","given":"Christian","non-dropping-particle":"","parse-names":false,"suffix":""},{"dropping-particle":"","family":"Jovin","given":"Thomas M","non-dropping-particle":"","parse-names":false,"suffix":""},{"dropping-particle":"","family":"Fernández","given":"Claudio O.","non-dropping-particle":"","parse-names":false,"suffix":""}],"container-title":"Journal of the American Chemical Society","id":"ITEM-2","issue":"30","issued":{"date-parts":[["2006"]]},"page":"9893-9901","title":"Interaction of α-synuclein with divalent metal ions reveals key differences: A link between structure, binding specificity and fibrillation enhancement","type":"article-journal","volume":"128"},"uris":["http://www.mendeley.com/documents/?uuid=6784a789-b1e5-31a1-9f49-b82263ed3139"]}],"mendeley":{"formattedCitation":"&lt;sup&gt;8,40&lt;/sup&gt;","plainTextFormattedCitation":"8,40","previouslyFormattedCitation":"&lt;sup&gt;8,40&lt;/sup&gt;"},"properties":{"noteIndex":0},"schema":"https://github.com/citation-style-language/schema/raw/master/csl-citation.json"}</w:instrText>
      </w:r>
      <w:r w:rsidRPr="0095510F">
        <w:fldChar w:fldCharType="separate"/>
      </w:r>
      <w:r w:rsidR="00373BC0" w:rsidRPr="00373BC0">
        <w:rPr>
          <w:noProof/>
          <w:vertAlign w:val="superscript"/>
        </w:rPr>
        <w:t>8,40</w:t>
      </w:r>
      <w:r w:rsidRPr="0095510F">
        <w:fldChar w:fldCharType="end"/>
      </w:r>
      <w:r w:rsidRPr="0095510F">
        <w:t xml:space="preserve">. Furthermore, calcium-aSyn interaction is physiologically relevant as calcium buffering becomes dysregulated in PD and an increase in cytosolic calcium occurs </w:t>
      </w:r>
      <w:r w:rsidRPr="0095510F">
        <w:fldChar w:fldCharType="begin" w:fldLock="1"/>
      </w:r>
      <w:r w:rsidR="00373BC0">
        <w:instrText>ADDIN CSL_CITATION {"citationItems":[{"id":"ITEM-1","itemData":{"DOI":"10.1016/J.CECA.2009.12.003","ISSN":"0143-4160","abstract":"Parkinson's disease (PD) is the second most common neurodegenerative disease in developed countries. The core motor symptoms are attributable to the degeneration of dopamine (DA) neurons in the substantia nigra pars compacta (SNc). Why these neurons, and other restricted sets of non-dopamine neuron, succumb in PD is not clear. One potential clue has come from the observation that the engagement of L-type Ca2+ channels during autonomous pacemaking elevates the sensitivity of SNc DA neurons to mitochondrial toxins used to create animal models of PD, suggesting that Ca2+ entry is a factor in their selective vulnerability. Epidemiological data also supports a linkage between L-type Ca2+ channels and the risk of developing PD. This review examines the hypothesis that the primary factor driving neurodegenerative changes in PD is the metabolic stress created by sustained Ca2+ entry, particularly in the face of genetic or environmental factors that compromise oxidative defenses or proteostatic competence.","author":[{"dropping-particle":"","family":"Surmeier","given":"D. James","non-dropping-particle":"","parse-names":false,"suffix":""},{"dropping-particle":"","family":"Guzman","given":"Jaime N.","non-dropping-particle":"","parse-names":false,"suffix":""},{"dropping-particle":"","family":"Sanchez-Padilla","given":"Javier","non-dropping-particle":"","parse-names":false,"suffix":""}],"container-title":"Cell Calcium","id":"ITEM-1","issue":"2","issued":{"date-parts":[["2010","2","1"]]},"page":"175-182","publisher":"Churchill Livingstone","title":"Calcium, cellular aging, and selective neuronal vulnerability in Parkinson's disease","type":"article-journal","volume":"47"},"uris":["http://www.mendeley.com/documents/?uuid=b9a47121-061c-3e01-9c99-8c7efc3c5fa0","http://www.mendeley.com/documents/?uuid=2229a8b2-8324-49eb-b854-a018b28fcead"]}],"mendeley":{"formattedCitation":"&lt;sup&gt;41&lt;/sup&gt;","plainTextFormattedCitation":"41","previouslyFormattedCitation":"&lt;sup&gt;41&lt;/sup&gt;"},"properties":{"noteIndex":0},"schema":"https://github.com/citation-style-language/schema/raw/master/csl-citation.json"}</w:instrText>
      </w:r>
      <w:r w:rsidRPr="0095510F">
        <w:fldChar w:fldCharType="separate"/>
      </w:r>
      <w:r w:rsidR="00373BC0" w:rsidRPr="00373BC0">
        <w:rPr>
          <w:noProof/>
          <w:vertAlign w:val="superscript"/>
        </w:rPr>
        <w:t>41</w:t>
      </w:r>
      <w:r w:rsidRPr="0095510F">
        <w:fldChar w:fldCharType="end"/>
      </w:r>
      <w:r w:rsidRPr="0095510F">
        <w:t xml:space="preserve">. We therefore also investigated a panel of C-terminus mutants D115A, D119A and D121A which are within the calcium binding region </w:t>
      </w:r>
      <w:r w:rsidRPr="0095510F">
        <w:fldChar w:fldCharType="begin" w:fldLock="1"/>
      </w:r>
      <w:r w:rsidR="00373BC0">
        <w:instrText>ADDIN CSL_CITATION {"citationItems":[{"id":"ITEM-1","itemData":{"DOI":"10.1038/s41467-018-03111-4","ISSN":"20411723","abstract":"Alpha-synuclein is known to bind to small unilamellar vesicles (SUVs) via its N terminus, which forms an amphipathic alpha-helix upon membrane interaction. Here we show that calcium binds to the C terminus of alpha-synuclein, therewith increasing its lipid-binding capacity. Using CEST-NMR, we reveal that alpha-synuclein interacts with isolated synaptic vesicles with two regions, the N terminus, already known from studies on SUVs, and additionally via its C terminus, which is regulated by the binding of calcium. Indeed, dSTORM on synaptosomes shows that calcium mediates the localization of alpha-synuclein at the pre-synaptic terminal, and an imbalance in calcium or alpha-synuclein can cause synaptic vesicle clustering, as seen ex vivo and in vitro. This study provides a new view on the binding of alpha-synuclein to synaptic vesicles, which might also affect our understanding of synucleinopathies.","author":[{"dropping-particle":"","family":"Lautenschläger","given":"Janin","non-dropping-particle":"","parse-names":false,"suffix":""},{"dropping-particle":"","family":"Stephens","given":"Amberley D.","non-dropping-particle":"","parse-names":false,"suffix":""},{"dropping-particle":"","family":"Fusco","given":"Giuliana","non-dropping-particle":"","parse-names":false,"suffix":""},{"dropping-particle":"","family":"Ströhl","given":"Florian","non-dropping-particle":"","parse-names":false,"suffix":""},{"dropping-particle":"","family":"Curry","given":"Nathan","non-dropping-particle":"","parse-names":false,"suffix":""},{"dropping-particle":"","family":"Zacharopoulou","given":"Maria","non-dropping-particle":"","parse-names":false,"suffix":""},{"dropping-particle":"","family":"Michel","given":"Claire H.","non-dropping-particle":"","parse-names":false,"suffix":""},{"dropping-particle":"","family":"Laine","given":"Romain","non-dropping-particle":"","parse-names":false,"suffix":""},{"dropping-particle":"","family":"Nespovitaya","given":"Nadezhda","non-dropping-particle":"","parse-names":false,"suffix":""},{"dropping-particle":"","family":"Fantham","given":"Marcus","non-dropping-particle":"","parse-names":false,"suffix":""},{"dropping-particle":"","family":"Pinotsi","given":"Dorothea","non-dropping-particle":"","parse-names":false,"suffix":""},{"dropping-particle":"","family":"Zago","given":"Wagner","non-dropping-particle":"","parse-names":false,"suffix":""},{"dropping-particle":"","family":"Fraser","given":"Paul","non-dropping-particle":"","parse-names":false,"suffix":""},{"dropping-particle":"","family":"Tandon","given":"Anurag","non-dropping-particle":"","parse-names":false,"suffix":""},{"dropping-particle":"","family":"St George-Hyslop","given":"Peter","non-dropping-particle":"","parse-names":false,"suffix":""},{"dropping-particle":"","family":"Rees","given":"Eric","non-dropping-particle":"","parse-names":false,"suffix":""},{"dropping-particle":"","family":"Phillips","given":"Jonathan J.","non-dropping-particle":"","parse-names":false,"suffix":""},{"dropping-particle":"","family":"Simone","given":"Alfonso","non-dropping-particle":"De","parse-names":false,"suffix":""},{"dropping-particle":"","family":"Kaminski","given":"Clemens F.","non-dropping-particle":"","parse-names":false,"suffix":""},{"dropping-particle":"","family":"Schierle","given":"Gabriele S.Kaminski","non-dropping-particle":"","parse-names":false,"suffix":""}],"container-title":"Nature Communications","id":"ITEM-1","issue":"1","issued":{"date-parts":[["2018","12","19"]]},"page":"712","publisher":"Nature Publishing Group","title":"C-terminal calcium binding of α-synuclein modulates synaptic vesicle interaction","type":"article-journal","volume":"9"},"uris":["http://www.mendeley.com/documents/?uuid=5da06726-0802-3970-b05f-1380256f2e9a"]}],"mendeley":{"formattedCitation":"&lt;sup&gt;40&lt;/sup&gt;","plainTextFormattedCitation":"40","previouslyFormattedCitation":"&lt;sup&gt;40&lt;/sup&gt;"},"properties":{"noteIndex":0},"schema":"https://github.com/citation-style-language/schema/raw/master/csl-citation.json"}</w:instrText>
      </w:r>
      <w:r w:rsidRPr="0095510F">
        <w:fldChar w:fldCharType="separate"/>
      </w:r>
      <w:r w:rsidR="00373BC0" w:rsidRPr="00373BC0">
        <w:rPr>
          <w:noProof/>
          <w:vertAlign w:val="superscript"/>
        </w:rPr>
        <w:t>40</w:t>
      </w:r>
      <w:r w:rsidRPr="0095510F">
        <w:fldChar w:fldCharType="end"/>
      </w:r>
      <w:r w:rsidRPr="0095510F">
        <w:t>.</w:t>
      </w:r>
    </w:p>
    <w:p w14:paraId="3E4DBF2E" w14:textId="7DC97CF4" w:rsidR="00391C5D" w:rsidRDefault="0095510F" w:rsidP="0095510F">
      <w:pPr>
        <w:spacing w:line="360" w:lineRule="auto"/>
        <w:jc w:val="both"/>
      </w:pPr>
      <w:r w:rsidRPr="0095510F">
        <w:t>We conclude that the perturbation of long-range interactions upon calcium binding to monomeric aSyn leads to an increase in N-termin</w:t>
      </w:r>
      <w:r w:rsidR="008E5ED6">
        <w:t>us</w:t>
      </w:r>
      <w:r w:rsidRPr="0095510F">
        <w:t xml:space="preserve"> solvent exposure </w:t>
      </w:r>
      <w:r w:rsidR="008E5ED6">
        <w:t xml:space="preserve">for some aSyn </w:t>
      </w:r>
      <w:r w:rsidR="00BB7116">
        <w:t>variants</w:t>
      </w:r>
      <w:r w:rsidR="008E5ED6">
        <w:t xml:space="preserve"> </w:t>
      </w:r>
      <w:r w:rsidRPr="0095510F">
        <w:t xml:space="preserve">which correlates with </w:t>
      </w:r>
      <w:r w:rsidR="008E5ED6">
        <w:lastRenderedPageBreak/>
        <w:t>their</w:t>
      </w:r>
      <w:r w:rsidRPr="0095510F">
        <w:t xml:space="preserve"> increase</w:t>
      </w:r>
      <w:r w:rsidR="008E5ED6">
        <w:t>d</w:t>
      </w:r>
      <w:r w:rsidRPr="0095510F">
        <w:t xml:space="preserve"> aggregation propensity. This is</w:t>
      </w:r>
      <w:r w:rsidR="008E5ED6">
        <w:t xml:space="preserve"> extent of N-terminus exposure is</w:t>
      </w:r>
      <w:r w:rsidRPr="0095510F">
        <w:t xml:space="preserve"> influenced by the presence of different PTM</w:t>
      </w:r>
      <w:r w:rsidR="006E2523">
        <w:t>s</w:t>
      </w:r>
      <w:r w:rsidRPr="0095510F">
        <w:t xml:space="preserve"> and familial mutations, where the distribution of monomeric conformations of the aSyn ensemble is different between the aSyn variants. The finding that different structural conformations can be identified as early as at the monomer level will be crucial in aiding the development of aSyn aggregation inhibitors stabilising native non-aggregation prone structures.</w:t>
      </w:r>
    </w:p>
    <w:p w14:paraId="2A25F5DE" w14:textId="6163F8D0" w:rsidR="001A640B" w:rsidRDefault="001A640B" w:rsidP="0095510F">
      <w:pPr>
        <w:spacing w:line="360" w:lineRule="auto"/>
        <w:jc w:val="both"/>
      </w:pPr>
    </w:p>
    <w:p w14:paraId="1967CE1D" w14:textId="77777777" w:rsidR="004C052A" w:rsidRPr="00F76AF4" w:rsidRDefault="00F76AF4" w:rsidP="00D77476">
      <w:pPr>
        <w:spacing w:line="360" w:lineRule="auto"/>
        <w:jc w:val="both"/>
        <w:rPr>
          <w:b/>
        </w:rPr>
      </w:pPr>
      <w:r w:rsidRPr="00F76AF4">
        <w:rPr>
          <w:b/>
        </w:rPr>
        <w:t>Results</w:t>
      </w:r>
    </w:p>
    <w:p w14:paraId="3E5ADC64" w14:textId="61B153BE" w:rsidR="00E65F81" w:rsidRPr="00B52964" w:rsidRDefault="00E65F81" w:rsidP="00D77476">
      <w:pPr>
        <w:spacing w:line="360" w:lineRule="auto"/>
        <w:jc w:val="both"/>
        <w:rPr>
          <w:b/>
        </w:rPr>
      </w:pPr>
      <w:r w:rsidRPr="00B52964">
        <w:rPr>
          <w:b/>
        </w:rPr>
        <w:t xml:space="preserve">pS129 and D121A have </w:t>
      </w:r>
      <w:r w:rsidR="003C2F27">
        <w:rPr>
          <w:b/>
        </w:rPr>
        <w:t>altered</w:t>
      </w:r>
      <w:r w:rsidRPr="00B52964">
        <w:rPr>
          <w:b/>
        </w:rPr>
        <w:t xml:space="preserve"> </w:t>
      </w:r>
      <w:r w:rsidR="00DC61CF">
        <w:rPr>
          <w:b/>
        </w:rPr>
        <w:t>conformations</w:t>
      </w:r>
      <w:r w:rsidRPr="00B52964">
        <w:rPr>
          <w:b/>
        </w:rPr>
        <w:t xml:space="preserve"> compared to WT </w:t>
      </w:r>
      <w:r>
        <w:rPr>
          <w:b/>
        </w:rPr>
        <w:t>aSyn</w:t>
      </w:r>
    </w:p>
    <w:p w14:paraId="4C73FE84" w14:textId="6AE68F4A" w:rsidR="0095510F" w:rsidRPr="0095510F" w:rsidRDefault="0095510F" w:rsidP="0095510F">
      <w:pPr>
        <w:spacing w:line="360" w:lineRule="auto"/>
        <w:jc w:val="both"/>
      </w:pPr>
      <w:r w:rsidRPr="0095510F">
        <w:t xml:space="preserve">We first investigated whether interactions mediated by the C-terminus of aSyn were important in modulating monomer conformation and aggregation propensity. We compared WT aSyn to post-translationally modified aSyn, phosphorylated at residue serine 129 (pS129), which increases the C-terminus negative charge, and to a mutant with reduced charge by mutating aspartate (D) to alanine (A) at residue 121 (D121A). The D121A aSyn mutant was chosen from a panel of C-terminus D to A mutants, 115, 119 and 121, which reside in the region of divalent and trivalent cation binding sites </w:t>
      </w:r>
      <w:r w:rsidRPr="0095510F">
        <w:fldChar w:fldCharType="begin" w:fldLock="1"/>
      </w:r>
      <w:r w:rsidR="00373BC0">
        <w:instrText xml:space="preserve">ADDIN CSL_CITATION {"citationItems":[{"id":"ITEM-1","itemData":{"DOI":"10.1021/cn200074d","ISSN":"19487193","abstract":"α-Synuclein (α-syn) is a 140-amino acid protein that plays a central role in the pathogenesis of Parkinson's disease (PD) and other synucleinopathies. However, the molecular determinants that are responsible for triggering and/or propagating α-syn aggregation and toxicity remain poorly understood. Several studies have suggested that there are direct interactions between different metals and α-syn, but the role of metal ions and α-syn in the pathogenesis of PD is not firmly established. Interestingly, the majority of disease-associated post-translational modifications (PTMs) (e.g., truncation, phosphorylation, and nitration) of α-syn occur at residues within the C-terminal region (Y125, S129, Y133, and Y136) and in very close proximity to the putative metal binding sites. Therefore, we hypothesized that phosphorylation within this domain could influence the α-syn-metal interactions. In this paper, we sought to map the interactions between the di- and trivalent cations, Cu(II), Pb(II), Fe(II), and Fe(III), and the C-terminal region of α-syn encompassing residues 107-140 and to determine how phosphorylation at S129 or Y125 alters the specificity and binding affinity of metals using electrospray ionization-mass spectrometry (ESI-MS) and fluorescence spectroscopy. We demonstrate that D115-M116 and P128-S129 act as additional Cu(II) binding sites and show for the first time that the residues P128-S129 and D119 are also involved in Pb(II) and Fe(II) coordination, although D119 is not essential for binding to Fe(II) and Pb(II). Furthermore, we demonstrate that phosphorylation at either Y125 or S129 increases the binding affinity of Cu(II), Pb(II), and Fe(II), but not Fe(III). Additionally, we also show that phosphorylations at these residues lead to a shift in the binding sites of metal ions from the N-terminus to the C-teminus. Together, our findings provide critical insight into and expand our understanding of the molecular and structural bases underlying the interactions between α-syn and metal ions, including the identification of novel metal binding sites, and highlight the potential importance of cross-talk between post-translational modifications and metal ion binding in modulating α-syn functional and aggregation properties that are regulated by its C-terminal domain.","author":[{"dropping-particle":"","family":"Lu","given":"Yu","non-dropping-particle":"","parse-names":false,"suffix":""},{"dropping-particle":"","family":"Prudent","given":"Michel","non-dropping-particle":"","parse-names":false,"suffix":""},{"dropping-particle":"","family":"Fauvet","given":"Bruno","non-dropping-particle":"","parse-names":false,"suffix":""},{"dropping-particle":"","family":"Lashuel","given":"Hilal A","non-dropping-particle":"","parse-names":false,"suffix":""},{"dropping-particle":"","family":"Girault","given":"Hubert H","non-dropping-particle":"","parse-names":false,"suffix":""}],"container-title":"ACS Chemical Neuroscience","id":"ITEM-1","issue":"11","issued":{"date-parts":[["2011"]]},"page":"667-675","title":"Phosphorylation of α-synuclein at Y125 and S129 alters its metal binding properties: Implications for understanding the role of α-synuclein in the pathogenesis of Parkinson's disease and related disorders","type":"article-journal","volume":"2"},"uris":["http://www.mendeley.com/documents/?uuid=8e03fa37-01e3-3b50-811f-ca255121375e"]},{"id":"ITEM-2","itemData":{"DOI":"10.1021/ja0618649","ISBN":"1611616123","ISSN":"00027863","PMID":"16866548","abstract":"The aggregation of R-synuclein (AS) is characteristic of Parkinson's disease and other neurodegenerative synucleinopathies. Interactions with metal ions affect dramatically the kinetics of fibrillation of AS in vitro and are proposed to play a potential role in vivo. We recently showed that Cu(II) binds at the N-terminus of AS with high affinity (Kd </w:instrText>
      </w:r>
      <w:r w:rsidR="00373BC0">
        <w:rPr>
          <w:rFonts w:ascii="Cambria Math" w:hAnsi="Cambria Math" w:cs="Cambria Math"/>
        </w:rPr>
        <w:instrText>∼</w:instrText>
      </w:r>
      <w:r w:rsidR="00373BC0">
        <w:instrText xml:space="preserve"> 0.1 </w:instrText>
      </w:r>
      <w:r w:rsidR="00373BC0">
        <w:rPr>
          <w:rFonts w:ascii="Calibri" w:hAnsi="Calibri" w:cs="Calibri"/>
        </w:rPr>
        <w:instrText>µ</w:instrText>
      </w:r>
      <w:r w:rsidR="00373BC0">
        <w:instrText>M) and accelerates its fibrillation. In this work we investigated the binding features of the divalent metal ions Fe(II), Mn(II), Co(II), and Ni(II), and their effects on AS aggregation. By exploiting the different paramagnetic properties of these metal ions, NMR spectroscopy provides detailed information about the protein-metal interactions at the atomic level. The divalent metal ions bind preferentially and with low affinity (millimolar) to the C-terminus of AS, the primary binding site being the 119 DPDNEA 124 motif, in which Asp121 acts as the main anchoring residue. Combined with backbone residual dipolar coupling measurements, these results suggest that metal binding is not driven exclusively by electrostatic interactions but is mostly determined by the residual structure of the C-terminus of AS. A comparative analysis with Cu(II) revealed a hierarchal effect of AS-metal(II) interactions on AS aggregation kinetics, dictated by structural factors corresponding to different protein domains. These findings reveal a strong link between the specificity of AS-metal(II) interactions and the enhancement of aggregation of AS in vitro. The elucidation of the structural basis of AS metal binding specificity is then required to elucidate the mechanism and clarify the role of metal-protein interactions in the etiology of Parkinson's disease.","author":[{"dropping-particle":"","family":"Binolfi","given":"Andrés","non-dropping-particle":"","parse-names":false,"suffix":""},{"dropping-particle":"","family":"Rasia","given":"Rodolfo M","non-dropping-particle":"","parse-names":false,"suffix":""},{"dropping-particle":"","family":"Bertoncini","given":"Carlos W","non-dropping-particle":"","parse-names":false,"suffix":""},{"dropping-particle":"","family":"Ceolin","given":"Marcelo","non-dropping-particle":"","parse-names":false,"suffix":""},{"dropping-particle":"","family":"Zweckstetter","given":"Markus","non-dropping-particle":"","parse-names":false,"suffix":""},{"dropping-particle":"","family":"Griesinger","given":"Christian","non-dropping-particle":"","parse-names":false,"suffix":""},{"dropping-particle":"","family":"Jovin","given":"Thomas M","non-dropping-particle":"","parse-names":false,"suffix":""},{"dropping-particle":"","family":"Fernández","given":"Claudio O.","non-dropping-particle":"","parse-names":false,"suffix":""}],"container-title":"Journal of the American Chemical Society","id":"ITEM-2","issue":"30","issued":{"date-parts":[["2006"]]},"page":"9893-9901","title":"Interaction of α-synuclein with divalent metal ions reveals key differences: A link between structure, binding specificity and fibrillation enhancement","type":"article-journal","volume":"128"},"uris":["http://www.mendeley.com/documents/?uuid=6784a789-b1e5-31a1-9f49-b82263ed3139"]}],"mendeley":{"formattedCitation":"&lt;sup&gt;8,42&lt;/sup&gt;","plainTextFormattedCitation":"8,42","previouslyFormattedCitation":"&lt;sup&gt;8,42&lt;/sup&gt;"},"properties":{"noteIndex":0},"schema":"https://github.com/citation-style-language/schema/raw/master/csl-citation.json"}</w:instrText>
      </w:r>
      <w:r w:rsidRPr="0095510F">
        <w:fldChar w:fldCharType="separate"/>
      </w:r>
      <w:r w:rsidR="00373BC0" w:rsidRPr="00373BC0">
        <w:rPr>
          <w:noProof/>
          <w:vertAlign w:val="superscript"/>
        </w:rPr>
        <w:t>8,42</w:t>
      </w:r>
      <w:r w:rsidRPr="0095510F">
        <w:fldChar w:fldCharType="end"/>
      </w:r>
      <w:r w:rsidRPr="0095510F">
        <w:t>. D121A aSyn was chosen for further investigation as it displayed a decreased aggregation rate using a thioflavin-T (</w:t>
      </w:r>
      <w:proofErr w:type="spellStart"/>
      <w:r w:rsidRPr="0095510F">
        <w:t>ThT</w:t>
      </w:r>
      <w:proofErr w:type="spellEnd"/>
      <w:r w:rsidRPr="0095510F">
        <w:t>) based kinetic assay compared to D115A, D119A and WT aSyn (</w:t>
      </w:r>
      <w:r w:rsidR="00F02B4C">
        <w:t xml:space="preserve">Supplementary </w:t>
      </w:r>
      <w:r w:rsidRPr="0095510F">
        <w:t xml:space="preserve">Figure </w:t>
      </w:r>
      <w:r w:rsidR="001F4DC2">
        <w:t>1</w:t>
      </w:r>
      <w:r w:rsidRPr="0095510F">
        <w:t>-</w:t>
      </w:r>
      <w:r w:rsidR="001F4DC2">
        <w:t>2</w:t>
      </w:r>
      <w:r w:rsidR="00D4657B">
        <w:t>, Supplementary Note 1</w:t>
      </w:r>
      <w:r w:rsidRPr="0095510F">
        <w:t xml:space="preserve">). </w:t>
      </w:r>
    </w:p>
    <w:p w14:paraId="03A37E75" w14:textId="39FE1AFF" w:rsidR="00B30F4B" w:rsidRDefault="0095510F" w:rsidP="0095510F">
      <w:pPr>
        <w:spacing w:line="360" w:lineRule="auto"/>
        <w:jc w:val="both"/>
      </w:pPr>
      <w:r w:rsidRPr="0095510F">
        <w:t xml:space="preserve">We first compared the conformation of monomeric D121A and pS129 aSyn to WT </w:t>
      </w:r>
      <w:proofErr w:type="spellStart"/>
      <w:r w:rsidRPr="0095510F">
        <w:t>aSyn</w:t>
      </w:r>
      <w:proofErr w:type="spellEnd"/>
      <w:r w:rsidRPr="0095510F">
        <w:t xml:space="preserve"> using </w:t>
      </w:r>
      <w:r w:rsidRPr="0095510F">
        <w:rPr>
          <w:vertAlign w:val="superscript"/>
        </w:rPr>
        <w:t>1</w:t>
      </w:r>
      <w:r w:rsidRPr="0095510F">
        <w:t>H-</w:t>
      </w:r>
      <w:r w:rsidRPr="0095510F">
        <w:rPr>
          <w:vertAlign w:val="superscript"/>
        </w:rPr>
        <w:t>15</w:t>
      </w:r>
      <w:r w:rsidRPr="0095510F">
        <w:t>N heteronuclear single quantum correlation (HSQC) spectra in solution. In comparison to WT aSyn there are chemical shift perturbations (CSPs) around the location of the D121A mutation and around the phosphorylated S129 residue</w:t>
      </w:r>
      <w:r w:rsidR="00376880">
        <w:t>, but otherwise no clear CSPs in the N-terminus and NAC regions</w:t>
      </w:r>
      <w:r w:rsidR="00A80D19">
        <w:t xml:space="preserve"> (Figure 2a, S</w:t>
      </w:r>
      <w:r w:rsidR="00F02B4C">
        <w:t xml:space="preserve">upplementary Figure </w:t>
      </w:r>
      <w:r w:rsidR="001F4DC2">
        <w:t>3</w:t>
      </w:r>
      <w:r w:rsidR="00A80D19">
        <w:t>)</w:t>
      </w:r>
      <w:r w:rsidRPr="0095510F">
        <w:t>.</w:t>
      </w:r>
    </w:p>
    <w:p w14:paraId="039BCDE7" w14:textId="2A13FFF9" w:rsidR="0095510F" w:rsidRPr="0095510F" w:rsidRDefault="0095510F" w:rsidP="0095510F">
      <w:pPr>
        <w:spacing w:line="360" w:lineRule="auto"/>
        <w:jc w:val="both"/>
      </w:pPr>
      <w:r w:rsidRPr="0095510F">
        <w:t xml:space="preserve">As CSPs of D121A and pS129 aSyn compared to WT aSyn were relatively small aside from the </w:t>
      </w:r>
      <w:r w:rsidRPr="00E05B1F">
        <w:t xml:space="preserve">mutation/phosphorylation sites, we next investigated whether addition of calcium could skew the </w:t>
      </w:r>
      <w:r w:rsidR="001810AB" w:rsidRPr="00E05B1F">
        <w:t xml:space="preserve">heterogeneous </w:t>
      </w:r>
      <w:r w:rsidRPr="00E05B1F">
        <w:t xml:space="preserve">conformational ensemble of monomeric aSyn </w:t>
      </w:r>
      <w:r w:rsidR="00A80D19" w:rsidRPr="00F13719">
        <w:t>leading to more</w:t>
      </w:r>
      <w:r w:rsidR="00A80D19" w:rsidRPr="00E05B1F">
        <w:t xml:space="preserve"> homogeneous</w:t>
      </w:r>
      <w:r w:rsidR="00A80D19" w:rsidRPr="00F13719">
        <w:t xml:space="preserve"> calcium bound</w:t>
      </w:r>
      <w:r w:rsidR="00A80D19" w:rsidRPr="00E05B1F">
        <w:t xml:space="preserve"> structures which may </w:t>
      </w:r>
      <w:r w:rsidRPr="00E05B1F">
        <w:t>indicate differences in the structure of the three monomeric aSyn more clearly. Binding of calcium alters electrostatic interactions as it neutralises the negative charge at the C-</w:t>
      </w:r>
      <w:r w:rsidRPr="001A7F7F">
        <w:rPr>
          <w:rFonts w:cstheme="minorHAnsi"/>
        </w:rPr>
        <w:t xml:space="preserve">terminus of aSyn </w:t>
      </w:r>
      <w:r w:rsidRPr="001A7F7F">
        <w:rPr>
          <w:rFonts w:cstheme="minorHAnsi"/>
        </w:rPr>
        <w:fldChar w:fldCharType="begin" w:fldLock="1"/>
      </w:r>
      <w:r w:rsidR="00805857" w:rsidRPr="001A7F7F">
        <w:rPr>
          <w:rFonts w:cstheme="minorHAnsi"/>
        </w:rPr>
        <w:instrText xml:space="preserve">ADDIN CSL_CITATION {"citationItems":[{"id":"ITEM-1","itemData":{"DOI":"10.1021/ja0618649","ISBN":"1611616123","ISSN":"00027863","PMID":"16866548","abstract":"The aggregation of R-synuclein (AS) is characteristic of Parkinson's disease and other neurodegenerative synucleinopathies. Interactions with metal ions affect dramatically the kinetics of fibrillation of AS in vitro and are proposed to play a potential role in vivo. We recently showed that Cu(II) binds at the N-terminus of AS with high affinity (Kd </w:instrText>
      </w:r>
      <w:r w:rsidR="00805857" w:rsidRPr="001A7F7F">
        <w:rPr>
          <w:rFonts w:ascii="Cambria Math" w:hAnsi="Cambria Math" w:cs="Cambria Math"/>
        </w:rPr>
        <w:instrText>∼</w:instrText>
      </w:r>
      <w:r w:rsidR="00805857" w:rsidRPr="001A7F7F">
        <w:rPr>
          <w:rFonts w:cstheme="minorHAnsi"/>
        </w:rPr>
        <w:instrText xml:space="preserve"> 0.1 µM) and accelerates its fibrillation. In this work we investigated the binding features of the divalent metal ions Fe(II), Mn(II), Co(II), and Ni(II), and their effects on AS aggregation. By exploiting the different paramagnetic properties of these metal ions, NMR spectroscopy provides detailed information about the protein-metal interactions at the atomic level. The divalent metal ions bind preferentially and with low affinity (millimolar) to the C-terminus of AS, the primary binding site being the 119 DPDNEA 124 motif, in which Asp121 acts as the main anchoring residue. Combined with backbone residual dipolar coupling measurements, these results suggest that metal binding is not driven exclusively by electrostatic interactions but is mostly determined by the residual structure of the C-terminus of AS. A comparative analysis with Cu(II) revealed a hierarchal effect of AS-metal(II) interactions on AS aggregation kinetics, dictated by structural factors corresponding to different protein domains. These findings reveal a strong link between the specificity of AS-metal(II) interactions and the enhancement of aggregation of AS in vitro. The elucidation of the structural basis of AS metal binding specificity is then required to elucidate the mechanism and clarify the role of metal-protein interactions in the etiology of Parkinson's disease.","author":[{"dropping-particle":"","family":"Binolfi","given":"Andrés","non-dropping-particle":"","parse-names":false,"suffix":""},{"dropping-particle":"","family":"Rasia","given":"Rodolfo M","non-dropping-particle":"","parse-names":false,"suffix":""},{"dropping-particle":"","family":"Bertoncini","given":"Carlos W","non-dropping-particle":"","parse-names":false,"suffix":""},{"dropping-particle":"","family":"Ceolin","given":"Marcelo","non-dropping-particle":"","parse-names":false,"suffix":""},{"dropping-particle":"","family":"Zweckstetter","given":"Markus","non-dropping-particle":"","parse-names":false,"suffix":""},{"dropping-particle":"","family":"Griesinger","given":"Christian","non-dropping-particle":"","parse-names":false,"suffix":""},{"dropping-particle":"","family":"Jovin","given":"Thomas M","non-dropping-particle":"","parse-names":false,"suffix":""},{"dropping-particle":"","family":"Fernández","given":"Claudio O.","non-dropping-particle":"","parse-names":false,"suffix":""}],"container-title":"Journal of the American Chemical Society","id":"ITEM-1","issue":"30","issued":{"date-parts":[["2006"]]},"page":"9893-9901","title":"Interaction of α-synuclein with divalent metal ions reveals key differences: A link between structure, binding specificity and fibrillation enhancement","type":"article-journal","volume":"128"},"uris":["http://www.mendeley.com/documents/?uuid=6784a789-b1e5-31a1-9f49-b82263ed3139"]}],"mendeley":{"formattedCitation":"&lt;sup&gt;8&lt;/sup&gt;","plainTextFormattedCitation":"8","previouslyFormattedCitation":"&lt;sup&gt;8&lt;/sup&gt;"},"properties":{"noteIndex":0},"schema":"https://github.com/citation-style-language/schema/raw/master/csl-citation.json"}</w:instrText>
      </w:r>
      <w:r w:rsidRPr="001A7F7F">
        <w:rPr>
          <w:rFonts w:cstheme="minorHAnsi"/>
        </w:rPr>
        <w:fldChar w:fldCharType="separate"/>
      </w:r>
      <w:r w:rsidRPr="001A7F7F">
        <w:rPr>
          <w:rFonts w:cstheme="minorHAnsi"/>
          <w:noProof/>
          <w:vertAlign w:val="superscript"/>
        </w:rPr>
        <w:t>8</w:t>
      </w:r>
      <w:r w:rsidRPr="001A7F7F">
        <w:rPr>
          <w:rFonts w:cstheme="minorHAnsi"/>
        </w:rPr>
        <w:fldChar w:fldCharType="end"/>
      </w:r>
      <w:r w:rsidRPr="001A7F7F">
        <w:rPr>
          <w:rFonts w:cstheme="minorHAnsi"/>
        </w:rPr>
        <w:t xml:space="preserve">. We </w:t>
      </w:r>
      <w:r w:rsidR="00FB78F6" w:rsidRPr="001A7F7F">
        <w:rPr>
          <w:rFonts w:cstheme="minorHAnsi"/>
        </w:rPr>
        <w:t xml:space="preserve">performed a calcium titration from 0.2 – 4.2 mM and </w:t>
      </w:r>
      <w:r w:rsidRPr="001A7F7F">
        <w:rPr>
          <w:rFonts w:cstheme="minorHAnsi"/>
        </w:rPr>
        <w:t>observed significant CSPs at the C-terminus for all three aSyn samples, as shown previously for WT aSyn (Figure 2b</w:t>
      </w:r>
      <w:r w:rsidR="00FB78F6" w:rsidRPr="001A7F7F">
        <w:rPr>
          <w:rFonts w:cstheme="minorHAnsi"/>
        </w:rPr>
        <w:t>, S</w:t>
      </w:r>
      <w:r w:rsidR="00F02B4C">
        <w:rPr>
          <w:rFonts w:cstheme="minorHAnsi"/>
        </w:rPr>
        <w:t xml:space="preserve">upplementary Figure </w:t>
      </w:r>
      <w:r w:rsidR="001F4DC2" w:rsidRPr="001A7F7F">
        <w:rPr>
          <w:rFonts w:cstheme="minorHAnsi"/>
        </w:rPr>
        <w:t>4</w:t>
      </w:r>
      <w:r w:rsidRPr="001A7F7F">
        <w:rPr>
          <w:rFonts w:cstheme="minorHAnsi"/>
        </w:rPr>
        <w:t xml:space="preserve">) </w:t>
      </w:r>
      <w:r w:rsidRPr="001A7F7F">
        <w:rPr>
          <w:rFonts w:cstheme="minorHAnsi"/>
        </w:rPr>
        <w:fldChar w:fldCharType="begin" w:fldLock="1"/>
      </w:r>
      <w:r w:rsidR="00373BC0">
        <w:rPr>
          <w:rFonts w:cstheme="minorHAnsi"/>
        </w:rPr>
        <w:instrText>ADDIN CSL_CITATION {"citationItems":[{"id":"ITEM-1","itemData":{"DOI":"10.1038/s41467-018-03111-4","ISSN":"20411723","abstract":"Alpha-synuclein is known to bind to small unilamellar vesicles (SUVs) via its N terminus, which forms an amphipathic alpha-helix upon membrane interaction. Here we show that calcium binds to the C terminus of alpha-synuclein, therewith increasing its lipid-binding capacity. Using CEST-NMR, we reveal that alpha-synuclein interacts with isolated synaptic vesicles with two regions, the N terminus, already known from studies on SUVs, and additionally via its C terminus, which is regulated by the binding of calcium. Indeed, dSTORM on synaptosomes shows that calcium mediates the localization of alpha-synuclein at the pre-synaptic terminal, and an imbalance in calcium or alpha-synuclein can cause synaptic vesicle clustering, as seen ex vivo and in vitro. This study provides a new view on the binding of alpha-synuclein to synaptic vesicles, which might also affect our understanding of synucleinopathies.","author":[{"dropping-particle":"","family":"Lautenschläger","given":"Janin","non-dropping-particle":"","parse-names":false,"suffix":""},{"dropping-particle":"","family":"Stephens","given":"Amberley D.","non-dropping-particle":"","parse-names":false,"suffix":""},{"dropping-particle":"","family":"Fusco","given":"Giuliana","non-dropping-particle":"","parse-names":false,"suffix":""},{"dropping-particle":"","family":"Ströhl","given":"Florian","non-dropping-particle":"","parse-names":false,"suffix":""},{"dropping-particle":"","family":"Curry","given":"Nathan","non-dropping-particle":"","parse-names":false,"suffix":""},{"dropping-particle":"","family":"Zacharopoulou","given":"Maria","non-dropping-particle":"","parse-names":false,"suffix":""},{"dropping-particle":"","family":"Michel","given":"Claire H.","non-dropping-particle":"","parse-names":false,"suffix":""},{"dropping-particle":"","family":"Laine","given":"Romain","non-dropping-particle":"","parse-names":false,"suffix":""},{"dropping-particle":"","family":"Nespovitaya","given":"Nadezhda","non-dropping-particle":"","parse-names":false,"suffix":""},{"dropping-particle":"","family":"Fantham","given":"Marcus","non-dropping-particle":"","parse-names":false,"suffix":""},{"dropping-particle":"","family":"Pinotsi","given":"Dorothea","non-dropping-particle":"","parse-names":false,"suffix":""},{"dropping-particle":"","family":"Zago","given":"Wagner","non-dropping-particle":"","parse-names":false,"suffix":""},{"dropping-particle":"","family":"Fraser","given":"Paul","non-dropping-particle":"","parse-names":false,"suffix":""},{"dropping-particle":"","family":"Tandon","given":"Anurag","non-dropping-particle":"","parse-names":false,"suffix":""},{"dropping-particle":"","family":"St George-Hyslop","given":"Peter","non-dropping-particle":"","parse-names":false,"suffix":""},{"dropping-particle":"","family":"Rees","given":"Eric","non-dropping-particle":"","parse-names":false,"suffix":""},{"dropping-particle":"","family":"Phillips","given":"Jonathan J.","non-dropping-particle":"","parse-names":false,"suffix":""},{"dropping-particle":"","family":"Simone","given":"Alfonso","non-dropping-particle":"De","parse-names":false,"suffix":""},{"dropping-particle":"","family":"Kaminski","given":"Clemens F.","non-dropping-particle":"","parse-names":false,"suffix":""},{"dropping-particle":"","family":"Schierle","given":"Gabriele S.Kaminski","non-dropping-particle":"","parse-names":false,"suffix":""}],"container-title":"Nature Communications","id":"ITEM-1","issue":"1","issued":{"date-parts":[["2018","12","19"]]},"page":"712","publisher":"Nature Publishing Group","title":"C-terminal calcium binding of α-synuclein modulates synaptic vesicle interaction","type":"article-journal","volume":"9"},"uris":["http://www.mendeley.com/documents/?uuid=5da06726-0802-3970-b05f-1380256f2e9a"]}],"mendeley":{"formattedCitation":"&lt;sup&gt;40&lt;/sup&gt;","plainTextFormattedCitation":"40","previouslyFormattedCitation":"&lt;sup&gt;40&lt;/sup&gt;"},"properties":{"noteIndex":0},"schema":"https://github.com/citation-style-language/schema/raw/master/csl-citation.json"}</w:instrText>
      </w:r>
      <w:r w:rsidRPr="001A7F7F">
        <w:rPr>
          <w:rFonts w:cstheme="minorHAnsi"/>
        </w:rPr>
        <w:fldChar w:fldCharType="separate"/>
      </w:r>
      <w:r w:rsidR="00373BC0" w:rsidRPr="00373BC0">
        <w:rPr>
          <w:rFonts w:cstheme="minorHAnsi"/>
          <w:noProof/>
          <w:vertAlign w:val="superscript"/>
        </w:rPr>
        <w:t>40</w:t>
      </w:r>
      <w:r w:rsidRPr="001A7F7F">
        <w:rPr>
          <w:rFonts w:cstheme="minorHAnsi"/>
        </w:rPr>
        <w:fldChar w:fldCharType="end"/>
      </w:r>
      <w:r w:rsidRPr="001A7F7F">
        <w:rPr>
          <w:rFonts w:cstheme="minorHAnsi"/>
        </w:rPr>
        <w:t xml:space="preserve">. </w:t>
      </w:r>
      <w:r w:rsidR="00C50F68" w:rsidRPr="001A7F7F">
        <w:rPr>
          <w:rFonts w:cstheme="minorHAnsi"/>
        </w:rPr>
        <w:t>To show</w:t>
      </w:r>
      <w:r w:rsidR="00BB7116">
        <w:rPr>
          <w:rFonts w:cstheme="minorHAnsi"/>
        </w:rPr>
        <w:t xml:space="preserve"> that</w:t>
      </w:r>
      <w:r w:rsidR="00C50F68" w:rsidRPr="001A7F7F">
        <w:rPr>
          <w:rFonts w:cstheme="minorHAnsi"/>
        </w:rPr>
        <w:t xml:space="preserve"> C-terminus CSPs </w:t>
      </w:r>
      <w:r w:rsidR="00BB7116">
        <w:rPr>
          <w:rFonts w:cstheme="minorHAnsi"/>
        </w:rPr>
        <w:t xml:space="preserve">observed in the above experiment </w:t>
      </w:r>
      <w:r w:rsidR="006E2523">
        <w:rPr>
          <w:rFonts w:cstheme="minorHAnsi"/>
        </w:rPr>
        <w:t xml:space="preserve">are </w:t>
      </w:r>
      <w:r w:rsidR="00BB7116">
        <w:rPr>
          <w:rFonts w:cstheme="minorHAnsi"/>
        </w:rPr>
        <w:t xml:space="preserve">due to a direct interaction of </w:t>
      </w:r>
      <w:r w:rsidR="00C50F68" w:rsidRPr="001A7F7F">
        <w:rPr>
          <w:rFonts w:cstheme="minorHAnsi"/>
        </w:rPr>
        <w:t xml:space="preserve">calcium </w:t>
      </w:r>
      <w:r w:rsidR="00BB7116">
        <w:rPr>
          <w:rFonts w:cstheme="minorHAnsi"/>
        </w:rPr>
        <w:t xml:space="preserve">and aSyn and not simply due to global electrostatic effects, </w:t>
      </w:r>
      <w:r w:rsidR="00C50F68" w:rsidRPr="001A7F7F">
        <w:rPr>
          <w:rFonts w:cstheme="minorHAnsi"/>
        </w:rPr>
        <w:t>we also performed NMR</w:t>
      </w:r>
      <w:r w:rsidR="00BB7116">
        <w:rPr>
          <w:rFonts w:cstheme="minorHAnsi"/>
        </w:rPr>
        <w:t xml:space="preserve"> experiments</w:t>
      </w:r>
      <w:r w:rsidR="00C50F68" w:rsidRPr="001A7F7F">
        <w:rPr>
          <w:rFonts w:cstheme="minorHAnsi"/>
        </w:rPr>
        <w:t xml:space="preserve"> in the presence of </w:t>
      </w:r>
      <w:r w:rsidR="00EF6501" w:rsidRPr="001A7F7F">
        <w:rPr>
          <w:rFonts w:cstheme="minorHAnsi"/>
        </w:rPr>
        <w:t>4</w:t>
      </w:r>
      <w:r w:rsidR="00C50F68" w:rsidRPr="001A7F7F">
        <w:rPr>
          <w:rFonts w:cstheme="minorHAnsi"/>
        </w:rPr>
        <w:t xml:space="preserve"> mM NaCl</w:t>
      </w:r>
      <w:r w:rsidR="00BB7116">
        <w:rPr>
          <w:rFonts w:cstheme="minorHAnsi"/>
        </w:rPr>
        <w:t>.</w:t>
      </w:r>
      <w:r w:rsidR="00C50F68" w:rsidRPr="001A7F7F">
        <w:rPr>
          <w:rFonts w:cstheme="minorHAnsi"/>
        </w:rPr>
        <w:t xml:space="preserve"> </w:t>
      </w:r>
      <w:r w:rsidR="00BB7116">
        <w:rPr>
          <w:rFonts w:cstheme="minorHAnsi"/>
        </w:rPr>
        <w:t xml:space="preserve">The results in </w:t>
      </w:r>
      <w:r w:rsidR="00F02B4C">
        <w:rPr>
          <w:rFonts w:cstheme="minorHAnsi"/>
        </w:rPr>
        <w:t xml:space="preserve">Supplementary </w:t>
      </w:r>
      <w:r w:rsidR="00BB7116">
        <w:rPr>
          <w:rFonts w:cstheme="minorHAnsi"/>
        </w:rPr>
        <w:t xml:space="preserve">Figure 5 </w:t>
      </w:r>
      <w:r w:rsidR="00BB7116">
        <w:rPr>
          <w:rFonts w:cstheme="minorHAnsi"/>
        </w:rPr>
        <w:lastRenderedPageBreak/>
        <w:t xml:space="preserve">show that </w:t>
      </w:r>
      <w:r w:rsidR="00C50F68" w:rsidRPr="001A7F7F">
        <w:rPr>
          <w:rFonts w:cstheme="minorHAnsi"/>
        </w:rPr>
        <w:t xml:space="preserve">we observed no specific C-terminus CSPs. </w:t>
      </w:r>
      <w:r w:rsidRPr="001A7F7F">
        <w:rPr>
          <w:rFonts w:cstheme="minorHAnsi"/>
        </w:rPr>
        <w:t>For D121A aSyn, in addition to the main CSPs at the calcium binding region, we observe higher CSPs across</w:t>
      </w:r>
      <w:r w:rsidRPr="001A7F7F">
        <w:t xml:space="preserve"> </w:t>
      </w:r>
      <w:r w:rsidRPr="0095510F">
        <w:t xml:space="preserve">the region of </w:t>
      </w:r>
      <w:r w:rsidR="00C060C7">
        <w:t>residues</w:t>
      </w:r>
      <w:r w:rsidRPr="0095510F">
        <w:t xml:space="preserve"> 1-1</w:t>
      </w:r>
      <w:r w:rsidR="00710B1A">
        <w:t>0</w:t>
      </w:r>
      <w:r w:rsidRPr="0095510F">
        <w:t xml:space="preserve">0 when compared to WT and pS129 aSyn, which is significant as a point mutation usually only alters a very localised region of the sequence in a disordered protein </w:t>
      </w:r>
      <w:r w:rsidRPr="0095510F">
        <w:fldChar w:fldCharType="begin" w:fldLock="1"/>
      </w:r>
      <w:r w:rsidR="00373BC0">
        <w:instrText>ADDIN CSL_CITATION {"citationItems":[{"id":"ITEM-1","itemData":{"DOI":"10.1021/bi5010365","ISSN":"15204995","abstract":"© 2014 American Chemical Society. α-Synuclein (α-Syn) oligomerization and amyloid formation are associated with Parkinsons disease (PD) pathogenesis. Studying familial α-Syn mutants associated with early onset PD has therapeutic importance. Here we report the aggregation kinetics and other biophysical properties of a newly discovered PD associated Finnish mutation (A53E). Our in vitro study demonstrated that A53E attenuated α-Syn aggregation and amyloid formation without altering the major secondary structure and initial oligomerization tendency. Further, A53E showed reduced membrane binding affinity compared to A53T and WT. The present study would help to delineate the role of A53E mutation in early onset PD pathogenesis.","author":[{"dropping-particle":"","family":"Ghosh","given":"Dhiman","non-dropping-particle":"","parse-names":false,"suffix":""},{"dropping-particle":"","family":"Sahay","given":"Shruti","non-dropping-particle":"","parse-names":false,"suffix":""},{"dropping-particle":"","family":"Ranjan","given":"Priyatosh","non-dropping-particle":"","parse-names":false,"suffix":""},{"dropping-particle":"","family":"Salot","given":"Shimul","non-dropping-particle":"","parse-names":false,"suffix":""},{"dropping-particle":"","family":"Mohite","given":"Ganesh M","non-dropping-particle":"","parse-names":false,"suffix":""},{"dropping-particle":"","family":"Singh","given":"Pradeep K","non-dropping-particle":"","parse-names":false,"suffix":""},{"dropping-particle":"","family":"Dwivedi","given":"Saumya","non-dropping-particle":"","parse-names":false,"suffix":""},{"dropping-particle":"","family":"Carvalho","given":"Edmund","non-dropping-particle":"","parse-names":false,"suffix":""},{"dropping-particle":"","family":"Banerjee","given":"Rinti","non-dropping-particle":"","parse-names":false,"suffix":""},{"dropping-particle":"","family":"Kumar","given":"Ashutosh","non-dropping-particle":"","parse-names":false,"suffix":""},{"dropping-particle":"","family":"Maji","given":"Samir K","non-dropping-particle":"","parse-names":false,"suffix":""}],"container-title":"Biochemistry","id":"ITEM-1","issue":"41","issued":{"date-parts":[["2014"]]},"page":"6419-6421","publisher":"UTC","title":"The newly discovered Parkinsons disease associated finnish mutation (A53E) attenuates α-synuclein aggregation and membrane binding","type":"article-journal","volume":"53"},"uris":["http://www.mendeley.com/documents/?uuid=3d07e64f-c954-335d-b579-2f693d333df4"]}],"mendeley":{"formattedCitation":"&lt;sup&gt;43&lt;/sup&gt;","plainTextFormattedCitation":"43","previouslyFormattedCitation":"&lt;sup&gt;43&lt;/sup&gt;"},"properties":{"noteIndex":0},"schema":"https://github.com/citation-style-language/schema/raw/master/csl-citation.json"}</w:instrText>
      </w:r>
      <w:r w:rsidRPr="0095510F">
        <w:fldChar w:fldCharType="separate"/>
      </w:r>
      <w:r w:rsidR="00373BC0" w:rsidRPr="00373BC0">
        <w:rPr>
          <w:noProof/>
          <w:vertAlign w:val="superscript"/>
        </w:rPr>
        <w:t>43</w:t>
      </w:r>
      <w:r w:rsidRPr="0095510F">
        <w:fldChar w:fldCharType="end"/>
      </w:r>
      <w:r w:rsidRPr="0095510F">
        <w:t xml:space="preserve"> (Figure 2b, green). Furthermore, we previously observed broadening of the NAC region for WT aSyn when calcium was bound </w:t>
      </w:r>
      <w:r w:rsidRPr="0095510F">
        <w:fldChar w:fldCharType="begin" w:fldLock="1"/>
      </w:r>
      <w:r w:rsidR="00373BC0">
        <w:instrText>ADDIN CSL_CITATION {"citationItems":[{"id":"ITEM-1","itemData":{"DOI":"10.1038/s41467-018-03111-4","ISSN":"20411723","abstract":"Alpha-synuclein is known to bind to small unilamellar vesicles (SUVs) via its N terminus, which forms an amphipathic alpha-helix upon membrane interaction. Here we show that calcium binds to the C terminus of alpha-synuclein, therewith increasing its lipid-binding capacity. Using CEST-NMR, we reveal that alpha-synuclein interacts with isolated synaptic vesicles with two regions, the N terminus, already known from studies on SUVs, and additionally via its C terminus, which is regulated by the binding of calcium. Indeed, dSTORM on synaptosomes shows that calcium mediates the localization of alpha-synuclein at the pre-synaptic terminal, and an imbalance in calcium or alpha-synuclein can cause synaptic vesicle clustering, as seen ex vivo and in vitro. This study provides a new view on the binding of alpha-synuclein to synaptic vesicles, which might also affect our understanding of synucleinopathies.","author":[{"dropping-particle":"","family":"Lautenschläger","given":"Janin","non-dropping-particle":"","parse-names":false,"suffix":""},{"dropping-particle":"","family":"Stephens","given":"Amberley D.","non-dropping-particle":"","parse-names":false,"suffix":""},{"dropping-particle":"","family":"Fusco","given":"Giuliana","non-dropping-particle":"","parse-names":false,"suffix":""},{"dropping-particle":"","family":"Ströhl","given":"Florian","non-dropping-particle":"","parse-names":false,"suffix":""},{"dropping-particle":"","family":"Curry","given":"Nathan","non-dropping-particle":"","parse-names":false,"suffix":""},{"dropping-particle":"","family":"Zacharopoulou","given":"Maria","non-dropping-particle":"","parse-names":false,"suffix":""},{"dropping-particle":"","family":"Michel","given":"Claire H.","non-dropping-particle":"","parse-names":false,"suffix":""},{"dropping-particle":"","family":"Laine","given":"Romain","non-dropping-particle":"","parse-names":false,"suffix":""},{"dropping-particle":"","family":"Nespovitaya","given":"Nadezhda","non-dropping-particle":"","parse-names":false,"suffix":""},{"dropping-particle":"","family":"Fantham","given":"Marcus","non-dropping-particle":"","parse-names":false,"suffix":""},{"dropping-particle":"","family":"Pinotsi","given":"Dorothea","non-dropping-particle":"","parse-names":false,"suffix":""},{"dropping-particle":"","family":"Zago","given":"Wagner","non-dropping-particle":"","parse-names":false,"suffix":""},{"dropping-particle":"","family":"Fraser","given":"Paul","non-dropping-particle":"","parse-names":false,"suffix":""},{"dropping-particle":"","family":"Tandon","given":"Anurag","non-dropping-particle":"","parse-names":false,"suffix":""},{"dropping-particle":"","family":"St George-Hyslop","given":"Peter","non-dropping-particle":"","parse-names":false,"suffix":""},{"dropping-particle":"","family":"Rees","given":"Eric","non-dropping-particle":"","parse-names":false,"suffix":""},{"dropping-particle":"","family":"Phillips","given":"Jonathan J.","non-dropping-particle":"","parse-names":false,"suffix":""},{"dropping-particle":"","family":"Simone","given":"Alfonso","non-dropping-particle":"De","parse-names":false,"suffix":""},{"dropping-particle":"","family":"Kaminski","given":"Clemens F.","non-dropping-particle":"","parse-names":false,"suffix":""},{"dropping-particle":"","family":"Schierle","given":"Gabriele S.Kaminski","non-dropping-particle":"","parse-names":false,"suffix":""}],"container-title":"Nature Communications","id":"ITEM-1","issue":"1","issued":{"date-parts":[["2018","12","19"]]},"page":"712","publisher":"Nature Publishing Group","title":"C-terminal calcium binding of α-synuclein modulates synaptic vesicle interaction","type":"article-journal","volume":"9"},"uris":["http://www.mendeley.com/documents/?uuid=5da06726-0802-3970-b05f-1380256f2e9a"]}],"mendeley":{"formattedCitation":"&lt;sup&gt;40&lt;/sup&gt;","plainTextFormattedCitation":"40","previouslyFormattedCitation":"&lt;sup&gt;40&lt;/sup&gt;"},"properties":{"noteIndex":0},"schema":"https://github.com/citation-style-language/schema/raw/master/csl-citation.json"}</w:instrText>
      </w:r>
      <w:r w:rsidRPr="0095510F">
        <w:fldChar w:fldCharType="separate"/>
      </w:r>
      <w:r w:rsidR="00373BC0" w:rsidRPr="00373BC0">
        <w:rPr>
          <w:noProof/>
          <w:vertAlign w:val="superscript"/>
        </w:rPr>
        <w:t>40</w:t>
      </w:r>
      <w:r w:rsidRPr="0095510F">
        <w:fldChar w:fldCharType="end"/>
      </w:r>
      <w:r w:rsidRPr="0095510F">
        <w:t>, yet we observe no broadening in D121A aSyn (Figure 2c</w:t>
      </w:r>
      <w:r w:rsidR="00CC4700">
        <w:t>, S</w:t>
      </w:r>
      <w:r w:rsidR="00F02B4C">
        <w:t xml:space="preserve">upplementary Figure </w:t>
      </w:r>
      <w:r w:rsidR="00CC4700">
        <w:t>6</w:t>
      </w:r>
      <w:r w:rsidRPr="0095510F">
        <w:t xml:space="preserve">), suggesting that interactions with the NAC region were altered in D121A aSyn. Our data further indicate that pS129 aSyn also has altered long range interactions in comparison to WT aSyn. Firstly, there appear to be more localised C-terminus CSPs upon calcium binding compared to D121A and WT aSyn (Figure 2b, yellow). Residues involved in metal binding have previously been shown to be altered upon phosphorylation </w:t>
      </w:r>
      <w:r w:rsidRPr="0095510F">
        <w:fldChar w:fldCharType="begin" w:fldLock="1"/>
      </w:r>
      <w:r w:rsidR="00373BC0">
        <w:instrText>ADDIN CSL_CITATION {"citationItems":[{"id":"ITEM-1","itemData":{"DOI":"10.1021/cn200074d","ISSN":"19487193","abstract":"α-Synuclein (α-syn) is a 140-amino acid protein that plays a central role in the pathogenesis of Parkinson's disease (PD) and other synucleinopathies. However, the molecular determinants that are responsible for triggering and/or propagating α-syn aggregation and toxicity remain poorly understood. Several studies have suggested that there are direct interactions between different metals and α-syn, but the role of metal ions and α-syn in the pathogenesis of PD is not firmly established. Interestingly, the majority of disease-associated post-translational modifications (PTMs) (e.g., truncation, phosphorylation, and nitration) of α-syn occur at residues within the C-terminal region (Y125, S129, Y133, and Y136) and in very close proximity to the putative metal binding sites. Therefore, we hypothesized that phosphorylation within this domain could influence the α-syn-metal interactions. In this paper, we sought to map the interactions between the di- and trivalent cations, Cu(II), Pb(II), Fe(II), and Fe(III), and the C-terminal region of α-syn encompassing residues 107-140 and to determine how phosphorylation at S129 or Y125 alters the specificity and binding affinity of metals using electrospray ionization-mass spectrometry (ESI-MS) and fluorescence spectroscopy. We demonstrate that D115-M116 and P128-S129 act as additional Cu(II) binding sites and show for the first time that the residues P128-S129 and D119 are also involved in Pb(II) and Fe(II) coordination, although D119 is not essential for binding to Fe(II) and Pb(II). Furthermore, we demonstrate that phosphorylation at either Y125 or S129 increases the binding affinity of Cu(II), Pb(II), and Fe(II), but not Fe(III). Additionally, we also show that phosphorylations at these residues lead to a shift in the binding sites of metal ions from the N-terminus to the C-teminus. Together, our findings provide critical insight into and expand our understanding of the molecular and structural bases underlying the interactions between α-syn and metal ions, including the identification of novel metal binding sites, and highlight the potential importance of cross-talk between post-translational modifications and metal ion binding in modulating α-syn functional and aggregation properties that are regulated by its C-terminal domain.","author":[{"dropping-particle":"","family":"Lu","given":"Yu","non-dropping-particle":"","parse-names":false,"suffix":""},{"dropping-particle":"","family":"Prudent","given":"Michel","non-dropping-particle":"","parse-names":false,"suffix":""},{"dropping-particle":"","family":"Fauvet","given":"Bruno","non-dropping-particle":"","parse-names":false,"suffix":""},{"dropping-particle":"","family":"Lashuel","given":"Hilal A","non-dropping-particle":"","parse-names":false,"suffix":""},{"dropping-particle":"","family":"Girault","given":"Hubert H","non-dropping-particle":"","parse-names":false,"suffix":""}],"container-title":"ACS Chemical Neuroscience","id":"ITEM-1","issue":"11","issued":{"date-parts":[["2011"]]},"page":"667-675","title":"Phosphorylation of α-synuclein at Y125 and S129 alters its metal binding properties: Implications for understanding the role of α-synuclein in the pathogenesis of Parkinson's disease and related disorders","type":"article-journal","volume":"2"},"uris":["http://www.mendeley.com/documents/?uuid=8e03fa37-01e3-3b50-811f-ca255121375e"]}],"mendeley":{"formattedCitation":"&lt;sup&gt;42&lt;/sup&gt;","plainTextFormattedCitation":"42","previouslyFormattedCitation":"&lt;sup&gt;42&lt;/sup&gt;"},"properties":{"noteIndex":0},"schema":"https://github.com/citation-style-language/schema/raw/master/csl-citation.json"}</w:instrText>
      </w:r>
      <w:r w:rsidRPr="0095510F">
        <w:fldChar w:fldCharType="separate"/>
      </w:r>
      <w:r w:rsidR="00373BC0" w:rsidRPr="00373BC0">
        <w:rPr>
          <w:noProof/>
          <w:vertAlign w:val="superscript"/>
        </w:rPr>
        <w:t>42</w:t>
      </w:r>
      <w:r w:rsidRPr="0095510F">
        <w:fldChar w:fldCharType="end"/>
      </w:r>
      <w:r w:rsidRPr="0095510F">
        <w:t>. Secondly, as observed for D121A aSyn, there was no broadening of the NAC region when calcium was bound (Figure 2c</w:t>
      </w:r>
      <w:r w:rsidR="00CC4700">
        <w:t>, S</w:t>
      </w:r>
      <w:r w:rsidR="00F02B4C">
        <w:t xml:space="preserve">upplementary Figure </w:t>
      </w:r>
      <w:r w:rsidR="00CC4700">
        <w:t>7</w:t>
      </w:r>
      <w:r w:rsidRPr="0095510F">
        <w:t xml:space="preserve">). These alterations in CSPs upon calcium binding suggest that long range interactions of pS129 and D121A aSyn are already altered compared to WT aSyn which may have implications in terms of the aggregation propensity of these </w:t>
      </w:r>
      <w:r w:rsidR="00524DFA">
        <w:t>aSyn variants</w:t>
      </w:r>
      <w:r w:rsidR="00524DFA" w:rsidRPr="0095510F">
        <w:t xml:space="preserve"> </w:t>
      </w:r>
      <w:r w:rsidRPr="0095510F">
        <w:t>both in the absence and presence of calcium.</w:t>
      </w:r>
    </w:p>
    <w:p w14:paraId="020BFB6D" w14:textId="5C4FB11F" w:rsidR="00A7669F" w:rsidRDefault="00A7669F" w:rsidP="00D77476">
      <w:pPr>
        <w:spacing w:line="360" w:lineRule="auto"/>
        <w:jc w:val="both"/>
      </w:pPr>
    </w:p>
    <w:p w14:paraId="296B6D55" w14:textId="6A0B1160" w:rsidR="00BE03CF" w:rsidRPr="0095510F" w:rsidRDefault="0095510F" w:rsidP="0095510F">
      <w:pPr>
        <w:spacing w:line="360" w:lineRule="auto"/>
        <w:jc w:val="both"/>
      </w:pPr>
      <w:r w:rsidRPr="0095510F">
        <w:t xml:space="preserve">In order to determine whether the above structural changes we </w:t>
      </w:r>
      <w:r w:rsidR="00CF5EC5">
        <w:t xml:space="preserve">had </w:t>
      </w:r>
      <w:r w:rsidRPr="0095510F">
        <w:t>observed in the presence of calcium were simply due to changes in the affinity for calcium of the different aSyn variants, we</w:t>
      </w:r>
      <w:r w:rsidR="00FB78F6">
        <w:t xml:space="preserve"> determined the dissociation constant using </w:t>
      </w:r>
      <w:r w:rsidR="00FB78F6" w:rsidRPr="0095510F">
        <w:t xml:space="preserve">two different fitting algorithms </w:t>
      </w:r>
      <w:r w:rsidR="00FB78F6">
        <w:t>from the t</w:t>
      </w:r>
      <w:r w:rsidRPr="0095510F">
        <w:t xml:space="preserve">itration experiments. Using a previously applied model </w:t>
      </w:r>
      <w:r w:rsidRPr="0095510F">
        <w:fldChar w:fldCharType="begin" w:fldLock="1"/>
      </w:r>
      <w:r w:rsidR="00373BC0">
        <w:instrText>ADDIN CSL_CITATION {"citationItems":[{"id":"ITEM-1","itemData":{"DOI":"10.1038/nchembio.1750","ISBN":"1552-4469 (Electronic)\\r1552-4450 (Linking)","ISSN":"1552-4469","PMID":"25643172","abstract":"α-Synuclein (α-syn) is a 140-residue intrinsically disordered protein that is involved in neuronal and synaptic vesicle plasticity, but its aggregation to form amyloid fibrils is the hallmark of Parkinson's disease (PD). The interaction between α-syn and lipid surfaces is believed to be a key feature for mediation of its normal function, but under other circumstances it is able to modulate amyloid fibril formation. Using a combination of experimental and theoretical approaches, we identify the mechanism through which facile aggregation of α-syn is induced under conditions where it binds a lipid bilayer, and we show that the rate of primary nucleation can be enhanced by three orders of magnitude or more under such conditions. These results reveal the key role that membrane interactions can have in triggering conversion of α-syn from its soluble state to the aggregated state that is associated with neurodegeneration and to its associated disease states.","author":[{"dropping-particle":"","family":"Galvagnion","given":"Céline","non-dropping-particle":"","parse-names":false,"suffix":""},{"dropping-particle":"","family":"Buell","given":"Alexander K","non-dropping-particle":"","parse-names":false,"suffix":""},{"dropping-particle":"","family":"Meisl","given":"Georg","non-dropping-particle":"","parse-names":false,"suffix":""},{"dropping-particle":"","family":"Michaels","given":"Thomas C T","non-dropping-particle":"","parse-names":false,"suffix":""},{"dropping-particle":"","family":"Vendruscolo","given":"Michele","non-dropping-particle":"","parse-names":false,"suffix":""},{"dropping-particle":"","family":"Knowles","given":"Tuomas P J","non-dropping-particle":"","parse-names":false,"suffix":""},{"dropping-particle":"","family":"Dobson","given":"Christopher M","non-dropping-particle":"","parse-names":false,"suffix":""}],"container-title":"Nature chemical biology","id":"ITEM-1","issue":"3","issued":{"date-parts":[["2015"]]},"page":"229-234","title":"Lipid vesicles trigger α-synuclein aggregation by stimulating primary nucleation.","type":"article-journal","volume":"11"},"uris":["http://www.mendeley.com/documents/?uuid=6e199f68-0fb1-4bc3-a7ea-209803ff17dd"]}],"mendeley":{"formattedCitation":"&lt;sup&gt;44&lt;/sup&gt;","plainTextFormattedCitation":"44","previouslyFormattedCitation":"&lt;sup&gt;44&lt;/sup&gt;"},"properties":{"noteIndex":0},"schema":"https://github.com/citation-style-language/schema/raw/master/csl-citation.json"}</w:instrText>
      </w:r>
      <w:r w:rsidRPr="0095510F">
        <w:fldChar w:fldCharType="separate"/>
      </w:r>
      <w:r w:rsidR="00373BC0" w:rsidRPr="00373BC0">
        <w:rPr>
          <w:noProof/>
          <w:vertAlign w:val="superscript"/>
        </w:rPr>
        <w:t>44</w:t>
      </w:r>
      <w:r w:rsidRPr="0095510F">
        <w:fldChar w:fldCharType="end"/>
      </w:r>
      <w:r w:rsidRPr="0095510F">
        <w:t xml:space="preserve">, but this time using a fixed ligand (calcium) number of 3, we obtained a </w:t>
      </w:r>
      <w:r w:rsidRPr="0095510F">
        <w:rPr>
          <w:i/>
        </w:rPr>
        <w:t>K</w:t>
      </w:r>
      <w:r w:rsidRPr="0095510F">
        <w:rPr>
          <w:i/>
          <w:vertAlign w:val="subscript"/>
        </w:rPr>
        <w:t>D</w:t>
      </w:r>
      <w:r w:rsidRPr="0095510F">
        <w:rPr>
          <w:i/>
        </w:rPr>
        <w:t xml:space="preserve"> </w:t>
      </w:r>
      <w:r w:rsidRPr="0095510F">
        <w:t xml:space="preserve">of 95 (± 16) </w:t>
      </w:r>
      <w:proofErr w:type="spellStart"/>
      <w:r w:rsidRPr="0095510F">
        <w:t>μM</w:t>
      </w:r>
      <w:proofErr w:type="spellEnd"/>
      <w:r w:rsidRPr="0095510F">
        <w:t xml:space="preserve">, 91 (± 16) </w:t>
      </w:r>
      <w:proofErr w:type="spellStart"/>
      <w:r w:rsidRPr="0095510F">
        <w:t>μM</w:t>
      </w:r>
      <w:proofErr w:type="spellEnd"/>
      <w:r w:rsidRPr="0095510F">
        <w:t xml:space="preserve"> and 69 (± 8) </w:t>
      </w:r>
      <w:proofErr w:type="spellStart"/>
      <w:r w:rsidRPr="0095510F">
        <w:t>μM</w:t>
      </w:r>
      <w:proofErr w:type="spellEnd"/>
      <w:r w:rsidRPr="0095510F">
        <w:t xml:space="preserve"> for WT, pS129 and D121A aSyn, respe</w:t>
      </w:r>
      <w:r w:rsidRPr="003B0911">
        <w:t xml:space="preserve">ctively. Using the Hill equation, which also takes into account the level of cooperativity, we obtain a </w:t>
      </w:r>
      <w:r w:rsidRPr="003B0911">
        <w:rPr>
          <w:i/>
        </w:rPr>
        <w:t>K</w:t>
      </w:r>
      <w:r w:rsidRPr="003B0911">
        <w:rPr>
          <w:i/>
          <w:vertAlign w:val="subscript"/>
        </w:rPr>
        <w:t>D</w:t>
      </w:r>
      <w:r w:rsidRPr="003B0911">
        <w:t xml:space="preserve"> of 670 (± 5</w:t>
      </w:r>
      <w:r w:rsidR="003B0911" w:rsidRPr="00F13719">
        <w:t>0</w:t>
      </w:r>
      <w:r w:rsidRPr="003B0911">
        <w:t xml:space="preserve">) </w:t>
      </w:r>
      <w:proofErr w:type="spellStart"/>
      <w:r w:rsidRPr="003B0911">
        <w:t>μM</w:t>
      </w:r>
      <w:proofErr w:type="spellEnd"/>
      <w:r w:rsidRPr="003B0911">
        <w:t>, 670 (± 3</w:t>
      </w:r>
      <w:r w:rsidR="003B0911" w:rsidRPr="00F13719">
        <w:t>0</w:t>
      </w:r>
      <w:r w:rsidRPr="003B0911">
        <w:t xml:space="preserve">) </w:t>
      </w:r>
      <w:proofErr w:type="spellStart"/>
      <w:r w:rsidRPr="003B0911">
        <w:t>μM</w:t>
      </w:r>
      <w:proofErr w:type="spellEnd"/>
      <w:r w:rsidRPr="003B0911">
        <w:t xml:space="preserve"> and 460 (± </w:t>
      </w:r>
      <w:r w:rsidR="003B0911" w:rsidRPr="00F13719">
        <w:t>30</w:t>
      </w:r>
      <w:r w:rsidRPr="003B0911">
        <w:t xml:space="preserve">) </w:t>
      </w:r>
      <w:proofErr w:type="spellStart"/>
      <w:r w:rsidRPr="003B0911">
        <w:t>μM</w:t>
      </w:r>
      <w:proofErr w:type="spellEnd"/>
      <w:r w:rsidRPr="003B0911">
        <w:t xml:space="preserve"> for WT, pS129</w:t>
      </w:r>
      <w:r w:rsidRPr="0095510F">
        <w:t xml:space="preserve"> and D121A aSyn, respectively. For all fittings, we get an </w:t>
      </w:r>
      <w:r w:rsidRPr="0095510F">
        <w:rPr>
          <w:i/>
        </w:rPr>
        <w:t>n</w:t>
      </w:r>
      <w:r w:rsidRPr="0095510F">
        <w:t xml:space="preserve"> &gt;1, indicating that calcium binds cooperatively to aSyn (</w:t>
      </w:r>
      <w:r w:rsidR="007278DE">
        <w:t xml:space="preserve">Supplementary </w:t>
      </w:r>
      <w:r w:rsidRPr="0095510F">
        <w:t xml:space="preserve">Figure </w:t>
      </w:r>
      <w:r w:rsidR="00820BF3">
        <w:t>8</w:t>
      </w:r>
      <w:r w:rsidRPr="0095510F">
        <w:t xml:space="preserve">). </w:t>
      </w:r>
    </w:p>
    <w:p w14:paraId="256BBD90" w14:textId="3B160032" w:rsidR="0095510F" w:rsidRDefault="0095510F" w:rsidP="0095510F">
      <w:pPr>
        <w:spacing w:line="360" w:lineRule="auto"/>
        <w:jc w:val="both"/>
      </w:pPr>
      <w:r w:rsidRPr="0095510F">
        <w:t xml:space="preserve">We next performed </w:t>
      </w:r>
      <w:proofErr w:type="spellStart"/>
      <w:r w:rsidRPr="0095510F">
        <w:t>ThT</w:t>
      </w:r>
      <w:proofErr w:type="spellEnd"/>
      <w:r w:rsidRPr="0095510F">
        <w:t xml:space="preserve">-based kinetic assays to investigate whether the above observed conformational differences or calcium binding capacities of aSyn influenced the aggregation propensity of the three aSyn variants. </w:t>
      </w:r>
      <w:r w:rsidR="00EC5900">
        <w:t xml:space="preserve">Upon binding to </w:t>
      </w:r>
      <w:r w:rsidR="00EC5900">
        <w:rPr>
          <w:rFonts w:cstheme="minorHAnsi"/>
        </w:rPr>
        <w:t>β</w:t>
      </w:r>
      <w:r w:rsidR="00EC5900">
        <w:t xml:space="preserve">-sheet rich fibrillary structures the molecule </w:t>
      </w:r>
      <w:proofErr w:type="spellStart"/>
      <w:r w:rsidR="00EC5900">
        <w:t>ThT</w:t>
      </w:r>
      <w:proofErr w:type="spellEnd"/>
      <w:r w:rsidR="00EC5900">
        <w:t xml:space="preserve"> emits fluorescence which provides a read out for the kinetics of aSyn aggregation. </w:t>
      </w:r>
      <w:r w:rsidRPr="0095510F">
        <w:t>The results of the assay showed that although D121A and pS129 aSyn had different charges at the C-terminus, both had a lower aggregation propensity than WT aSyn, particularly in the absence of calcium (</w:t>
      </w:r>
      <w:r w:rsidR="007278DE">
        <w:t xml:space="preserve">Supplementary </w:t>
      </w:r>
      <w:r w:rsidRPr="0095510F">
        <w:t xml:space="preserve">Figure </w:t>
      </w:r>
      <w:r w:rsidR="00820BF3">
        <w:t>9</w:t>
      </w:r>
      <w:r w:rsidRPr="0095510F">
        <w:t>). The presence of calcium increase</w:t>
      </w:r>
      <w:r w:rsidR="00BB7116">
        <w:t>d</w:t>
      </w:r>
      <w:r w:rsidRPr="0095510F">
        <w:t xml:space="preserve"> the aggregation rate of D121A and pS129 aSyn in comparison to aggregation rates without calcium, however not to the same extent as the rate </w:t>
      </w:r>
      <w:r w:rsidRPr="0095510F">
        <w:lastRenderedPageBreak/>
        <w:t>of WT aSyn. This was also reflected in the concentration of remaining monomer determined by size-exclusion chromatography using high-pressure liquid chromatography (SEC-HPLC) (</w:t>
      </w:r>
      <w:r w:rsidR="007278DE">
        <w:t xml:space="preserve">Supplementary </w:t>
      </w:r>
      <w:r w:rsidRPr="0095510F">
        <w:t xml:space="preserve">Figure </w:t>
      </w:r>
      <w:r w:rsidR="00820BF3">
        <w:t>9</w:t>
      </w:r>
      <w:r w:rsidR="00B33E6C" w:rsidRPr="0095510F">
        <w:t xml:space="preserve"> </w:t>
      </w:r>
      <w:r w:rsidR="007278DE">
        <w:t>and</w:t>
      </w:r>
      <w:r w:rsidR="001F4DC2" w:rsidRPr="0095510F">
        <w:t xml:space="preserve"> </w:t>
      </w:r>
      <w:r w:rsidR="00820BF3">
        <w:t>10</w:t>
      </w:r>
      <w:r w:rsidRPr="0095510F">
        <w:t xml:space="preserve">). It appears that the affinity of aSyn to calcium does not influence aggregation rate per se as the affinity of D121A aSyn for calcium is higher than of WT and pS129 aSyn. </w:t>
      </w:r>
      <w:r w:rsidR="00BB7116">
        <w:t>We hypothesised</w:t>
      </w:r>
      <w:r w:rsidRPr="0095510F">
        <w:t xml:space="preserve"> that changes in the monomeric long-range interactions may influence aggregation propensity</w:t>
      </w:r>
      <w:r w:rsidR="00BB7116">
        <w:t xml:space="preserve"> and explain the differences we had observed</w:t>
      </w:r>
      <w:r w:rsidRPr="0095510F">
        <w:t>.</w:t>
      </w:r>
    </w:p>
    <w:p w14:paraId="4093D1FE" w14:textId="77777777" w:rsidR="001A640B" w:rsidRPr="0095510F" w:rsidRDefault="001A640B" w:rsidP="0095510F">
      <w:pPr>
        <w:spacing w:line="360" w:lineRule="auto"/>
        <w:jc w:val="both"/>
      </w:pPr>
    </w:p>
    <w:p w14:paraId="315413B5" w14:textId="15AD93BB" w:rsidR="0095510F" w:rsidRDefault="0095510F" w:rsidP="0095510F">
      <w:pPr>
        <w:spacing w:line="360" w:lineRule="auto"/>
        <w:jc w:val="both"/>
        <w:rPr>
          <w:b/>
        </w:rPr>
      </w:pPr>
      <w:r w:rsidRPr="0095510F">
        <w:rPr>
          <w:b/>
        </w:rPr>
        <w:t xml:space="preserve">D121A and pS129 aSyn are less exposed at the N-terminus </w:t>
      </w:r>
    </w:p>
    <w:p w14:paraId="393A041F" w14:textId="39EE5CAC" w:rsidR="0095510F" w:rsidRDefault="0095510F" w:rsidP="0095510F">
      <w:pPr>
        <w:spacing w:line="360" w:lineRule="auto"/>
        <w:jc w:val="both"/>
      </w:pPr>
      <w:r>
        <w:t xml:space="preserve">We further investigated whether the perturbations observed by NMR led to region specific shielding or exposure of D121A and pS129 aSyn monomers using HDX-MS. This technique probes the </w:t>
      </w:r>
      <w:proofErr w:type="spellStart"/>
      <w:r>
        <w:t>submolecular</w:t>
      </w:r>
      <w:proofErr w:type="spellEnd"/>
      <w:r>
        <w:t xml:space="preserve"> structure and dynamics of proteins by employing hydrogen-deuterium exchange, and thus permit</w:t>
      </w:r>
      <w:r w:rsidR="001F4DC2">
        <w:t>s</w:t>
      </w:r>
      <w:r>
        <w:t xml:space="preserve"> the identification of protein sequences that are more exposed to the solvent and/or less strongly hydrogen-bonded (deprotected) at physiological </w:t>
      </w:r>
      <w:proofErr w:type="spellStart"/>
      <w:r>
        <w:t>pH.</w:t>
      </w:r>
      <w:proofErr w:type="spellEnd"/>
      <w:r>
        <w:t xml:space="preserve"> Binary comparison of the deuterium uptake profile between WT and D121A aSyn and WT and pS129 aSyn showed that both variants are not significantly different to WT aSyn </w:t>
      </w:r>
      <w:r w:rsidR="001A640B">
        <w:t>in terms of exposure (Figure 3a</w:t>
      </w:r>
      <w:r w:rsidR="001F4DC2">
        <w:t xml:space="preserve">, </w:t>
      </w:r>
      <w:r>
        <w:t>b</w:t>
      </w:r>
      <w:r w:rsidR="001D2BC8">
        <w:t xml:space="preserve">, </w:t>
      </w:r>
      <w:r w:rsidR="007278DE">
        <w:t xml:space="preserve">Supplementary </w:t>
      </w:r>
      <w:r w:rsidR="001D2BC8">
        <w:t>Table 1</w:t>
      </w:r>
      <w:r w:rsidR="007278DE">
        <w:t xml:space="preserve"> and</w:t>
      </w:r>
      <w:r w:rsidR="001D2BC8">
        <w:t xml:space="preserve"> 2</w:t>
      </w:r>
      <w:r>
        <w:t>), but this technique may not yet be sensitive enough to determine changes in the ensemble of conformations as it is an averaging measurement</w:t>
      </w:r>
      <w:r w:rsidR="00BB7116">
        <w:t xml:space="preserve"> technique</w:t>
      </w:r>
      <w:r>
        <w:t xml:space="preserve">. </w:t>
      </w:r>
    </w:p>
    <w:p w14:paraId="73B577AF" w14:textId="4D35D540" w:rsidR="00C27F00" w:rsidRDefault="0095510F" w:rsidP="0095510F">
      <w:pPr>
        <w:spacing w:line="360" w:lineRule="auto"/>
        <w:jc w:val="both"/>
      </w:pPr>
      <w:r>
        <w:t xml:space="preserve">We again used calcium to perturb the ensemble of conformations </w:t>
      </w:r>
      <w:r w:rsidR="00BB7116">
        <w:t xml:space="preserve">in order </w:t>
      </w:r>
      <w:r>
        <w:t>to compare alterations of long-range interactions between the three aSyn variants. Binary comparison of the deuterium uptake profile of monomeric WT aSyn revealed solvent protection at the C-terminus and significant deprotection at the NAC and the N-terminus region of aSyn in the presence of calcium compared to the absence of calcium (Figure 3c</w:t>
      </w:r>
      <w:r w:rsidR="001D2BC8">
        <w:t xml:space="preserve">, </w:t>
      </w:r>
      <w:r w:rsidR="007278DE">
        <w:t xml:space="preserve">Supplementary </w:t>
      </w:r>
      <w:r w:rsidR="001D2BC8">
        <w:t>Table 3</w:t>
      </w:r>
      <w:r>
        <w:t>). This indicates that, when calcium is bound to aSyn, there is reduced exposure to the solvent or increased hydrogen bonding at the C-terminus of aSyn, where calcium binds, as observed by CSPs using NMR, and deprotection of the N-terminus and NAC region. A similar behaviour was observed for D121A and pS129 aSyn as, upon calcium binding, solvent protection at the C-terminus and deprotection at the NAC region of aSyn (Figures 3d,</w:t>
      </w:r>
      <w:r w:rsidR="001A640B">
        <w:t xml:space="preserve"> </w:t>
      </w:r>
      <w:r>
        <w:t>e</w:t>
      </w:r>
      <w:r w:rsidR="001F4DC2">
        <w:t xml:space="preserve">, </w:t>
      </w:r>
      <w:r w:rsidR="007278DE">
        <w:t xml:space="preserve">Supplementary </w:t>
      </w:r>
      <w:r w:rsidR="001F4DC2">
        <w:t xml:space="preserve">Table 4 </w:t>
      </w:r>
      <w:r w:rsidR="007278DE">
        <w:t>and</w:t>
      </w:r>
      <w:r w:rsidR="001D2BC8">
        <w:t>5</w:t>
      </w:r>
      <w:r>
        <w:t>). However, while D121A aSyn has a solvent exposed N-terminus, pS129 aSyn displays little difference in protection levels at the N-terminus. Yet</w:t>
      </w:r>
      <w:r w:rsidR="00CF5EC5">
        <w:t>.</w:t>
      </w:r>
      <w:r>
        <w:t xml:space="preserve"> both D121A and pS129 aSyn</w:t>
      </w:r>
      <w:r w:rsidR="00CF5EC5">
        <w:t>,</w:t>
      </w:r>
      <w:r>
        <w:t xml:space="preserve"> have </w:t>
      </w:r>
      <w:r w:rsidR="00CF5EC5">
        <w:t xml:space="preserve">a </w:t>
      </w:r>
      <w:r>
        <w:t>more protected/less exposed N-terminus compared to WT aSyn in the calcium-bound state in these averaging measurement</w:t>
      </w:r>
      <w:r w:rsidR="00BB7116">
        <w:t xml:space="preserve"> data</w:t>
      </w:r>
      <w:r>
        <w:t xml:space="preserve"> (</w:t>
      </w:r>
      <w:r w:rsidRPr="00BD21E2">
        <w:t xml:space="preserve">Figure 3c-e). Both NMR and HDX-MS indicate that D121A and pS129 aSyn have </w:t>
      </w:r>
      <w:r w:rsidR="00CF5EC5">
        <w:t xml:space="preserve">a </w:t>
      </w:r>
      <w:r w:rsidRPr="00BD21E2">
        <w:t xml:space="preserve">different ensemble of conformations compared to WT aSyn. We observe a correlation between the exposure of the N-terminus, which is much less pronounced in D121A and pS129 aSyn than in WT aSyn, with </w:t>
      </w:r>
      <w:r w:rsidR="00CF5EC5">
        <w:t>a</w:t>
      </w:r>
      <w:r w:rsidR="00CF5EC5" w:rsidRPr="00BD21E2">
        <w:t xml:space="preserve"> </w:t>
      </w:r>
      <w:r w:rsidRPr="00BD21E2">
        <w:t xml:space="preserve">reduced aggregation propensity in the calcium-bound state, as </w:t>
      </w:r>
      <w:r w:rsidRPr="00BD21E2">
        <w:lastRenderedPageBreak/>
        <w:t xml:space="preserve">determined by the </w:t>
      </w:r>
      <w:proofErr w:type="spellStart"/>
      <w:r w:rsidRPr="00BD21E2">
        <w:t>ThT</w:t>
      </w:r>
      <w:proofErr w:type="spellEnd"/>
      <w:r w:rsidRPr="00BD21E2">
        <w:t xml:space="preserve"> fluorescence kinetic assay. This</w:t>
      </w:r>
      <w:r>
        <w:t xml:space="preserve"> highlights the strength of our approach to determine conformational changes already in monomeric aSyn.</w:t>
      </w:r>
    </w:p>
    <w:p w14:paraId="4E4FE965" w14:textId="77777777" w:rsidR="00727741" w:rsidRDefault="00727741" w:rsidP="00D77476">
      <w:pPr>
        <w:spacing w:line="360" w:lineRule="auto"/>
        <w:jc w:val="both"/>
      </w:pPr>
    </w:p>
    <w:p w14:paraId="6AB9A37A" w14:textId="4F78A7A9" w:rsidR="00864112" w:rsidRPr="00B105A7" w:rsidRDefault="00A14DF9" w:rsidP="00D77476">
      <w:pPr>
        <w:spacing w:line="360" w:lineRule="auto"/>
        <w:jc w:val="both"/>
        <w:rPr>
          <w:b/>
          <w:lang w:val="en-US"/>
        </w:rPr>
      </w:pPr>
      <w:r>
        <w:rPr>
          <w:b/>
          <w:lang w:val="en-US"/>
        </w:rPr>
        <w:t>A</w:t>
      </w:r>
      <w:r w:rsidR="00864112" w:rsidRPr="00B105A7">
        <w:rPr>
          <w:b/>
          <w:lang w:val="en-US"/>
        </w:rPr>
        <w:t>ggregation</w:t>
      </w:r>
      <w:r w:rsidR="00D470E0">
        <w:rPr>
          <w:b/>
          <w:lang w:val="en-US"/>
        </w:rPr>
        <w:t xml:space="preserve"> </w:t>
      </w:r>
      <w:r w:rsidR="0036443B">
        <w:rPr>
          <w:b/>
          <w:lang w:val="en-US"/>
        </w:rPr>
        <w:t>propensity</w:t>
      </w:r>
      <w:r w:rsidR="006E6C17" w:rsidRPr="00B105A7">
        <w:rPr>
          <w:b/>
          <w:lang w:val="en-US"/>
        </w:rPr>
        <w:t xml:space="preserve"> </w:t>
      </w:r>
      <w:r>
        <w:rPr>
          <w:b/>
          <w:lang w:val="en-US"/>
        </w:rPr>
        <w:t xml:space="preserve">correlates </w:t>
      </w:r>
      <w:r w:rsidR="00081246">
        <w:rPr>
          <w:b/>
          <w:lang w:val="en-US"/>
        </w:rPr>
        <w:t>with</w:t>
      </w:r>
      <w:r w:rsidR="00864112" w:rsidRPr="00B105A7">
        <w:rPr>
          <w:b/>
          <w:lang w:val="en-US"/>
        </w:rPr>
        <w:t xml:space="preserve"> </w:t>
      </w:r>
      <w:r w:rsidR="00D470E0">
        <w:rPr>
          <w:b/>
          <w:lang w:val="en-US"/>
        </w:rPr>
        <w:t xml:space="preserve">N-terminus exposure </w:t>
      </w:r>
    </w:p>
    <w:p w14:paraId="26397DC6" w14:textId="381ABFC4" w:rsidR="0095510F" w:rsidRDefault="0095510F" w:rsidP="0095510F">
      <w:pPr>
        <w:pStyle w:val="NoSpacing"/>
        <w:spacing w:line="360" w:lineRule="auto"/>
        <w:jc w:val="both"/>
      </w:pPr>
      <w:r w:rsidRPr="0095510F">
        <w:rPr>
          <w:lang w:val="en-US"/>
        </w:rPr>
        <w:t>To further investigate whether differences in the sub-molecular structure are apparent in the familial aSyn mutants A30P, E46K, H50Q, G51D</w:t>
      </w:r>
      <w:r w:rsidR="001F4DC2">
        <w:rPr>
          <w:lang w:val="en-US"/>
        </w:rPr>
        <w:t>,</w:t>
      </w:r>
      <w:r w:rsidRPr="0095510F">
        <w:rPr>
          <w:lang w:val="en-US"/>
        </w:rPr>
        <w:t xml:space="preserve"> </w:t>
      </w:r>
      <w:r w:rsidR="001F4DC2">
        <w:rPr>
          <w:lang w:val="en-US"/>
        </w:rPr>
        <w:t>A53T and</w:t>
      </w:r>
      <w:r w:rsidR="001F4DC2" w:rsidRPr="0095510F">
        <w:rPr>
          <w:lang w:val="en-US"/>
        </w:rPr>
        <w:t xml:space="preserve"> A53E </w:t>
      </w:r>
      <w:r w:rsidRPr="0095510F">
        <w:rPr>
          <w:lang w:val="en-US"/>
        </w:rPr>
        <w:t xml:space="preserve">and whether this can influence aggregation rates, we first studied their aggregation kinetics in the presence and absence of calcium using </w:t>
      </w:r>
      <w:proofErr w:type="spellStart"/>
      <w:r w:rsidRPr="0095510F">
        <w:rPr>
          <w:lang w:val="en-US"/>
        </w:rPr>
        <w:t>ThT</w:t>
      </w:r>
      <w:proofErr w:type="spellEnd"/>
      <w:r w:rsidRPr="0095510F">
        <w:rPr>
          <w:lang w:val="en-US"/>
        </w:rPr>
        <w:t xml:space="preserve">-based kinetic assays. Comparison of the </w:t>
      </w:r>
      <w:proofErr w:type="spellStart"/>
      <w:r w:rsidRPr="0095510F">
        <w:rPr>
          <w:lang w:val="en-US"/>
        </w:rPr>
        <w:t>fibrillisation</w:t>
      </w:r>
      <w:proofErr w:type="spellEnd"/>
      <w:r w:rsidRPr="0095510F">
        <w:rPr>
          <w:lang w:val="en-US"/>
        </w:rPr>
        <w:t xml:space="preserve"> rates of the familial mutants with WT aSyn in the absence of calcium shows that the aSyn mutants A53T, E46K, and H50Q aggregate faster than WT aSyn while the familial aSyn mutants A30P, A53E, and G51D aggregate more slowly than WT aSyn (Figure 4a,c-e</w:t>
      </w:r>
      <w:r w:rsidR="00592571">
        <w:rPr>
          <w:lang w:val="en-US"/>
        </w:rPr>
        <w:t xml:space="preserve">, </w:t>
      </w:r>
      <w:r w:rsidR="001D2BC8">
        <w:rPr>
          <w:lang w:val="en-US"/>
        </w:rPr>
        <w:t xml:space="preserve">plate repeats are shown in </w:t>
      </w:r>
      <w:r w:rsidR="00CD4297" w:rsidRPr="00F006A4">
        <w:rPr>
          <w:bCs/>
        </w:rPr>
        <w:t>Supplementary</w:t>
      </w:r>
      <w:r w:rsidR="00CD4297">
        <w:rPr>
          <w:b/>
          <w:bCs/>
        </w:rPr>
        <w:t xml:space="preserve"> </w:t>
      </w:r>
      <w:r w:rsidR="001D2BC8">
        <w:rPr>
          <w:lang w:val="en-US"/>
        </w:rPr>
        <w:t xml:space="preserve">Figure </w:t>
      </w:r>
      <w:r w:rsidR="004E66D8">
        <w:rPr>
          <w:lang w:val="en-US"/>
        </w:rPr>
        <w:t>1</w:t>
      </w:r>
      <w:r w:rsidR="00820BF3">
        <w:rPr>
          <w:lang w:val="en-US"/>
        </w:rPr>
        <w:t>2</w:t>
      </w:r>
      <w:r w:rsidR="004E66D8">
        <w:rPr>
          <w:lang w:val="en-US"/>
        </w:rPr>
        <w:t>a</w:t>
      </w:r>
      <w:r w:rsidRPr="0095510F">
        <w:rPr>
          <w:lang w:val="en-US"/>
        </w:rPr>
        <w:t xml:space="preserve">). Upon the addition of calcium, WT aSyn nucleation and elongation is enhanced, as previously shown </w:t>
      </w:r>
      <w:r w:rsidRPr="0095510F">
        <w:rPr>
          <w:lang w:val="en-US"/>
        </w:rPr>
        <w:fldChar w:fldCharType="begin" w:fldLock="1"/>
      </w:r>
      <w:r w:rsidR="00373BC0">
        <w:rPr>
          <w:lang w:val="en-US"/>
        </w:rPr>
        <w:instrText>ADDIN CSL_CITATION {"citationItems":[{"id":"ITEM-1","itemData":{"DOI":"10.1038/s41467-018-03111-4","ISSN":"20411723","abstract":"Alpha-synuclein is known to bind to small unilamellar vesicles (SUVs) via its N terminus, which forms an amphipathic alpha-helix upon membrane interaction. Here we show that calcium binds to the C terminus of alpha-synuclein, therewith increasing its lipid-binding capacity. Using CEST-NMR, we reveal that alpha-synuclein interacts with isolated synaptic vesicles with two regions, the N terminus, already known from studies on SUVs, and additionally via its C terminus, which is regulated by the binding of calcium. Indeed, dSTORM on synaptosomes shows that calcium mediates the localization of alpha-synuclein at the pre-synaptic terminal, and an imbalance in calcium or alpha-synuclein can cause synaptic vesicle clustering, as seen ex vivo and in vitro. This study provides a new view on the binding of alpha-synuclein to synaptic vesicles, which might also affect our understanding of synucleinopathies.","author":[{"dropping-particle":"","family":"Lautenschläger","given":"Janin","non-dropping-particle":"","parse-names":false,"suffix":""},{"dropping-particle":"","family":"Stephens","given":"Amberley D.","non-dropping-particle":"","parse-names":false,"suffix":""},{"dropping-particle":"","family":"Fusco","given":"Giuliana","non-dropping-particle":"","parse-names":false,"suffix":""},{"dropping-particle":"","family":"Ströhl","given":"Florian","non-dropping-particle":"","parse-names":false,"suffix":""},{"dropping-particle":"","family":"Curry","given":"Nathan","non-dropping-particle":"","parse-names":false,"suffix":""},{"dropping-particle":"","family":"Zacharopoulou","given":"Maria","non-dropping-particle":"","parse-names":false,"suffix":""},{"dropping-particle":"","family":"Michel","given":"Claire H.","non-dropping-particle":"","parse-names":false,"suffix":""},{"dropping-particle":"","family":"Laine","given":"Romain","non-dropping-particle":"","parse-names":false,"suffix":""},{"dropping-particle":"","family":"Nespovitaya","given":"Nadezhda","non-dropping-particle":"","parse-names":false,"suffix":""},{"dropping-particle":"","family":"Fantham","given":"Marcus","non-dropping-particle":"","parse-names":false,"suffix":""},{"dropping-particle":"","family":"Pinotsi","given":"Dorothea","non-dropping-particle":"","parse-names":false,"suffix":""},{"dropping-particle":"","family":"Zago","given":"Wagner","non-dropping-particle":"","parse-names":false,"suffix":""},{"dropping-particle":"","family":"Fraser","given":"Paul","non-dropping-particle":"","parse-names":false,"suffix":""},{"dropping-particle":"","family":"Tandon","given":"Anurag","non-dropping-particle":"","parse-names":false,"suffix":""},{"dropping-particle":"","family":"St George-Hyslop","given":"Peter","non-dropping-particle":"","parse-names":false,"suffix":""},{"dropping-particle":"","family":"Rees","given":"Eric","non-dropping-particle":"","parse-names":false,"suffix":""},{"dropping-particle":"","family":"Phillips","given":"Jonathan J.","non-dropping-particle":"","parse-names":false,"suffix":""},{"dropping-particle":"","family":"Simone","given":"Alfonso","non-dropping-particle":"De","parse-names":false,"suffix":""},{"dropping-particle":"","family":"Kaminski","given":"Clemens F.","non-dropping-particle":"","parse-names":false,"suffix":""},{"dropping-particle":"","family":"Schierle","given":"Gabriele S.Kaminski","non-dropping-particle":"","parse-names":false,"suffix":""}],"container-title":"Nature Communications","id":"ITEM-1","issue":"1","issued":{"date-parts":[["2018","12","19"]]},"page":"712","publisher":"Nature Publishing Group","title":"C-terminal calcium binding of α-synuclein modulates synaptic vesicle interaction","type":"article-journal","volume":"9"},"uris":["http://www.mendeley.com/documents/?uuid=5da06726-0802-3970-b05f-1380256f2e9a"]}],"mendeley":{"formattedCitation":"&lt;sup&gt;40&lt;/sup&gt;","plainTextFormattedCitation":"40","previouslyFormattedCitation":"&lt;sup&gt;40&lt;/sup&gt;"},"properties":{"noteIndex":0},"schema":"https://github.com/citation-style-language/schema/raw/master/csl-citation.json"}</w:instrText>
      </w:r>
      <w:r w:rsidRPr="0095510F">
        <w:rPr>
          <w:lang w:val="en-US"/>
        </w:rPr>
        <w:fldChar w:fldCharType="separate"/>
      </w:r>
      <w:r w:rsidR="00373BC0" w:rsidRPr="00373BC0">
        <w:rPr>
          <w:noProof/>
          <w:vertAlign w:val="superscript"/>
          <w:lang w:val="en-US"/>
        </w:rPr>
        <w:t>40</w:t>
      </w:r>
      <w:r w:rsidRPr="0095510F">
        <w:rPr>
          <w:lang w:val="en-US"/>
        </w:rPr>
        <w:fldChar w:fldCharType="end"/>
      </w:r>
      <w:r w:rsidRPr="0095510F">
        <w:rPr>
          <w:lang w:val="en-US"/>
        </w:rPr>
        <w:t>, and for the fast aggregating aSyn mutants, A53T, E46K, and H50Q the aggregation rate is also enhanced upon the addition of calcium, similarly to WT aSyn. However, the slow aggregating aSyn mutants A30P, A53E, and G51D are either insensitive to calcium addition or aggregate more slowly (Figure 4b-e</w:t>
      </w:r>
      <w:r w:rsidR="00592571">
        <w:rPr>
          <w:lang w:val="en-US"/>
        </w:rPr>
        <w:t xml:space="preserve">, </w:t>
      </w:r>
      <w:r w:rsidR="001D2BC8">
        <w:rPr>
          <w:lang w:val="en-US"/>
        </w:rPr>
        <w:t xml:space="preserve">plate repeats are shown in </w:t>
      </w:r>
      <w:r w:rsidR="00CD4297" w:rsidRPr="00F006A4">
        <w:rPr>
          <w:bCs/>
        </w:rPr>
        <w:t>Supplementary</w:t>
      </w:r>
      <w:r w:rsidR="00CD4297">
        <w:rPr>
          <w:b/>
          <w:bCs/>
        </w:rPr>
        <w:t xml:space="preserve"> </w:t>
      </w:r>
      <w:r w:rsidR="001D2BC8">
        <w:rPr>
          <w:lang w:val="en-US"/>
        </w:rPr>
        <w:t xml:space="preserve">Figure </w:t>
      </w:r>
      <w:r w:rsidR="004E66D8">
        <w:rPr>
          <w:lang w:val="en-US"/>
        </w:rPr>
        <w:t>1</w:t>
      </w:r>
      <w:r w:rsidR="00820BF3">
        <w:rPr>
          <w:lang w:val="en-US"/>
        </w:rPr>
        <w:t>2</w:t>
      </w:r>
      <w:r w:rsidR="004E66D8">
        <w:rPr>
          <w:lang w:val="en-US"/>
        </w:rPr>
        <w:t>b</w:t>
      </w:r>
      <w:r w:rsidRPr="0095510F">
        <w:rPr>
          <w:lang w:val="en-US"/>
        </w:rPr>
        <w:t xml:space="preserve">). </w:t>
      </w:r>
    </w:p>
    <w:p w14:paraId="1E83F963" w14:textId="2EAFB2B3" w:rsidR="001355DB" w:rsidRDefault="001355DB" w:rsidP="0095510F">
      <w:pPr>
        <w:pStyle w:val="NoSpacing"/>
        <w:spacing w:line="360" w:lineRule="auto"/>
        <w:rPr>
          <w:lang w:val="en-US"/>
        </w:rPr>
      </w:pPr>
    </w:p>
    <w:p w14:paraId="1F359E33" w14:textId="0DC26DE3" w:rsidR="001355DB" w:rsidRPr="00837306" w:rsidRDefault="001355DB" w:rsidP="001355DB">
      <w:pPr>
        <w:pStyle w:val="NoSpacing"/>
        <w:spacing w:line="360" w:lineRule="auto"/>
        <w:jc w:val="both"/>
      </w:pPr>
      <w:r w:rsidRPr="00837306">
        <w:rPr>
          <w:noProof/>
          <w:lang w:eastAsia="en-GB"/>
        </w:rPr>
        <w:t xml:space="preserve">We </w:t>
      </w:r>
      <w:r w:rsidR="00524DFA" w:rsidRPr="00837306">
        <w:rPr>
          <w:noProof/>
          <w:lang w:eastAsia="en-GB"/>
        </w:rPr>
        <w:t xml:space="preserve">next </w:t>
      </w:r>
      <w:r w:rsidRPr="00837306">
        <w:rPr>
          <w:noProof/>
          <w:lang w:eastAsia="en-GB"/>
        </w:rPr>
        <w:t xml:space="preserve">performed native </w:t>
      </w:r>
      <w:r w:rsidR="000A7BE4" w:rsidRPr="00837306">
        <w:rPr>
          <w:noProof/>
          <w:lang w:eastAsia="en-GB"/>
        </w:rPr>
        <w:t>nano ESI-</w:t>
      </w:r>
      <w:r w:rsidRPr="00837306">
        <w:rPr>
          <w:noProof/>
          <w:lang w:eastAsia="en-GB"/>
        </w:rPr>
        <w:t xml:space="preserve">MS to determine whether differences in the number of calcium ions </w:t>
      </w:r>
      <w:r w:rsidR="00FB7FE3" w:rsidRPr="00837306">
        <w:rPr>
          <w:noProof/>
          <w:lang w:eastAsia="en-GB"/>
        </w:rPr>
        <w:t xml:space="preserve">bound </w:t>
      </w:r>
      <w:r w:rsidRPr="00837306">
        <w:rPr>
          <w:noProof/>
          <w:lang w:eastAsia="en-GB"/>
        </w:rPr>
        <w:t xml:space="preserve">to each aSyn mutant could </w:t>
      </w:r>
      <w:r w:rsidR="00FB7FE3" w:rsidRPr="00837306">
        <w:rPr>
          <w:noProof/>
          <w:lang w:eastAsia="en-GB"/>
        </w:rPr>
        <w:t>result in</w:t>
      </w:r>
      <w:r w:rsidRPr="00837306">
        <w:rPr>
          <w:noProof/>
          <w:lang w:eastAsia="en-GB"/>
        </w:rPr>
        <w:t xml:space="preserve"> differences in </w:t>
      </w:r>
      <w:r w:rsidR="00D572CA">
        <w:rPr>
          <w:noProof/>
          <w:lang w:eastAsia="en-GB"/>
        </w:rPr>
        <w:t xml:space="preserve">the </w:t>
      </w:r>
      <w:r w:rsidR="00FB7FE3" w:rsidRPr="00837306">
        <w:rPr>
          <w:noProof/>
          <w:lang w:eastAsia="en-GB"/>
        </w:rPr>
        <w:t xml:space="preserve">aSyn </w:t>
      </w:r>
      <w:r w:rsidR="00B33E6C" w:rsidRPr="00837306">
        <w:rPr>
          <w:noProof/>
          <w:lang w:eastAsia="en-GB"/>
        </w:rPr>
        <w:t>ag</w:t>
      </w:r>
      <w:r w:rsidRPr="00837306">
        <w:rPr>
          <w:noProof/>
          <w:lang w:eastAsia="en-GB"/>
        </w:rPr>
        <w:t>g</w:t>
      </w:r>
      <w:r w:rsidR="00B33E6C" w:rsidRPr="00837306">
        <w:rPr>
          <w:noProof/>
          <w:lang w:eastAsia="en-GB"/>
        </w:rPr>
        <w:t>r</w:t>
      </w:r>
      <w:r w:rsidRPr="00837306">
        <w:rPr>
          <w:noProof/>
          <w:lang w:eastAsia="en-GB"/>
        </w:rPr>
        <w:t>e</w:t>
      </w:r>
      <w:r w:rsidR="00B33E6C" w:rsidRPr="00837306">
        <w:rPr>
          <w:noProof/>
          <w:lang w:eastAsia="en-GB"/>
        </w:rPr>
        <w:t>g</w:t>
      </w:r>
      <w:r w:rsidRPr="00837306">
        <w:rPr>
          <w:noProof/>
          <w:lang w:eastAsia="en-GB"/>
        </w:rPr>
        <w:t>ation rate.</w:t>
      </w:r>
      <w:r w:rsidR="007B5649" w:rsidRPr="00837306">
        <w:rPr>
          <w:noProof/>
          <w:lang w:eastAsia="en-GB"/>
        </w:rPr>
        <w:t xml:space="preserve"> T</w:t>
      </w:r>
      <w:r w:rsidR="00FB7FE3" w:rsidRPr="00837306">
        <w:rPr>
          <w:noProof/>
          <w:lang w:eastAsia="en-GB"/>
        </w:rPr>
        <w:t xml:space="preserve">here were no significant differences in the number of calcium ions bound to any of the aSyn </w:t>
      </w:r>
      <w:r w:rsidR="00524DFA" w:rsidRPr="00837306">
        <w:rPr>
          <w:noProof/>
          <w:lang w:eastAsia="en-GB"/>
        </w:rPr>
        <w:t>mutants</w:t>
      </w:r>
      <w:r w:rsidR="00FB7FE3" w:rsidRPr="00837306">
        <w:rPr>
          <w:noProof/>
          <w:lang w:eastAsia="en-GB"/>
        </w:rPr>
        <w:t xml:space="preserve">, with on average two to </w:t>
      </w:r>
      <w:r w:rsidR="000A7BE4" w:rsidRPr="00837306">
        <w:rPr>
          <w:noProof/>
          <w:lang w:eastAsia="en-GB"/>
        </w:rPr>
        <w:t>three</w:t>
      </w:r>
      <w:r w:rsidR="00FB7FE3" w:rsidRPr="00837306">
        <w:rPr>
          <w:noProof/>
          <w:lang w:eastAsia="en-GB"/>
        </w:rPr>
        <w:t xml:space="preserve"> Ca</w:t>
      </w:r>
      <w:r w:rsidR="00FB7FE3" w:rsidRPr="00837306">
        <w:rPr>
          <w:noProof/>
          <w:vertAlign w:val="superscript"/>
          <w:lang w:eastAsia="en-GB"/>
        </w:rPr>
        <w:t>2+</w:t>
      </w:r>
      <w:r w:rsidR="00FB7FE3" w:rsidRPr="00837306">
        <w:rPr>
          <w:noProof/>
          <w:lang w:eastAsia="en-GB"/>
        </w:rPr>
        <w:t xml:space="preserve"> ions bound at a 1:10 protein to calcium ratio, and</w:t>
      </w:r>
      <w:r w:rsidRPr="00837306">
        <w:rPr>
          <w:noProof/>
          <w:lang w:eastAsia="en-GB"/>
        </w:rPr>
        <w:t xml:space="preserve"> up to 10 ions at high (1:250) calcium concentrations</w:t>
      </w:r>
      <w:r w:rsidR="0062528D" w:rsidRPr="00837306">
        <w:rPr>
          <w:noProof/>
          <w:lang w:eastAsia="en-GB"/>
        </w:rPr>
        <w:t xml:space="preserve"> (Figure 5</w:t>
      </w:r>
      <w:r w:rsidR="000A7BE4" w:rsidRPr="00837306">
        <w:rPr>
          <w:noProof/>
          <w:lang w:eastAsia="en-GB"/>
        </w:rPr>
        <w:t xml:space="preserve">, </w:t>
      </w:r>
      <w:bookmarkStart w:id="0" w:name="OLE_LINK1"/>
      <w:r w:rsidR="00CD19E2">
        <w:rPr>
          <w:noProof/>
          <w:lang w:eastAsia="en-GB"/>
        </w:rPr>
        <w:t>Supplementary</w:t>
      </w:r>
      <w:bookmarkEnd w:id="0"/>
      <w:r w:rsidR="00CD19E2">
        <w:rPr>
          <w:noProof/>
          <w:lang w:eastAsia="en-GB"/>
        </w:rPr>
        <w:t xml:space="preserve"> </w:t>
      </w:r>
      <w:r w:rsidR="000A7BE4" w:rsidRPr="00837306">
        <w:rPr>
          <w:noProof/>
          <w:lang w:eastAsia="en-GB"/>
        </w:rPr>
        <w:t xml:space="preserve">Figure </w:t>
      </w:r>
      <w:r w:rsidR="008A1EFC" w:rsidRPr="00837306">
        <w:rPr>
          <w:noProof/>
          <w:lang w:eastAsia="en-GB"/>
        </w:rPr>
        <w:t>1</w:t>
      </w:r>
      <w:r w:rsidR="00820BF3">
        <w:rPr>
          <w:noProof/>
          <w:lang w:eastAsia="en-GB"/>
        </w:rPr>
        <w:t>3</w:t>
      </w:r>
      <w:r w:rsidR="008A1EFC" w:rsidRPr="00837306">
        <w:rPr>
          <w:noProof/>
          <w:lang w:eastAsia="en-GB"/>
        </w:rPr>
        <w:t xml:space="preserve"> –</w:t>
      </w:r>
      <w:r w:rsidR="000A7BE4" w:rsidRPr="00837306">
        <w:rPr>
          <w:noProof/>
          <w:lang w:eastAsia="en-GB"/>
        </w:rPr>
        <w:t xml:space="preserve"> S</w:t>
      </w:r>
      <w:r w:rsidR="008A1EFC" w:rsidRPr="00837306">
        <w:rPr>
          <w:noProof/>
          <w:lang w:eastAsia="en-GB"/>
        </w:rPr>
        <w:t>1</w:t>
      </w:r>
      <w:r w:rsidR="00820BF3">
        <w:rPr>
          <w:noProof/>
          <w:lang w:eastAsia="en-GB"/>
        </w:rPr>
        <w:t>5</w:t>
      </w:r>
      <w:r w:rsidR="0062528D" w:rsidRPr="00837306">
        <w:rPr>
          <w:noProof/>
          <w:lang w:eastAsia="en-GB"/>
        </w:rPr>
        <w:t>)</w:t>
      </w:r>
      <w:r w:rsidRPr="00837306">
        <w:rPr>
          <w:noProof/>
          <w:lang w:eastAsia="en-GB"/>
        </w:rPr>
        <w:t xml:space="preserve">. We also performed </w:t>
      </w:r>
      <w:r w:rsidRPr="00837306">
        <w:t>native nano</w:t>
      </w:r>
      <w:r w:rsidR="000A7BE4" w:rsidRPr="00837306">
        <w:t xml:space="preserve"> </w:t>
      </w:r>
      <w:r w:rsidRPr="00837306">
        <w:t>ESI</w:t>
      </w:r>
      <w:r w:rsidR="000A7BE4" w:rsidRPr="00837306">
        <w:t>-</w:t>
      </w:r>
      <w:r w:rsidRPr="00837306">
        <w:t xml:space="preserve">IM-MS </w:t>
      </w:r>
      <w:r w:rsidR="00FB7FE3" w:rsidRPr="00837306">
        <w:t>in a</w:t>
      </w:r>
      <w:r w:rsidR="00D572CA">
        <w:t xml:space="preserve">n attempt </w:t>
      </w:r>
      <w:r w:rsidRPr="00837306">
        <w:t>to resolve heterogeneous structures in the ensemble</w:t>
      </w:r>
      <w:r w:rsidR="00FB7FE3" w:rsidRPr="00837306">
        <w:t xml:space="preserve"> of aSyn conformations</w:t>
      </w:r>
      <w:r w:rsidR="00A6218F" w:rsidRPr="00837306">
        <w:t xml:space="preserve"> which was not possible with </w:t>
      </w:r>
      <w:r w:rsidR="00D572CA">
        <w:t xml:space="preserve">either </w:t>
      </w:r>
      <w:r w:rsidR="00A6218F" w:rsidRPr="00837306">
        <w:t>NMR or HDX-MS</w:t>
      </w:r>
      <w:r w:rsidR="0062528D" w:rsidRPr="00837306">
        <w:t xml:space="preserve">. </w:t>
      </w:r>
      <w:r w:rsidRPr="00837306">
        <w:t xml:space="preserve">The ion mobility of a protein is determined by the number of collisions the protein ions have with gas molecules, influencing the drift (or arrival) time which is a direct correlation to the rotationally averaged size and shape of the particle. </w:t>
      </w:r>
      <w:r w:rsidR="0062528D" w:rsidRPr="00837306">
        <w:t xml:space="preserve">This technique may permit us to determine whether there is a change in the distribution of conformations between different aSyn </w:t>
      </w:r>
      <w:r w:rsidR="00524DFA" w:rsidRPr="00837306">
        <w:t>mutants</w:t>
      </w:r>
      <w:r w:rsidR="0062528D" w:rsidRPr="00837306">
        <w:t xml:space="preserve">. </w:t>
      </w:r>
      <w:r w:rsidRPr="00837306">
        <w:t>In the gas-phase, WT aSyn was found to have four main conformational distribution</w:t>
      </w:r>
      <w:r w:rsidR="006D68B5" w:rsidRPr="00837306">
        <w:t>s at the 8+ charge state</w:t>
      </w:r>
      <w:r w:rsidRPr="00837306">
        <w:t xml:space="preserve"> which have been observed previously </w:t>
      </w:r>
      <w:r w:rsidRPr="00837306">
        <w:fldChar w:fldCharType="begin" w:fldLock="1"/>
      </w:r>
      <w:r w:rsidR="00373BC0">
        <w:instrText>ADDIN CSL_CITATION {"citationItems":[{"id":"ITEM-1","itemData":{"DOI":"10.1007/s13361-018-2002-2","ISSN":"18791123","abstract":"© 2018, American Society for Mass Spectrometry. Structural characterization of intrinsically disordered proteins (IDPs) has been a major challenge in the field of protein science due to limited capabilities to obtain full-length high-resolution structures. Native ESI-MS with top-down MS was utilized to obtain structural features of protein-ligand binding for the Parkinson’s disease-related protein, α-synuclein (αSyn), which is natively unstructured. Binding of heavy metals has been implicated in the accelerated formation of αSyn aggregation. Using high-resolution Fourier transform ion cyclotron resonance (FT-ICR) mass spectrometry, native top-down MS with various fragmentation methods, including electron capture dissociation (ECD), collisional activated dissociation (CAD), and multistage tandem MS (MS3), deduced the binding sites of cobalt and manganese to the C-terminal region of the protein. Ion mobility MS (IM-MS) revealed a collapse toward compacted states of αSyn upon metal binding. The combination of native top-down MS and IM-MS provides structural information of protein-ligand interactions for intrinsically disordered proteins. [Figure not available: see fulltext.].","author":[{"dropping-particle":"","family":"Wongkongkathep","given":"Piriya","non-dropping-particle":"","parse-names":false,"suffix":""},{"dropping-particle":"","family":"Han","given":"Jong Yoon","non-dropping-particle":"","parse-names":false,"suffix":""},{"dropping-particle":"","family":"Choi","given":"Tae Su","non-dropping-particle":"","parse-names":false,"suffix":""},{"dropping-particle":"","family":"Yin","given":"Sheng","non-dropping-particle":"","parse-names":false,"suffix":""},{"dropping-particle":"","family":"Kim","given":"Hugh I","non-dropping-particle":"","parse-names":false,"suffix":""},{"dropping-particle":"","family":"Loo","given":"Joseph A","non-dropping-particle":"","parse-names":false,"suffix":""}],"container-title":"Journal of the American Society for Mass Spectrometry","id":"ITEM-1","issue":"9","issued":{"date-parts":[["2018"]]},"page":"1870-1880","title":"Native Top-Down Mass Spectrometry and Ion Mobility MS for Characterizing the Cobalt and Manganese Metal Binding of α-Synuclein Protein","type":"article-journal","volume":"29"},"uris":["http://www.mendeley.com/documents/?uuid=cf1ed20b-d88a-3ec1-8631-bc182468aee2"]},{"id":"ITEM-2","itemData":{"DOI":"10.1021/acs.analchem.6b00731","ISSN":"15206882","abstract":"The intrinsically disordered and amyloidogenic protein α-synuclein (AS) has been linked to several neurodegenerative states, including Parkinson's disease. Here, nanoelectrospray-ionization mass spectrometry (nano-ESI-MS), ion mobility (IM), and native top-down electron transfer dissociation (ETD) techniques are employed to study AS interaction with small molecules known to modulate its aggregation, such as epigallocatechin-3-gallate (EGCG) and dopamine (DA). The complexes formed by the two ligands under identical conditions reveal peculiar differences. While EGCG engages AS in compact conformations, DA preferentially binds to the protein in partially extended conformations. The two ligands also have different effects on AS structure as assessed by IM, with EGCG leading to protein compaction and DA to its extension. Native top-down ETD on the protein−ligand complexes shows how the different observed modes of binding of the two ligands could be related to their known opposite effects on AS aggregation. The results also show that the protein can bind either ligand in the absence of any covalent modifications, such as oxidation. A myloid aggregation of the intrinsically disordered protein (IDP) α-synuclein (AS) has been implicated in several neurodegenerative disorders, called synucleinopathies, includ-ing Parkinson's Disease (PD). 1 In particular, AS is the major component of the Lewy Bodies (LB) from post-mortem brains of PD patients. Duplication, triplication, and point mutations in the AS gene are associated with familial PD. AS is a highly abundant neuronal protein of 140 amino acids with an average mass of 14 460.1 Da. It exists in solution as a highly dynamic and heterogeneous conformational ensemble. The equilibrium between extended and partially folded conformations can be shifted by environmental factors and ligand binding. Solution pH, temperature, crowding agents, membranes, metal ions, and interacting proteins have been shown to impact on AS conformational states. 1 Selective stabilization of distinct conformers is thought to elicit formation of supramolecular structures with different toxicities and amyloidogenic poten-tials.","author":[{"dropping-particle":"","family":"Konijnenberg","given":"Albert","non-dropping-particle":"","parse-names":false,"suffix":""},{"dropping-particle":"","family":"Ranica","given":"Simona","non-dropping-particle":"","parse-names":false,"suffix":""},{"dropping-particle":"","family":"Narkiewicz","given":"Joanna","non-dropping-particle":"","parse-names":false,"suffix":""},{"dropping-particle":"","family":"Legname","given":"Giuseppe","non-dropping-particle":"","parse-names":false,"suffix":""},{"dropping-particle":"","family":"Grandori","given":"Rita","non-dropping-particle":"","parse-names":false,"suffix":""},{"dropping-particle":"","family":"Sobott","given":"Frank","non-dropping-particle":"","parse-names":false,"suffix":""},{"dropping-particle":"","family":"Natalello","given":"Antonino","non-dropping-particle":"","parse-names":false,"suffix":""}],"container-title":"Analytical Chemistry","id":"ITEM-2","issue":"17","issued":{"date-parts":[["2016"]]},"page":"8468-8475","title":"Opposite Structural Effects of Epigallocatechin-3-gallate and Dopamine Binding to α-Synuclein","type":"article-journal","volume":"88"},"uris":["http://www.mendeley.com/documents/?uuid=d6b3e2eb-1485-33d4-9ba0-b578fca2a138"]},{"id":"ITEM-3","itemData":{"DOI":"10.1371/journal.pcbi.1006859","ISBN":"1111111111","ISSN":"15537358","abstract":"Combining structural proteomics experimental data with computational methods is a powerful tool for protein structure prediction. Here, we apply a recently-developed approach for de novo protein structure determination based on the incorporation of short-distance crosslinking data as constraints in discrete molecular dynamics simulations (CL-DMD) for the determination of conformational ensemble of the intrinsically disordered protein α-synuclein in the solution. The predicted structures were in agreement with hydrogen-deuterium exchange, circular dichroism, surface modification, and long-distance crosslinking data. We found that α-synuclein is present in solution as an ensemble of rather compact globular conformations with distinct topology and inter-residue contacts, which is well-represented by movements of the large loops and formation of few transient secondary structure elements. Non-amyloid component and C-terminal regions were consistently found to contain β-structure elements and hairpins.","author":[{"dropping-particle":"","family":"Brodie","given":"Nicholas I.","non-dropping-particle":"","parse-names":false,"suffix":""},{"dropping-particle":"","family":"Popov","given":"Konstantin I.","non-dropping-particle":"","parse-names":false,"suffix":""},{"dropping-particle":"V.","family":"Petrotchenko","given":"Evgeniy","non-dropping-particle":"","parse-names":false,"suffix":""},{"dropping-particle":"V.","family":"Dokholyan","given":"Nikolay","non-dropping-particle":"","parse-names":false,"suffix":""},{"dropping-particle":"","family":"Borchers","given":"Christoph H.","non-dropping-particle":"","parse-names":false,"suffix":""}],"container-title":"PLoS Computational Biology","id":"ITEM-3","issue":"3","issued":{"date-parts":[["2019"]]},"title":"Conformational ensemble of native α-synuclein in solution as determined by short-distance crosslinking constraint-guided discrete molecular dynamics simulations","type":"article-journal","volume":"15"},"uris":["http://www.mendeley.com/documents/?uuid=9147e570-c30a-32b8-a467-0e5f8860c445"]}],"mendeley":{"formattedCitation":"&lt;sup&gt;45–47&lt;/sup&gt;","plainTextFormattedCitation":"45–47","previouslyFormattedCitation":"&lt;sup&gt;45–47&lt;/sup&gt;"},"properties":{"noteIndex":0},"schema":"https://github.com/citation-style-language/schema/raw/master/csl-citation.json"}</w:instrText>
      </w:r>
      <w:r w:rsidRPr="00837306">
        <w:fldChar w:fldCharType="separate"/>
      </w:r>
      <w:r w:rsidR="00373BC0" w:rsidRPr="00373BC0">
        <w:rPr>
          <w:noProof/>
          <w:vertAlign w:val="superscript"/>
        </w:rPr>
        <w:t>45–47</w:t>
      </w:r>
      <w:r w:rsidRPr="00837306">
        <w:fldChar w:fldCharType="end"/>
      </w:r>
      <w:r w:rsidRPr="00837306">
        <w:t>, however there were no clear alterations in the distribution of conformations between the mutants and WT aSyn in the presence or absence of calcium or at other charge states</w:t>
      </w:r>
      <w:r w:rsidR="00E63830">
        <w:t>. This is discussed further in Supplementary Note 2</w:t>
      </w:r>
      <w:r w:rsidRPr="00837306">
        <w:t xml:space="preserve"> (</w:t>
      </w:r>
      <w:r w:rsidR="00CD19E2">
        <w:rPr>
          <w:noProof/>
          <w:lang w:eastAsia="en-GB"/>
        </w:rPr>
        <w:t>Supplementary</w:t>
      </w:r>
      <w:r w:rsidR="00CD19E2" w:rsidRPr="00837306">
        <w:t xml:space="preserve"> </w:t>
      </w:r>
      <w:r w:rsidR="00A6218F" w:rsidRPr="00837306">
        <w:t xml:space="preserve">Figure </w:t>
      </w:r>
      <w:r w:rsidR="00CE4702" w:rsidRPr="00837306">
        <w:t>1</w:t>
      </w:r>
      <w:r w:rsidR="00820BF3">
        <w:t>6</w:t>
      </w:r>
      <w:r w:rsidR="00E749C1">
        <w:t xml:space="preserve"> </w:t>
      </w:r>
      <w:r w:rsidR="00CE4702" w:rsidRPr="00837306">
        <w:t>-</w:t>
      </w:r>
      <w:r w:rsidR="00E749C1">
        <w:t xml:space="preserve"> </w:t>
      </w:r>
      <w:r w:rsidR="00CE4702" w:rsidRPr="00837306">
        <w:t>1</w:t>
      </w:r>
      <w:r w:rsidR="00820BF3">
        <w:t>8</w:t>
      </w:r>
      <w:r w:rsidR="001D2BC8" w:rsidRPr="00837306">
        <w:t xml:space="preserve">, </w:t>
      </w:r>
      <w:r w:rsidR="00CD19E2">
        <w:rPr>
          <w:noProof/>
          <w:lang w:eastAsia="en-GB"/>
        </w:rPr>
        <w:t>Supplementary</w:t>
      </w:r>
      <w:r w:rsidR="00CD19E2" w:rsidRPr="00837306">
        <w:t xml:space="preserve"> </w:t>
      </w:r>
      <w:r w:rsidR="001D2BC8" w:rsidRPr="00837306">
        <w:t>Table 6</w:t>
      </w:r>
      <w:r w:rsidR="00CD19E2">
        <w:t xml:space="preserve"> and</w:t>
      </w:r>
      <w:r w:rsidR="001D2BC8" w:rsidRPr="00837306">
        <w:t>7</w:t>
      </w:r>
      <w:r w:rsidRPr="00837306">
        <w:t xml:space="preserve">). </w:t>
      </w:r>
    </w:p>
    <w:p w14:paraId="1CE958B3" w14:textId="77777777" w:rsidR="0062528D" w:rsidRDefault="0062528D" w:rsidP="0095510F">
      <w:pPr>
        <w:pStyle w:val="NoSpacing"/>
        <w:spacing w:line="360" w:lineRule="auto"/>
        <w:jc w:val="both"/>
        <w:rPr>
          <w:noProof/>
          <w:lang w:eastAsia="en-GB"/>
        </w:rPr>
      </w:pPr>
    </w:p>
    <w:p w14:paraId="5C85E60C" w14:textId="0F554525" w:rsidR="00835F0B" w:rsidRDefault="001355DB" w:rsidP="0095510F">
      <w:pPr>
        <w:pStyle w:val="NoSpacing"/>
        <w:spacing w:line="360" w:lineRule="auto"/>
        <w:jc w:val="both"/>
      </w:pPr>
      <w:r w:rsidRPr="0095510F">
        <w:lastRenderedPageBreak/>
        <w:t xml:space="preserve">To gain more detailed and localised structural information </w:t>
      </w:r>
      <w:r w:rsidR="00BD0E9C">
        <w:t xml:space="preserve">of the monomeric aSyn mutants </w:t>
      </w:r>
      <w:r w:rsidRPr="0095510F">
        <w:t>we again employed HDX-MS.</w:t>
      </w:r>
      <w:r w:rsidRPr="0095510F">
        <w:rPr>
          <w:lang w:val="en-US"/>
        </w:rPr>
        <w:t xml:space="preserve"> The familial aSyn mutants A53T and A53E were selected from the familial mutants’ panel for this analysis, as they displayed different aggregation </w:t>
      </w:r>
      <w:proofErr w:type="spellStart"/>
      <w:r w:rsidRPr="0095510F">
        <w:rPr>
          <w:lang w:val="en-US"/>
        </w:rPr>
        <w:t>behaviour</w:t>
      </w:r>
      <w:proofErr w:type="spellEnd"/>
      <w:r w:rsidRPr="0095510F">
        <w:rPr>
          <w:lang w:val="en-US"/>
        </w:rPr>
        <w:t>, with faster aggregation rates for A53T and slower aggregation rates for A53E, even though the point mutations are at the same residue.</w:t>
      </w:r>
      <w:r w:rsidRPr="0095510F">
        <w:rPr>
          <w:i/>
          <w:lang w:val="en-US"/>
        </w:rPr>
        <w:t xml:space="preserve"> </w:t>
      </w:r>
      <w:r w:rsidRPr="0095510F">
        <w:rPr>
          <w:lang w:val="en-US"/>
        </w:rPr>
        <w:t xml:space="preserve">Binary comparison of WT and A53T aSyn (Figure </w:t>
      </w:r>
      <w:r w:rsidR="007B5649">
        <w:rPr>
          <w:lang w:val="en-US"/>
        </w:rPr>
        <w:t>6</w:t>
      </w:r>
      <w:r w:rsidRPr="0095510F">
        <w:rPr>
          <w:lang w:val="en-US"/>
        </w:rPr>
        <w:t>a</w:t>
      </w:r>
      <w:r w:rsidR="001D2BC8">
        <w:rPr>
          <w:lang w:val="en-US"/>
        </w:rPr>
        <w:t xml:space="preserve">, </w:t>
      </w:r>
      <w:r w:rsidR="00CD19E2">
        <w:rPr>
          <w:noProof/>
          <w:lang w:eastAsia="en-GB"/>
        </w:rPr>
        <w:t>Supplementary</w:t>
      </w:r>
      <w:r w:rsidR="00CD19E2">
        <w:rPr>
          <w:lang w:val="en-US"/>
        </w:rPr>
        <w:t xml:space="preserve"> </w:t>
      </w:r>
      <w:r w:rsidR="001D2BC8">
        <w:rPr>
          <w:lang w:val="en-US"/>
        </w:rPr>
        <w:t>Table 8</w:t>
      </w:r>
      <w:r w:rsidRPr="0095510F">
        <w:rPr>
          <w:lang w:val="en-US"/>
        </w:rPr>
        <w:t xml:space="preserve">), WT and A53E aSyn (Figure </w:t>
      </w:r>
      <w:r w:rsidR="007B5649">
        <w:rPr>
          <w:lang w:val="en-US"/>
        </w:rPr>
        <w:t>6</w:t>
      </w:r>
      <w:r w:rsidRPr="0095510F">
        <w:rPr>
          <w:lang w:val="en-US"/>
        </w:rPr>
        <w:t>b</w:t>
      </w:r>
      <w:r w:rsidR="001D2BC8">
        <w:rPr>
          <w:lang w:val="en-US"/>
        </w:rPr>
        <w:t xml:space="preserve">, </w:t>
      </w:r>
      <w:r w:rsidR="00CD19E2">
        <w:rPr>
          <w:noProof/>
          <w:lang w:eastAsia="en-GB"/>
        </w:rPr>
        <w:t>Supplementary</w:t>
      </w:r>
      <w:r w:rsidR="00CD19E2">
        <w:rPr>
          <w:lang w:val="en-US"/>
        </w:rPr>
        <w:t xml:space="preserve"> </w:t>
      </w:r>
      <w:r w:rsidR="001D2BC8">
        <w:rPr>
          <w:lang w:val="en-US"/>
        </w:rPr>
        <w:t>Table 9</w:t>
      </w:r>
      <w:r w:rsidRPr="0095510F">
        <w:rPr>
          <w:lang w:val="en-US"/>
        </w:rPr>
        <w:t xml:space="preserve">) and A53T and A53E aSyn (Figure </w:t>
      </w:r>
      <w:r w:rsidR="007B5649">
        <w:rPr>
          <w:lang w:val="en-US"/>
        </w:rPr>
        <w:t>6</w:t>
      </w:r>
      <w:r w:rsidRPr="0095510F">
        <w:rPr>
          <w:lang w:val="en-US"/>
        </w:rPr>
        <w:t>c</w:t>
      </w:r>
      <w:r w:rsidR="001D2BC8">
        <w:rPr>
          <w:lang w:val="en-US"/>
        </w:rPr>
        <w:t xml:space="preserve">, </w:t>
      </w:r>
      <w:r w:rsidR="00CD19E2">
        <w:rPr>
          <w:noProof/>
          <w:lang w:eastAsia="en-GB"/>
        </w:rPr>
        <w:t>Supplementary</w:t>
      </w:r>
      <w:r w:rsidR="00CD19E2">
        <w:rPr>
          <w:lang w:val="en-US"/>
        </w:rPr>
        <w:t xml:space="preserve"> </w:t>
      </w:r>
      <w:r w:rsidR="001D2BC8">
        <w:rPr>
          <w:lang w:val="en-US"/>
        </w:rPr>
        <w:t>Table 10</w:t>
      </w:r>
      <w:r w:rsidRPr="0095510F">
        <w:rPr>
          <w:lang w:val="en-US"/>
        </w:rPr>
        <w:t>) in the absence of calcium showed that there was no significant difference in deuterium uptake between the two compared protein states. Upon the addition of calcium, solvent protection is observed at the C-terminus of A53T and A53E aSyn</w:t>
      </w:r>
      <w:r w:rsidR="00BD0E9C">
        <w:rPr>
          <w:lang w:val="en-US"/>
        </w:rPr>
        <w:t>,</w:t>
      </w:r>
      <w:r w:rsidRPr="0095510F">
        <w:rPr>
          <w:lang w:val="en-US"/>
        </w:rPr>
        <w:t xml:space="preserve"> similar to WT and the other aSyn variants (see D121A and pS129 aSyn), indicating that the protection at this region is primarily due to calcium binding. At the same time,</w:t>
      </w:r>
      <w:r w:rsidRPr="0095510F">
        <w:rPr>
          <w:i/>
          <w:lang w:val="en-US"/>
        </w:rPr>
        <w:t xml:space="preserve"> </w:t>
      </w:r>
      <w:r w:rsidRPr="0095510F">
        <w:rPr>
          <w:lang w:val="en-US"/>
        </w:rPr>
        <w:t xml:space="preserve">A53T </w:t>
      </w:r>
      <w:proofErr w:type="spellStart"/>
      <w:r w:rsidRPr="0095510F">
        <w:rPr>
          <w:lang w:val="en-US"/>
        </w:rPr>
        <w:t>aSyn</w:t>
      </w:r>
      <w:proofErr w:type="spellEnd"/>
      <w:r w:rsidRPr="0095510F">
        <w:rPr>
          <w:lang w:val="en-US"/>
        </w:rPr>
        <w:t xml:space="preserve"> is significantly deprotected at the N-terminus, at a similar level to WT aSyn, indicating a breaking of hydrogen bonding or a local unfolding event (Figure </w:t>
      </w:r>
      <w:r w:rsidR="007B5649">
        <w:rPr>
          <w:lang w:val="en-US"/>
        </w:rPr>
        <w:t>6</w:t>
      </w:r>
      <w:proofErr w:type="gramStart"/>
      <w:r w:rsidRPr="0095510F">
        <w:rPr>
          <w:lang w:val="en-US"/>
        </w:rPr>
        <w:t>d,e</w:t>
      </w:r>
      <w:proofErr w:type="gramEnd"/>
      <w:r w:rsidR="001D2BC8">
        <w:rPr>
          <w:lang w:val="en-US"/>
        </w:rPr>
        <w:t>,</w:t>
      </w:r>
      <w:r w:rsidR="00CD19E2">
        <w:rPr>
          <w:lang w:val="en-US"/>
        </w:rPr>
        <w:t xml:space="preserve"> </w:t>
      </w:r>
      <w:r w:rsidR="00CD19E2">
        <w:rPr>
          <w:noProof/>
          <w:lang w:eastAsia="en-GB"/>
        </w:rPr>
        <w:t>Supplementary</w:t>
      </w:r>
      <w:r w:rsidR="001D2BC8">
        <w:rPr>
          <w:lang w:val="en-US"/>
        </w:rPr>
        <w:t xml:space="preserve"> Table 11</w:t>
      </w:r>
      <w:r w:rsidRPr="0095510F">
        <w:rPr>
          <w:lang w:val="en-US"/>
        </w:rPr>
        <w:t xml:space="preserve">). In contrast, for A53E aSyn (Figure </w:t>
      </w:r>
      <w:r w:rsidR="007B5649">
        <w:rPr>
          <w:lang w:val="en-US"/>
        </w:rPr>
        <w:t>6</w:t>
      </w:r>
      <w:r w:rsidRPr="0095510F">
        <w:rPr>
          <w:lang w:val="en-US"/>
        </w:rPr>
        <w:t>f</w:t>
      </w:r>
      <w:r w:rsidR="001D2BC8">
        <w:rPr>
          <w:lang w:val="en-US"/>
        </w:rPr>
        <w:t xml:space="preserve">, </w:t>
      </w:r>
      <w:r w:rsidR="00CD19E2">
        <w:rPr>
          <w:noProof/>
          <w:lang w:eastAsia="en-GB"/>
        </w:rPr>
        <w:t>Supplementary</w:t>
      </w:r>
      <w:r w:rsidR="00CD19E2">
        <w:rPr>
          <w:lang w:val="en-US"/>
        </w:rPr>
        <w:t xml:space="preserve"> </w:t>
      </w:r>
      <w:r w:rsidR="001D2BC8">
        <w:rPr>
          <w:lang w:val="en-US"/>
        </w:rPr>
        <w:t>Table 12</w:t>
      </w:r>
      <w:r w:rsidRPr="0095510F">
        <w:rPr>
          <w:lang w:val="en-US"/>
        </w:rPr>
        <w:t xml:space="preserve">) </w:t>
      </w:r>
      <w:r w:rsidR="009D51D0">
        <w:rPr>
          <w:lang w:val="en-US"/>
        </w:rPr>
        <w:t xml:space="preserve">there are mostly </w:t>
      </w:r>
      <w:r w:rsidRPr="0095510F">
        <w:rPr>
          <w:lang w:val="en-US"/>
        </w:rPr>
        <w:t xml:space="preserve">no significant differences at the NAC region </w:t>
      </w:r>
      <w:r w:rsidR="009D51D0">
        <w:rPr>
          <w:lang w:val="en-US"/>
        </w:rPr>
        <w:t xml:space="preserve">or </w:t>
      </w:r>
      <w:r w:rsidRPr="0095510F">
        <w:rPr>
          <w:lang w:val="en-US"/>
        </w:rPr>
        <w:t>at the N-terminus</w:t>
      </w:r>
      <w:r w:rsidR="009D51D0">
        <w:rPr>
          <w:lang w:val="en-US"/>
        </w:rPr>
        <w:t xml:space="preserve"> (with the exception of peptides 55-89 and 55-94)</w:t>
      </w:r>
      <w:r w:rsidRPr="0095510F">
        <w:rPr>
          <w:lang w:val="en-US"/>
        </w:rPr>
        <w:t>, upon calcium binding. Thus, the extent to which structural dynamics are perturbed in the N-terminal region in response to binding of calcium at the C-terminus correlates with an increase in the aggregation propensity of aSyn and its variants</w:t>
      </w:r>
      <w:r w:rsidR="00C83A9D">
        <w:t>.</w:t>
      </w:r>
    </w:p>
    <w:p w14:paraId="18EF955F" w14:textId="77777777" w:rsidR="0038789E" w:rsidRDefault="0038789E" w:rsidP="0038789E">
      <w:pPr>
        <w:pStyle w:val="NoSpacing"/>
        <w:spacing w:line="360" w:lineRule="auto"/>
        <w:jc w:val="both"/>
      </w:pPr>
    </w:p>
    <w:p w14:paraId="44818D8B" w14:textId="53D56F5B" w:rsidR="00325141" w:rsidRDefault="00AB0E09" w:rsidP="00F7159B">
      <w:pPr>
        <w:pStyle w:val="NoSpacing"/>
        <w:spacing w:line="360" w:lineRule="auto"/>
        <w:jc w:val="both"/>
        <w:rPr>
          <w:b/>
        </w:rPr>
      </w:pPr>
      <w:r w:rsidRPr="002F177C">
        <w:rPr>
          <w:b/>
        </w:rPr>
        <w:t xml:space="preserve">Discussion </w:t>
      </w:r>
    </w:p>
    <w:p w14:paraId="391FDF9E" w14:textId="77777777" w:rsidR="00AB0E09" w:rsidRDefault="00AB0E09" w:rsidP="00D77476">
      <w:pPr>
        <w:pStyle w:val="NoSpacing"/>
        <w:spacing w:line="360" w:lineRule="auto"/>
        <w:jc w:val="both"/>
      </w:pPr>
    </w:p>
    <w:p w14:paraId="729E826F" w14:textId="279DA4D4" w:rsidR="0095510F" w:rsidRPr="0095510F" w:rsidRDefault="0095510F" w:rsidP="0095510F">
      <w:pPr>
        <w:pStyle w:val="NoSpacing"/>
        <w:spacing w:line="360" w:lineRule="auto"/>
        <w:jc w:val="both"/>
      </w:pPr>
      <w:r w:rsidRPr="0095510F">
        <w:t>As an intrinsically disordered protein, aSyn is constantly sampling a large conformational space and exists as an ensemble of conformations. The distribution of these conformations is significantly influenced by both changes in the sequence of the protein (e.g. mutations or PTMs) and the surrounding environment. Some of these structural conformers are expected to follow different aggregation pathways, possibly resulting in different fibril polymorphs and even leading to different disease outcomes. By understanding how genetic and environmental factors, such as mutations, PTMs and calcium, influence the dynamics of conformation and favour monomeric aggregation-prone structures</w:t>
      </w:r>
      <w:r w:rsidR="005F297F">
        <w:t>,</w:t>
      </w:r>
      <w:r w:rsidRPr="0095510F">
        <w:t xml:space="preserve"> we may begin to understand the initiation of misfolding pathways leading to different </w:t>
      </w:r>
      <w:proofErr w:type="spellStart"/>
      <w:r w:rsidRPr="0095510F">
        <w:t>synucleinopathies</w:t>
      </w:r>
      <w:proofErr w:type="spellEnd"/>
      <w:r w:rsidRPr="0095510F">
        <w:t xml:space="preserve">, and subsequently how to disrupt them. However, here within lies the difficulty as the conformations that monomeric aSyn samples are similar in size, charge and structure and are thus hard to detect using ensemble measurement techniques. Furthermore, </w:t>
      </w:r>
      <w:r w:rsidR="005F297F">
        <w:t xml:space="preserve">the </w:t>
      </w:r>
      <w:r w:rsidRPr="0095510F">
        <w:t>presence of a familial mutation does not appear to significantly alter the conformation compared to WT aSyn as observed by these techniques. In this study, we used the biologically relevant ion, calcium, to perturb the conformational ensemble of aSyn structures and compared the differences in CSPs</w:t>
      </w:r>
      <w:r w:rsidR="00BD21E2">
        <w:t xml:space="preserve"> and</w:t>
      </w:r>
      <w:r w:rsidRPr="0095510F">
        <w:t xml:space="preserve"> hydrogen </w:t>
      </w:r>
      <w:r w:rsidRPr="0095510F">
        <w:lastRenderedPageBreak/>
        <w:t xml:space="preserve">bonding/solvent exposure between aSyn and its mutants. Calcium has been shown to enhance the aggregation rate of WT aSyn </w:t>
      </w:r>
      <w:r w:rsidRPr="0095510F">
        <w:fldChar w:fldCharType="begin" w:fldLock="1"/>
      </w:r>
      <w:r w:rsidR="00373BC0">
        <w:instrText>ADDIN CSL_CITATION {"citationItems":[{"id":"ITEM-1","itemData":{"DOI":"10.1038/s41598-018-20320-5","ISSN":"2045-2322","abstract":"α-Synuclein (αSyn) is an intrinsically disordered protein, the aggregation of which is highly related to the pathology of diverse α-synucleinopathies. Various hard divalent metal cations have been shown to affect αSyn aggregation. Especially, Ca2+ is suggested to be a crucial ion due to its physiological relevance to α-synucleinopathies. However, the molecular origin of αSyn aggregation mediated by the metal ions is not fully elucidated. In this study, we revealed that hard divalent metal ions had almost identical influences on αSyn aggregation. Based on these similarities, the molecular role of Ca2+ was investigated as a representative metal ion. Herein, we demonstrated that binding of multiple Ca2+ ions induces structural transition of αSyn monomers to extended conformations, which promotes rapid αSyn fibrillation. Additionally, we observed that Ca2+ induced further interfibrillar aggregation via electrostatic and hydrophobic interactions. Our results from multiple biophysical methods, including ion mobility-mass spectrometry (IM-MS), synchrotron small-angle X-ray scattering (SAXS), transmission electron microscopy (TEM), provide detailed information on the structural change of αSyn and the aggregation process mediated by Ca2+. Overall, our study would be valuable for understanding the influence of Ca2+ on the aggregation of αSyn during the pathogenesis of α-synucleinopathies.","author":[{"dropping-particle":"","family":"Han","given":"Jong Yoon","non-dropping-particle":"","parse-names":false,"suffix":""},{"dropping-particle":"","family":"Choi","given":"Tae Su","non-dropping-particle":"","parse-names":false,"suffix":""},{"dropping-particle":"","family":"Kim","given":"Hugh I.","non-dropping-particle":"","parse-names":false,"suffix":""}],"container-title":"Scientific Reports","id":"ITEM-1","issue":"1","issued":{"date-parts":[["2018","12","30"]]},"page":"1895","publisher":"Nature Publishing Group","title":"Molecular Role of Ca2+ and Hard Divalent Metal Cations on Accelerated Fibrillation and Interfibrillar Aggregation of α-Synuclein","type":"article-journal","volume":"8"},"uris":["http://www.mendeley.com/documents/?uuid=6314fd8b-4a84-3c2b-aa68-dc23c33a238c"]},{"id":"ITEM-2","itemData":{"DOI":"10.1038/s41467-018-03111-4","ISSN":"20411723","abstract":"Alpha-synuclein is known to bind to small unilamellar vesicles (SUVs) via its N terminus, which forms an amphipathic alpha-helix upon membrane interaction. Here we show that calcium binds to the C terminus of alpha-synuclein, therewith increasing its lipid-binding capacity. Using CEST-NMR, we reveal that alpha-synuclein interacts with isolated synaptic vesicles with two regions, the N terminus, already known from studies on SUVs, and additionally via its C terminus, which is regulated by the binding of calcium. Indeed, dSTORM on synaptosomes shows that calcium mediates the localization of alpha-synuclein at the pre-synaptic terminal, and an imbalance in calcium or alpha-synuclein can cause synaptic vesicle clustering, as seen ex vivo and in vitro. This study provides a new view on the binding of alpha-synuclein to synaptic vesicles, which might also affect our understanding of synucleinopathies.","author":[{"dropping-particle":"","family":"Lautenschläger","given":"Janin","non-dropping-particle":"","parse-names":false,"suffix":""},{"dropping-particle":"","family":"Stephens","given":"Amberley D.","non-dropping-particle":"","parse-names":false,"suffix":""},{"dropping-particle":"","family":"Fusco","given":"Giuliana","non-dropping-particle":"","parse-names":false,"suffix":""},{"dropping-particle":"","family":"Ströhl","given":"Florian","non-dropping-particle":"","parse-names":false,"suffix":""},{"dropping-particle":"","family":"Curry","given":"Nathan","non-dropping-particle":"","parse-names":false,"suffix":""},{"dropping-particle":"","family":"Zacharopoulou","given":"Maria","non-dropping-particle":"","parse-names":false,"suffix":""},{"dropping-particle":"","family":"Michel","given":"Claire H.","non-dropping-particle":"","parse-names":false,"suffix":""},{"dropping-particle":"","family":"Laine","given":"Romain","non-dropping-particle":"","parse-names":false,"suffix":""},{"dropping-particle":"","family":"Nespovitaya","given":"Nadezhda","non-dropping-particle":"","parse-names":false,"suffix":""},{"dropping-particle":"","family":"Fantham","given":"Marcus","non-dropping-particle":"","parse-names":false,"suffix":""},{"dropping-particle":"","family":"Pinotsi","given":"Dorothea","non-dropping-particle":"","parse-names":false,"suffix":""},{"dropping-particle":"","family":"Zago","given":"Wagner","non-dropping-particle":"","parse-names":false,"suffix":""},{"dropping-particle":"","family":"Fraser","given":"Paul","non-dropping-particle":"","parse-names":false,"suffix":""},{"dropping-particle":"","family":"Tandon","given":"Anurag","non-dropping-particle":"","parse-names":false,"suffix":""},{"dropping-particle":"","family":"St George-Hyslop","given":"Peter","non-dropping-particle":"","parse-names":false,"suffix":""},{"dropping-particle":"","family":"Rees","given":"Eric","non-dropping-particle":"","parse-names":false,"suffix":""},{"dropping-particle":"","family":"Phillips","given":"Jonathan J.","non-dropping-particle":"","parse-names":false,"suffix":""},{"dropping-particle":"","family":"Simone","given":"Alfonso","non-dropping-particle":"De","parse-names":false,"suffix":""},{"dropping-particle":"","family":"Kaminski","given":"Clemens F.","non-dropping-particle":"","parse-names":false,"suffix":""},{"dropping-particle":"","family":"Schierle","given":"Gabriele S.Kaminski","non-dropping-particle":"","parse-names":false,"suffix":""}],"container-title":"Nature Communications","id":"ITEM-2","issue":"1","issued":{"date-parts":[["2018","12","19"]]},"page":"712","publisher":"Nature Publishing Group","title":"C-terminal calcium binding of α-synuclein modulates synaptic vesicle interaction","type":"article-journal","volume":"9"},"uris":["http://www.mendeley.com/documents/?uuid=5da06726-0802-3970-b05f-1380256f2e9a"]}],"mendeley":{"formattedCitation":"&lt;sup&gt;40,48&lt;/sup&gt;","plainTextFormattedCitation":"40,48","previouslyFormattedCitation":"&lt;sup&gt;40,48&lt;/sup&gt;"},"properties":{"noteIndex":0},"schema":"https://github.com/citation-style-language/schema/raw/master/csl-citation.json"}</w:instrText>
      </w:r>
      <w:r w:rsidRPr="0095510F">
        <w:fldChar w:fldCharType="separate"/>
      </w:r>
      <w:r w:rsidR="00373BC0" w:rsidRPr="00373BC0">
        <w:rPr>
          <w:noProof/>
          <w:vertAlign w:val="superscript"/>
        </w:rPr>
        <w:t>40,48</w:t>
      </w:r>
      <w:r w:rsidRPr="0095510F">
        <w:fldChar w:fldCharType="end"/>
      </w:r>
      <w:r w:rsidRPr="0095510F">
        <w:t>, likely by a similar mechanism as low pH, whereby the reduction of the negative charge at the C-terminus leads to C-terminal collapse</w:t>
      </w:r>
      <w:r w:rsidR="00BD21E2">
        <w:t xml:space="preserve"> when electrostatic repulsion is </w:t>
      </w:r>
      <w:r w:rsidR="00D759B5">
        <w:t>reduced</w:t>
      </w:r>
      <w:r w:rsidRPr="0095510F">
        <w:t xml:space="preserve">, </w:t>
      </w:r>
      <w:r w:rsidR="00D759B5">
        <w:t xml:space="preserve">leading to </w:t>
      </w:r>
      <w:r w:rsidRPr="0095510F">
        <w:t xml:space="preserve">altered long-range electrostatic interactions and enhanced hydrophobic interaction between the C-terminus and the NAC region which drives aggregation </w:t>
      </w:r>
      <w:r w:rsidRPr="0095510F">
        <w:fldChar w:fldCharType="begin" w:fldLock="1"/>
      </w:r>
      <w:r w:rsidR="00373BC0">
        <w:instrText>ADDIN CSL_CITATION {"citationItems":[{"id":"ITEM-1","itemData":{"DOI":"10.1074/jbc.M010907200","ISBN":"8314592935","ISSN":"00219258","PMID":"11152691","abstract":"Intracellular proteinaceous aggregates (Lewy bodies and Lewy neurites) of α-synuclein are hallmarks of neurodegenerative diseases such as Parkinson's disease, dementia with Lewy bodies, and multiple systemic atrophy. However, the molecular mechanisms underlying α-synuclein aggregation into such filamentous inclusions remain unknown. An intriguing aspect of this problem is that α-synuclein is a natively unfolded protein, with little or no ordered structure under physiological conditions. This raises the question of how an essentially disordered protein is transformed into highly organized fibrils. In the search for an answer to this question, we have investigated the effects of pH and temperature on the structural properties and fibrillation kinetics of human recombinant α-synuclein. Either a decrease in pH or an increase in temperature transformed α-synuclein into a partially folded conformation. The presence of this intermediate is strongly correlated with the enhanced formation of α-synuclein fibrils. We propose a model for the fibrillation of α-synuclein in which the first step is the conformational transformation of the natively unfolded protein into the aggregation-competent partially folded intermediate.","author":[{"dropping-particle":"","family":"Uversky","given":"Vladimir N.","non-dropping-particle":"","parse-names":false,"suffix":""},{"dropping-particle":"","family":"Li","given":"Jie","non-dropping-particle":"","parse-names":false,"suffix":""},{"dropping-particle":"","family":"Fink","given":"Anthony L.","non-dropping-particle":"","parse-names":false,"suffix":""}],"container-title":"Journal of Biological Chemistry","id":"ITEM-1","issue":"14","issued":{"date-parts":[["2001"]]},"page":"10737-10744","title":"Evidence for a Partially Folded Intermediate in α-Synuclein Fibril Formation","type":"article-journal","volume":"276"},"uris":["http://www.mendeley.com/documents/?uuid=98a51658-c0a2-4272-af4a-88a946a3803d","http://www.mendeley.com/documents/?uuid=5242a633-74ac-4f01-b774-e60fdc3a89f3"]},{"id":"ITEM-2","itemData":{"DOI":"10.1016/J.JASMS.2004.08.003","ISSN":"1044-0305","abstract":"The protein α-synuclein, implicated in Parkinson's disease, was studied by combining nano-electrospray ionization (N-ESI) mass spectrometry and ion mobility. It was found that both the charge-state distribution in the mass spectra and the average protein shape deduced from ion mobility data, depend on the pH of the spray solution. Negative-ion N-ESI of pH 7 solutions yielded a broad charge-state distribution from −6 to −16, centered at −11, and ion mobility data consistent with extended protein structures. Data obtained for pH 2.5 solutions, on the other hand, showed a narrow charge-state distribution from −6 to −11, centered at −8, and ion mobilities in agreement with compact α-synuclein structures. The data indicated that there are two distinct families of structures: one consisting of relatively compact proteins with eight or less negative charges and one consisting of relatively extended structures with nine or more charges. The average cross section of a-synuclein at pH 2.5 is 33% smaller than for the extended protein sprayed from pH 7 solution. Significant dimer formation was observed when sprayed from pH 7 solution but no dimers were observed from the low pH solution. A plausible mechanism for aggregate formation in solution is proposed.","author":[{"dropping-particle":"","family":"Bernstein","given":"Summer L.","non-dropping-particle":"","parse-names":false,"suffix":""},{"dropping-particle":"","family":"Liu","given":"Dengfeng","non-dropping-particle":"","parse-names":false,"suffix":""},{"dropping-particle":"","family":"Wyttenbach","given":"Thomas","non-dropping-particle":"","parse-names":false,"suffix":""},{"dropping-particle":"","family":"Bowers","given":"Michael T.","non-dropping-particle":"","parse-names":false,"suffix":""},{"dropping-particle":"","family":"Lee","given":"Jennifer C.","non-dropping-particle":"","parse-names":false,"suffix":""},{"dropping-particle":"","family":"Gray","given":"Harry B.","non-dropping-particle":"","parse-names":false,"suffix":""},{"dropping-particle":"","family":"Winkler","given":"Jay R.","non-dropping-particle":"","parse-names":false,"suffix":""}],"container-title":"Journal of the American Society for Mass Spectrometry","id":"ITEM-2","issue":"10","issued":{"date-parts":[["2004","10","1"]]},"page":"1435-1443","publisher":"No longer published by Elsevier","title":"α-Synuclein: Stable compact and extended monomeric structures and pH dependence of dimer formation","type":"article-journal","volume":"15"},"uris":["http://www.mendeley.com/documents/?uuid=43a67180-a163-33cf-a3a6-002b0056b5f0","http://www.mendeley.com/documents/?uuid=d86fe6f0-c9d6-4732-b321-139dd6193567"]},{"id":"ITEM-3","itemData":{"DOI":"10.1002/prot.22604","ISSN":"08873585","abstract":"Conformational heterogeneity of α-synuclein was studied with electrospray ionization mass spectrometry by analyzing protein ion charge state distributions, where the extent of multiple charging reflects compactness of the protein conformations in solution. Although asynuclein lacks a single well-defined structure under physiological conditions, it was found to sample four distinct conformational states, ranging from a highly structured one to a random coil. The compact highly structured state of α-synuclein is present across the entire range of conditions tested (pH ranging from 2.5 to 10, alcohol content from 0% to 60%), but is particularly abundant in acidic solutions. The only other protein state populated in acidic solutions is a partially folded intermediate state lacking stable tertiary structure. Another, more compact intermediate state is induced by significant amounts of ethanol used as a co-solvent and appears to represent a partially folded conformation with high β-sheet content. Protein dimerization is observed throughout the entire range of conditions tested, although only acidic solutions favor formation of highly structured dimers of a-synuclein. These dimers are likely to present the earliest stages in protein aggregation leading to globular oligomers and, subsequently, protofibrils. © 2009 Wiley-Liss, Inc.","author":[{"dropping-particle":"","family":"Frimpong","given":"Agya K.","non-dropping-particle":"","parse-names":false,"suffix":""},{"dropping-particle":"","family":"Abzalimov","given":"Rinat R.","non-dropping-particle":"","parse-names":false,"suffix":""},{"dropping-particle":"","family":"Uversky","given":"Vladimir N.","non-dropping-particle":"","parse-names":false,"suffix":""},{"dropping-particle":"","family":"Kaltashov","given":"Igor A.","non-dropping-particle":"","parse-names":false,"suffix":""}],"container-title":"Proteins: Structure, Function and Bioinformatics","id":"ITEM-3","issue":"3","issued":{"date-parts":[["2010","2","15"]]},"page":"714-722","publisher":"John Wiley &amp; Sons, Ltd","title":"Characterizationof intrinsically disordered proteins with electrospray inization mass spectrometry: Conformationl heterogeneity of α-synuciein","type":"article-journal","volume":"78"},"uris":["http://www.mendeley.com/documents/?uuid=3aec9f4f-b470-3279-9e63-737c7cc0dd59","http://www.mendeley.com/documents/?uuid=b0d2367a-ea82-45b4-8789-0a0753d5572a"]},{"id":"ITEM-4","itemData":{"DOI":"10.1016/j.jmb.2009.06.063","ISSN":"00222836","abstract":"α-Synuclein is an intrinsically disordered protein that appears in aggregated forms in the brains of patients with Parkinson's disease. The conversion from monomer to aggregate is complex, and aggregation rates are sensitive to changes in amino acid sequence and environmental conditions. It has previously been observed that α-synuclein aggregates faster at low pH than at neutral pH. Here, we combine NMR spectroscopy and molecular simulations to characterize α-synuclein conformational ensembles at both neutral and low pH in order to understand how the altered charge distri-bution at low pH changes the structural properties of these ensembles and leads to an increase in aggregation rate. The N-terminus, which has a small positive charge at neutral pH due to a balance of positively and negatively charged amino acid residues, is very positively charged at low pH. Conversely, the acidic C-terminus is highly negatively charged at neutral pH and becomes essentially neutral and hydrophobic at low pH. Our NMR experiments and replica exchange molecular dynamics simulations indicate that there is a significant structural reorganization within the low-pH ensemble relative to that at neutral pH in terms of long-range contacts, hydrodynamic radius, and the amount of heterogeneity within the conformational ensembles. At neutral pH, there is a very heterogeneous ensemble with transient contacts between the N-terminus and the non-amyloid β component (NAC); however, at low pH, there is a more homogeneous ensemble that exhibits strong contacts between the NAC and the C-terminus. At both pH values, transient contacts between the N-and C-termini are observed, the NAC region shows similar exposure to solvent, and the entire protein shows similar propensities to secondary structure. Based on the comparison of the neutral-and low-pH conformational ensembles, we propose that exposure of the NAC region to solvent and the secondary-structure propensity are not factors that account for differences in propensity to aggregate in this context. Instead, the comparison of the neutral-and low-pH ensembles suggests that the change in long-range interactions between the low-and neutral-pH ensembles, the compaction of the C-terminal region at low pH, and the uneven distribution of charges across the sequence are key to faster aggregation.","author":[{"dropping-particle":"","family":"Wu","given":"Kuen-Phon","non-dropping-particle":"","parse-names":false,"suffix":""},{"dropping-particle":"","family":"Weinstock","given":"Daniel S.","non-dropping-particle":"","parse-names":false,"suffix":""},{"dropping-particle":"","family":"Narayanan","given":"Chitra","non-dropping-particle":"","parse-names":false,"suffix":""},{"dropping-particle":"","family":"Levy","given":"Ronald M.","non-dropping-particle":"","parse-names":false,"suffix":""},{"dropping-particle":"","family":"Baum","given":"Jean","non-dropping-particle":"","parse-names":false,"suffix":""}],"container-title":"Journal of Molecular Biology","id":"ITEM-4","issue":"4","issued":{"date-parts":[["2009","8"]]},"page":"784-796","title":"Structural Reorganization of α-Synuclein at Low pH Observed by NMR and REMD Simulations","type":"article-journal","volume":"391"},"uris":["http://www.mendeley.com/documents/?uuid=8159b51d-c206-43b9-846a-f5fa5e101012"]},{"id":"ITEM-5","itemData":{"DOI":"10.1002/pro.149","ISBN":"1469-896X (Electronic)","ISSN":"09618368","PMID":"19475665","abstract":"Alpha-synuclein (alphaS) is the primary component of Lewy bodies, the pathological hallmark of Parkinson's Disease. Aggregation of alphaS is thought to proceed from a primarily disordered state with nascent secondary structure through intermediate conformations to oligomeric forms and finally to mature amyloid fibrils. Low pH conditions lead to conformational changes associated with increased alphaS fibril formation. Here we characterize these structural and dynamic changes using solution state NMR measurements of secondary chemical shifts, relaxation parameters, residual dipolar couplings, and paramagnetic relaxation enhancement. We find that the neutralization of negatively charged side-chains eliminates electrostatic repulsion in the C-terminal tail of alphaS and leads to a collapse of this region at low pH. Hydrophobic contacts between the compact C-terminal tail and the NAC (non-amyloid-beta component) region are maintained and may lead to the formation of a globular domain. Transient long-range contacts between the C-terminus of the protein and regions N-terminal to the NAC region are also preserved. Thus, the release of long-range contacts does not play a role in the increased aggregation of alphaS at low pH, which we instead attribute to the increased hydrophobicity of the protein.","author":[{"dropping-particle":"","family":"McClendon","given":"Sebastian","non-dropping-particle":"","parse-names":false,"suffix":""},{"dropping-particle":"","family":"Rospigliosi","given":"Carla C","non-dropping-particle":"","parse-names":false,"suffix":""},{"dropping-particle":"","family":"Eliezer","given":"David","non-dropping-particle":"","parse-names":false,"suffix":""}],"container-title":"Protein Science","id":"ITEM-5","issue":"7","issued":{"date-parts":[["2009","7"]]},"page":"1531-1540","publisher":"Wiley-Blackwell","title":"Charge neutralization and collapse of the C-terminal tail of alpha-synuclein at low pH","type":"article-journal","volume":"18"},"uris":["http://www.mendeley.com/documents/?uuid=66aef6dc-b8dc-3cff-9a5c-bd72ef95831e"]}],"mendeley":{"formattedCitation":"&lt;sup&gt;22,49–52&lt;/sup&gt;","plainTextFormattedCitation":"22,49–52","previouslyFormattedCitation":"&lt;sup&gt;22,49–52&lt;/sup&gt;"},"properties":{"noteIndex":0},"schema":"https://github.com/citation-style-language/schema/raw/master/csl-citation.json"}</w:instrText>
      </w:r>
      <w:r w:rsidRPr="0095510F">
        <w:fldChar w:fldCharType="separate"/>
      </w:r>
      <w:r w:rsidR="00373BC0" w:rsidRPr="00373BC0">
        <w:rPr>
          <w:noProof/>
          <w:vertAlign w:val="superscript"/>
        </w:rPr>
        <w:t>22,49–52</w:t>
      </w:r>
      <w:r w:rsidRPr="0095510F">
        <w:fldChar w:fldCharType="end"/>
      </w:r>
      <w:r w:rsidRPr="0095510F">
        <w:t xml:space="preserve">. We observed mutant specific differences in long-range interactions, compaction and solvent exposure compared to WT aSyn which </w:t>
      </w:r>
      <w:r w:rsidR="00BD21E2">
        <w:t xml:space="preserve">correlate to aggregation propensity and </w:t>
      </w:r>
      <w:r w:rsidRPr="0095510F">
        <w:t>will be discussed individually.</w:t>
      </w:r>
    </w:p>
    <w:p w14:paraId="268112A9" w14:textId="77777777" w:rsidR="006E3BF5" w:rsidRPr="001B2059" w:rsidRDefault="006E3BF5" w:rsidP="00D77476">
      <w:pPr>
        <w:pStyle w:val="NoSpacing"/>
        <w:spacing w:line="360" w:lineRule="auto"/>
        <w:jc w:val="both"/>
      </w:pPr>
    </w:p>
    <w:p w14:paraId="13399606" w14:textId="5370C726" w:rsidR="003E2FA7" w:rsidRDefault="0095510F" w:rsidP="00B30F4B">
      <w:pPr>
        <w:spacing w:line="360" w:lineRule="auto"/>
        <w:jc w:val="both"/>
        <w:rPr>
          <w:color w:val="538135" w:themeColor="accent6" w:themeShade="BF"/>
        </w:rPr>
      </w:pPr>
      <w:r w:rsidRPr="0095510F">
        <w:t>We first investigated the role of charge and long</w:t>
      </w:r>
      <w:r w:rsidR="00D759B5">
        <w:t>-</w:t>
      </w:r>
      <w:r w:rsidRPr="0095510F">
        <w:t xml:space="preserve">range interactions at the C-terminus by comparing two aSyn variants with reduced (D121A) and added (pS129) negative charge. We observed that both D121A and pS129 aSyn displayed reduced aggregation rates in comparison to WT aSyn, indicating that increasing or decreasing charge by one residue at the C-terminus does not decrease or increase aggregation rates, respectively, as </w:t>
      </w:r>
      <w:r w:rsidR="003E2FA7">
        <w:t xml:space="preserve">it </w:t>
      </w:r>
      <w:r w:rsidRPr="0095510F">
        <w:t xml:space="preserve">may have been expected. </w:t>
      </w:r>
      <w:r w:rsidR="00D71205">
        <w:t>We observe that</w:t>
      </w:r>
      <w:r w:rsidRPr="0095510F">
        <w:t xml:space="preserve"> calcium binding affinity does not correlate with aggregation rates, suggesting </w:t>
      </w:r>
      <w:r w:rsidR="006E143E">
        <w:t>that aggregation rates are</w:t>
      </w:r>
      <w:r w:rsidRPr="0095510F">
        <w:t xml:space="preserve"> not alter</w:t>
      </w:r>
      <w:r w:rsidR="006E143E">
        <w:t>ed</w:t>
      </w:r>
      <w:r w:rsidRPr="0095510F">
        <w:t xml:space="preserve"> </w:t>
      </w:r>
      <w:r w:rsidR="006E143E">
        <w:t>by</w:t>
      </w:r>
      <w:r w:rsidR="006E143E" w:rsidRPr="0095510F">
        <w:t xml:space="preserve"> </w:t>
      </w:r>
      <w:r w:rsidR="00134BEF">
        <w:t xml:space="preserve">a </w:t>
      </w:r>
      <w:r w:rsidRPr="0095510F">
        <w:t xml:space="preserve">single </w:t>
      </w:r>
      <w:r w:rsidR="00134BEF">
        <w:t xml:space="preserve">residue </w:t>
      </w:r>
      <w:r w:rsidRPr="0095510F">
        <w:t>charge</w:t>
      </w:r>
      <w:r w:rsidR="006E75C8">
        <w:t xml:space="preserve"> or</w:t>
      </w:r>
      <w:r w:rsidRPr="0095510F">
        <w:t xml:space="preserve"> </w:t>
      </w:r>
      <w:r w:rsidR="006E75C8">
        <w:t>calcium binding</w:t>
      </w:r>
      <w:r w:rsidR="006E75C8" w:rsidRPr="0095510F">
        <w:t xml:space="preserve"> </w:t>
      </w:r>
      <w:r w:rsidRPr="0095510F">
        <w:t>per se.</w:t>
      </w:r>
      <w:r w:rsidR="006E75C8">
        <w:t xml:space="preserve"> Furthermore, </w:t>
      </w:r>
      <w:r w:rsidR="006E143E">
        <w:t>our results show that there is</w:t>
      </w:r>
      <w:r w:rsidR="00D71205">
        <w:t xml:space="preserve"> positive cooperativity for calcium binding</w:t>
      </w:r>
      <w:r w:rsidR="006E143E">
        <w:t xml:space="preserve"> to aSyn</w:t>
      </w:r>
      <w:r w:rsidR="00D71205">
        <w:t xml:space="preserve">, </w:t>
      </w:r>
      <w:r w:rsidR="006E143E">
        <w:t>which</w:t>
      </w:r>
      <w:r w:rsidR="00D71205">
        <w:t xml:space="preserve"> indicates that charge and electrostatic interactions are not the driving force for calcium binding, as</w:t>
      </w:r>
      <w:r w:rsidR="006E75C8">
        <w:t xml:space="preserve"> </w:t>
      </w:r>
      <w:r w:rsidR="006E143E">
        <w:t xml:space="preserve">this would lead to </w:t>
      </w:r>
      <w:r w:rsidR="006E75C8">
        <w:t>negative cooperativity</w:t>
      </w:r>
      <w:r w:rsidR="00D71205">
        <w:t xml:space="preserve">. </w:t>
      </w:r>
      <w:r w:rsidR="006E143E">
        <w:t>We argue that calcium binding leads to a</w:t>
      </w:r>
      <w:r w:rsidR="00D71205">
        <w:t xml:space="preserve"> conformational change, </w:t>
      </w:r>
      <w:r w:rsidR="006E143E">
        <w:t>which consequently</w:t>
      </w:r>
      <w:r w:rsidR="00D71205">
        <w:t xml:space="preserve"> lead</w:t>
      </w:r>
      <w:r w:rsidR="006E143E">
        <w:t>s</w:t>
      </w:r>
      <w:r w:rsidR="00D71205">
        <w:t xml:space="preserve"> to a positive cooperativity</w:t>
      </w:r>
      <w:r w:rsidR="003E2FA7">
        <w:t xml:space="preserve">. This subsequent conformational change and the extent of the altered conformation </w:t>
      </w:r>
      <w:r w:rsidR="003E2FA7" w:rsidRPr="00DF14EC">
        <w:t xml:space="preserve">governs aggregation propensity. </w:t>
      </w:r>
      <w:r w:rsidR="006E143E" w:rsidRPr="00DF14EC">
        <w:rPr>
          <w:i/>
        </w:rPr>
        <w:t>K</w:t>
      </w:r>
      <w:r w:rsidR="006E143E" w:rsidRPr="00DF14EC">
        <w:rPr>
          <w:i/>
          <w:vertAlign w:val="subscript"/>
        </w:rPr>
        <w:t>D</w:t>
      </w:r>
      <w:r w:rsidR="006E143E" w:rsidRPr="00DF14EC">
        <w:t xml:space="preserve"> predictions of intrinsically disordered proteins are known to be challenging, in particular as</w:t>
      </w:r>
      <w:r w:rsidR="00621ADE" w:rsidRPr="00DF14EC">
        <w:t xml:space="preserve"> calcium binding to aSyn </w:t>
      </w:r>
      <w:r w:rsidR="006E143E" w:rsidRPr="00DF14EC">
        <w:t xml:space="preserve">does </w:t>
      </w:r>
      <w:r w:rsidR="00621ADE" w:rsidRPr="00DF14EC">
        <w:t xml:space="preserve">not </w:t>
      </w:r>
      <w:r w:rsidR="006E143E" w:rsidRPr="00DF14EC">
        <w:t xml:space="preserve">lead to </w:t>
      </w:r>
      <w:r w:rsidR="00621ADE" w:rsidRPr="00DF14EC">
        <w:t xml:space="preserve">a characteristic </w:t>
      </w:r>
      <w:r w:rsidR="00BD55C2" w:rsidRPr="00DF14EC">
        <w:t>conformation-induced protein-</w:t>
      </w:r>
      <w:r w:rsidR="00621ADE" w:rsidRPr="00DF14EC">
        <w:t>ligand binding</w:t>
      </w:r>
      <w:r w:rsidR="006E143E" w:rsidRPr="00DF14EC">
        <w:t xml:space="preserve">. The highly dynamic nature of monomeric aSyn may not permit defined calcium binding structures to be formed, making it difficult to extract an exact </w:t>
      </w:r>
      <w:r w:rsidR="00A7269E" w:rsidRPr="00DF14EC">
        <w:rPr>
          <w:i/>
        </w:rPr>
        <w:t>K</w:t>
      </w:r>
      <w:r w:rsidR="00A7269E" w:rsidRPr="00DF14EC">
        <w:rPr>
          <w:i/>
          <w:vertAlign w:val="subscript"/>
        </w:rPr>
        <w:t>D</w:t>
      </w:r>
      <w:r w:rsidR="006E143E" w:rsidRPr="00DF14EC">
        <w:t xml:space="preserve"> value. This may explain why</w:t>
      </w:r>
      <w:r w:rsidR="00621ADE" w:rsidRPr="00DF14EC">
        <w:t xml:space="preserve"> the two fitting models vary in their </w:t>
      </w:r>
      <w:r w:rsidR="00A7269E" w:rsidRPr="00DF14EC">
        <w:rPr>
          <w:i/>
        </w:rPr>
        <w:t>K</w:t>
      </w:r>
      <w:r w:rsidR="00A7269E" w:rsidRPr="00DF14EC">
        <w:rPr>
          <w:i/>
          <w:vertAlign w:val="subscript"/>
        </w:rPr>
        <w:t>D</w:t>
      </w:r>
      <w:r w:rsidR="00621ADE" w:rsidRPr="00DF14EC">
        <w:t xml:space="preserve"> predictions. </w:t>
      </w:r>
    </w:p>
    <w:p w14:paraId="3C296AB1" w14:textId="6BB86409" w:rsidR="00363F53" w:rsidRPr="003E2FA7" w:rsidRDefault="00BD21E2" w:rsidP="00B30F4B">
      <w:pPr>
        <w:spacing w:line="360" w:lineRule="auto"/>
        <w:jc w:val="both"/>
        <w:rPr>
          <w:color w:val="70AD47" w:themeColor="accent6"/>
        </w:rPr>
      </w:pPr>
      <w:r>
        <w:t>W</w:t>
      </w:r>
      <w:r w:rsidR="0095510F" w:rsidRPr="0095510F">
        <w:t xml:space="preserve">e </w:t>
      </w:r>
      <w:r w:rsidRPr="0095510F">
        <w:t xml:space="preserve">only </w:t>
      </w:r>
      <w:r w:rsidR="0095510F" w:rsidRPr="0095510F">
        <w:t>observed small differences in the conformational properties of monomeric aSyn, as revealed by changes in CSPs and solvent exposure compared to WT aSyn in the absence of calcium</w:t>
      </w:r>
      <w:r w:rsidR="00D759B5">
        <w:t xml:space="preserve"> </w:t>
      </w:r>
      <w:r w:rsidR="00D759B5" w:rsidRPr="0095510F">
        <w:t>for D121A or pS129</w:t>
      </w:r>
      <w:r w:rsidR="00D759B5">
        <w:t xml:space="preserve"> aSyn</w:t>
      </w:r>
      <w:r w:rsidR="0095510F" w:rsidRPr="0095510F">
        <w:t>. This is likely due to the vast array of conformations sampled by the protein leading to minimal structural changes using averaging measurement techniques such as NMR and HDX-MS. However, by perturbing the ensemble of conformations, as seen upon the addition of calcium, we could observe differences in CSPs and deuterium uptake upon calcium binding. By NMR</w:t>
      </w:r>
      <w:r w:rsidR="005F297F">
        <w:t>,</w:t>
      </w:r>
      <w:r w:rsidR="0095510F" w:rsidRPr="0095510F">
        <w:t xml:space="preserve"> we observe pS129 aSyn has a different calcium-binding region and displays no broadening in the NAC region compared to WT aSyn, while D121A has a higher degree of CSPs across the sequence, but also no NAC region broadening, suggesting long-range interactions with the NAC region in both these </w:t>
      </w:r>
      <w:r w:rsidR="00524DFA">
        <w:t>variants</w:t>
      </w:r>
      <w:r w:rsidR="00524DFA" w:rsidRPr="0095510F">
        <w:t xml:space="preserve"> </w:t>
      </w:r>
      <w:r w:rsidR="0095510F" w:rsidRPr="0095510F">
        <w:t xml:space="preserve">are altered before calcium binds. Broadening in the NAC region has been observed for WT aSyn when </w:t>
      </w:r>
      <w:r w:rsidR="0095510F" w:rsidRPr="0095510F">
        <w:lastRenderedPageBreak/>
        <w:t xml:space="preserve">bound to calcium </w:t>
      </w:r>
      <w:r w:rsidR="0095510F" w:rsidRPr="0095510F">
        <w:fldChar w:fldCharType="begin" w:fldLock="1"/>
      </w:r>
      <w:r w:rsidR="00373BC0">
        <w:instrText>ADDIN CSL_CITATION {"citationItems":[{"id":"ITEM-1","itemData":{"DOI":"10.1038/s41467-018-03111-4","ISSN":"20411723","abstract":"Alpha-synuclein is known to bind to small unilamellar vesicles (SUVs) via its N terminus, which forms an amphipathic alpha-helix upon membrane interaction. Here we show that calcium binds to the C terminus of alpha-synuclein, therewith increasing its lipid-binding capacity. Using CEST-NMR, we reveal that alpha-synuclein interacts with isolated synaptic vesicles with two regions, the N terminus, already known from studies on SUVs, and additionally via its C terminus, which is regulated by the binding of calcium. Indeed, dSTORM on synaptosomes shows that calcium mediates the localization of alpha-synuclein at the pre-synaptic terminal, and an imbalance in calcium or alpha-synuclein can cause synaptic vesicle clustering, as seen ex vivo and in vitro. This study provides a new view on the binding of alpha-synuclein to synaptic vesicles, which might also affect our understanding of synucleinopathies.","author":[{"dropping-particle":"","family":"Lautenschläger","given":"Janin","non-dropping-particle":"","parse-names":false,"suffix":""},{"dropping-particle":"","family":"Stephens","given":"Amberley D.","non-dropping-particle":"","parse-names":false,"suffix":""},{"dropping-particle":"","family":"Fusco","given":"Giuliana","non-dropping-particle":"","parse-names":false,"suffix":""},{"dropping-particle":"","family":"Ströhl","given":"Florian","non-dropping-particle":"","parse-names":false,"suffix":""},{"dropping-particle":"","family":"Curry","given":"Nathan","non-dropping-particle":"","parse-names":false,"suffix":""},{"dropping-particle":"","family":"Zacharopoulou","given":"Maria","non-dropping-particle":"","parse-names":false,"suffix":""},{"dropping-particle":"","family":"Michel","given":"Claire H.","non-dropping-particle":"","parse-names":false,"suffix":""},{"dropping-particle":"","family":"Laine","given":"Romain","non-dropping-particle":"","parse-names":false,"suffix":""},{"dropping-particle":"","family":"Nespovitaya","given":"Nadezhda","non-dropping-particle":"","parse-names":false,"suffix":""},{"dropping-particle":"","family":"Fantham","given":"Marcus","non-dropping-particle":"","parse-names":false,"suffix":""},{"dropping-particle":"","family":"Pinotsi","given":"Dorothea","non-dropping-particle":"","parse-names":false,"suffix":""},{"dropping-particle":"","family":"Zago","given":"Wagner","non-dropping-particle":"","parse-names":false,"suffix":""},{"dropping-particle":"","family":"Fraser","given":"Paul","non-dropping-particle":"","parse-names":false,"suffix":""},{"dropping-particle":"","family":"Tandon","given":"Anurag","non-dropping-particle":"","parse-names":false,"suffix":""},{"dropping-particle":"","family":"St George-Hyslop","given":"Peter","non-dropping-particle":"","parse-names":false,"suffix":""},{"dropping-particle":"","family":"Rees","given":"Eric","non-dropping-particle":"","parse-names":false,"suffix":""},{"dropping-particle":"","family":"Phillips","given":"Jonathan J.","non-dropping-particle":"","parse-names":false,"suffix":""},{"dropping-particle":"","family":"Simone","given":"Alfonso","non-dropping-particle":"De","parse-names":false,"suffix":""},{"dropping-particle":"","family":"Kaminski","given":"Clemens F.","non-dropping-particle":"","parse-names":false,"suffix":""},{"dropping-particle":"","family":"Schierle","given":"Gabriele S.Kaminski","non-dropping-particle":"","parse-names":false,"suffix":""}],"container-title":"Nature Communications","id":"ITEM-1","issue":"1","issued":{"date-parts":[["2018","12","19"]]},"page":"712","publisher":"Nature Publishing Group","title":"C-terminal calcium binding of α-synuclein modulates synaptic vesicle interaction","type":"article-journal","volume":"9"},"uris":["http://www.mendeley.com/documents/?uuid=5da06726-0802-3970-b05f-1380256f2e9a"]}],"mendeley":{"formattedCitation":"&lt;sup&gt;40&lt;/sup&gt;","plainTextFormattedCitation":"40","previouslyFormattedCitation":"&lt;sup&gt;40&lt;/sup&gt;"},"properties":{"noteIndex":0},"schema":"https://github.com/citation-style-language/schema/raw/master/csl-citation.json"}</w:instrText>
      </w:r>
      <w:r w:rsidR="0095510F" w:rsidRPr="0095510F">
        <w:fldChar w:fldCharType="separate"/>
      </w:r>
      <w:r w:rsidR="00373BC0" w:rsidRPr="00373BC0">
        <w:rPr>
          <w:noProof/>
          <w:vertAlign w:val="superscript"/>
        </w:rPr>
        <w:t>40</w:t>
      </w:r>
      <w:r w:rsidR="0095510F" w:rsidRPr="0095510F">
        <w:fldChar w:fldCharType="end"/>
      </w:r>
      <w:r w:rsidR="0095510F" w:rsidRPr="0095510F">
        <w:t xml:space="preserve"> and at low pH, suggesting enhanced interactions between the charge neutralised calcium binding C-terminus and the NAC region </w:t>
      </w:r>
      <w:r w:rsidR="0095510F" w:rsidRPr="0095510F">
        <w:fldChar w:fldCharType="begin" w:fldLock="1"/>
      </w:r>
      <w:r w:rsidR="00805857">
        <w:instrText>ADDIN CSL_CITATION {"citationItems":[{"id":"ITEM-1","itemData":{"DOI":"10.1002/pro.149","ISBN":"1469-896X (Electronic)","ISSN":"09618368","PMID":"19475665","abstract":"Alpha-synuclein (alphaS) is the primary component of Lewy bodies, the pathological hallmark of Parkinson's Disease. Aggregation of alphaS is thought to proceed from a primarily disordered state with nascent secondary structure through intermediate conformations to oligomeric forms and finally to mature amyloid fibrils. Low pH conditions lead to conformational changes associated with increased alphaS fibril formation. Here we characterize these structural and dynamic changes using solution state NMR measurements of secondary chemical shifts, relaxation parameters, residual dipolar couplings, and paramagnetic relaxation enhancement. We find that the neutralization of negatively charged side-chains eliminates electrostatic repulsion in the C-terminal tail of alphaS and leads to a collapse of this region at low pH. Hydrophobic contacts between the compact C-terminal tail and the NAC (non-amyloid-beta component) region are maintained and may lead to the formation of a globular domain. Transient long-range contacts between the C-terminus of the protein and regions N-terminal to the NAC region are also preserved. Thus, the release of long-range contacts does not play a role in the increased aggregation of alphaS at low pH, which we instead attribute to the increased hydrophobicity of the protein.","author":[{"dropping-particle":"","family":"McClendon","given":"Sebastian","non-dropping-particle":"","parse-names":false,"suffix":""},{"dropping-particle":"","family":"Rospigliosi","given":"Carla C","non-dropping-particle":"","parse-names":false,"suffix":""},{"dropping-particle":"","family":"Eliezer","given":"David","non-dropping-particle":"","parse-names":false,"suffix":""}],"container-title":"Protein Science","id":"ITEM-1","issue":"7","issued":{"date-parts":[["2009","7"]]},"page":"1531-1540","publisher":"Wiley-Blackwell","title":"Charge neutralization and collapse of the C-terminal tail of alpha-synuclein at low pH","type":"article-journal","volume":"18"},"uris":["http://www.mendeley.com/documents/?uuid=66aef6dc-b8dc-3cff-9a5c-bd72ef95831e"]}],"mendeley":{"formattedCitation":"&lt;sup&gt;22&lt;/sup&gt;","plainTextFormattedCitation":"22","previouslyFormattedCitation":"&lt;sup&gt;22&lt;/sup&gt;"},"properties":{"noteIndex":0},"schema":"https://github.com/citation-style-language/schema/raw/master/csl-citation.json"}</w:instrText>
      </w:r>
      <w:r w:rsidR="0095510F" w:rsidRPr="0095510F">
        <w:fldChar w:fldCharType="separate"/>
      </w:r>
      <w:r w:rsidR="0095510F" w:rsidRPr="0095510F">
        <w:rPr>
          <w:noProof/>
          <w:vertAlign w:val="superscript"/>
        </w:rPr>
        <w:t>22</w:t>
      </w:r>
      <w:r w:rsidR="0095510F" w:rsidRPr="0095510F">
        <w:fldChar w:fldCharType="end"/>
      </w:r>
      <w:r w:rsidR="0095510F" w:rsidRPr="0095510F">
        <w:t xml:space="preserve">. </w:t>
      </w:r>
    </w:p>
    <w:p w14:paraId="3552F04E" w14:textId="48D30F9B" w:rsidR="00D578E9" w:rsidRDefault="0095510F" w:rsidP="00B30F4B">
      <w:pPr>
        <w:spacing w:line="360" w:lineRule="auto"/>
        <w:jc w:val="both"/>
      </w:pPr>
      <w:r w:rsidRPr="0095510F">
        <w:t xml:space="preserve">Regarding </w:t>
      </w:r>
      <w:proofErr w:type="spellStart"/>
      <w:r w:rsidRPr="0095510F">
        <w:t>aSyn’s</w:t>
      </w:r>
      <w:proofErr w:type="spellEnd"/>
      <w:r w:rsidRPr="0095510F">
        <w:t xml:space="preserve"> propensity to aggregate, we observe, using HDX-MS, that the N-terminus of pS129 aSyn is not solvent exposed upon calcium binding, whereas for D121A aSyn, although the N-terminus is slightly exposed, is significantly less exposed compared to WT aSyn upon calcium binding, </w:t>
      </w:r>
      <w:r w:rsidR="00A7269E">
        <w:t>which is correlated</w:t>
      </w:r>
      <w:r w:rsidR="00A7269E" w:rsidRPr="0095510F">
        <w:t xml:space="preserve"> </w:t>
      </w:r>
      <w:r w:rsidR="005F297F">
        <w:t>with</w:t>
      </w:r>
      <w:r w:rsidR="005F297F" w:rsidRPr="0095510F">
        <w:t xml:space="preserve"> </w:t>
      </w:r>
      <w:r w:rsidRPr="0095510F">
        <w:t xml:space="preserve">the decreased aggregation propensity of both D121A and pS129 aSyn. Previous HDX-MS studies have suggested that the N-terminus of aSyn may be involved in aggregation as there is heterogeneity in its solvent exposure during aggregation, while the C-terminus remains completely solvent exposed </w:t>
      </w:r>
      <w:r w:rsidRPr="0095510F">
        <w:fldChar w:fldCharType="begin" w:fldLock="1"/>
      </w:r>
      <w:r w:rsidR="00373BC0">
        <w:instrText>ADDIN CSL_CITATION {"citationItems":[{"id":"ITEM-1","itemData":{"DOI":"10.1021/acschemneuro.8b00052","ISSN":"19487193","abstract":"α-Synuclein (aS) forms toxic intermediates ranging from small oligomers and protofibrils to large amyloid fibrils. Understanding the time course of aS fibril formation and the role played by its regions is critical for therapeutic intervention. Here, we used pulsed hydrogen–deuterium exchange and mass spectrometry (HDX-MS) for the first time to probe kinetic intermediates of the full aS aggregation in vitro, achieving kinetic snapshots containing spatially resolved protein information about critical stages. Monitoring the resultant mass shifts shows distinct binomial abundances for two main exchange profiles: one that represents a fast-exchanging, solvent-accessible species and another with a more protected nature. We show using a series of proteolytic peptides from the full protein that self-association is most pronounced in the non-amyloid-β-component region and less so for either terminus. The N-terminus, however, shows a minor protected population at mid- and late times, whereas the C-terminus shows p...","author":[{"dropping-particle":"","family":"Illes-Toth","given":"Eva","non-dropping-particle":"","parse-names":false,"suffix":""},{"dropping-particle":"","family":"Rempel","given":"Don L.","non-dropping-particle":"","parse-names":false,"suffix":""},{"dropping-particle":"","family":"Gross","given":"Michael L.","non-dropping-particle":"","parse-names":false,"suffix":""}],"container-title":"ACS Chemical Neuroscience","id":"ITEM-1","issue":"6","issued":{"date-parts":[["2018"]]},"page":"1469-1476","title":"Pulsed Hydrogen-Deuterium Exchange Illuminates the Aggregation Kinetics of α-Synuclein, the Causative Agent for Parkinson's Disease","type":"article-journal","volume":"9"},"uris":["http://www.mendeley.com/documents/?uuid=e8bc7923-4e03-30ae-808b-f36345581c5b"]},{"id":"ITEM-2","itemData":{"DOI":"10.1073/pnas.0507405102","ISBN":"0507405102","ISSN":"0027-8424","PMID":"16223878","abstract":"The structure of alpha-synuclein (alpha-syn) amyloid was studied by hydrogen-deuterium exchange by using a fragment separation-MS analysis. The conditions used made it possible to distinguish the exchange of unprotected and protected amide hydrogens and to define the order/disorder boundaries at close to amino acid resolution. The soluble alpha-syn monomer exchanges its amide hydrogens with water hydrogens at random coil rates, consistent with its natively unstructured condition. In assembled amyloid, long N-terminal and C-terminal segments remain unprotected (residues 1- approximately 38 and 102-140), although the N-terminal segment shows some heterogeneity. A continuous middle segment (residues approximately 39-101) is strongly protected by systematically H-bonded cross-beta structure. This segment is much too long to fit the amyloid ribbon width, but non-H-bonded amides expected for direction-changing loops are not apparent. These results and other known constraints specify that alpha-syn amyloid adopts a chain fold like that suggested before for amyloid-beta [Petkova et al. (2002) Proc. Natl. Acad Sci. USA 99, 16742-16747] but with a short, H-bonded interlamina turn. More generally, we suggest that the prevalence of accidental amyloid formation derives mainly from the exceptional ability of the main chain in a structurally relaxed beta-conformation to adapt to and energy-minimize side-chain mismatching. Seeding specificity, strain variability, and species barriers then arise because newly added parallel in-register chains must faithfully reproduce the same set of adaptations.","author":[{"dropping-particle":"","family":"Mar","given":"Charyl","non-dropping-particle":"Del","parse-names":false,"suffix":""},{"dropping-particle":"","family":"Greenbaum","given":"Eric A","non-dropping-particle":"","parse-names":false,"suffix":""},{"dropping-particle":"","family":"Mayne","given":"Leland","non-dropping-particle":"","parse-names":false,"suffix":""},{"dropping-particle":"","family":"Englander","given":"S Walter","non-dropping-particle":"","parse-names":false,"suffix":""},{"dropping-particle":"","family":"Woods","given":"Virgil L","non-dropping-particle":"","parse-names":false,"suffix":""}],"container-title":"Proceedings of the National Academy of Sciences of the United States of America","id":"ITEM-2","issue":"43","issued":{"date-parts":[["2005"]]},"page":"15477-82","title":"Structure and properties of alpha-synuclein and other amyloids determined at the amino acid level.","type":"article-journal","volume":"102"},"uris":["http://www.mendeley.com/documents/?uuid=d1a6d020-ccd4-3c39-addb-5b407e2fa7da"]},{"id":"ITEM-3","itemData":{"DOI":"10.1074/jbc.M117.795617","ISSN":"1083351X","PMID":"28760825","abstract":"© 2017 by The American Society for Biochemistry and Molecular Biology, Inc. The transition of intrinsically disordered, monomeric α-synuclein into β-sheet–rich oligomers and fibrils is associated with multiple neurodegenerative diseases. Fibrillar aggregates possessing distinct structures that differ in toxicity have been observed in different pathological phenotypes. Understanding the mechanism of the formation of various fibril polymorphs with differing cytotoxic effects is essential for determining how the aggregation reaction could be modulated to favor nontoxic fibrils over toxic fibrils. In this study, two morphologically different -synuclein fibrils, one helical and the other ribbon-like, are shown to form together. Surprisingly, a widely used small molecule for probing aggregation reactions, thioflavin T (ThT), was found to tune the structural heterogeneity found in the fibrils. The ribbon-like fibrils formed in the presence of ThT were found to have a longer structural core than the helical fibrils formed in the absence of ThT. The ribbon-like fibrils are also more toxic to cells. By facilitating the formation of ribbon-like fibrils over helical fibrils, ThT reduced the extent of fibril polymorphism. This study highlights the role of a small molecule such as ThT in selectively favoring the formation of a specific type of fibril by binding to aggregates formed early on one of multiple pathways, thereby altering the structural core and external morphology of the fibrils formed.","author":[{"dropping-particle":"","family":"Kumar","given":"Harish","non-dropping-particle":"","parse-names":false,"suffix":""},{"dropping-particle":"","family":"Singh","given":"Jogender","non-dropping-particle":"","parse-names":false,"suffix":""},{"dropping-particle":"","family":"Kumari","given":"Pratibha","non-dropping-particle":"","parse-names":false,"suffix":""},{"dropping-particle":"","family":"Udgaonkar","given":"Jayant B","non-dropping-particle":"","parse-names":false,"suffix":""}],"container-title":"Journal of Biological Chemistry","id":"ITEM-3","issue":"41","issued":{"date-parts":[["2017","10","13"]]},"page":"16891-16903","publisher":"American Society for Biochemistry and Molecular Biology","title":"Modulation of the extent of structural heterogeneity in α-synuclein fibrils by the small molecule thioflavin T","type":"article-journal","volume":"292"},"uris":["http://www.mendeley.com/documents/?uuid=8120723b-8e16-38e9-b1bb-0e6fe05fbc13"]},{"id":"ITEM-4","itemData":{"DOI":"10.1002/anie.201400491","ISSN":"14337851","author":[{"dropping-particle":"","family":"Paslawski","given":"Wojciech","non-dropping-particle":"","parse-names":false,"suffix":""},{"dropping-particle":"","family":"Mysling","given":"Simon","non-dropping-particle":"","parse-names":false,"suffix":""},{"dropping-particle":"","family":"Thomsen","given":"Karen","non-dropping-particle":"","parse-names":false,"suffix":""},{"dropping-particle":"","family":"Jørgensen","given":"Thomas J. D.","non-dropping-particle":"","parse-names":false,"suffix":""},{"dropping-particle":"","family":"Otzen","given":"Daniel E.","non-dropping-particle":"","parse-names":false,"suffix":""}],"container-title":"Angewandte Chemie International Edition","id":"ITEM-4","issue":"29","issued":{"date-parts":[["2014","7","14"]]},"page":"7560-7563","publisher":"WILEY‐VCH Verlag","title":"Co-existence of Two Different α-Synuclein Oligomers with Different Core Structures Determined by Hydrogen/Deuterium Exchange Mass Spectrometry","type":"article-journal","volume":"53"},"uris":["http://www.mendeley.com/documents/?uuid=e725392b-13db-39a9-b0ad-c7e05151e115"]}],"mendeley":{"formattedCitation":"&lt;sup&gt;53–56&lt;/sup&gt;","plainTextFormattedCitation":"53–56","previouslyFormattedCitation":"&lt;sup&gt;53–56&lt;/sup&gt;"},"properties":{"noteIndex":0},"schema":"https://github.com/citation-style-language/schema/raw/master/csl-citation.json"}</w:instrText>
      </w:r>
      <w:r w:rsidRPr="0095510F">
        <w:fldChar w:fldCharType="separate"/>
      </w:r>
      <w:r w:rsidR="00373BC0" w:rsidRPr="00373BC0">
        <w:rPr>
          <w:noProof/>
          <w:vertAlign w:val="superscript"/>
        </w:rPr>
        <w:t>53–56</w:t>
      </w:r>
      <w:r w:rsidRPr="0095510F">
        <w:fldChar w:fldCharType="end"/>
      </w:r>
      <w:r w:rsidRPr="0095510F">
        <w:t>. Yet</w:t>
      </w:r>
      <w:r w:rsidR="00A7269E">
        <w:t>,</w:t>
      </w:r>
      <w:r w:rsidRPr="0095510F">
        <w:t xml:space="preserve"> we show</w:t>
      </w:r>
      <w:r w:rsidR="00A7269E">
        <w:t xml:space="preserve"> here that</w:t>
      </w:r>
      <w:r w:rsidRPr="0095510F">
        <w:t xml:space="preserve"> it is the extent of N-terminus exposure that influences aggregation propensity. Importantly, for monomeric aSyn we </w:t>
      </w:r>
      <w:r w:rsidRPr="0095510F">
        <w:rPr>
          <w:i/>
        </w:rPr>
        <w:t>only</w:t>
      </w:r>
      <w:r w:rsidRPr="0095510F">
        <w:t xml:space="preserve"> observe N-terminus exposure upon disruption of long-range interactions with the C-terminus upon calcium binding. The C-terminus thus greatly influences aggregation propensity, as it is important in maintaining long range interactions and solubility of monomeric aSyn </w:t>
      </w:r>
      <w:r w:rsidRPr="0095510F">
        <w:fldChar w:fldCharType="begin" w:fldLock="1"/>
      </w:r>
      <w:r w:rsidR="00373BC0">
        <w:instrText>ADDIN CSL_CITATION {"citationItems":[{"id":"ITEM-1","itemData":{"DOI":"10.1073/pnas.0407146102","ISBN":"0027-8424","ISSN":"00278424","PMID":"15671169","abstract":"In idiopathic Parkinson's disease, intracytoplasmic neuronal inclusions (Lewy bodies) containing aggregates of the protein alpha-synuclein (alphaS) are deposited in the pigmented nuclei of the brainstem. The mechanisms underlying the structural transition of innocuous, presumably natively unfolded, alphaS to neurotoxic forms are largely unknown. Using paramagnetic relaxation enhancement and NMR dipolar couplings, we show that monomeric alphaS assumes conformations that are stabilized by long-range interactions and act to inhibit oligomerization and aggregation. The autoinhibitory conformations fluctuate in the range of nanoseconds to micro-seconds corresponding to the time scale of secondary structure formation during folding. Polyamine binding and/or temperature increase, conditions that induce aggregation in vitro, release this inherent tertiary structure, leading to a completely unfolded conformation that associates readily. Stabilization of the native, autoinhibitory structure of alphaS constitutes a potential strategy for reducing or inhibiting oligomerization and aggregation in Parkinson's disease.","author":[{"dropping-particle":"","family":"Bertoncini","given":"Carlos W.","non-dropping-particle":"","parse-names":false,"suffix":""},{"dropping-particle":"","family":"Jung","given":"Young Sang","non-dropping-particle":"","parse-names":false,"suffix":""},{"dropping-particle":"","family":"Fernandez","given":"Claudio O.","non-dropping-particle":"","parse-names":false,"suffix":""},{"dropping-particle":"","family":"Hoyer","given":"Wolfgang","non-dropping-particle":"","parse-names":false,"suffix":""},{"dropping-particle":"","family":"Griesinger","given":"Christian","non-dropping-particle":"","parse-names":false,"suffix":""},{"dropping-particle":"","family":"Jovin","given":"Thomas M.","non-dropping-particle":"","parse-names":false,"suffix":""},{"dropping-particle":"","family":"Zweckstetter","given":"Markus","non-dropping-particle":"","parse-names":false,"suffix":""}],"container-title":"Proceedings of the National Academy of Sciences of the United States of America","id":"ITEM-1","issue":"5","issued":{"date-parts":[["2005","2","1"]]},"page":"1430-1435","publisher":"National Academy of Sciences","title":"Release of long-range tertiary interactions potentiates aggregation of natively unstructured α-synuclein","type":"article-journal","volume":"102"},"uris":["http://www.mendeley.com/documents/?uuid=182ab20f-f52a-31ed-a33b-ff389ef91dbe"]},{"id":"ITEM-2","itemData":{"DOI":"10.1021/bi027363r","ISBN":"0006-2960 (Print)","ISSN":"00062960","PMID":"12859200","abstract":"Alpha-synuclein (alpha-syn) is the major component of intracellular inclusions in several neurodegenerative diseases, and the conversion of soluble alpha-syn into filamentous aggregates may contribute to disease pathogenesis. Since mechanisms leading to the formation of alpha-syn inclusions are unclear, in vitro models of alpha-syn aggregation may yield insights into this process. To that end, we examined the consequences on the progressive deletion of the carboxy-terminus of alpha-syn in regulating fibril formation, and we show here that carboxy-terminal truncated alpha-syn proteins aggregate faster than the full-length molecule. Protease digestion and immunoelectron microscopy indicate that the alpha-syn amino- and carboxy-termini are more solvent exposed than the central core and that filaments formed from carboxy-terminal truncated alpha-syn are narrower in diameter than the full-length molecule. Moreover, seeding experiments under conditions where full-length alpha-syn did not readily aggregate revealed that carboxy-truncated alpha-syn extending from amino acids 1-102 and 1-110 but not 1-120 were efficient in seeding full-length alpha-syn aggregation over a range of concentrations. Using site-directed mutagenesis, the negatively charged residues 104, 105 and 114, 115 in the carboxy-terminus were implicated in this reduced aggregation and the lack of seeding of full-length alpha-syn fibrillogenesis by 1-120. Our data support the view that the middle region of alpha-syn forms the core of alpha-syn filaments and that negative charges in the carboxy-terminus counteract alpha-syn aggregation. Thus, the carboxy-terminus of alpha-syn may regulate aggregation of full-length alpha-syn and determine the diameter of alpha-syn filaments.","author":[{"dropping-particle":"","family":"Murray","given":"Ian V J","non-dropping-particle":"","parse-names":false,"suffix":""},{"dropping-particle":"","family":"Giasson","given":"Benoit I","non-dropping-particle":"","parse-names":false,"suffix":""},{"dropping-particle":"","family":"Quinn","given":"Shawn M","non-dropping-particle":"","parse-names":false,"suffix":""},{"dropping-particle":"","family":"Koppaka","given":"Vishwanath","non-dropping-particle":"","parse-names":false,"suffix":""},{"dropping-particle":"","family":"Axelsen","given":"Paul H","non-dropping-particle":"","parse-names":false,"suffix":""},{"dropping-particle":"","family":"Ischiropoulos","given":"Harry","non-dropping-particle":"","parse-names":false,"suffix":""},{"dropping-particle":"","family":"Trojanowski","given":"John Q","non-dropping-particle":"","parse-names":false,"suffix":""},{"dropping-particle":"","family":"Lee","given":"Virginia M Y","non-dropping-particle":"","parse-names":false,"suffix":""}],"container-title":"Biochemistry","id":"ITEM-2","issue":"28","issued":{"date-parts":[["2003"]]},"page":"8530-8540","title":"Role of α-synuclein carboxy-terminus on fibril formation in vitro","type":"article-journal","volume":"42"},"uris":["http://www.mendeley.com/documents/?uuid=8a995700-970e-4af7-b9ef-000bafb34e5f"]}],"mendeley":{"formattedCitation":"&lt;sup&gt;57,58&lt;/sup&gt;","plainTextFormattedCitation":"57,58","previouslyFormattedCitation":"&lt;sup&gt;57,58&lt;/sup&gt;"},"properties":{"noteIndex":0},"schema":"https://github.com/citation-style-language/schema/raw/master/csl-citation.json"}</w:instrText>
      </w:r>
      <w:r w:rsidRPr="0095510F">
        <w:fldChar w:fldCharType="separate"/>
      </w:r>
      <w:r w:rsidR="00373BC0" w:rsidRPr="00373BC0">
        <w:rPr>
          <w:noProof/>
          <w:vertAlign w:val="superscript"/>
        </w:rPr>
        <w:t>57,58</w:t>
      </w:r>
      <w:r w:rsidRPr="0095510F">
        <w:fldChar w:fldCharType="end"/>
      </w:r>
      <w:r w:rsidRPr="0095510F">
        <w:t>. Many studies investigating the effect of the C-terminus, particularly its charge, on aSyn aggregation rates use C-terminus truncations which heavily disrupt and remove long-range interactions. Instead studying mutations of specific residues gives us further insight into the importance of sequence defined interactions. For instance mutation of proline</w:t>
      </w:r>
      <w:r w:rsidRPr="0095510F">
        <w:fldChar w:fldCharType="begin" w:fldLock="1"/>
      </w:r>
      <w:r w:rsidR="00373BC0">
        <w:instrText>ADDIN CSL_CITATION {"citationItems":[{"id":"ITEM-1","itemData":{"DOI":"10.1021/bi1010927","ISSN":"00062960","abstract":"The neuronal protein α-synuclein (α-syn) plays a central role in Parkinson's disease (PD). The pathological features of PD are the loss of dopaminergic neurons in the substantia nigra pars compacta and the presence of Lewy bodies. The C-terminal domain of α-syn is characterized by the presence of 15 acidic amino acids and all five proline residues of the protein (P108, P117, P120, P128, and P138). The aggregation of this natively unfolded protein is accelerated in vitro by FK506 binding proteins (FKBPs) showing peptidyl-prolyl cis-trans isomerase activity. These proteins catalyze the cis-trans conformational change of the X-Pro peptide bond, often a rate-limiting step in protein folding. The acceleration of the folding of α-syn by FKBPs may accelerate disease-associated aggregation. To further elucidate the role of the proline residues in the conformation and aggregation of α-syn, we constructed several mutants of α-syn in which one or more proline residues are mutated to alanine via site-directed mutagenesis. For this purpose, we produced and purified His-WT α-syn, a recombinant α-syn with a polyhistidine tag (six His residues) and a linker, and a number of Pro-to-Ala mutants. The aggregation kinetics of these mutants and His-WT α-syn were studied by turbidity, thioflavin T fluorescence, and CD measurements. We can conclude that mutation of the proline residues to alanine accelerates the aggregation kinetics of α-syn while all proline mutants formed fibrils similar to His-WT α-syn, as visualized via transmission electron microscopy. We also demonstrate that the accelerating effect of hFKBP12 is abolished via removal of the proline residues from the C-terminus. Finally, we show that the mutant of His α-syn with all five proline residues mutated to alanine is more structured (more α-helix) than His-WT α-syn, indicating the role of the Pro residues as potential helix breakers in the inhibitory conformation of the C-terminus.","author":[{"dropping-particle":"","family":"Meuvis","given":"Jessika","non-dropping-particle":"","parse-names":false,"suffix":""},{"dropping-particle":"","family":"Gerard","given":"Melanie","non-dropping-particle":"","parse-names":false,"suffix":""},{"dropping-particle":"","family":"Desender","given":"Linda","non-dropping-particle":"","parse-names":false,"suffix":""},{"dropping-particle":"","family":"Baekelandt","given":"Veerle","non-dropping-particle":"","parse-names":false,"suffix":""},{"dropping-particle":"","family":"Engelborghs","given":"Yves","non-dropping-particle":"","parse-names":false,"suffix":""}],"container-title":"Biochemistry","id":"ITEM-1","issue":"43","issued":{"date-parts":[["2010"]]},"page":"9345-9352","title":"The conformation and the aggregation kinetics of α-synuclein depend on the proline residues in its C-terminal region","type":"article-journal","volume":"49"},"uris":["http://www.mendeley.com/documents/?uuid=0eacc45c-6d6c-4624-93fb-cba224021f9d"]}],"mendeley":{"formattedCitation":"&lt;sup&gt;59&lt;/sup&gt;","plainTextFormattedCitation":"59","previouslyFormattedCitation":"&lt;sup&gt;59&lt;/sup&gt;"},"properties":{"noteIndex":0},"schema":"https://github.com/citation-style-language/schema/raw/master/csl-citation.json"}</w:instrText>
      </w:r>
      <w:r w:rsidRPr="0095510F">
        <w:fldChar w:fldCharType="separate"/>
      </w:r>
      <w:r w:rsidR="00373BC0" w:rsidRPr="00373BC0">
        <w:rPr>
          <w:noProof/>
          <w:vertAlign w:val="superscript"/>
        </w:rPr>
        <w:t>59</w:t>
      </w:r>
      <w:r w:rsidRPr="0095510F">
        <w:fldChar w:fldCharType="end"/>
      </w:r>
      <w:r w:rsidRPr="0095510F">
        <w:t xml:space="preserve"> , or glutamate</w:t>
      </w:r>
      <w:r w:rsidRPr="0095510F">
        <w:fldChar w:fldCharType="begin" w:fldLock="1"/>
      </w:r>
      <w:r w:rsidR="00373BC0">
        <w:instrText>ADDIN CSL_CITATION {"citationItems":[{"id":"ITEM-1","itemData":{"DOI":"10.1021/bi027363r","ISBN":"0006-2960 (Print)","ISSN":"00062960","PMID":"12859200","abstract":"Alpha-synuclein (alpha-syn) is the major component of intracellular inclusions in several neurodegenerative diseases, and the conversion of soluble alpha-syn into filamentous aggregates may contribute to disease pathogenesis. Since mechanisms leading to the formation of alpha-syn inclusions are unclear, in vitro models of alpha-syn aggregation may yield insights into this process. To that end, we examined the consequences on the progressive deletion of the carboxy-terminus of alpha-syn in regulating fibril formation, and we show here that carboxy-terminal truncated alpha-syn proteins aggregate faster than the full-length molecule. Protease digestion and immunoelectron microscopy indicate that the alpha-syn amino- and carboxy-termini are more solvent exposed than the central core and that filaments formed from carboxy-terminal truncated alpha-syn are narrower in diameter than the full-length molecule. Moreover, seeding experiments under conditions where full-length alpha-syn did not readily aggregate revealed that carboxy-truncated alpha-syn extending from amino acids 1-102 and 1-110 but not 1-120 were efficient in seeding full-length alpha-syn aggregation over a range of concentrations. Using site-directed mutagenesis, the negatively charged residues 104, 105 and 114, 115 in the carboxy-terminus were implicated in this reduced aggregation and the lack of seeding of full-length alpha-syn fibrillogenesis by 1-120. Our data support the view that the middle region of alpha-syn forms the core of alpha-syn filaments and that negative charges in the carboxy-terminus counteract alpha-syn aggregation. Thus, the carboxy-terminus of alpha-syn may regulate aggregation of full-length alpha-syn and determine the diameter of alpha-syn filaments.","author":[{"dropping-particle":"","family":"Murray","given":"Ian V J","non-dropping-particle":"","parse-names":false,"suffix":""},{"dropping-particle":"","family":"Giasson","given":"Benoit I","non-dropping-particle":"","parse-names":false,"suffix":""},{"dropping-particle":"","family":"Quinn","given":"Shawn M","non-dropping-particle":"","parse-names":false,"suffix":""},{"dropping-particle":"","family":"Koppaka","given":"Vishwanath","non-dropping-particle":"","parse-names":false,"suffix":""},{"dropping-particle":"","family":"Axelsen","given":"Paul H","non-dropping-particle":"","parse-names":false,"suffix":""},{"dropping-particle":"","family":"Ischiropoulos","given":"Harry","non-dropping-particle":"","parse-names":false,"suffix":""},{"dropping-particle":"","family":"Trojanowski","given":"John Q","non-dropping-particle":"","parse-names":false,"suffix":""},{"dropping-particle":"","family":"Lee","given":"Virginia M Y","non-dropping-particle":"","parse-names":false,"suffix":""}],"container-title":"Biochemistry","id":"ITEM-1","issue":"28","issued":{"date-parts":[["2003"]]},"page":"8530-8540","title":"Role of α-synuclein carboxy-terminus on fibril formation in vitro","type":"article-journal","volume":"42"},"uris":["http://www.mendeley.com/documents/?uuid=8a995700-970e-4af7-b9ef-000bafb34e5f"]}],"mendeley":{"formattedCitation":"&lt;sup&gt;58&lt;/sup&gt;","plainTextFormattedCitation":"58","previouslyFormattedCitation":"&lt;sup&gt;58&lt;/sup&gt;"},"properties":{"noteIndex":0},"schema":"https://github.com/citation-style-language/schema/raw/master/csl-citation.json"}</w:instrText>
      </w:r>
      <w:r w:rsidRPr="0095510F">
        <w:fldChar w:fldCharType="separate"/>
      </w:r>
      <w:r w:rsidR="00373BC0" w:rsidRPr="00373BC0">
        <w:rPr>
          <w:noProof/>
          <w:vertAlign w:val="superscript"/>
        </w:rPr>
        <w:t>58</w:t>
      </w:r>
      <w:r w:rsidRPr="0095510F">
        <w:fldChar w:fldCharType="end"/>
      </w:r>
      <w:r w:rsidRPr="0095510F">
        <w:t xml:space="preserve"> residues to alanine at the C-terminus increases aSyn aggregation propensity, yet mutation of tyrosine</w:t>
      </w:r>
      <w:r w:rsidRPr="0095510F">
        <w:fldChar w:fldCharType="begin" w:fldLock="1"/>
      </w:r>
      <w:r w:rsidR="00805857">
        <w:instrText>ADDIN CSL_CITATION {"citationItems":[{"id":"ITEM-1","itemData":{"DOI":"10.1016/j.bbadis.2008.07.004","ISSN":"09254439","abstract":"Substantial evidence suggests that the fibrillation of α-synuclein is a critical step in the development of Parkinson's disease. In vitro, α-synuclein forms fibrils with morphologies and a staining characteristic similar to those extracted from disease-affected brain. Monomeric α-synuclein is an intrinsically disordered protein, with three Tyr residues in the C-terminal region, one in the N-terminus, and lacking Trp. It is thought that interactions between the C-terminus and the central portion of the molecule may prevent or minimize aggregation/fibrillation. To test this hypothesis we examined the importance of the Tyr residues on the propensity for α-synuclein to fibrillate in vitro. Fibril formation of α-synuclein was completely inhibited, in the timescale over which measurements were made, by replacing the three C-terminal Tyr residues with Ala. In addition, substitution of Tyr133 by Ala also resulted in the absence of fibrillation, whereas the individual Y125A and Y136A mutants showed limited inhibition. Replacement of Tyr39 by Ala also resulted in substantial inhibition of fibrillation. Structural analysis showed that the Y133A mutant had a substantially different conformation, rich in α-helical secondary structure, as compared with the wild-type and other mutants, although the formation of any tertiary structure has not been observed as can be judged from near-UV-CD spectra. These observations suggest that the long-range intramolecular interactions between the N- and C-termini of α-synuclein are likely to be crucial to the fibrillation process. © 2008 Elsevier B.V. All rights reserved.","author":[{"dropping-particle":"","family":"Ulrih","given":"Nataša Poklar","non-dropping-particle":"","parse-names":false,"suffix":""},{"dropping-particle":"","family":"Barry","given":"Christopher H","non-dropping-particle":"","parse-names":false,"suffix":""},{"dropping-particle":"","family":"Fink","given":"Anthony L","non-dropping-particle":"","parse-names":false,"suffix":""}],"container-title":"Biochimica et Biophysica Acta - Molecular Basis of Disease","id":"ITEM-1","issue":"10","issued":{"date-parts":[["2008"]]},"page":"581-585","title":"Impact of Tyr to Ala mutations on α-synuclein fibrillation and structural properties","type":"article-journal","volume":"1782"},"uris":["http://www.mendeley.com/documents/?uuid=3ce9a747-af03-393f-80c3-32177db2572e"]}],"mendeley":{"formattedCitation":"&lt;sup&gt;27&lt;/sup&gt;","plainTextFormattedCitation":"27","previouslyFormattedCitation":"&lt;sup&gt;27&lt;/sup&gt;"},"properties":{"noteIndex":0},"schema":"https://github.com/citation-style-language/schema/raw/master/csl-citation.json"}</w:instrText>
      </w:r>
      <w:r w:rsidRPr="0095510F">
        <w:fldChar w:fldCharType="separate"/>
      </w:r>
      <w:r w:rsidRPr="0095510F">
        <w:rPr>
          <w:noProof/>
          <w:vertAlign w:val="superscript"/>
        </w:rPr>
        <w:t>27</w:t>
      </w:r>
      <w:r w:rsidRPr="0095510F">
        <w:fldChar w:fldCharType="end"/>
      </w:r>
      <w:r w:rsidRPr="0095510F">
        <w:t xml:space="preserve"> residues to alanine decreases aSyn aggregation propensity. Even phosphorylation of S129 compared to Y125 aSyn (only 4 </w:t>
      </w:r>
      <w:r w:rsidR="00C060C7">
        <w:t>residues</w:t>
      </w:r>
      <w:r w:rsidRPr="0095510F">
        <w:t xml:space="preserve"> apart) leads to differences in aggregation rates, as pY125 does not influence the aggregation rate when compared to WT aSyn </w:t>
      </w:r>
      <w:r w:rsidRPr="0095510F">
        <w:fldChar w:fldCharType="begin" w:fldLock="1"/>
      </w:r>
      <w:r w:rsidR="00373BC0">
        <w:instrText>ADDIN CSL_CITATION {"citationItems":[{"id":"ITEM-1","itemData":{"DOI":"10.1002/pro.3412","ISSN":"1469896X","abstract":"© 2018 The Protein Society Intracellular deposits of α-synuclein in the form of Lewy bodies are major hallmarks of Parkinson's disease (PD) and a range of related neurodegenerative disorders. Post-translational modifications (PTMs) of α-synuclein are increasingly thought to be major modulators of its structure, function, degradation and toxicity. Among these PTMs, phosphorylation near the C-terminus at S129 has emerged as a dominant pathogenic modification as it is consistently observed to occur within the brain and cerebrospinal fluid (CSF) of post-mortem PD patients, and its level appears to correlate with disease progression. Phosphorylation at the neighboring tyrosine residue Y125 has also been shown to protect against α-synuclein toxicity in a Drosophila model of PD. In the present study we address the potential roles of C-terminal phosphorylation in modulating the interaction of α-synuclein with other protein partners, using a single domain antibody fragment (NbSyn87) that binds to the C-terminal region of α-synuclein with nanomolar affinity. The results reveal that phosphorylation at S129 has negligible effect on the binding affinity of NbSyn87 to α-synuclein while phosphorylation at Y125, only four residues away, decreases the binding affinity by a factor of 400. These findings show that, despite the fact that α-synuclein is intrinsically disordered in solution, selective phosphorylation can modulate significantly its interactions with other molecules and suggest how this particular form of modification could play a key role in regulating the normal and aberrant function of α-synuclein.","author":[{"dropping-particle":"","family":"Turk","given":"Farah","non-dropping-particle":"El","parse-names":false,"suffix":""},{"dropping-particle":"","family":"Genst","given":"Erwin","non-dropping-particle":"De","parse-names":false,"suffix":""},{"dropping-particle":"","family":"Guilliams","given":"Tim","non-dropping-particle":"","parse-names":false,"suffix":""},{"dropping-particle":"","family":"Fauvet","given":"Bruno","non-dropping-particle":"","parse-names":false,"suffix":""},{"dropping-particle":"","family":"Hejjaoui","given":"Mirva","non-dropping-particle":"","parse-names":false,"suffix":""},{"dropping-particle":"","family":"Trani","given":"Justin","non-dropping-particle":"Di","parse-names":false,"suffix":""},{"dropping-particle":"","family":"Chiki","given":"Anass","non-dropping-particle":"","parse-names":false,"suffix":""},{"dropping-particle":"","family":"Mittermaier","given":"Anthony","non-dropping-particle":"","parse-names":false,"suffix":""},{"dropping-particle":"","family":"Vendruscolo","given":"Michele","non-dropping-particle":"","parse-names":false,"suffix":""},{"dropping-particle":"","family":"Lashuel","given":"Hilal A.","non-dropping-particle":"","parse-names":false,"suffix":""},{"dropping-particle":"","family":"Dobson","given":"Christopher M.","non-dropping-particle":"","parse-names":false,"suffix":""}],"container-title":"Protein Science","id":"ITEM-1","issue":"7","issued":{"date-parts":[["2018","7","1"]]},"page":"1262-1274","publisher":"Wiley-Blackwell","title":"Exploring the role of post-translational modifications in regulating α-synuclein interactions by studying the effects of phosphorylation on nanobody binding","type":"article-journal","volume":"27"},"uris":["http://www.mendeley.com/documents/?uuid=c468bce9-4044-327f-b057-e15b908890c8"]}],"mendeley":{"formattedCitation":"&lt;sup&gt;60&lt;/sup&gt;","plainTextFormattedCitation":"60","previouslyFormattedCitation":"&lt;sup&gt;60&lt;/sup&gt;"},"properties":{"noteIndex":0},"schema":"https://github.com/citation-style-language/schema/raw/master/csl-citation.json"}</w:instrText>
      </w:r>
      <w:r w:rsidRPr="0095510F">
        <w:fldChar w:fldCharType="separate"/>
      </w:r>
      <w:r w:rsidR="00373BC0" w:rsidRPr="00373BC0">
        <w:rPr>
          <w:noProof/>
          <w:vertAlign w:val="superscript"/>
        </w:rPr>
        <w:t>60</w:t>
      </w:r>
      <w:r w:rsidRPr="0095510F">
        <w:fldChar w:fldCharType="end"/>
      </w:r>
      <w:r w:rsidRPr="0095510F">
        <w:rPr>
          <w:lang w:val="en-US"/>
        </w:rPr>
        <w:t xml:space="preserve">, while pS129 reduces aggregation rates even in aSyn truncated at Y133 and D135 </w:t>
      </w:r>
      <w:r w:rsidRPr="0095510F">
        <w:rPr>
          <w:lang w:val="en-US"/>
        </w:rPr>
        <w:fldChar w:fldCharType="begin" w:fldLock="1"/>
      </w:r>
      <w:r w:rsidR="00373BC0">
        <w:rPr>
          <w:lang w:val="en-US"/>
        </w:rPr>
        <w:instrText>ADDIN CSL_CITATION {"citationItems":[{"id":"ITEM-1","itemData":{"ISSN":"0022-2836","author":[{"dropping-particle":"","family":"Levitan","given":"Katerina","non-dropping-particle":"","parse-names":false,"suffix":""},{"dropping-particle":"","family":"Chereau","given":"David","non-dropping-particle":"","parse-names":false,"suffix":""},{"dropping-particle":"","family":"Cohen","given":"Samuel I.A. A","non-dropping-particle":"","parse-names":false,"suffix":""},{"dropping-particle":"","family":"Knowles","given":"Tuomas P.J. J","non-dropping-particle":"","parse-names":false,"suffix":""},{"dropping-particle":"","family":"Dobson","given":"Christopher M.","non-dropping-particle":"","parse-names":false,"suffix":""},{"dropping-particle":"","family":"Fink","given":"Anthony L.","non-dropping-particle":"","parse-names":false,"suffix":""},{"dropping-particle":"","family":"Anderson","given":"John P.","non-dropping-particle":"","parse-names":false,"suffix":""},{"dropping-particle":"","family":"Goldstein","given":"Jason M.","non-dropping-particle":"","parse-names":false,"suffix":""},{"dropping-particle":"","family":"Millhauser","given":"Glenn L.","non-dropping-particle":"","parse-names":false,"suffix":""}],"container-title":"Journal of Molecular Biology","id":"ITEM-1","issue":"2","issued":{"date-parts":[["2011","8","12"]]},"page":"329-333","publisher":"Academic Press","title":"Conserved C-Terminal Charge Exerts a Profound Influence on the Aggregation Rate of α-Synuclein","type":"article-journal","volume":"411"},"uris":["http://www.mendeley.com/documents/?uuid=182f3191-a242-4dad-b04f-9e78d7c2b70f"]}],"mendeley":{"formattedCitation":"&lt;sup&gt;61&lt;/sup&gt;","plainTextFormattedCitation":"61","previouslyFormattedCitation":"&lt;sup&gt;61&lt;/sup&gt;"},"properties":{"noteIndex":0},"schema":"https://github.com/citation-style-language/schema/raw/master/csl-citation.json"}</w:instrText>
      </w:r>
      <w:r w:rsidRPr="0095510F">
        <w:rPr>
          <w:lang w:val="en-US"/>
        </w:rPr>
        <w:fldChar w:fldCharType="separate"/>
      </w:r>
      <w:r w:rsidR="00373BC0" w:rsidRPr="00373BC0">
        <w:rPr>
          <w:noProof/>
          <w:vertAlign w:val="superscript"/>
          <w:lang w:val="en-US"/>
        </w:rPr>
        <w:t>61</w:t>
      </w:r>
      <w:r w:rsidRPr="0095510F">
        <w:fldChar w:fldCharType="end"/>
      </w:r>
      <w:r w:rsidRPr="0095510F">
        <w:t xml:space="preserve">. pY125 aSyn also </w:t>
      </w:r>
      <w:r w:rsidR="00A7269E">
        <w:t>does not</w:t>
      </w:r>
      <w:r w:rsidR="00A7269E" w:rsidRPr="0095510F">
        <w:t xml:space="preserve"> </w:t>
      </w:r>
      <w:r w:rsidRPr="0095510F">
        <w:t xml:space="preserve">have </w:t>
      </w:r>
      <w:r w:rsidR="00A7269E">
        <w:t xml:space="preserve">an </w:t>
      </w:r>
      <w:r w:rsidRPr="0095510F">
        <w:t xml:space="preserve">altered binding capacity to C-terminus nanobodies nor an altered binding region of metals as pS129 aSyn does, indicating </w:t>
      </w:r>
      <w:r w:rsidR="00A7269E">
        <w:t xml:space="preserve">that there are </w:t>
      </w:r>
      <w:r w:rsidRPr="0095510F">
        <w:t>very site-specific functions and interactions present at the C-terminus which warrant further exploration</w:t>
      </w:r>
      <w:r w:rsidR="00C249C0">
        <w:t>.</w:t>
      </w:r>
      <w:r w:rsidR="00134BEF">
        <w:t xml:space="preserve"> </w:t>
      </w:r>
      <w:r w:rsidR="00C249C0">
        <w:t xml:space="preserve">It further </w:t>
      </w:r>
      <w:r w:rsidRPr="0095510F">
        <w:t>show</w:t>
      </w:r>
      <w:r w:rsidR="00C249C0">
        <w:t>s that</w:t>
      </w:r>
      <w:r w:rsidRPr="0095510F">
        <w:t xml:space="preserve"> sequence specific interactions are important in maintaining long-range interactions </w:t>
      </w:r>
      <w:r w:rsidRPr="0095510F">
        <w:fldChar w:fldCharType="begin" w:fldLock="1"/>
      </w:r>
      <w:r w:rsidR="00373BC0">
        <w:instrText>ADDIN CSL_CITATION {"citationItems":[{"id":"ITEM-1","itemData":{"DOI":"10.1002/pro.3412","ISSN":"1469896X","abstract":"© 2018 The Protein Society Intracellular deposits of α-synuclein in the form of Lewy bodies are major hallmarks of Parkinson's disease (PD) and a range of related neurodegenerative disorders. Post-translational modifications (PTMs) of α-synuclein are increasingly thought to be major modulators of its structure, function, degradation and toxicity. Among these PTMs, phosphorylation near the C-terminus at S129 has emerged as a dominant pathogenic modification as it is consistently observed to occur within the brain and cerebrospinal fluid (CSF) of post-mortem PD patients, and its level appears to correlate with disease progression. Phosphorylation at the neighboring tyrosine residue Y125 has also been shown to protect against α-synuclein toxicity in a Drosophila model of PD. In the present study we address the potential roles of C-terminal phosphorylation in modulating the interaction of α-synuclein with other protein partners, using a single domain antibody fragment (NbSyn87) that binds to the C-terminal region of α-synuclein with nanomolar affinity. The results reveal that phosphorylation at S129 has negligible effect on the binding affinity of NbSyn87 to α-synuclein while phosphorylation at Y125, only four residues away, decreases the binding affinity by a factor of 400. These findings show that, despite the fact that α-synuclein is intrinsically disordered in solution, selective phosphorylation can modulate significantly its interactions with other molecules and suggest how this particular form of modification could play a key role in regulating the normal and aberrant function of α-synuclein.","author":[{"dropping-particle":"","family":"Turk","given":"Farah","non-dropping-particle":"El","parse-names":false,"suffix":""},{"dropping-particle":"","family":"Genst","given":"Erwin","non-dropping-particle":"De","parse-names":false,"suffix":""},{"dropping-particle":"","family":"Guilliams","given":"Tim","non-dropping-particle":"","parse-names":false,"suffix":""},{"dropping-particle":"","family":"Fauvet","given":"Bruno","non-dropping-particle":"","parse-names":false,"suffix":""},{"dropping-particle":"","family":"Hejjaoui","given":"Mirva","non-dropping-particle":"","parse-names":false,"suffix":""},{"dropping-particle":"","family":"Trani","given":"Justin","non-dropping-particle":"Di","parse-names":false,"suffix":""},{"dropping-particle":"","family":"Chiki","given":"Anass","non-dropping-particle":"","parse-names":false,"suffix":""},{"dropping-particle":"","family":"Mittermaier","given":"Anthony","non-dropping-particle":"","parse-names":false,"suffix":""},{"dropping-particle":"","family":"Vendruscolo","given":"Michele","non-dropping-particle":"","parse-names":false,"suffix":""},{"dropping-particle":"","family":"Lashuel","given":"Hilal A.","non-dropping-particle":"","parse-names":false,"suffix":""},{"dropping-particle":"","family":"Dobson","given":"Christopher M.","non-dropping-particle":"","parse-names":false,"suffix":""}],"container-title":"Protein Science","id":"ITEM-1","issue":"7","issued":{"date-parts":[["2018","7","1"]]},"page":"1262-1274","publisher":"Wiley-Blackwell","title":"Exploring the role of post-translational modifications in regulating α-synuclein interactions by studying the effects of phosphorylation on nanobody binding","type":"article-journal","volume":"27"},"uris":["http://www.mendeley.com/documents/?uuid=c468bce9-4044-327f-b057-e15b908890c8"]},{"id":"ITEM-2","itemData":{"DOI":"10.1021/cn200074d","ISSN":"19487193","abstract":"α-Synuclein (α-syn) is a 140-amino acid protein that plays a central role in the pathogenesis of Parkinson's disease (PD) and other synucleinopathies. However, the molecular determinants that are responsible for triggering and/or propagating α-syn aggregation and toxicity remain poorly understood. Several studies have suggested that there are direct interactions between different metals and α-syn, but the role of metal ions and α-syn in the pathogenesis of PD is not firmly established. Interestingly, the majority of disease-associated post-translational modifications (PTMs) (e.g., truncation, phosphorylation, and nitration) of α-syn occur at residues within the C-terminal region (Y125, S129, Y133, and Y136) and in very close proximity to the putative metal binding sites. Therefore, we hypothesized that phosphorylation within this domain could influence the α-syn-metal interactions. In this paper, we sought to map the interactions between the di- and trivalent cations, Cu(II), Pb(II), Fe(II), and Fe(III), and the C-terminal region of α-syn encompassing residues 107-140 and to determine how phosphorylation at S129 or Y125 alters the specificity and binding affinity of metals using electrospray ionization-mass spectrometry (ESI-MS) and fluorescence spectroscopy. We demonstrate that D115-M116 and P128-S129 act as additional Cu(II) binding sites and show for the first time that the residues P128-S129 and D119 are also involved in Pb(II) and Fe(II) coordination, although D119 is not essential for binding to Fe(II) and Pb(II). Furthermore, we demonstrate that phosphorylation at either Y125 or S129 increases the binding affinity of Cu(II), Pb(II), and Fe(II), but not Fe(III). Additionally, we also show that phosphorylations at these residues lead to a shift in the binding sites of metal ions from the N-terminus to the C-teminus. Together, our findings provide critical insight into and expand our understanding of the molecular and structural bases underlying the interactions between α-syn and metal ions, including the identification of novel metal binding sites, and highlight the potential importance of cross-talk between post-translational modifications and metal ion binding in modulating α-syn functional and aggregation properties that are regulated by its C-terminal domain.","author":[{"dropping-particle":"","family":"Lu","given":"Yu","non-dropping-particle":"","parse-names":false,"suffix":""},{"dropping-particle":"","family":"Prudent","given":"Michel","non-dropping-particle":"","parse-names":false,"suffix":""},{"dropping-particle":"","family":"Fauvet","given":"Bruno","non-dropping-particle":"","parse-names":false,"suffix":""},{"dropping-particle":"","family":"Lashuel","given":"Hilal A","non-dropping-particle":"","parse-names":false,"suffix":""},{"dropping-particle":"","family":"Girault","given":"Hubert H","non-dropping-particle":"","parse-names":false,"suffix":""}],"container-title":"ACS Chemical Neuroscience","id":"ITEM-2","issue":"11","issued":{"date-parts":[["2011"]]},"page":"667-675","title":"Phosphorylation of α-synuclein at Y125 and S129 alters its metal binding properties: Implications for understanding the role of α-synuclein in the pathogenesis of Parkinson's disease and related disorders","type":"article-journal","volume":"2"},"uris":["http://www.mendeley.com/documents/?uuid=8e03fa37-01e3-3b50-811f-ca255121375e"]}],"mendeley":{"formattedCitation":"&lt;sup&gt;42,60&lt;/sup&gt;","plainTextFormattedCitation":"42,60","previouslyFormattedCitation":"&lt;sup&gt;42,60&lt;/sup&gt;"},"properties":{"noteIndex":0},"schema":"https://github.com/citation-style-language/schema/raw/master/csl-citation.json"}</w:instrText>
      </w:r>
      <w:r w:rsidRPr="0095510F">
        <w:fldChar w:fldCharType="separate"/>
      </w:r>
      <w:r w:rsidR="00373BC0" w:rsidRPr="00373BC0">
        <w:rPr>
          <w:noProof/>
          <w:vertAlign w:val="superscript"/>
        </w:rPr>
        <w:t>42,60</w:t>
      </w:r>
      <w:r w:rsidRPr="0095510F">
        <w:fldChar w:fldCharType="end"/>
      </w:r>
      <w:r w:rsidRPr="0095510F">
        <w:t xml:space="preserve">. Although D121A aSyn is not a naturally occurring mutation, by comparing it to pS129, we can explore how altering long-range interactions of monomeric aSyn at the C-terminus by mutation or PTM and variation of the local environment, e.g. addition of calcium, leads to altered interactions with the NAC region and different levels of solvent exposure at the N-terminus. </w:t>
      </w:r>
      <w:r w:rsidR="00C249C0">
        <w:t>Our results highlight that</w:t>
      </w:r>
      <w:r w:rsidR="00C249C0" w:rsidRPr="0095510F">
        <w:t xml:space="preserve"> </w:t>
      </w:r>
      <w:r w:rsidRPr="0095510F">
        <w:t xml:space="preserve">both sequence and environment are important in determining </w:t>
      </w:r>
      <w:proofErr w:type="spellStart"/>
      <w:r w:rsidRPr="0095510F">
        <w:t>aSyn’s</w:t>
      </w:r>
      <w:proofErr w:type="spellEnd"/>
      <w:r w:rsidRPr="0095510F">
        <w:t xml:space="preserve"> aggregation propensity.</w:t>
      </w:r>
    </w:p>
    <w:p w14:paraId="6506A945" w14:textId="32318755" w:rsidR="009C0E1E" w:rsidRDefault="009C0E1E" w:rsidP="00B30F4B">
      <w:pPr>
        <w:spacing w:line="360" w:lineRule="auto"/>
        <w:jc w:val="both"/>
      </w:pPr>
    </w:p>
    <w:p w14:paraId="50293E27" w14:textId="6126E3B6" w:rsidR="002520A5" w:rsidRDefault="00363F53" w:rsidP="002520A5">
      <w:pPr>
        <w:pStyle w:val="NoSpacing"/>
        <w:spacing w:line="360" w:lineRule="auto"/>
        <w:jc w:val="both"/>
      </w:pPr>
      <w:r w:rsidRPr="00363F53">
        <w:t xml:space="preserve">While all familial aSyn point mutations reside at the N-terminus, the putative calcium binding site is at the C-terminus </w:t>
      </w:r>
      <w:r w:rsidRPr="00363F53">
        <w:fldChar w:fldCharType="begin" w:fldLock="1"/>
      </w:r>
      <w:r w:rsidR="00373BC0">
        <w:instrText>ADDIN CSL_CITATION {"citationItems":[{"id":"ITEM-1","itemData":{"DOI":"10.1074/jbc.M101181200","ISBN":"4586131160","ISSN":"00219258","abstract":"[alpha] -Synuclein is a protein normally involved in presynaptic vesicle homeostasis. It participates in the development of Parkinson's disease, in which the nerve cell lesions, Lewy bodies, accumulate [alpha]-synuclein filaments. The synaptic neurotransmitter release is primarily dependent on Ca2+-regulated processes. A microdialysis technique was applied showing that [alpha]-synuclein binds Ca2+ with an IC50 of about 2-300 {micro}M and in a reaction uninhibited by a 50-fold excess of Mg2+. The Ca2+-binding site consists of a novel C-terminally localized acidic 32-amino acid domain also present in the homologue [beta]-synuclein, as shown by Ca2+ binding to truncated recombinant and synthetic [alpha]-synuclein peptides. Ca2+ binding affects the functional properties of [alpha]-synuclein. First, the ligand binding of 125I-labeled bovine microtubule-associated protein 1A is stimulated by Ca2+ ions in the 1-500 {micro}M range and is dependent on an intact Ca2+ binding site in [alpha]-synuclein. Second, the Ca2+ binding stimulates the proportion of 125I-[alpha]-synuclein-containing oligomers. This suggests that Ca2+ ions may both participate in normal [alpha]-synuclein functions in the nerve terminal and exercise pathological effects involved in the formation of Lewy bodies.","author":[{"dropping-particle":"","family":"Nielsen","given":"Morten Schallburg","non-dropping-particle":"","parse-names":false,"suffix":""},{"dropping-particle":"","family":"Vorum","given":"Henrik","non-dropping-particle":"","parse-names":false,"suffix":""},{"dropping-particle":"","family":"Lindersson","given":"Evo","non-dropping-particle":"","parse-names":false,"suffix":""},{"dropping-particle":"","family":"Jensen","given":"Poul Henning","non-dropping-particle":"","parse-names":false,"suffix":""}],"container-title":"Journal of Biological Chemistry","id":"ITEM-1","issue":"25","issued":{"date-parts":[["2001"]]},"page":"22680-22684","title":"Ca2+ Binding to ??-Synuclein Regulates Ligand Binding and Oligomerization","type":"article-journal","volume":"276"},"uris":["http://www.mendeley.com/documents/?uuid=5b11419a-0d32-4797-9871-e83d3607ceb6","http://www.mendeley.com/documents/?uuid=caf9ab7b-1dad-4198-ab41-8d63bbe0f2e4"]}],"mendeley":{"formattedCitation":"&lt;sup&gt;62&lt;/sup&gt;","plainTextFormattedCitation":"62","previouslyFormattedCitation":"&lt;sup&gt;62&lt;/sup&gt;"},"properties":{"noteIndex":0},"schema":"https://github.com/citation-style-language/schema/raw/master/csl-citation.json"}</w:instrText>
      </w:r>
      <w:r w:rsidRPr="00363F53">
        <w:fldChar w:fldCharType="separate"/>
      </w:r>
      <w:r w:rsidR="00373BC0" w:rsidRPr="00373BC0">
        <w:rPr>
          <w:noProof/>
          <w:vertAlign w:val="superscript"/>
        </w:rPr>
        <w:t>62</w:t>
      </w:r>
      <w:r w:rsidRPr="00363F53">
        <w:fldChar w:fldCharType="end"/>
      </w:r>
      <w:r w:rsidRPr="00363F53">
        <w:t xml:space="preserve">. Certainly, the presence of a familial aSyn mutation has been shown to alter </w:t>
      </w:r>
      <w:r w:rsidRPr="00363F53">
        <w:lastRenderedPageBreak/>
        <w:t xml:space="preserve">interactions between the mutation site and the C-terminus by NMR compared to WT aSyn, with varying differences apparent for each aSyn mutant in both physiological and mildly acidic conditions </w:t>
      </w:r>
      <w:r w:rsidRPr="00363F53">
        <w:fldChar w:fldCharType="begin" w:fldLock="1"/>
      </w:r>
      <w:r w:rsidR="00373BC0">
        <w:instrText>ADDIN CSL_CITATION {"citationItems":[{"id":"ITEM-1","itemData":{"DOI":"10.1021/acschemneuro.7b00149","ISSN":"19487193","abstract":"The characteristic cross-β-sheet rich amyloid fibril formation by intrinsically disordered α-Synuclein protein is one of the pathological hallmarks of Parkinson’s disease. Although unstructured in solution, presence of autoinhibitory long-range contacts in monomeric form prevents protein aggregation. Out of the various factors that affect the rate of amyloid formation, familial mutations play an important role in α-Synuclein aggregation. Eventhough these mutations are believed to form aggregation prone intermediate by perturbing these contacts, the correlation between perturbation and rate of fibril formation is not very straightforward. A combination of solution and solid-state NMR in conjunction with other biophysical methods has been used to identify the underlying mechanism behind the anomaly in the rate of aggregation for the novel mutants H50Q (fast aggregating) and G51D (slow aggregating). Perturbation of long-range contacts at the mutation sites and C-terminus in all the six familial mutants of α-...","author":[{"dropping-particle":"","family":"Ranjan","given":"Priyatosh","non-dropping-particle":"","parse-names":false,"suffix":""},{"dropping-particle":"","family":"Kumar","given":"Ashutosh","non-dropping-particle":"","parse-names":false,"suffix":""}],"container-title":"ACS Chemical Neuroscience","id":"ITEM-1","issue":"10","issued":{"date-parts":[["2017","10","18"]]},"page":"2235-2246","publisher":"American Chemical Society","title":"Perturbation in Long-Range Contacts Modulates the Kinetics of Amyloid Formation in α-Synuclein Familial Mutants","type":"article-journal","volume":"8"},"uris":["http://www.mendeley.com/documents/?uuid=357fa9e6-7236-3b33-9df3-56feee2d47e2"]},{"id":"ITEM-2","itemData":{"DOI":"10.1039/c7cc09597j","ISSN":"1364548X","abstract":"Familial mutations in α-synuclein affect the immediate chemical environment of the protein's backbone, changing its aggregation kinetics and forming diverse structural and functional intermediates.Familial mutations in α-synuclein affect the immediate chemical environment of the protein's backbone, changing its aggregation kinetics and forming diverse structural and functional intermediates. This study, concerning two oppositely aggregating mutants A30P and E46K, reveals a completely diverse conformational landscape for each, thus providing atomistic insights into differences in their aggregation dynamics.","author":[{"dropping-particle":"","family":"Bhattacharyya","given":"Dipita","non-dropping-particle":"","parse-names":false,"suffix":""},{"dropping-particle":"","family":"Kumar","given":"Rakesh","non-dropping-particle":"","parse-names":false,"suffix":""},{"dropping-particle":"","family":"Mehra","given":"Surabhi","non-dropping-particle":"","parse-names":false,"suffix":""},{"dropping-particle":"","family":"Ghosh","given":"Anirban","non-dropping-particle":"","parse-names":false,"suffix":""},{"dropping-particle":"","family":"Maji","given":"Samir K","non-dropping-particle":"","parse-names":false,"suffix":""},{"dropping-particle":"","family":"Bhunia","given":"Anirban","non-dropping-particle":"","parse-names":false,"suffix":""}],"container-title":"Chemical Communications","id":"ITEM-2","issue":"29","issued":{"date-parts":[["2018"]]},"page":"3605-3608","title":"Multitude NMR studies of α-synuclein familial mutants: Probing their differential aggregation propensities","type":"article-journal","volume":"54"},"uris":["http://www.mendeley.com/documents/?uuid=057791d0-38cc-392c-94e7-fa67101a52a9"]}],"mendeley":{"formattedCitation":"&lt;sup&gt;23,36&lt;/sup&gt;","plainTextFormattedCitation":"23,36","previouslyFormattedCitation":"&lt;sup&gt;23,36&lt;/sup&gt;"},"properties":{"noteIndex":0},"schema":"https://github.com/citation-style-language/schema/raw/master/csl-citation.json"}</w:instrText>
      </w:r>
      <w:r w:rsidRPr="00363F53">
        <w:fldChar w:fldCharType="separate"/>
      </w:r>
      <w:r w:rsidR="00373BC0" w:rsidRPr="00373BC0">
        <w:rPr>
          <w:noProof/>
          <w:vertAlign w:val="superscript"/>
        </w:rPr>
        <w:t>23,36</w:t>
      </w:r>
      <w:r w:rsidRPr="00363F53">
        <w:fldChar w:fldCharType="end"/>
      </w:r>
      <w:r w:rsidRPr="00363F53">
        <w:t xml:space="preserve">. The increase in aggregation propensity of WT aSyn upon calcium binding cannot only be explained by charge neutralisation at the C-terminus as all familial aSyn mutants should have responded in the same way to calcium, instead we observe that the familial aSyn mutants have different aggregation kinetics. It is more likely that the difference in aggregation propensity is a result of perturbed long-range interactions with the C-terminus, which is understandable considering the mutation regions interact with the calcium binding regions at the C-terminus. Using HDX-MS, we observe mutant specific differences in the level of solvent protection at the N-terminus of A53T and A53E aSyn upon binding of calcium suggesting that indeed different long-range interactions are present. A local unfolding event (deprotection) at the N-terminus and the NAC region of WT and A53T aSyn correlates with their increased aggregation propensity upon calcium addition. </w:t>
      </w:r>
      <w:r w:rsidR="00A52ABB" w:rsidRPr="00A52ABB">
        <w:t>No such deprotection was observed for the aSyn mutant A53E, where no significant differences where observed upon calcium binding, except for two small peptides</w:t>
      </w:r>
      <w:r w:rsidRPr="00363F53">
        <w:t>,</w:t>
      </w:r>
      <w:r w:rsidR="009D51D0">
        <w:t xml:space="preserve"> and</w:t>
      </w:r>
      <w:r w:rsidRPr="00363F53">
        <w:t xml:space="preserve"> whose aggregation kinetics were, firstly slower than both WT and A53T aSyn, but also had similar kinetics in the presence and absence of calcium. In another study, the  ‘fast aggregating’ mutant, E46K, also displays an increased solvent exposure across its sequence, and in addition, N-terminus residues of E46K aSyn are involved in oligomerisation </w:t>
      </w:r>
      <w:r w:rsidRPr="00363F53">
        <w:fldChar w:fldCharType="begin" w:fldLock="1"/>
      </w:r>
      <w:r w:rsidR="00373BC0">
        <w:instrText>ADDIN CSL_CITATION {"citationItems":[{"id":"ITEM-1","itemData":{"DOI":"10.1039/c7cc09597j","ISSN":"1364548X","abstract":"Familial mutations in α-synuclein affect the immediate chemical environment of the protein's backbone, changing its aggregation kinetics and forming diverse structural and functional intermediates.Familial mutations in α-synuclein affect the immediate chemical environment of the protein's backbone, changing its aggregation kinetics and forming diverse structural and functional intermediates. This study, concerning two oppositely aggregating mutants A30P and E46K, reveals a completely diverse conformational landscape for each, thus providing atomistic insights into differences in their aggregation dynamics.","author":[{"dropping-particle":"","family":"Bhattacharyya","given":"Dipita","non-dropping-particle":"","parse-names":false,"suffix":""},{"dropping-particle":"","family":"Kumar","given":"Rakesh","non-dropping-particle":"","parse-names":false,"suffix":""},{"dropping-particle":"","family":"Mehra","given":"Surabhi","non-dropping-particle":"","parse-names":false,"suffix":""},{"dropping-particle":"","family":"Ghosh","given":"Anirban","non-dropping-particle":"","parse-names":false,"suffix":""},{"dropping-particle":"","family":"Maji","given":"Samir K","non-dropping-particle":"","parse-names":false,"suffix":""},{"dropping-particle":"","family":"Bhunia","given":"Anirban","non-dropping-particle":"","parse-names":false,"suffix":""}],"container-title":"Chemical Communications","id":"ITEM-1","issue":"29","issued":{"date-parts":[["2018"]]},"page":"3605-3608","title":"Multitude NMR studies of α-synuclein familial mutants: Probing their differential aggregation propensities","type":"article-journal","volume":"54"},"uris":["http://www.mendeley.com/documents/?uuid=057791d0-38cc-392c-94e7-fa67101a52a9"]}],"mendeley":{"formattedCitation":"&lt;sup&gt;36&lt;/sup&gt;","plainTextFormattedCitation":"36","previouslyFormattedCitation":"&lt;sup&gt;36&lt;/sup&gt;"},"properties":{"noteIndex":0},"schema":"https://github.com/citation-style-language/schema/raw/master/csl-citation.json"}</w:instrText>
      </w:r>
      <w:r w:rsidRPr="00363F53">
        <w:fldChar w:fldCharType="separate"/>
      </w:r>
      <w:r w:rsidR="00373BC0" w:rsidRPr="00373BC0">
        <w:rPr>
          <w:noProof/>
          <w:vertAlign w:val="superscript"/>
        </w:rPr>
        <w:t>36</w:t>
      </w:r>
      <w:r w:rsidRPr="00363F53">
        <w:fldChar w:fldCharType="end"/>
      </w:r>
      <w:r w:rsidRPr="00363F53">
        <w:t xml:space="preserve">. We expect that the release of long-range contacts with the C-terminus leads to exposure of the N-terminus and the NAC region, observed in WT and A53T aSyn, to be a major factor influencing aSyn aggregation kinetics. Previous experiments have shown that the N-terminus of aSyn may modulate aSyn aggregation; altering sequence, cross-linking specific residues and targeting binding proteins to the N-terminus leads to variation in aggregation kinetics </w:t>
      </w:r>
      <w:r w:rsidRPr="00363F53">
        <w:fldChar w:fldCharType="begin" w:fldLock="1"/>
      </w:r>
      <w:r w:rsidR="00373BC0">
        <w:instrText>ADDIN CSL_CITATION {"citationItems":[{"id":"ITEM-1","itemData":{"DOI":"10.1002/anie.201503018","ISSN":"14337851","abstract":"Conversion of the intrinsically disordered protein α-synuclein (α-syn) into amyloid aggregates is a key process in Parkinson's disease. The sequence region 35-59 contains β-strand segments β1 and β2 of α-syn amyloid fibril models and most disease-related mutations. β1 and β2 frequently engage in transient interactions in monomeric α-syn. The consequences of β1-β2 contacts are evaluated by disulfide engineering, biophysical techniques, and cell viability assays. The double-cysteine mutant α-synCC, with a disulfide linking β1 and β2, is aggregation-incompetent and inhibits aggregation and toxicity of wild-type α-syn. We show that α-syn delays the aggregation of amyloid-β peptide and islet amyloid polypeptide involved in Alzheimer's disease and type 2 diabetes, an effect enhanced in the α-synCC mutant. Tertiary interactions in the β1-β2 region of α-syn interfere with the nucleation of amyloid formation, suggesting promotion of such interactions as a potential therapeutic approach.","author":[{"dropping-particle":"","family":"Shaykhalishahi","given":"Hamed","non-dropping-particle":"","parse-names":false,"suffix":""},{"dropping-particle":"","family":"Gauhar","given":"Aziz","non-dropping-particle":"","parse-names":false,"suffix":""},{"dropping-particle":"","family":"Wördehoff","given":"Michael M.","non-dropping-particle":"","parse-names":false,"suffix":""},{"dropping-particle":"","family":"Grüning","given":"Clara S.R. R.","non-dropping-particle":"","parse-names":false,"suffix":""},{"dropping-particle":"","family":"Klein","given":"Antonia N.","non-dropping-particle":"","parse-names":false,"suffix":""},{"dropping-particle":"","family":"Bannach","given":"Oliver","non-dropping-particle":"","parse-names":false,"suffix":""},{"dropping-particle":"","family":"Stoldt","given":"Matthias","non-dropping-particle":"","parse-names":false,"suffix":""},{"dropping-particle":"","family":"Willbold","given":"Dieter","non-dropping-particle":"","parse-names":false,"suffix":""},{"dropping-particle":"","family":"Härd","given":"Torleif","non-dropping-particle":"","parse-names":false,"suffix":""},{"dropping-particle":"","family":"Hoyer","given":"Wolfgang","non-dropping-particle":"","parse-names":false,"suffix":""}],"container-title":"Angewandte Chemie International Edition","id":"ITEM-1","issue":"30","issued":{"date-parts":[["2015","7","20"]]},"page":"8837-8840","publisher":"John Wiley &amp; Sons, Ltd","title":"Contact between the β1 and β2 Segments of α-Synuclein that Inhibits Amyloid Formation","type":"article-journal","volume":"54"},"uris":["http://www.mendeley.com/documents/?uuid=8bfca17a-c4fc-4d9e-b086-99368c61e252","http://www.mendeley.com/documents/?uuid=4e17e8fe-8926-4621-ac99-85b736a91500"]},{"id":"ITEM-2","itemData":{"DOI":"10.1002/anie.201309001","ISSN":"15213773","abstract":"The misfolding and aggregation of the protein α-synuclein (α-syn), which results in the formation of amyloid fibrils, is involved in the pathogenesis of Parkinson's disease and other synucleinopathies. The emergence of amyloid toxicity is associated with the formation of partially folded aggregation intermediates. Here, we engineered a class of binding proteins termed β-wrapins (β-wrap proteins) with affinity for α-synuclein (α-syn). The NMR structure of an α-syn:β-wrapin complex reveals a β-hairpin of α-syn comprising the sequence region α-syn(37-54). The β-wrapin inhibits α-syn aggregation and toxicity at substoichiometric concentrations, demonstrating that it interferes with the nucleation of aggregation.","author":[{"dropping-particle":"","family":"Mirecka","given":"Ewa A.","non-dropping-particle":"","parse-names":false,"suffix":""},{"dropping-particle":"","family":"Shaykhalishahi","given":"Hamed","non-dropping-particle":"","parse-names":false,"suffix":""},{"dropping-particle":"","family":"Gauhar","given":"Aziz","non-dropping-particle":"","parse-names":false,"suffix":""},{"dropping-particle":"","family":"Akgül","given":"Şerife","non-dropping-particle":"","parse-names":false,"suffix":""},{"dropping-particle":"","family":"Lecher","given":"Justin","non-dropping-particle":"","parse-names":false,"suffix":""},{"dropping-particle":"","family":"Willbold","given":"Dieter","non-dropping-particle":"","parse-names":false,"suffix":""},{"dropping-particle":"","family":"Stoldt","given":"Matthias","non-dropping-particle":"","parse-names":false,"suffix":""},{"dropping-particle":"","family":"Hoyer","given":"Wolfgang","non-dropping-particle":"","parse-names":false,"suffix":""}],"container-title":"Angewandte Chemie - International Edition","id":"ITEM-2","issue":"16","issued":{"date-parts":[["2014","4","14"]]},"page":"4227-4230","publisher":"John Wiley &amp; Sons, Ltd","title":"Sequestration of a β-hairpin for control of α-synuclein aggregation","type":"article-journal","volume":"53"},"uris":["http://www.mendeley.com/documents/?uuid=32cbfe1b-1e8c-4839-b8dd-fd4a0189eda3","http://www.mendeley.com/documents/?uuid=44b970e8-b5b6-41c2-8127-b808863b47c3"]},{"id":"ITEM-3","itemData":{"DOI":"10.7554/eLife.46112","ISSN":"2050-084X","abstract":"&lt;p&gt;Removing or preventing the formation of α-synuclein aggregates is a plausible strategy against Parkinson's disease. To this end we have engineered the β-wrapin AS69 to bind monomeric α-synuclein with high affinity. In cultured cells, AS69 reduced the self-interaction of α-synuclein and the formation of visible α-synuclein aggregates. In flies, AS69 reduced α-synuclein aggregates and the locomotor deficit resulting from α-synuclein expression in neuronal cells. In biophysical experiments in vitro, AS69 highly sub-stoichiometrically inhibited both primary and autocatalytic secondary nucleation processes, even in the presence of a large excess of monomer. We present evidence that the AS69-α-synuclein complex, rather than the free AS69, is the inhibitory species responsible for sub-stoichiometric inhibition of secondary nucleation. These results represent a new paradigm that high affinity monomer binders can lead to strongly sub-stoichiometric inhibition of nucleation processes.&lt;/p&gt;","author":[{"dropping-particle":"","family":"Agerschou","given":"Emil Dandanell","non-dropping-particle":"","parse-names":false,"suffix":""},{"dropping-particle":"","family":"Flagmeier","given":"Patrick","non-dropping-particle":"","parse-names":false,"suffix":""},{"dropping-particle":"","family":"Saridaki","given":"Theodora","non-dropping-particle":"","parse-names":false,"suffix":""},{"dropping-particle":"","family":"Galvagnion","given":"Céline","non-dropping-particle":"","parse-names":false,"suffix":""},{"dropping-particle":"","family":"Komnig","given":"Daniel","non-dropping-particle":"","parse-names":false,"suffix":""},{"dropping-particle":"","family":"Heid","given":"Laetitia","non-dropping-particle":"","parse-names":false,"suffix":""},{"dropping-particle":"","family":"Prasad","given":"Vibha","non-dropping-particle":"","parse-names":false,"suffix":""},{"dropping-particle":"","family":"Shaykhalishahi","given":"Hamed","non-dropping-particle":"","parse-names":false,"suffix":""},{"dropping-particle":"","family":"Willbold","given":"Dieter","non-dropping-particle":"","parse-names":false,"suffix":""},{"dropping-particle":"","family":"Dobson","given":"Christopher M","non-dropping-particle":"","parse-names":false,"suffix":""},{"dropping-particle":"","family":"Voigt","given":"Aaron","non-dropping-particle":"","parse-names":false,"suffix":""},{"dropping-particle":"","family":"Falkenbürger","given":"Björn","non-dropping-particle":"","parse-names":false,"suffix":""},{"dropping-particle":"","family":"Hoyer","given":"Wolfgang","non-dropping-particle":"","parse-names":false,"suffix":""},{"dropping-particle":"","family":"Buell","given":"Alexander K","non-dropping-particle":"","parse-names":false,"suffix":""}],"container-title":"eLife","id":"ITEM-3","issued":{"date-parts":[["2019","8","7"]]},"title":"An engineered monomer binding-protein for α-synuclein efficiently inhibits the proliferation of amyloid fibrils","type":"article-journal","volume":"8"},"uris":["http://www.mendeley.com/documents/?uuid=e12c8c23-0dcd-3e05-ae3e-27e2728eecb5","http://www.mendeley.com/documents/?uuid=453b214c-240b-43ea-b499-ae30b58199f5"]},{"id":"ITEM-4","itemData":{"DOI":"10.1021/bi020429y","ISSN":"00062960","abstract":"The conversion of alpha-synuclein into amyloid fibrils in the substantia nigra is linked to Parkinson's disease. Alpha-synuclein is natively unfolded in solution, but can be induced to form either alpha-helical or beta-sheet structure depending on its concentration and the solution conditions. The N-terminus of alpha-synuclein comprises seven 11-amino acid repeats (XKTKEGVXXXX) which can form an amphipathic alpha-helix. Why seven repeats, rather than six or eight, survived the evolutionary process is not clear. To probe this question, two sequence variants of alpha-synuclein, one with two fewer (del2) and one with two additional (plus2) repeats, were studied. As compared to wild-type alpha-synuclein, the plus2 variant disfavors the formation of beta-sheet-rich oligomers, including amyloid fibrils. In contrast, the truncated variant, del2, favors beta-sheet and fibril formation. We propose that the repeat number in WT alpha-synuclein represents an evolutionary balance between the functional conformer of alpha-synuclein (alpha-helix and/or random coil) and its pathogenic beta-sheet conformation. N-terminal truncation of alpha-synuclein may promote pathogenesis.","author":[{"dropping-particle":"","family":"Kessler","given":"Jeffrey C","non-dropping-particle":"","parse-names":false,"suffix":""},{"dropping-particle":"","family":"Rochet","given":"Jean Christophe","non-dropping-particle":"","parse-names":false,"suffix":""},{"dropping-particle":"","family":"Lansbury","given":"Peter T","non-dropping-particle":"","parse-names":false,"suffix":""}],"container-title":"Biochemistry","id":"ITEM-4","issue":"3","issued":{"date-parts":[["2003"]]},"page":"672-678","title":"The N-terminal repeat domain of α-synuclein inhibits β-sheet and amyloid fibril formation","type":"article-journal","volume":"42"},"uris":["http://www.mendeley.com/documents/?uuid=ab1bfe85-3b07-306b-b1c2-20f0e8d2ac86","http://www.mendeley.com/documents/?uuid=bafcb660-e688-4301-830d-cd621f112cce"]},{"id":"ITEM-5","itemData":{"DOI":"10.1021/bi401427t","ISBN":"24970−24979","ISSN":"00062960","abstract":"?-Synuclein is a 140-amino acid protein that can switch conformation among intrinsically disordered in solution, helical on a membrane, and ?-sheet in amyloid fibrils. Using the fluorescence of single-tryptophan mutants, we determined the immersion of different regions of the protein into lipid membranes. Our results suggest the presence of a flexible break close to residues 52-55 between two helical domains. The four-amino acid linker is not necessary for membrane binding but is important for fibril formation. A deletion mutant lacking this linker aggregates extremely slowly and slightly inhibits wild-type aggregation, possibly by blocking the growing ends of fibrils. ? 2014 American Chemical Society.","author":[{"dropping-particle":"V","family":"Shvadchak","given":"Volodymyr","non-dropping-particle":"","parse-names":false,"suffix":""},{"dropping-particle":"","family":"Subramaniam","given":"Vinod","non-dropping-particle":"","parse-names":false,"suffix":""}],"container-title":"Biochemistry","id":"ITEM-5","issue":"2","issued":{"date-parts":[["2014"]]},"page":"279-281","title":"A four-amino acid linker between repeats in the α-synuclein sequence is important for fibril formation","type":"article-journal","volume":"53"},"uris":["http://www.mendeley.com/documents/?uuid=1f069e0e-f14f-3246-af05-291801dfb87d","http://www.mendeley.com/documents/?uuid=c3ce3c06-b855-4923-97ad-a1399d4e5cf2"]},{"id":"ITEM-6","itemData":{"DOI":"10.1038/s41586-019-1808-9","ISSN":"14764687","abstract":"Neurodegeneration in patients with Parkinson’s disease is correlated with the occurrence of Lewy bodies—intracellular inclusions that contain aggregates of the intrinsically disordered protein α-synuclein1. The aggregation propensity of α-synuclein in cells is modulated by specific factors that include post-translational modifications2,3, Abelson-kinase-mediated phosphorylation4,5 and interactions with intracellular machineries such as molecular chaperones, although the underlying mechanisms are unclear6–8. Here we systematically characterize the interaction of molecular chaperones with α-synuclein in vitro as well as in cells at the atomic level. We find that six highly divergent molecular chaperones commonly recognize a canonical motif in α-synuclein, consisting of the N terminus and a segment around Tyr39, and hinder the aggregation of α-synuclein. NMR experiments9 in cells show that the same transient interaction pattern is preserved inside living mammalian cells. Specific inhibition of the interactions between α-synuclein and the chaperone HSC70 and members of the HSP90 family, including HSP90β, results in transient membrane binding and triggers a remarkable re-localization of α-synuclein to the mitochondria and concomitant formation of aggregates. Phosphorylation of α-synuclein at Tyr39 directly impairs the interaction of α-synuclein with chaperones, thus providing a functional explanation for the role of Abelson kinase in Parkinson’s disease. Our results establish a master regulatory mechanism of α-synuclein function and aggregation in mammalian cells, extending the functional repertoire of molecular chaperones and highlighting new perspectives for therapeutic interventions for Parkinson’s disease.","author":[{"dropping-particle":"","family":"Burmann","given":"Björn M.","non-dropping-particle":"","parse-names":false,"suffix":""},{"dropping-particle":"","family":"Gerez","given":"Juan A.","non-dropping-particle":"","parse-names":false,"suffix":""},{"dropping-particle":"","family":"Matečko-Burmann","given":"Irena","non-dropping-particle":"","parse-names":false,"suffix":""},{"dropping-particle":"","family":"Campioni","given":"Silvia","non-dropping-particle":"","parse-names":false,"suffix":""},{"dropping-particle":"","family":"Kumari","given":"Pratibha","non-dropping-particle":"","parse-names":false,"suffix":""},{"dropping-particle":"","family":"Ghosh","given":"Dhiman","non-dropping-particle":"","parse-names":false,"suffix":""},{"dropping-particle":"","family":"Mazur","given":"Adam","non-dropping-particle":"","parse-names":false,"suffix":""},{"dropping-particle":"","family":"Aspholm","given":"Emelie E.","non-dropping-particle":"","parse-names":false,"suffix":""},{"dropping-particle":"","family":"Šulskis","given":"Darius","non-dropping-particle":"","parse-names":false,"suffix":""},{"dropping-particle":"","family":"Wawrzyniuk","given":"Magdalena","non-dropping-particle":"","parse-names":false,"suffix":""},{"dropping-particle":"","family":"Bock","given":"Thomas","non-dropping-particle":"","parse-names":false,"suffix":""},{"dropping-particle":"","family":"Schmidt","given":"Alexander","non-dropping-particle":"","parse-names":false,"suffix":""},{"dropping-particle":"","family":"Rüdiger","given":"Stefan G.D.","non-dropping-particle":"","parse-names":false,"suffix":""},{"dropping-particle":"","family":"Riek","given":"Roland","non-dropping-particle":"","parse-names":false,"suffix":""},{"dropping-particle":"","family":"Hiller","given":"Sebastian","non-dropping-particle":"","parse-names":false,"suffix":""}],"container-title":"Nature","id":"ITEM-6","issued":{"date-parts":[["2019","1","2"]]},"publisher":"Nature Research","title":"Regulation of α-synuclein by chaperones in mammalian cells","type":"article-journal"},"uris":["http://www.mendeley.com/documents/?uuid=91d46e5d-4cc9-38ae-913c-d4bb6d517a5a"]}],"mendeley":{"formattedCitation":"&lt;sup&gt;63–68&lt;/sup&gt;","plainTextFormattedCitation":"63–68","previouslyFormattedCitation":"&lt;sup&gt;63–68&lt;/sup&gt;"},"properties":{"noteIndex":0},"schema":"https://github.com/citation-style-language/schema/raw/master/csl-citation.json"}</w:instrText>
      </w:r>
      <w:r w:rsidRPr="00363F53">
        <w:fldChar w:fldCharType="separate"/>
      </w:r>
      <w:r w:rsidR="00373BC0" w:rsidRPr="00373BC0">
        <w:rPr>
          <w:noProof/>
          <w:vertAlign w:val="superscript"/>
        </w:rPr>
        <w:t>63–68</w:t>
      </w:r>
      <w:r w:rsidRPr="00363F53">
        <w:fldChar w:fldCharType="end"/>
      </w:r>
      <w:r w:rsidRPr="00363F53">
        <w:t xml:space="preserve">. Previous studies have shown mutant aSyn have altered long-range interactions compared to WT aSyn </w:t>
      </w:r>
      <w:r w:rsidRPr="00363F53">
        <w:fldChar w:fldCharType="begin" w:fldLock="1"/>
      </w:r>
      <w:r w:rsidR="00373BC0">
        <w:instrText>ADDIN CSL_CITATION {"citationItems":[{"id":"ITEM-1","itemData":{"DOI":"10.1021/bi401037z","ISBN":"1520-4995 (Electronic)\\r0006-2960 (Linking)","ISSN":"00062960","PMID":"24066883","abstract":"Misfolding and subsequent aggregation of alpha-synuclein (α-Syn) protein are critically involved in the development of several neurodegenerative diseases, including Parkinson's disease (PD). Three familial single point mutations, A30P, E46K, and A53T, correlate with early onset PD; however, the molecular mechanism of the effects of these mutations on the structural properties of α-Syn and its propensity to misfold remains unclear. Here, we address this issue utilizing a single molecule AFM force spectroscopy approach in which structural details of dimers formed by all four variants of α-Syn are characterized. Analysis of the force spectroscopy data reflecting contour length distribution for α-Syn dimer dissociation suggests that multiple segments are involved in the assembly of the dimer. The interactions are not limited to the central nonamyloid-beta component (NAC) of the protein but rather expand beyond this segment. All three mutations alter the protein's folding and interaction patterns affecting interactions far beyond their immediate locations. Implementation of these findings to our understanding of α-Syn aggregation pathways is discussed. © 2013 American Chemical Society.","author":[{"dropping-particle":"V.","family":"Krasnoslobodtsev","given":"Alexey","non-dropping-particle":"","parse-names":false,"suffix":""},{"dropping-particle":"","family":"Volkov","given":"Ivan L.","non-dropping-particle":"","parse-names":false,"suffix":""},{"dropping-particle":"","family":"Asiago","given":"Josephat M.","non-dropping-particle":"","parse-names":false,"suffix":""},{"dropping-particle":"","family":"Hindupur","given":"Jagadish","non-dropping-particle":"","parse-names":false,"suffix":""},{"dropping-particle":"","family":"Rochet","given":"Jean Christophe","non-dropping-particle":"","parse-names":false,"suffix":""},{"dropping-particle":"","family":"Lyubchenko","given":"Yuri L.","non-dropping-particle":"","parse-names":false,"suffix":""}],"container-title":"Biochemistry","id":"ITEM-1","issue":"42","issued":{"date-parts":[["2013"]]},"page":"7377-7386","title":"α-Synuclein misfolding assessed with single molecule AFM force spectroscopy: Effect of pathogenic mutations","type":"article-journal","volume":"52"},"uris":["http://www.mendeley.com/documents/?uuid=584e3f7f-7875-46c0-94d0-2570516941cd"]},{"id":"ITEM-2","itemData":{"DOI":"10.1002/cbic.200800581","ISSN":"14394227","author":[{"dropping-particle":"","family":"Brucale","given":"Marco","non-dropping-particle":"","parse-names":false,"suffix":""},{"dropping-particle":"","family":"Sandal","given":"Massimo","non-dropping-particle":"","parse-names":false,"suffix":""},{"dropping-particle":"","family":"Maio","given":"Selena","non-dropping-particle":"Di","parse-names":false,"suffix":""},{"dropping-particle":"","family":"Rampioni","given":"Aldo","non-dropping-particle":"","parse-names":false,"suffix":""},{"dropping-particle":"","family":"Tessari","given":"Isabella","non-dropping-particle":"","parse-names":false,"suffix":""},{"dropping-particle":"","family":"Tosatto","given":"Laura","non-dropping-particle":"","parse-names":false,"suffix":""},{"dropping-particle":"","family":"Bisaglia","given":"Marco","non-dropping-particle":"","parse-names":false,"suffix":""},{"dropping-particle":"","family":"Bubacco","given":"Luigi","non-dropping-particle":"","parse-names":false,"suffix":""},{"dropping-particle":"","family":"Samorì","given":"Bruno","non-dropping-particle":"","parse-names":false,"suffix":""}],"container-title":"ChemBioChem","id":"ITEM-2","issue":"1","issued":{"date-parts":[["2009","1","5"]]},"page":"176-183","publisher":"John Wiley &amp; Sons, Ltd","title":"Pathogenic Mutations Shift the Equilibria of α-Synuclein Single Molecules towards Structured Conformers","type":"article-journal","volume":"10"},"uris":["http://www.mendeley.com/documents/?uuid=6cdc03f3-c4c0-3cde-b25f-0a6b5fcb9e75"]},{"id":"ITEM-3","itemData":{"DOI":"10.1021/cn300198q","ISSN":"1948-7193","PMID":"23374072","abstract":"The genetic missense A30P mutation of the wild-type α-synuclein protein results in the replacement of the 30th amino acid residue from alanine (Ala) to proline (Pro) and was initially found in the members of a German family who developed Parkinson's disease. Even though the structures of these proteins have been measured before, detailed understanding about the structures and their relationships with free energy landscapes is lacking, which is of interest to provide insights into the pathogenic mechanism of Parkinson's disease. We report the secondary and tertiary structures and conformational free energy landscapes of the wild-type and A30P mutant-type α-synuclein proteins in an aqueous solution environment via extensive parallel tempering molecular dynamics simulations along with thermodynamic calculations. In addition, we present the residual secondary structure component transition stabilities at the atomic level with dynamics in terms of free energy change calculations using a new strategy that we reported most recently. Our studies yield new interesting results; for instance, we find that the A30P mutation has local as well as long-range effects on the structural properties of the wild-type α-synuclein protein. The helical content at Ala18-Gly31 is less prominent in comparison to the wild-type α-synuclein protein. The β-sheet structure abundance decreases in the N-terminal region upon A30P mutation of the wild-type α-synuclein, whereas the NAC and C-terminal regions possess larger tendencies for β-sheet structure formation. Long-range intramolecular protein interactions are less abundant upon A30P mutation, especially between the NAC and C-terminal regions, which is linked to the less compact and less stable structures of the A30P mutant-type rather than the wild-type α-synuclein protein. Results including the usage of our new strategy for secondary structure transition stabilities show that the A30P mutant-type α-synuclein tendency toward aggregation is higher than the wild-type α-synuclein but we also find that the C-terminal and NAC regions of the A30P mutant-type α-synuclein are reactive toward fibrillzation and aggregation based on atomic level studies with dynamics in an aqueous solution environment. Therefore, we propose that small molecules or drugs blocking the specific residues, which we report herein, located in the NAC- and C-terminal regions of the A30P mutant-type α-synuclein protein might help to reduce the toxicity of the A30P muta…","author":[{"dropping-particle":"","family":"Wise-Scira","given":"Olivia","non-dropping-particle":"","parse-names":false,"suffix":""},{"dropping-particle":"","family":"Aloglu","given":"Ahmet Kemal","non-dropping-particle":"","parse-names":false,"suffix":""},{"dropping-particle":"","family":"Dunn","given":"Aquila","non-dropping-particle":"","parse-names":false,"suffix":""},{"dropping-particle":"","family":"Sakallioglu","given":"Isin Tuna","non-dropping-particle":"","parse-names":false,"suffix":""},{"dropping-particle":"","family":"Coskuner","given":"Orkid","non-dropping-particle":"","parse-names":false,"suffix":""}],"container-title":"ACS chemical neuroscience","id":"ITEM-3","issue":"3","issued":{"date-parts":[["2013","3","20"]]},"page":"486-97","publisher":"American Chemical Society","title":"Structures and free energy landscapes of the wild-type and A30P mutant-type α-synuclein proteins with dynamics.","type":"article-journal","volume":"4"},"uris":["http://www.mendeley.com/documents/?uuid=8c477450-c4a7-3ed4-bcc1-7055427f1940"]},{"id":"ITEM-4","itemData":{"DOI":"10.1074/jbc.M106777200","ISSN":"00219258","abstract":"alpha-Synuclein (alpha S) is a pre-synaptic protein that has been implicated as a possible causative agent in the pathogenesis of Parkinson's disease (PD). Two autosomal dominant missense mutations in the alpha S gene are associated with early onset PD. Because alpha S is found in an aggregated fibrillar form in the Lewy body deposits characteristic of Parkinson's patients, aggregation of the protein is believed to be related to its involvement in the disease process. The wild type (WT) and early onset mutants A30P and A53T display diverse in vitro aggregation kinetics even though the gross physicochemical and morphological properties of the mutants are highly similar. We used high resolution solution NMR spectroscopy to compare the structural and dynamic properties of the A53T and A30P mutants with those of WT alpha S in the free state. We found that the A30P mutation disrupts a region of residual helical structure that exists in the WT protein, whereas the A53T mutation results in a slight enhancement of a small region around the site of mutation with a preference for extended conformations. Based on these results and on the anticipated effects of these mutations on elements of secondary structure, we proposed a model of how these two PD-linked mutations influence alpha S fibril formation that is consistent with the documented differences in the fibrillization kinetics of the two mutants.","author":[{"dropping-particle":"","family":"Bussell","given":"Robert","non-dropping-particle":"","parse-names":false,"suffix":""},{"dropping-particle":"","family":"Eliezer","given":"David","non-dropping-particle":"","parse-names":false,"suffix":""}],"container-title":"Journal of Biological Chemistry","id":"ITEM-4","issue":"49","issued":{"date-parts":[["2001"]]},"page":"45996-46003","publisher":"JBC Papers in Press","title":"Residual Structure and Dynamics in Parkinson's Disease-associated Mutants of α-Synuclein","type":"article-journal","volume":"276"},"uris":["http://www.mendeley.com/documents/?uuid=7e4061ff-ef49-3a2c-9f55-a0a1e7ae61f9"]},{"id":"ITEM-5","itemData":{"DOI":"10.1074/jbc.C500288200","ISBN":"0021-9258 (Print)\\r0021-9258 (Linking)","ISSN":"00219258","PMID":"16020550","abstract":"A30P and A53T mutations of the presynaptic protein alpha-synuclein are associated with familial forms of Parkinson disease. NMR spectroscopy demonstrates that Parkinsonism-linked mutations greatly perturb specific tertiary interactions essential for the native state of alpha-synuclein. However, alpha-synuclein is not completely unfolded but exhibits structural fluctuations on the time scale of secondary structure formation and loses its native conformation gradually when protein stability decreases. The redistribution of the ensemble of alpha-synuclein conformers may underlie toxic gain-of-function by fostering self-association and altered binding affinity to ligands and receptors.","author":[{"dropping-particle":"","family":"Bertoncini","given":"Carlos W","non-dropping-particle":"","parse-names":false,"suffix":""},{"dropping-particle":"","family":"Fernandez","given":"Claudio O","non-dropping-particle":"","parse-names":false,"suffix":""},{"dropping-particle":"","family":"Griesinger","given":"Christian","non-dropping-particle":"","parse-names":false,"suffix":""},{"dropping-particle":"","family":"Jovin","given":"Thomas M","non-dropping-particle":"","parse-names":false,"suffix":""},{"dropping-particle":"","family":"Zweckstetter","given":"Markus","non-dropping-particle":"","parse-names":false,"suffix":""}],"container-title":"Journal of Biological Chemistry","id":"ITEM-5","issue":"35","issued":{"date-parts":[["2005"]]},"page":"30649-30652","publisher":"in Press","title":"Familial mutants of α-synuclein with increased neurotoxicity have a destabilized conformation","type":"article-journal","volume":"280"},"uris":["http://www.mendeley.com/documents/?uuid=32e9e1e9-4f0b-3b4e-86d7-ed7b6f747c85"]}],"mendeley":{"formattedCitation":"&lt;sup&gt;35,69–72&lt;/sup&gt;","plainTextFormattedCitation":"35,69–72","previouslyFormattedCitation":"&lt;sup&gt;35,69–72&lt;/sup&gt;"},"properties":{"noteIndex":0},"schema":"https://github.com/citation-style-language/schema/raw/master/csl-citation.json"}</w:instrText>
      </w:r>
      <w:r w:rsidRPr="00363F53">
        <w:fldChar w:fldCharType="separate"/>
      </w:r>
      <w:r w:rsidR="00373BC0" w:rsidRPr="00373BC0">
        <w:rPr>
          <w:noProof/>
          <w:vertAlign w:val="superscript"/>
        </w:rPr>
        <w:t>35,69–72</w:t>
      </w:r>
      <w:r w:rsidRPr="00363F53">
        <w:fldChar w:fldCharType="end"/>
      </w:r>
      <w:r w:rsidRPr="00363F53">
        <w:t xml:space="preserve">. Our study suggests that the altered stability at the N-terminus combined with </w:t>
      </w:r>
      <w:r w:rsidR="00805857">
        <w:t xml:space="preserve">mutant </w:t>
      </w:r>
      <w:proofErr w:type="spellStart"/>
      <w:r w:rsidRPr="00363F53">
        <w:t>aSyn’s</w:t>
      </w:r>
      <w:proofErr w:type="spellEnd"/>
      <w:r w:rsidRPr="00363F53">
        <w:t xml:space="preserve"> lower propensity to form an α-helix compared to WT aSyn, may skew the distribution of the conformational ensemble leading to conformations with a high propensity to form oligomers and fibrils. The fact that such differences in aSyn long-range contacts and an increase in N-terminus solvent exposure can be identified as early as at the monomer level, and correlate to the propensity to </w:t>
      </w:r>
      <w:proofErr w:type="spellStart"/>
      <w:r w:rsidRPr="00363F53">
        <w:t>fibrillise</w:t>
      </w:r>
      <w:proofErr w:type="spellEnd"/>
      <w:r w:rsidRPr="00363F53">
        <w:t xml:space="preserve"> is important, and a step towards understanding early events in the misfolding pathway and how structure and environmental factors may influence aggregation propensity of the monomer.</w:t>
      </w:r>
      <w:r w:rsidR="007B6565">
        <w:t xml:space="preserve"> </w:t>
      </w:r>
      <w:r w:rsidR="00805857">
        <w:t xml:space="preserve">Interestingly the N-terminus and NAC region of aSyn have also been implicated in the formation of phase separated aSyn </w:t>
      </w:r>
      <w:r w:rsidR="00805857">
        <w:fldChar w:fldCharType="begin" w:fldLock="1"/>
      </w:r>
      <w:r w:rsidR="00373BC0">
        <w:instrText>ADDIN CSL_CITATION {"citationItems":[{"id":"ITEM-1","itemData":{"DOI":"10.1101/619858","abstract":"α-Synuclein (α-Syn) aggregation and amyloid formation is directly linked with Parkinson’s disease (PD) pathogenesis. However, the early events involved in this process remain unclear. Here, using in vitro reconstitution and cellular model, we show that liquid-liquid phase separation (LLPS) of α-Syn precedes its aggregation. In particular, in vitro generated α-Syn liquid-like droplets eventually undergo a liquid-to-solid transition and form amyloid-hydrogel containing oligomers and fibrillar species. Factors known to aggravate α-Syn aggregation such as low pH, phosphomimic substitution, and familial PD mutation also promote α-Syn LLPS and its subsequent maturation. We further demonstrate α-Syn liquid droplet formation in cells, under oxidative stress. These cellular α-Syn droplets eventually transform into perinuclear aggresomes, the process regulated by microtubules. The present work provides detailed insights into the phase separation behavior of natively unstructured α-Syn and its conversion to a disease-associated aggregated state, which is highly relevant in PD pathogenesis.","author":[{"dropping-particle":"","family":"Ray","given":"Soumik","non-dropping-particle":"","parse-names":false,"suffix":""},{"dropping-particle":"","family":"Singh","given":"Nitu","non-dropping-particle":"","parse-names":false,"suffix":""},{"dropping-particle":"","family":"Pandey","given":"Satyaprakash","non-dropping-particle":"","parse-names":false,"suffix":""},{"dropping-particle":"","family":"Kumar","given":"Rakesh","non-dropping-particle":"","parse-names":false,"suffix":""},{"dropping-particle":"","family":"Gadhe","given":"Laxmikant","non-dropping-particle":"","parse-names":false,"suffix":""},{"dropping-particle":"","family":"Datta","given":"Debalina","non-dropping-particle":"","parse-names":false,"suffix":""},{"dropping-particle":"","family":"Patel","given":"Komal","non-dropping-particle":"","parse-names":false,"suffix":""},{"dropping-particle":"","family":"Mahato","given":"Jaladhar","non-dropping-particle":"","parse-names":false,"suffix":""},{"dropping-particle":"","family":"Navalkar","given":"Ambuja","non-dropping-particle":"","parse-names":false,"suffix":""},{"dropping-particle":"","family":"Panigrahi","given":"Rajlaxmi","non-dropping-particle":"","parse-names":false,"suffix":""},{"dropping-particle":"","family":"Chatterjee","given":"Debdeep","non-dropping-particle":"","parse-names":false,"suffix":""},{"dropping-particle":"","family":"Maiti","given":"Siddhartha","non-dropping-particle":"","parse-names":false,"suffix":""},{"dropping-particle":"","family":"Bhatia","given":"Sandhya","non-dropping-particle":"","parse-names":false,"suffix":""},{"dropping-particle":"","family":"Mehra","given":"Surabhi","non-dropping-particle":"","parse-names":false,"suffix":""},{"dropping-particle":"","family":"Singh","given":"Ajay","non-dropping-particle":"","parse-names":false,"suffix":""},{"dropping-particle":"","family":"Gerez","given":"Juan","non-dropping-particle":"","parse-names":false,"suffix":""},{"dropping-particle":"","family":"Chowdhury","given":"Arindam","non-dropping-particle":"","parse-names":false,"suffix":""},{"dropping-particle":"","family":"Kumar","given":"Ashutosh","non-dropping-particle":"","parse-names":false,"suffix":""},{"dropping-particle":"","family":"Padinhateeri","given":"Ranjith","non-dropping-particle":"","parse-names":false,"suffix":""},{"dropping-particle":"","family":"Riek","given":"Roland","non-dropping-particle":"","parse-names":false,"suffix":""},{"dropping-particle":"","family":"Krishnamoorthy","given":"G","non-dropping-particle":"","parse-names":false,"suffix":""},{"dropping-particle":"","family":"Maji","given":"Samir K","non-dropping-particle":"","parse-names":false,"suffix":""}],"container-title":"bioRxiv","id":"ITEM-1","issued":{"date-parts":[["2019"]]},"page":"619858","title":"Liquid-liquid phase separation and liquid-to-solid transition mediate α-synuclein amyloid fibril containing hydrogel formation","type":"article-journal"},"uris":["http://www.mendeley.com/documents/?uuid=df9a86e2-ce0d-3b39-a8f5-08f1cc0535df"]}],"mendeley":{"formattedCitation":"&lt;sup&gt;73&lt;/sup&gt;","plainTextFormattedCitation":"73","previouslyFormattedCitation":"&lt;sup&gt;73&lt;/sup&gt;"},"properties":{"noteIndex":0},"schema":"https://github.com/citation-style-language/schema/raw/master/csl-citation.json"}</w:instrText>
      </w:r>
      <w:r w:rsidR="00805857">
        <w:fldChar w:fldCharType="separate"/>
      </w:r>
      <w:r w:rsidR="00373BC0" w:rsidRPr="00373BC0">
        <w:rPr>
          <w:noProof/>
          <w:vertAlign w:val="superscript"/>
        </w:rPr>
        <w:t>73</w:t>
      </w:r>
      <w:r w:rsidR="00805857">
        <w:fldChar w:fldCharType="end"/>
      </w:r>
      <w:r w:rsidR="00805857">
        <w:t xml:space="preserve">. </w:t>
      </w:r>
      <w:r w:rsidR="00376880">
        <w:t xml:space="preserve">It remains to be determined whether the structure of the initial monomer subsequently influences the </w:t>
      </w:r>
      <w:r w:rsidR="00805857">
        <w:t xml:space="preserve">tertiary structural fate of aSyn or influences </w:t>
      </w:r>
      <w:r w:rsidR="00376880">
        <w:t>fibril structure.</w:t>
      </w:r>
    </w:p>
    <w:p w14:paraId="2F38D54B" w14:textId="77777777" w:rsidR="00D8089F" w:rsidRDefault="00D8089F" w:rsidP="00D77476">
      <w:pPr>
        <w:pStyle w:val="NoSpacing"/>
        <w:spacing w:line="360" w:lineRule="auto"/>
        <w:jc w:val="both"/>
      </w:pPr>
    </w:p>
    <w:p w14:paraId="7EDEAA30" w14:textId="6EE8854A" w:rsidR="00363F53" w:rsidRDefault="00363F53" w:rsidP="00D60884">
      <w:pPr>
        <w:pStyle w:val="NoSpacing"/>
        <w:spacing w:line="360" w:lineRule="auto"/>
        <w:jc w:val="both"/>
      </w:pPr>
      <w:r w:rsidRPr="00363F53">
        <w:lastRenderedPageBreak/>
        <w:t xml:space="preserve">As an IDP, aSyn samples many different conformations making it difficult to identify specific aggregation prone conformations, particularly using ensemble measurement techniques. By comparing the </w:t>
      </w:r>
      <w:proofErr w:type="spellStart"/>
      <w:r w:rsidRPr="00363F53">
        <w:t>submolecular</w:t>
      </w:r>
      <w:proofErr w:type="spellEnd"/>
      <w:r w:rsidRPr="00363F53">
        <w:t xml:space="preserve"> structure of calcium-bound aSyn variants, we instead sampled a skewed population and inferred differences in structure and aggregation propensity as part of a response to calcium binding at the monomer level. We attribute the increase in aggregation propensity upon calcium binding to structural perturbation, as we observe no correlation in </w:t>
      </w:r>
      <w:proofErr w:type="spellStart"/>
      <w:r w:rsidRPr="00363F53">
        <w:t>aSyn’s</w:t>
      </w:r>
      <w:proofErr w:type="spellEnd"/>
      <w:r w:rsidRPr="00363F53">
        <w:t xml:space="preserve"> aggregation propensity to its affinity to calcium, the number of calcium ions bound or charge neutralisation at the C-terminus. Instead, we observe different responses to calcium based on the presence of different long-range interactions which are likely already altered in non-calcium bound forms of the familial mutants and upon the addition of PO</w:t>
      </w:r>
      <w:r w:rsidRPr="00363F53">
        <w:rPr>
          <w:vertAlign w:val="subscript"/>
        </w:rPr>
        <w:t>4</w:t>
      </w:r>
      <w:r w:rsidR="00621ADE">
        <w:rPr>
          <w:vertAlign w:val="superscript"/>
        </w:rPr>
        <w:t>2-</w:t>
      </w:r>
      <w:r w:rsidRPr="00363F53">
        <w:t xml:space="preserve"> at S129 (Figure 7). Calcium binding leads to further disruption of intramolecular interactions with the C-terminus leading to unfolding and solvent exposure of the N-terminus. </w:t>
      </w:r>
    </w:p>
    <w:p w14:paraId="52C466AC" w14:textId="6A941C9A" w:rsidR="00ED7727" w:rsidRDefault="00363F53" w:rsidP="00D60884">
      <w:pPr>
        <w:pStyle w:val="NoSpacing"/>
        <w:spacing w:line="360" w:lineRule="auto"/>
        <w:jc w:val="both"/>
      </w:pPr>
      <w:r w:rsidRPr="00363F53">
        <w:t>The extent of N-terminus solvent exposure upon disruption of contacts with the C-terminus when calcium binds correlates with the aggregation propensity of aSyn; pS129, A53E, and to some extent D121A aSyn</w:t>
      </w:r>
      <w:r w:rsidR="00FE6C90">
        <w:t>,</w:t>
      </w:r>
      <w:r w:rsidRPr="00363F53">
        <w:t xml:space="preserve"> were less solvent exposed at the N-terminus and had a reduced aggregation propensity compared to WT and A53T aSyn which were more aggregation prone and more solvent exposed at the N-terminus and at the beginning of the NAC region (Figure 7). It remains to be determined whether these different structures of monomeric aSyn can be isolated</w:t>
      </w:r>
      <w:r w:rsidR="00376880">
        <w:t xml:space="preserve">, </w:t>
      </w:r>
      <w:r w:rsidR="00FE6C90">
        <w:t xml:space="preserve">potentially </w:t>
      </w:r>
      <w:r w:rsidR="00376880">
        <w:t>by cross-linking to stabilise structures,</w:t>
      </w:r>
      <w:r w:rsidRPr="00363F53">
        <w:t xml:space="preserve"> or whether they have different toxicity in cells. </w:t>
      </w:r>
      <w:r w:rsidR="00FE6C90">
        <w:t xml:space="preserve">Furthermore, it would be interesting to investigate whether these conformational changes </w:t>
      </w:r>
      <w:r w:rsidR="00186976">
        <w:t xml:space="preserve">and exposure of the N-terminus </w:t>
      </w:r>
      <w:r w:rsidR="00FE6C90">
        <w:t>lead to a reduction of the energy barrier needed to be overcome for dimer formation</w:t>
      </w:r>
      <w:r w:rsidR="00134BEF">
        <w:t>, which  may be crucial in determining whether aSyn becomes pathological or not</w:t>
      </w:r>
      <w:r w:rsidR="00FE6C90">
        <w:t xml:space="preserve">. </w:t>
      </w:r>
      <w:r w:rsidRPr="00363F53">
        <w:t xml:space="preserve">This would be an important step in rationalising the molecular mechanism of PD and other </w:t>
      </w:r>
      <w:proofErr w:type="spellStart"/>
      <w:r w:rsidRPr="00363F53">
        <w:t>synucleinopathies</w:t>
      </w:r>
      <w:proofErr w:type="spellEnd"/>
      <w:r w:rsidRPr="00363F53">
        <w:t xml:space="preserve"> by identifying which local environmental factors bias the monomeric population towards the most disease-relevant conformers. Finally, targeting the most disease-relevant monomeric structures of aSyn and to convert them into ‘normal’ functional structures could open up a new chapter in the design of therapeutics against PD and other </w:t>
      </w:r>
      <w:proofErr w:type="spellStart"/>
      <w:r w:rsidRPr="00363F53">
        <w:t>synucleinopathies</w:t>
      </w:r>
      <w:proofErr w:type="spellEnd"/>
      <w:r w:rsidRPr="00363F53">
        <w:t>.</w:t>
      </w:r>
    </w:p>
    <w:p w14:paraId="444BBFA8" w14:textId="18E93431" w:rsidR="00ED7727" w:rsidRDefault="00ED7727" w:rsidP="00D60884">
      <w:pPr>
        <w:pStyle w:val="NoSpacing"/>
        <w:spacing w:line="360" w:lineRule="auto"/>
        <w:jc w:val="both"/>
      </w:pPr>
    </w:p>
    <w:p w14:paraId="66F2FD13" w14:textId="644AA6DD" w:rsidR="00ED7727" w:rsidRPr="002E7EC5" w:rsidRDefault="00ED7727" w:rsidP="00D60884">
      <w:pPr>
        <w:pStyle w:val="NoSpacing"/>
        <w:spacing w:line="360" w:lineRule="auto"/>
        <w:jc w:val="both"/>
      </w:pPr>
    </w:p>
    <w:p w14:paraId="4BDAD010" w14:textId="77777777" w:rsidR="00A22DCE" w:rsidRDefault="00A22DCE" w:rsidP="00F7159B">
      <w:pPr>
        <w:spacing w:line="360" w:lineRule="auto"/>
      </w:pPr>
      <w:r>
        <w:br w:type="page"/>
      </w:r>
    </w:p>
    <w:p w14:paraId="246CE1C9" w14:textId="77777777" w:rsidR="005D335F" w:rsidRPr="00300AF8" w:rsidRDefault="005D335F" w:rsidP="00D77476">
      <w:pPr>
        <w:spacing w:line="360" w:lineRule="auto"/>
        <w:jc w:val="both"/>
        <w:rPr>
          <w:b/>
        </w:rPr>
      </w:pPr>
      <w:r w:rsidRPr="00300AF8">
        <w:rPr>
          <w:b/>
        </w:rPr>
        <w:lastRenderedPageBreak/>
        <w:t>Methods</w:t>
      </w:r>
    </w:p>
    <w:p w14:paraId="001EAC0C" w14:textId="77777777" w:rsidR="005D335F" w:rsidRPr="00300AF8" w:rsidRDefault="005D335F" w:rsidP="00D77476">
      <w:pPr>
        <w:spacing w:line="360" w:lineRule="auto"/>
        <w:jc w:val="both"/>
        <w:rPr>
          <w:b/>
        </w:rPr>
      </w:pPr>
      <w:r w:rsidRPr="00300AF8">
        <w:rPr>
          <w:b/>
        </w:rPr>
        <w:t>Purification of aSyn</w:t>
      </w:r>
    </w:p>
    <w:p w14:paraId="33BAFB89" w14:textId="37D6A2DE" w:rsidR="005D335F" w:rsidRDefault="005D335F" w:rsidP="00D77476">
      <w:pPr>
        <w:spacing w:line="360" w:lineRule="auto"/>
        <w:jc w:val="both"/>
      </w:pPr>
      <w:r w:rsidRPr="00300AF8">
        <w:t>Human wild-type (WT) alpha-synuclein was expressed using plasmid pT7-7</w:t>
      </w:r>
      <w:r>
        <w:t xml:space="preserve">. </w:t>
      </w:r>
      <w:r w:rsidR="0077524A">
        <w:t xml:space="preserve">ASyn mutations </w:t>
      </w:r>
      <w:r>
        <w:t xml:space="preserve">D115A, D119A, D121A, A30P, E46K, A53T, A53E, H50Q and G51D were introduced using the </w:t>
      </w:r>
      <w:proofErr w:type="spellStart"/>
      <w:r>
        <w:t>QuikChange</w:t>
      </w:r>
      <w:proofErr w:type="spellEnd"/>
      <w:r>
        <w:t xml:space="preserve"> Lighting Site-Directed Mutagenesis K (Agilent Technologies LDA UK Limited, UK)</w:t>
      </w:r>
      <w:r w:rsidR="00E63830">
        <w:t>, primer list is available on the Cambridge University Repository</w:t>
      </w:r>
      <w:r w:rsidR="005A79D9">
        <w:t xml:space="preserve"> and Supplementary Table 13</w:t>
      </w:r>
      <w:r w:rsidR="00E63830">
        <w:t>,</w:t>
      </w:r>
      <w:r>
        <w:t xml:space="preserve"> and confirmed by sequencing (Source Bioscience, Nottingham, UK). The plasmids were heat shocked into</w:t>
      </w:r>
      <w:r w:rsidRPr="00300AF8">
        <w:t xml:space="preserve"> Escherichia coli One Shot® BL21 STAR™ (DE3) (Invitrogen, Thermo Fisher Scientific, Cheshire, UK)</w:t>
      </w:r>
      <w:r w:rsidR="00E63830">
        <w:t xml:space="preserve"> and protein expression induced with</w:t>
      </w:r>
      <w:r w:rsidR="00C10D01" w:rsidRPr="00C10D01">
        <w:t xml:space="preserve"> </w:t>
      </w:r>
      <w:r w:rsidR="00C10D01">
        <w:t>i</w:t>
      </w:r>
      <w:r w:rsidR="00C10D01" w:rsidRPr="00C10D01">
        <w:t>sopropyl β-d-1-thiogalactopyranoside</w:t>
      </w:r>
      <w:r w:rsidR="00C10D01">
        <w:t xml:space="preserve"> (</w:t>
      </w:r>
      <w:r w:rsidR="00E63830">
        <w:t>IPTG</w:t>
      </w:r>
      <w:r w:rsidR="00C10D01">
        <w:t>)</w:t>
      </w:r>
      <w:r w:rsidR="00E63830">
        <w:t>.</w:t>
      </w:r>
      <w:r w:rsidR="00833DBE">
        <w:t xml:space="preserve"> </w:t>
      </w:r>
      <w:r w:rsidR="00E63830">
        <w:t xml:space="preserve">Recombinant </w:t>
      </w:r>
      <w:r>
        <w:t>aSyn was</w:t>
      </w:r>
      <w:r w:rsidRPr="00300AF8">
        <w:t xml:space="preserve"> purified using ion exchange </w:t>
      </w:r>
      <w:r>
        <w:t>chromatography (IEX)</w:t>
      </w:r>
      <w:r w:rsidR="00E63830">
        <w:t xml:space="preserve"> in buffer A (10 mM Tris, 1 mM EDTA pH 8) against a linear gradient of buffer B (10 mM Tris, 1 mM EDTA, 0.5 M NaCl pH 8)</w:t>
      </w:r>
      <w:r>
        <w:t xml:space="preserve"> </w:t>
      </w:r>
      <w:r w:rsidRPr="00300AF8">
        <w:t xml:space="preserve">on a </w:t>
      </w:r>
      <w:proofErr w:type="spellStart"/>
      <w:r w:rsidRPr="00300AF8">
        <w:t>HiPrep</w:t>
      </w:r>
      <w:proofErr w:type="spellEnd"/>
      <w:r w:rsidRPr="00300AF8">
        <w:t xml:space="preserve"> Q FF 16/10 anion exchange column (</w:t>
      </w:r>
      <w:r>
        <w:t>GE Healthcare, Uppsala, Sweden)</w:t>
      </w:r>
      <w:r w:rsidRPr="00300AF8">
        <w:t xml:space="preserve">. </w:t>
      </w:r>
      <w:r>
        <w:t>aSyn</w:t>
      </w:r>
      <w:r w:rsidRPr="00300AF8">
        <w:t xml:space="preserve"> was then </w:t>
      </w:r>
      <w:r w:rsidR="00E63830">
        <w:t>dialysed into buffer C (1 M (NH</w:t>
      </w:r>
      <w:r w:rsidR="00E63830" w:rsidRPr="00846F41">
        <w:rPr>
          <w:vertAlign w:val="subscript"/>
        </w:rPr>
        <w:t>4</w:t>
      </w:r>
      <w:r w:rsidR="00E63830">
        <w:t>)</w:t>
      </w:r>
      <w:r w:rsidR="00E63830" w:rsidRPr="00846F41">
        <w:rPr>
          <w:vertAlign w:val="subscript"/>
        </w:rPr>
        <w:t>2</w:t>
      </w:r>
      <w:r w:rsidR="00E63830">
        <w:t>SO</w:t>
      </w:r>
      <w:r w:rsidR="00E63830" w:rsidRPr="00846F41">
        <w:rPr>
          <w:vertAlign w:val="subscript"/>
        </w:rPr>
        <w:t>4</w:t>
      </w:r>
      <w:r w:rsidR="00E63830">
        <w:t xml:space="preserve">, 50 mM Bis-Tris pH7) and </w:t>
      </w:r>
      <w:r w:rsidRPr="00300AF8">
        <w:t xml:space="preserve">further purified on a </w:t>
      </w:r>
      <w:proofErr w:type="spellStart"/>
      <w:r w:rsidRPr="00300AF8">
        <w:t>HiPrep</w:t>
      </w:r>
      <w:proofErr w:type="spellEnd"/>
      <w:r w:rsidRPr="00300AF8">
        <w:t xml:space="preserve"> Phenyl FF 16/10 (High Sub) hydrophobic int</w:t>
      </w:r>
      <w:r>
        <w:t xml:space="preserve">eraction chromatography (HIC) column </w:t>
      </w:r>
      <w:bookmarkStart w:id="1" w:name="OLE_LINK94"/>
      <w:bookmarkStart w:id="2" w:name="OLE_LINK95"/>
      <w:bookmarkStart w:id="3" w:name="OLE_LINK96"/>
      <w:r>
        <w:t>(GE Healthcare)</w:t>
      </w:r>
      <w:bookmarkEnd w:id="1"/>
      <w:bookmarkEnd w:id="2"/>
      <w:bookmarkEnd w:id="3"/>
      <w:r w:rsidR="00E63830">
        <w:t xml:space="preserve"> and eluted against buffer D (50 mM Bis-Tris pH7)</w:t>
      </w:r>
      <w:r w:rsidRPr="00300AF8">
        <w:t xml:space="preserve">. </w:t>
      </w:r>
      <w:r>
        <w:t xml:space="preserve">aSyn was extensively dialysed against 20 mM Tris pH 7.2 and concentrated using 10 k MWCO </w:t>
      </w:r>
      <w:proofErr w:type="spellStart"/>
      <w:r>
        <w:t>amicon</w:t>
      </w:r>
      <w:proofErr w:type="spellEnd"/>
      <w:r>
        <w:t xml:space="preserve"> centrifugal filtration devices (Merck </w:t>
      </w:r>
      <w:proofErr w:type="spellStart"/>
      <w:r w:rsidRPr="00300AF8">
        <w:t>KGaA</w:t>
      </w:r>
      <w:proofErr w:type="spellEnd"/>
      <w:r w:rsidRPr="00300AF8">
        <w:t>, Darmstadt, Germany</w:t>
      </w:r>
      <w:r>
        <w:t xml:space="preserve">) and stored at </w:t>
      </w:r>
      <w:r w:rsidRPr="00300AF8">
        <w:t>−80 °C</w:t>
      </w:r>
      <w:r>
        <w:t xml:space="preserve"> until use. Before experiments 1 mL of aSyn was further purified using a </w:t>
      </w:r>
      <w:proofErr w:type="spellStart"/>
      <w:r>
        <w:t>Superdex</w:t>
      </w:r>
      <w:proofErr w:type="spellEnd"/>
      <w:r>
        <w:t xml:space="preserve"> 75 </w:t>
      </w:r>
      <w:proofErr w:type="spellStart"/>
      <w:r>
        <w:t>pg</w:t>
      </w:r>
      <w:proofErr w:type="spellEnd"/>
      <w:r>
        <w:t xml:space="preserve"> 10/300 GL size exclusion chromatography (SEC) column (GE Healthcare) </w:t>
      </w:r>
      <w:r w:rsidR="00764F4B">
        <w:t xml:space="preserve">in 20 mM Tris pH 7.2 </w:t>
      </w:r>
      <w:r>
        <w:t xml:space="preserve">to obtain monomeric protein. </w:t>
      </w:r>
      <w:r w:rsidRPr="00300AF8">
        <w:t>Purification was performed</w:t>
      </w:r>
      <w:r>
        <w:t xml:space="preserve"> on an ÄKTA Pure (GE Healthcare</w:t>
      </w:r>
      <w:r w:rsidRPr="00300AF8">
        <w:t xml:space="preserve">). </w:t>
      </w:r>
      <w:r>
        <w:t xml:space="preserve">Protein concentration was determined by measuring the absorbance at 280 nm on a </w:t>
      </w:r>
      <w:proofErr w:type="spellStart"/>
      <w:r>
        <w:t>Nanovue</w:t>
      </w:r>
      <w:proofErr w:type="spellEnd"/>
      <w:r>
        <w:t xml:space="preserve"> spectrometer using the extinction coefficient 5960 M</w:t>
      </w:r>
      <w:r w:rsidRPr="00300AF8">
        <w:rPr>
          <w:vertAlign w:val="superscript"/>
        </w:rPr>
        <w:t>-1</w:t>
      </w:r>
      <w:r>
        <w:t>cm</w:t>
      </w:r>
      <w:r w:rsidRPr="00300AF8">
        <w:rPr>
          <w:vertAlign w:val="superscript"/>
        </w:rPr>
        <w:t>-1</w:t>
      </w:r>
      <w:r>
        <w:t>.</w:t>
      </w:r>
    </w:p>
    <w:p w14:paraId="275092EF" w14:textId="0151084C" w:rsidR="005D335F" w:rsidRDefault="005D335F" w:rsidP="00D77476">
      <w:pPr>
        <w:spacing w:line="360" w:lineRule="auto"/>
        <w:jc w:val="both"/>
      </w:pPr>
      <w:r>
        <w:t xml:space="preserve">Protein purity was analysed using analytical reversed phase chromatography. Each purification batch was analysed using a </w:t>
      </w:r>
      <w:r w:rsidRPr="00300AF8">
        <w:t>Discovery BIO Wide Pore C18</w:t>
      </w:r>
      <w:r>
        <w:t xml:space="preserve"> column</w:t>
      </w:r>
      <w:r w:rsidRPr="00300AF8">
        <w:t>, 15cm</w:t>
      </w:r>
      <w:r>
        <w:t xml:space="preserve"> </w:t>
      </w:r>
      <w:r w:rsidRPr="00300AF8">
        <w:t>x</w:t>
      </w:r>
      <w:r>
        <w:t xml:space="preserve"> </w:t>
      </w:r>
      <w:r w:rsidRPr="00300AF8">
        <w:t xml:space="preserve">4.6mm, 5µm, </w:t>
      </w:r>
      <w:r>
        <w:t xml:space="preserve">column </w:t>
      </w:r>
      <w:r w:rsidRPr="00300AF8">
        <w:t>with a guard cartridge (</w:t>
      </w:r>
      <w:proofErr w:type="spellStart"/>
      <w:r>
        <w:t>Supelco</w:t>
      </w:r>
      <w:proofErr w:type="spellEnd"/>
      <w:r>
        <w:t xml:space="preserve"> by </w:t>
      </w:r>
      <w:r w:rsidRPr="00300AF8">
        <w:t>Sigma-Aldrich)</w:t>
      </w:r>
      <w:r>
        <w:t xml:space="preserve"> with a gradient of 95% to 5% H</w:t>
      </w:r>
      <w:r w:rsidRPr="00300AF8">
        <w:rPr>
          <w:vertAlign w:val="subscript"/>
        </w:rPr>
        <w:t>2</w:t>
      </w:r>
      <w:r>
        <w:t xml:space="preserve">O + 0.1% </w:t>
      </w:r>
      <w:proofErr w:type="spellStart"/>
      <w:r>
        <w:t>trifluroacetic</w:t>
      </w:r>
      <w:proofErr w:type="spellEnd"/>
      <w:r>
        <w:t xml:space="preserve"> acid (TFA) and acetonitrile + 0.1% TFA at a flow-rate of 1 mL/min. The elution profile was monitored by UV absorption at 220 nm and 280 nm on an Agilent 1260 Infinity HPLC system (Agilent Technologies </w:t>
      </w:r>
      <w:bookmarkStart w:id="4" w:name="OLE_LINK103"/>
      <w:bookmarkStart w:id="5" w:name="OLE_LINK104"/>
      <w:r>
        <w:t>LDA UK Limited, UK</w:t>
      </w:r>
      <w:bookmarkEnd w:id="4"/>
      <w:bookmarkEnd w:id="5"/>
      <w:r>
        <w:t xml:space="preserve">) equipped with an autosampler and a diode-array detector (a representative chromatograph </w:t>
      </w:r>
      <w:r w:rsidRPr="00EE2469">
        <w:t xml:space="preserve">is shown in </w:t>
      </w:r>
      <w:r w:rsidR="00A573F9">
        <w:t xml:space="preserve">Supplementary </w:t>
      </w:r>
      <w:r w:rsidRPr="00EE2469">
        <w:t xml:space="preserve">Figure </w:t>
      </w:r>
      <w:r w:rsidR="00C4243B">
        <w:t>20</w:t>
      </w:r>
      <w:r w:rsidR="00BD0E9C">
        <w:t>a</w:t>
      </w:r>
      <w:r w:rsidR="00A573F9">
        <w:t xml:space="preserve"> and a Coomassie blue stained SDS-PAGE gel of monomeric pure aSyn in 20b</w:t>
      </w:r>
      <w:r w:rsidRPr="00EE2469">
        <w:t xml:space="preserve">). Protein purity fell between </w:t>
      </w:r>
      <w:r w:rsidR="00055397" w:rsidRPr="00EE2469">
        <w:t>89</w:t>
      </w:r>
      <w:r w:rsidRPr="00EE2469">
        <w:t xml:space="preserve"> - </w:t>
      </w:r>
      <w:r w:rsidR="00055397" w:rsidRPr="00EE2469">
        <w:t>96</w:t>
      </w:r>
      <w:r w:rsidRPr="00EE2469">
        <w:t xml:space="preserve"> %.</w:t>
      </w:r>
      <w:r w:rsidR="00833DBE">
        <w:t xml:space="preserve"> Figures of the chromatographs were created in and exported from </w:t>
      </w:r>
      <w:proofErr w:type="spellStart"/>
      <w:r w:rsidR="00833DBE">
        <w:t>MatLab</w:t>
      </w:r>
      <w:proofErr w:type="spellEnd"/>
      <w:r w:rsidR="00833DBE">
        <w:t xml:space="preserve"> R2019a (MathWorks, USA).</w:t>
      </w:r>
    </w:p>
    <w:p w14:paraId="5921ACB8" w14:textId="77777777" w:rsidR="005D335F" w:rsidRDefault="005D335F" w:rsidP="00D77476">
      <w:pPr>
        <w:spacing w:line="360" w:lineRule="auto"/>
        <w:jc w:val="both"/>
        <w:rPr>
          <w:b/>
        </w:rPr>
      </w:pPr>
      <w:r w:rsidRPr="00300AF8">
        <w:rPr>
          <w:b/>
        </w:rPr>
        <w:t xml:space="preserve">Purification of aSyn for </w:t>
      </w:r>
      <w:r>
        <w:rPr>
          <w:b/>
        </w:rPr>
        <w:t xml:space="preserve">nuclear magnetic resonance experiments </w:t>
      </w:r>
    </w:p>
    <w:p w14:paraId="76840560" w14:textId="54997035" w:rsidR="00363F53" w:rsidRPr="00363F53" w:rsidRDefault="00363F53" w:rsidP="00E52CF4">
      <w:pPr>
        <w:spacing w:line="360" w:lineRule="auto"/>
        <w:jc w:val="both"/>
      </w:pPr>
      <w:r w:rsidRPr="00363F53">
        <w:lastRenderedPageBreak/>
        <w:t xml:space="preserve">E. coli was grown in isotope-enriched M9 minimal medium containing 15N ammonium chloride, and 13C-glucose </w:t>
      </w:r>
      <w:r w:rsidRPr="00363F53">
        <w:fldChar w:fldCharType="begin" w:fldLock="1"/>
      </w:r>
      <w:r w:rsidR="00373BC0">
        <w:instrText>ADDIN CSL_CITATION {"citationItems":[{"id":"ITEM-1","itemData":{"DOI":"10.1038/ncomms12563","ISSN":"2041-1723","author":[{"dropping-particle":"","family":"Fusco","given":"Giuliana","non-dropping-particle":"","parse-names":false,"suffix":""},{"dropping-particle":"","family":"Pape","given":"Tillmann","non-dropping-particle":"","parse-names":false,"suffix":""},{"dropping-particle":"","family":"Stephens","given":"Amberley D.","non-dropping-particle":"","parse-names":false,"suffix":""},{"dropping-particle":"","family":"Mahou","given":"Pierre","non-dropping-particle":"","parse-names":false,"suffix":""},{"dropping-particle":"","family":"Costa","given":"Ana Rita","non-dropping-particle":"","parse-names":false,"suffix":""},{"dropping-particle":"","family":"Kaminski","given":"Clemens F.","non-dropping-particle":"","parse-names":false,"suffix":""},{"dropping-particle":"","family":"Kaminski Schierle","given":"Gabriele S.","non-dropping-particle":"","parse-names":false,"suffix":""},{"dropping-particle":"","family":"Vendruscolo","given":"Michele","non-dropping-particle":"","parse-names":false,"suffix":""},{"dropping-particle":"","family":"Veglia","given":"Gianluigi","non-dropping-particle":"","parse-names":false,"suffix":""},{"dropping-particle":"","family":"Dobson","given":"Christopher M.","non-dropping-particle":"","parse-names":false,"suffix":""},{"dropping-particle":"","family":"Simone","given":"Alfonso","non-dropping-particle":"De","parse-names":false,"suffix":""},{"dropping-particle":"","family":"Luk","given":"K. C.","non-dropping-particle":"","parse-names":false,"suffix":""},{"dropping-particle":"","family":"Dobson","given":"C. M.","non-dropping-particle":"","parse-names":false,"suffix":""},{"dropping-particle":"","family":"Uversky","given":"V. N.","non-dropping-particle":"","parse-names":false,"suffix":""},{"dropping-particle":"","family":"Eliezer","given":"D.","non-dropping-particle":"","parse-names":false,"suffix":""},{"dropping-particle":"","family":"Chiti","given":"F.","non-dropping-particle":"","parse-names":false,"suffix":""},{"dropping-particle":"","family":"Dobson","given":"C. M.","non-dropping-particle":"","parse-names":false,"suffix":""},{"dropping-particle":"","family":"Luth","given":"E. S.","non-dropping-particle":"","parse-names":false,"suffix":""},{"dropping-particle":"","family":"Stavrovskaya","given":"I. G.","non-dropping-particle":"","parse-names":false,"suffix":""},{"dropping-particle":"","family":"Bartels","given":"T.","non-dropping-particle":"","parse-names":false,"suffix":""},{"dropping-particle":"","family":"Kristal","given":"B. S.","non-dropping-particle":"","parse-names":false,"suffix":""},{"dropping-particle":"","family":"Selkoe","given":"D. J.","non-dropping-particle":"","parse-names":false,"suffix":""},{"dropping-particle":"","family":"Goedert","given":"M.","non-dropping-particle":"","parse-names":false,"suffix":""},{"dropping-particle":"","family":"Spillantini","given":"M. G.","non-dropping-particle":"","parse-names":false,"suffix":""},{"dropping-particle":"Del","family":"Tredici","given":"K.","non-dropping-particle":"","parse-names":false,"suffix":""},{"dropping-particle":"","family":"Braak","given":"H.","non-dropping-particle":"","parse-names":false,"suffix":""},{"dropping-particle":"","family":"Bosco","given":"D. A.","non-dropping-particle":"","parse-names":false,"suffix":""},{"dropping-particle":"","family":"Jucker","given":"M.","non-dropping-particle":"","parse-names":false,"suffix":""},{"dropping-particle":"","family":"Walker","given":"L. C.","non-dropping-particle":"","parse-names":false,"suffix":""},{"dropping-particle":"","family":"Polymeropoulos","given":"M. H.","non-dropping-particle":"","parse-names":false,"suffix":""},{"dropping-particle":"","family":"Singleton","given":"A. B.","non-dropping-particle":"","parse-names":false,"suffix":""},{"dropping-particle":"","family":"Auluck","given":"P. K.","non-dropping-particle":"","parse-names":false,"suffix":""},{"dropping-particle":"","family":"Caraveo","given":"G.","non-dropping-particle":"","parse-names":false,"suffix":""},{"dropping-particle":"","family":"Lindquist","given":"S.","non-dropping-particle":"","parse-names":false,"suffix":""},{"dropping-particle":"","family":"Wislet-Gendebien","given":"S.","non-dropping-particle":"","parse-names":false,"suffix":""},{"dropping-particle":"","family":"Gitler","given":"A. D.","non-dropping-particle":"","parse-names":false,"suffix":""},{"dropping-particle":"","family":"Diao","given":"J.","non-dropping-particle":"","parse-names":false,"suffix":""},{"dropping-particle":"","family":"Bodner","given":"C. R.","non-dropping-particle":"","parse-names":false,"suffix":""},{"dropping-particle":"","family":"Dobson","given":"C. M.","non-dropping-particle":"","parse-names":false,"suffix":""},{"dropping-particle":"","family":"Bax","given":"A.","non-dropping-particle":"","parse-names":false,"suffix":""},{"dropping-particle":"","family":"Soper","given":"J. H.","non-dropping-particle":"","parse-names":false,"suffix":""},{"dropping-particle":"","family":"Lee","given":"H. J.","non-dropping-particle":"","parse-names":false,"suffix":""},{"dropping-particle":"","family":"Choi","given":"C.","non-dropping-particle":"","parse-names":false,"suffix":""},{"dropping-particle":"","family":"Lee","given":"S. J.","non-dropping-particle":"","parse-names":false,"suffix":""},{"dropping-particle":"","family":"Weinreb","given":"P. H.","non-dropping-particle":"","parse-names":false,"suffix":""},{"dropping-particle":"","family":"Zhen","given":"W.","non-dropping-particle":"","parse-names":false,"suffix":""},{"dropping-particle":"","family":"Poon","given":"A. W.","non-dropping-particle":"","parse-names":false,"suffix":""},{"dropping-particle":"","family":"Conway","given":"K. A.","non-dropping-particle":"","parse-names":false,"suffix":""},{"dropping-particle":"","family":"Lansbury","given":"P. T.","non-dropping-particle":"","parse-names":false,"suffix":""},{"dropping-particle":"","family":"Theillet","given":"F. X.","non-dropping-particle":"","parse-names":false,"suffix":""},{"dropping-particle":"","family":"Felli","given":"I. C.","non-dropping-particle":"","parse-names":false,"suffix":""},{"dropping-particle":"","family":"Gonnelli","given":"L.","non-dropping-particle":"","parse-names":false,"suffix":""},{"dropping-particle":"","family":"Pierattelli","given":"R.","non-dropping-particle":"","parse-names":false,"suffix":""},{"dropping-particle":"","family":"Maltsev","given":"A. S.","non-dropping-particle":"","parse-names":false,"suffix":""},{"dropping-particle":"","family":"Ying","given":"J.","non-dropping-particle":"","parse-names":false,"suffix":""},{"dropping-particle":"","family":"Bax","given":"A.","non-dropping-particle":"","parse-names":false,"suffix":""},{"dropping-particle":"","family":"Ulmer","given":"T. S.","non-dropping-particle":"","parse-names":false,"suffix":""},{"dropping-particle":"","family":"Bax","given":"A.","non-dropping-particle":"","parse-names":false,"suffix":""},{"dropping-particle":"","family":"Kang","given":"L.","non-dropping-particle":"","parse-names":false,"suffix":""},{"dropping-particle":"","family":"Maltsev","given":"A. S.","non-dropping-particle":"","parse-names":false,"suffix":""},{"dropping-particle":"","family":"Chen","given":"J.","non-dropping-particle":"","parse-names":false,"suffix":""},{"dropping-particle":"","family":"Levine","given":"R. L.","non-dropping-particle":"","parse-names":false,"suffix":""},{"dropping-particle":"","family":"Bax","given":"A.","non-dropping-particle":"","parse-names":false,"suffix":""},{"dropping-particle":"","family":"Leftin","given":"A.","non-dropping-particle":"","parse-names":false,"suffix":""},{"dropping-particle":"","family":"Job","given":"C.","non-dropping-particle":"","parse-names":false,"suffix":""},{"dropping-particle":"","family":"Beyer","given":"K.","non-dropping-particle":"","parse-names":false,"suffix":""},{"dropping-particle":"","family":"Brown","given":"M. F.","non-dropping-particle":"","parse-names":false,"suffix":""},{"dropping-particle":"","family":"Fauvet","given":"B.","non-dropping-particle":"","parse-names":false,"suffix":""},{"dropping-particle":"","family":"Jao","given":"C. C.","non-dropping-particle":"","parse-names":false,"suffix":""},{"dropping-particle":"","family":"Hegde","given":"B. G.","non-dropping-particle":"","parse-names":false,"suffix":""},{"dropping-particle":"","family":"Chen","given":"J.","non-dropping-particle":"","parse-names":false,"suffix":""},{"dropping-particle":"","family":"Haworth","given":"I. S.","non-dropping-particle":"","parse-names":false,"suffix":""},{"dropping-particle":"","family":"Langen","given":"R.","non-dropping-particle":"","parse-names":false,"suffix":""},{"dropping-particle":"","family":"Fusco","given":"G.","non-dropping-particle":"","parse-names":false,"suffix":""},{"dropping-particle":"","family":"Bodner","given":"C. R.","non-dropping-particle":"","parse-names":false,"suffix":""},{"dropping-particle":"","family":"Maltsev","given":"A. S.","non-dropping-particle":"","parse-names":false,"suffix":""},{"dropping-particle":"","family":"Dobson","given":"C. M.","non-dropping-particle":"","parse-names":false,"suffix":""},{"dropping-particle":"","family":"Bax","given":"A.","non-dropping-particle":"","parse-names":false,"suffix":""},{"dropping-particle":"","family":"Bussell","given":"R.","non-dropping-particle":"","parse-names":false,"suffix":""},{"dropping-particle":"","family":"Eliezer","given":"D.","non-dropping-particle":"","parse-names":false,"suffix":""},{"dropping-particle":"","family":"Kruger","given":"R.","non-dropping-particle":"","parse-names":false,"suffix":""},{"dropping-particle":"","family":"Zarranz","given":"J. J.","non-dropping-particle":"","parse-names":false,"suffix":""},{"dropping-particle":"","family":"Su","given":"Y.","non-dropping-particle":"","parse-names":false,"suffix":""},{"dropping-particle":"","family":"Andreas","given":"L.","non-dropping-particle":"","parse-names":false,"suffix":""},{"dropping-particle":"","family":"Griffin","given":"R. G.","non-dropping-particle":"","parse-names":false,"suffix":""},{"dropping-particle":"","family":"Reif","given":"B.","non-dropping-particle":"","parse-names":false,"suffix":""},{"dropping-particle":"","family":"Baker","given":"L. A.","non-dropping-particle":"","parse-names":false,"suffix":""},{"dropping-particle":"","family":"Baldus","given":"M.","non-dropping-particle":"","parse-names":false,"suffix":""},{"dropping-particle":"","family":"Huang","given":"H.","non-dropping-particle":"","parse-names":false,"suffix":""},{"dropping-particle":"","family":"Milojevic","given":"J.","non-dropping-particle":"","parse-names":false,"suffix":""},{"dropping-particle":"","family":"Melacini","given":"G.","non-dropping-particle":"","parse-names":false,"suffix":""},{"dropping-particle":"","family":"Fawzi","given":"N. L.","non-dropping-particle":"","parse-names":false,"suffix":""},{"dropping-particle":"","family":"Ying","given":"J.","non-dropping-particle":"","parse-names":false,"suffix":""},{"dropping-particle":"","family":"Ghirlando","given":"R.","non-dropping-particle":"","parse-names":false,"suffix":""},{"dropping-particle":"","family":"Torchia","given":"D. A.","non-dropping-particle":"","parse-names":false,"suffix":""},{"dropping-particle":"","family":"Clore","given":"G. M.","non-dropping-particle":"","parse-names":false,"suffix":""},{"dropping-particle":"","family":"Vallurupalli","given":"P.","non-dropping-particle":"","parse-names":false,"suffix":""},{"dropping-particle":"","family":"Bouvignies","given":"G.","non-dropping-particle":"","parse-names":false,"suffix":""},{"dropping-particle":"","family":"Kay","given":"L. E.","non-dropping-particle":"","parse-names":false,"suffix":""},{"dropping-particle":"","family":"Sekhar","given":"A.","non-dropping-particle":"","parse-names":false,"suffix":""},{"dropping-particle":"","family":"Rosenzweig","given":"R.","non-dropping-particle":"","parse-names":false,"suffix":""},{"dropping-particle":"","family":"Bouvignies","given":"G.","non-dropping-particle":"","parse-names":false,"suffix":""},{"dropping-particle":"","family":"Kay","given":"L. E.","non-dropping-particle":"","parse-names":false,"suffix":""},{"dropping-particle":"","family":"Milojevic","given":"J.","non-dropping-particle":"","parse-names":false,"suffix":""},{"dropping-particle":"","family":"Esposito","given":"V.","non-dropping-particle":"","parse-names":false,"suffix":""},{"dropping-particle":"","family":"Das","given":"R.","non-dropping-particle":"","parse-names":false,"suffix":""},{"dropping-particle":"","family":"Melacini","given":"G.","non-dropping-particle":"","parse-names":false,"suffix":""},{"dropping-particle":"","family":"Morris","given":"G. A.","non-dropping-particle":"","parse-names":false,"suffix":""},{"dropping-particle":"","family":"Freeman","given":"R.","non-dropping-particle":"","parse-names":false,"suffix":""},{"dropping-particle":"","family":"Takegoshi","given":"K.","non-dropping-particle":"","parse-names":false,"suffix":""},{"dropping-particle":"","family":"Terao","given":"T.","non-dropping-particle":"","parse-names":false,"suffix":""},{"dropping-particle":"","family":"Rao","given":"J. N.","non-dropping-particle":"","parse-names":false,"suffix":""},{"dropping-particle":"","family":"Jao","given":"C. C.","non-dropping-particle":"","parse-names":false,"suffix":""},{"dropping-particle":"","family":"Hegde","given":"B. G.","non-dropping-particle":"","parse-names":false,"suffix":""},{"dropping-particle":"","family":"Langen","given":"R.","non-dropping-particle":"","parse-names":false,"suffix":""},{"dropping-particle":"","family":"Ulmer","given":"T. S.","non-dropping-particle":"","parse-names":false,"suffix":""},{"dropping-particle":"","family":"Ahmed","given":"S.","non-dropping-particle":"","parse-names":false,"suffix":""},{"dropping-particle":"","family":"Holt","given":"M.","non-dropping-particle":"","parse-names":false,"suffix":""},{"dropping-particle":"","family":"Riedel","given":"D.","non-dropping-particle":"","parse-names":false,"suffix":""},{"dropping-particle":"","family":"Jahn","given":"R.","non-dropping-particle":"","parse-names":false,"suffix":""},{"dropping-particle":"","family":"Takamori","given":"S.","non-dropping-particle":"","parse-names":false,"suffix":""},{"dropping-particle":"","family":"Pinotsi","given":"D.","non-dropping-particle":"","parse-names":false,"suffix":""},{"dropping-particle":"De","family":"Simone","given":"A.","non-dropping-particle":"","parse-names":false,"suffix":""},{"dropping-particle":"","family":"Snead","given":"D.","non-dropping-particle":"","parse-names":false,"suffix":""},{"dropping-particle":"","family":"Eliezer","given":"D.","non-dropping-particle":"","parse-names":false,"suffix":""},{"dropping-particle":"","family":"Cooper","given":"A. A.","non-dropping-particle":"","parse-names":false,"suffix":""},{"dropping-particle":"","family":"Paleologou","given":"K. E.","non-dropping-particle":"","parse-names":false,"suffix":""},{"dropping-particle":"","family":"Mazumder","given":"P.","non-dropping-particle":"","parse-names":false,"suffix":""},{"dropping-particle":"","family":"Suk","given":"J. E.","non-dropping-particle":"","parse-names":false,"suffix":""},{"dropping-particle":"","family":"Ulmer","given":"T. S.","non-dropping-particle":"","parse-names":false,"suffix":""},{"dropping-particle":"","family":"Dikiy","given":"I.","non-dropping-particle":"","parse-names":false,"suffix":""},{"dropping-particle":"","family":"Eliezer","given":"D.","non-dropping-particle":"","parse-names":false,"suffix":""},{"dropping-particle":"","family":"Nemani","given":"V. M.","non-dropping-particle":"","parse-names":false,"suffix":""},{"dropping-particle":"","family":"Abeliovich","given":"A.","non-dropping-particle":"","parse-names":false,"suffix":""},{"dropping-particle":"","family":"Outeiro","given":"T. F.","non-dropping-particle":"","parse-names":false,"suffix":""},{"dropping-particle":"","family":"Lindquist","given":"S.","non-dropping-particle":"","parse-names":false,"suffix":""},{"dropping-particle":"","family":"Tardiff","given":"D. F.","non-dropping-particle":"","parse-names":false,"suffix":""},{"dropping-particle":"","family":"Khurana","given":"V.","non-dropping-particle":"","parse-names":false,"suffix":""},{"dropping-particle":"","family":"Chung","given":"C. Y.","non-dropping-particle":"","parse-names":false,"suffix":""},{"dropping-particle":"","family":"Lindquist","given":"S.","non-dropping-particle":"","parse-names":false,"suffix":""},{"dropping-particle":"","family":"Cabin","given":"D. E.","non-dropping-particle":"","parse-names":false,"suffix":""},{"dropping-particle":"","family":"Burre","given":"J.","non-dropping-particle":"","parse-names":false,"suffix":""},{"dropping-particle":"","family":"Burre","given":"J.","non-dropping-particle":"","parse-names":false,"suffix":""},{"dropping-particle":"","family":"Sharma","given":"M.","non-dropping-particle":"","parse-names":false,"suffix":""},{"dropping-particle":"","family":"Sudhof","given":"T. C.","non-dropping-particle":"","parse-names":false,"suffix":""},{"dropping-particle":"","family":"Cookson","given":"M. R.","non-dropping-particle":"","parse-names":false,"suffix":""},{"dropping-particle":"","family":"Rodriguez","given":"J. A.","non-dropping-particle":"","parse-names":false,"suffix":""},{"dropping-particle":"","family":"Grey","given":"M.","non-dropping-particle":"","parse-names":false,"suffix":""},{"dropping-particle":"","family":"Linse","given":"S.","non-dropping-particle":"","parse-names":false,"suffix":""},{"dropping-particle":"","family":"Nilsson","given":"H.","non-dropping-particle":"","parse-names":false,"suffix":""},{"dropping-particle":"","family":"Brundin","given":"P.","non-dropping-particle":"","parse-names":false,"suffix":""},{"dropping-particle":"","family":"Sparr","given":"E.","non-dropping-particle":"","parse-names":false,"suffix":""},{"dropping-particle":"","family":"Comellas","given":"G.","non-dropping-particle":"","parse-names":false,"suffix":""},{"dropping-particle":"","family":"Lemkau","given":"L. R.","non-dropping-particle":"","parse-names":false,"suffix":""},{"dropping-particle":"","family":"Zhou","given":"D. H.","non-dropping-particle":"","parse-names":false,"suffix":""},{"dropping-particle":"","family":"George","given":"J. M.","non-dropping-particle":"","parse-names":false,"suffix":""},{"dropping-particle":"","family":"Rienstra","given":"C. M.","non-dropping-particle":"","parse-names":false,"suffix":""},{"dropping-particle":"","family":"Grey","given":"M.","non-dropping-particle":"","parse-names":false,"suffix":""},{"dropping-particle":"","family":"Galvagnion","given":"C.","non-dropping-particle":"","parse-names":false,"suffix":""},{"dropping-particle":"","family":"Fusco","given":"G.","non-dropping-particle":"","parse-names":false,"suffix":""},{"dropping-particle":"","family":"Hell","given":"S. W.","non-dropping-particle":"","parse-names":false,"suffix":""},{"dropping-particle":"","family":"Wichmann","given":"J.","non-dropping-particle":"","parse-names":false,"suffix":""},{"dropping-particle":"","family":"Klar","given":"T. A.","non-dropping-particle":"","parse-names":false,"suffix":""},{"dropping-particle":"","family":"Hell","given":"S. W.","non-dropping-particle":"","parse-names":false,"suffix":""},{"dropping-particle":"","family":"Mahou","given":"P.","non-dropping-particle":"","parse-names":false,"suffix":""},{"dropping-particle":"","family":"Curry","given":"N.","non-dropping-particle":"","parse-names":false,"suffix":""},{"dropping-particle":"","family":"Pinotsi","given":"D.","non-dropping-particle":"","parse-names":false,"suffix":""},{"dropping-particle":"","family":"Schierle","given":"G. S. Kaminski","non-dropping-particle":"","parse-names":false,"suffix":""},{"dropping-particle":"","family":"Kaminski","given":"C. F.","non-dropping-particle":"","parse-names":false,"suffix":""},{"dropping-particle":"","family":"Nagle","given":"J. F.","non-dropping-particle":"","parse-names":false,"suffix":""},{"dropping-particle":"","family":"Tristram-Nagle","given":"S.","non-dropping-particle":"","parse-names":false,"suffix":""}],"container-title":"Nature Communications","id":"ITEM-1","issued":{"date-parts":[["2016","9","19"]]},"page":"12563","publisher":"Nature Publishing Group","title":"Structural basis of synaptic vesicle assembly promoted by α-synuclein","type":"article-journal","volume":"7"},"uris":["http://www.mendeley.com/documents/?uuid=f7a9ad76-f0a1-3522-b3c3-13840a2cdfa3"]}],"mendeley":{"formattedCitation":"&lt;sup&gt;74&lt;/sup&gt;","plainTextFormattedCitation":"74","previouslyFormattedCitation":"&lt;sup&gt;74&lt;/sup&gt;"},"properties":{"noteIndex":0},"schema":"https://github.com/citation-style-language/schema/raw/master/csl-citation.json"}</w:instrText>
      </w:r>
      <w:r w:rsidRPr="00363F53">
        <w:fldChar w:fldCharType="separate"/>
      </w:r>
      <w:r w:rsidR="00373BC0" w:rsidRPr="00373BC0">
        <w:rPr>
          <w:noProof/>
          <w:vertAlign w:val="superscript"/>
        </w:rPr>
        <w:t>74</w:t>
      </w:r>
      <w:r w:rsidRPr="00363F53">
        <w:fldChar w:fldCharType="end"/>
      </w:r>
      <w:r w:rsidRPr="00363F53">
        <w:t xml:space="preserve">. </w:t>
      </w:r>
      <w:r w:rsidR="00C10D01">
        <w:t>T</w:t>
      </w:r>
      <w:r w:rsidRPr="00363F53">
        <w:t>o isolate expressed aSyn the cell pellets were lysed by sonication</w:t>
      </w:r>
      <w:r w:rsidR="00C10D01">
        <w:t xml:space="preserve"> in 10 mM Tris, 200 </w:t>
      </w:r>
      <w:proofErr w:type="spellStart"/>
      <w:r w:rsidR="00C10D01">
        <w:rPr>
          <w:rFonts w:cstheme="minorHAnsi"/>
        </w:rPr>
        <w:t>μ</w:t>
      </w:r>
      <w:r w:rsidR="00C10D01">
        <w:t>M</w:t>
      </w:r>
      <w:proofErr w:type="spellEnd"/>
      <w:r w:rsidR="00C10D01">
        <w:t xml:space="preserve"> EDTA, protease inhibitor tablets (</w:t>
      </w:r>
      <w:proofErr w:type="spellStart"/>
      <w:r w:rsidR="00C10D01" w:rsidRPr="00C10D01">
        <w:t>cOmplete</w:t>
      </w:r>
      <w:proofErr w:type="spellEnd"/>
      <w:r w:rsidR="00C10D01" w:rsidRPr="00C10D01">
        <w:t>™, EDTA-free</w:t>
      </w:r>
      <w:r w:rsidR="00C10D01">
        <w:t xml:space="preserve">, Roche) </w:t>
      </w:r>
      <w:r w:rsidR="008B3764">
        <w:t>pH 8</w:t>
      </w:r>
      <w:r w:rsidRPr="00363F53">
        <w:t xml:space="preserve">. The cell lysate was centrifuged </w:t>
      </w:r>
      <w:r w:rsidR="008B3764">
        <w:t xml:space="preserve">at 20 k x g for 30 mins </w:t>
      </w:r>
      <w:r w:rsidRPr="00363F53">
        <w:t xml:space="preserve">and the supernatant was then heated for 20 min at 90 °C to precipitate the heat-sensitive proteins and subsequently centrifuged </w:t>
      </w:r>
      <w:r w:rsidR="008B3764">
        <w:t xml:space="preserve">at 22 k x g for 30 mins </w:t>
      </w:r>
      <w:r w:rsidRPr="00363F53">
        <w:t>to remove precipitated protein</w:t>
      </w:r>
      <w:r w:rsidR="008B3764">
        <w:t>s</w:t>
      </w:r>
      <w:r w:rsidRPr="00363F53">
        <w:t xml:space="preserve">. Streptomycin </w:t>
      </w:r>
      <w:proofErr w:type="spellStart"/>
      <w:r w:rsidRPr="00363F53">
        <w:t>sulfate</w:t>
      </w:r>
      <w:proofErr w:type="spellEnd"/>
      <w:r w:rsidRPr="00363F53">
        <w:t xml:space="preserve"> (Sigma-Aldrich) 10mg</w:t>
      </w:r>
      <w:r w:rsidR="00513EBB">
        <w:t xml:space="preserve"> </w:t>
      </w:r>
      <w:r w:rsidRPr="00363F53">
        <w:t>ml</w:t>
      </w:r>
      <w:r w:rsidR="00513EBB" w:rsidRPr="00846F41">
        <w:rPr>
          <w:vertAlign w:val="superscript"/>
        </w:rPr>
        <w:t>-1</w:t>
      </w:r>
      <w:r w:rsidRPr="00363F53">
        <w:t xml:space="preserve"> was added to the supernatant and incubated at RT for 15 min to precipitate DNA, the mixture was centrifuged </w:t>
      </w:r>
      <w:r w:rsidR="008B3764">
        <w:t xml:space="preserve">at 22 k x g for 30 mins </w:t>
      </w:r>
      <w:r w:rsidRPr="00363F53">
        <w:t xml:space="preserve">to remove DNA and then repeated. Ammonium </w:t>
      </w:r>
      <w:proofErr w:type="spellStart"/>
      <w:r w:rsidRPr="00363F53">
        <w:t>sulfate</w:t>
      </w:r>
      <w:proofErr w:type="spellEnd"/>
      <w:r w:rsidRPr="00363F53">
        <w:t xml:space="preserve"> 360 mg</w:t>
      </w:r>
      <w:r w:rsidR="00513EBB">
        <w:t xml:space="preserve"> </w:t>
      </w:r>
      <w:r w:rsidRPr="00363F53">
        <w:t>ml</w:t>
      </w:r>
      <w:r w:rsidR="00513EBB" w:rsidRPr="00E97592">
        <w:rPr>
          <w:vertAlign w:val="superscript"/>
        </w:rPr>
        <w:t>-</w:t>
      </w:r>
      <w:proofErr w:type="gramStart"/>
      <w:r w:rsidR="00513EBB" w:rsidRPr="00E97592">
        <w:rPr>
          <w:vertAlign w:val="superscript"/>
        </w:rPr>
        <w:t>1</w:t>
      </w:r>
      <w:r w:rsidR="00513EBB" w:rsidRPr="00363F53">
        <w:t xml:space="preserve"> </w:t>
      </w:r>
      <w:r w:rsidRPr="00363F53">
        <w:t xml:space="preserve"> was</w:t>
      </w:r>
      <w:proofErr w:type="gramEnd"/>
      <w:r w:rsidRPr="00363F53">
        <w:t xml:space="preserve"> added to the supernatant and stirred for 30 min to precipitate the aSyn protein. The solution centrifuged </w:t>
      </w:r>
      <w:r w:rsidR="008B3764" w:rsidRPr="008B3764">
        <w:t xml:space="preserve">at 22 k x g for 30 mins </w:t>
      </w:r>
      <w:r w:rsidRPr="00363F53">
        <w:t>and the resulting pellet was resuspended in 25</w:t>
      </w:r>
      <w:r w:rsidR="008B3764">
        <w:t xml:space="preserve"> </w:t>
      </w:r>
      <w:r w:rsidRPr="00363F53">
        <w:t>mM Tris-HCl, pH 7.7 and dialysed overnight. The protein was purified by IEX</w:t>
      </w:r>
      <w:r w:rsidR="008B3764">
        <w:t>, described above,</w:t>
      </w:r>
      <w:r w:rsidR="00B92343">
        <w:t xml:space="preserve"> </w:t>
      </w:r>
      <w:r w:rsidRPr="00363F53">
        <w:t xml:space="preserve">then further purified by SEC on a </w:t>
      </w:r>
      <w:proofErr w:type="spellStart"/>
      <w:r w:rsidRPr="00363F53">
        <w:t>HiLoad</w:t>
      </w:r>
      <w:proofErr w:type="spellEnd"/>
      <w:r w:rsidRPr="00363F53">
        <w:t xml:space="preserve"> 16/60 </w:t>
      </w:r>
      <w:proofErr w:type="spellStart"/>
      <w:r w:rsidRPr="00363F53">
        <w:t>Superdex</w:t>
      </w:r>
      <w:proofErr w:type="spellEnd"/>
      <w:r w:rsidRPr="00363F53">
        <w:t xml:space="preserve"> 75 prep grade column (GE Healthcare)</w:t>
      </w:r>
      <w:r w:rsidR="00764F4B">
        <w:t xml:space="preserve"> in 20 mM Tris pH 7.2</w:t>
      </w:r>
      <w:r w:rsidRPr="00363F53">
        <w:t xml:space="preserve">. All the fractions containing the monomeric protein were pooled together and concentrated by using 10 k MWCO centrifugal filtration devices (Merck). </w:t>
      </w:r>
    </w:p>
    <w:p w14:paraId="6B7F5D80" w14:textId="77777777" w:rsidR="005D335F" w:rsidRPr="00E42AAA" w:rsidRDefault="005D335F" w:rsidP="00D77476">
      <w:pPr>
        <w:spacing w:line="360" w:lineRule="auto"/>
        <w:jc w:val="both"/>
        <w:rPr>
          <w:b/>
        </w:rPr>
      </w:pPr>
      <w:r w:rsidRPr="00E42AAA">
        <w:rPr>
          <w:b/>
        </w:rPr>
        <w:t>Purification of phosphorylated serine 129 aSyn</w:t>
      </w:r>
    </w:p>
    <w:p w14:paraId="6556B4BC" w14:textId="5B078118" w:rsidR="00363F53" w:rsidRPr="00363F53" w:rsidRDefault="00363F53" w:rsidP="00363F53">
      <w:pPr>
        <w:spacing w:line="360" w:lineRule="auto"/>
        <w:jc w:val="both"/>
        <w:rPr>
          <w:b/>
          <w:color w:val="000000"/>
          <w:shd w:val="clear" w:color="auto" w:fill="FFFFFF"/>
        </w:rPr>
      </w:pPr>
      <w:r w:rsidRPr="00363F53">
        <w:rPr>
          <w:color w:val="000000"/>
          <w:shd w:val="clear" w:color="auto" w:fill="FFFFFF"/>
        </w:rPr>
        <w:t xml:space="preserve">WT aSyn </w:t>
      </w:r>
      <w:r w:rsidRPr="00363F53">
        <w:rPr>
          <w:color w:val="000000"/>
          <w:shd w:val="clear" w:color="auto" w:fill="FFFFFF"/>
          <w:vertAlign w:val="superscript"/>
        </w:rPr>
        <w:t>13</w:t>
      </w:r>
      <w:r w:rsidRPr="00363F53">
        <w:rPr>
          <w:color w:val="000000"/>
          <w:shd w:val="clear" w:color="auto" w:fill="FFFFFF"/>
        </w:rPr>
        <w:t>C/</w:t>
      </w:r>
      <w:r w:rsidRPr="00363F53">
        <w:rPr>
          <w:color w:val="000000"/>
          <w:shd w:val="clear" w:color="auto" w:fill="FFFFFF"/>
          <w:vertAlign w:val="superscript"/>
        </w:rPr>
        <w:t>15</w:t>
      </w:r>
      <w:r w:rsidRPr="00363F53">
        <w:rPr>
          <w:color w:val="000000"/>
          <w:shd w:val="clear" w:color="auto" w:fill="FFFFFF"/>
        </w:rPr>
        <w:t>N-labelled (aSyn</w:t>
      </w:r>
      <w:r w:rsidRPr="00363F53">
        <w:rPr>
          <w:color w:val="000000"/>
          <w:shd w:val="clear" w:color="auto" w:fill="FFFFFF"/>
          <w:vertAlign w:val="superscript"/>
        </w:rPr>
        <w:t xml:space="preserve"> 13</w:t>
      </w:r>
      <w:r w:rsidRPr="00363F53">
        <w:rPr>
          <w:color w:val="000000"/>
          <w:shd w:val="clear" w:color="auto" w:fill="FFFFFF"/>
        </w:rPr>
        <w:t>C/</w:t>
      </w:r>
      <w:r w:rsidRPr="00363F53">
        <w:rPr>
          <w:color w:val="000000"/>
          <w:shd w:val="clear" w:color="auto" w:fill="FFFFFF"/>
          <w:vertAlign w:val="superscript"/>
        </w:rPr>
        <w:t>15</w:t>
      </w:r>
      <w:r w:rsidRPr="00363F53">
        <w:rPr>
          <w:color w:val="000000"/>
          <w:shd w:val="clear" w:color="auto" w:fill="FFFFFF"/>
        </w:rPr>
        <w:t xml:space="preserve">N) was expressed and purified as previously described </w:t>
      </w:r>
      <w:r w:rsidRPr="00363F53">
        <w:rPr>
          <w:color w:val="000000"/>
          <w:shd w:val="clear" w:color="auto" w:fill="FFFFFF"/>
        </w:rPr>
        <w:fldChar w:fldCharType="begin" w:fldLock="1"/>
      </w:r>
      <w:r w:rsidR="00373BC0">
        <w:rPr>
          <w:color w:val="000000"/>
          <w:shd w:val="clear" w:color="auto" w:fill="FFFFFF"/>
        </w:rPr>
        <w:instrText>ADDIN CSL_CITATION {"citationItems":[{"id":"ITEM-1","itemData":{"DOI":"10.1006/JMBI.2001.4538","ISSN":"0022-2836","abstract":"α-Synuclein (αS) is a presynaptic terminal protein that is believed to play an important role in the pathogenesis of Parkinson’s disease (PD). We have used NMR spectroscopy to characterize the conformational properties of αS in solution as a free monomer and when bound to lipid vesicles and lipid-mimetic detergent micelles. Free wild-type αS is largely unfolded in solution, but exhibits a region with a preference for helical conformations that may be important in the aggregation of αS into fibrils. The N-terminal region of αS binds to synthetic lipid vesicles and detergent micelles in vitro and adopts a highly helical conformation, consistent with predictions based on sequence analysis. The C-terminal part of the protein does not associate with either vesicles or micelles, remaining free and unfolded. These results suggest that one function of αS may be to tether as of yet unidentified partners to lipid surfaces via interactions with its C-terminal tail","author":[{"dropping-particle":"","family":"Eliezer","given":"David","non-dropping-particle":"","parse-names":false,"suffix":""},{"dropping-particle":"","family":"Kutluay","given":"Esin","non-dropping-particle":"","parse-names":false,"suffix":""},{"dropping-particle":"","family":"Bussell","given":"Robert","non-dropping-particle":"","parse-names":false,"suffix":""},{"dropping-particle":"","family":"Browne","given":"Gillian","non-dropping-particle":"","parse-names":false,"suffix":""}],"container-title":"Journal of Molecular Biology","id":"ITEM-1","issue":"4","issued":{"date-parts":[["2001","4","6"]]},"page":"1061-1073","publisher":"Academic Press","title":"Conformational properties of α-synuclein in its free and lipid-associated states","type":"article-journal","volume":"307"},"uris":["http://www.mendeley.com/documents/?uuid=2a714bca-343b-35ff-b849-b1bf2aa90b3f","http://www.mendeley.com/documents/?uuid=497bc1b8-5d3f-499b-9b43-8e7da8843105"]},{"id":"ITEM-2","itemData":{"DOI":"10.1074/jbc.M112.383711","ISSN":"00219258","abstract":"N-terminal acetylation is a very common post-translational modification, although its role in regulating protein physical properties and function remains poorly understood. α-Synuclein (α-syn), a protein that has been linked to the pathogenesis of Parkinson disease, is constitutively N(α)-acetylated in vivo. Nevertheless, most of the biochemical and biophysical studies on the structure, aggregation, and function of α-syn in vitro utilize recombinant α-syn from Escherichia coli, which is not N-terminally acetylated. To elucidate the effect of N(α)-acetylation on the biophysical and biological properties of α-syn, we produced N(α)-acetylated α-syn first using a semisynthetic methodology based on expressed protein ligation (Berrade, L., and Camarero, J. A. (2009) Cell. Mol. Life Sci. 66, 3909-3922) and then a recombinant expression strategy, to compare its properties to unacetylated α-syn. We demonstrate that both WT and N(α)-acetylated α-syn share a similar secondary structure and oligomeric state using both purified protein preparations and in-cell NMR on E. coli overexpressing N(α)-acetylated α-syn. The two proteins have very close aggregation propensities as shown by thioflavin T binding and sedimentation assays. Furthermore, both N(α)-acetylated and WT α-syn exhibited similar ability to bind synaptosomal membranes in vitro and in HeLa cells, where both internalized proteins exhibited prominent cytosolic subcellular distribution. We then determined the effect of attenuating N(α)-acetylation in living cells, first by using a nonacetylable mutant and then by silencing the enzyme responsible for α-syn N(α)-acetylation. Both approaches revealed similar subcellular distribution and membrane binding for both the nonacetylable mutant and WT α-syn, suggesting that N-terminal acetylation does not significantly affect its structure in vitro and in intact cells.","author":[{"dropping-particle":"","family":"Fauvet","given":"Bruno","non-dropping-particle":"","parse-names":false,"suffix":""},{"dropping-particle":"","family":"Fares","given":"Mohamed Bilal","non-dropping-particle":"","parse-names":false,"suffix":""},{"dropping-particle":"","family":"Samuel","given":"Filsy","non-dropping-particle":"","parse-names":false,"suffix":""},{"dropping-particle":"","family":"Dikiy","given":"Igor","non-dropping-particle":"","parse-names":false,"suffix":""},{"dropping-particle":"","family":"Tandon","given":"Anurag","non-dropping-particle":"","parse-names":false,"suffix":""},{"dropping-particle":"","family":"Eliezer","given":"David","non-dropping-particle":"","parse-names":false,"suffix":""},{"dropping-particle":"","family":"Lashuel","given":"Hilal A.","non-dropping-particle":"","parse-names":false,"suffix":""}],"container-title":"Journal of Biological Chemistry","id":"ITEM-2","issue":"34","issued":{"date-parts":[["2012"]]},"page":"28243-28262","title":"Characterization of semisynthetic and naturally N α- acetylated α-synuclein in vitro and in intact cells: Implications for aggregation and cellular properties of α-synuclein","type":"article-journal","volume":"287"},"uris":["http://www.mendeley.com/documents/?uuid=4a6f2a5b-e57b-34c9-943f-4578e46f3718"]}],"mendeley":{"formattedCitation":"&lt;sup&gt;75,76&lt;/sup&gt;","plainTextFormattedCitation":"75,76","previouslyFormattedCitation":"&lt;sup&gt;75,76&lt;/sup&gt;"},"properties":{"noteIndex":0},"schema":"https://github.com/citation-style-language/schema/raw/master/csl-citation.json"}</w:instrText>
      </w:r>
      <w:r w:rsidRPr="00363F53">
        <w:rPr>
          <w:color w:val="000000"/>
          <w:shd w:val="clear" w:color="auto" w:fill="FFFFFF"/>
        </w:rPr>
        <w:fldChar w:fldCharType="separate"/>
      </w:r>
      <w:r w:rsidR="00373BC0" w:rsidRPr="00373BC0">
        <w:rPr>
          <w:noProof/>
          <w:color w:val="000000"/>
          <w:shd w:val="clear" w:color="auto" w:fill="FFFFFF"/>
          <w:vertAlign w:val="superscript"/>
        </w:rPr>
        <w:t>75,76</w:t>
      </w:r>
      <w:r w:rsidRPr="00363F53">
        <w:rPr>
          <w:color w:val="000000"/>
          <w:shd w:val="clear" w:color="auto" w:fill="FFFFFF"/>
        </w:rPr>
        <w:fldChar w:fldCharType="end"/>
      </w:r>
      <w:r w:rsidRPr="00363F53">
        <w:rPr>
          <w:color w:val="000000"/>
          <w:shd w:val="clear" w:color="auto" w:fill="FFFFFF"/>
        </w:rPr>
        <w:t xml:space="preserve">. Briefly, </w:t>
      </w:r>
      <w:r w:rsidRPr="00363F53">
        <w:rPr>
          <w:i/>
          <w:iCs/>
          <w:color w:val="000000"/>
          <w:shd w:val="clear" w:color="auto" w:fill="FFFFFF"/>
        </w:rPr>
        <w:t>E.coli</w:t>
      </w:r>
      <w:r w:rsidRPr="00363F53">
        <w:rPr>
          <w:color w:val="000000"/>
          <w:shd w:val="clear" w:color="auto" w:fill="FFFFFF"/>
        </w:rPr>
        <w:t xml:space="preserve"> BL21(DE3) cells were transfected with a pT7-7 plasmid containing WT aSyn and was cultured in an isotopically supplemented minimal media </w:t>
      </w:r>
      <w:r w:rsidRPr="00363F53">
        <w:rPr>
          <w:color w:val="000000"/>
          <w:shd w:val="clear" w:color="auto" w:fill="FFFFFF"/>
        </w:rPr>
        <w:fldChar w:fldCharType="begin" w:fldLock="1"/>
      </w:r>
      <w:r w:rsidR="00373BC0">
        <w:rPr>
          <w:color w:val="000000"/>
          <w:shd w:val="clear" w:color="auto" w:fill="FFFFFF"/>
        </w:rPr>
        <w:instrText>ADDIN CSL_CITATION {"citationItems":[{"id":"ITEM-1","itemData":{"DOI":"10.1006/JMBI.2001.4538","ISSN":"0022-2836","abstract":"α-Synuclein (αS) is a presynaptic terminal protein that is believed to play an important role in the pathogenesis of Parkinson’s disease (PD). We have used NMR spectroscopy to characterize the conformational properties of αS in solution as a free monomer and when bound to lipid vesicles and lipid-mimetic detergent micelles. Free wild-type αS is largely unfolded in solution, but exhibits a region with a preference for helical conformations that may be important in the aggregation of αS into fibrils. The N-terminal region of αS binds to synthetic lipid vesicles and detergent micelles in vitro and adopts a highly helical conformation, consistent with predictions based on sequence analysis. The C-terminal part of the protein does not associate with either vesicles or micelles, remaining free and unfolded. These results suggest that one function of αS may be to tether as of yet unidentified partners to lipid surfaces via interactions with its C-terminal tail","author":[{"dropping-particle":"","family":"Eliezer","given":"David","non-dropping-particle":"","parse-names":false,"suffix":""},{"dropping-particle":"","family":"Kutluay","given":"Esin","non-dropping-particle":"","parse-names":false,"suffix":""},{"dropping-particle":"","family":"Bussell","given":"Robert","non-dropping-particle":"","parse-names":false,"suffix":""},{"dropping-particle":"","family":"Browne","given":"Gillian","non-dropping-particle":"","parse-names":false,"suffix":""}],"container-title":"Journal of Molecular Biology","id":"ITEM-1","issue":"4","issued":{"date-parts":[["2001","4","6"]]},"page":"1061-1073","publisher":"Academic Press","title":"Conformational properties of α-synuclein in its free and lipid-associated states","type":"article-journal","volume":"307"},"uris":["http://www.mendeley.com/documents/?uuid=497bc1b8-5d3f-499b-9b43-8e7da8843105","http://www.mendeley.com/documents/?uuid=2a714bca-343b-35ff-b849-b1bf2aa90b3f"]}],"mendeley":{"formattedCitation":"&lt;sup&gt;75&lt;/sup&gt;","plainTextFormattedCitation":"75","previouslyFormattedCitation":"&lt;sup&gt;75&lt;/sup&gt;"},"properties":{"noteIndex":0},"schema":"https://github.com/citation-style-language/schema/raw/master/csl-citation.json"}</w:instrText>
      </w:r>
      <w:r w:rsidRPr="00363F53">
        <w:rPr>
          <w:color w:val="000000"/>
          <w:shd w:val="clear" w:color="auto" w:fill="FFFFFF"/>
        </w:rPr>
        <w:fldChar w:fldCharType="separate"/>
      </w:r>
      <w:r w:rsidR="00373BC0" w:rsidRPr="00373BC0">
        <w:rPr>
          <w:noProof/>
          <w:color w:val="000000"/>
          <w:shd w:val="clear" w:color="auto" w:fill="FFFFFF"/>
          <w:vertAlign w:val="superscript"/>
        </w:rPr>
        <w:t>75</w:t>
      </w:r>
      <w:r w:rsidRPr="00363F53">
        <w:rPr>
          <w:color w:val="000000"/>
          <w:shd w:val="clear" w:color="auto" w:fill="FFFFFF"/>
        </w:rPr>
        <w:fldChar w:fldCharType="end"/>
      </w:r>
      <w:r w:rsidRPr="00363F53">
        <w:rPr>
          <w:color w:val="000000"/>
          <w:shd w:val="clear" w:color="auto" w:fill="FFFFFF"/>
        </w:rPr>
        <w:t xml:space="preserve">, then aSyn </w:t>
      </w:r>
      <w:r w:rsidRPr="00363F53">
        <w:rPr>
          <w:color w:val="000000"/>
          <w:shd w:val="clear" w:color="auto" w:fill="FFFFFF"/>
          <w:vertAlign w:val="superscript"/>
        </w:rPr>
        <w:t>13</w:t>
      </w:r>
      <w:r w:rsidRPr="00363F53">
        <w:rPr>
          <w:color w:val="000000"/>
          <w:shd w:val="clear" w:color="auto" w:fill="FFFFFF"/>
        </w:rPr>
        <w:t>C/</w:t>
      </w:r>
      <w:r w:rsidRPr="00363F53">
        <w:rPr>
          <w:color w:val="000000"/>
          <w:shd w:val="clear" w:color="auto" w:fill="FFFFFF"/>
          <w:vertAlign w:val="superscript"/>
        </w:rPr>
        <w:t>15</w:t>
      </w:r>
      <w:r w:rsidRPr="00363F53">
        <w:rPr>
          <w:color w:val="000000"/>
          <w:shd w:val="clear" w:color="auto" w:fill="FFFFFF"/>
        </w:rPr>
        <w:t>N was purified using an anion exchange chromatography followed by reversed-phase HPLC (RP-HPLC) purification using a Proto 300 C4 column  and a gradient from 30 to 60% B over 35 min at 15 ml/min, where solvent A was 0.1% TFA in water and solvent B was 0.1% TFA in acetonitrile, the fractions containing the protein were pooled and lyophilized and the protein was stored at -20°C. For the preparation of phosphorylated S129 aSyn</w:t>
      </w:r>
      <w:r w:rsidRPr="00363F53">
        <w:rPr>
          <w:color w:val="000000"/>
          <w:shd w:val="clear" w:color="auto" w:fill="FFFFFF"/>
          <w:vertAlign w:val="superscript"/>
        </w:rPr>
        <w:t xml:space="preserve"> 13</w:t>
      </w:r>
      <w:r w:rsidRPr="00363F53">
        <w:rPr>
          <w:color w:val="000000"/>
          <w:shd w:val="clear" w:color="auto" w:fill="FFFFFF"/>
        </w:rPr>
        <w:t>C/</w:t>
      </w:r>
      <w:r w:rsidRPr="00363F53">
        <w:rPr>
          <w:color w:val="000000"/>
          <w:shd w:val="clear" w:color="auto" w:fill="FFFFFF"/>
          <w:vertAlign w:val="superscript"/>
        </w:rPr>
        <w:t>15</w:t>
      </w:r>
      <w:r w:rsidRPr="00363F53">
        <w:rPr>
          <w:color w:val="000000"/>
          <w:shd w:val="clear" w:color="auto" w:fill="FFFFFF"/>
        </w:rPr>
        <w:t xml:space="preserve">N ( aSyn </w:t>
      </w:r>
      <w:r w:rsidRPr="00363F53">
        <w:rPr>
          <w:color w:val="000000"/>
          <w:shd w:val="clear" w:color="auto" w:fill="FFFFFF"/>
          <w:vertAlign w:val="superscript"/>
        </w:rPr>
        <w:t>13</w:t>
      </w:r>
      <w:r w:rsidRPr="00363F53">
        <w:rPr>
          <w:color w:val="000000"/>
          <w:shd w:val="clear" w:color="auto" w:fill="FFFFFF"/>
        </w:rPr>
        <w:t>C/</w:t>
      </w:r>
      <w:r w:rsidRPr="00363F53">
        <w:rPr>
          <w:color w:val="000000"/>
          <w:shd w:val="clear" w:color="auto" w:fill="FFFFFF"/>
          <w:vertAlign w:val="superscript"/>
        </w:rPr>
        <w:t>15</w:t>
      </w:r>
      <w:r w:rsidRPr="00363F53">
        <w:rPr>
          <w:color w:val="000000"/>
          <w:shd w:val="clear" w:color="auto" w:fill="FFFFFF"/>
        </w:rPr>
        <w:t xml:space="preserve">N pS129), we used a protocol using PLK3 kinase to introduce selectively the phosphorylation at S129 </w:t>
      </w:r>
      <w:r w:rsidRPr="00363F53">
        <w:rPr>
          <w:color w:val="000000"/>
          <w:shd w:val="clear" w:color="auto" w:fill="FFFFFF"/>
        </w:rPr>
        <w:fldChar w:fldCharType="begin" w:fldLock="1"/>
      </w:r>
      <w:r w:rsidR="00373BC0">
        <w:rPr>
          <w:color w:val="000000"/>
          <w:shd w:val="clear" w:color="auto" w:fill="FFFFFF"/>
        </w:rPr>
        <w:instrText>ADDIN CSL_CITATION {"citationItems":[{"id":"ITEM-1","itemData":{"DOI":"10.1007/978-1-4939-2978-8_1","ISSN":"10643745","abstract":"The cell-to-cell transmission of protein aggregates has been implicated in the progression of pathological phenotypes in neurodegenerative disorders such as Alzheimer's disease, Parkinson's disease, and amyotrophic lateral sclerosis. In recent years, several experimental model systems have been developed to study the mechanisms of cell-to-cell transmission. Herein, we describe cell culture models with which cell-to-cell transmission of α-synuclein can be quantitatively analyzed. The principle underlying these models could be applied to developing model systems for transmission of other protein aggregates, such as tau and TDP-43.","author":[{"dropping-particle":"","family":"Fauvet","given":"Bruno","non-dropping-particle":"","parse-names":false,"suffix":""},{"dropping-particle":"","family":"Lashuel","given":"Hilal A.","non-dropping-particle":"","parse-names":false,"suffix":""}],"container-title":"Methods in Molecular Biology","id":"ITEM-1","issued":{"date-parts":[["2015"]]},"page":"3-20","publisher":"Humana Press, New York, NY","title":"Semisynthesis and Enzymatic Preparation of Post-translationally Modified α-Synuclein","type":"chapter","volume":"1345"},"uris":["http://www.mendeley.com/documents/?uuid=86bb063b-6683-363f-8ed5-bf6cb0f9f98d","http://www.mendeley.com/documents/?uuid=da30e984-0c29-4c84-9914-42341198b741"]}],"mendeley":{"formattedCitation":"&lt;sup&gt;77&lt;/sup&gt;","plainTextFormattedCitation":"77","previouslyFormattedCitation":"&lt;sup&gt;77&lt;/sup&gt;"},"properties":{"noteIndex":0},"schema":"https://github.com/citation-style-language/schema/raw/master/csl-citation.json"}</w:instrText>
      </w:r>
      <w:r w:rsidRPr="00363F53">
        <w:rPr>
          <w:color w:val="000000"/>
          <w:shd w:val="clear" w:color="auto" w:fill="FFFFFF"/>
        </w:rPr>
        <w:fldChar w:fldCharType="separate"/>
      </w:r>
      <w:r w:rsidR="00373BC0" w:rsidRPr="00373BC0">
        <w:rPr>
          <w:noProof/>
          <w:color w:val="000000"/>
          <w:shd w:val="clear" w:color="auto" w:fill="FFFFFF"/>
          <w:vertAlign w:val="superscript"/>
        </w:rPr>
        <w:t>77</w:t>
      </w:r>
      <w:r w:rsidRPr="00363F53">
        <w:rPr>
          <w:color w:val="000000"/>
          <w:shd w:val="clear" w:color="auto" w:fill="FFFFFF"/>
        </w:rPr>
        <w:fldChar w:fldCharType="end"/>
      </w:r>
      <w:r w:rsidRPr="00363F53">
        <w:rPr>
          <w:color w:val="000000"/>
          <w:shd w:val="clear" w:color="auto" w:fill="FFFFFF"/>
        </w:rPr>
        <w:t xml:space="preserve">. The WT </w:t>
      </w:r>
      <w:proofErr w:type="spellStart"/>
      <w:r w:rsidRPr="00363F53">
        <w:rPr>
          <w:color w:val="000000"/>
          <w:shd w:val="clear" w:color="auto" w:fill="FFFFFF"/>
        </w:rPr>
        <w:t>aSyn</w:t>
      </w:r>
      <w:proofErr w:type="spellEnd"/>
      <w:r w:rsidRPr="00363F53">
        <w:rPr>
          <w:color w:val="000000"/>
          <w:shd w:val="clear" w:color="auto" w:fill="FFFFFF"/>
        </w:rPr>
        <w:t xml:space="preserve"> </w:t>
      </w:r>
      <w:r w:rsidRPr="00363F53">
        <w:rPr>
          <w:color w:val="000000"/>
          <w:shd w:val="clear" w:color="auto" w:fill="FFFFFF"/>
          <w:vertAlign w:val="superscript"/>
        </w:rPr>
        <w:t>13</w:t>
      </w:r>
      <w:r w:rsidRPr="00363F53">
        <w:rPr>
          <w:color w:val="000000"/>
          <w:shd w:val="clear" w:color="auto" w:fill="FFFFFF"/>
        </w:rPr>
        <w:t>C/</w:t>
      </w:r>
      <w:r w:rsidRPr="00363F53">
        <w:rPr>
          <w:color w:val="000000"/>
          <w:shd w:val="clear" w:color="auto" w:fill="FFFFFF"/>
          <w:vertAlign w:val="superscript"/>
        </w:rPr>
        <w:t>15</w:t>
      </w:r>
      <w:r w:rsidRPr="00363F53">
        <w:rPr>
          <w:color w:val="000000"/>
          <w:shd w:val="clear" w:color="auto" w:fill="FFFFFF"/>
        </w:rPr>
        <w:t>N was resuspended in the phosphorylation buffer (50 mM HEPES, 1 mM MgCl</w:t>
      </w:r>
      <w:r w:rsidRPr="00846F41">
        <w:rPr>
          <w:color w:val="000000"/>
          <w:shd w:val="clear" w:color="auto" w:fill="FFFFFF"/>
          <w:vertAlign w:val="subscript"/>
        </w:rPr>
        <w:t>2</w:t>
      </w:r>
      <w:r w:rsidRPr="00363F53">
        <w:rPr>
          <w:color w:val="000000"/>
          <w:shd w:val="clear" w:color="auto" w:fill="FFFFFF"/>
        </w:rPr>
        <w:t xml:space="preserve">, 1 mM EGTA, 1 mM DTT) at a concentration of </w:t>
      </w:r>
      <w:r w:rsidRPr="00363F53">
        <w:rPr>
          <w:rFonts w:ascii="Cambria Math" w:hAnsi="Cambria Math" w:cs="Cambria Math"/>
          <w:color w:val="000000"/>
          <w:shd w:val="clear" w:color="auto" w:fill="FFFFFF"/>
        </w:rPr>
        <w:t>∼</w:t>
      </w:r>
      <w:r w:rsidRPr="00363F53">
        <w:rPr>
          <w:color w:val="000000"/>
          <w:shd w:val="clear" w:color="auto" w:fill="FFFFFF"/>
        </w:rPr>
        <w:t xml:space="preserve">150 µm and then 2 mM of ATP and 0.42 </w:t>
      </w:r>
      <w:proofErr w:type="spellStart"/>
      <w:r w:rsidRPr="00363F53">
        <w:rPr>
          <w:color w:val="000000"/>
          <w:shd w:val="clear" w:color="auto" w:fill="FFFFFF"/>
        </w:rPr>
        <w:t>μg</w:t>
      </w:r>
      <w:proofErr w:type="spellEnd"/>
      <w:r w:rsidRPr="00363F53">
        <w:rPr>
          <w:color w:val="000000"/>
          <w:shd w:val="clear" w:color="auto" w:fill="FFFFFF"/>
        </w:rPr>
        <w:t xml:space="preserve"> of PLK3 kinase (Invitrogen) per 500 </w:t>
      </w:r>
      <w:proofErr w:type="spellStart"/>
      <w:r w:rsidRPr="00363F53">
        <w:rPr>
          <w:color w:val="000000"/>
          <w:shd w:val="clear" w:color="auto" w:fill="FFFFFF"/>
        </w:rPr>
        <w:t>μg</w:t>
      </w:r>
      <w:proofErr w:type="spellEnd"/>
      <w:r w:rsidRPr="00363F53">
        <w:rPr>
          <w:color w:val="000000"/>
          <w:shd w:val="clear" w:color="auto" w:fill="FFFFFF"/>
        </w:rPr>
        <w:t xml:space="preserve"> of protein were added. The enzymatic reaction was left at 30°C overnight without shaking. Upon complete phosphorylation, as monitored by mass spectroscopy (LC/MS), aSyn </w:t>
      </w:r>
      <w:r w:rsidRPr="00363F53">
        <w:rPr>
          <w:color w:val="000000"/>
          <w:shd w:val="clear" w:color="auto" w:fill="FFFFFF"/>
          <w:vertAlign w:val="superscript"/>
        </w:rPr>
        <w:t>13</w:t>
      </w:r>
      <w:r w:rsidRPr="00363F53">
        <w:rPr>
          <w:color w:val="000000"/>
          <w:shd w:val="clear" w:color="auto" w:fill="FFFFFF"/>
        </w:rPr>
        <w:t>C/</w:t>
      </w:r>
      <w:r w:rsidRPr="00363F53">
        <w:rPr>
          <w:color w:val="000000"/>
          <w:shd w:val="clear" w:color="auto" w:fill="FFFFFF"/>
          <w:vertAlign w:val="superscript"/>
        </w:rPr>
        <w:t>15</w:t>
      </w:r>
      <w:r w:rsidRPr="00363F53">
        <w:rPr>
          <w:color w:val="000000"/>
          <w:shd w:val="clear" w:color="auto" w:fill="FFFFFF"/>
        </w:rPr>
        <w:t xml:space="preserve">N pS129 was purified from the reaction mixture by RP-HPLC using an </w:t>
      </w:r>
      <w:proofErr w:type="spellStart"/>
      <w:r w:rsidRPr="00363F53">
        <w:rPr>
          <w:color w:val="000000"/>
          <w:shd w:val="clear" w:color="auto" w:fill="FFFFFF"/>
        </w:rPr>
        <w:t>Inertsil</w:t>
      </w:r>
      <w:proofErr w:type="spellEnd"/>
      <w:r w:rsidRPr="00363F53">
        <w:rPr>
          <w:color w:val="000000"/>
          <w:shd w:val="clear" w:color="auto" w:fill="FFFFFF"/>
        </w:rPr>
        <w:t xml:space="preserve"> WP300-C8 </w:t>
      </w:r>
      <w:proofErr w:type="spellStart"/>
      <w:r w:rsidRPr="00363F53">
        <w:rPr>
          <w:color w:val="000000"/>
          <w:shd w:val="clear" w:color="auto" w:fill="FFFFFF"/>
        </w:rPr>
        <w:t>semiprep</w:t>
      </w:r>
      <w:proofErr w:type="spellEnd"/>
      <w:r w:rsidRPr="00363F53">
        <w:rPr>
          <w:color w:val="000000"/>
          <w:shd w:val="clear" w:color="auto" w:fill="FFFFFF"/>
        </w:rPr>
        <w:t xml:space="preserve"> column. Finally, the fractions containing the protein of interest were pooled and quality control of aSyn </w:t>
      </w:r>
      <w:r w:rsidRPr="00363F53">
        <w:rPr>
          <w:color w:val="000000"/>
          <w:shd w:val="clear" w:color="auto" w:fill="FFFFFF"/>
          <w:vertAlign w:val="superscript"/>
        </w:rPr>
        <w:t>13</w:t>
      </w:r>
      <w:r w:rsidRPr="00363F53">
        <w:rPr>
          <w:color w:val="000000"/>
          <w:shd w:val="clear" w:color="auto" w:fill="FFFFFF"/>
        </w:rPr>
        <w:t>C/</w:t>
      </w:r>
      <w:r w:rsidRPr="00363F53">
        <w:rPr>
          <w:color w:val="000000"/>
          <w:shd w:val="clear" w:color="auto" w:fill="FFFFFF"/>
          <w:vertAlign w:val="superscript"/>
        </w:rPr>
        <w:t>15</w:t>
      </w:r>
      <w:r w:rsidRPr="00363F53">
        <w:rPr>
          <w:color w:val="000000"/>
          <w:shd w:val="clear" w:color="auto" w:fill="FFFFFF"/>
        </w:rPr>
        <w:t xml:space="preserve">N pS129 was performed using mass spectroscopy, UPLC, and SDS-PAGE, the protein was </w:t>
      </w:r>
      <w:r w:rsidR="00C4243B">
        <w:rPr>
          <w:color w:val="000000"/>
          <w:shd w:val="clear" w:color="auto" w:fill="FFFFFF"/>
        </w:rPr>
        <w:t>99.89% phosphorylated (</w:t>
      </w:r>
      <w:r w:rsidR="00A573F9">
        <w:rPr>
          <w:color w:val="000000"/>
          <w:shd w:val="clear" w:color="auto" w:fill="FFFFFF"/>
        </w:rPr>
        <w:t xml:space="preserve">Supplementary </w:t>
      </w:r>
      <w:r w:rsidR="00C4243B">
        <w:rPr>
          <w:color w:val="000000"/>
          <w:shd w:val="clear" w:color="auto" w:fill="FFFFFF"/>
        </w:rPr>
        <w:t>Figure 20</w:t>
      </w:r>
      <w:r w:rsidR="00BD0E9C">
        <w:rPr>
          <w:color w:val="000000"/>
          <w:shd w:val="clear" w:color="auto" w:fill="FFFFFF"/>
        </w:rPr>
        <w:t>b-d</w:t>
      </w:r>
      <w:r w:rsidRPr="00363F53">
        <w:rPr>
          <w:color w:val="000000"/>
          <w:shd w:val="clear" w:color="auto" w:fill="FFFFFF"/>
        </w:rPr>
        <w:t>).</w:t>
      </w:r>
    </w:p>
    <w:p w14:paraId="0BB7C459" w14:textId="77777777" w:rsidR="005D335F" w:rsidRPr="00300AF8" w:rsidRDefault="005D335F" w:rsidP="00D77476">
      <w:pPr>
        <w:spacing w:line="360" w:lineRule="auto"/>
        <w:jc w:val="both"/>
        <w:rPr>
          <w:b/>
        </w:rPr>
      </w:pPr>
      <w:r w:rsidRPr="00300AF8">
        <w:rPr>
          <w:b/>
        </w:rPr>
        <w:t xml:space="preserve">Solution </w:t>
      </w:r>
      <w:r>
        <w:rPr>
          <w:b/>
        </w:rPr>
        <w:t>nuclear magnetic resonance (</w:t>
      </w:r>
      <w:r w:rsidRPr="00300AF8">
        <w:rPr>
          <w:b/>
        </w:rPr>
        <w:t>NMR</w:t>
      </w:r>
      <w:r>
        <w:rPr>
          <w:b/>
        </w:rPr>
        <w:t>)</w:t>
      </w:r>
    </w:p>
    <w:p w14:paraId="23F44C6C" w14:textId="38460237" w:rsidR="005D335F" w:rsidRPr="00B665AF" w:rsidRDefault="005D335F" w:rsidP="00D77476">
      <w:pPr>
        <w:pStyle w:val="NoSpacing"/>
        <w:spacing w:line="360" w:lineRule="auto"/>
        <w:jc w:val="both"/>
      </w:pPr>
      <w:r w:rsidRPr="000937AB">
        <w:lastRenderedPageBreak/>
        <w:t xml:space="preserve">In order to probe the structure and thermodynamics of calcium binding with </w:t>
      </w:r>
      <w:r>
        <w:t>aSyn WT, pS129 and D121A</w:t>
      </w:r>
      <w:r w:rsidRPr="000937AB">
        <w:t xml:space="preserve"> at a residue specific level, we employed a series of </w:t>
      </w:r>
      <w:r w:rsidRPr="000937AB">
        <w:rPr>
          <w:vertAlign w:val="superscript"/>
        </w:rPr>
        <w:t>1</w:t>
      </w:r>
      <w:r w:rsidRPr="000937AB">
        <w:t>H-</w:t>
      </w:r>
      <w:r w:rsidRPr="000937AB">
        <w:rPr>
          <w:vertAlign w:val="superscript"/>
        </w:rPr>
        <w:t>15</w:t>
      </w:r>
      <w:r w:rsidRPr="000937AB">
        <w:t>N HSQC experiments using different concentrations of Ca</w:t>
      </w:r>
      <w:r w:rsidRPr="000937AB">
        <w:rPr>
          <w:vertAlign w:val="superscript"/>
        </w:rPr>
        <w:t>2+</w:t>
      </w:r>
      <w:r w:rsidRPr="000937AB">
        <w:t xml:space="preserve"> (0.0 mM to </w:t>
      </w:r>
      <w:r>
        <w:t>4.2</w:t>
      </w:r>
      <w:r w:rsidRPr="000937AB">
        <w:t xml:space="preserve"> mM) and a fixed concentration of </w:t>
      </w:r>
      <w:proofErr w:type="spellStart"/>
      <w:r w:rsidR="00990FFE">
        <w:t>aSyn</w:t>
      </w:r>
      <w:proofErr w:type="spellEnd"/>
      <w:r w:rsidRPr="000937AB">
        <w:t xml:space="preserve"> (200 </w:t>
      </w:r>
      <w:proofErr w:type="spellStart"/>
      <w:r w:rsidRPr="000937AB">
        <w:t>μM</w:t>
      </w:r>
      <w:proofErr w:type="spellEnd"/>
      <w:r w:rsidRPr="000937AB">
        <w:t xml:space="preserve">). </w:t>
      </w:r>
      <w:r w:rsidR="007F40C0">
        <w:t xml:space="preserve">The pH of samples was checked before experiments were performed and after calcium addition. </w:t>
      </w:r>
      <w:r w:rsidRPr="00B665AF">
        <w:t xml:space="preserve">NMR experiments were carried out at 10°C on a Bruker spectrometer operating at </w:t>
      </w:r>
      <w:r w:rsidRPr="00B665AF">
        <w:rPr>
          <w:vertAlign w:val="superscript"/>
        </w:rPr>
        <w:t>1</w:t>
      </w:r>
      <w:r w:rsidRPr="00B665AF">
        <w:t>H frequencies of 800 MHz equipped with triple resonance HCN cryo-probe</w:t>
      </w:r>
      <w:r w:rsidR="008F64FC">
        <w:t xml:space="preserve"> and data collected in the Topspin 3.6.0 software</w:t>
      </w:r>
      <w:r w:rsidR="00836653">
        <w:t xml:space="preserve"> (</w:t>
      </w:r>
      <w:r w:rsidR="00836653" w:rsidRPr="00836653">
        <w:t xml:space="preserve">Bruker, AXS </w:t>
      </w:r>
      <w:proofErr w:type="spellStart"/>
      <w:r w:rsidR="00836653" w:rsidRPr="00836653">
        <w:t>GmBH</w:t>
      </w:r>
      <w:proofErr w:type="spellEnd"/>
      <w:r w:rsidR="00836653">
        <w:t>)</w:t>
      </w:r>
      <w:r w:rsidRPr="00B665AF">
        <w:t xml:space="preserve">.  The </w:t>
      </w:r>
      <w:r w:rsidRPr="00B665AF">
        <w:rPr>
          <w:vertAlign w:val="superscript"/>
        </w:rPr>
        <w:t>1</w:t>
      </w:r>
      <w:r w:rsidRPr="00B665AF">
        <w:t>H-</w:t>
      </w:r>
      <w:r w:rsidRPr="00B665AF">
        <w:rPr>
          <w:vertAlign w:val="superscript"/>
        </w:rPr>
        <w:t>15</w:t>
      </w:r>
      <w:r w:rsidRPr="00B665AF">
        <w:t>N HSQC experiments were recorded using a data matrix consisting of 2048 (t</w:t>
      </w:r>
      <w:r w:rsidRPr="00B665AF">
        <w:rPr>
          <w:position w:val="-3"/>
          <w:vertAlign w:val="subscript"/>
        </w:rPr>
        <w:t>2</w:t>
      </w:r>
      <w:r w:rsidRPr="00B665AF">
        <w:t xml:space="preserve">, </w:t>
      </w:r>
      <w:r w:rsidRPr="00B665AF">
        <w:rPr>
          <w:vertAlign w:val="superscript"/>
        </w:rPr>
        <w:t>1</w:t>
      </w:r>
      <w:r w:rsidRPr="00B665AF">
        <w:t>H) × 220 (t</w:t>
      </w:r>
      <w:r w:rsidRPr="00B665AF">
        <w:rPr>
          <w:position w:val="-3"/>
          <w:vertAlign w:val="subscript"/>
        </w:rPr>
        <w:t>1</w:t>
      </w:r>
      <w:r w:rsidRPr="00B665AF">
        <w:t xml:space="preserve">, </w:t>
      </w:r>
      <w:r w:rsidRPr="00B665AF">
        <w:rPr>
          <w:vertAlign w:val="superscript"/>
        </w:rPr>
        <w:t>15</w:t>
      </w:r>
      <w:r w:rsidRPr="00B665AF">
        <w:t xml:space="preserve">N) complex points. Assignments of the resonances in </w:t>
      </w:r>
      <w:r w:rsidRPr="00B665AF">
        <w:rPr>
          <w:vertAlign w:val="superscript"/>
        </w:rPr>
        <w:t>1</w:t>
      </w:r>
      <w:r w:rsidRPr="00B665AF">
        <w:t>H-</w:t>
      </w:r>
      <w:r w:rsidRPr="00B665AF">
        <w:rPr>
          <w:vertAlign w:val="superscript"/>
        </w:rPr>
        <w:t>15</w:t>
      </w:r>
      <w:r w:rsidRPr="00B665AF">
        <w:t xml:space="preserve">N-HSQC spectra of </w:t>
      </w:r>
      <w:r w:rsidR="00990FFE">
        <w:t>aSyn</w:t>
      </w:r>
      <w:r w:rsidRPr="00B665AF">
        <w:t xml:space="preserve"> were derived from our previous studies</w:t>
      </w:r>
      <w:r w:rsidR="008F64FC">
        <w:t xml:space="preserve"> and data analysed using the Sparky 3.1 software</w:t>
      </w:r>
      <w:r w:rsidRPr="00B665AF">
        <w:t xml:space="preserve">. </w:t>
      </w:r>
    </w:p>
    <w:p w14:paraId="6E2486A6" w14:textId="4056F4F1" w:rsidR="005D335F" w:rsidRPr="00B665AF" w:rsidRDefault="0037548A" w:rsidP="00D77476">
      <w:pPr>
        <w:pStyle w:val="NoSpacing"/>
        <w:spacing w:line="360" w:lineRule="auto"/>
        <w:jc w:val="both"/>
      </w:pPr>
      <w:r>
        <w:rPr>
          <w:rFonts w:ascii="Cambria Math" w:hAnsi="Cambria Math"/>
          <w:i/>
          <w:noProof/>
          <w:lang w:eastAsia="en-GB"/>
        </w:rPr>
        <mc:AlternateContent>
          <mc:Choice Requires="wps">
            <w:drawing>
              <wp:anchor distT="45720" distB="45720" distL="114300" distR="114300" simplePos="0" relativeHeight="251659264" behindDoc="0" locked="0" layoutInCell="1" allowOverlap="1" wp14:anchorId="7E3E0838" wp14:editId="5060848D">
                <wp:simplePos x="0" y="0"/>
                <wp:positionH relativeFrom="margin">
                  <wp:align>right</wp:align>
                </wp:positionH>
                <wp:positionV relativeFrom="paragraph">
                  <wp:posOffset>525145</wp:posOffset>
                </wp:positionV>
                <wp:extent cx="352425" cy="2857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solidFill>
                          <a:srgbClr val="FFFFFF"/>
                        </a:solidFill>
                        <a:ln w="9525">
                          <a:solidFill>
                            <a:schemeClr val="bg1"/>
                          </a:solidFill>
                          <a:miter lim="800000"/>
                          <a:headEnd/>
                          <a:tailEnd/>
                        </a:ln>
                      </wps:spPr>
                      <wps:txbx>
                        <w:txbxContent>
                          <w:p w14:paraId="1E873C25" w14:textId="35F783F7" w:rsidR="00F32E0D" w:rsidRDefault="00F32E0D">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3E0838" id="_x0000_t202" coordsize="21600,21600" o:spt="202" path="m,l,21600r21600,l21600,xe">
                <v:stroke joinstyle="miter"/>
                <v:path gradientshapeok="t" o:connecttype="rect"/>
              </v:shapetype>
              <v:shape id="Text Box 2" o:spid="_x0000_s1026" type="#_x0000_t202" style="position:absolute;left:0;text-align:left;margin-left:-23.45pt;margin-top:41.35pt;width:27.75pt;height:2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" strokecolor="white [3212]">
                <v:textbox>
                  <w:txbxContent>
                    <w:p w14:paraId="1E873C25" w14:textId="35F783F7" w:rsidR="00F32E0D" w:rsidRDefault="00F32E0D">
                      <w:r>
                        <w:t>(1)</w:t>
                      </w:r>
                    </w:p>
                  </w:txbxContent>
                </v:textbox>
                <w10:wrap type="square" anchorx="margin"/>
              </v:shape>
            </w:pict>
          </mc:Fallback>
        </mc:AlternateContent>
      </w:r>
      <w:r w:rsidR="005D335F" w:rsidRPr="00B665AF">
        <w:t xml:space="preserve">The perturbation </w:t>
      </w:r>
      <w:r w:rsidR="005D335F">
        <w:t>of the</w:t>
      </w:r>
      <w:r w:rsidR="005D335F" w:rsidRPr="00B665AF">
        <w:t xml:space="preserve"> </w:t>
      </w:r>
      <w:r w:rsidR="005D335F" w:rsidRPr="00B665AF">
        <w:rPr>
          <w:vertAlign w:val="superscript"/>
        </w:rPr>
        <w:t>1</w:t>
      </w:r>
      <w:r w:rsidR="005D335F" w:rsidRPr="00B665AF">
        <w:t>H-</w:t>
      </w:r>
      <w:r w:rsidR="005D335F" w:rsidRPr="00B665AF">
        <w:rPr>
          <w:vertAlign w:val="superscript"/>
        </w:rPr>
        <w:t>15</w:t>
      </w:r>
      <w:r w:rsidR="005D335F" w:rsidRPr="00B665AF">
        <w:t xml:space="preserve">N HSQC </w:t>
      </w:r>
      <w:r w:rsidR="005D335F">
        <w:t>resonances</w:t>
      </w:r>
      <w:r w:rsidR="005D335F" w:rsidRPr="00B665AF">
        <w:t xml:space="preserve"> was analysed using a weighting function</w:t>
      </w:r>
      <w:r w:rsidR="00744628">
        <w:t xml:space="preserve"> in Equation 1</w:t>
      </w:r>
      <w:r w:rsidR="005D335F" w:rsidRPr="00B665AF">
        <w:t>:</w:t>
      </w:r>
    </w:p>
    <w:p w14:paraId="0A4E9016" w14:textId="6D50DCF1" w:rsidR="005D335F" w:rsidRPr="00B665AF" w:rsidRDefault="005D335F" w:rsidP="00D77476">
      <w:pPr>
        <w:pStyle w:val="NoSpacing"/>
        <w:spacing w:line="360" w:lineRule="auto"/>
        <w:jc w:val="both"/>
      </w:pPr>
      <m:oMathPara>
        <m:oMath>
          <m:r>
            <w:rPr>
              <w:rFonts w:ascii="Cambria Math" w:hAnsi="Cambria Math"/>
            </w:rPr>
            <m:t xml:space="preserve">∆δ= </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sSubSup>
                    <m:sSubSupPr>
                      <m:ctrlPr>
                        <w:rPr>
                          <w:rFonts w:ascii="Cambria Math" w:hAnsi="Cambria Math"/>
                          <w:i/>
                        </w:rPr>
                      </m:ctrlPr>
                    </m:sSubSupPr>
                    <m:e>
                      <m:r>
                        <w:rPr>
                          <w:rFonts w:ascii="Cambria Math" w:hAnsi="Cambria Math"/>
                        </w:rPr>
                        <m:t>δ</m:t>
                      </m:r>
                    </m:e>
                    <m:sub>
                      <m:r>
                        <w:rPr>
                          <w:rFonts w:ascii="Cambria Math" w:hAnsi="Cambria Math"/>
                        </w:rPr>
                        <m:t>H</m:t>
                      </m:r>
                    </m:sub>
                    <m:sup>
                      <m:r>
                        <w:rPr>
                          <w:rFonts w:ascii="Cambria Math" w:hAnsi="Cambria Math"/>
                        </w:rPr>
                        <m:t>2</m:t>
                      </m:r>
                    </m:sup>
                  </m:sSubSup>
                  <m:sSubSup>
                    <m:sSubSupPr>
                      <m:ctrlPr>
                        <w:rPr>
                          <w:rFonts w:ascii="Cambria Math" w:hAnsi="Cambria Math"/>
                          <w:i/>
                        </w:rPr>
                      </m:ctrlPr>
                    </m:sSubSupPr>
                    <m:e>
                      <m:r>
                        <w:rPr>
                          <w:rFonts w:ascii="Cambria Math" w:hAnsi="Cambria Math"/>
                        </w:rPr>
                        <m:t xml:space="preserve"> + 0.15δ</m:t>
                      </m:r>
                    </m:e>
                    <m:sub>
                      <m:r>
                        <w:rPr>
                          <w:rFonts w:ascii="Cambria Math" w:hAnsi="Cambria Math"/>
                        </w:rPr>
                        <m:t>N</m:t>
                      </m:r>
                    </m:sub>
                    <m:sup>
                      <m:r>
                        <w:rPr>
                          <w:rFonts w:ascii="Cambria Math" w:hAnsi="Cambria Math"/>
                        </w:rPr>
                        <m:t>2</m:t>
                      </m:r>
                    </m:sup>
                  </m:sSubSup>
                </m:e>
              </m:d>
            </m:e>
          </m:rad>
        </m:oMath>
      </m:oMathPara>
    </w:p>
    <w:p w14:paraId="02FA4030" w14:textId="1118F56A" w:rsidR="005D335F" w:rsidRPr="00B665AF" w:rsidRDefault="00A573F9" w:rsidP="00D77476">
      <w:pPr>
        <w:pStyle w:val="NoSpacing"/>
        <w:spacing w:line="360" w:lineRule="auto"/>
        <w:jc w:val="both"/>
      </w:pPr>
      <w:r>
        <w:rPr>
          <w:noProof/>
          <w:lang w:eastAsia="en-GB"/>
        </w:rPr>
        <mc:AlternateContent>
          <mc:Choice Requires="wps">
            <w:drawing>
              <wp:anchor distT="45720" distB="45720" distL="114300" distR="114300" simplePos="0" relativeHeight="251661312" behindDoc="0" locked="0" layoutInCell="1" allowOverlap="1" wp14:anchorId="3767FF2D" wp14:editId="6C5C84B0">
                <wp:simplePos x="0" y="0"/>
                <wp:positionH relativeFrom="margin">
                  <wp:align>right</wp:align>
                </wp:positionH>
                <wp:positionV relativeFrom="paragraph">
                  <wp:posOffset>264160</wp:posOffset>
                </wp:positionV>
                <wp:extent cx="361950" cy="314325"/>
                <wp:effectExtent l="0" t="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14325"/>
                        </a:xfrm>
                        <a:prstGeom prst="rect">
                          <a:avLst/>
                        </a:prstGeom>
                        <a:solidFill>
                          <a:srgbClr val="FFFFFF"/>
                        </a:solidFill>
                        <a:ln w="9525">
                          <a:solidFill>
                            <a:schemeClr val="bg1"/>
                          </a:solidFill>
                          <a:miter lim="800000"/>
                          <a:headEnd/>
                          <a:tailEnd/>
                        </a:ln>
                      </wps:spPr>
                      <wps:txbx>
                        <w:txbxContent>
                          <w:p w14:paraId="6DB0397D" w14:textId="7133F182" w:rsidR="00F32E0D" w:rsidRDefault="00F32E0D">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7FF2D" id="_x0000_s1027" type="#_x0000_t202" style="position:absolute;left:0;text-align:left;margin-left:-22.7pt;margin-top:20.8pt;width:28.5pt;height:24.7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" strokecolor="white [3212]">
                <v:textbox>
                  <w:txbxContent>
                    <w:p w14:paraId="6DB0397D" w14:textId="7133F182" w:rsidR="00F32E0D" w:rsidRDefault="00F32E0D">
                      <w:r>
                        <w:t>(2)</w:t>
                      </w:r>
                    </w:p>
                  </w:txbxContent>
                </v:textbox>
                <w10:wrap type="square" anchorx="margin"/>
              </v:shape>
            </w:pict>
          </mc:Fallback>
        </mc:AlternateContent>
      </w:r>
      <w:r w:rsidR="005D335F">
        <w:t>The titration enabled calculating the fraction of bound</w:t>
      </w:r>
      <w:r w:rsidR="005D335F" w:rsidRPr="00B665AF">
        <w:t xml:space="preserve"> </w:t>
      </w:r>
      <w:r w:rsidR="00990FFE">
        <w:t>aSyn</w:t>
      </w:r>
      <w:r w:rsidR="005D335F">
        <w:t>,</w:t>
      </w:r>
      <w:r w:rsidR="005D335F" w:rsidRPr="00B665AF">
        <w:t xml:space="preserve"> </w:t>
      </w:r>
      <m:oMath>
        <m:sSub>
          <m:sSubPr>
            <m:ctrlPr>
              <w:rPr>
                <w:rFonts w:ascii="Cambria Math" w:hAnsi="Cambria Math"/>
                <w:i/>
              </w:rPr>
            </m:ctrlPr>
          </m:sSubPr>
          <m:e>
            <m:r>
              <w:rPr>
                <w:rFonts w:ascii="Cambria Math" w:hAnsi="Cambria Math"/>
              </w:rPr>
              <m:t>χ</m:t>
            </m:r>
          </m:e>
          <m:sub>
            <m:r>
              <w:rPr>
                <w:rFonts w:ascii="Cambria Math" w:hAnsi="Cambria Math"/>
              </w:rPr>
              <m:t>B</m:t>
            </m:r>
          </m:sub>
        </m:sSub>
      </m:oMath>
      <w:r w:rsidR="005D335F">
        <w:t>, as a function of [</w:t>
      </w:r>
      <w:r w:rsidR="005D335F" w:rsidRPr="00B665AF">
        <w:t>Ca</w:t>
      </w:r>
      <w:r w:rsidR="005D335F" w:rsidRPr="00B665AF">
        <w:rPr>
          <w:vertAlign w:val="superscript"/>
        </w:rPr>
        <w:t>2+</w:t>
      </w:r>
      <w:r w:rsidR="005D335F">
        <w:t>].</w:t>
      </w:r>
    </w:p>
    <w:p w14:paraId="557D1AA6" w14:textId="77777777" w:rsidR="005D335F" w:rsidRPr="00B665AF" w:rsidRDefault="00202B28" w:rsidP="00D77476">
      <w:pPr>
        <w:pStyle w:val="NoSpacing"/>
        <w:spacing w:line="360" w:lineRule="auto"/>
        <w:jc w:val="both"/>
      </w:pPr>
      <m:oMathPara>
        <m:oMath>
          <m:sSub>
            <m:sSubPr>
              <m:ctrlPr>
                <w:rPr>
                  <w:rFonts w:ascii="Cambria Math" w:hAnsi="Cambria Math"/>
                  <w:i/>
                </w:rPr>
              </m:ctrlPr>
            </m:sSubPr>
            <m:e>
              <m:r>
                <w:rPr>
                  <w:rFonts w:ascii="Cambria Math" w:hAnsi="Cambria Math"/>
                </w:rPr>
                <m:t>χ</m:t>
              </m:r>
            </m:e>
            <m:sub>
              <m:r>
                <w:rPr>
                  <w:rFonts w:ascii="Cambria Math" w:hAnsi="Cambria Math"/>
                </w:rPr>
                <m:t>B</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∆δ</m:t>
                  </m:r>
                </m:e>
                <m:sub>
                  <m:r>
                    <w:rPr>
                      <w:rFonts w:ascii="Cambria Math" w:hAnsi="Cambria Math"/>
                    </w:rPr>
                    <m:t>obs</m:t>
                  </m:r>
                </m:sub>
              </m:sSub>
            </m:num>
            <m:den>
              <m:sSub>
                <m:sSubPr>
                  <m:ctrlPr>
                    <w:rPr>
                      <w:rFonts w:ascii="Cambria Math" w:hAnsi="Cambria Math"/>
                      <w:i/>
                    </w:rPr>
                  </m:ctrlPr>
                </m:sSubPr>
                <m:e>
                  <m:r>
                    <w:rPr>
                      <w:rFonts w:ascii="Cambria Math" w:hAnsi="Cambria Math"/>
                    </w:rPr>
                    <m:t>∆δ</m:t>
                  </m:r>
                </m:e>
                <m:sub>
                  <m:r>
                    <w:rPr>
                      <w:rFonts w:ascii="Cambria Math" w:hAnsi="Cambria Math"/>
                    </w:rPr>
                    <m:t>sat</m:t>
                  </m:r>
                </m:sub>
              </m:sSub>
            </m:den>
          </m:f>
        </m:oMath>
      </m:oMathPara>
    </w:p>
    <w:p w14:paraId="3B742866" w14:textId="72BE4EC4" w:rsidR="005D335F" w:rsidRDefault="005D335F" w:rsidP="00D77476">
      <w:pPr>
        <w:pStyle w:val="NoSpacing"/>
        <w:spacing w:line="360" w:lineRule="auto"/>
        <w:jc w:val="both"/>
      </w:pPr>
      <w:r w:rsidRPr="00B665AF">
        <w:t xml:space="preserve">Where the </w:t>
      </w:r>
      <m:oMath>
        <m:sSub>
          <m:sSubPr>
            <m:ctrlPr>
              <w:rPr>
                <w:rFonts w:ascii="Cambria Math" w:hAnsi="Cambria Math"/>
                <w:i/>
              </w:rPr>
            </m:ctrlPr>
          </m:sSubPr>
          <m:e>
            <m:r>
              <w:rPr>
                <w:rFonts w:ascii="Cambria Math" w:hAnsi="Cambria Math"/>
              </w:rPr>
              <m:t>∆δ</m:t>
            </m:r>
          </m:e>
          <m:sub>
            <m:r>
              <w:rPr>
                <w:rFonts w:ascii="Cambria Math" w:hAnsi="Cambria Math"/>
              </w:rPr>
              <m:t>obs</m:t>
            </m:r>
          </m:sub>
        </m:sSub>
      </m:oMath>
      <w:r w:rsidRPr="00B665AF">
        <w:t xml:space="preserve"> is the chemical shift</w:t>
      </w:r>
      <w:r>
        <w:t xml:space="preserve"> perturbation of the amide group of a residue of </w:t>
      </w:r>
      <w:r w:rsidR="00990FFE">
        <w:t>aSyn</w:t>
      </w:r>
      <w:r>
        <w:t xml:space="preserve"> </w:t>
      </w:r>
      <w:r w:rsidRPr="00B665AF">
        <w:t xml:space="preserve">at a given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Ca</m:t>
                </m:r>
              </m:e>
              <m:sup>
                <m:r>
                  <w:rPr>
                    <w:rFonts w:ascii="Cambria Math" w:hAnsi="Cambria Math"/>
                  </w:rPr>
                  <m:t>2+</m:t>
                </m:r>
              </m:sup>
            </m:sSup>
          </m:e>
        </m:d>
      </m:oMath>
      <w:r w:rsidRPr="00B665AF">
        <w:t xml:space="preserve"> </w:t>
      </w:r>
      <w:r>
        <w:t>and</w:t>
      </w:r>
      <w:r w:rsidRPr="00B665AF">
        <w:t xml:space="preserve"> </w:t>
      </w:r>
      <m:oMath>
        <m:sSub>
          <m:sSubPr>
            <m:ctrlPr>
              <w:rPr>
                <w:rFonts w:ascii="Cambria Math" w:hAnsi="Cambria Math"/>
                <w:i/>
              </w:rPr>
            </m:ctrlPr>
          </m:sSubPr>
          <m:e>
            <m:r>
              <w:rPr>
                <w:rFonts w:ascii="Cambria Math" w:hAnsi="Cambria Math"/>
              </w:rPr>
              <m:t>∆δ</m:t>
            </m:r>
          </m:e>
          <m:sub>
            <m:r>
              <w:rPr>
                <w:rFonts w:ascii="Cambria Math" w:hAnsi="Cambria Math"/>
              </w:rPr>
              <m:t>sat</m:t>
            </m:r>
          </m:sub>
        </m:sSub>
      </m:oMath>
      <w:r w:rsidRPr="00B665AF">
        <w:t xml:space="preserve"> is the </w:t>
      </w:r>
      <w:r>
        <w:t>perturbation</w:t>
      </w:r>
      <w:r w:rsidRPr="00B665AF">
        <w:t xml:space="preserve"> obtained </w:t>
      </w:r>
      <w:r>
        <w:t>with calcium</w:t>
      </w:r>
      <w:r w:rsidRPr="00B665AF">
        <w:t xml:space="preserve"> saturation</w:t>
      </w:r>
      <w:r>
        <w:t xml:space="preserve">. </w:t>
      </w:r>
      <m:oMath>
        <m:sSub>
          <m:sSubPr>
            <m:ctrlPr>
              <w:rPr>
                <w:rFonts w:ascii="Cambria Math" w:hAnsi="Cambria Math"/>
                <w:i/>
              </w:rPr>
            </m:ctrlPr>
          </m:sSubPr>
          <m:e>
            <m:r>
              <w:rPr>
                <w:rFonts w:ascii="Cambria Math" w:hAnsi="Cambria Math"/>
              </w:rPr>
              <m:t>χ</m:t>
            </m:r>
          </m:e>
          <m:sub>
            <m:r>
              <w:rPr>
                <w:rFonts w:ascii="Cambria Math" w:hAnsi="Cambria Math"/>
              </w:rPr>
              <m:t>B</m:t>
            </m:r>
          </m:sub>
        </m:sSub>
      </m:oMath>
      <w:r w:rsidRPr="00B665AF">
        <w:t xml:space="preserve"> </w:t>
      </w:r>
      <w:r>
        <w:t xml:space="preserve">values were obtained as a function of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Ca</m:t>
                </m:r>
              </m:e>
              <m:sup>
                <m:r>
                  <w:rPr>
                    <w:rFonts w:ascii="Cambria Math" w:hAnsi="Cambria Math"/>
                  </w:rPr>
                  <m:t>2+</m:t>
                </m:r>
              </m:sup>
            </m:sSup>
          </m:e>
        </m:d>
      </m:oMath>
      <w:r>
        <w:t xml:space="preserve"> for every residue of the protein for which resolved peaks in the </w:t>
      </w:r>
      <w:r w:rsidRPr="00B665AF">
        <w:rPr>
          <w:vertAlign w:val="superscript"/>
        </w:rPr>
        <w:t>1</w:t>
      </w:r>
      <w:r w:rsidRPr="00B665AF">
        <w:t>H-</w:t>
      </w:r>
      <w:r w:rsidRPr="00B665AF">
        <w:rPr>
          <w:vertAlign w:val="superscript"/>
        </w:rPr>
        <w:t>15</w:t>
      </w:r>
      <w:r w:rsidRPr="00B665AF">
        <w:t>N HSQC</w:t>
      </w:r>
      <w:r>
        <w:t xml:space="preserve"> are available. A global </w:t>
      </w:r>
      <m:oMath>
        <m:sSub>
          <m:sSubPr>
            <m:ctrlPr>
              <w:rPr>
                <w:rFonts w:ascii="Cambria Math" w:hAnsi="Cambria Math"/>
                <w:i/>
              </w:rPr>
            </m:ctrlPr>
          </m:sSubPr>
          <m:e>
            <m:r>
              <w:rPr>
                <w:rFonts w:ascii="Cambria Math" w:hAnsi="Cambria Math"/>
              </w:rPr>
              <m:t>χ</m:t>
            </m:r>
          </m:e>
          <m:sub>
            <m:r>
              <w:rPr>
                <w:rFonts w:ascii="Cambria Math" w:hAnsi="Cambria Math"/>
              </w:rPr>
              <m:t>B</m:t>
            </m:r>
          </m:sub>
        </m:sSub>
      </m:oMath>
      <w:r>
        <w:t xml:space="preserve"> was calculated by average the fractions corresponding to residues associated with major resonance perturbations in the presence of calcium. </w:t>
      </w:r>
    </w:p>
    <w:p w14:paraId="723EB694" w14:textId="77777777" w:rsidR="005D335F" w:rsidRDefault="005D335F" w:rsidP="00D77476">
      <w:pPr>
        <w:pStyle w:val="NoSpacing"/>
        <w:spacing w:line="360" w:lineRule="auto"/>
        <w:jc w:val="both"/>
      </w:pPr>
      <w:r>
        <w:t xml:space="preserve">In order to obtain the apparent dissociation constant we used two different models. </w:t>
      </w:r>
    </w:p>
    <w:p w14:paraId="6AEF50B0" w14:textId="4AF54702" w:rsidR="005D335F" w:rsidRPr="00CE11ED" w:rsidRDefault="00744628" w:rsidP="00D77476">
      <w:pPr>
        <w:pStyle w:val="NoSpacing"/>
        <w:spacing w:line="360" w:lineRule="auto"/>
        <w:jc w:val="both"/>
      </w:pPr>
      <w:r>
        <w:rPr>
          <w:noProof/>
          <w:lang w:eastAsia="en-GB"/>
        </w:rPr>
        <mc:AlternateContent>
          <mc:Choice Requires="wps">
            <w:drawing>
              <wp:anchor distT="0" distB="0" distL="114300" distR="114300" simplePos="0" relativeHeight="251662336" behindDoc="0" locked="0" layoutInCell="1" allowOverlap="1" wp14:anchorId="4BD969C3" wp14:editId="0039337B">
                <wp:simplePos x="0" y="0"/>
                <wp:positionH relativeFrom="margin">
                  <wp:align>right</wp:align>
                </wp:positionH>
                <wp:positionV relativeFrom="paragraph">
                  <wp:posOffset>172085</wp:posOffset>
                </wp:positionV>
                <wp:extent cx="352425" cy="3048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352425" cy="304800"/>
                        </a:xfrm>
                        <a:prstGeom prst="rect">
                          <a:avLst/>
                        </a:prstGeom>
                        <a:solidFill>
                          <a:schemeClr val="lt1"/>
                        </a:solidFill>
                        <a:ln w="6350">
                          <a:solidFill>
                            <a:schemeClr val="bg1"/>
                          </a:solidFill>
                        </a:ln>
                      </wps:spPr>
                      <wps:txbx>
                        <w:txbxContent>
                          <w:p w14:paraId="37344C36" w14:textId="36045CFD" w:rsidR="00F32E0D" w:rsidRPr="00846F41" w:rsidRDefault="00F32E0D">
                            <w:pPr>
                              <w:rPr>
                                <w:lang w:val="en-US"/>
                              </w:rPr>
                            </w:pPr>
                            <w:r>
                              <w:rPr>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D969C3" id="Text Box 4" o:spid="_x0000_s1028" type="#_x0000_t202" style="position:absolute;left:0;text-align:left;margin-left:-23.45pt;margin-top:13.55pt;width:27.75pt;height:24pt;z-index:2516623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" fillcolor="white [3201]" strokecolor="white [3212]" strokeweight=".5pt">
                <v:textbox>
                  <w:txbxContent>
                    <w:p w14:paraId="37344C36" w14:textId="36045CFD" w:rsidR="00F32E0D" w:rsidRPr="00846F41" w:rsidRDefault="00F32E0D">
                      <w:pPr>
                        <w:rPr>
                          <w:lang w:val="en-US"/>
                        </w:rPr>
                      </w:pPr>
                      <w:r>
                        <w:rPr>
                          <w:lang w:val="en-US"/>
                        </w:rPr>
                        <w:t>(3)</w:t>
                      </w:r>
                    </w:p>
                  </w:txbxContent>
                </v:textbox>
                <w10:wrap anchorx="margin"/>
              </v:shape>
            </w:pict>
          </mc:Fallback>
        </mc:AlternateContent>
      </w:r>
      <w:r w:rsidR="005D335F">
        <w:t xml:space="preserve">As first, we employed a model based on previous investigations </w:t>
      </w:r>
      <w:r w:rsidR="005D335F">
        <w:fldChar w:fldCharType="begin" w:fldLock="1"/>
      </w:r>
      <w:r w:rsidR="00373BC0">
        <w:instrText>ADDIN CSL_CITATION {"citationItems":[{"id":"ITEM-1","itemData":{"DOI":"10.1038/s41467-018-03111-4","ISSN":"20411723","abstract":"Alpha-synuclein is known to bind to small unilamellar vesicles (SUVs) via its N terminus, which forms an amphipathic alpha-helix upon membrane interaction. Here we show that calcium binds to the C terminus of alpha-synuclein, therewith increasing its lipid-binding capacity. Using CEST-NMR, we reveal that alpha-synuclein interacts with isolated synaptic vesicles with two regions, the N terminus, already known from studies on SUVs, and additionally via its C terminus, which is regulated by the binding of calcium. Indeed, dSTORM on synaptosomes shows that calcium mediates the localization of alpha-synuclein at the pre-synaptic terminal, and an imbalance in calcium or alpha-synuclein can cause synaptic vesicle clustering, as seen ex vivo and in vitro. This study provides a new view on the binding of alpha-synuclein to synaptic vesicles, which might also affect our understanding of synucleinopathies.","author":[{"dropping-particle":"","family":"Lautenschläger","given":"Janin","non-dropping-particle":"","parse-names":false,"suffix":""},{"dropping-particle":"","family":"Stephens","given":"Amberley D.","non-dropping-particle":"","parse-names":false,"suffix":""},{"dropping-particle":"","family":"Fusco","given":"Giuliana","non-dropping-particle":"","parse-names":false,"suffix":""},{"dropping-particle":"","family":"Ströhl","given":"Florian","non-dropping-particle":"","parse-names":false,"suffix":""},{"dropping-particle":"","family":"Curry","given":"Nathan","non-dropping-particle":"","parse-names":false,"suffix":""},{"dropping-particle":"","family":"Zacharopoulou","given":"Maria","non-dropping-particle":"","parse-names":false,"suffix":""},{"dropping-particle":"","family":"Michel","given":"Claire H.","non-dropping-particle":"","parse-names":false,"suffix":""},{"dropping-particle":"","family":"Laine","given":"Romain","non-dropping-particle":"","parse-names":false,"suffix":""},{"dropping-particle":"","family":"Nespovitaya","given":"Nadezhda","non-dropping-particle":"","parse-names":false,"suffix":""},{"dropping-particle":"","family":"Fantham","given":"Marcus","non-dropping-particle":"","parse-names":false,"suffix":""},{"dropping-particle":"","family":"Pinotsi","given":"Dorothea","non-dropping-particle":"","parse-names":false,"suffix":""},{"dropping-particle":"","family":"Zago","given":"Wagner","non-dropping-particle":"","parse-names":false,"suffix":""},{"dropping-particle":"","family":"Fraser","given":"Paul","non-dropping-particle":"","parse-names":false,"suffix":""},{"dropping-particle":"","family":"Tandon","given":"Anurag","non-dropping-particle":"","parse-names":false,"suffix":""},{"dropping-particle":"","family":"St George-Hyslop","given":"Peter","non-dropping-particle":"","parse-names":false,"suffix":""},{"dropping-particle":"","family":"Rees","given":"Eric","non-dropping-particle":"","parse-names":false,"suffix":""},{"dropping-particle":"","family":"Phillips","given":"Jonathan J.","non-dropping-particle":"","parse-names":false,"suffix":""},{"dropping-particle":"","family":"Simone","given":"Alfonso","non-dropping-particle":"De","parse-names":false,"suffix":""},{"dropping-particle":"","family":"Kaminski","given":"Clemens F.","non-dropping-particle":"","parse-names":false,"suffix":""},{"dropping-particle":"","family":"Schierle","given":"Gabriele S.Kaminski","non-dropping-particle":"","parse-names":false,"suffix":""}],"container-title":"Nature Communications","id":"ITEM-1","issue":"1","issued":{"date-parts":[["2018","12","19"]]},"page":"712","publisher":"Nature Publishing Group","title":"C-terminal calcium binding of α-synuclein modulates synaptic vesicle interaction","type":"article-journal","volume":"9"},"uris":["http://www.mendeley.com/documents/?uuid=5da06726-0802-3970-b05f-1380256f2e9a"]}],"mendeley":{"formattedCitation":"&lt;sup&gt;40&lt;/sup&gt;","plainTextFormattedCitation":"40","previouslyFormattedCitation":"&lt;sup&gt;40&lt;/sup&gt;"},"properties":{"noteIndex":0},"schema":"https://github.com/citation-style-language/schema/raw/master/csl-citation.json"}</w:instrText>
      </w:r>
      <w:r w:rsidR="005D335F">
        <w:fldChar w:fldCharType="separate"/>
      </w:r>
      <w:r w:rsidR="00373BC0" w:rsidRPr="00373BC0">
        <w:rPr>
          <w:noProof/>
          <w:vertAlign w:val="superscript"/>
        </w:rPr>
        <w:t>40</w:t>
      </w:r>
      <w:r w:rsidR="005D335F">
        <w:fldChar w:fldCharType="end"/>
      </w:r>
      <w:r w:rsidR="005D335F" w:rsidRPr="00CE11ED">
        <w:t>:</w:t>
      </w:r>
    </w:p>
    <w:p w14:paraId="79F752C4" w14:textId="77777777" w:rsidR="005D335F" w:rsidRDefault="005D335F" w:rsidP="00D77476">
      <w:pPr>
        <w:pStyle w:val="NoSpacing"/>
        <w:spacing w:line="360" w:lineRule="auto"/>
        <w:jc w:val="both"/>
      </w:pPr>
      <m:oMathPara>
        <m:oMath>
          <m:r>
            <w:rPr>
              <w:rFonts w:ascii="Cambria Math" w:hAnsi="Cambria Math"/>
            </w:rPr>
            <m:t xml:space="preserve"> </m:t>
          </m:r>
          <m:sSup>
            <m:sSupPr>
              <m:ctrlPr>
                <w:rPr>
                  <w:rFonts w:ascii="Cambria Math" w:hAnsi="Cambria Math"/>
                  <w:i/>
                </w:rPr>
              </m:ctrlPr>
            </m:sSupPr>
            <m:e>
              <m:r>
                <w:rPr>
                  <w:rFonts w:ascii="Cambria Math" w:hAnsi="Cambria Math"/>
                </w:rPr>
                <m:t>αsyn</m:t>
              </m:r>
            </m:e>
            <m:sup>
              <m:r>
                <w:rPr>
                  <w:rFonts w:ascii="Cambria Math" w:hAnsi="Cambria Math"/>
                </w:rPr>
                <m:t>U</m:t>
              </m:r>
            </m:sup>
          </m:sSup>
          <m:r>
            <w:rPr>
              <w:rFonts w:ascii="Cambria Math" w:hAnsi="Cambria Math"/>
            </w:rPr>
            <m:t xml:space="preserve">+ </m:t>
          </m:r>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w:rPr>
                          <w:rFonts w:ascii="Cambria Math" w:hAnsi="Cambria Math"/>
                        </w:rPr>
                        <m:t>Ca</m:t>
                      </m:r>
                    </m:e>
                    <m:sup>
                      <m:r>
                        <w:rPr>
                          <w:rFonts w:ascii="Cambria Math" w:hAnsi="Cambria Math"/>
                        </w:rPr>
                        <m:t>2+</m:t>
                      </m:r>
                    </m:sup>
                  </m:sSup>
                </m:e>
              </m:d>
            </m:e>
            <m:sub>
              <m:r>
                <w:rPr>
                  <w:rFonts w:ascii="Cambria Math" w:hAnsi="Cambria Math"/>
                </w:rPr>
                <m:t>L</m:t>
              </m:r>
            </m:sub>
          </m:sSub>
          <m:r>
            <w:rPr>
              <w:rFonts w:ascii="Cambria Math" w:hAnsi="Cambria Math"/>
            </w:rPr>
            <m:t>=</m:t>
          </m:r>
          <m:sSup>
            <m:sSupPr>
              <m:ctrlPr>
                <w:rPr>
                  <w:rFonts w:ascii="Cambria Math" w:hAnsi="Cambria Math"/>
                  <w:i/>
                </w:rPr>
              </m:ctrlPr>
            </m:sSupPr>
            <m:e>
              <m:r>
                <w:rPr>
                  <w:rFonts w:ascii="Cambria Math" w:hAnsi="Cambria Math"/>
                </w:rPr>
                <m:t>αsyn</m:t>
              </m:r>
            </m:e>
            <m:sup>
              <m:r>
                <w:rPr>
                  <w:rFonts w:ascii="Cambria Math" w:hAnsi="Cambria Math"/>
                </w:rPr>
                <m:t>B</m:t>
              </m:r>
            </m:sup>
          </m:sSup>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w:rPr>
                          <w:rFonts w:ascii="Cambria Math" w:hAnsi="Cambria Math"/>
                        </w:rPr>
                        <m:t>Ca</m:t>
                      </m:r>
                    </m:e>
                    <m:sup>
                      <m:r>
                        <w:rPr>
                          <w:rFonts w:ascii="Cambria Math" w:hAnsi="Cambria Math"/>
                        </w:rPr>
                        <m:t>2+</m:t>
                      </m:r>
                    </m:sup>
                  </m:sSup>
                </m:e>
              </m:d>
            </m:e>
            <m:sub>
              <m:r>
                <w:rPr>
                  <w:rFonts w:ascii="Cambria Math" w:hAnsi="Cambria Math"/>
                </w:rPr>
                <m:t>L</m:t>
              </m:r>
            </m:sub>
          </m:sSub>
        </m:oMath>
      </m:oMathPara>
    </w:p>
    <w:p w14:paraId="202F1986" w14:textId="2518EDA3" w:rsidR="005D335F" w:rsidRPr="00B665AF" w:rsidRDefault="00744628" w:rsidP="00D77476">
      <w:pPr>
        <w:pStyle w:val="NoSpacing"/>
        <w:spacing w:line="360" w:lineRule="auto"/>
        <w:jc w:val="both"/>
      </w:pPr>
      <w:r>
        <w:rPr>
          <w:noProof/>
          <w:lang w:eastAsia="en-GB"/>
        </w:rPr>
        <mc:AlternateContent>
          <mc:Choice Requires="wps">
            <w:drawing>
              <wp:anchor distT="0" distB="0" distL="114300" distR="114300" simplePos="0" relativeHeight="251663360" behindDoc="0" locked="0" layoutInCell="1" allowOverlap="1" wp14:anchorId="48615291" wp14:editId="72A36B88">
                <wp:simplePos x="0" y="0"/>
                <wp:positionH relativeFrom="column">
                  <wp:posOffset>5391150</wp:posOffset>
                </wp:positionH>
                <wp:positionV relativeFrom="paragraph">
                  <wp:posOffset>706120</wp:posOffset>
                </wp:positionV>
                <wp:extent cx="361950" cy="3333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361950" cy="333375"/>
                        </a:xfrm>
                        <a:prstGeom prst="rect">
                          <a:avLst/>
                        </a:prstGeom>
                        <a:solidFill>
                          <a:schemeClr val="lt1"/>
                        </a:solidFill>
                        <a:ln w="6350">
                          <a:solidFill>
                            <a:schemeClr val="bg1"/>
                          </a:solidFill>
                        </a:ln>
                      </wps:spPr>
                      <wps:txbx>
                        <w:txbxContent>
                          <w:p w14:paraId="51A91ECE" w14:textId="4ECDD091" w:rsidR="00F32E0D" w:rsidRPr="00846F41" w:rsidRDefault="00F32E0D">
                            <w:pPr>
                              <w:rPr>
                                <w:lang w:val="en-US"/>
                              </w:rPr>
                            </w:pPr>
                            <w:r>
                              <w:rPr>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615291" id="Text Box 5" o:spid="_x0000_s1029" type="#_x0000_t202" style="position:absolute;left:0;text-align:left;margin-left:424.5pt;margin-top:55.6pt;width:28.5pt;height:26.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" fillcolor="white [3201]" strokecolor="white [3212]" strokeweight=".5pt">
                <v:textbox>
                  <w:txbxContent>
                    <w:p w14:paraId="51A91ECE" w14:textId="4ECDD091" w:rsidR="00F32E0D" w:rsidRPr="00846F41" w:rsidRDefault="00F32E0D">
                      <w:pPr>
                        <w:rPr>
                          <w:lang w:val="en-US"/>
                        </w:rPr>
                      </w:pPr>
                      <w:r>
                        <w:rPr>
                          <w:lang w:val="en-US"/>
                        </w:rPr>
                        <w:t>(4)</w:t>
                      </w:r>
                    </w:p>
                  </w:txbxContent>
                </v:textbox>
              </v:shape>
            </w:pict>
          </mc:Fallback>
        </mc:AlternateContent>
      </w:r>
      <w:r w:rsidR="005D335F" w:rsidRPr="00B665AF">
        <w:t xml:space="preserve">Where </w:t>
      </w:r>
      <m:oMath>
        <m:sSup>
          <m:sSupPr>
            <m:ctrlPr>
              <w:rPr>
                <w:rFonts w:ascii="Cambria Math" w:hAnsi="Cambria Math"/>
                <w:i/>
              </w:rPr>
            </m:ctrlPr>
          </m:sSupPr>
          <m:e>
            <m:r>
              <w:rPr>
                <w:rFonts w:ascii="Cambria Math" w:hAnsi="Cambria Math"/>
              </w:rPr>
              <m:t>αsyn</m:t>
            </m:r>
          </m:e>
          <m:sup>
            <m:r>
              <w:rPr>
                <w:rFonts w:ascii="Cambria Math" w:hAnsi="Cambria Math"/>
              </w:rPr>
              <m:t>U</m:t>
            </m:r>
          </m:sup>
        </m:sSup>
      </m:oMath>
      <w:r w:rsidR="005D335F" w:rsidRPr="00B665AF">
        <w:t xml:space="preserve"> and </w:t>
      </w:r>
      <m:oMath>
        <m:sSup>
          <m:sSupPr>
            <m:ctrlPr>
              <w:rPr>
                <w:rFonts w:ascii="Cambria Math" w:hAnsi="Cambria Math"/>
                <w:i/>
              </w:rPr>
            </m:ctrlPr>
          </m:sSupPr>
          <m:e>
            <m:r>
              <w:rPr>
                <w:rFonts w:ascii="Cambria Math" w:hAnsi="Cambria Math"/>
              </w:rPr>
              <m:t>αsyn</m:t>
            </m:r>
          </m:e>
          <m:sup>
            <m:r>
              <w:rPr>
                <w:rFonts w:ascii="Cambria Math" w:hAnsi="Cambria Math"/>
              </w:rPr>
              <m:t>B</m:t>
            </m:r>
          </m:sup>
        </m:sSup>
      </m:oMath>
      <w:r w:rsidR="005D335F" w:rsidRPr="00B665AF">
        <w:t xml:space="preserve"> indicate fre</w:t>
      </w:r>
      <w:r w:rsidR="005D335F">
        <w:t xml:space="preserve">e and calcium bound </w:t>
      </w:r>
      <w:r w:rsidR="00990FFE">
        <w:t>aSyn</w:t>
      </w:r>
      <w:r w:rsidR="005D335F">
        <w:t xml:space="preserve">, </w:t>
      </w:r>
      <w:r w:rsidR="005D335F" w:rsidRPr="00B665AF">
        <w:t>L indicates the number of Ca</w:t>
      </w:r>
      <w:r w:rsidR="005D335F" w:rsidRPr="00B665AF">
        <w:rPr>
          <w:vertAlign w:val="superscript"/>
        </w:rPr>
        <w:t>2+</w:t>
      </w:r>
      <w:r w:rsidR="005D335F" w:rsidRPr="00B665AF">
        <w:t xml:space="preserve"> interacting with one </w:t>
      </w:r>
      <w:r w:rsidR="00990FFE">
        <w:t xml:space="preserve">aSyn </w:t>
      </w:r>
      <w:r w:rsidR="005D335F">
        <w:t>molecule, and t</w:t>
      </w:r>
      <w:r w:rsidR="005D335F" w:rsidRPr="00B665AF">
        <w:t xml:space="preserve">he overall concentration of </w:t>
      </w:r>
      <w:r w:rsidR="00990FFE">
        <w:t xml:space="preserve">aSyn </w:t>
      </w:r>
      <w:r w:rsidR="005D335F" w:rsidRPr="00B665AF">
        <w:t>in this equilibrium is</w:t>
      </w:r>
      <w:r w:rsidR="005D335F">
        <w:t xml:space="preserve"> given by</w:t>
      </w:r>
    </w:p>
    <w:p w14:paraId="49F2E7F2" w14:textId="77777777" w:rsidR="005D335F" w:rsidRPr="00B665AF" w:rsidRDefault="00202B28" w:rsidP="00D77476">
      <w:pPr>
        <w:pStyle w:val="NoSpacing"/>
        <w:spacing w:line="360" w:lineRule="auto"/>
        <w:jc w:val="both"/>
      </w:pPr>
      <m:oMathPara>
        <m:oMath>
          <m:d>
            <m:dPr>
              <m:begChr m:val="["/>
              <m:endChr m:val="]"/>
              <m:ctrlPr>
                <w:rPr>
                  <w:rFonts w:ascii="Cambria Math" w:hAnsi="Cambria Math"/>
                  <w:i/>
                </w:rPr>
              </m:ctrlPr>
            </m:dPr>
            <m:e>
              <m:r>
                <w:rPr>
                  <w:rFonts w:ascii="Cambria Math" w:hAnsi="Cambria Math"/>
                </w:rPr>
                <m:t>αsyn</m:t>
              </m:r>
            </m:e>
          </m:d>
          <m:r>
            <w:rPr>
              <w:rFonts w:ascii="Cambria Math" w:hAnsi="Cambria Math"/>
            </w:rPr>
            <m:t xml:space="preserve">= </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αsyn</m:t>
                  </m:r>
                </m:e>
                <m:sup>
                  <m:r>
                    <w:rPr>
                      <w:rFonts w:ascii="Cambria Math" w:hAnsi="Cambria Math"/>
                    </w:rPr>
                    <m:t>U</m:t>
                  </m:r>
                </m:sup>
              </m:sSup>
            </m:e>
          </m:d>
          <m:r>
            <w:rPr>
              <w:rFonts w:ascii="Cambria Math" w:hAnsi="Cambria Math"/>
            </w:rPr>
            <m:t xml:space="preserve">+ </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αsyn</m:t>
                  </m:r>
                </m:e>
                <m:sup>
                  <m:r>
                    <w:rPr>
                      <w:rFonts w:ascii="Cambria Math" w:hAnsi="Cambria Math"/>
                    </w:rPr>
                    <m:t>B</m:t>
                  </m:r>
                </m:sup>
              </m:sSup>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w:rPr>
                              <w:rFonts w:ascii="Cambria Math" w:hAnsi="Cambria Math"/>
                            </w:rPr>
                            <m:t>Ca</m:t>
                          </m:r>
                        </m:e>
                        <m:sup>
                          <m:r>
                            <w:rPr>
                              <w:rFonts w:ascii="Cambria Math" w:hAnsi="Cambria Math"/>
                            </w:rPr>
                            <m:t>2+</m:t>
                          </m:r>
                        </m:sup>
                      </m:sSup>
                    </m:e>
                  </m:d>
                </m:e>
                <m:sub>
                  <m:r>
                    <w:rPr>
                      <w:rFonts w:ascii="Cambria Math" w:hAnsi="Cambria Math"/>
                    </w:rPr>
                    <m:t>L</m:t>
                  </m:r>
                </m:sub>
              </m:sSub>
            </m:e>
          </m:d>
        </m:oMath>
      </m:oMathPara>
    </w:p>
    <w:p w14:paraId="06B90696" w14:textId="3AF764A2" w:rsidR="005D335F" w:rsidRPr="00B665AF" w:rsidRDefault="00744628" w:rsidP="00D77476">
      <w:pPr>
        <w:pStyle w:val="NoSpacing"/>
        <w:spacing w:line="360" w:lineRule="auto"/>
        <w:jc w:val="both"/>
      </w:pPr>
      <w:r>
        <w:rPr>
          <w:noProof/>
          <w:lang w:eastAsia="en-GB"/>
        </w:rPr>
        <mc:AlternateContent>
          <mc:Choice Requires="wps">
            <w:drawing>
              <wp:anchor distT="0" distB="0" distL="114300" distR="114300" simplePos="0" relativeHeight="251664384" behindDoc="0" locked="0" layoutInCell="1" allowOverlap="1" wp14:anchorId="3FDC6BED" wp14:editId="0F439C74">
                <wp:simplePos x="0" y="0"/>
                <wp:positionH relativeFrom="column">
                  <wp:posOffset>5391150</wp:posOffset>
                </wp:positionH>
                <wp:positionV relativeFrom="paragraph">
                  <wp:posOffset>305435</wp:posOffset>
                </wp:positionV>
                <wp:extent cx="371475" cy="2952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371475" cy="295275"/>
                        </a:xfrm>
                        <a:prstGeom prst="rect">
                          <a:avLst/>
                        </a:prstGeom>
                        <a:solidFill>
                          <a:schemeClr val="lt1"/>
                        </a:solidFill>
                        <a:ln w="6350">
                          <a:solidFill>
                            <a:schemeClr val="bg1"/>
                          </a:solidFill>
                        </a:ln>
                      </wps:spPr>
                      <wps:txbx>
                        <w:txbxContent>
                          <w:p w14:paraId="0CB764D1" w14:textId="79A4BE50" w:rsidR="00F32E0D" w:rsidRPr="00846F41" w:rsidRDefault="00F32E0D">
                            <w:pPr>
                              <w:rPr>
                                <w:lang w:val="en-US"/>
                              </w:rPr>
                            </w:pPr>
                            <w:r>
                              <w:rPr>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C6BED" id="Text Box 6" o:spid="_x0000_s1030" type="#_x0000_t202" style="position:absolute;left:0;text-align:left;margin-left:424.5pt;margin-top:24.05pt;width:29.2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" fillcolor="white [3201]" strokecolor="white [3212]" strokeweight=".5pt">
                <v:textbox>
                  <w:txbxContent>
                    <w:p w14:paraId="0CB764D1" w14:textId="79A4BE50" w:rsidR="00F32E0D" w:rsidRPr="00846F41" w:rsidRDefault="00F32E0D">
                      <w:pPr>
                        <w:rPr>
                          <w:lang w:val="en-US"/>
                        </w:rPr>
                      </w:pPr>
                      <w:r>
                        <w:rPr>
                          <w:lang w:val="en-US"/>
                        </w:rPr>
                        <w:t>(5)</w:t>
                      </w:r>
                    </w:p>
                  </w:txbxContent>
                </v:textbox>
              </v:shape>
            </w:pict>
          </mc:Fallback>
        </mc:AlternateContent>
      </w:r>
      <w:r w:rsidR="005D335F">
        <w:t>the</w:t>
      </w:r>
      <w:r w:rsidR="005D335F" w:rsidRPr="00B665AF">
        <w:t xml:space="preserve"> apparent dissociation constant</w:t>
      </w:r>
      <w:r w:rsidR="005D335F">
        <w:t xml:space="preserve"> in this model corresponds to</w:t>
      </w:r>
      <w:r w:rsidR="005D335F" w:rsidRPr="00B665AF">
        <w:t>:</w:t>
      </w:r>
    </w:p>
    <w:p w14:paraId="033E498A" w14:textId="77777777" w:rsidR="005D335F" w:rsidRPr="00B665AF" w:rsidRDefault="00202B28" w:rsidP="00D77476">
      <w:pPr>
        <w:pStyle w:val="NoSpacing"/>
        <w:spacing w:line="360" w:lineRule="auto"/>
        <w:jc w:val="both"/>
      </w:pPr>
      <m:oMathPara>
        <m:oMath>
          <m:sSub>
            <m:sSubPr>
              <m:ctrlPr>
                <w:rPr>
                  <w:rFonts w:ascii="Cambria Math" w:hAnsi="Cambria Math"/>
                  <w:i/>
                </w:rPr>
              </m:ctrlPr>
            </m:sSubPr>
            <m:e>
              <m:r>
                <w:rPr>
                  <w:rFonts w:ascii="Cambria Math" w:hAnsi="Cambria Math"/>
                </w:rPr>
                <m:t>K</m:t>
              </m:r>
            </m:e>
            <m:sub>
              <m:r>
                <w:rPr>
                  <w:rFonts w:ascii="Cambria Math" w:hAnsi="Cambria Math"/>
                </w:rPr>
                <m:t>D</m:t>
              </m:r>
            </m:sub>
          </m:sSub>
          <m:r>
            <w:rPr>
              <w:rFonts w:ascii="Cambria Math" w:hAnsi="Cambria Math"/>
            </w:rPr>
            <m:t xml:space="preserve">= </m:t>
          </m:r>
          <m:f>
            <m:fPr>
              <m:ctrlPr>
                <w:rPr>
                  <w:rFonts w:ascii="Cambria Math" w:hAnsi="Cambria Math"/>
                  <w:i/>
                </w:rPr>
              </m:ctrlPr>
            </m:fPr>
            <m:num>
              <m:d>
                <m:dPr>
                  <m:begChr m:val="["/>
                  <m:endChr m:val="]"/>
                  <m:ctrlPr>
                    <w:rPr>
                      <w:rFonts w:ascii="Cambria Math" w:hAnsi="Cambria Math"/>
                      <w:i/>
                    </w:rPr>
                  </m:ctrlPr>
                </m:dPr>
                <m:e>
                  <m:sSup>
                    <m:sSupPr>
                      <m:ctrlPr>
                        <w:rPr>
                          <w:rFonts w:ascii="Cambria Math" w:hAnsi="Cambria Math"/>
                          <w:i/>
                        </w:rPr>
                      </m:ctrlPr>
                    </m:sSupPr>
                    <m:e>
                      <m:r>
                        <w:rPr>
                          <w:rFonts w:ascii="Cambria Math" w:hAnsi="Cambria Math"/>
                        </w:rPr>
                        <m:t>αsyn</m:t>
                      </m:r>
                    </m:e>
                    <m:sup>
                      <m:r>
                        <w:rPr>
                          <w:rFonts w:ascii="Cambria Math" w:hAnsi="Cambria Math"/>
                        </w:rPr>
                        <m:t>U</m:t>
                      </m:r>
                    </m:sup>
                  </m:sSup>
                </m:e>
              </m:d>
              <m:d>
                <m:dPr>
                  <m:begChr m:val="["/>
                  <m:endChr m:val="]"/>
                  <m:ctrlPr>
                    <w:rPr>
                      <w:rFonts w:ascii="Cambria Math" w:hAnsi="Cambria Math"/>
                      <w:i/>
                    </w:rPr>
                  </m:ctrlPr>
                </m:dPr>
                <m:e>
                  <m:sSub>
                    <m:sSubPr>
                      <m:ctrlPr>
                        <w:rPr>
                          <w:rFonts w:ascii="Cambria Math" w:hAnsi="Cambria Math"/>
                          <w:i/>
                        </w:rPr>
                      </m:ctrlPr>
                    </m:sSubPr>
                    <m:e>
                      <m:sSup>
                        <m:sSupPr>
                          <m:ctrlPr>
                            <w:rPr>
                              <w:rFonts w:ascii="Cambria Math" w:hAnsi="Cambria Math"/>
                              <w:i/>
                            </w:rPr>
                          </m:ctrlPr>
                        </m:sSupPr>
                        <m:e>
                          <m:r>
                            <w:rPr>
                              <w:rFonts w:ascii="Cambria Math" w:hAnsi="Cambria Math"/>
                            </w:rPr>
                            <m:t>Ca</m:t>
                          </m:r>
                        </m:e>
                        <m:sup>
                          <m:r>
                            <w:rPr>
                              <w:rFonts w:ascii="Cambria Math" w:hAnsi="Cambria Math"/>
                            </w:rPr>
                            <m:t>2+</m:t>
                          </m:r>
                        </m:sup>
                      </m:sSup>
                    </m:e>
                    <m:sub>
                      <m:r>
                        <w:rPr>
                          <w:rFonts w:ascii="Cambria Math" w:hAnsi="Cambria Math"/>
                        </w:rPr>
                        <m:t>L</m:t>
                      </m:r>
                    </m:sub>
                  </m:sSub>
                </m:e>
              </m:d>
            </m:num>
            <m:den>
              <m:d>
                <m:dPr>
                  <m:begChr m:val="["/>
                  <m:endChr m:val="]"/>
                  <m:ctrlPr>
                    <w:rPr>
                      <w:rFonts w:ascii="Cambria Math" w:hAnsi="Cambria Math"/>
                      <w:i/>
                    </w:rPr>
                  </m:ctrlPr>
                </m:dPr>
                <m:e>
                  <m:sSup>
                    <m:sSupPr>
                      <m:ctrlPr>
                        <w:rPr>
                          <w:rFonts w:ascii="Cambria Math" w:hAnsi="Cambria Math"/>
                          <w:i/>
                        </w:rPr>
                      </m:ctrlPr>
                    </m:sSupPr>
                    <m:e>
                      <m:r>
                        <w:rPr>
                          <w:rFonts w:ascii="Cambria Math" w:hAnsi="Cambria Math"/>
                        </w:rPr>
                        <m:t>αsyn</m:t>
                      </m:r>
                    </m:e>
                    <m:sup>
                      <m:r>
                        <w:rPr>
                          <w:rFonts w:ascii="Cambria Math" w:hAnsi="Cambria Math"/>
                        </w:rPr>
                        <m:t>B</m:t>
                      </m:r>
                    </m:sup>
                  </m:sSup>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w:rPr>
                                  <w:rFonts w:ascii="Cambria Math" w:hAnsi="Cambria Math"/>
                                </w:rPr>
                                <m:t>Ca</m:t>
                              </m:r>
                            </m:e>
                            <m:sup>
                              <m:r>
                                <w:rPr>
                                  <w:rFonts w:ascii="Cambria Math" w:hAnsi="Cambria Math"/>
                                </w:rPr>
                                <m:t>2+</m:t>
                              </m:r>
                            </m:sup>
                          </m:sSup>
                        </m:e>
                      </m:d>
                    </m:e>
                    <m:sub>
                      <m:r>
                        <w:rPr>
                          <w:rFonts w:ascii="Cambria Math" w:hAnsi="Cambria Math"/>
                        </w:rPr>
                        <m:t>L</m:t>
                      </m:r>
                    </m:sub>
                  </m:sSub>
                </m:e>
              </m:d>
            </m:den>
          </m:f>
        </m:oMath>
      </m:oMathPara>
    </w:p>
    <w:p w14:paraId="0797EA95" w14:textId="7A474016" w:rsidR="005D335F" w:rsidRPr="00B665AF" w:rsidRDefault="00744628" w:rsidP="00D77476">
      <w:pPr>
        <w:pStyle w:val="NoSpacing"/>
        <w:spacing w:line="360" w:lineRule="auto"/>
        <w:jc w:val="both"/>
      </w:pPr>
      <w:r>
        <w:rPr>
          <w:noProof/>
          <w:lang w:eastAsia="en-GB"/>
        </w:rPr>
        <mc:AlternateContent>
          <mc:Choice Requires="wps">
            <w:drawing>
              <wp:anchor distT="0" distB="0" distL="114300" distR="114300" simplePos="0" relativeHeight="251665408" behindDoc="0" locked="0" layoutInCell="1" allowOverlap="1" wp14:anchorId="1A7295B7" wp14:editId="001B20DE">
                <wp:simplePos x="0" y="0"/>
                <wp:positionH relativeFrom="column">
                  <wp:posOffset>5391150</wp:posOffset>
                </wp:positionH>
                <wp:positionV relativeFrom="paragraph">
                  <wp:posOffset>307975</wp:posOffset>
                </wp:positionV>
                <wp:extent cx="381000" cy="3238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381000" cy="323850"/>
                        </a:xfrm>
                        <a:prstGeom prst="rect">
                          <a:avLst/>
                        </a:prstGeom>
                        <a:solidFill>
                          <a:schemeClr val="lt1"/>
                        </a:solidFill>
                        <a:ln w="6350">
                          <a:solidFill>
                            <a:schemeClr val="bg1"/>
                          </a:solidFill>
                        </a:ln>
                      </wps:spPr>
                      <wps:txbx>
                        <w:txbxContent>
                          <w:p w14:paraId="6C583705" w14:textId="47B58573" w:rsidR="00F32E0D" w:rsidRPr="00846F41" w:rsidRDefault="00F32E0D">
                            <w:pPr>
                              <w:rPr>
                                <w:lang w:val="en-US"/>
                              </w:rPr>
                            </w:pPr>
                            <w:r>
                              <w:rPr>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7295B7" id="Text Box 7" o:spid="_x0000_s1031" type="#_x0000_t202" style="position:absolute;left:0;text-align:left;margin-left:424.5pt;margin-top:24.25pt;width:30pt;height:25.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" fillcolor="white [3201]" strokecolor="white [3212]" strokeweight=".5pt">
                <v:textbox>
                  <w:txbxContent>
                    <w:p w14:paraId="6C583705" w14:textId="47B58573" w:rsidR="00F32E0D" w:rsidRPr="00846F41" w:rsidRDefault="00F32E0D">
                      <w:pPr>
                        <w:rPr>
                          <w:lang w:val="en-US"/>
                        </w:rPr>
                      </w:pPr>
                      <w:r>
                        <w:rPr>
                          <w:lang w:val="en-US"/>
                        </w:rPr>
                        <w:t>(6)</w:t>
                      </w:r>
                    </w:p>
                  </w:txbxContent>
                </v:textbox>
              </v:shape>
            </w:pict>
          </mc:Fallback>
        </mc:AlternateContent>
      </w:r>
      <w:r w:rsidR="005D335F">
        <w:t xml:space="preserve">Which provides a formula for </w:t>
      </w:r>
      <m:oMath>
        <m:sSub>
          <m:sSubPr>
            <m:ctrlPr>
              <w:rPr>
                <w:rFonts w:ascii="Cambria Math" w:hAnsi="Cambria Math"/>
                <w:i/>
              </w:rPr>
            </m:ctrlPr>
          </m:sSubPr>
          <m:e>
            <m:r>
              <w:rPr>
                <w:rFonts w:ascii="Cambria Math" w:hAnsi="Cambria Math"/>
              </w:rPr>
              <m:t>χ</m:t>
            </m:r>
          </m:e>
          <m:sub>
            <m:r>
              <w:rPr>
                <w:rFonts w:ascii="Cambria Math" w:hAnsi="Cambria Math"/>
              </w:rPr>
              <m:t>B</m:t>
            </m:r>
          </m:sub>
        </m:sSub>
      </m:oMath>
      <w:r w:rsidR="005D335F">
        <w:t>:</w:t>
      </w:r>
    </w:p>
    <w:p w14:paraId="6A0F197D" w14:textId="77777777" w:rsidR="005D335F" w:rsidRPr="00B665AF" w:rsidRDefault="00202B28" w:rsidP="00D77476">
      <w:pPr>
        <w:pStyle w:val="NoSpacing"/>
        <w:spacing w:line="360" w:lineRule="auto"/>
        <w:jc w:val="both"/>
      </w:pPr>
      <m:oMathPara>
        <m:oMath>
          <m:sSub>
            <m:sSubPr>
              <m:ctrlPr>
                <w:rPr>
                  <w:rFonts w:ascii="Cambria Math" w:hAnsi="Cambria Math"/>
                  <w:i/>
                </w:rPr>
              </m:ctrlPr>
            </m:sSubPr>
            <m:e>
              <m:r>
                <w:rPr>
                  <w:rFonts w:ascii="Cambria Math" w:hAnsi="Cambria Math"/>
                </w:rPr>
                <m:t>χ</m:t>
              </m:r>
            </m:e>
            <m:sub>
              <m:r>
                <w:rPr>
                  <w:rFonts w:ascii="Cambria Math" w:hAnsi="Cambria Math"/>
                </w:rPr>
                <m:t>B</m:t>
              </m:r>
            </m:sub>
          </m:sSub>
          <m:r>
            <w:rPr>
              <w:rFonts w:ascii="Cambria Math" w:hAnsi="Cambria Math"/>
            </w:rPr>
            <m:t xml:space="preserve">= </m:t>
          </m:r>
          <m:f>
            <m:fPr>
              <m:ctrlPr>
                <w:rPr>
                  <w:rFonts w:ascii="Cambria Math" w:hAnsi="Cambria Math"/>
                  <w:i/>
                </w:rPr>
              </m:ctrlPr>
            </m:fPr>
            <m:num>
              <m:d>
                <m:dPr>
                  <m:begChr m:val="["/>
                  <m:endChr m:val="]"/>
                  <m:ctrlPr>
                    <w:rPr>
                      <w:rFonts w:ascii="Cambria Math" w:hAnsi="Cambria Math"/>
                      <w:i/>
                    </w:rPr>
                  </m:ctrlPr>
                </m:dPr>
                <m:e>
                  <m:r>
                    <w:rPr>
                      <w:rFonts w:ascii="Cambria Math" w:hAnsi="Cambria Math"/>
                    </w:rPr>
                    <m:t>αsyn</m:t>
                  </m:r>
                </m:e>
              </m:d>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Ca</m:t>
                          </m:r>
                        </m:e>
                        <m:sup>
                          <m:r>
                            <w:rPr>
                              <w:rFonts w:ascii="Cambria Math" w:hAnsi="Cambria Math"/>
                            </w:rPr>
                            <m:t>2+</m:t>
                          </m:r>
                        </m:sup>
                      </m:sSup>
                    </m:num>
                    <m:den>
                      <m:r>
                        <w:rPr>
                          <w:rFonts w:ascii="Cambria Math" w:hAnsi="Cambria Math"/>
                        </w:rPr>
                        <m:t>L</m:t>
                      </m:r>
                    </m:den>
                  </m:f>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d>
                            <m:dPr>
                              <m:begChr m:val="["/>
                              <m:endChr m:val="]"/>
                              <m:ctrlPr>
                                <w:rPr>
                                  <w:rFonts w:ascii="Cambria Math" w:hAnsi="Cambria Math"/>
                                  <w:i/>
                                </w:rPr>
                              </m:ctrlPr>
                            </m:dPr>
                            <m:e>
                              <m:r>
                                <w:rPr>
                                  <w:rFonts w:ascii="Cambria Math" w:hAnsi="Cambria Math"/>
                                </w:rPr>
                                <m:t>αsyn</m:t>
                              </m:r>
                            </m:e>
                          </m:d>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Ca</m:t>
                                      </m:r>
                                    </m:e>
                                    <m:sup>
                                      <m:r>
                                        <w:rPr>
                                          <w:rFonts w:ascii="Cambria Math" w:hAnsi="Cambria Math"/>
                                        </w:rPr>
                                        <m:t>2+</m:t>
                                      </m:r>
                                    </m:sup>
                                  </m:sSup>
                                </m:num>
                                <m:den>
                                  <m:r>
                                    <w:rPr>
                                      <w:rFonts w:ascii="Cambria Math" w:hAnsi="Cambria Math"/>
                                    </w:rPr>
                                    <m:t>L</m:t>
                                  </m:r>
                                </m:den>
                              </m:f>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m:t>
                              </m:r>
                            </m:sub>
                          </m:sSub>
                        </m:e>
                      </m:d>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4</m:t>
                      </m:r>
                      <m:d>
                        <m:dPr>
                          <m:begChr m:val="["/>
                          <m:endChr m:val="]"/>
                          <m:ctrlPr>
                            <w:rPr>
                              <w:rFonts w:ascii="Cambria Math" w:hAnsi="Cambria Math"/>
                              <w:i/>
                            </w:rPr>
                          </m:ctrlPr>
                        </m:dPr>
                        <m:e>
                          <m:r>
                            <w:rPr>
                              <w:rFonts w:ascii="Cambria Math" w:hAnsi="Cambria Math"/>
                            </w:rPr>
                            <m:t>αsyn</m:t>
                          </m:r>
                        </m:e>
                      </m:d>
                      <m:d>
                        <m:dPr>
                          <m:begChr m:val="["/>
                          <m:endChr m:val="]"/>
                          <m:ctrlPr>
                            <w:rPr>
                              <w:rFonts w:ascii="Cambria Math" w:hAnsi="Cambria Math"/>
                              <w:i/>
                            </w:rPr>
                          </m:ctrlPr>
                        </m:dPr>
                        <m:e>
                          <m:sSup>
                            <m:sSupPr>
                              <m:ctrlPr>
                                <w:rPr>
                                  <w:rFonts w:ascii="Cambria Math" w:hAnsi="Cambria Math"/>
                                  <w:i/>
                                </w:rPr>
                              </m:ctrlPr>
                            </m:sSupPr>
                            <m:e>
                              <m:r>
                                <w:rPr>
                                  <w:rFonts w:ascii="Cambria Math" w:hAnsi="Cambria Math"/>
                                </w:rPr>
                                <m:t>Ca</m:t>
                              </m:r>
                            </m:e>
                            <m:sup>
                              <m:r>
                                <w:rPr>
                                  <w:rFonts w:ascii="Cambria Math" w:hAnsi="Cambria Math"/>
                                </w:rPr>
                                <m:t>2+</m:t>
                              </m:r>
                            </m:sup>
                          </m:sSup>
                        </m:e>
                      </m:d>
                    </m:num>
                    <m:den>
                      <m:r>
                        <w:rPr>
                          <w:rFonts w:ascii="Cambria Math" w:hAnsi="Cambria Math"/>
                        </w:rPr>
                        <m:t>L</m:t>
                      </m:r>
                    </m:den>
                  </m:f>
                </m:e>
              </m:rad>
            </m:num>
            <m:den>
              <m:r>
                <w:rPr>
                  <w:rFonts w:ascii="Cambria Math" w:hAnsi="Cambria Math"/>
                </w:rPr>
                <m:t>2</m:t>
              </m:r>
              <m:d>
                <m:dPr>
                  <m:begChr m:val="["/>
                  <m:endChr m:val="]"/>
                  <m:ctrlPr>
                    <w:rPr>
                      <w:rFonts w:ascii="Cambria Math" w:hAnsi="Cambria Math"/>
                      <w:i/>
                    </w:rPr>
                  </m:ctrlPr>
                </m:dPr>
                <m:e>
                  <m:r>
                    <w:rPr>
                      <w:rFonts w:ascii="Cambria Math" w:hAnsi="Cambria Math"/>
                    </w:rPr>
                    <m:t>αsyn</m:t>
                  </m:r>
                </m:e>
              </m:d>
            </m:den>
          </m:f>
        </m:oMath>
      </m:oMathPara>
    </w:p>
    <w:p w14:paraId="6051CC8E" w14:textId="3D228784" w:rsidR="005D335F" w:rsidRDefault="005D335F" w:rsidP="00D77476">
      <w:pPr>
        <w:pStyle w:val="NoSpacing"/>
        <w:spacing w:line="360" w:lineRule="auto"/>
        <w:jc w:val="both"/>
        <w:rPr>
          <w:rFonts w:cstheme="minorHAnsi"/>
        </w:rPr>
      </w:pPr>
      <w:r w:rsidRPr="00364041">
        <w:rPr>
          <w:rFonts w:cstheme="minorHAnsi"/>
        </w:rPr>
        <w:lastRenderedPageBreak/>
        <w:t xml:space="preserve">When using this fitting model in the case of WT </w:t>
      </w:r>
      <w:r w:rsidR="00990FFE">
        <w:t xml:space="preserve">aSyn </w:t>
      </w:r>
      <w:r w:rsidRPr="00364041">
        <w:rPr>
          <w:rFonts w:cstheme="minorHAnsi"/>
        </w:rPr>
        <w:t xml:space="preserve">we obtained a </w:t>
      </w:r>
      <w:r w:rsidRPr="00364041">
        <w:rPr>
          <w:rFonts w:cstheme="minorHAnsi"/>
          <w:i/>
        </w:rPr>
        <w:t>K</w:t>
      </w:r>
      <w:r w:rsidRPr="00364041">
        <w:rPr>
          <w:rFonts w:cstheme="minorHAnsi"/>
          <w:i/>
          <w:vertAlign w:val="subscript"/>
        </w:rPr>
        <w:t>D</w:t>
      </w:r>
      <w:r w:rsidRPr="00364041">
        <w:rPr>
          <w:rFonts w:cstheme="minorHAnsi"/>
        </w:rPr>
        <w:t xml:space="preserve"> of 21 (± 5) </w:t>
      </w:r>
      <w:proofErr w:type="spellStart"/>
      <w:r w:rsidRPr="00364041">
        <w:rPr>
          <w:rFonts w:cstheme="minorHAnsi"/>
        </w:rPr>
        <w:t>μM</w:t>
      </w:r>
      <w:proofErr w:type="spellEnd"/>
      <w:r w:rsidRPr="00364041">
        <w:rPr>
          <w:rFonts w:cstheme="minorHAnsi"/>
        </w:rPr>
        <w:t xml:space="preserve"> and an L of 7.8 (± 0.51) </w:t>
      </w:r>
      <w:r w:rsidRPr="00364041">
        <w:rPr>
          <w:rFonts w:cstheme="minorHAnsi"/>
        </w:rPr>
        <w:fldChar w:fldCharType="begin" w:fldLock="1"/>
      </w:r>
      <w:r w:rsidR="00373BC0">
        <w:rPr>
          <w:rFonts w:cstheme="minorHAnsi"/>
        </w:rPr>
        <w:instrText>ADDIN CSL_CITATION {"citationItems":[{"id":"ITEM-1","itemData":{"DOI":"10.1038/s41467-018-03111-4","ISSN":"20411723","abstract":"Alpha-synuclein is known to bind to small unilamellar vesicles (SUVs) via its N terminus, which forms an amphipathic alpha-helix upon membrane interaction. Here we show that calcium binds to the C terminus of alpha-synuclein, therewith increasing its lipid-binding capacity. Using CEST-NMR, we reveal that alpha-synuclein interacts with isolated synaptic vesicles with two regions, the N terminus, already known from studies on SUVs, and additionally via its C terminus, which is regulated by the binding of calcium. Indeed, dSTORM on synaptosomes shows that calcium mediates the localization of alpha-synuclein at the pre-synaptic terminal, and an imbalance in calcium or alpha-synuclein can cause synaptic vesicle clustering, as seen ex vivo and in vitro. This study provides a new view on the binding of alpha-synuclein to synaptic vesicles, which might also affect our understanding of synucleinopathies.","author":[{"dropping-particle":"","family":"Lautenschläger","given":"Janin","non-dropping-particle":"","parse-names":false,"suffix":""},{"dropping-particle":"","family":"Stephens","given":"Amberley D.","non-dropping-particle":"","parse-names":false,"suffix":""},{"dropping-particle":"","family":"Fusco","given":"Giuliana","non-dropping-particle":"","parse-names":false,"suffix":""},{"dropping-particle":"","family":"Ströhl","given":"Florian","non-dropping-particle":"","parse-names":false,"suffix":""},{"dropping-particle":"","family":"Curry","given":"Nathan","non-dropping-particle":"","parse-names":false,"suffix":""},{"dropping-particle":"","family":"Zacharopoulou","given":"Maria","non-dropping-particle":"","parse-names":false,"suffix":""},{"dropping-particle":"","family":"Michel","given":"Claire H.","non-dropping-particle":"","parse-names":false,"suffix":""},{"dropping-particle":"","family":"Laine","given":"Romain","non-dropping-particle":"","parse-names":false,"suffix":""},{"dropping-particle":"","family":"Nespovitaya","given":"Nadezhda","non-dropping-particle":"","parse-names":false,"suffix":""},{"dropping-particle":"","family":"Fantham","given":"Marcus","non-dropping-particle":"","parse-names":false,"suffix":""},{"dropping-particle":"","family":"Pinotsi","given":"Dorothea","non-dropping-particle":"","parse-names":false,"suffix":""},{"dropping-particle":"","family":"Zago","given":"Wagner","non-dropping-particle":"","parse-names":false,"suffix":""},{"dropping-particle":"","family":"Fraser","given":"Paul","non-dropping-particle":"","parse-names":false,"suffix":""},{"dropping-particle":"","family":"Tandon","given":"Anurag","non-dropping-particle":"","parse-names":false,"suffix":""},{"dropping-particle":"","family":"St George-Hyslop","given":"Peter","non-dropping-particle":"","parse-names":false,"suffix":""},{"dropping-particle":"","family":"Rees","given":"Eric","non-dropping-particle":"","parse-names":false,"suffix":""},{"dropping-particle":"","family":"Phillips","given":"Jonathan J.","non-dropping-particle":"","parse-names":false,"suffix":""},{"dropping-particle":"","family":"Simone","given":"Alfonso","non-dropping-particle":"De","parse-names":false,"suffix":""},{"dropping-particle":"","family":"Kaminski","given":"Clemens F.","non-dropping-particle":"","parse-names":false,"suffix":""},{"dropping-particle":"","family":"Schierle","given":"Gabriele S.Kaminski","non-dropping-particle":"","parse-names":false,"suffix":""}],"container-title":"Nature Communications","id":"ITEM-1","issue":"1","issued":{"date-parts":[["2018","12","19"]]},"page":"712","publisher":"Nature Publishing Group","title":"C-terminal calcium binding of α-synuclein modulates synaptic vesicle interaction","type":"article-journal","volume":"9"},"uris":["http://www.mendeley.com/documents/?uuid=5da06726-0802-3970-b05f-1380256f2e9a"]}],"mendeley":{"formattedCitation":"&lt;sup&gt;40&lt;/sup&gt;","plainTextFormattedCitation":"40","previouslyFormattedCitation":"&lt;sup&gt;40&lt;/sup&gt;"},"properties":{"noteIndex":0},"schema":"https://github.com/citation-style-language/schema/raw/master/csl-citation.json"}</w:instrText>
      </w:r>
      <w:r w:rsidRPr="00364041">
        <w:rPr>
          <w:rFonts w:cstheme="minorHAnsi"/>
        </w:rPr>
        <w:fldChar w:fldCharType="separate"/>
      </w:r>
      <w:r w:rsidR="00373BC0" w:rsidRPr="00373BC0">
        <w:rPr>
          <w:rFonts w:cstheme="minorHAnsi"/>
          <w:noProof/>
          <w:vertAlign w:val="superscript"/>
        </w:rPr>
        <w:t>40</w:t>
      </w:r>
      <w:r w:rsidRPr="00364041">
        <w:rPr>
          <w:rFonts w:cstheme="minorHAnsi"/>
        </w:rPr>
        <w:fldChar w:fldCharType="end"/>
      </w:r>
      <w:r w:rsidRPr="00364041">
        <w:rPr>
          <w:rFonts w:cstheme="minorHAnsi"/>
        </w:rPr>
        <w:t>. Based on the present MS data, we here fixed the value of L to 3</w:t>
      </w:r>
      <w:r>
        <w:rPr>
          <w:rFonts w:cstheme="minorHAnsi"/>
        </w:rPr>
        <w:t>.</w:t>
      </w:r>
    </w:p>
    <w:p w14:paraId="3D2153AE" w14:textId="5946AD3B" w:rsidR="005D335F" w:rsidRDefault="00744628" w:rsidP="00D77476">
      <w:pPr>
        <w:pStyle w:val="NoSpacing"/>
        <w:spacing w:line="360" w:lineRule="auto"/>
        <w:jc w:val="both"/>
      </w:pPr>
      <w:r>
        <w:rPr>
          <w:noProof/>
          <w:lang w:eastAsia="en-GB"/>
        </w:rPr>
        <mc:AlternateContent>
          <mc:Choice Requires="wps">
            <w:drawing>
              <wp:anchor distT="0" distB="0" distL="114300" distR="114300" simplePos="0" relativeHeight="251666432" behindDoc="0" locked="0" layoutInCell="1" allowOverlap="1" wp14:anchorId="0A8F847B" wp14:editId="32364FB5">
                <wp:simplePos x="0" y="0"/>
                <wp:positionH relativeFrom="margin">
                  <wp:align>right</wp:align>
                </wp:positionH>
                <wp:positionV relativeFrom="paragraph">
                  <wp:posOffset>438150</wp:posOffset>
                </wp:positionV>
                <wp:extent cx="361950" cy="3524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361950" cy="352425"/>
                        </a:xfrm>
                        <a:prstGeom prst="rect">
                          <a:avLst/>
                        </a:prstGeom>
                        <a:solidFill>
                          <a:schemeClr val="lt1"/>
                        </a:solidFill>
                        <a:ln w="6350">
                          <a:solidFill>
                            <a:schemeClr val="bg1"/>
                          </a:solidFill>
                        </a:ln>
                      </wps:spPr>
                      <wps:txbx>
                        <w:txbxContent>
                          <w:p w14:paraId="24E8553F" w14:textId="7E699648" w:rsidR="00F32E0D" w:rsidRPr="00846F41" w:rsidRDefault="00F32E0D">
                            <w:pPr>
                              <w:rPr>
                                <w:lang w:val="en-US"/>
                              </w:rPr>
                            </w:pPr>
                            <w:r>
                              <w:rPr>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8F847B" id="Text Box 8" o:spid="_x0000_s1032" type="#_x0000_t202" style="position:absolute;left:0;text-align:left;margin-left:-22.7pt;margin-top:34.5pt;width:28.5pt;height:27.75pt;z-index:2516664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" fillcolor="white [3201]" strokecolor="white [3212]" strokeweight=".5pt">
                <v:textbox>
                  <w:txbxContent>
                    <w:p w14:paraId="24E8553F" w14:textId="7E699648" w:rsidR="00F32E0D" w:rsidRPr="00846F41" w:rsidRDefault="00F32E0D">
                      <w:pPr>
                        <w:rPr>
                          <w:lang w:val="en-US"/>
                        </w:rPr>
                      </w:pPr>
                      <w:r>
                        <w:rPr>
                          <w:lang w:val="en-US"/>
                        </w:rPr>
                        <w:t>(7)</w:t>
                      </w:r>
                    </w:p>
                  </w:txbxContent>
                </v:textbox>
                <w10:wrap anchorx="margin"/>
              </v:shape>
            </w:pict>
          </mc:Fallback>
        </mc:AlternateContent>
      </w:r>
      <w:r w:rsidR="005D335F">
        <w:t>We then used a different model that accounts for the cooperativity of the binding. In particular</w:t>
      </w:r>
      <w:r w:rsidR="00990FFE">
        <w:t>,</w:t>
      </w:r>
      <w:r w:rsidR="005D335F">
        <w:t xml:space="preserve"> we used the Hill equation to fit our data</w:t>
      </w:r>
      <w:r>
        <w:t xml:space="preserve"> in Equation 7</w:t>
      </w:r>
      <w:r w:rsidR="005D335F">
        <w:t xml:space="preserve">: </w:t>
      </w:r>
    </w:p>
    <w:p w14:paraId="429409DC" w14:textId="77777777" w:rsidR="005D335F" w:rsidRDefault="00202B28" w:rsidP="00D77476">
      <w:pPr>
        <w:pStyle w:val="NoSpacing"/>
        <w:spacing w:line="360" w:lineRule="auto"/>
        <w:jc w:val="both"/>
      </w:pPr>
      <m:oMathPara>
        <m:oMath>
          <m:sSub>
            <m:sSubPr>
              <m:ctrlPr>
                <w:rPr>
                  <w:rFonts w:ascii="Cambria Math" w:hAnsi="Cambria Math"/>
                  <w:i/>
                </w:rPr>
              </m:ctrlPr>
            </m:sSubPr>
            <m:e>
              <m:r>
                <w:rPr>
                  <w:rFonts w:ascii="Cambria Math" w:hAnsi="Cambria Math"/>
                </w:rPr>
                <m:t>χ</m:t>
              </m:r>
            </m:e>
            <m:sub>
              <m:r>
                <w:rPr>
                  <w:rFonts w:ascii="Cambria Math" w:hAnsi="Cambria Math"/>
                </w:rPr>
                <m:t>B</m:t>
              </m:r>
            </m:sub>
          </m:sSub>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Ca</m:t>
                          </m:r>
                        </m:e>
                        <m:sup>
                          <m:r>
                            <w:rPr>
                              <w:rFonts w:ascii="Cambria Math" w:hAnsi="Cambria Math"/>
                            </w:rPr>
                            <m:t>2+</m:t>
                          </m:r>
                        </m:sup>
                      </m:sSup>
                    </m:e>
                  </m:d>
                </m:e>
                <m:sup>
                  <m:r>
                    <w:rPr>
                      <w:rFonts w:ascii="Cambria Math" w:hAnsi="Cambria Math"/>
                    </w:rPr>
                    <m:t>n</m:t>
                  </m:r>
                </m:sup>
              </m:sSup>
            </m:num>
            <m:den>
              <m:sSub>
                <m:sSubPr>
                  <m:ctrlPr>
                    <w:rPr>
                      <w:rFonts w:ascii="Cambria Math" w:hAnsi="Cambria Math"/>
                      <w:i/>
                    </w:rPr>
                  </m:ctrlPr>
                </m:sSubPr>
                <m:e>
                  <m:r>
                    <w:rPr>
                      <w:rFonts w:ascii="Cambria Math" w:hAnsi="Cambria Math"/>
                    </w:rPr>
                    <m:t>K</m:t>
                  </m:r>
                </m:e>
                <m:sub>
                  <m:r>
                    <w:rPr>
                      <w:rFonts w:ascii="Cambria Math" w:hAnsi="Cambria Math"/>
                    </w:rPr>
                    <m:t>D</m:t>
                  </m:r>
                </m:sub>
              </m:sSub>
              <m:r>
                <w:rPr>
                  <w:rFonts w:ascii="Cambria Math" w:hAnsi="Cambria Math"/>
                </w:rPr>
                <m:t xml:space="preserve">+ </m:t>
              </m:r>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Ca</m:t>
                          </m:r>
                        </m:e>
                        <m:sup>
                          <m:r>
                            <w:rPr>
                              <w:rFonts w:ascii="Cambria Math" w:hAnsi="Cambria Math"/>
                            </w:rPr>
                            <m:t>2+</m:t>
                          </m:r>
                        </m:sup>
                      </m:sSup>
                    </m:e>
                  </m:d>
                </m:e>
                <m:sup>
                  <m:r>
                    <w:rPr>
                      <w:rFonts w:ascii="Cambria Math" w:hAnsi="Cambria Math"/>
                    </w:rPr>
                    <m:t>n</m:t>
                  </m:r>
                </m:sup>
              </m:sSup>
            </m:den>
          </m:f>
        </m:oMath>
      </m:oMathPara>
    </w:p>
    <w:p w14:paraId="444B19FC" w14:textId="5767FEC9" w:rsidR="005D335F" w:rsidRDefault="005D335F" w:rsidP="00E52CF4">
      <w:pPr>
        <w:spacing w:line="360" w:lineRule="auto"/>
      </w:pPr>
      <w:r>
        <w:t xml:space="preserve">Where the Hill coefficient, </w:t>
      </w:r>
      <w:r w:rsidRPr="00440C0B">
        <w:rPr>
          <w:i/>
        </w:rPr>
        <w:t>n</w:t>
      </w:r>
      <w:r>
        <w:t xml:space="preserve">, describes the cooperativity of the binding. A </w:t>
      </w:r>
      <w:r w:rsidRPr="00440C0B">
        <w:rPr>
          <w:i/>
        </w:rPr>
        <w:t>n</w:t>
      </w:r>
      <w:r>
        <w:t xml:space="preserve"> value higher than 1 indicates a positive cooperativity for the binding.</w:t>
      </w:r>
    </w:p>
    <w:p w14:paraId="1030A2F4" w14:textId="77777777" w:rsidR="005D335F" w:rsidRDefault="005D335F" w:rsidP="00D77476">
      <w:pPr>
        <w:spacing w:line="360" w:lineRule="auto"/>
        <w:jc w:val="both"/>
        <w:rPr>
          <w:b/>
        </w:rPr>
      </w:pPr>
      <w:r>
        <w:rPr>
          <w:b/>
        </w:rPr>
        <w:t>Hydrogen-deuterium exchange mass spectrometry (H</w:t>
      </w:r>
      <w:r w:rsidRPr="00300AF8">
        <w:rPr>
          <w:b/>
        </w:rPr>
        <w:t>DX-MS</w:t>
      </w:r>
      <w:r>
        <w:rPr>
          <w:b/>
        </w:rPr>
        <w:t>)</w:t>
      </w:r>
    </w:p>
    <w:p w14:paraId="34E82C47" w14:textId="46E2F0A7" w:rsidR="005D335F" w:rsidRPr="00552261" w:rsidRDefault="005D335F" w:rsidP="0047100A">
      <w:pPr>
        <w:spacing w:line="360" w:lineRule="auto"/>
        <w:jc w:val="both"/>
      </w:pPr>
      <w:r w:rsidRPr="00552261">
        <w:t>Hydrogen exchange was performed using an HDX Manager (Waters, USA) equipped with a CTC PAL sample handling robot (LEAP Technologies, USA). Samples of aSyn</w:t>
      </w:r>
      <w:r w:rsidR="00A65AB5">
        <w:t xml:space="preserve"> (10 </w:t>
      </w:r>
      <w:r w:rsidR="00A65AB5">
        <w:rPr>
          <w:lang w:val="el-GR"/>
        </w:rPr>
        <w:t>μΜ</w:t>
      </w:r>
      <w:r w:rsidR="00A65AB5" w:rsidRPr="00F13719">
        <w:t>)</w:t>
      </w:r>
      <w:r w:rsidRPr="00552261">
        <w:t xml:space="preserve"> in protonated aqueous buffer (20 mM Tris, pH </w:t>
      </w:r>
      <w:r>
        <w:t>7.2</w:t>
      </w:r>
      <w:r w:rsidRPr="00552261">
        <w:t xml:space="preserve">) were diluted 20-fold into </w:t>
      </w:r>
      <w:r w:rsidRPr="00552261">
        <w:rPr>
          <w:noProof/>
        </w:rPr>
        <w:t>deuterated</w:t>
      </w:r>
      <w:r w:rsidRPr="00552261">
        <w:t xml:space="preserve"> buffer (20 mM Tris, </w:t>
      </w:r>
      <w:r w:rsidRPr="00552261">
        <w:rPr>
          <w:noProof/>
        </w:rPr>
        <w:t>pD</w:t>
      </w:r>
      <w:r w:rsidRPr="00552261">
        <w:t xml:space="preserve"> </w:t>
      </w:r>
      <w:r w:rsidR="003A3583">
        <w:t>7.2</w:t>
      </w:r>
      <w:r w:rsidRPr="00552261">
        <w:t xml:space="preserve">) at </w:t>
      </w:r>
      <w:r w:rsidR="00A91A74">
        <w:t>20</w:t>
      </w:r>
      <w:r w:rsidRPr="00552261">
        <w:t xml:space="preserve"> °C, </w:t>
      </w:r>
      <w:r>
        <w:t>initiating hydrogen exchange</w:t>
      </w:r>
      <w:r w:rsidRPr="00552261">
        <w:t>.</w:t>
      </w:r>
      <w:r w:rsidR="00270F00">
        <w:t xml:space="preserve"> The same was performed for the calcium condition, in protonated and deuterated buffers</w:t>
      </w:r>
      <w:r w:rsidRPr="00552261">
        <w:t xml:space="preserve"> </w:t>
      </w:r>
      <w:r w:rsidR="00270F00">
        <w:t>containing 1 mM CaCl</w:t>
      </w:r>
      <w:r w:rsidR="00270F00" w:rsidRPr="00270F00">
        <w:rPr>
          <w:vertAlign w:val="subscript"/>
        </w:rPr>
        <w:t>2</w:t>
      </w:r>
      <w:r w:rsidR="00270F00">
        <w:rPr>
          <w:vertAlign w:val="subscript"/>
        </w:rPr>
        <w:t xml:space="preserve"> </w:t>
      </w:r>
      <w:r w:rsidR="00270F00">
        <w:t>(</w:t>
      </w:r>
      <w:r w:rsidR="00270F00" w:rsidRPr="00552261">
        <w:t xml:space="preserve">20 mM Tris, pH </w:t>
      </w:r>
      <w:r w:rsidR="00270F00">
        <w:t>7.2, 1 mM CaCl</w:t>
      </w:r>
      <w:r w:rsidR="00270F00" w:rsidRPr="00270F00">
        <w:rPr>
          <w:vertAlign w:val="subscript"/>
        </w:rPr>
        <w:t>2</w:t>
      </w:r>
      <w:r w:rsidR="00270F00" w:rsidRPr="00270F00">
        <w:t>, and</w:t>
      </w:r>
      <w:r w:rsidR="00270F00">
        <w:t xml:space="preserve"> </w:t>
      </w:r>
      <w:r w:rsidR="00270F00" w:rsidRPr="00552261">
        <w:t xml:space="preserve">20 mM Tris, </w:t>
      </w:r>
      <w:r w:rsidR="00270F00" w:rsidRPr="00552261">
        <w:rPr>
          <w:noProof/>
        </w:rPr>
        <w:t>pD</w:t>
      </w:r>
      <w:r w:rsidR="00270F00" w:rsidRPr="00552261">
        <w:t xml:space="preserve"> </w:t>
      </w:r>
      <w:r w:rsidR="00270F00">
        <w:t>7.2, 1 mM CaCl</w:t>
      </w:r>
      <w:r w:rsidR="00270F00" w:rsidRPr="00270F00">
        <w:rPr>
          <w:vertAlign w:val="subscript"/>
        </w:rPr>
        <w:t>2</w:t>
      </w:r>
      <w:r w:rsidR="00270F00" w:rsidRPr="00552261">
        <w:t>)</w:t>
      </w:r>
      <w:r w:rsidR="00A65AB5">
        <w:t>.</w:t>
      </w:r>
      <w:r w:rsidR="00A65AB5" w:rsidRPr="00F13719">
        <w:t xml:space="preserve"> </w:t>
      </w:r>
      <w:r w:rsidR="00A65AB5">
        <w:t xml:space="preserve">Samples were pre-incubated in calcium containing buffer for 30 min in a </w:t>
      </w:r>
      <w:proofErr w:type="gramStart"/>
      <w:r w:rsidR="00A65AB5">
        <w:t>aSyn:CaCl</w:t>
      </w:r>
      <w:proofErr w:type="gramEnd"/>
      <w:r w:rsidR="00A65AB5" w:rsidRPr="00F13719">
        <w:rPr>
          <w:vertAlign w:val="subscript"/>
        </w:rPr>
        <w:t>2</w:t>
      </w:r>
      <w:r w:rsidR="00A65AB5">
        <w:t xml:space="preserve"> ratio of 1:100</w:t>
      </w:r>
      <w:r w:rsidR="00270F00">
        <w:t xml:space="preserve">. </w:t>
      </w:r>
      <w:r w:rsidRPr="00552261">
        <w:t>The protein was</w:t>
      </w:r>
      <w:r w:rsidR="00A65AB5">
        <w:t xml:space="preserve"> then</w:t>
      </w:r>
      <w:r w:rsidRPr="00552261">
        <w:t xml:space="preserve"> incubated for </w:t>
      </w:r>
      <w:r w:rsidR="003A3583">
        <w:t xml:space="preserve">30 </w:t>
      </w:r>
      <w:r w:rsidRPr="00552261">
        <w:t>s</w:t>
      </w:r>
      <w:r w:rsidR="00270F00">
        <w:t xml:space="preserve"> in the deuterated buffer</w:t>
      </w:r>
      <w:r w:rsidR="00364006">
        <w:t xml:space="preserve"> and six replicates were collected per condition</w:t>
      </w:r>
      <w:r w:rsidRPr="00552261">
        <w:t xml:space="preserve">. Hydrogen exchange was arrested by mixing 1:1 with pre-chilled quench </w:t>
      </w:r>
      <w:r w:rsidR="0037548A">
        <w:t>solution</w:t>
      </w:r>
      <w:r w:rsidR="0037548A" w:rsidRPr="00552261">
        <w:t xml:space="preserve"> </w:t>
      </w:r>
      <w:r w:rsidRPr="00552261">
        <w:t>(100 mM Tris, 8 M Urea, pH 2.45 at 0 °C). The protein was then digested into peptides on a pepsin column (</w:t>
      </w:r>
      <w:proofErr w:type="spellStart"/>
      <w:r>
        <w:t>Enzymate</w:t>
      </w:r>
      <w:proofErr w:type="spellEnd"/>
      <w:r w:rsidRPr="00552261">
        <w:t xml:space="preserve">, </w:t>
      </w:r>
      <w:r>
        <w:t>Waters</w:t>
      </w:r>
      <w:r w:rsidRPr="00552261">
        <w:t>) and the peptides were separated on a C18 column (1x100 mm ACQUITY</w:t>
      </w:r>
      <w:r>
        <w:t xml:space="preserve"> UPLC</w:t>
      </w:r>
      <w:r w:rsidRPr="00552261">
        <w:t xml:space="preserve"> BEH 1.7 </w:t>
      </w:r>
      <w:proofErr w:type="spellStart"/>
      <w:r w:rsidRPr="00552261">
        <w:t>μm</w:t>
      </w:r>
      <w:proofErr w:type="spellEnd"/>
      <w:r w:rsidRPr="00552261">
        <w:t xml:space="preserve">, Waters) with a linear gradient </w:t>
      </w:r>
      <w:r w:rsidRPr="00552261">
        <w:rPr>
          <w:noProof/>
        </w:rPr>
        <w:t>of acetonitrile</w:t>
      </w:r>
      <w:r>
        <w:t xml:space="preserve"> (3-40 </w:t>
      </w:r>
      <w:r w:rsidRPr="00552261">
        <w:t xml:space="preserve">%) </w:t>
      </w:r>
      <w:r w:rsidRPr="00552261">
        <w:rPr>
          <w:noProof/>
        </w:rPr>
        <w:t>supplemented with</w:t>
      </w:r>
      <w:r w:rsidRPr="00552261">
        <w:t xml:space="preserve"> 0.2</w:t>
      </w:r>
      <w:r>
        <w:t xml:space="preserve"> % </w:t>
      </w:r>
      <w:r>
        <w:rPr>
          <w:noProof/>
        </w:rPr>
        <w:t>formic acid</w:t>
      </w:r>
      <w:r w:rsidRPr="00552261">
        <w:rPr>
          <w:noProof/>
        </w:rPr>
        <w:t>.</w:t>
      </w:r>
      <w:r w:rsidRPr="00552261">
        <w:t xml:space="preserve"> Peptides were analysed with a </w:t>
      </w:r>
      <w:proofErr w:type="spellStart"/>
      <w:r w:rsidRPr="00552261">
        <w:t>Synapt</w:t>
      </w:r>
      <w:proofErr w:type="spellEnd"/>
      <w:r w:rsidRPr="00552261">
        <w:t xml:space="preserve"> G2-S</w:t>
      </w:r>
      <w:r>
        <w:t>i</w:t>
      </w:r>
      <w:r w:rsidRPr="00552261">
        <w:t xml:space="preserve"> mass spectrometer (Waters). </w:t>
      </w:r>
      <w:r w:rsidRPr="00552261">
        <w:rPr>
          <w:noProof/>
        </w:rPr>
        <w:t>The mass</w:t>
      </w:r>
      <w:r w:rsidRPr="00552261">
        <w:t xml:space="preserve"> spectrometer was calibrated with </w:t>
      </w:r>
      <w:proofErr w:type="spellStart"/>
      <w:r w:rsidRPr="00552261">
        <w:t>NaI</w:t>
      </w:r>
      <w:proofErr w:type="spellEnd"/>
      <w:r w:rsidRPr="00552261">
        <w:t xml:space="preserve"> calibrant in positive ion mode.</w:t>
      </w:r>
      <w:r>
        <w:t xml:space="preserve"> </w:t>
      </w:r>
      <w:r w:rsidR="00122F1F">
        <w:rPr>
          <w:lang w:val="el-GR"/>
        </w:rPr>
        <w:t>Α</w:t>
      </w:r>
      <w:r>
        <w:t xml:space="preserve"> clean blank injection was ran between samples to minimise carry-over.</w:t>
      </w:r>
      <w:r w:rsidRPr="00552261">
        <w:t xml:space="preserve"> Peptide mapping of aSyn, where peptides were identified by MS/MS fragmentation, was performed prior to the hydrogen exchange experiments and analysed using </w:t>
      </w:r>
      <w:proofErr w:type="spellStart"/>
      <w:r w:rsidRPr="00552261">
        <w:t>ProteinLynx</w:t>
      </w:r>
      <w:proofErr w:type="spellEnd"/>
      <w:r w:rsidRPr="00552261">
        <w:t xml:space="preserve"> Global Server- PLGS (</w:t>
      </w:r>
      <w:r w:rsidRPr="00EE2469">
        <w:t>Waters). Peptide mapping of aSyn yielded coverage of 100% of aSyn wit</w:t>
      </w:r>
      <w:r w:rsidR="003A3583" w:rsidRPr="00EE2469">
        <w:t>h a high degree of redundancy (</w:t>
      </w:r>
      <w:r w:rsidR="006B0CB3" w:rsidRPr="00EE2469">
        <w:t>5.3</w:t>
      </w:r>
      <w:r w:rsidR="0062528D">
        <w:t>8</w:t>
      </w:r>
      <w:r w:rsidR="004418C4" w:rsidRPr="00EE2469">
        <w:t>) (</w:t>
      </w:r>
      <w:r w:rsidR="0037548A">
        <w:t xml:space="preserve">Supplementary </w:t>
      </w:r>
      <w:r w:rsidR="004418C4" w:rsidRPr="00EE2469">
        <w:t xml:space="preserve">Figure </w:t>
      </w:r>
      <w:r w:rsidR="00C4243B">
        <w:t>11</w:t>
      </w:r>
      <w:r w:rsidRPr="00EE2469">
        <w:t>).</w:t>
      </w:r>
      <w:r w:rsidR="00B301AC">
        <w:t xml:space="preserve"> </w:t>
      </w:r>
      <w:r w:rsidR="00AC1EA5" w:rsidRPr="00AC1EA5">
        <w:t>The following parameters were used to filter the quality of the peptides: minimum and maximum peptide sequence length of 4 and 50, respectively, minimum intensity of 5000, and minimum products per amino acid of 0.2. All spectra generated from the peptides were examined and only peptides with high-quality spectra and a high signal to noise ratio were used for data analysis.</w:t>
      </w:r>
      <w:r w:rsidR="00AC1EA5">
        <w:t xml:space="preserve"> </w:t>
      </w:r>
      <w:r w:rsidRPr="00EE2469">
        <w:t xml:space="preserve">The data pertaining to deuterium uptake </w:t>
      </w:r>
      <w:r w:rsidR="004418C4" w:rsidRPr="00EE2469">
        <w:t xml:space="preserve">(representative data </w:t>
      </w:r>
      <w:r w:rsidR="005A3F79" w:rsidRPr="00EE2469">
        <w:t>presented</w:t>
      </w:r>
      <w:r w:rsidR="004418C4" w:rsidRPr="00EE2469">
        <w:t xml:space="preserve"> in </w:t>
      </w:r>
      <w:r w:rsidR="0037548A">
        <w:t xml:space="preserve">Supplementary </w:t>
      </w:r>
      <w:r w:rsidR="004418C4" w:rsidRPr="00EE2469">
        <w:t xml:space="preserve">Figure </w:t>
      </w:r>
      <w:r w:rsidR="00C4243B">
        <w:t>21</w:t>
      </w:r>
      <w:r w:rsidR="00540F3A">
        <w:t xml:space="preserve"> and all replicates presented in </w:t>
      </w:r>
      <w:proofErr w:type="spellStart"/>
      <w:r w:rsidR="00540F3A">
        <w:t>Supplementry</w:t>
      </w:r>
      <w:proofErr w:type="spellEnd"/>
      <w:r w:rsidR="00540F3A">
        <w:t xml:space="preserve"> Figures 22-27</w:t>
      </w:r>
      <w:r w:rsidR="004418C4" w:rsidRPr="00EE2469">
        <w:t xml:space="preserve">) </w:t>
      </w:r>
      <w:r w:rsidRPr="00EE2469">
        <w:t>were analysed</w:t>
      </w:r>
      <w:r w:rsidRPr="00552261">
        <w:t xml:space="preserve"> and visualised in </w:t>
      </w:r>
      <w:proofErr w:type="spellStart"/>
      <w:r w:rsidRPr="00552261">
        <w:t>DynamX</w:t>
      </w:r>
      <w:proofErr w:type="spellEnd"/>
      <w:r w:rsidRPr="00552261">
        <w:t xml:space="preserve"> 3.0 (Waters) and </w:t>
      </w:r>
      <w:r w:rsidR="003A3583">
        <w:t>GraphPad Prism</w:t>
      </w:r>
      <w:r w:rsidR="00833DBE">
        <w:t xml:space="preserve"> 8</w:t>
      </w:r>
      <w:r w:rsidRPr="00552261">
        <w:t xml:space="preserve"> (</w:t>
      </w:r>
      <w:r w:rsidR="003A3583">
        <w:t>GraphPad Software</w:t>
      </w:r>
      <w:r w:rsidRPr="00552261">
        <w:t>, U</w:t>
      </w:r>
      <w:r w:rsidR="003A3583">
        <w:t>S</w:t>
      </w:r>
      <w:r w:rsidRPr="00552261">
        <w:t xml:space="preserve">). No correction was made for back-exchange. </w:t>
      </w:r>
      <w:r w:rsidR="0047100A" w:rsidRPr="0047100A">
        <w:t xml:space="preserve">To allow access to the </w:t>
      </w:r>
      <w:r w:rsidR="0047100A" w:rsidRPr="0047100A">
        <w:lastRenderedPageBreak/>
        <w:t>HDX data of this study, the HDX</w:t>
      </w:r>
      <w:r w:rsidR="0047100A">
        <w:t xml:space="preserve"> data summary table is included in the supporting information as per consensus guidelines</w:t>
      </w:r>
      <w:r w:rsidR="0047100A">
        <w:fldChar w:fldCharType="begin" w:fldLock="1"/>
      </w:r>
      <w:r w:rsidR="00373BC0">
        <w:instrText>ADDIN CSL_CITATION {"citationItems":[{"id":"ITEM-1","itemData":{"DOI":"10.1038/s41592-019-0459-y","ISSN":"15487105","abstract":"Hydrogen deuterium exchange mass spectrometry (HDX-MS) is a powerful biophysical technique being increasingly applied to a wide variety of problems. As the HDX-MS community continues to grow, adoption of best practices in data collection, analysis, presentation and interpretation will greatly enhance the accessibility of this technique to nonspecialists. Here we provide recommendations arising from community discussions emerging out of the first International Conference on Hydrogen-Exchange Mass Spectrometry (IC-HDX; 2017). It is meant to represent both a consensus viewpoint and an opportunity to stimulate further additions and refinements as the field advances.","author":[{"dropping-particle":"","family":"Masson","given":"Glenn R.","non-dropping-particle":"","parse-names":false,"suffix":""},{"dropping-particle":"","family":"Burke","given":"John E.","non-dropping-particle":"","parse-names":false,"suffix":""},{"dropping-particle":"","family":"Ahn","given":"Natalie G.","non-dropping-particle":"","parse-names":false,"suffix":""},{"dropping-particle":"","family":"Anand","given":"Ganesh S.","non-dropping-particle":"","parse-names":false,"suffix":""},{"dropping-particle":"","family":"Borchers","given":"Christoph","non-dropping-particle":"","parse-names":false,"suffix":""},{"dropping-particle":"","family":"Brier","given":"Sébastien","non-dropping-particle":"","parse-names":false,"suffix":""},{"dropping-particle":"","family":"Bou-Assaf","given":"George M.","non-dropping-particle":"","parse-names":false,"suffix":""},{"dropping-particle":"","family":"Engen","given":"John R.","non-dropping-particle":"","parse-names":false,"suffix":""},{"dropping-particle":"","family":"Englander","given":"S. Walter","non-dropping-particle":"","parse-names":false,"suffix":""},{"dropping-particle":"","family":"Faber","given":"Johan","non-dropping-particle":"","parse-names":false,"suffix":""},{"dropping-particle":"","family":"Garlish","given":"Rachel","non-dropping-particle":"","parse-names":false,"suffix":""},{"dropping-particle":"","family":"Griffin","given":"Patrick R.","non-dropping-particle":"","parse-names":false,"suffix":""},{"dropping-particle":"","family":"Gross","given":"Michael L.","non-dropping-particle":"","parse-names":false,"suffix":""},{"dropping-particle":"","family":"Guttman","given":"Miklos","non-dropping-particle":"","parse-names":false,"suffix":""},{"dropping-particle":"","family":"Hamuro","given":"Yoshitomo","non-dropping-particle":"","parse-names":false,"suffix":""},{"dropping-particle":"","family":"Heck","given":"Albert J.R.","non-dropping-particle":"","parse-names":false,"suffix":""},{"dropping-particle":"","family":"Houde","given":"Damian","non-dropping-particle":"","parse-names":false,"suffix":""},{"dropping-particle":"","family":"Iacob","given":"Roxana E.","non-dropping-particle":"","parse-names":false,"suffix":""},{"dropping-particle":"","family":"Jørgensen","given":"Thomas J.D.","non-dropping-particle":"","parse-names":false,"suffix":""},{"dropping-particle":"","family":"Kaltashov","given":"Igor A.","non-dropping-particle":"","parse-names":false,"suffix":""},{"dropping-particle":"","family":"Klinman","given":"Judith P.","non-dropping-particle":"","parse-names":false,"suffix":""},{"dropping-particle":"","family":"Konermann","given":"Lars","non-dropping-particle":"","parse-names":false,"suffix":""},{"dropping-particle":"","family":"Man","given":"Petr","non-dropping-particle":"","parse-names":false,"suffix":""},{"dropping-particle":"","family":"Mayne","given":"Leland","non-dropping-particle":"","parse-names":false,"suffix":""},{"dropping-particle":"","family":"Pascal","given":"Bruce D.","non-dropping-particle":"","parse-names":false,"suffix":""},{"dropping-particle":"","family":"Reichmann","given":"Dana","non-dropping-particle":"","parse-names":false,"suffix":""},{"dropping-particle":"","family":"Skehel","given":"Mark","non-dropping-particle":"","parse-names":false,"suffix":""},{"dropping-particle":"","family":"Snijder","given":"Joost","non-dropping-particle":"","parse-names":false,"suffix":""},{"dropping-particle":"","family":"Strutzenberg","given":"Timothy S.","non-dropping-particle":"","parse-names":false,"suffix":""},{"dropping-particle":"","family":"Underbakke","given":"Eric S.","non-dropping-particle":"","parse-names":false,"suffix":""},{"dropping-particle":"","family":"Wagner","given":"Cornelia","non-dropping-particle":"","parse-names":false,"suffix":""},{"dropping-particle":"","family":"Wales","given":"Thomas E.","non-dropping-particle":"","parse-names":false,"suffix":""},{"dropping-particle":"","family":"Walters","given":"Benjamin T.","non-dropping-particle":"","parse-names":false,"suffix":""},{"dropping-particle":"","family":"Weis","given":"David D.","non-dropping-particle":"","parse-names":false,"suffix":""},{"dropping-particle":"","family":"Wilson","given":"Derek J.","non-dropping-particle":"","parse-names":false,"suffix":""},{"dropping-particle":"","family":"Wintrode","given":"Patrick L.","non-dropping-particle":"","parse-names":false,"suffix":""},{"dropping-particle":"","family":"Zhang","given":"Zhongqi","non-dropping-particle":"","parse-names":false,"suffix":""},{"dropping-particle":"","family":"Zheng","given":"Jie","non-dropping-particle":"","parse-names":false,"suffix":""},{"dropping-particle":"","family":"Schriemer","given":"David C.","non-dropping-particle":"","parse-names":false,"suffix":""},{"dropping-particle":"","family":"Rand","given":"Kasper D.","non-dropping-particle":"","parse-names":false,"suffix":""}],"container-title":"Nature Methods","id":"ITEM-1","issue":"7","issued":{"date-parts":[["2019"]]},"page":"595-602","title":"Recommendations for performing, interpreting and reporting hydrogen deuterium exchange mass spectrometry (HDX-MS) experiments","type":"article-journal","volume":"16"},"uris":["http://www.mendeley.com/documents/?uuid=f1a828de-8a33-497a-9baa-5f8af9a4784e","http://www.mendeley.com/documents/?uuid=1412e492-09da-4cde-8569-271b405271e0"]}],"mendeley":{"formattedCitation":"&lt;sup&gt;78&lt;/sup&gt;","plainTextFormattedCitation":"78","previouslyFormattedCitation":"&lt;sup&gt;78&lt;/sup&gt;"},"properties":{"noteIndex":0},"schema":"https://github.com/citation-style-language/schema/raw/master/csl-citation.json"}</w:instrText>
      </w:r>
      <w:r w:rsidR="0047100A">
        <w:fldChar w:fldCharType="separate"/>
      </w:r>
      <w:r w:rsidR="00373BC0" w:rsidRPr="00373BC0">
        <w:rPr>
          <w:noProof/>
          <w:vertAlign w:val="superscript"/>
        </w:rPr>
        <w:t>78</w:t>
      </w:r>
      <w:r w:rsidR="0047100A">
        <w:fldChar w:fldCharType="end"/>
      </w:r>
      <w:r w:rsidR="0047100A">
        <w:t>.</w:t>
      </w:r>
    </w:p>
    <w:p w14:paraId="46DA680E" w14:textId="77777777" w:rsidR="00833DBE" w:rsidRPr="00833DBE" w:rsidRDefault="00833DBE" w:rsidP="00833DBE">
      <w:pPr>
        <w:spacing w:line="360" w:lineRule="auto"/>
        <w:jc w:val="both"/>
        <w:rPr>
          <w:b/>
        </w:rPr>
      </w:pPr>
      <w:r w:rsidRPr="00833DBE">
        <w:rPr>
          <w:b/>
          <w:bCs/>
        </w:rPr>
        <w:t>Thioflavin-T (</w:t>
      </w:r>
      <w:proofErr w:type="spellStart"/>
      <w:r w:rsidRPr="00833DBE">
        <w:rPr>
          <w:b/>
          <w:bCs/>
        </w:rPr>
        <w:t>ThT</w:t>
      </w:r>
      <w:proofErr w:type="spellEnd"/>
      <w:r w:rsidRPr="00833DBE">
        <w:rPr>
          <w:b/>
          <w:bCs/>
        </w:rPr>
        <w:t>) based assays</w:t>
      </w:r>
    </w:p>
    <w:p w14:paraId="22B38668" w14:textId="2A492F34" w:rsidR="00833DBE" w:rsidRDefault="00833DBE" w:rsidP="00833DBE">
      <w:pPr>
        <w:spacing w:line="360" w:lineRule="auto"/>
        <w:jc w:val="both"/>
        <w:rPr>
          <w:lang w:val="en-US"/>
        </w:rPr>
      </w:pPr>
      <w:r w:rsidRPr="00846F41">
        <w:t xml:space="preserve">10 </w:t>
      </w:r>
      <w:proofErr w:type="spellStart"/>
      <w:r w:rsidRPr="00846F41">
        <w:t>μM</w:t>
      </w:r>
      <w:proofErr w:type="spellEnd"/>
      <w:r w:rsidRPr="00846F41">
        <w:t xml:space="preserve"> freshly made </w:t>
      </w:r>
      <w:proofErr w:type="spellStart"/>
      <w:r w:rsidRPr="00846F41">
        <w:t>ThT</w:t>
      </w:r>
      <w:proofErr w:type="spellEnd"/>
      <w:r w:rsidRPr="00846F41">
        <w:t xml:space="preserve"> (</w:t>
      </w:r>
      <w:proofErr w:type="spellStart"/>
      <w:r w:rsidRPr="00846F41">
        <w:t>abcam</w:t>
      </w:r>
      <w:proofErr w:type="spellEnd"/>
      <w:r w:rsidRPr="00846F41">
        <w:t xml:space="preserve">, Cambridge, UK) was added to 50 </w:t>
      </w:r>
      <w:proofErr w:type="spellStart"/>
      <w:r w:rsidRPr="00846F41">
        <w:t>μL</w:t>
      </w:r>
      <w:proofErr w:type="spellEnd"/>
      <w:r w:rsidRPr="00846F41">
        <w:t xml:space="preserve"> of 10 </w:t>
      </w:r>
      <w:proofErr w:type="spellStart"/>
      <w:r w:rsidRPr="00846F41">
        <w:t>μM</w:t>
      </w:r>
      <w:proofErr w:type="spellEnd"/>
      <w:r w:rsidRPr="00846F41">
        <w:t xml:space="preserve"> aSyn in 20 mM Tris pH 7.2. All samples were loaded onto nonbinding, clear bottom, 96-well half-area plates (Greiner Bio-One GmbH, Germany). The plates were sealed with a </w:t>
      </w:r>
      <w:proofErr w:type="spellStart"/>
      <w:r w:rsidRPr="00846F41">
        <w:t>SILVERseal</w:t>
      </w:r>
      <w:proofErr w:type="spellEnd"/>
      <w:r w:rsidRPr="00846F41">
        <w:t xml:space="preserve"> aluminium microplate sealer (</w:t>
      </w:r>
      <w:proofErr w:type="spellStart"/>
      <w:r w:rsidRPr="00846F41">
        <w:t>Grenier</w:t>
      </w:r>
      <w:proofErr w:type="spellEnd"/>
      <w:r w:rsidRPr="00846F41">
        <w:t xml:space="preserve"> Bio-One GmbH). Fluorescence measurements were taken with a </w:t>
      </w:r>
      <w:proofErr w:type="spellStart"/>
      <w:r w:rsidRPr="00846F41">
        <w:t>FLUOstar</w:t>
      </w:r>
      <w:proofErr w:type="spellEnd"/>
      <w:r w:rsidRPr="00846F41">
        <w:t xml:space="preserve"> Omega plate reader (BMG LABTECH GmbH, </w:t>
      </w:r>
      <w:proofErr w:type="spellStart"/>
      <w:r w:rsidRPr="00846F41">
        <w:t>Ortenbery</w:t>
      </w:r>
      <w:proofErr w:type="spellEnd"/>
      <w:r w:rsidRPr="00846F41">
        <w:t xml:space="preserve">, Germany). The plates were incubated at 37°C with orbital shaking at 300 rpm for five minutes before each read every hour. Excitation was set at 440 nm with 20 flashes and the </w:t>
      </w:r>
      <w:proofErr w:type="spellStart"/>
      <w:r w:rsidRPr="00846F41">
        <w:t>ThT</w:t>
      </w:r>
      <w:proofErr w:type="spellEnd"/>
      <w:r w:rsidRPr="00846F41">
        <w:t xml:space="preserve"> fluorescence intensity measured at 480 nm emission with a 1300 gain setting. </w:t>
      </w:r>
      <w:proofErr w:type="spellStart"/>
      <w:r w:rsidRPr="00846F41">
        <w:t>ThT</w:t>
      </w:r>
      <w:proofErr w:type="spellEnd"/>
      <w:r w:rsidRPr="00846F41">
        <w:t xml:space="preserve"> assays were repeated at least 3 times using four or more wells for each condition. Data were normalised to the well with the maximum fluorescence intensity for each plate and the average fluorescence intensity was calculated for all experiments</w:t>
      </w:r>
      <w:r>
        <w:t xml:space="preserve"> in Microsoft Excel 2016 (Microsoft Office, Washington, USA). </w:t>
      </w:r>
      <w:r w:rsidRPr="00846F41">
        <w:t>The lag time (</w:t>
      </w:r>
      <w:proofErr w:type="spellStart"/>
      <w:r w:rsidRPr="00846F41">
        <w:t>t</w:t>
      </w:r>
      <w:r w:rsidRPr="00846F41">
        <w:rPr>
          <w:vertAlign w:val="subscript"/>
        </w:rPr>
        <w:t>lag</w:t>
      </w:r>
      <w:proofErr w:type="spellEnd"/>
      <w:r w:rsidRPr="00846F41">
        <w:t xml:space="preserve">) and </w:t>
      </w:r>
      <w:r w:rsidR="00AB0426" w:rsidRPr="00833DBE">
        <w:t>half-life</w:t>
      </w:r>
      <w:r w:rsidRPr="00846F41">
        <w:t xml:space="preserve"> of the fluorescence (t</w:t>
      </w:r>
      <w:r w:rsidRPr="00846F41">
        <w:rPr>
          <w:vertAlign w:val="subscript"/>
        </w:rPr>
        <w:t>50</w:t>
      </w:r>
      <w:r w:rsidRPr="00846F41">
        <w:t>) were calculated for each aSyn variant</w:t>
      </w:r>
      <w:r>
        <w:t>, also in Microsoft Excel</w:t>
      </w:r>
      <w:r w:rsidRPr="00846F41">
        <w:t xml:space="preserve">. </w:t>
      </w:r>
      <w:r w:rsidR="00AB0426">
        <w:rPr>
          <w:lang w:val="en-US"/>
        </w:rPr>
        <w:t xml:space="preserve">An unpaired two-tailed t-test, with a 95% confidence interval, </w:t>
      </w:r>
      <w:r w:rsidR="00AB0426" w:rsidRPr="0095510F">
        <w:rPr>
          <w:lang w:val="en-US"/>
        </w:rPr>
        <w:t>was used to calculate statistical significance</w:t>
      </w:r>
      <w:r w:rsidR="00AB0426">
        <w:rPr>
          <w:lang w:val="en-US"/>
        </w:rPr>
        <w:t xml:space="preserve"> between samples before and after the addition of calcium using GraphPad Prism 8</w:t>
      </w:r>
      <w:r w:rsidR="00AB0426" w:rsidRPr="00E97592">
        <w:rPr>
          <w:lang w:val="en-US"/>
        </w:rPr>
        <w:t>.</w:t>
      </w:r>
      <w:r w:rsidR="00AB0426" w:rsidRPr="0095510F">
        <w:rPr>
          <w:lang w:val="en-US"/>
        </w:rPr>
        <w:t xml:space="preserve"> </w:t>
      </w:r>
    </w:p>
    <w:p w14:paraId="54A4AF43" w14:textId="77777777" w:rsidR="00AB0426" w:rsidRPr="00833DBE" w:rsidRDefault="00AB0426" w:rsidP="00833DBE">
      <w:pPr>
        <w:spacing w:line="360" w:lineRule="auto"/>
        <w:jc w:val="both"/>
        <w:rPr>
          <w:b/>
        </w:rPr>
      </w:pPr>
    </w:p>
    <w:p w14:paraId="5C3801BF" w14:textId="6FB3273F" w:rsidR="00833DBE" w:rsidRPr="00833DBE" w:rsidRDefault="00833DBE" w:rsidP="00833DBE">
      <w:pPr>
        <w:spacing w:line="360" w:lineRule="auto"/>
        <w:jc w:val="both"/>
        <w:rPr>
          <w:b/>
        </w:rPr>
      </w:pPr>
      <w:r w:rsidRPr="00833DBE">
        <w:rPr>
          <w:b/>
          <w:bCs/>
        </w:rPr>
        <w:t xml:space="preserve">Analytical Size Exclusion Chromatography (SEC) </w:t>
      </w:r>
    </w:p>
    <w:p w14:paraId="6BA7DE8A" w14:textId="2E448C5F" w:rsidR="00833DBE" w:rsidRPr="00846F41" w:rsidRDefault="00833DBE" w:rsidP="00833DBE">
      <w:pPr>
        <w:spacing w:line="360" w:lineRule="auto"/>
        <w:jc w:val="both"/>
      </w:pPr>
      <w:r w:rsidRPr="00846F41">
        <w:t xml:space="preserve">SEC-HPLC analysis was used to calculate the remaining aSyn monomer concentration in each well at the end of the </w:t>
      </w:r>
      <w:proofErr w:type="spellStart"/>
      <w:r w:rsidRPr="00846F41">
        <w:t>ThT</w:t>
      </w:r>
      <w:proofErr w:type="spellEnd"/>
      <w:r w:rsidRPr="00846F41">
        <w:t xml:space="preserve"> assays. The contents of each well after the </w:t>
      </w:r>
      <w:proofErr w:type="spellStart"/>
      <w:r w:rsidRPr="00846F41">
        <w:t>ThT</w:t>
      </w:r>
      <w:proofErr w:type="spellEnd"/>
      <w:r w:rsidRPr="00846F41">
        <w:t xml:space="preserve">-based assay were centrifuged at 21k x g for 20 minutes and the supernatant added to individual aliquots in the autosampler of the Agilent 1260 Infinity HPLC system (Agilent Technologies LDA UK Limited, UK). 35 </w:t>
      </w:r>
      <w:proofErr w:type="spellStart"/>
      <w:r w:rsidRPr="00846F41">
        <w:t>μL</w:t>
      </w:r>
      <w:proofErr w:type="spellEnd"/>
      <w:r w:rsidRPr="00846F41">
        <w:t xml:space="preserve"> of each sample was injected onto an Advance Bio SEC column, 7.8 x 300 mm 300Å (Agilent, UK) in 20 mM Tris pH 7.2 at 1 mL</w:t>
      </w:r>
      <w:r w:rsidR="00AB0426">
        <w:t xml:space="preserve"> </w:t>
      </w:r>
      <w:r w:rsidRPr="00846F41">
        <w:t>min</w:t>
      </w:r>
      <w:r w:rsidR="00AB0426" w:rsidRPr="00846F41">
        <w:rPr>
          <w:vertAlign w:val="superscript"/>
        </w:rPr>
        <w:t>-1</w:t>
      </w:r>
      <w:r w:rsidRPr="00846F41">
        <w:t xml:space="preserve"> flow-rate. The elution profile was monitored by UV absorption at 220 and 280 nm. A calibration curve of known concentrations of aSyn was used to calculate the remaining monomer concentration of aSyn in each well. Two or three wells per experiment for three experiments were analysed for the remaining monomer concentration.</w:t>
      </w:r>
      <w:r>
        <w:t xml:space="preserve"> Figures of the chromatographs were created in and exported from </w:t>
      </w:r>
      <w:proofErr w:type="spellStart"/>
      <w:r>
        <w:t>MatLab</w:t>
      </w:r>
      <w:proofErr w:type="spellEnd"/>
      <w:r>
        <w:t xml:space="preserve"> R2019a (MathWorks, USA).</w:t>
      </w:r>
    </w:p>
    <w:p w14:paraId="594F7933" w14:textId="77777777" w:rsidR="00833DBE" w:rsidRDefault="00833DBE" w:rsidP="00D77476">
      <w:pPr>
        <w:spacing w:line="360" w:lineRule="auto"/>
        <w:jc w:val="both"/>
        <w:rPr>
          <w:b/>
        </w:rPr>
      </w:pPr>
    </w:p>
    <w:p w14:paraId="49F77E21" w14:textId="2E00371F" w:rsidR="005D335F" w:rsidRDefault="005D335F" w:rsidP="00D77476">
      <w:pPr>
        <w:spacing w:line="360" w:lineRule="auto"/>
        <w:jc w:val="both"/>
        <w:rPr>
          <w:b/>
        </w:rPr>
      </w:pPr>
      <w:r>
        <w:rPr>
          <w:b/>
        </w:rPr>
        <w:t>Nano electrospray ionisation mass spectrometry (Nano ESI-</w:t>
      </w:r>
      <w:r w:rsidRPr="00300AF8">
        <w:rPr>
          <w:b/>
        </w:rPr>
        <w:t>MS</w:t>
      </w:r>
      <w:r>
        <w:rPr>
          <w:b/>
        </w:rPr>
        <w:t>)</w:t>
      </w:r>
    </w:p>
    <w:p w14:paraId="51556BC2" w14:textId="7CDEFCC4" w:rsidR="00363F53" w:rsidRDefault="00363F53" w:rsidP="00363F53">
      <w:pPr>
        <w:spacing w:line="360" w:lineRule="auto"/>
        <w:jc w:val="both"/>
      </w:pPr>
      <w:r w:rsidRPr="00363F53">
        <w:lastRenderedPageBreak/>
        <w:t>A final concentration of 20 µM aSyn (WT or mutant) was obtained in 20 mM ammonium acetate (Sigma Aldrich, St. Louis, MO, USA) pH 7 and measured as a control. CaCl</w:t>
      </w:r>
      <w:r w:rsidRPr="00363F53">
        <w:rPr>
          <w:vertAlign w:val="subscript"/>
        </w:rPr>
        <w:t>2</w:t>
      </w:r>
      <w:r w:rsidRPr="00363F53">
        <w:t xml:space="preserve"> (Merck, Darmstadt, Germany) was dissolved in deionised H</w:t>
      </w:r>
      <w:r w:rsidRPr="00363F53">
        <w:rPr>
          <w:vertAlign w:val="subscript"/>
        </w:rPr>
        <w:t>2</w:t>
      </w:r>
      <w:r w:rsidRPr="00363F53">
        <w:t xml:space="preserve">O and added to the sample with a final concentration ranging between 200 µM and 400 µM. The samples were incubated for 10 minutes at room temperature before measuring. Nano-ESI mass spectrometry measurements were performed on a </w:t>
      </w:r>
      <w:proofErr w:type="spellStart"/>
      <w:r w:rsidRPr="00363F53">
        <w:t>Synapt</w:t>
      </w:r>
      <w:proofErr w:type="spellEnd"/>
      <w:r w:rsidRPr="00363F53">
        <w:t xml:space="preserve"> G2 HDMS (Waters, Manchester, U.K.) and analysed using </w:t>
      </w:r>
      <w:proofErr w:type="spellStart"/>
      <w:r w:rsidRPr="00363F53">
        <w:t>Masslynx</w:t>
      </w:r>
      <w:proofErr w:type="spellEnd"/>
      <w:r w:rsidRPr="00363F53">
        <w:t xml:space="preserve"> version 4.1 (Waters, Manchester, U.K.). For infusion into the mass spectrometer, home-made gold-coated borosilicate capillaries were used. The main instrumental settings were: capillary voltage 1.4-1.8 kV; sampling cone 25 V; extraction cone 1 V; trap CE 4 V; transfer CE 0 V; trap bias 40 V. Gas pressures used throughout the instrument were: source 1.5-2.7 mbar; trap cell 2.3 x 10</w:t>
      </w:r>
      <w:r w:rsidRPr="00363F53">
        <w:rPr>
          <w:vertAlign w:val="superscript"/>
        </w:rPr>
        <w:t>-2</w:t>
      </w:r>
      <w:r w:rsidRPr="00363F53">
        <w:t xml:space="preserve"> mbar; IM cell 3.0 mbar; transfer cell 2.5 x 10</w:t>
      </w:r>
      <w:r w:rsidRPr="00363F53">
        <w:rPr>
          <w:vertAlign w:val="superscript"/>
        </w:rPr>
        <w:t>-2</w:t>
      </w:r>
      <w:r w:rsidRPr="00363F53">
        <w:t xml:space="preserve"> mbar.</w:t>
      </w:r>
      <w:r w:rsidR="00833DBE">
        <w:t xml:space="preserve"> Data was analysed and exported from Origin version 8 (Origin Lab Corporation, Northampton, USA).</w:t>
      </w:r>
    </w:p>
    <w:p w14:paraId="4952572B" w14:textId="09B8C326" w:rsidR="00E52CF4" w:rsidRPr="00846F41" w:rsidRDefault="00736307" w:rsidP="00363F53">
      <w:pPr>
        <w:spacing w:line="360" w:lineRule="auto"/>
        <w:jc w:val="both"/>
        <w:rPr>
          <w:b/>
        </w:rPr>
      </w:pPr>
      <w:r w:rsidRPr="00846F41">
        <w:rPr>
          <w:b/>
        </w:rPr>
        <w:t xml:space="preserve">Data </w:t>
      </w:r>
      <w:r w:rsidR="005B18A5" w:rsidRPr="005B18A5">
        <w:rPr>
          <w:b/>
        </w:rPr>
        <w:t>Availability</w:t>
      </w:r>
      <w:r w:rsidRPr="00846F41">
        <w:rPr>
          <w:b/>
        </w:rPr>
        <w:t xml:space="preserve"> </w:t>
      </w:r>
    </w:p>
    <w:p w14:paraId="467FC702" w14:textId="3AA99E0B" w:rsidR="00363F53" w:rsidRPr="00F32E0D" w:rsidRDefault="00F32E0D" w:rsidP="00363F53">
      <w:pPr>
        <w:spacing w:line="360" w:lineRule="auto"/>
        <w:jc w:val="both"/>
      </w:pPr>
      <w:r>
        <w:t xml:space="preserve">Source data </w:t>
      </w:r>
      <w:r w:rsidR="00010A97">
        <w:t xml:space="preserve">underlying </w:t>
      </w:r>
      <w:r>
        <w:t xml:space="preserve">Fig.3, Fig.4, Fig.5, Fig.6, Suppl. Fig. 1, </w:t>
      </w:r>
      <w:r w:rsidR="008F4C5B">
        <w:t>Suppl. Fig. 9, Suppl. Fig. 11 -</w:t>
      </w:r>
      <w:r w:rsidR="007B6F55">
        <w:t xml:space="preserve"> </w:t>
      </w:r>
      <w:r w:rsidR="008F4C5B">
        <w:t>15</w:t>
      </w:r>
      <w:r w:rsidR="007B6F55">
        <w:t xml:space="preserve">, </w:t>
      </w:r>
      <w:r w:rsidR="008F4C5B">
        <w:t>Suppl. Fig. 17</w:t>
      </w:r>
      <w:r>
        <w:t xml:space="preserve"> </w:t>
      </w:r>
      <w:r w:rsidR="008F4C5B">
        <w:t>– 19</w:t>
      </w:r>
      <w:r w:rsidR="007B6F55">
        <w:t>, Suppl. Fig. 21 - 27</w:t>
      </w:r>
      <w:r w:rsidR="008F4C5B">
        <w:t xml:space="preserve"> </w:t>
      </w:r>
      <w:r>
        <w:t xml:space="preserve">are available with the paper online. Other data sets </w:t>
      </w:r>
      <w:r w:rsidR="00223041" w:rsidRPr="00223041">
        <w:t>associa</w:t>
      </w:r>
      <w:r w:rsidR="008F4C5B">
        <w:t>ted with all figures are</w:t>
      </w:r>
      <w:r w:rsidR="00223041" w:rsidRPr="00223041">
        <w:t xml:space="preserve"> available from the University of Cambridge Data Repository </w:t>
      </w:r>
      <w:hyperlink r:id="rId9" w:history="1">
        <w:r w:rsidR="00223041" w:rsidRPr="00E21EAD">
          <w:rPr>
            <w:rStyle w:val="Hyperlink"/>
          </w:rPr>
          <w:t>https://doi.org/10.17863/CAM.50622</w:t>
        </w:r>
      </w:hyperlink>
      <w:r>
        <w:t xml:space="preserve">. </w:t>
      </w:r>
      <w:r w:rsidR="00010A97">
        <w:rPr>
          <w:lang w:val="en-US"/>
        </w:rPr>
        <w:t>Additional figures and data</w:t>
      </w:r>
      <w:r w:rsidR="00363F53" w:rsidRPr="00363F53">
        <w:rPr>
          <w:lang w:val="en-US"/>
        </w:rPr>
        <w:t xml:space="preserve"> for </w:t>
      </w:r>
      <w:proofErr w:type="spellStart"/>
      <w:r w:rsidR="00B9188D" w:rsidRPr="00363F53">
        <w:rPr>
          <w:lang w:val="en-US"/>
        </w:rPr>
        <w:t>ThT</w:t>
      </w:r>
      <w:proofErr w:type="spellEnd"/>
      <w:r w:rsidR="00B9188D" w:rsidRPr="00363F53">
        <w:rPr>
          <w:lang w:val="en-US"/>
        </w:rPr>
        <w:t>-based kinetic assays, AFM data,</w:t>
      </w:r>
      <w:r w:rsidR="00B9188D">
        <w:rPr>
          <w:lang w:val="en-US"/>
        </w:rPr>
        <w:t xml:space="preserve"> </w:t>
      </w:r>
      <w:r w:rsidR="00B9188D" w:rsidRPr="00363F53">
        <w:rPr>
          <w:lang w:val="en-US"/>
        </w:rPr>
        <w:t>NMR calcium titration data,</w:t>
      </w:r>
      <w:r w:rsidR="00B9188D">
        <w:rPr>
          <w:lang w:val="en-US"/>
        </w:rPr>
        <w:t xml:space="preserve"> </w:t>
      </w:r>
      <w:r w:rsidR="00363F53" w:rsidRPr="00363F53">
        <w:rPr>
          <w:lang w:val="en-US"/>
        </w:rPr>
        <w:t xml:space="preserve">additional HDX-MS data, additional </w:t>
      </w:r>
      <w:r w:rsidR="00B9188D" w:rsidRPr="00363F53">
        <w:rPr>
          <w:lang w:val="en-US"/>
        </w:rPr>
        <w:t>native MS data</w:t>
      </w:r>
      <w:r w:rsidR="00B9188D">
        <w:rPr>
          <w:lang w:val="en-US"/>
        </w:rPr>
        <w:t>, all</w:t>
      </w:r>
      <w:r w:rsidR="00B9188D" w:rsidRPr="00363F53">
        <w:rPr>
          <w:lang w:val="en-US"/>
        </w:rPr>
        <w:t xml:space="preserve"> </w:t>
      </w:r>
      <w:r w:rsidR="00363F53" w:rsidRPr="00363F53">
        <w:rPr>
          <w:lang w:val="en-US"/>
        </w:rPr>
        <w:t xml:space="preserve">nano-ESI-IM-MS data, </w:t>
      </w:r>
      <w:r w:rsidR="00B9188D" w:rsidRPr="00363F53">
        <w:rPr>
          <w:lang w:val="en-US"/>
        </w:rPr>
        <w:t xml:space="preserve">purity of aSyn samples, </w:t>
      </w:r>
      <w:r w:rsidR="00A14DF9">
        <w:rPr>
          <w:lang w:val="en-US"/>
        </w:rPr>
        <w:t xml:space="preserve">Supplementary Methods </w:t>
      </w:r>
      <w:r w:rsidR="008F4C5B">
        <w:rPr>
          <w:lang w:val="en-US"/>
        </w:rPr>
        <w:t xml:space="preserve">and primer sequences </w:t>
      </w:r>
      <w:r w:rsidR="00A14DF9">
        <w:rPr>
          <w:lang w:val="en-US"/>
        </w:rPr>
        <w:t>are found in the</w:t>
      </w:r>
      <w:r w:rsidR="00363F53" w:rsidRPr="00363F53">
        <w:rPr>
          <w:lang w:val="en-US"/>
        </w:rPr>
        <w:t xml:space="preserve"> </w:t>
      </w:r>
      <w:r w:rsidR="00373BC0">
        <w:rPr>
          <w:lang w:val="en-US"/>
        </w:rPr>
        <w:t>S</w:t>
      </w:r>
      <w:r w:rsidR="00373BC0" w:rsidRPr="00363F53">
        <w:rPr>
          <w:lang w:val="en-US"/>
        </w:rPr>
        <w:t xml:space="preserve">upplementary </w:t>
      </w:r>
      <w:r w:rsidR="00373BC0">
        <w:rPr>
          <w:lang w:val="en-US"/>
        </w:rPr>
        <w:t>I</w:t>
      </w:r>
      <w:r w:rsidR="00373BC0" w:rsidRPr="00363F53">
        <w:rPr>
          <w:lang w:val="en-US"/>
        </w:rPr>
        <w:t>nformation</w:t>
      </w:r>
      <w:r w:rsidR="00363F53" w:rsidRPr="00363F53">
        <w:rPr>
          <w:lang w:val="en-US"/>
        </w:rPr>
        <w:t>.</w:t>
      </w:r>
      <w:r w:rsidR="00363F53" w:rsidRPr="00363F53">
        <w:rPr>
          <w:b/>
          <w:lang w:val="en-US"/>
        </w:rPr>
        <w:t xml:space="preserve"> </w:t>
      </w:r>
    </w:p>
    <w:p w14:paraId="2F026A00" w14:textId="2F715077" w:rsidR="00363F53" w:rsidRPr="00363F53" w:rsidRDefault="00363F53" w:rsidP="00363F53">
      <w:pPr>
        <w:spacing w:line="360" w:lineRule="auto"/>
        <w:jc w:val="both"/>
        <w:rPr>
          <w:b/>
          <w:lang w:val="en-US"/>
        </w:rPr>
      </w:pPr>
      <w:r>
        <w:rPr>
          <w:b/>
          <w:lang w:val="en-US"/>
        </w:rPr>
        <w:t>A</w:t>
      </w:r>
      <w:r w:rsidRPr="00363F53">
        <w:rPr>
          <w:b/>
          <w:lang w:val="en-US"/>
        </w:rPr>
        <w:t xml:space="preserve">uthor </w:t>
      </w:r>
      <w:r>
        <w:rPr>
          <w:b/>
          <w:lang w:val="en-US"/>
        </w:rPr>
        <w:t>I</w:t>
      </w:r>
      <w:r w:rsidRPr="00363F53">
        <w:rPr>
          <w:b/>
          <w:lang w:val="en-US"/>
        </w:rPr>
        <w:t>nformation</w:t>
      </w:r>
    </w:p>
    <w:p w14:paraId="0AA9466A" w14:textId="77777777" w:rsidR="00363F53" w:rsidRPr="00363F53" w:rsidRDefault="00363F53" w:rsidP="00363F53">
      <w:pPr>
        <w:spacing w:line="360" w:lineRule="auto"/>
        <w:jc w:val="both"/>
        <w:rPr>
          <w:b/>
          <w:lang w:val="en-US"/>
        </w:rPr>
      </w:pPr>
      <w:r w:rsidRPr="00363F53">
        <w:rPr>
          <w:b/>
          <w:lang w:val="en-US"/>
        </w:rPr>
        <w:t>Corresponding Author</w:t>
      </w:r>
    </w:p>
    <w:p w14:paraId="1AFEFDC4" w14:textId="77777777" w:rsidR="00363F53" w:rsidRPr="00363F53" w:rsidRDefault="00363F53" w:rsidP="00363F53">
      <w:pPr>
        <w:spacing w:line="360" w:lineRule="auto"/>
        <w:jc w:val="both"/>
        <w:rPr>
          <w:lang w:val="en-US"/>
        </w:rPr>
      </w:pPr>
      <w:r w:rsidRPr="00363F53">
        <w:rPr>
          <w:lang w:val="en-US"/>
        </w:rPr>
        <w:t xml:space="preserve">Gabriele S. Kaminski </w:t>
      </w:r>
      <w:proofErr w:type="spellStart"/>
      <w:r w:rsidRPr="00363F53">
        <w:rPr>
          <w:lang w:val="en-US"/>
        </w:rPr>
        <w:t>Schierle</w:t>
      </w:r>
      <w:proofErr w:type="spellEnd"/>
      <w:r w:rsidRPr="00363F53">
        <w:rPr>
          <w:lang w:val="en-US"/>
        </w:rPr>
        <w:t xml:space="preserve">, gsk20@cam.ac.uk </w:t>
      </w:r>
    </w:p>
    <w:p w14:paraId="435A16F4" w14:textId="77777777" w:rsidR="00363F53" w:rsidRPr="00363F53" w:rsidRDefault="00363F53" w:rsidP="00363F53">
      <w:pPr>
        <w:spacing w:line="360" w:lineRule="auto"/>
        <w:jc w:val="both"/>
        <w:rPr>
          <w:b/>
          <w:lang w:val="en-US"/>
        </w:rPr>
      </w:pPr>
      <w:r w:rsidRPr="00363F53">
        <w:rPr>
          <w:b/>
          <w:lang w:val="en-US"/>
        </w:rPr>
        <w:t>Author Contributions</w:t>
      </w:r>
    </w:p>
    <w:p w14:paraId="604E7882" w14:textId="445A849A" w:rsidR="005D335F" w:rsidRDefault="00363F53" w:rsidP="00363F53">
      <w:pPr>
        <w:spacing w:line="360" w:lineRule="auto"/>
        <w:jc w:val="both"/>
        <w:rPr>
          <w:lang w:val="en-US"/>
        </w:rPr>
      </w:pPr>
      <w:r w:rsidRPr="00363F53">
        <w:rPr>
          <w:lang w:val="en-US"/>
        </w:rPr>
        <w:t xml:space="preserve">‡A.D.S and M.Z contributed equally. </w:t>
      </w:r>
      <w:r w:rsidR="008654BD">
        <w:rPr>
          <w:lang w:val="en-US"/>
        </w:rPr>
        <w:t xml:space="preserve">G.S.K.S., A.D.S. and M.Z. conceived the manuscript. </w:t>
      </w:r>
      <w:r w:rsidR="003F77EB">
        <w:rPr>
          <w:lang w:val="en-US"/>
        </w:rPr>
        <w:t>A.D.S, M.Z</w:t>
      </w:r>
      <w:r w:rsidR="002013D5">
        <w:rPr>
          <w:lang w:val="en-US"/>
        </w:rPr>
        <w:t>,</w:t>
      </w:r>
      <w:r w:rsidR="003F77EB">
        <w:rPr>
          <w:lang w:val="en-US"/>
        </w:rPr>
        <w:t xml:space="preserve"> A.C</w:t>
      </w:r>
      <w:r w:rsidR="002013D5">
        <w:rPr>
          <w:lang w:val="en-US"/>
        </w:rPr>
        <w:t>,</w:t>
      </w:r>
      <w:r w:rsidR="003F77EB">
        <w:rPr>
          <w:lang w:val="en-US"/>
        </w:rPr>
        <w:t xml:space="preserve"> G.F prepared protein for experiments. A.D.S and M.Z performed kinetic aggregation assays</w:t>
      </w:r>
      <w:r w:rsidR="002013D5">
        <w:rPr>
          <w:lang w:val="en-US"/>
        </w:rPr>
        <w:t>.</w:t>
      </w:r>
      <w:r w:rsidR="003F77EB">
        <w:rPr>
          <w:lang w:val="en-US"/>
        </w:rPr>
        <w:t xml:space="preserve"> G.F and A. DS </w:t>
      </w:r>
      <w:r w:rsidR="002013D5">
        <w:rPr>
          <w:lang w:val="en-US"/>
        </w:rPr>
        <w:t>p</w:t>
      </w:r>
      <w:r w:rsidR="003F77EB">
        <w:rPr>
          <w:lang w:val="en-US"/>
        </w:rPr>
        <w:t>erformed NMR. M.Z</w:t>
      </w:r>
      <w:r w:rsidR="00C87F49">
        <w:rPr>
          <w:lang w:val="en-US"/>
        </w:rPr>
        <w:t xml:space="preserve"> and</w:t>
      </w:r>
      <w:r w:rsidR="003F77EB">
        <w:rPr>
          <w:lang w:val="en-US"/>
        </w:rPr>
        <w:t xml:space="preserve"> N.S performed HDX-MS. R.M performed native nano ESI-MS and native nano ESI-IM-MS. </w:t>
      </w:r>
      <w:r w:rsidR="00C87F49">
        <w:rPr>
          <w:lang w:val="en-US"/>
        </w:rPr>
        <w:t xml:space="preserve">A.D.S. performed AFM experiments aided by </w:t>
      </w:r>
      <w:r w:rsidR="003F77EB">
        <w:rPr>
          <w:lang w:val="en-US"/>
        </w:rPr>
        <w:t>I.M</w:t>
      </w:r>
      <w:r w:rsidR="002013D5">
        <w:rPr>
          <w:lang w:val="en-US"/>
        </w:rPr>
        <w:t xml:space="preserve">. </w:t>
      </w:r>
      <w:r w:rsidR="00C87F49">
        <w:rPr>
          <w:lang w:val="en-US"/>
        </w:rPr>
        <w:t xml:space="preserve">P.J.W. performed preliminary FTIR experiments not included in the final manuscript. </w:t>
      </w:r>
      <w:r w:rsidR="002013D5">
        <w:rPr>
          <w:lang w:val="en-US"/>
        </w:rPr>
        <w:t xml:space="preserve">A.D.S, M.Z, G.F, R.M, J.J.P, A. DS </w:t>
      </w:r>
      <w:proofErr w:type="spellStart"/>
      <w:r w:rsidR="002013D5">
        <w:rPr>
          <w:lang w:val="en-US"/>
        </w:rPr>
        <w:t>analysed</w:t>
      </w:r>
      <w:proofErr w:type="spellEnd"/>
      <w:r w:rsidR="002013D5">
        <w:rPr>
          <w:lang w:val="en-US"/>
        </w:rPr>
        <w:t xml:space="preserve"> data. A.D.S, M.Z, R.M, J.J.P, H.L, A. DS, F.S and G.S.K.S. </w:t>
      </w:r>
      <w:r w:rsidR="00C87F49">
        <w:rPr>
          <w:lang w:val="en-US"/>
        </w:rPr>
        <w:t>contributed</w:t>
      </w:r>
      <w:r w:rsidR="002013D5">
        <w:rPr>
          <w:lang w:val="en-US"/>
        </w:rPr>
        <w:t xml:space="preserve"> to manuscript writing. </w:t>
      </w:r>
      <w:r w:rsidRPr="00363F53">
        <w:rPr>
          <w:lang w:val="en-US"/>
        </w:rPr>
        <w:t>All authors have given approval to the final version of the manuscript.</w:t>
      </w:r>
      <w:r w:rsidR="008832B5">
        <w:rPr>
          <w:lang w:val="en-US"/>
        </w:rPr>
        <w:t xml:space="preserve"> All raw data is available on request</w:t>
      </w:r>
      <w:r w:rsidR="00744628">
        <w:rPr>
          <w:lang w:val="en-US"/>
        </w:rPr>
        <w:t xml:space="preserve"> and in the Cambridge University Repository</w:t>
      </w:r>
      <w:r w:rsidR="008832B5">
        <w:rPr>
          <w:lang w:val="en-US"/>
        </w:rPr>
        <w:t xml:space="preserve">. </w:t>
      </w:r>
    </w:p>
    <w:p w14:paraId="46C2058A" w14:textId="4C380891" w:rsidR="00744628" w:rsidRPr="00846F41" w:rsidRDefault="00744628" w:rsidP="00363F53">
      <w:pPr>
        <w:spacing w:line="360" w:lineRule="auto"/>
        <w:jc w:val="both"/>
        <w:rPr>
          <w:b/>
          <w:lang w:val="en-US"/>
        </w:rPr>
      </w:pPr>
      <w:r w:rsidRPr="00846F41">
        <w:rPr>
          <w:b/>
          <w:lang w:val="en-US"/>
        </w:rPr>
        <w:lastRenderedPageBreak/>
        <w:t>Competing Interests</w:t>
      </w:r>
    </w:p>
    <w:p w14:paraId="1CAD77CC" w14:textId="3C39F0F6" w:rsidR="00744628" w:rsidRPr="00363F53" w:rsidRDefault="00744628" w:rsidP="00363F53">
      <w:pPr>
        <w:spacing w:line="360" w:lineRule="auto"/>
        <w:jc w:val="both"/>
      </w:pPr>
      <w:r>
        <w:t>The authors declare no competing interests</w:t>
      </w:r>
    </w:p>
    <w:p w14:paraId="7D83E355" w14:textId="08E807A8" w:rsidR="00363F53" w:rsidRPr="00363F53" w:rsidRDefault="00363F53" w:rsidP="00363F53">
      <w:pPr>
        <w:spacing w:line="360" w:lineRule="auto"/>
        <w:jc w:val="both"/>
        <w:rPr>
          <w:b/>
          <w:lang w:val="en-US"/>
        </w:rPr>
      </w:pPr>
      <w:r>
        <w:rPr>
          <w:b/>
          <w:lang w:val="en-US"/>
        </w:rPr>
        <w:t>A</w:t>
      </w:r>
      <w:r w:rsidRPr="00363F53">
        <w:rPr>
          <w:b/>
          <w:lang w:val="en-US"/>
        </w:rPr>
        <w:t>cknowledgments</w:t>
      </w:r>
    </w:p>
    <w:p w14:paraId="47B53EDF" w14:textId="0031D9ED" w:rsidR="00363F53" w:rsidRPr="00363F53" w:rsidRDefault="00363F53" w:rsidP="00363F53">
      <w:pPr>
        <w:spacing w:line="360" w:lineRule="auto"/>
        <w:jc w:val="both"/>
        <w:rPr>
          <w:u w:val="words"/>
        </w:rPr>
      </w:pPr>
      <w:r w:rsidRPr="00363F53">
        <w:t xml:space="preserve">G.S.K.S. acknowledges funding from the </w:t>
      </w:r>
      <w:proofErr w:type="spellStart"/>
      <w:r w:rsidRPr="00363F53">
        <w:t>Wellcome</w:t>
      </w:r>
      <w:proofErr w:type="spellEnd"/>
      <w:r w:rsidRPr="00363F53">
        <w:t xml:space="preserve"> Trust, the UK Medical Research Council (MRC), Alzheimer Research UK (ARUK), and </w:t>
      </w:r>
      <w:proofErr w:type="spellStart"/>
      <w:r w:rsidRPr="00363F53">
        <w:t>Infinitus</w:t>
      </w:r>
      <w:proofErr w:type="spellEnd"/>
      <w:r w:rsidRPr="00363F53">
        <w:t xml:space="preserve"> China Ltd. </w:t>
      </w:r>
      <w:r w:rsidR="00744628">
        <w:t xml:space="preserve">A. DS. Acknowledges funding from the </w:t>
      </w:r>
      <w:r w:rsidR="00744628" w:rsidRPr="00744628">
        <w:t>European Research Grant 819644 "</w:t>
      </w:r>
      <w:proofErr w:type="spellStart"/>
      <w:r w:rsidR="00744628" w:rsidRPr="00744628">
        <w:t>BioDisOrder</w:t>
      </w:r>
      <w:proofErr w:type="spellEnd"/>
      <w:r w:rsidR="00744628" w:rsidRPr="00744628">
        <w:t>"</w:t>
      </w:r>
      <w:r w:rsidR="00744628">
        <w:t xml:space="preserve">. </w:t>
      </w:r>
      <w:r w:rsidRPr="00363F53">
        <w:t xml:space="preserve">A.D.S. and M.Z. acknowledge Alzheimer Research UK for travel grants. M.Z. acknowledges funding from Newnham College (Cambridge) and the George and Marie </w:t>
      </w:r>
      <w:proofErr w:type="spellStart"/>
      <w:r w:rsidRPr="00363F53">
        <w:t>Vergottis</w:t>
      </w:r>
      <w:proofErr w:type="spellEnd"/>
      <w:r w:rsidRPr="00363F53">
        <w:t xml:space="preserve"> Foundation (Cambridge Trust) and the British Biophysical Society (BSS) for travel grants. P.J.W acknowledges EPSRC funding (EP/L016087/1).</w:t>
      </w:r>
    </w:p>
    <w:p w14:paraId="05E2CBC7" w14:textId="77777777" w:rsidR="0047500D" w:rsidRDefault="0047500D" w:rsidP="00D77476">
      <w:pPr>
        <w:spacing w:line="360" w:lineRule="auto"/>
        <w:jc w:val="both"/>
        <w:rPr>
          <w:b/>
        </w:rPr>
      </w:pPr>
    </w:p>
    <w:p w14:paraId="5BFBAB2B" w14:textId="227E8E42" w:rsidR="00F7159B" w:rsidRPr="00F7159B" w:rsidRDefault="00F7159B" w:rsidP="00D77476">
      <w:pPr>
        <w:spacing w:line="360" w:lineRule="auto"/>
        <w:jc w:val="both"/>
        <w:rPr>
          <w:b/>
        </w:rPr>
      </w:pPr>
      <w:r w:rsidRPr="00F7159B">
        <w:rPr>
          <w:b/>
        </w:rPr>
        <w:t>References</w:t>
      </w:r>
    </w:p>
    <w:p w14:paraId="17573089" w14:textId="53011C80" w:rsidR="00373BC0" w:rsidRPr="00373BC0" w:rsidRDefault="00A0313B" w:rsidP="00373BC0">
      <w:pPr>
        <w:widowControl w:val="0"/>
        <w:autoSpaceDE w:val="0"/>
        <w:autoSpaceDN w:val="0"/>
        <w:adjustRightInd w:val="0"/>
        <w:spacing w:line="360" w:lineRule="auto"/>
        <w:ind w:left="640" w:hanging="640"/>
        <w:rPr>
          <w:rFonts w:ascii="Calibri" w:hAnsi="Calibri" w:cs="Calibri"/>
          <w:noProof/>
          <w:szCs w:val="24"/>
        </w:rPr>
      </w:pPr>
      <w:r>
        <w:fldChar w:fldCharType="begin" w:fldLock="1"/>
      </w:r>
      <w:r>
        <w:instrText xml:space="preserve">ADDIN Mendeley Bibliography CSL_BIBLIOGRAPHY </w:instrText>
      </w:r>
      <w:r>
        <w:fldChar w:fldCharType="separate"/>
      </w:r>
      <w:r w:rsidR="00373BC0" w:rsidRPr="00373BC0">
        <w:rPr>
          <w:rFonts w:ascii="Calibri" w:hAnsi="Calibri" w:cs="Calibri"/>
          <w:noProof/>
          <w:szCs w:val="24"/>
        </w:rPr>
        <w:t>1.</w:t>
      </w:r>
      <w:r w:rsidR="00373BC0" w:rsidRPr="00373BC0">
        <w:rPr>
          <w:rFonts w:ascii="Calibri" w:hAnsi="Calibri" w:cs="Calibri"/>
          <w:noProof/>
          <w:szCs w:val="24"/>
        </w:rPr>
        <w:tab/>
        <w:t xml:space="preserve">Shahmoradian, S. H. </w:t>
      </w:r>
      <w:r w:rsidR="00373BC0" w:rsidRPr="00373BC0">
        <w:rPr>
          <w:rFonts w:ascii="Calibri" w:hAnsi="Calibri" w:cs="Calibri"/>
          <w:i/>
          <w:iCs/>
          <w:noProof/>
          <w:szCs w:val="24"/>
        </w:rPr>
        <w:t>et al.</w:t>
      </w:r>
      <w:r w:rsidR="00373BC0" w:rsidRPr="00373BC0">
        <w:rPr>
          <w:rFonts w:ascii="Calibri" w:hAnsi="Calibri" w:cs="Calibri"/>
          <w:noProof/>
          <w:szCs w:val="24"/>
        </w:rPr>
        <w:t xml:space="preserve"> Lewy pathology in Parkinson’s disease consists of crowded organelles and lipid membranes. </w:t>
      </w:r>
      <w:r w:rsidR="00373BC0" w:rsidRPr="00373BC0">
        <w:rPr>
          <w:rFonts w:ascii="Calibri" w:hAnsi="Calibri" w:cs="Calibri"/>
          <w:i/>
          <w:iCs/>
          <w:noProof/>
          <w:szCs w:val="24"/>
        </w:rPr>
        <w:t>Nat. Neurosci.</w:t>
      </w:r>
      <w:r w:rsidR="00373BC0" w:rsidRPr="00373BC0">
        <w:rPr>
          <w:rFonts w:ascii="Calibri" w:hAnsi="Calibri" w:cs="Calibri"/>
          <w:noProof/>
          <w:szCs w:val="24"/>
        </w:rPr>
        <w:t xml:space="preserve"> </w:t>
      </w:r>
      <w:r w:rsidR="00373BC0" w:rsidRPr="00373BC0">
        <w:rPr>
          <w:rFonts w:ascii="Calibri" w:hAnsi="Calibri" w:cs="Calibri"/>
          <w:b/>
          <w:bCs/>
          <w:noProof/>
          <w:szCs w:val="24"/>
        </w:rPr>
        <w:t>22</w:t>
      </w:r>
      <w:r w:rsidR="00373BC0" w:rsidRPr="00373BC0">
        <w:rPr>
          <w:rFonts w:ascii="Calibri" w:hAnsi="Calibri" w:cs="Calibri"/>
          <w:noProof/>
          <w:szCs w:val="24"/>
        </w:rPr>
        <w:t>, 1099–1109 (2019).</w:t>
      </w:r>
    </w:p>
    <w:p w14:paraId="06EDA53F"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2.</w:t>
      </w:r>
      <w:r w:rsidRPr="00373BC0">
        <w:rPr>
          <w:rFonts w:ascii="Calibri" w:hAnsi="Calibri" w:cs="Calibri"/>
          <w:noProof/>
          <w:szCs w:val="24"/>
        </w:rPr>
        <w:tab/>
        <w:t xml:space="preserve">Mahul-Mellier, A.-L. </w:t>
      </w:r>
      <w:r w:rsidRPr="00373BC0">
        <w:rPr>
          <w:rFonts w:ascii="Calibri" w:hAnsi="Calibri" w:cs="Calibri"/>
          <w:i/>
          <w:iCs/>
          <w:noProof/>
          <w:szCs w:val="24"/>
        </w:rPr>
        <w:t>et al.</w:t>
      </w:r>
      <w:r w:rsidRPr="00373BC0">
        <w:rPr>
          <w:rFonts w:ascii="Calibri" w:hAnsi="Calibri" w:cs="Calibri"/>
          <w:noProof/>
          <w:szCs w:val="24"/>
        </w:rPr>
        <w:t xml:space="preserve"> The process of Lewy body formation, rather than simply α-synuclein fibrillization, is one of the major drivers of neurodegeneration. </w:t>
      </w:r>
      <w:r w:rsidRPr="00373BC0">
        <w:rPr>
          <w:rFonts w:ascii="Calibri" w:hAnsi="Calibri" w:cs="Calibri"/>
          <w:i/>
          <w:iCs/>
          <w:noProof/>
          <w:szCs w:val="24"/>
        </w:rPr>
        <w:t>Proc. Natl. Acad. Sci. U. S. A.</w:t>
      </w:r>
      <w:r w:rsidRPr="00373BC0">
        <w:rPr>
          <w:rFonts w:ascii="Calibri" w:hAnsi="Calibri" w:cs="Calibri"/>
          <w:noProof/>
          <w:szCs w:val="24"/>
        </w:rPr>
        <w:t xml:space="preserve"> </w:t>
      </w:r>
      <w:r w:rsidRPr="00373BC0">
        <w:rPr>
          <w:rFonts w:ascii="Calibri" w:hAnsi="Calibri" w:cs="Calibri"/>
          <w:b/>
          <w:bCs/>
          <w:noProof/>
          <w:szCs w:val="24"/>
        </w:rPr>
        <w:t>117</w:t>
      </w:r>
      <w:r w:rsidRPr="00373BC0">
        <w:rPr>
          <w:rFonts w:ascii="Calibri" w:hAnsi="Calibri" w:cs="Calibri"/>
          <w:noProof/>
          <w:szCs w:val="24"/>
        </w:rPr>
        <w:t>, 4971–4982 (2020).</w:t>
      </w:r>
    </w:p>
    <w:p w14:paraId="65E90FEE"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3.</w:t>
      </w:r>
      <w:r w:rsidRPr="00373BC0">
        <w:rPr>
          <w:rFonts w:ascii="Calibri" w:hAnsi="Calibri" w:cs="Calibri"/>
          <w:noProof/>
          <w:szCs w:val="24"/>
        </w:rPr>
        <w:tab/>
        <w:t xml:space="preserve">Lautenschläger, J., Kaminski, C. F. &amp; Kaminski Schierle, G. S. α-Synuclein – Regulator of Exocytosis, Endocytosis, or Both? </w:t>
      </w:r>
      <w:r w:rsidRPr="00373BC0">
        <w:rPr>
          <w:rFonts w:ascii="Calibri" w:hAnsi="Calibri" w:cs="Calibri"/>
          <w:i/>
          <w:iCs/>
          <w:noProof/>
          <w:szCs w:val="24"/>
        </w:rPr>
        <w:t>Trends Cell Biol.</w:t>
      </w:r>
      <w:r w:rsidRPr="00373BC0">
        <w:rPr>
          <w:rFonts w:ascii="Calibri" w:hAnsi="Calibri" w:cs="Calibri"/>
          <w:noProof/>
          <w:szCs w:val="24"/>
        </w:rPr>
        <w:t xml:space="preserve"> </w:t>
      </w:r>
      <w:r w:rsidRPr="00373BC0">
        <w:rPr>
          <w:rFonts w:ascii="Calibri" w:hAnsi="Calibri" w:cs="Calibri"/>
          <w:b/>
          <w:bCs/>
          <w:noProof/>
          <w:szCs w:val="24"/>
        </w:rPr>
        <w:t>27</w:t>
      </w:r>
      <w:r w:rsidRPr="00373BC0">
        <w:rPr>
          <w:rFonts w:ascii="Calibri" w:hAnsi="Calibri" w:cs="Calibri"/>
          <w:noProof/>
          <w:szCs w:val="24"/>
        </w:rPr>
        <w:t>, 468–479 (2017).</w:t>
      </w:r>
    </w:p>
    <w:p w14:paraId="3914FBD5"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4.</w:t>
      </w:r>
      <w:r w:rsidRPr="00373BC0">
        <w:rPr>
          <w:rFonts w:ascii="Calibri" w:hAnsi="Calibri" w:cs="Calibri"/>
          <w:noProof/>
          <w:szCs w:val="24"/>
        </w:rPr>
        <w:tab/>
        <w:t xml:space="preserve">Logan, T., Bendor, J., Toupin, C., Thorn, K. &amp; Edwards, R. H. α-Synuclein promotes dilation of the exocytotic fusion pore. </w:t>
      </w:r>
      <w:r w:rsidRPr="00373BC0">
        <w:rPr>
          <w:rFonts w:ascii="Calibri" w:hAnsi="Calibri" w:cs="Calibri"/>
          <w:i/>
          <w:iCs/>
          <w:noProof/>
          <w:szCs w:val="24"/>
        </w:rPr>
        <w:t>Nat. Neurosci.</w:t>
      </w:r>
      <w:r w:rsidRPr="00373BC0">
        <w:rPr>
          <w:rFonts w:ascii="Calibri" w:hAnsi="Calibri" w:cs="Calibri"/>
          <w:noProof/>
          <w:szCs w:val="24"/>
        </w:rPr>
        <w:t xml:space="preserve"> </w:t>
      </w:r>
      <w:r w:rsidRPr="00373BC0">
        <w:rPr>
          <w:rFonts w:ascii="Calibri" w:hAnsi="Calibri" w:cs="Calibri"/>
          <w:b/>
          <w:bCs/>
          <w:noProof/>
          <w:szCs w:val="24"/>
        </w:rPr>
        <w:t>20</w:t>
      </w:r>
      <w:r w:rsidRPr="00373BC0">
        <w:rPr>
          <w:rFonts w:ascii="Calibri" w:hAnsi="Calibri" w:cs="Calibri"/>
          <w:noProof/>
          <w:szCs w:val="24"/>
        </w:rPr>
        <w:t>, 681–689 (2017).</w:t>
      </w:r>
    </w:p>
    <w:p w14:paraId="750DFEC8"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5.</w:t>
      </w:r>
      <w:r w:rsidRPr="00373BC0">
        <w:rPr>
          <w:rFonts w:ascii="Calibri" w:hAnsi="Calibri" w:cs="Calibri"/>
          <w:noProof/>
          <w:szCs w:val="24"/>
        </w:rPr>
        <w:tab/>
        <w:t xml:space="preserve">Uversky, V. N. </w:t>
      </w:r>
      <w:r w:rsidRPr="00373BC0">
        <w:rPr>
          <w:rFonts w:ascii="Calibri" w:hAnsi="Calibri" w:cs="Calibri"/>
          <w:i/>
          <w:iCs/>
          <w:noProof/>
          <w:szCs w:val="24"/>
        </w:rPr>
        <w:t>et al.</w:t>
      </w:r>
      <w:r w:rsidRPr="00373BC0">
        <w:rPr>
          <w:rFonts w:ascii="Calibri" w:hAnsi="Calibri" w:cs="Calibri"/>
          <w:noProof/>
          <w:szCs w:val="24"/>
        </w:rPr>
        <w:t xml:space="preserve"> Biophysical Properties of the Synucleins and Their Propensities to Fibrillate. </w:t>
      </w:r>
      <w:r w:rsidRPr="00373BC0">
        <w:rPr>
          <w:rFonts w:ascii="Calibri" w:hAnsi="Calibri" w:cs="Calibri"/>
          <w:i/>
          <w:iCs/>
          <w:noProof/>
          <w:szCs w:val="24"/>
        </w:rPr>
        <w:t>J. Biol. Chem.</w:t>
      </w:r>
      <w:r w:rsidRPr="00373BC0">
        <w:rPr>
          <w:rFonts w:ascii="Calibri" w:hAnsi="Calibri" w:cs="Calibri"/>
          <w:noProof/>
          <w:szCs w:val="24"/>
        </w:rPr>
        <w:t xml:space="preserve"> </w:t>
      </w:r>
      <w:r w:rsidRPr="00373BC0">
        <w:rPr>
          <w:rFonts w:ascii="Calibri" w:hAnsi="Calibri" w:cs="Calibri"/>
          <w:b/>
          <w:bCs/>
          <w:noProof/>
          <w:szCs w:val="24"/>
        </w:rPr>
        <w:t>277</w:t>
      </w:r>
      <w:r w:rsidRPr="00373BC0">
        <w:rPr>
          <w:rFonts w:ascii="Calibri" w:hAnsi="Calibri" w:cs="Calibri"/>
          <w:noProof/>
          <w:szCs w:val="24"/>
        </w:rPr>
        <w:t>, 11970–11978 (2002).</w:t>
      </w:r>
    </w:p>
    <w:p w14:paraId="34F427C8"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6.</w:t>
      </w:r>
      <w:r w:rsidRPr="00373BC0">
        <w:rPr>
          <w:rFonts w:ascii="Calibri" w:hAnsi="Calibri" w:cs="Calibri"/>
          <w:noProof/>
          <w:szCs w:val="24"/>
        </w:rPr>
        <w:tab/>
        <w:t xml:space="preserve">Stephens, A. D., Zacharopoulou, M. &amp; Kaminski Schierle, G. S. The Cellular Environment Affects Monomeric α-Synuclein Structure. </w:t>
      </w:r>
      <w:r w:rsidRPr="00373BC0">
        <w:rPr>
          <w:rFonts w:ascii="Calibri" w:hAnsi="Calibri" w:cs="Calibri"/>
          <w:i/>
          <w:iCs/>
          <w:noProof/>
          <w:szCs w:val="24"/>
        </w:rPr>
        <w:t>Trends Biochem. Sci.</w:t>
      </w:r>
      <w:r w:rsidRPr="00373BC0">
        <w:rPr>
          <w:rFonts w:ascii="Calibri" w:hAnsi="Calibri" w:cs="Calibri"/>
          <w:noProof/>
          <w:szCs w:val="24"/>
        </w:rPr>
        <w:t xml:space="preserve"> </w:t>
      </w:r>
      <w:r w:rsidRPr="00373BC0">
        <w:rPr>
          <w:rFonts w:ascii="Calibri" w:hAnsi="Calibri" w:cs="Calibri"/>
          <w:b/>
          <w:bCs/>
          <w:noProof/>
          <w:szCs w:val="24"/>
        </w:rPr>
        <w:t>44</w:t>
      </w:r>
      <w:r w:rsidRPr="00373BC0">
        <w:rPr>
          <w:rFonts w:ascii="Calibri" w:hAnsi="Calibri" w:cs="Calibri"/>
          <w:noProof/>
          <w:szCs w:val="24"/>
        </w:rPr>
        <w:t>, 453–466 (2019).</w:t>
      </w:r>
    </w:p>
    <w:p w14:paraId="15A6F781"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7.</w:t>
      </w:r>
      <w:r w:rsidRPr="00373BC0">
        <w:rPr>
          <w:rFonts w:ascii="Calibri" w:hAnsi="Calibri" w:cs="Calibri"/>
          <w:noProof/>
          <w:szCs w:val="24"/>
        </w:rPr>
        <w:tab/>
        <w:t xml:space="preserve">Giasson, B. I., Murray, I. V, Trojanowski, J. Q. &amp; Lee, V. M. A hydrophobic stretch of 12 amino acid residues in the middle of alpha-synuclein is essential for filament assembly. </w:t>
      </w:r>
      <w:r w:rsidRPr="00373BC0">
        <w:rPr>
          <w:rFonts w:ascii="Calibri" w:hAnsi="Calibri" w:cs="Calibri"/>
          <w:i/>
          <w:iCs/>
          <w:noProof/>
          <w:szCs w:val="24"/>
        </w:rPr>
        <w:t>J. Biol. Chem.</w:t>
      </w:r>
      <w:r w:rsidRPr="00373BC0">
        <w:rPr>
          <w:rFonts w:ascii="Calibri" w:hAnsi="Calibri" w:cs="Calibri"/>
          <w:noProof/>
          <w:szCs w:val="24"/>
        </w:rPr>
        <w:t xml:space="preserve"> </w:t>
      </w:r>
      <w:r w:rsidRPr="00373BC0">
        <w:rPr>
          <w:rFonts w:ascii="Calibri" w:hAnsi="Calibri" w:cs="Calibri"/>
          <w:b/>
          <w:bCs/>
          <w:noProof/>
          <w:szCs w:val="24"/>
        </w:rPr>
        <w:t>276</w:t>
      </w:r>
      <w:r w:rsidRPr="00373BC0">
        <w:rPr>
          <w:rFonts w:ascii="Calibri" w:hAnsi="Calibri" w:cs="Calibri"/>
          <w:noProof/>
          <w:szCs w:val="24"/>
        </w:rPr>
        <w:t>, 2380–6 (2001).</w:t>
      </w:r>
    </w:p>
    <w:p w14:paraId="4171CD28"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8.</w:t>
      </w:r>
      <w:r w:rsidRPr="00373BC0">
        <w:rPr>
          <w:rFonts w:ascii="Calibri" w:hAnsi="Calibri" w:cs="Calibri"/>
          <w:noProof/>
          <w:szCs w:val="24"/>
        </w:rPr>
        <w:tab/>
        <w:t xml:space="preserve">Binolfi, A. </w:t>
      </w:r>
      <w:r w:rsidRPr="00373BC0">
        <w:rPr>
          <w:rFonts w:ascii="Calibri" w:hAnsi="Calibri" w:cs="Calibri"/>
          <w:i/>
          <w:iCs/>
          <w:noProof/>
          <w:szCs w:val="24"/>
        </w:rPr>
        <w:t>et al.</w:t>
      </w:r>
      <w:r w:rsidRPr="00373BC0">
        <w:rPr>
          <w:rFonts w:ascii="Calibri" w:hAnsi="Calibri" w:cs="Calibri"/>
          <w:noProof/>
          <w:szCs w:val="24"/>
        </w:rPr>
        <w:t xml:space="preserve"> Interaction of α-synuclein with divalent metal ions reveals key differences: A link between structure, binding specificity and fibrillation enhancement. </w:t>
      </w:r>
      <w:r w:rsidRPr="00373BC0">
        <w:rPr>
          <w:rFonts w:ascii="Calibri" w:hAnsi="Calibri" w:cs="Calibri"/>
          <w:i/>
          <w:iCs/>
          <w:noProof/>
          <w:szCs w:val="24"/>
        </w:rPr>
        <w:t>J. Am. Chem. Soc.</w:t>
      </w:r>
      <w:r w:rsidRPr="00373BC0">
        <w:rPr>
          <w:rFonts w:ascii="Calibri" w:hAnsi="Calibri" w:cs="Calibri"/>
          <w:noProof/>
          <w:szCs w:val="24"/>
        </w:rPr>
        <w:t xml:space="preserve"> </w:t>
      </w:r>
      <w:r w:rsidRPr="00373BC0">
        <w:rPr>
          <w:rFonts w:ascii="Calibri" w:hAnsi="Calibri" w:cs="Calibri"/>
          <w:b/>
          <w:bCs/>
          <w:noProof/>
          <w:szCs w:val="24"/>
        </w:rPr>
        <w:lastRenderedPageBreak/>
        <w:t>128</w:t>
      </w:r>
      <w:r w:rsidRPr="00373BC0">
        <w:rPr>
          <w:rFonts w:ascii="Calibri" w:hAnsi="Calibri" w:cs="Calibri"/>
          <w:noProof/>
          <w:szCs w:val="24"/>
        </w:rPr>
        <w:t>, 9893–9901 (2006).</w:t>
      </w:r>
    </w:p>
    <w:p w14:paraId="45D84156"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9.</w:t>
      </w:r>
      <w:r w:rsidRPr="00373BC0">
        <w:rPr>
          <w:rFonts w:ascii="Calibri" w:hAnsi="Calibri" w:cs="Calibri"/>
          <w:noProof/>
          <w:szCs w:val="24"/>
        </w:rPr>
        <w:tab/>
        <w:t xml:space="preserve">Polymeropoulos, M. H. </w:t>
      </w:r>
      <w:r w:rsidRPr="00373BC0">
        <w:rPr>
          <w:rFonts w:ascii="Calibri" w:hAnsi="Calibri" w:cs="Calibri"/>
          <w:i/>
          <w:iCs/>
          <w:noProof/>
          <w:szCs w:val="24"/>
        </w:rPr>
        <w:t>et al.</w:t>
      </w:r>
      <w:r w:rsidRPr="00373BC0">
        <w:rPr>
          <w:rFonts w:ascii="Calibri" w:hAnsi="Calibri" w:cs="Calibri"/>
          <w:noProof/>
          <w:szCs w:val="24"/>
        </w:rPr>
        <w:t xml:space="preserve"> Mutation in the α-synuclein gene identified in families with Parkinson’s disease. </w:t>
      </w:r>
      <w:r w:rsidRPr="00373BC0">
        <w:rPr>
          <w:rFonts w:ascii="Calibri" w:hAnsi="Calibri" w:cs="Calibri"/>
          <w:i/>
          <w:iCs/>
          <w:noProof/>
          <w:szCs w:val="24"/>
        </w:rPr>
        <w:t>Science (80-. ).</w:t>
      </w:r>
      <w:r w:rsidRPr="00373BC0">
        <w:rPr>
          <w:rFonts w:ascii="Calibri" w:hAnsi="Calibri" w:cs="Calibri"/>
          <w:noProof/>
          <w:szCs w:val="24"/>
        </w:rPr>
        <w:t xml:space="preserve"> </w:t>
      </w:r>
      <w:r w:rsidRPr="00373BC0">
        <w:rPr>
          <w:rFonts w:ascii="Calibri" w:hAnsi="Calibri" w:cs="Calibri"/>
          <w:b/>
          <w:bCs/>
          <w:noProof/>
          <w:szCs w:val="24"/>
        </w:rPr>
        <w:t>276</w:t>
      </w:r>
      <w:r w:rsidRPr="00373BC0">
        <w:rPr>
          <w:rFonts w:ascii="Calibri" w:hAnsi="Calibri" w:cs="Calibri"/>
          <w:noProof/>
          <w:szCs w:val="24"/>
        </w:rPr>
        <w:t>, 2045–2047 (1997).</w:t>
      </w:r>
    </w:p>
    <w:p w14:paraId="144F56DD"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10.</w:t>
      </w:r>
      <w:r w:rsidRPr="00373BC0">
        <w:rPr>
          <w:rFonts w:ascii="Calibri" w:hAnsi="Calibri" w:cs="Calibri"/>
          <w:noProof/>
          <w:szCs w:val="24"/>
        </w:rPr>
        <w:tab/>
        <w:t xml:space="preserve">Krüger, R. </w:t>
      </w:r>
      <w:r w:rsidRPr="00373BC0">
        <w:rPr>
          <w:rFonts w:ascii="Calibri" w:hAnsi="Calibri" w:cs="Calibri"/>
          <w:i/>
          <w:iCs/>
          <w:noProof/>
          <w:szCs w:val="24"/>
        </w:rPr>
        <w:t>et al.</w:t>
      </w:r>
      <w:r w:rsidRPr="00373BC0">
        <w:rPr>
          <w:rFonts w:ascii="Calibri" w:hAnsi="Calibri" w:cs="Calibri"/>
          <w:noProof/>
          <w:szCs w:val="24"/>
        </w:rPr>
        <w:t xml:space="preserve"> Ala30Pro mutation in the gene encoding α-synuclein in Parkinson’s disease. </w:t>
      </w:r>
      <w:r w:rsidRPr="00373BC0">
        <w:rPr>
          <w:rFonts w:ascii="Calibri" w:hAnsi="Calibri" w:cs="Calibri"/>
          <w:i/>
          <w:iCs/>
          <w:noProof/>
          <w:szCs w:val="24"/>
        </w:rPr>
        <w:t>Nat. Genet.</w:t>
      </w:r>
      <w:r w:rsidRPr="00373BC0">
        <w:rPr>
          <w:rFonts w:ascii="Calibri" w:hAnsi="Calibri" w:cs="Calibri"/>
          <w:noProof/>
          <w:szCs w:val="24"/>
        </w:rPr>
        <w:t xml:space="preserve"> </w:t>
      </w:r>
      <w:r w:rsidRPr="00373BC0">
        <w:rPr>
          <w:rFonts w:ascii="Calibri" w:hAnsi="Calibri" w:cs="Calibri"/>
          <w:b/>
          <w:bCs/>
          <w:noProof/>
          <w:szCs w:val="24"/>
        </w:rPr>
        <w:t>18</w:t>
      </w:r>
      <w:r w:rsidRPr="00373BC0">
        <w:rPr>
          <w:rFonts w:ascii="Calibri" w:hAnsi="Calibri" w:cs="Calibri"/>
          <w:noProof/>
          <w:szCs w:val="24"/>
        </w:rPr>
        <w:t>, 106–108 (1998).</w:t>
      </w:r>
    </w:p>
    <w:p w14:paraId="42C40EDD"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11.</w:t>
      </w:r>
      <w:r w:rsidRPr="00373BC0">
        <w:rPr>
          <w:rFonts w:ascii="Calibri" w:hAnsi="Calibri" w:cs="Calibri"/>
          <w:noProof/>
          <w:szCs w:val="24"/>
        </w:rPr>
        <w:tab/>
        <w:t xml:space="preserve">Zarranz, J. J. </w:t>
      </w:r>
      <w:r w:rsidRPr="00373BC0">
        <w:rPr>
          <w:rFonts w:ascii="Calibri" w:hAnsi="Calibri" w:cs="Calibri"/>
          <w:i/>
          <w:iCs/>
          <w:noProof/>
          <w:szCs w:val="24"/>
        </w:rPr>
        <w:t>et al.</w:t>
      </w:r>
      <w:r w:rsidRPr="00373BC0">
        <w:rPr>
          <w:rFonts w:ascii="Calibri" w:hAnsi="Calibri" w:cs="Calibri"/>
          <w:noProof/>
          <w:szCs w:val="24"/>
        </w:rPr>
        <w:t xml:space="preserve"> The new mutation, E46K, of α-synuclein causes parkinson and Lewy body dementia. </w:t>
      </w:r>
      <w:r w:rsidRPr="00373BC0">
        <w:rPr>
          <w:rFonts w:ascii="Calibri" w:hAnsi="Calibri" w:cs="Calibri"/>
          <w:i/>
          <w:iCs/>
          <w:noProof/>
          <w:szCs w:val="24"/>
        </w:rPr>
        <w:t>Ann. Neurol.</w:t>
      </w:r>
      <w:r w:rsidRPr="00373BC0">
        <w:rPr>
          <w:rFonts w:ascii="Calibri" w:hAnsi="Calibri" w:cs="Calibri"/>
          <w:noProof/>
          <w:szCs w:val="24"/>
        </w:rPr>
        <w:t xml:space="preserve"> </w:t>
      </w:r>
      <w:r w:rsidRPr="00373BC0">
        <w:rPr>
          <w:rFonts w:ascii="Calibri" w:hAnsi="Calibri" w:cs="Calibri"/>
          <w:b/>
          <w:bCs/>
          <w:noProof/>
          <w:szCs w:val="24"/>
        </w:rPr>
        <w:t>55</w:t>
      </w:r>
      <w:r w:rsidRPr="00373BC0">
        <w:rPr>
          <w:rFonts w:ascii="Calibri" w:hAnsi="Calibri" w:cs="Calibri"/>
          <w:noProof/>
          <w:szCs w:val="24"/>
        </w:rPr>
        <w:t>, 164–173 (2004).</w:t>
      </w:r>
    </w:p>
    <w:p w14:paraId="767AFF10"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12.</w:t>
      </w:r>
      <w:r w:rsidRPr="00373BC0">
        <w:rPr>
          <w:rFonts w:ascii="Calibri" w:hAnsi="Calibri" w:cs="Calibri"/>
          <w:noProof/>
          <w:szCs w:val="24"/>
        </w:rPr>
        <w:tab/>
        <w:t xml:space="preserve">Proukakis, C. </w:t>
      </w:r>
      <w:r w:rsidRPr="00373BC0">
        <w:rPr>
          <w:rFonts w:ascii="Calibri" w:hAnsi="Calibri" w:cs="Calibri"/>
          <w:i/>
          <w:iCs/>
          <w:noProof/>
          <w:szCs w:val="24"/>
        </w:rPr>
        <w:t>et al.</w:t>
      </w:r>
      <w:r w:rsidRPr="00373BC0">
        <w:rPr>
          <w:rFonts w:ascii="Calibri" w:hAnsi="Calibri" w:cs="Calibri"/>
          <w:noProof/>
          <w:szCs w:val="24"/>
        </w:rPr>
        <w:t xml:space="preserve"> A novel α-synuclein missense mutation in Parkinson disease. </w:t>
      </w:r>
      <w:r w:rsidRPr="00373BC0">
        <w:rPr>
          <w:rFonts w:ascii="Calibri" w:hAnsi="Calibri" w:cs="Calibri"/>
          <w:i/>
          <w:iCs/>
          <w:noProof/>
          <w:szCs w:val="24"/>
        </w:rPr>
        <w:t>Neurology</w:t>
      </w:r>
      <w:r w:rsidRPr="00373BC0">
        <w:rPr>
          <w:rFonts w:ascii="Calibri" w:hAnsi="Calibri" w:cs="Calibri"/>
          <w:noProof/>
          <w:szCs w:val="24"/>
        </w:rPr>
        <w:t xml:space="preserve"> </w:t>
      </w:r>
      <w:r w:rsidRPr="00373BC0">
        <w:rPr>
          <w:rFonts w:ascii="Calibri" w:hAnsi="Calibri" w:cs="Calibri"/>
          <w:b/>
          <w:bCs/>
          <w:noProof/>
          <w:szCs w:val="24"/>
        </w:rPr>
        <w:t>80</w:t>
      </w:r>
      <w:r w:rsidRPr="00373BC0">
        <w:rPr>
          <w:rFonts w:ascii="Calibri" w:hAnsi="Calibri" w:cs="Calibri"/>
          <w:noProof/>
          <w:szCs w:val="24"/>
        </w:rPr>
        <w:t>, 1062–1064 (2013).</w:t>
      </w:r>
    </w:p>
    <w:p w14:paraId="6797ED4A"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13.</w:t>
      </w:r>
      <w:r w:rsidRPr="00373BC0">
        <w:rPr>
          <w:rFonts w:ascii="Calibri" w:hAnsi="Calibri" w:cs="Calibri"/>
          <w:noProof/>
          <w:szCs w:val="24"/>
        </w:rPr>
        <w:tab/>
        <w:t xml:space="preserve">Appel-Cresswell, S. </w:t>
      </w:r>
      <w:r w:rsidRPr="00373BC0">
        <w:rPr>
          <w:rFonts w:ascii="Calibri" w:hAnsi="Calibri" w:cs="Calibri"/>
          <w:i/>
          <w:iCs/>
          <w:noProof/>
          <w:szCs w:val="24"/>
        </w:rPr>
        <w:t>et al.</w:t>
      </w:r>
      <w:r w:rsidRPr="00373BC0">
        <w:rPr>
          <w:rFonts w:ascii="Calibri" w:hAnsi="Calibri" w:cs="Calibri"/>
          <w:noProof/>
          <w:szCs w:val="24"/>
        </w:rPr>
        <w:t xml:space="preserve"> Alpha-synuclein p.H50Q, a novel pathogenic mutation for Parkinson’s disease. </w:t>
      </w:r>
      <w:r w:rsidRPr="00373BC0">
        <w:rPr>
          <w:rFonts w:ascii="Calibri" w:hAnsi="Calibri" w:cs="Calibri"/>
          <w:i/>
          <w:iCs/>
          <w:noProof/>
          <w:szCs w:val="24"/>
        </w:rPr>
        <w:t>Mov. Disord.</w:t>
      </w:r>
      <w:r w:rsidRPr="00373BC0">
        <w:rPr>
          <w:rFonts w:ascii="Calibri" w:hAnsi="Calibri" w:cs="Calibri"/>
          <w:noProof/>
          <w:szCs w:val="24"/>
        </w:rPr>
        <w:t xml:space="preserve"> </w:t>
      </w:r>
      <w:r w:rsidRPr="00373BC0">
        <w:rPr>
          <w:rFonts w:ascii="Calibri" w:hAnsi="Calibri" w:cs="Calibri"/>
          <w:b/>
          <w:bCs/>
          <w:noProof/>
          <w:szCs w:val="24"/>
        </w:rPr>
        <w:t>28</w:t>
      </w:r>
      <w:r w:rsidRPr="00373BC0">
        <w:rPr>
          <w:rFonts w:ascii="Calibri" w:hAnsi="Calibri" w:cs="Calibri"/>
          <w:noProof/>
          <w:szCs w:val="24"/>
        </w:rPr>
        <w:t>, 811–813 (2013).</w:t>
      </w:r>
    </w:p>
    <w:p w14:paraId="4A77200D"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14.</w:t>
      </w:r>
      <w:r w:rsidRPr="00373BC0">
        <w:rPr>
          <w:rFonts w:ascii="Calibri" w:hAnsi="Calibri" w:cs="Calibri"/>
          <w:noProof/>
          <w:szCs w:val="24"/>
        </w:rPr>
        <w:tab/>
        <w:t xml:space="preserve">Lesage, S. </w:t>
      </w:r>
      <w:r w:rsidRPr="00373BC0">
        <w:rPr>
          <w:rFonts w:ascii="Calibri" w:hAnsi="Calibri" w:cs="Calibri"/>
          <w:i/>
          <w:iCs/>
          <w:noProof/>
          <w:szCs w:val="24"/>
        </w:rPr>
        <w:t>et al.</w:t>
      </w:r>
      <w:r w:rsidRPr="00373BC0">
        <w:rPr>
          <w:rFonts w:ascii="Calibri" w:hAnsi="Calibri" w:cs="Calibri"/>
          <w:noProof/>
          <w:szCs w:val="24"/>
        </w:rPr>
        <w:t xml:space="preserve"> G51D α-synuclein mutation causes a novel Parkinsonian-pyramidal syndrome. </w:t>
      </w:r>
      <w:r w:rsidRPr="00373BC0">
        <w:rPr>
          <w:rFonts w:ascii="Calibri" w:hAnsi="Calibri" w:cs="Calibri"/>
          <w:i/>
          <w:iCs/>
          <w:noProof/>
          <w:szCs w:val="24"/>
        </w:rPr>
        <w:t>Ann. Neurol.</w:t>
      </w:r>
      <w:r w:rsidRPr="00373BC0">
        <w:rPr>
          <w:rFonts w:ascii="Calibri" w:hAnsi="Calibri" w:cs="Calibri"/>
          <w:noProof/>
          <w:szCs w:val="24"/>
        </w:rPr>
        <w:t xml:space="preserve"> </w:t>
      </w:r>
      <w:r w:rsidRPr="00373BC0">
        <w:rPr>
          <w:rFonts w:ascii="Calibri" w:hAnsi="Calibri" w:cs="Calibri"/>
          <w:b/>
          <w:bCs/>
          <w:noProof/>
          <w:szCs w:val="24"/>
        </w:rPr>
        <w:t>73</w:t>
      </w:r>
      <w:r w:rsidRPr="00373BC0">
        <w:rPr>
          <w:rFonts w:ascii="Calibri" w:hAnsi="Calibri" w:cs="Calibri"/>
          <w:noProof/>
          <w:szCs w:val="24"/>
        </w:rPr>
        <w:t>, 459–471 (2013).</w:t>
      </w:r>
    </w:p>
    <w:p w14:paraId="57156957"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15.</w:t>
      </w:r>
      <w:r w:rsidRPr="00373BC0">
        <w:rPr>
          <w:rFonts w:ascii="Calibri" w:hAnsi="Calibri" w:cs="Calibri"/>
          <w:noProof/>
          <w:szCs w:val="24"/>
        </w:rPr>
        <w:tab/>
        <w:t xml:space="preserve">Pasanen, P. </w:t>
      </w:r>
      <w:r w:rsidRPr="00373BC0">
        <w:rPr>
          <w:rFonts w:ascii="Calibri" w:hAnsi="Calibri" w:cs="Calibri"/>
          <w:i/>
          <w:iCs/>
          <w:noProof/>
          <w:szCs w:val="24"/>
        </w:rPr>
        <w:t>et al.</w:t>
      </w:r>
      <w:r w:rsidRPr="00373BC0">
        <w:rPr>
          <w:rFonts w:ascii="Calibri" w:hAnsi="Calibri" w:cs="Calibri"/>
          <w:noProof/>
          <w:szCs w:val="24"/>
        </w:rPr>
        <w:t xml:space="preserve"> A novel α-synuclein mutation A53E associated with atypical multiple system atrophy and Parkinson’s disease-type pathology. </w:t>
      </w:r>
      <w:r w:rsidRPr="00373BC0">
        <w:rPr>
          <w:rFonts w:ascii="Calibri" w:hAnsi="Calibri" w:cs="Calibri"/>
          <w:i/>
          <w:iCs/>
          <w:noProof/>
          <w:szCs w:val="24"/>
        </w:rPr>
        <w:t>Neurobiol. Aging</w:t>
      </w:r>
      <w:r w:rsidRPr="00373BC0">
        <w:rPr>
          <w:rFonts w:ascii="Calibri" w:hAnsi="Calibri" w:cs="Calibri"/>
          <w:noProof/>
          <w:szCs w:val="24"/>
        </w:rPr>
        <w:t xml:space="preserve"> </w:t>
      </w:r>
      <w:r w:rsidRPr="00373BC0">
        <w:rPr>
          <w:rFonts w:ascii="Calibri" w:hAnsi="Calibri" w:cs="Calibri"/>
          <w:b/>
          <w:bCs/>
          <w:noProof/>
          <w:szCs w:val="24"/>
        </w:rPr>
        <w:t>35</w:t>
      </w:r>
      <w:r w:rsidRPr="00373BC0">
        <w:rPr>
          <w:rFonts w:ascii="Calibri" w:hAnsi="Calibri" w:cs="Calibri"/>
          <w:noProof/>
          <w:szCs w:val="24"/>
        </w:rPr>
        <w:t>, 2180.e1-2180.e5 (2014).</w:t>
      </w:r>
    </w:p>
    <w:p w14:paraId="6B77078B"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16.</w:t>
      </w:r>
      <w:r w:rsidRPr="00373BC0">
        <w:rPr>
          <w:rFonts w:ascii="Calibri" w:hAnsi="Calibri" w:cs="Calibri"/>
          <w:noProof/>
          <w:szCs w:val="24"/>
        </w:rPr>
        <w:tab/>
        <w:t xml:space="preserve">Lill, C. M. Genetics of Parkinson’s disease. </w:t>
      </w:r>
      <w:r w:rsidRPr="00373BC0">
        <w:rPr>
          <w:rFonts w:ascii="Calibri" w:hAnsi="Calibri" w:cs="Calibri"/>
          <w:i/>
          <w:iCs/>
          <w:noProof/>
          <w:szCs w:val="24"/>
        </w:rPr>
        <w:t>Mol. Cell. Probes</w:t>
      </w:r>
      <w:r w:rsidRPr="00373BC0">
        <w:rPr>
          <w:rFonts w:ascii="Calibri" w:hAnsi="Calibri" w:cs="Calibri"/>
          <w:noProof/>
          <w:szCs w:val="24"/>
        </w:rPr>
        <w:t xml:space="preserve"> </w:t>
      </w:r>
      <w:r w:rsidRPr="00373BC0">
        <w:rPr>
          <w:rFonts w:ascii="Calibri" w:hAnsi="Calibri" w:cs="Calibri"/>
          <w:b/>
          <w:bCs/>
          <w:noProof/>
          <w:szCs w:val="24"/>
        </w:rPr>
        <w:t>30</w:t>
      </w:r>
      <w:r w:rsidRPr="00373BC0">
        <w:rPr>
          <w:rFonts w:ascii="Calibri" w:hAnsi="Calibri" w:cs="Calibri"/>
          <w:noProof/>
          <w:szCs w:val="24"/>
        </w:rPr>
        <w:t>, 386–396 (2016).</w:t>
      </w:r>
    </w:p>
    <w:p w14:paraId="506950A3"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17.</w:t>
      </w:r>
      <w:r w:rsidRPr="00373BC0">
        <w:rPr>
          <w:rFonts w:ascii="Calibri" w:hAnsi="Calibri" w:cs="Calibri"/>
          <w:noProof/>
          <w:szCs w:val="24"/>
        </w:rPr>
        <w:tab/>
        <w:t xml:space="preserve">Wu, K. P. &amp; Baum, J. Detection of transient interchain interactions in the intrinsically disordered protein α-synuclein by NMR paramagnetic relaxation enhancement. </w:t>
      </w:r>
      <w:r w:rsidRPr="00373BC0">
        <w:rPr>
          <w:rFonts w:ascii="Calibri" w:hAnsi="Calibri" w:cs="Calibri"/>
          <w:i/>
          <w:iCs/>
          <w:noProof/>
          <w:szCs w:val="24"/>
        </w:rPr>
        <w:t>J. Am. Chem. Soc.</w:t>
      </w:r>
      <w:r w:rsidRPr="00373BC0">
        <w:rPr>
          <w:rFonts w:ascii="Calibri" w:hAnsi="Calibri" w:cs="Calibri"/>
          <w:noProof/>
          <w:szCs w:val="24"/>
        </w:rPr>
        <w:t xml:space="preserve"> </w:t>
      </w:r>
      <w:r w:rsidRPr="00373BC0">
        <w:rPr>
          <w:rFonts w:ascii="Calibri" w:hAnsi="Calibri" w:cs="Calibri"/>
          <w:b/>
          <w:bCs/>
          <w:noProof/>
          <w:szCs w:val="24"/>
        </w:rPr>
        <w:t>132</w:t>
      </w:r>
      <w:r w:rsidRPr="00373BC0">
        <w:rPr>
          <w:rFonts w:ascii="Calibri" w:hAnsi="Calibri" w:cs="Calibri"/>
          <w:noProof/>
          <w:szCs w:val="24"/>
        </w:rPr>
        <w:t>, 5546–5547 (2010).</w:t>
      </w:r>
    </w:p>
    <w:p w14:paraId="734761D7"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18.</w:t>
      </w:r>
      <w:r w:rsidRPr="00373BC0">
        <w:rPr>
          <w:rFonts w:ascii="Calibri" w:hAnsi="Calibri" w:cs="Calibri"/>
          <w:noProof/>
          <w:szCs w:val="24"/>
        </w:rPr>
        <w:tab/>
        <w:t xml:space="preserve">Stephens, A. </w:t>
      </w:r>
      <w:r w:rsidRPr="00373BC0">
        <w:rPr>
          <w:rFonts w:ascii="Calibri" w:hAnsi="Calibri" w:cs="Calibri"/>
          <w:i/>
          <w:iCs/>
          <w:noProof/>
          <w:szCs w:val="24"/>
        </w:rPr>
        <w:t>et al.</w:t>
      </w:r>
      <w:r w:rsidRPr="00373BC0">
        <w:rPr>
          <w:rFonts w:ascii="Calibri" w:hAnsi="Calibri" w:cs="Calibri"/>
          <w:noProof/>
          <w:szCs w:val="24"/>
        </w:rPr>
        <w:t xml:space="preserve"> Different structural conformers of monomeric alpha- synuclein identified after lyophilising and freezing. </w:t>
      </w:r>
      <w:r w:rsidRPr="00373BC0">
        <w:rPr>
          <w:rFonts w:ascii="Calibri" w:hAnsi="Calibri" w:cs="Calibri"/>
          <w:i/>
          <w:iCs/>
          <w:noProof/>
          <w:szCs w:val="24"/>
        </w:rPr>
        <w:t>Anal. Chem.</w:t>
      </w:r>
      <w:r w:rsidRPr="00373BC0">
        <w:rPr>
          <w:rFonts w:ascii="Calibri" w:hAnsi="Calibri" w:cs="Calibri"/>
          <w:noProof/>
          <w:szCs w:val="24"/>
        </w:rPr>
        <w:t xml:space="preserve"> acs.analchem.8b01264 (2018). doi:10.1021/acs.analchem.8b01264</w:t>
      </w:r>
    </w:p>
    <w:p w14:paraId="14817323"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19.</w:t>
      </w:r>
      <w:r w:rsidRPr="00373BC0">
        <w:rPr>
          <w:rFonts w:ascii="Calibri" w:hAnsi="Calibri" w:cs="Calibri"/>
          <w:noProof/>
          <w:szCs w:val="24"/>
        </w:rPr>
        <w:tab/>
        <w:t xml:space="preserve">Dedmon, M. M., Lindorff-Larsen, K., Christodoulou, J., Vendruscolo, M. &amp; Dobson, C. M. Mapping long-range interactions in α-synuclein using spin-label NMR and ensemble molecular dynamics simulations. </w:t>
      </w:r>
      <w:r w:rsidRPr="00373BC0">
        <w:rPr>
          <w:rFonts w:ascii="Calibri" w:hAnsi="Calibri" w:cs="Calibri"/>
          <w:i/>
          <w:iCs/>
          <w:noProof/>
          <w:szCs w:val="24"/>
        </w:rPr>
        <w:t>J. Am. Chem. Soc.</w:t>
      </w:r>
      <w:r w:rsidRPr="00373BC0">
        <w:rPr>
          <w:rFonts w:ascii="Calibri" w:hAnsi="Calibri" w:cs="Calibri"/>
          <w:noProof/>
          <w:szCs w:val="24"/>
        </w:rPr>
        <w:t xml:space="preserve"> </w:t>
      </w:r>
      <w:r w:rsidRPr="00373BC0">
        <w:rPr>
          <w:rFonts w:ascii="Calibri" w:hAnsi="Calibri" w:cs="Calibri"/>
          <w:b/>
          <w:bCs/>
          <w:noProof/>
          <w:szCs w:val="24"/>
        </w:rPr>
        <w:t>127</w:t>
      </w:r>
      <w:r w:rsidRPr="00373BC0">
        <w:rPr>
          <w:rFonts w:ascii="Calibri" w:hAnsi="Calibri" w:cs="Calibri"/>
          <w:noProof/>
          <w:szCs w:val="24"/>
        </w:rPr>
        <w:t>, 476–477 (2005).</w:t>
      </w:r>
    </w:p>
    <w:p w14:paraId="452ACD45"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20.</w:t>
      </w:r>
      <w:r w:rsidRPr="00373BC0">
        <w:rPr>
          <w:rFonts w:ascii="Calibri" w:hAnsi="Calibri" w:cs="Calibri"/>
          <w:noProof/>
          <w:szCs w:val="24"/>
        </w:rPr>
        <w:tab/>
        <w:t xml:space="preserve">Zhou, W. </w:t>
      </w:r>
      <w:r w:rsidRPr="00373BC0">
        <w:rPr>
          <w:rFonts w:ascii="Calibri" w:hAnsi="Calibri" w:cs="Calibri"/>
          <w:i/>
          <w:iCs/>
          <w:noProof/>
          <w:szCs w:val="24"/>
        </w:rPr>
        <w:t>et al.</w:t>
      </w:r>
      <w:r w:rsidRPr="00373BC0">
        <w:rPr>
          <w:rFonts w:ascii="Calibri" w:hAnsi="Calibri" w:cs="Calibri"/>
          <w:noProof/>
          <w:szCs w:val="24"/>
        </w:rPr>
        <w:t xml:space="preserve"> Methionine oxidation stabilizes non-toxic oligomers of α-synuclein through strengthening the auto-inhibitory intra-molecular long-range interactions. </w:t>
      </w:r>
      <w:r w:rsidRPr="00373BC0">
        <w:rPr>
          <w:rFonts w:ascii="Calibri" w:hAnsi="Calibri" w:cs="Calibri"/>
          <w:i/>
          <w:iCs/>
          <w:noProof/>
          <w:szCs w:val="24"/>
        </w:rPr>
        <w:t>Biochim. Biophys. Acta - Mol. Basis Dis.</w:t>
      </w:r>
      <w:r w:rsidRPr="00373BC0">
        <w:rPr>
          <w:rFonts w:ascii="Calibri" w:hAnsi="Calibri" w:cs="Calibri"/>
          <w:noProof/>
          <w:szCs w:val="24"/>
        </w:rPr>
        <w:t xml:space="preserve"> </w:t>
      </w:r>
      <w:r w:rsidRPr="00373BC0">
        <w:rPr>
          <w:rFonts w:ascii="Calibri" w:hAnsi="Calibri" w:cs="Calibri"/>
          <w:b/>
          <w:bCs/>
          <w:noProof/>
          <w:szCs w:val="24"/>
        </w:rPr>
        <w:t>1802</w:t>
      </w:r>
      <w:r w:rsidRPr="00373BC0">
        <w:rPr>
          <w:rFonts w:ascii="Calibri" w:hAnsi="Calibri" w:cs="Calibri"/>
          <w:noProof/>
          <w:szCs w:val="24"/>
        </w:rPr>
        <w:t>, 322–330 (2010).</w:t>
      </w:r>
    </w:p>
    <w:p w14:paraId="1611BBD1"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lastRenderedPageBreak/>
        <w:t>21.</w:t>
      </w:r>
      <w:r w:rsidRPr="00373BC0">
        <w:rPr>
          <w:rFonts w:ascii="Calibri" w:hAnsi="Calibri" w:cs="Calibri"/>
          <w:noProof/>
          <w:szCs w:val="24"/>
        </w:rPr>
        <w:tab/>
        <w:t xml:space="preserve">Esteban-Martín, S., Silvestre-Ryan, J., Bertoncini, C. W. &amp; Salvatella, X. Identification of fibril-like tertiary contacts in soluble monomeric α-synuclein. </w:t>
      </w:r>
      <w:r w:rsidRPr="00373BC0">
        <w:rPr>
          <w:rFonts w:ascii="Calibri" w:hAnsi="Calibri" w:cs="Calibri"/>
          <w:i/>
          <w:iCs/>
          <w:noProof/>
          <w:szCs w:val="24"/>
        </w:rPr>
        <w:t>Biophys. J.</w:t>
      </w:r>
      <w:r w:rsidRPr="00373BC0">
        <w:rPr>
          <w:rFonts w:ascii="Calibri" w:hAnsi="Calibri" w:cs="Calibri"/>
          <w:noProof/>
          <w:szCs w:val="24"/>
        </w:rPr>
        <w:t xml:space="preserve"> </w:t>
      </w:r>
      <w:r w:rsidRPr="00373BC0">
        <w:rPr>
          <w:rFonts w:ascii="Calibri" w:hAnsi="Calibri" w:cs="Calibri"/>
          <w:b/>
          <w:bCs/>
          <w:noProof/>
          <w:szCs w:val="24"/>
        </w:rPr>
        <w:t>105</w:t>
      </w:r>
      <w:r w:rsidRPr="00373BC0">
        <w:rPr>
          <w:rFonts w:ascii="Calibri" w:hAnsi="Calibri" w:cs="Calibri"/>
          <w:noProof/>
          <w:szCs w:val="24"/>
        </w:rPr>
        <w:t>, 1192–1198 (2013).</w:t>
      </w:r>
    </w:p>
    <w:p w14:paraId="415EFC0B"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22.</w:t>
      </w:r>
      <w:r w:rsidRPr="00373BC0">
        <w:rPr>
          <w:rFonts w:ascii="Calibri" w:hAnsi="Calibri" w:cs="Calibri"/>
          <w:noProof/>
          <w:szCs w:val="24"/>
        </w:rPr>
        <w:tab/>
        <w:t xml:space="preserve">McClendon, S., Rospigliosi, C. C. &amp; Eliezer, D. Charge neutralization and collapse of the C-terminal tail of alpha-synuclein at low pH. </w:t>
      </w:r>
      <w:r w:rsidRPr="00373BC0">
        <w:rPr>
          <w:rFonts w:ascii="Calibri" w:hAnsi="Calibri" w:cs="Calibri"/>
          <w:i/>
          <w:iCs/>
          <w:noProof/>
          <w:szCs w:val="24"/>
        </w:rPr>
        <w:t>Protein Sci.</w:t>
      </w:r>
      <w:r w:rsidRPr="00373BC0">
        <w:rPr>
          <w:rFonts w:ascii="Calibri" w:hAnsi="Calibri" w:cs="Calibri"/>
          <w:noProof/>
          <w:szCs w:val="24"/>
        </w:rPr>
        <w:t xml:space="preserve"> </w:t>
      </w:r>
      <w:r w:rsidRPr="00373BC0">
        <w:rPr>
          <w:rFonts w:ascii="Calibri" w:hAnsi="Calibri" w:cs="Calibri"/>
          <w:b/>
          <w:bCs/>
          <w:noProof/>
          <w:szCs w:val="24"/>
        </w:rPr>
        <w:t>18</w:t>
      </w:r>
      <w:r w:rsidRPr="00373BC0">
        <w:rPr>
          <w:rFonts w:ascii="Calibri" w:hAnsi="Calibri" w:cs="Calibri"/>
          <w:noProof/>
          <w:szCs w:val="24"/>
        </w:rPr>
        <w:t>, 1531–1540 (2009).</w:t>
      </w:r>
    </w:p>
    <w:p w14:paraId="73F817E5"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23.</w:t>
      </w:r>
      <w:r w:rsidRPr="00373BC0">
        <w:rPr>
          <w:rFonts w:ascii="Calibri" w:hAnsi="Calibri" w:cs="Calibri"/>
          <w:noProof/>
          <w:szCs w:val="24"/>
        </w:rPr>
        <w:tab/>
        <w:t xml:space="preserve">Ranjan, P. &amp; Kumar, A. Perturbation in Long-Range Contacts Modulates the Kinetics of Amyloid Formation in α-Synuclein Familial Mutants. </w:t>
      </w:r>
      <w:r w:rsidRPr="00373BC0">
        <w:rPr>
          <w:rFonts w:ascii="Calibri" w:hAnsi="Calibri" w:cs="Calibri"/>
          <w:i/>
          <w:iCs/>
          <w:noProof/>
          <w:szCs w:val="24"/>
        </w:rPr>
        <w:t>ACS Chem. Neurosci.</w:t>
      </w:r>
      <w:r w:rsidRPr="00373BC0">
        <w:rPr>
          <w:rFonts w:ascii="Calibri" w:hAnsi="Calibri" w:cs="Calibri"/>
          <w:noProof/>
          <w:szCs w:val="24"/>
        </w:rPr>
        <w:t xml:space="preserve"> </w:t>
      </w:r>
      <w:r w:rsidRPr="00373BC0">
        <w:rPr>
          <w:rFonts w:ascii="Calibri" w:hAnsi="Calibri" w:cs="Calibri"/>
          <w:b/>
          <w:bCs/>
          <w:noProof/>
          <w:szCs w:val="24"/>
        </w:rPr>
        <w:t>8</w:t>
      </w:r>
      <w:r w:rsidRPr="00373BC0">
        <w:rPr>
          <w:rFonts w:ascii="Calibri" w:hAnsi="Calibri" w:cs="Calibri"/>
          <w:noProof/>
          <w:szCs w:val="24"/>
        </w:rPr>
        <w:t>, 2235–2246 (2017).</w:t>
      </w:r>
    </w:p>
    <w:p w14:paraId="0FB9AD99"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24.</w:t>
      </w:r>
      <w:r w:rsidRPr="00373BC0">
        <w:rPr>
          <w:rFonts w:ascii="Calibri" w:hAnsi="Calibri" w:cs="Calibri"/>
          <w:noProof/>
          <w:szCs w:val="24"/>
        </w:rPr>
        <w:tab/>
        <w:t xml:space="preserve">Sung, Y. &amp; Eliezer, D. Residual Structure, Backbone Dynamics, and Interactions within the Synuclein Family. </w:t>
      </w:r>
      <w:r w:rsidRPr="00373BC0">
        <w:rPr>
          <w:rFonts w:ascii="Calibri" w:hAnsi="Calibri" w:cs="Calibri"/>
          <w:i/>
          <w:iCs/>
          <w:noProof/>
          <w:szCs w:val="24"/>
        </w:rPr>
        <w:t>J. Mol. Biol.</w:t>
      </w:r>
      <w:r w:rsidRPr="00373BC0">
        <w:rPr>
          <w:rFonts w:ascii="Calibri" w:hAnsi="Calibri" w:cs="Calibri"/>
          <w:noProof/>
          <w:szCs w:val="24"/>
        </w:rPr>
        <w:t xml:space="preserve"> </w:t>
      </w:r>
      <w:r w:rsidRPr="00373BC0">
        <w:rPr>
          <w:rFonts w:ascii="Calibri" w:hAnsi="Calibri" w:cs="Calibri"/>
          <w:b/>
          <w:bCs/>
          <w:noProof/>
          <w:szCs w:val="24"/>
        </w:rPr>
        <w:t>372</w:t>
      </w:r>
      <w:r w:rsidRPr="00373BC0">
        <w:rPr>
          <w:rFonts w:ascii="Calibri" w:hAnsi="Calibri" w:cs="Calibri"/>
          <w:noProof/>
          <w:szCs w:val="24"/>
        </w:rPr>
        <w:t>, 689–707 (2007).</w:t>
      </w:r>
    </w:p>
    <w:p w14:paraId="61456E5E"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25.</w:t>
      </w:r>
      <w:r w:rsidRPr="00373BC0">
        <w:rPr>
          <w:rFonts w:ascii="Calibri" w:hAnsi="Calibri" w:cs="Calibri"/>
          <w:noProof/>
          <w:szCs w:val="24"/>
        </w:rPr>
        <w:tab/>
        <w:t xml:space="preserve">Bertoncini, C. W. </w:t>
      </w:r>
      <w:r w:rsidRPr="00373BC0">
        <w:rPr>
          <w:rFonts w:ascii="Calibri" w:hAnsi="Calibri" w:cs="Calibri"/>
          <w:i/>
          <w:iCs/>
          <w:noProof/>
          <w:szCs w:val="24"/>
        </w:rPr>
        <w:t>et al.</w:t>
      </w:r>
      <w:r w:rsidRPr="00373BC0">
        <w:rPr>
          <w:rFonts w:ascii="Calibri" w:hAnsi="Calibri" w:cs="Calibri"/>
          <w:noProof/>
          <w:szCs w:val="24"/>
        </w:rPr>
        <w:t xml:space="preserve"> From The Cover: Release of long-range tertiary interactions potentiates aggregation of natively unstructured  -synuclein. </w:t>
      </w:r>
      <w:r w:rsidRPr="00373BC0">
        <w:rPr>
          <w:rFonts w:ascii="Calibri" w:hAnsi="Calibri" w:cs="Calibri"/>
          <w:i/>
          <w:iCs/>
          <w:noProof/>
          <w:szCs w:val="24"/>
        </w:rPr>
        <w:t>Proc. Natl. Acad. Sci.</w:t>
      </w:r>
      <w:r w:rsidRPr="00373BC0">
        <w:rPr>
          <w:rFonts w:ascii="Calibri" w:hAnsi="Calibri" w:cs="Calibri"/>
          <w:noProof/>
          <w:szCs w:val="24"/>
        </w:rPr>
        <w:t xml:space="preserve"> </w:t>
      </w:r>
      <w:r w:rsidRPr="00373BC0">
        <w:rPr>
          <w:rFonts w:ascii="Calibri" w:hAnsi="Calibri" w:cs="Calibri"/>
          <w:b/>
          <w:bCs/>
          <w:noProof/>
          <w:szCs w:val="24"/>
        </w:rPr>
        <w:t>102</w:t>
      </w:r>
      <w:r w:rsidRPr="00373BC0">
        <w:rPr>
          <w:rFonts w:ascii="Calibri" w:hAnsi="Calibri" w:cs="Calibri"/>
          <w:noProof/>
          <w:szCs w:val="24"/>
        </w:rPr>
        <w:t>, 1430–1435 (2005).</w:t>
      </w:r>
    </w:p>
    <w:p w14:paraId="3FA7F74C"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26.</w:t>
      </w:r>
      <w:r w:rsidRPr="00373BC0">
        <w:rPr>
          <w:rFonts w:ascii="Calibri" w:hAnsi="Calibri" w:cs="Calibri"/>
          <w:noProof/>
          <w:szCs w:val="24"/>
        </w:rPr>
        <w:tab/>
        <w:t xml:space="preserve">Afitska, K., Fucikova, A., Shvadchak, V. V &amp; Yushchenko, D. A. Modification of C Terminus Provides New Insights into the Mechanism of α-Synuclein Aggregation. </w:t>
      </w:r>
      <w:r w:rsidRPr="00373BC0">
        <w:rPr>
          <w:rFonts w:ascii="Calibri" w:hAnsi="Calibri" w:cs="Calibri"/>
          <w:i/>
          <w:iCs/>
          <w:noProof/>
          <w:szCs w:val="24"/>
        </w:rPr>
        <w:t>Biophys. J.</w:t>
      </w:r>
      <w:r w:rsidRPr="00373BC0">
        <w:rPr>
          <w:rFonts w:ascii="Calibri" w:hAnsi="Calibri" w:cs="Calibri"/>
          <w:noProof/>
          <w:szCs w:val="24"/>
        </w:rPr>
        <w:t xml:space="preserve"> </w:t>
      </w:r>
      <w:r w:rsidRPr="00373BC0">
        <w:rPr>
          <w:rFonts w:ascii="Calibri" w:hAnsi="Calibri" w:cs="Calibri"/>
          <w:b/>
          <w:bCs/>
          <w:noProof/>
          <w:szCs w:val="24"/>
        </w:rPr>
        <w:t>113</w:t>
      </w:r>
      <w:r w:rsidRPr="00373BC0">
        <w:rPr>
          <w:rFonts w:ascii="Calibri" w:hAnsi="Calibri" w:cs="Calibri"/>
          <w:noProof/>
          <w:szCs w:val="24"/>
        </w:rPr>
        <w:t>, 2182–2191 (2017).</w:t>
      </w:r>
    </w:p>
    <w:p w14:paraId="29C6EEB6"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27.</w:t>
      </w:r>
      <w:r w:rsidRPr="00373BC0">
        <w:rPr>
          <w:rFonts w:ascii="Calibri" w:hAnsi="Calibri" w:cs="Calibri"/>
          <w:noProof/>
          <w:szCs w:val="24"/>
        </w:rPr>
        <w:tab/>
        <w:t xml:space="preserve">Ulrih, N. P., Barry, C. H. &amp; Fink, A. L. Impact of Tyr to Ala mutations on α-synuclein fibrillation and structural properties. </w:t>
      </w:r>
      <w:r w:rsidRPr="00373BC0">
        <w:rPr>
          <w:rFonts w:ascii="Calibri" w:hAnsi="Calibri" w:cs="Calibri"/>
          <w:i/>
          <w:iCs/>
          <w:noProof/>
          <w:szCs w:val="24"/>
        </w:rPr>
        <w:t>Biochim. Biophys. Acta - Mol. Basis Dis.</w:t>
      </w:r>
      <w:r w:rsidRPr="00373BC0">
        <w:rPr>
          <w:rFonts w:ascii="Calibri" w:hAnsi="Calibri" w:cs="Calibri"/>
          <w:noProof/>
          <w:szCs w:val="24"/>
        </w:rPr>
        <w:t xml:space="preserve"> </w:t>
      </w:r>
      <w:r w:rsidRPr="00373BC0">
        <w:rPr>
          <w:rFonts w:ascii="Calibri" w:hAnsi="Calibri" w:cs="Calibri"/>
          <w:b/>
          <w:bCs/>
          <w:noProof/>
          <w:szCs w:val="24"/>
        </w:rPr>
        <w:t>1782</w:t>
      </w:r>
      <w:r w:rsidRPr="00373BC0">
        <w:rPr>
          <w:rFonts w:ascii="Calibri" w:hAnsi="Calibri" w:cs="Calibri"/>
          <w:noProof/>
          <w:szCs w:val="24"/>
        </w:rPr>
        <w:t>, 581–585 (2008).</w:t>
      </w:r>
    </w:p>
    <w:p w14:paraId="4FC07643"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28.</w:t>
      </w:r>
      <w:r w:rsidRPr="00373BC0">
        <w:rPr>
          <w:rFonts w:ascii="Calibri" w:hAnsi="Calibri" w:cs="Calibri"/>
          <w:noProof/>
          <w:szCs w:val="24"/>
        </w:rPr>
        <w:tab/>
        <w:t xml:space="preserve">Landeck, N. </w:t>
      </w:r>
      <w:r w:rsidRPr="00373BC0">
        <w:rPr>
          <w:rFonts w:ascii="Calibri" w:hAnsi="Calibri" w:cs="Calibri"/>
          <w:i/>
          <w:iCs/>
          <w:noProof/>
          <w:szCs w:val="24"/>
        </w:rPr>
        <w:t>et al.</w:t>
      </w:r>
      <w:r w:rsidRPr="00373BC0">
        <w:rPr>
          <w:rFonts w:ascii="Calibri" w:hAnsi="Calibri" w:cs="Calibri"/>
          <w:noProof/>
          <w:szCs w:val="24"/>
        </w:rPr>
        <w:t xml:space="preserve"> Two C-terminal sequence variations determine differential neurotoxicity between human and mouse α -synuclein. </w:t>
      </w:r>
      <w:r w:rsidRPr="00373BC0">
        <w:rPr>
          <w:rFonts w:ascii="Calibri" w:hAnsi="Calibri" w:cs="Calibri"/>
          <w:i/>
          <w:iCs/>
          <w:noProof/>
          <w:szCs w:val="24"/>
        </w:rPr>
        <w:t>bioRxiv</w:t>
      </w:r>
      <w:r w:rsidRPr="00373BC0">
        <w:rPr>
          <w:rFonts w:ascii="Calibri" w:hAnsi="Calibri" w:cs="Calibri"/>
          <w:noProof/>
          <w:szCs w:val="24"/>
        </w:rPr>
        <w:t xml:space="preserve"> 700377 (2019). doi:10.1101/700377</w:t>
      </w:r>
    </w:p>
    <w:p w14:paraId="2585C062"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29.</w:t>
      </w:r>
      <w:r w:rsidRPr="00373BC0">
        <w:rPr>
          <w:rFonts w:ascii="Calibri" w:hAnsi="Calibri" w:cs="Calibri"/>
          <w:noProof/>
          <w:szCs w:val="24"/>
        </w:rPr>
        <w:tab/>
        <w:t xml:space="preserve">Mahul-Mellier, A.-L. </w:t>
      </w:r>
      <w:r w:rsidRPr="00373BC0">
        <w:rPr>
          <w:rFonts w:ascii="Calibri" w:hAnsi="Calibri" w:cs="Calibri"/>
          <w:i/>
          <w:iCs/>
          <w:noProof/>
          <w:szCs w:val="24"/>
        </w:rPr>
        <w:t>et al.</w:t>
      </w:r>
      <w:r w:rsidRPr="00373BC0">
        <w:rPr>
          <w:rFonts w:ascii="Calibri" w:hAnsi="Calibri" w:cs="Calibri"/>
          <w:noProof/>
          <w:szCs w:val="24"/>
        </w:rPr>
        <w:t xml:space="preserve"> The making of a Lewy body: the role of α-synuclein post-fibrillization modifications in regulating the formation and the maturation of pathological inclusions. </w:t>
      </w:r>
      <w:r w:rsidRPr="00373BC0">
        <w:rPr>
          <w:rFonts w:ascii="Calibri" w:hAnsi="Calibri" w:cs="Calibri"/>
          <w:i/>
          <w:iCs/>
          <w:noProof/>
          <w:szCs w:val="24"/>
        </w:rPr>
        <w:t>bioRxiv</w:t>
      </w:r>
      <w:r w:rsidRPr="00373BC0">
        <w:rPr>
          <w:rFonts w:ascii="Calibri" w:hAnsi="Calibri" w:cs="Calibri"/>
          <w:noProof/>
          <w:szCs w:val="24"/>
        </w:rPr>
        <w:t xml:space="preserve"> 500058 (2018). doi:10.1101/500058</w:t>
      </w:r>
    </w:p>
    <w:p w14:paraId="1732337D"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30.</w:t>
      </w:r>
      <w:r w:rsidRPr="00373BC0">
        <w:rPr>
          <w:rFonts w:ascii="Calibri" w:hAnsi="Calibri" w:cs="Calibri"/>
          <w:noProof/>
          <w:szCs w:val="24"/>
        </w:rPr>
        <w:tab/>
        <w:t xml:space="preserve">Roeters, S. J. </w:t>
      </w:r>
      <w:r w:rsidRPr="00373BC0">
        <w:rPr>
          <w:rFonts w:ascii="Calibri" w:hAnsi="Calibri" w:cs="Calibri"/>
          <w:i/>
          <w:iCs/>
          <w:noProof/>
          <w:szCs w:val="24"/>
        </w:rPr>
        <w:t>et al.</w:t>
      </w:r>
      <w:r w:rsidRPr="00373BC0">
        <w:rPr>
          <w:rFonts w:ascii="Calibri" w:hAnsi="Calibri" w:cs="Calibri"/>
          <w:noProof/>
          <w:szCs w:val="24"/>
        </w:rPr>
        <w:t xml:space="preserve"> Evidence for Intramolecular Antiparallel Beta-Sheet Structure in Alpha-Synuclein Fibrils from a Combination of Two-Dimensional Infrared Spectroscopy and Atomic Force Microscopy. </w:t>
      </w:r>
      <w:r w:rsidRPr="00373BC0">
        <w:rPr>
          <w:rFonts w:ascii="Calibri" w:hAnsi="Calibri" w:cs="Calibri"/>
          <w:i/>
          <w:iCs/>
          <w:noProof/>
          <w:szCs w:val="24"/>
        </w:rPr>
        <w:t>Sci. Rep.</w:t>
      </w:r>
      <w:r w:rsidRPr="00373BC0">
        <w:rPr>
          <w:rFonts w:ascii="Calibri" w:hAnsi="Calibri" w:cs="Calibri"/>
          <w:noProof/>
          <w:szCs w:val="24"/>
        </w:rPr>
        <w:t xml:space="preserve"> </w:t>
      </w:r>
      <w:r w:rsidRPr="00373BC0">
        <w:rPr>
          <w:rFonts w:ascii="Calibri" w:hAnsi="Calibri" w:cs="Calibri"/>
          <w:b/>
          <w:bCs/>
          <w:noProof/>
          <w:szCs w:val="24"/>
        </w:rPr>
        <w:t>7</w:t>
      </w:r>
      <w:r w:rsidRPr="00373BC0">
        <w:rPr>
          <w:rFonts w:ascii="Calibri" w:hAnsi="Calibri" w:cs="Calibri"/>
          <w:noProof/>
          <w:szCs w:val="24"/>
        </w:rPr>
        <w:t>, 41051 (2017).</w:t>
      </w:r>
    </w:p>
    <w:p w14:paraId="7BEE0B9D"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31.</w:t>
      </w:r>
      <w:r w:rsidRPr="00373BC0">
        <w:rPr>
          <w:rFonts w:ascii="Calibri" w:hAnsi="Calibri" w:cs="Calibri"/>
          <w:noProof/>
          <w:szCs w:val="24"/>
        </w:rPr>
        <w:tab/>
        <w:t xml:space="preserve">Anderson, J. P. </w:t>
      </w:r>
      <w:r w:rsidRPr="00373BC0">
        <w:rPr>
          <w:rFonts w:ascii="Calibri" w:hAnsi="Calibri" w:cs="Calibri"/>
          <w:i/>
          <w:iCs/>
          <w:noProof/>
          <w:szCs w:val="24"/>
        </w:rPr>
        <w:t>et al.</w:t>
      </w:r>
      <w:r w:rsidRPr="00373BC0">
        <w:rPr>
          <w:rFonts w:ascii="Calibri" w:hAnsi="Calibri" w:cs="Calibri"/>
          <w:noProof/>
          <w:szCs w:val="24"/>
        </w:rPr>
        <w:t xml:space="preserve"> Phosphorylation of Ser-129 is the dominant pathological modification of alpha-synuclein in familial and sporadic Lewy body disease. </w:t>
      </w:r>
      <w:r w:rsidRPr="00373BC0">
        <w:rPr>
          <w:rFonts w:ascii="Calibri" w:hAnsi="Calibri" w:cs="Calibri"/>
          <w:i/>
          <w:iCs/>
          <w:noProof/>
          <w:szCs w:val="24"/>
        </w:rPr>
        <w:t>J. Biol. Chem.</w:t>
      </w:r>
      <w:r w:rsidRPr="00373BC0">
        <w:rPr>
          <w:rFonts w:ascii="Calibri" w:hAnsi="Calibri" w:cs="Calibri"/>
          <w:noProof/>
          <w:szCs w:val="24"/>
        </w:rPr>
        <w:t xml:space="preserve"> </w:t>
      </w:r>
      <w:r w:rsidRPr="00373BC0">
        <w:rPr>
          <w:rFonts w:ascii="Calibri" w:hAnsi="Calibri" w:cs="Calibri"/>
          <w:b/>
          <w:bCs/>
          <w:noProof/>
          <w:szCs w:val="24"/>
        </w:rPr>
        <w:t>281</w:t>
      </w:r>
      <w:r w:rsidRPr="00373BC0">
        <w:rPr>
          <w:rFonts w:ascii="Calibri" w:hAnsi="Calibri" w:cs="Calibri"/>
          <w:noProof/>
          <w:szCs w:val="24"/>
        </w:rPr>
        <w:t>, 29739–52 (2006).</w:t>
      </w:r>
    </w:p>
    <w:p w14:paraId="764071A1"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32.</w:t>
      </w:r>
      <w:r w:rsidRPr="00373BC0">
        <w:rPr>
          <w:rFonts w:ascii="Calibri" w:hAnsi="Calibri" w:cs="Calibri"/>
          <w:noProof/>
          <w:szCs w:val="24"/>
        </w:rPr>
        <w:tab/>
        <w:t xml:space="preserve">Fujiwara, H. </w:t>
      </w:r>
      <w:r w:rsidRPr="00373BC0">
        <w:rPr>
          <w:rFonts w:ascii="Calibri" w:hAnsi="Calibri" w:cs="Calibri"/>
          <w:i/>
          <w:iCs/>
          <w:noProof/>
          <w:szCs w:val="24"/>
        </w:rPr>
        <w:t>et al.</w:t>
      </w:r>
      <w:r w:rsidRPr="00373BC0">
        <w:rPr>
          <w:rFonts w:ascii="Calibri" w:hAnsi="Calibri" w:cs="Calibri"/>
          <w:noProof/>
          <w:szCs w:val="24"/>
        </w:rPr>
        <w:t xml:space="preserve"> Α-Synuclein Is Phosphorylated in Synucleinopathy Lesions. </w:t>
      </w:r>
      <w:r w:rsidRPr="00373BC0">
        <w:rPr>
          <w:rFonts w:ascii="Calibri" w:hAnsi="Calibri" w:cs="Calibri"/>
          <w:i/>
          <w:iCs/>
          <w:noProof/>
          <w:szCs w:val="24"/>
        </w:rPr>
        <w:t>Nat. Cell Biol.</w:t>
      </w:r>
      <w:r w:rsidRPr="00373BC0">
        <w:rPr>
          <w:rFonts w:ascii="Calibri" w:hAnsi="Calibri" w:cs="Calibri"/>
          <w:noProof/>
          <w:szCs w:val="24"/>
        </w:rPr>
        <w:t xml:space="preserve"> </w:t>
      </w:r>
      <w:r w:rsidRPr="00373BC0">
        <w:rPr>
          <w:rFonts w:ascii="Calibri" w:hAnsi="Calibri" w:cs="Calibri"/>
          <w:b/>
          <w:bCs/>
          <w:noProof/>
          <w:szCs w:val="24"/>
        </w:rPr>
        <w:t>4</w:t>
      </w:r>
      <w:r w:rsidRPr="00373BC0">
        <w:rPr>
          <w:rFonts w:ascii="Calibri" w:hAnsi="Calibri" w:cs="Calibri"/>
          <w:noProof/>
          <w:szCs w:val="24"/>
        </w:rPr>
        <w:t>, 160–164 (2002).</w:t>
      </w:r>
    </w:p>
    <w:p w14:paraId="21542766"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lastRenderedPageBreak/>
        <w:t>33.</w:t>
      </w:r>
      <w:r w:rsidRPr="00373BC0">
        <w:rPr>
          <w:rFonts w:ascii="Calibri" w:hAnsi="Calibri" w:cs="Calibri"/>
          <w:noProof/>
          <w:szCs w:val="24"/>
        </w:rPr>
        <w:tab/>
        <w:t xml:space="preserve">Samuel, F. </w:t>
      </w:r>
      <w:r w:rsidRPr="00373BC0">
        <w:rPr>
          <w:rFonts w:ascii="Calibri" w:hAnsi="Calibri" w:cs="Calibri"/>
          <w:i/>
          <w:iCs/>
          <w:noProof/>
          <w:szCs w:val="24"/>
        </w:rPr>
        <w:t>et al.</w:t>
      </w:r>
      <w:r w:rsidRPr="00373BC0">
        <w:rPr>
          <w:rFonts w:ascii="Calibri" w:hAnsi="Calibri" w:cs="Calibri"/>
          <w:noProof/>
          <w:szCs w:val="24"/>
        </w:rPr>
        <w:t xml:space="preserve"> Effects of serine 129 phosphorylation on α-synuclein aggregation, membrane association, and internalization. </w:t>
      </w:r>
      <w:r w:rsidRPr="00373BC0">
        <w:rPr>
          <w:rFonts w:ascii="Calibri" w:hAnsi="Calibri" w:cs="Calibri"/>
          <w:i/>
          <w:iCs/>
          <w:noProof/>
          <w:szCs w:val="24"/>
        </w:rPr>
        <w:t>J. Biol. Chem.</w:t>
      </w:r>
      <w:r w:rsidRPr="00373BC0">
        <w:rPr>
          <w:rFonts w:ascii="Calibri" w:hAnsi="Calibri" w:cs="Calibri"/>
          <w:noProof/>
          <w:szCs w:val="24"/>
        </w:rPr>
        <w:t xml:space="preserve"> </w:t>
      </w:r>
      <w:r w:rsidRPr="00373BC0">
        <w:rPr>
          <w:rFonts w:ascii="Calibri" w:hAnsi="Calibri" w:cs="Calibri"/>
          <w:b/>
          <w:bCs/>
          <w:noProof/>
          <w:szCs w:val="24"/>
        </w:rPr>
        <w:t>291</w:t>
      </w:r>
      <w:r w:rsidRPr="00373BC0">
        <w:rPr>
          <w:rFonts w:ascii="Calibri" w:hAnsi="Calibri" w:cs="Calibri"/>
          <w:noProof/>
          <w:szCs w:val="24"/>
        </w:rPr>
        <w:t>, 4374–4385 (2016).</w:t>
      </w:r>
    </w:p>
    <w:p w14:paraId="34783BE9"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34.</w:t>
      </w:r>
      <w:r w:rsidRPr="00373BC0">
        <w:rPr>
          <w:rFonts w:ascii="Calibri" w:hAnsi="Calibri" w:cs="Calibri"/>
          <w:noProof/>
          <w:szCs w:val="24"/>
        </w:rPr>
        <w:tab/>
        <w:t xml:space="preserve">Paleologou, K. E. </w:t>
      </w:r>
      <w:r w:rsidRPr="00373BC0">
        <w:rPr>
          <w:rFonts w:ascii="Calibri" w:hAnsi="Calibri" w:cs="Calibri"/>
          <w:i/>
          <w:iCs/>
          <w:noProof/>
          <w:szCs w:val="24"/>
        </w:rPr>
        <w:t>et al.</w:t>
      </w:r>
      <w:r w:rsidRPr="00373BC0">
        <w:rPr>
          <w:rFonts w:ascii="Calibri" w:hAnsi="Calibri" w:cs="Calibri"/>
          <w:noProof/>
          <w:szCs w:val="24"/>
        </w:rPr>
        <w:t xml:space="preserve"> Phosphorylation at Ser-129 but not the phosphomimics S129E/D inhibits the fibrillation of α-synuclein. </w:t>
      </w:r>
      <w:r w:rsidRPr="00373BC0">
        <w:rPr>
          <w:rFonts w:ascii="Calibri" w:hAnsi="Calibri" w:cs="Calibri"/>
          <w:i/>
          <w:iCs/>
          <w:noProof/>
          <w:szCs w:val="24"/>
        </w:rPr>
        <w:t>J. Biol. Chem.</w:t>
      </w:r>
      <w:r w:rsidRPr="00373BC0">
        <w:rPr>
          <w:rFonts w:ascii="Calibri" w:hAnsi="Calibri" w:cs="Calibri"/>
          <w:noProof/>
          <w:szCs w:val="24"/>
        </w:rPr>
        <w:t xml:space="preserve"> </w:t>
      </w:r>
      <w:r w:rsidRPr="00373BC0">
        <w:rPr>
          <w:rFonts w:ascii="Calibri" w:hAnsi="Calibri" w:cs="Calibri"/>
          <w:b/>
          <w:bCs/>
          <w:noProof/>
          <w:szCs w:val="24"/>
        </w:rPr>
        <w:t>283</w:t>
      </w:r>
      <w:r w:rsidRPr="00373BC0">
        <w:rPr>
          <w:rFonts w:ascii="Calibri" w:hAnsi="Calibri" w:cs="Calibri"/>
          <w:noProof/>
          <w:szCs w:val="24"/>
        </w:rPr>
        <w:t>, 16895–16905 (2008).</w:t>
      </w:r>
    </w:p>
    <w:p w14:paraId="039F3AE8"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35.</w:t>
      </w:r>
      <w:r w:rsidRPr="00373BC0">
        <w:rPr>
          <w:rFonts w:ascii="Calibri" w:hAnsi="Calibri" w:cs="Calibri"/>
          <w:noProof/>
          <w:szCs w:val="24"/>
        </w:rPr>
        <w:tab/>
        <w:t xml:space="preserve">Bertoncini, C. W., Fernandez, C. O., Griesinger, C., Jovin, T. M. &amp; Zweckstetter, M. Familial mutants of α-synuclein with increased neurotoxicity have a destabilized conformation. </w:t>
      </w:r>
      <w:r w:rsidRPr="00373BC0">
        <w:rPr>
          <w:rFonts w:ascii="Calibri" w:hAnsi="Calibri" w:cs="Calibri"/>
          <w:i/>
          <w:iCs/>
          <w:noProof/>
          <w:szCs w:val="24"/>
        </w:rPr>
        <w:t>J. Biol. Chem.</w:t>
      </w:r>
      <w:r w:rsidRPr="00373BC0">
        <w:rPr>
          <w:rFonts w:ascii="Calibri" w:hAnsi="Calibri" w:cs="Calibri"/>
          <w:noProof/>
          <w:szCs w:val="24"/>
        </w:rPr>
        <w:t xml:space="preserve"> </w:t>
      </w:r>
      <w:r w:rsidRPr="00373BC0">
        <w:rPr>
          <w:rFonts w:ascii="Calibri" w:hAnsi="Calibri" w:cs="Calibri"/>
          <w:b/>
          <w:bCs/>
          <w:noProof/>
          <w:szCs w:val="24"/>
        </w:rPr>
        <w:t>280</w:t>
      </w:r>
      <w:r w:rsidRPr="00373BC0">
        <w:rPr>
          <w:rFonts w:ascii="Calibri" w:hAnsi="Calibri" w:cs="Calibri"/>
          <w:noProof/>
          <w:szCs w:val="24"/>
        </w:rPr>
        <w:t>, 30649–30652 (2005).</w:t>
      </w:r>
    </w:p>
    <w:p w14:paraId="0EA380EB"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36.</w:t>
      </w:r>
      <w:r w:rsidRPr="00373BC0">
        <w:rPr>
          <w:rFonts w:ascii="Calibri" w:hAnsi="Calibri" w:cs="Calibri"/>
          <w:noProof/>
          <w:szCs w:val="24"/>
        </w:rPr>
        <w:tab/>
        <w:t xml:space="preserve">Bhattacharyya, D. </w:t>
      </w:r>
      <w:r w:rsidRPr="00373BC0">
        <w:rPr>
          <w:rFonts w:ascii="Calibri" w:hAnsi="Calibri" w:cs="Calibri"/>
          <w:i/>
          <w:iCs/>
          <w:noProof/>
          <w:szCs w:val="24"/>
        </w:rPr>
        <w:t>et al.</w:t>
      </w:r>
      <w:r w:rsidRPr="00373BC0">
        <w:rPr>
          <w:rFonts w:ascii="Calibri" w:hAnsi="Calibri" w:cs="Calibri"/>
          <w:noProof/>
          <w:szCs w:val="24"/>
        </w:rPr>
        <w:t xml:space="preserve"> Multitude NMR studies of α-synuclein familial mutants: Probing their differential aggregation propensities. </w:t>
      </w:r>
      <w:r w:rsidRPr="00373BC0">
        <w:rPr>
          <w:rFonts w:ascii="Calibri" w:hAnsi="Calibri" w:cs="Calibri"/>
          <w:i/>
          <w:iCs/>
          <w:noProof/>
          <w:szCs w:val="24"/>
        </w:rPr>
        <w:t>Chem. Commun.</w:t>
      </w:r>
      <w:r w:rsidRPr="00373BC0">
        <w:rPr>
          <w:rFonts w:ascii="Calibri" w:hAnsi="Calibri" w:cs="Calibri"/>
          <w:noProof/>
          <w:szCs w:val="24"/>
        </w:rPr>
        <w:t xml:space="preserve"> </w:t>
      </w:r>
      <w:r w:rsidRPr="00373BC0">
        <w:rPr>
          <w:rFonts w:ascii="Calibri" w:hAnsi="Calibri" w:cs="Calibri"/>
          <w:b/>
          <w:bCs/>
          <w:noProof/>
          <w:szCs w:val="24"/>
        </w:rPr>
        <w:t>54</w:t>
      </w:r>
      <w:r w:rsidRPr="00373BC0">
        <w:rPr>
          <w:rFonts w:ascii="Calibri" w:hAnsi="Calibri" w:cs="Calibri"/>
          <w:noProof/>
          <w:szCs w:val="24"/>
        </w:rPr>
        <w:t>, 3605–3608 (2018).</w:t>
      </w:r>
    </w:p>
    <w:p w14:paraId="31957869"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37.</w:t>
      </w:r>
      <w:r w:rsidRPr="00373BC0">
        <w:rPr>
          <w:rFonts w:ascii="Calibri" w:hAnsi="Calibri" w:cs="Calibri"/>
          <w:noProof/>
          <w:szCs w:val="24"/>
        </w:rPr>
        <w:tab/>
        <w:t xml:space="preserve">Flagmeier, P. </w:t>
      </w:r>
      <w:r w:rsidRPr="00373BC0">
        <w:rPr>
          <w:rFonts w:ascii="Calibri" w:hAnsi="Calibri" w:cs="Calibri"/>
          <w:i/>
          <w:iCs/>
          <w:noProof/>
          <w:szCs w:val="24"/>
        </w:rPr>
        <w:t>et al.</w:t>
      </w:r>
      <w:r w:rsidRPr="00373BC0">
        <w:rPr>
          <w:rFonts w:ascii="Calibri" w:hAnsi="Calibri" w:cs="Calibri"/>
          <w:noProof/>
          <w:szCs w:val="24"/>
        </w:rPr>
        <w:t xml:space="preserve"> Mutations associated with familial Parkinson’s disease alter the initiation and amplification steps of α-synuclein aggregation. </w:t>
      </w:r>
      <w:r w:rsidRPr="00373BC0">
        <w:rPr>
          <w:rFonts w:ascii="Calibri" w:hAnsi="Calibri" w:cs="Calibri"/>
          <w:i/>
          <w:iCs/>
          <w:noProof/>
          <w:szCs w:val="24"/>
        </w:rPr>
        <w:t>Proc. Natl. Acad. Sci.</w:t>
      </w:r>
      <w:r w:rsidRPr="00373BC0">
        <w:rPr>
          <w:rFonts w:ascii="Calibri" w:hAnsi="Calibri" w:cs="Calibri"/>
          <w:noProof/>
          <w:szCs w:val="24"/>
        </w:rPr>
        <w:t xml:space="preserve"> </w:t>
      </w:r>
      <w:r w:rsidRPr="00373BC0">
        <w:rPr>
          <w:rFonts w:ascii="Calibri" w:hAnsi="Calibri" w:cs="Calibri"/>
          <w:b/>
          <w:bCs/>
          <w:noProof/>
          <w:szCs w:val="24"/>
        </w:rPr>
        <w:t>113</w:t>
      </w:r>
      <w:r w:rsidRPr="00373BC0">
        <w:rPr>
          <w:rFonts w:ascii="Calibri" w:hAnsi="Calibri" w:cs="Calibri"/>
          <w:noProof/>
          <w:szCs w:val="24"/>
        </w:rPr>
        <w:t>, 10328–10333 (2016).</w:t>
      </w:r>
    </w:p>
    <w:p w14:paraId="4E392118"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38.</w:t>
      </w:r>
      <w:r w:rsidRPr="00373BC0">
        <w:rPr>
          <w:rFonts w:ascii="Calibri" w:hAnsi="Calibri" w:cs="Calibri"/>
          <w:noProof/>
          <w:szCs w:val="24"/>
        </w:rPr>
        <w:tab/>
        <w:t xml:space="preserve">Wise-Scira, O., Dunn, A., Aloglu, A. K., Sakallioglu, I. T. &amp; Coskuner, O. Structures of the E46K mutant-type α-synuclein protein and impact of E46K mutation on the structures of the wild-type α-synuclein protein. </w:t>
      </w:r>
      <w:r w:rsidRPr="00373BC0">
        <w:rPr>
          <w:rFonts w:ascii="Calibri" w:hAnsi="Calibri" w:cs="Calibri"/>
          <w:i/>
          <w:iCs/>
          <w:noProof/>
          <w:szCs w:val="24"/>
        </w:rPr>
        <w:t>ACS Chem. Neurosci.</w:t>
      </w:r>
      <w:r w:rsidRPr="00373BC0">
        <w:rPr>
          <w:rFonts w:ascii="Calibri" w:hAnsi="Calibri" w:cs="Calibri"/>
          <w:noProof/>
          <w:szCs w:val="24"/>
        </w:rPr>
        <w:t xml:space="preserve"> </w:t>
      </w:r>
      <w:r w:rsidRPr="00373BC0">
        <w:rPr>
          <w:rFonts w:ascii="Calibri" w:hAnsi="Calibri" w:cs="Calibri"/>
          <w:b/>
          <w:bCs/>
          <w:noProof/>
          <w:szCs w:val="24"/>
        </w:rPr>
        <w:t>4</w:t>
      </w:r>
      <w:r w:rsidRPr="00373BC0">
        <w:rPr>
          <w:rFonts w:ascii="Calibri" w:hAnsi="Calibri" w:cs="Calibri"/>
          <w:noProof/>
          <w:szCs w:val="24"/>
        </w:rPr>
        <w:t>, 498–508 (2013).</w:t>
      </w:r>
    </w:p>
    <w:p w14:paraId="00B78478"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39.</w:t>
      </w:r>
      <w:r w:rsidRPr="00373BC0">
        <w:rPr>
          <w:rFonts w:ascii="Calibri" w:hAnsi="Calibri" w:cs="Calibri"/>
          <w:noProof/>
          <w:szCs w:val="24"/>
        </w:rPr>
        <w:tab/>
        <w:t xml:space="preserve">Santner, A. &amp; Uversky, V. N. Metalloproteomics and metal toxicology of α-synuclein. </w:t>
      </w:r>
      <w:r w:rsidRPr="00373BC0">
        <w:rPr>
          <w:rFonts w:ascii="Calibri" w:hAnsi="Calibri" w:cs="Calibri"/>
          <w:i/>
          <w:iCs/>
          <w:noProof/>
          <w:szCs w:val="24"/>
        </w:rPr>
        <w:t>Metallomics</w:t>
      </w:r>
      <w:r w:rsidRPr="00373BC0">
        <w:rPr>
          <w:rFonts w:ascii="Calibri" w:hAnsi="Calibri" w:cs="Calibri"/>
          <w:noProof/>
          <w:szCs w:val="24"/>
        </w:rPr>
        <w:t xml:space="preserve"> </w:t>
      </w:r>
      <w:r w:rsidRPr="00373BC0">
        <w:rPr>
          <w:rFonts w:ascii="Calibri" w:hAnsi="Calibri" w:cs="Calibri"/>
          <w:b/>
          <w:bCs/>
          <w:noProof/>
          <w:szCs w:val="24"/>
        </w:rPr>
        <w:t>2</w:t>
      </w:r>
      <w:r w:rsidRPr="00373BC0">
        <w:rPr>
          <w:rFonts w:ascii="Calibri" w:hAnsi="Calibri" w:cs="Calibri"/>
          <w:noProof/>
          <w:szCs w:val="24"/>
        </w:rPr>
        <w:t>, 378–392 (2010).</w:t>
      </w:r>
    </w:p>
    <w:p w14:paraId="1B618E8B"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40.</w:t>
      </w:r>
      <w:r w:rsidRPr="00373BC0">
        <w:rPr>
          <w:rFonts w:ascii="Calibri" w:hAnsi="Calibri" w:cs="Calibri"/>
          <w:noProof/>
          <w:szCs w:val="24"/>
        </w:rPr>
        <w:tab/>
        <w:t xml:space="preserve">Lautenschläger, J. </w:t>
      </w:r>
      <w:r w:rsidRPr="00373BC0">
        <w:rPr>
          <w:rFonts w:ascii="Calibri" w:hAnsi="Calibri" w:cs="Calibri"/>
          <w:i/>
          <w:iCs/>
          <w:noProof/>
          <w:szCs w:val="24"/>
        </w:rPr>
        <w:t>et al.</w:t>
      </w:r>
      <w:r w:rsidRPr="00373BC0">
        <w:rPr>
          <w:rFonts w:ascii="Calibri" w:hAnsi="Calibri" w:cs="Calibri"/>
          <w:noProof/>
          <w:szCs w:val="24"/>
        </w:rPr>
        <w:t xml:space="preserve"> C-terminal calcium binding of α-synuclein modulates synaptic vesicle interaction. </w:t>
      </w:r>
      <w:r w:rsidRPr="00373BC0">
        <w:rPr>
          <w:rFonts w:ascii="Calibri" w:hAnsi="Calibri" w:cs="Calibri"/>
          <w:i/>
          <w:iCs/>
          <w:noProof/>
          <w:szCs w:val="24"/>
        </w:rPr>
        <w:t>Nat. Commun.</w:t>
      </w:r>
      <w:r w:rsidRPr="00373BC0">
        <w:rPr>
          <w:rFonts w:ascii="Calibri" w:hAnsi="Calibri" w:cs="Calibri"/>
          <w:noProof/>
          <w:szCs w:val="24"/>
        </w:rPr>
        <w:t xml:space="preserve"> </w:t>
      </w:r>
      <w:r w:rsidRPr="00373BC0">
        <w:rPr>
          <w:rFonts w:ascii="Calibri" w:hAnsi="Calibri" w:cs="Calibri"/>
          <w:b/>
          <w:bCs/>
          <w:noProof/>
          <w:szCs w:val="24"/>
        </w:rPr>
        <w:t>9</w:t>
      </w:r>
      <w:r w:rsidRPr="00373BC0">
        <w:rPr>
          <w:rFonts w:ascii="Calibri" w:hAnsi="Calibri" w:cs="Calibri"/>
          <w:noProof/>
          <w:szCs w:val="24"/>
        </w:rPr>
        <w:t>, 712 (2018).</w:t>
      </w:r>
    </w:p>
    <w:p w14:paraId="08A61EA7"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41.</w:t>
      </w:r>
      <w:r w:rsidRPr="00373BC0">
        <w:rPr>
          <w:rFonts w:ascii="Calibri" w:hAnsi="Calibri" w:cs="Calibri"/>
          <w:noProof/>
          <w:szCs w:val="24"/>
        </w:rPr>
        <w:tab/>
        <w:t xml:space="preserve">Surmeier, D. J., Guzman, J. N. &amp; Sanchez-Padilla, J. Calcium, cellular aging, and selective neuronal vulnerability in Parkinson’s disease. </w:t>
      </w:r>
      <w:r w:rsidRPr="00373BC0">
        <w:rPr>
          <w:rFonts w:ascii="Calibri" w:hAnsi="Calibri" w:cs="Calibri"/>
          <w:i/>
          <w:iCs/>
          <w:noProof/>
          <w:szCs w:val="24"/>
        </w:rPr>
        <w:t>Cell Calcium</w:t>
      </w:r>
      <w:r w:rsidRPr="00373BC0">
        <w:rPr>
          <w:rFonts w:ascii="Calibri" w:hAnsi="Calibri" w:cs="Calibri"/>
          <w:noProof/>
          <w:szCs w:val="24"/>
        </w:rPr>
        <w:t xml:space="preserve"> </w:t>
      </w:r>
      <w:r w:rsidRPr="00373BC0">
        <w:rPr>
          <w:rFonts w:ascii="Calibri" w:hAnsi="Calibri" w:cs="Calibri"/>
          <w:b/>
          <w:bCs/>
          <w:noProof/>
          <w:szCs w:val="24"/>
        </w:rPr>
        <w:t>47</w:t>
      </w:r>
      <w:r w:rsidRPr="00373BC0">
        <w:rPr>
          <w:rFonts w:ascii="Calibri" w:hAnsi="Calibri" w:cs="Calibri"/>
          <w:noProof/>
          <w:szCs w:val="24"/>
        </w:rPr>
        <w:t>, 175–182 (2010).</w:t>
      </w:r>
    </w:p>
    <w:p w14:paraId="67F29577"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42.</w:t>
      </w:r>
      <w:r w:rsidRPr="00373BC0">
        <w:rPr>
          <w:rFonts w:ascii="Calibri" w:hAnsi="Calibri" w:cs="Calibri"/>
          <w:noProof/>
          <w:szCs w:val="24"/>
        </w:rPr>
        <w:tab/>
        <w:t xml:space="preserve">Lu, Y., Prudent, M., Fauvet, B., Lashuel, H. A. &amp; Girault, H. H. Phosphorylation of α-synuclein at Y125 and S129 alters its metal binding properties: Implications for understanding the role of α-synuclein in the pathogenesis of Parkinson’s disease and related disorders. </w:t>
      </w:r>
      <w:r w:rsidRPr="00373BC0">
        <w:rPr>
          <w:rFonts w:ascii="Calibri" w:hAnsi="Calibri" w:cs="Calibri"/>
          <w:i/>
          <w:iCs/>
          <w:noProof/>
          <w:szCs w:val="24"/>
        </w:rPr>
        <w:t>ACS Chem. Neurosci.</w:t>
      </w:r>
      <w:r w:rsidRPr="00373BC0">
        <w:rPr>
          <w:rFonts w:ascii="Calibri" w:hAnsi="Calibri" w:cs="Calibri"/>
          <w:noProof/>
          <w:szCs w:val="24"/>
        </w:rPr>
        <w:t xml:space="preserve"> </w:t>
      </w:r>
      <w:r w:rsidRPr="00373BC0">
        <w:rPr>
          <w:rFonts w:ascii="Calibri" w:hAnsi="Calibri" w:cs="Calibri"/>
          <w:b/>
          <w:bCs/>
          <w:noProof/>
          <w:szCs w:val="24"/>
        </w:rPr>
        <w:t>2</w:t>
      </w:r>
      <w:r w:rsidRPr="00373BC0">
        <w:rPr>
          <w:rFonts w:ascii="Calibri" w:hAnsi="Calibri" w:cs="Calibri"/>
          <w:noProof/>
          <w:szCs w:val="24"/>
        </w:rPr>
        <w:t>, 667–675 (2011).</w:t>
      </w:r>
    </w:p>
    <w:p w14:paraId="605CDF8A"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43.</w:t>
      </w:r>
      <w:r w:rsidRPr="00373BC0">
        <w:rPr>
          <w:rFonts w:ascii="Calibri" w:hAnsi="Calibri" w:cs="Calibri"/>
          <w:noProof/>
          <w:szCs w:val="24"/>
        </w:rPr>
        <w:tab/>
        <w:t xml:space="preserve">Ghosh, D. </w:t>
      </w:r>
      <w:r w:rsidRPr="00373BC0">
        <w:rPr>
          <w:rFonts w:ascii="Calibri" w:hAnsi="Calibri" w:cs="Calibri"/>
          <w:i/>
          <w:iCs/>
          <w:noProof/>
          <w:szCs w:val="24"/>
        </w:rPr>
        <w:t>et al.</w:t>
      </w:r>
      <w:r w:rsidRPr="00373BC0">
        <w:rPr>
          <w:rFonts w:ascii="Calibri" w:hAnsi="Calibri" w:cs="Calibri"/>
          <w:noProof/>
          <w:szCs w:val="24"/>
        </w:rPr>
        <w:t xml:space="preserve"> The newly discovered Parkinsons disease associated finnish mutation (A53E) attenuates α-synuclein aggregation and membrane binding. </w:t>
      </w:r>
      <w:r w:rsidRPr="00373BC0">
        <w:rPr>
          <w:rFonts w:ascii="Calibri" w:hAnsi="Calibri" w:cs="Calibri"/>
          <w:i/>
          <w:iCs/>
          <w:noProof/>
          <w:szCs w:val="24"/>
        </w:rPr>
        <w:t>Biochemistry</w:t>
      </w:r>
      <w:r w:rsidRPr="00373BC0">
        <w:rPr>
          <w:rFonts w:ascii="Calibri" w:hAnsi="Calibri" w:cs="Calibri"/>
          <w:noProof/>
          <w:szCs w:val="24"/>
        </w:rPr>
        <w:t xml:space="preserve"> </w:t>
      </w:r>
      <w:r w:rsidRPr="00373BC0">
        <w:rPr>
          <w:rFonts w:ascii="Calibri" w:hAnsi="Calibri" w:cs="Calibri"/>
          <w:b/>
          <w:bCs/>
          <w:noProof/>
          <w:szCs w:val="24"/>
        </w:rPr>
        <w:t>53</w:t>
      </w:r>
      <w:r w:rsidRPr="00373BC0">
        <w:rPr>
          <w:rFonts w:ascii="Calibri" w:hAnsi="Calibri" w:cs="Calibri"/>
          <w:noProof/>
          <w:szCs w:val="24"/>
        </w:rPr>
        <w:t>, 6419–6421 (2014).</w:t>
      </w:r>
    </w:p>
    <w:p w14:paraId="65F8A977"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44.</w:t>
      </w:r>
      <w:r w:rsidRPr="00373BC0">
        <w:rPr>
          <w:rFonts w:ascii="Calibri" w:hAnsi="Calibri" w:cs="Calibri"/>
          <w:noProof/>
          <w:szCs w:val="24"/>
        </w:rPr>
        <w:tab/>
        <w:t xml:space="preserve">Galvagnion, C. </w:t>
      </w:r>
      <w:r w:rsidRPr="00373BC0">
        <w:rPr>
          <w:rFonts w:ascii="Calibri" w:hAnsi="Calibri" w:cs="Calibri"/>
          <w:i/>
          <w:iCs/>
          <w:noProof/>
          <w:szCs w:val="24"/>
        </w:rPr>
        <w:t>et al.</w:t>
      </w:r>
      <w:r w:rsidRPr="00373BC0">
        <w:rPr>
          <w:rFonts w:ascii="Calibri" w:hAnsi="Calibri" w:cs="Calibri"/>
          <w:noProof/>
          <w:szCs w:val="24"/>
        </w:rPr>
        <w:t xml:space="preserve"> Lipid vesicles trigger α-synuclein aggregation by stimulating primary nucleation. </w:t>
      </w:r>
      <w:r w:rsidRPr="00373BC0">
        <w:rPr>
          <w:rFonts w:ascii="Calibri" w:hAnsi="Calibri" w:cs="Calibri"/>
          <w:i/>
          <w:iCs/>
          <w:noProof/>
          <w:szCs w:val="24"/>
        </w:rPr>
        <w:t>Nat. Chem. Biol.</w:t>
      </w:r>
      <w:r w:rsidRPr="00373BC0">
        <w:rPr>
          <w:rFonts w:ascii="Calibri" w:hAnsi="Calibri" w:cs="Calibri"/>
          <w:noProof/>
          <w:szCs w:val="24"/>
        </w:rPr>
        <w:t xml:space="preserve"> </w:t>
      </w:r>
      <w:r w:rsidRPr="00373BC0">
        <w:rPr>
          <w:rFonts w:ascii="Calibri" w:hAnsi="Calibri" w:cs="Calibri"/>
          <w:b/>
          <w:bCs/>
          <w:noProof/>
          <w:szCs w:val="24"/>
        </w:rPr>
        <w:t>11</w:t>
      </w:r>
      <w:r w:rsidRPr="00373BC0">
        <w:rPr>
          <w:rFonts w:ascii="Calibri" w:hAnsi="Calibri" w:cs="Calibri"/>
          <w:noProof/>
          <w:szCs w:val="24"/>
        </w:rPr>
        <w:t>, 229–234 (2015).</w:t>
      </w:r>
    </w:p>
    <w:p w14:paraId="0F8A2F7F"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lastRenderedPageBreak/>
        <w:t>45.</w:t>
      </w:r>
      <w:r w:rsidRPr="00373BC0">
        <w:rPr>
          <w:rFonts w:ascii="Calibri" w:hAnsi="Calibri" w:cs="Calibri"/>
          <w:noProof/>
          <w:szCs w:val="24"/>
        </w:rPr>
        <w:tab/>
        <w:t xml:space="preserve">Wongkongkathep, P. </w:t>
      </w:r>
      <w:r w:rsidRPr="00373BC0">
        <w:rPr>
          <w:rFonts w:ascii="Calibri" w:hAnsi="Calibri" w:cs="Calibri"/>
          <w:i/>
          <w:iCs/>
          <w:noProof/>
          <w:szCs w:val="24"/>
        </w:rPr>
        <w:t>et al.</w:t>
      </w:r>
      <w:r w:rsidRPr="00373BC0">
        <w:rPr>
          <w:rFonts w:ascii="Calibri" w:hAnsi="Calibri" w:cs="Calibri"/>
          <w:noProof/>
          <w:szCs w:val="24"/>
        </w:rPr>
        <w:t xml:space="preserve"> Native Top-Down Mass Spectrometry and Ion Mobility MS for Characterizing the Cobalt and Manganese Metal Binding of α-Synuclein Protein. </w:t>
      </w:r>
      <w:r w:rsidRPr="00373BC0">
        <w:rPr>
          <w:rFonts w:ascii="Calibri" w:hAnsi="Calibri" w:cs="Calibri"/>
          <w:i/>
          <w:iCs/>
          <w:noProof/>
          <w:szCs w:val="24"/>
        </w:rPr>
        <w:t>J. Am. Soc. Mass Spectrom.</w:t>
      </w:r>
      <w:r w:rsidRPr="00373BC0">
        <w:rPr>
          <w:rFonts w:ascii="Calibri" w:hAnsi="Calibri" w:cs="Calibri"/>
          <w:noProof/>
          <w:szCs w:val="24"/>
        </w:rPr>
        <w:t xml:space="preserve"> </w:t>
      </w:r>
      <w:r w:rsidRPr="00373BC0">
        <w:rPr>
          <w:rFonts w:ascii="Calibri" w:hAnsi="Calibri" w:cs="Calibri"/>
          <w:b/>
          <w:bCs/>
          <w:noProof/>
          <w:szCs w:val="24"/>
        </w:rPr>
        <w:t>29</w:t>
      </w:r>
      <w:r w:rsidRPr="00373BC0">
        <w:rPr>
          <w:rFonts w:ascii="Calibri" w:hAnsi="Calibri" w:cs="Calibri"/>
          <w:noProof/>
          <w:szCs w:val="24"/>
        </w:rPr>
        <w:t>, 1870–1880 (2018).</w:t>
      </w:r>
    </w:p>
    <w:p w14:paraId="434CD8E1"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46.</w:t>
      </w:r>
      <w:r w:rsidRPr="00373BC0">
        <w:rPr>
          <w:rFonts w:ascii="Calibri" w:hAnsi="Calibri" w:cs="Calibri"/>
          <w:noProof/>
          <w:szCs w:val="24"/>
        </w:rPr>
        <w:tab/>
        <w:t xml:space="preserve">Konijnenberg, A. </w:t>
      </w:r>
      <w:r w:rsidRPr="00373BC0">
        <w:rPr>
          <w:rFonts w:ascii="Calibri" w:hAnsi="Calibri" w:cs="Calibri"/>
          <w:i/>
          <w:iCs/>
          <w:noProof/>
          <w:szCs w:val="24"/>
        </w:rPr>
        <w:t>et al.</w:t>
      </w:r>
      <w:r w:rsidRPr="00373BC0">
        <w:rPr>
          <w:rFonts w:ascii="Calibri" w:hAnsi="Calibri" w:cs="Calibri"/>
          <w:noProof/>
          <w:szCs w:val="24"/>
        </w:rPr>
        <w:t xml:space="preserve"> Opposite Structural Effects of Epigallocatechin-3-gallate and Dopamine Binding to α-Synuclein. </w:t>
      </w:r>
      <w:r w:rsidRPr="00373BC0">
        <w:rPr>
          <w:rFonts w:ascii="Calibri" w:hAnsi="Calibri" w:cs="Calibri"/>
          <w:i/>
          <w:iCs/>
          <w:noProof/>
          <w:szCs w:val="24"/>
        </w:rPr>
        <w:t>Anal. Chem.</w:t>
      </w:r>
      <w:r w:rsidRPr="00373BC0">
        <w:rPr>
          <w:rFonts w:ascii="Calibri" w:hAnsi="Calibri" w:cs="Calibri"/>
          <w:noProof/>
          <w:szCs w:val="24"/>
        </w:rPr>
        <w:t xml:space="preserve"> </w:t>
      </w:r>
      <w:r w:rsidRPr="00373BC0">
        <w:rPr>
          <w:rFonts w:ascii="Calibri" w:hAnsi="Calibri" w:cs="Calibri"/>
          <w:b/>
          <w:bCs/>
          <w:noProof/>
          <w:szCs w:val="24"/>
        </w:rPr>
        <w:t>88</w:t>
      </w:r>
      <w:r w:rsidRPr="00373BC0">
        <w:rPr>
          <w:rFonts w:ascii="Calibri" w:hAnsi="Calibri" w:cs="Calibri"/>
          <w:noProof/>
          <w:szCs w:val="24"/>
        </w:rPr>
        <w:t>, 8468–8475 (2016).</w:t>
      </w:r>
    </w:p>
    <w:p w14:paraId="7628FCFD"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47.</w:t>
      </w:r>
      <w:r w:rsidRPr="00373BC0">
        <w:rPr>
          <w:rFonts w:ascii="Calibri" w:hAnsi="Calibri" w:cs="Calibri"/>
          <w:noProof/>
          <w:szCs w:val="24"/>
        </w:rPr>
        <w:tab/>
        <w:t xml:space="preserve">Brodie, N. I., Popov, K. I., Petrotchenko, E. V., Dokholyan, N. V. &amp; Borchers, C. H. Conformational ensemble of native α-synuclein in solution as determined by short-distance crosslinking constraint-guided discrete molecular dynamics simulations. </w:t>
      </w:r>
      <w:r w:rsidRPr="00373BC0">
        <w:rPr>
          <w:rFonts w:ascii="Calibri" w:hAnsi="Calibri" w:cs="Calibri"/>
          <w:i/>
          <w:iCs/>
          <w:noProof/>
          <w:szCs w:val="24"/>
        </w:rPr>
        <w:t>PLoS Comput. Biol.</w:t>
      </w:r>
      <w:r w:rsidRPr="00373BC0">
        <w:rPr>
          <w:rFonts w:ascii="Calibri" w:hAnsi="Calibri" w:cs="Calibri"/>
          <w:noProof/>
          <w:szCs w:val="24"/>
        </w:rPr>
        <w:t xml:space="preserve"> </w:t>
      </w:r>
      <w:r w:rsidRPr="00373BC0">
        <w:rPr>
          <w:rFonts w:ascii="Calibri" w:hAnsi="Calibri" w:cs="Calibri"/>
          <w:b/>
          <w:bCs/>
          <w:noProof/>
          <w:szCs w:val="24"/>
        </w:rPr>
        <w:t>15</w:t>
      </w:r>
      <w:r w:rsidRPr="00373BC0">
        <w:rPr>
          <w:rFonts w:ascii="Calibri" w:hAnsi="Calibri" w:cs="Calibri"/>
          <w:noProof/>
          <w:szCs w:val="24"/>
        </w:rPr>
        <w:t>, (2019).</w:t>
      </w:r>
    </w:p>
    <w:p w14:paraId="1D7E5A2B"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48.</w:t>
      </w:r>
      <w:r w:rsidRPr="00373BC0">
        <w:rPr>
          <w:rFonts w:ascii="Calibri" w:hAnsi="Calibri" w:cs="Calibri"/>
          <w:noProof/>
          <w:szCs w:val="24"/>
        </w:rPr>
        <w:tab/>
        <w:t xml:space="preserve">Han, J. Y., Choi, T. S. &amp; Kim, H. I. Molecular Role of Ca2+ and Hard Divalent Metal Cations on Accelerated Fibrillation and Interfibrillar Aggregation of α-Synuclein. </w:t>
      </w:r>
      <w:r w:rsidRPr="00373BC0">
        <w:rPr>
          <w:rFonts w:ascii="Calibri" w:hAnsi="Calibri" w:cs="Calibri"/>
          <w:i/>
          <w:iCs/>
          <w:noProof/>
          <w:szCs w:val="24"/>
        </w:rPr>
        <w:t>Sci. Rep.</w:t>
      </w:r>
      <w:r w:rsidRPr="00373BC0">
        <w:rPr>
          <w:rFonts w:ascii="Calibri" w:hAnsi="Calibri" w:cs="Calibri"/>
          <w:noProof/>
          <w:szCs w:val="24"/>
        </w:rPr>
        <w:t xml:space="preserve"> </w:t>
      </w:r>
      <w:r w:rsidRPr="00373BC0">
        <w:rPr>
          <w:rFonts w:ascii="Calibri" w:hAnsi="Calibri" w:cs="Calibri"/>
          <w:b/>
          <w:bCs/>
          <w:noProof/>
          <w:szCs w:val="24"/>
        </w:rPr>
        <w:t>8</w:t>
      </w:r>
      <w:r w:rsidRPr="00373BC0">
        <w:rPr>
          <w:rFonts w:ascii="Calibri" w:hAnsi="Calibri" w:cs="Calibri"/>
          <w:noProof/>
          <w:szCs w:val="24"/>
        </w:rPr>
        <w:t>, 1895 (2018).</w:t>
      </w:r>
    </w:p>
    <w:p w14:paraId="1355D899"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49.</w:t>
      </w:r>
      <w:r w:rsidRPr="00373BC0">
        <w:rPr>
          <w:rFonts w:ascii="Calibri" w:hAnsi="Calibri" w:cs="Calibri"/>
          <w:noProof/>
          <w:szCs w:val="24"/>
        </w:rPr>
        <w:tab/>
        <w:t xml:space="preserve">Uversky, V. N., Li, J. &amp; Fink, A. L. Evidence for a Partially Folded Intermediate in α-Synuclein Fibril Formation. </w:t>
      </w:r>
      <w:r w:rsidRPr="00373BC0">
        <w:rPr>
          <w:rFonts w:ascii="Calibri" w:hAnsi="Calibri" w:cs="Calibri"/>
          <w:i/>
          <w:iCs/>
          <w:noProof/>
          <w:szCs w:val="24"/>
        </w:rPr>
        <w:t>J. Biol. Chem.</w:t>
      </w:r>
      <w:r w:rsidRPr="00373BC0">
        <w:rPr>
          <w:rFonts w:ascii="Calibri" w:hAnsi="Calibri" w:cs="Calibri"/>
          <w:noProof/>
          <w:szCs w:val="24"/>
        </w:rPr>
        <w:t xml:space="preserve"> </w:t>
      </w:r>
      <w:r w:rsidRPr="00373BC0">
        <w:rPr>
          <w:rFonts w:ascii="Calibri" w:hAnsi="Calibri" w:cs="Calibri"/>
          <w:b/>
          <w:bCs/>
          <w:noProof/>
          <w:szCs w:val="24"/>
        </w:rPr>
        <w:t>276</w:t>
      </w:r>
      <w:r w:rsidRPr="00373BC0">
        <w:rPr>
          <w:rFonts w:ascii="Calibri" w:hAnsi="Calibri" w:cs="Calibri"/>
          <w:noProof/>
          <w:szCs w:val="24"/>
        </w:rPr>
        <w:t>, 10737–10744 (2001).</w:t>
      </w:r>
    </w:p>
    <w:p w14:paraId="5F63292A"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50.</w:t>
      </w:r>
      <w:r w:rsidRPr="00373BC0">
        <w:rPr>
          <w:rFonts w:ascii="Calibri" w:hAnsi="Calibri" w:cs="Calibri"/>
          <w:noProof/>
          <w:szCs w:val="24"/>
        </w:rPr>
        <w:tab/>
        <w:t xml:space="preserve">Bernstein, S. L. </w:t>
      </w:r>
      <w:r w:rsidRPr="00373BC0">
        <w:rPr>
          <w:rFonts w:ascii="Calibri" w:hAnsi="Calibri" w:cs="Calibri"/>
          <w:i/>
          <w:iCs/>
          <w:noProof/>
          <w:szCs w:val="24"/>
        </w:rPr>
        <w:t>et al.</w:t>
      </w:r>
      <w:r w:rsidRPr="00373BC0">
        <w:rPr>
          <w:rFonts w:ascii="Calibri" w:hAnsi="Calibri" w:cs="Calibri"/>
          <w:noProof/>
          <w:szCs w:val="24"/>
        </w:rPr>
        <w:t xml:space="preserve"> α-Synuclein: Stable compact and extended monomeric structures and pH dependence of dimer formation. </w:t>
      </w:r>
      <w:r w:rsidRPr="00373BC0">
        <w:rPr>
          <w:rFonts w:ascii="Calibri" w:hAnsi="Calibri" w:cs="Calibri"/>
          <w:i/>
          <w:iCs/>
          <w:noProof/>
          <w:szCs w:val="24"/>
        </w:rPr>
        <w:t>J. Am. Soc. Mass Spectrom.</w:t>
      </w:r>
      <w:r w:rsidRPr="00373BC0">
        <w:rPr>
          <w:rFonts w:ascii="Calibri" w:hAnsi="Calibri" w:cs="Calibri"/>
          <w:noProof/>
          <w:szCs w:val="24"/>
        </w:rPr>
        <w:t xml:space="preserve"> </w:t>
      </w:r>
      <w:r w:rsidRPr="00373BC0">
        <w:rPr>
          <w:rFonts w:ascii="Calibri" w:hAnsi="Calibri" w:cs="Calibri"/>
          <w:b/>
          <w:bCs/>
          <w:noProof/>
          <w:szCs w:val="24"/>
        </w:rPr>
        <w:t>15</w:t>
      </w:r>
      <w:r w:rsidRPr="00373BC0">
        <w:rPr>
          <w:rFonts w:ascii="Calibri" w:hAnsi="Calibri" w:cs="Calibri"/>
          <w:noProof/>
          <w:szCs w:val="24"/>
        </w:rPr>
        <w:t>, 1435–1443 (2004).</w:t>
      </w:r>
    </w:p>
    <w:p w14:paraId="7A2F2A50"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51.</w:t>
      </w:r>
      <w:r w:rsidRPr="00373BC0">
        <w:rPr>
          <w:rFonts w:ascii="Calibri" w:hAnsi="Calibri" w:cs="Calibri"/>
          <w:noProof/>
          <w:szCs w:val="24"/>
        </w:rPr>
        <w:tab/>
        <w:t xml:space="preserve">Frimpong, A. K., Abzalimov, R. R., Uversky, V. N. &amp; Kaltashov, I. A. Characterizationof intrinsically disordered proteins with electrospray inization mass spectrometry: Conformationl heterogeneity of α-synuciein. </w:t>
      </w:r>
      <w:r w:rsidRPr="00373BC0">
        <w:rPr>
          <w:rFonts w:ascii="Calibri" w:hAnsi="Calibri" w:cs="Calibri"/>
          <w:i/>
          <w:iCs/>
          <w:noProof/>
          <w:szCs w:val="24"/>
        </w:rPr>
        <w:t>Proteins Struct. Funct. Bioinforma.</w:t>
      </w:r>
      <w:r w:rsidRPr="00373BC0">
        <w:rPr>
          <w:rFonts w:ascii="Calibri" w:hAnsi="Calibri" w:cs="Calibri"/>
          <w:noProof/>
          <w:szCs w:val="24"/>
        </w:rPr>
        <w:t xml:space="preserve"> </w:t>
      </w:r>
      <w:r w:rsidRPr="00373BC0">
        <w:rPr>
          <w:rFonts w:ascii="Calibri" w:hAnsi="Calibri" w:cs="Calibri"/>
          <w:b/>
          <w:bCs/>
          <w:noProof/>
          <w:szCs w:val="24"/>
        </w:rPr>
        <w:t>78</w:t>
      </w:r>
      <w:r w:rsidRPr="00373BC0">
        <w:rPr>
          <w:rFonts w:ascii="Calibri" w:hAnsi="Calibri" w:cs="Calibri"/>
          <w:noProof/>
          <w:szCs w:val="24"/>
        </w:rPr>
        <w:t>, 714–722 (2010).</w:t>
      </w:r>
    </w:p>
    <w:p w14:paraId="7E773B24"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52.</w:t>
      </w:r>
      <w:r w:rsidRPr="00373BC0">
        <w:rPr>
          <w:rFonts w:ascii="Calibri" w:hAnsi="Calibri" w:cs="Calibri"/>
          <w:noProof/>
          <w:szCs w:val="24"/>
        </w:rPr>
        <w:tab/>
        <w:t xml:space="preserve">Wu, K.-P., Weinstock, D. S., Narayanan, C., Levy, R. M. &amp; Baum, J. Structural Reorganization of α-Synuclein at Low pH Observed by NMR and REMD Simulations. </w:t>
      </w:r>
      <w:r w:rsidRPr="00373BC0">
        <w:rPr>
          <w:rFonts w:ascii="Calibri" w:hAnsi="Calibri" w:cs="Calibri"/>
          <w:i/>
          <w:iCs/>
          <w:noProof/>
          <w:szCs w:val="24"/>
        </w:rPr>
        <w:t>J. Mol. Biol.</w:t>
      </w:r>
      <w:r w:rsidRPr="00373BC0">
        <w:rPr>
          <w:rFonts w:ascii="Calibri" w:hAnsi="Calibri" w:cs="Calibri"/>
          <w:noProof/>
          <w:szCs w:val="24"/>
        </w:rPr>
        <w:t xml:space="preserve"> </w:t>
      </w:r>
      <w:r w:rsidRPr="00373BC0">
        <w:rPr>
          <w:rFonts w:ascii="Calibri" w:hAnsi="Calibri" w:cs="Calibri"/>
          <w:b/>
          <w:bCs/>
          <w:noProof/>
          <w:szCs w:val="24"/>
        </w:rPr>
        <w:t>391</w:t>
      </w:r>
      <w:r w:rsidRPr="00373BC0">
        <w:rPr>
          <w:rFonts w:ascii="Calibri" w:hAnsi="Calibri" w:cs="Calibri"/>
          <w:noProof/>
          <w:szCs w:val="24"/>
        </w:rPr>
        <w:t>, 784–796 (2009).</w:t>
      </w:r>
    </w:p>
    <w:p w14:paraId="3F24CC7D"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53.</w:t>
      </w:r>
      <w:r w:rsidRPr="00373BC0">
        <w:rPr>
          <w:rFonts w:ascii="Calibri" w:hAnsi="Calibri" w:cs="Calibri"/>
          <w:noProof/>
          <w:szCs w:val="24"/>
        </w:rPr>
        <w:tab/>
        <w:t xml:space="preserve">Illes-Toth, E., Rempel, D. L. &amp; Gross, M. L. Pulsed Hydrogen-Deuterium Exchange Illuminates the Aggregation Kinetics of α-Synuclein, the Causative Agent for Parkinson’s Disease. </w:t>
      </w:r>
      <w:r w:rsidRPr="00373BC0">
        <w:rPr>
          <w:rFonts w:ascii="Calibri" w:hAnsi="Calibri" w:cs="Calibri"/>
          <w:i/>
          <w:iCs/>
          <w:noProof/>
          <w:szCs w:val="24"/>
        </w:rPr>
        <w:t>ACS Chem. Neurosci.</w:t>
      </w:r>
      <w:r w:rsidRPr="00373BC0">
        <w:rPr>
          <w:rFonts w:ascii="Calibri" w:hAnsi="Calibri" w:cs="Calibri"/>
          <w:noProof/>
          <w:szCs w:val="24"/>
        </w:rPr>
        <w:t xml:space="preserve"> </w:t>
      </w:r>
      <w:r w:rsidRPr="00373BC0">
        <w:rPr>
          <w:rFonts w:ascii="Calibri" w:hAnsi="Calibri" w:cs="Calibri"/>
          <w:b/>
          <w:bCs/>
          <w:noProof/>
          <w:szCs w:val="24"/>
        </w:rPr>
        <w:t>9</w:t>
      </w:r>
      <w:r w:rsidRPr="00373BC0">
        <w:rPr>
          <w:rFonts w:ascii="Calibri" w:hAnsi="Calibri" w:cs="Calibri"/>
          <w:noProof/>
          <w:szCs w:val="24"/>
        </w:rPr>
        <w:t>, 1469–1476 (2018).</w:t>
      </w:r>
    </w:p>
    <w:p w14:paraId="01C5AD5B"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54.</w:t>
      </w:r>
      <w:r w:rsidRPr="00373BC0">
        <w:rPr>
          <w:rFonts w:ascii="Calibri" w:hAnsi="Calibri" w:cs="Calibri"/>
          <w:noProof/>
          <w:szCs w:val="24"/>
        </w:rPr>
        <w:tab/>
        <w:t xml:space="preserve">Del Mar, C., Greenbaum, E. A., Mayne, L., Englander, S. W. &amp; Woods, V. L. Structure and properties of alpha-synuclein and other amyloids determined at the amino acid level. </w:t>
      </w:r>
      <w:r w:rsidRPr="00373BC0">
        <w:rPr>
          <w:rFonts w:ascii="Calibri" w:hAnsi="Calibri" w:cs="Calibri"/>
          <w:i/>
          <w:iCs/>
          <w:noProof/>
          <w:szCs w:val="24"/>
        </w:rPr>
        <w:t>Proc. Natl. Acad. Sci. U. S. A.</w:t>
      </w:r>
      <w:r w:rsidRPr="00373BC0">
        <w:rPr>
          <w:rFonts w:ascii="Calibri" w:hAnsi="Calibri" w:cs="Calibri"/>
          <w:noProof/>
          <w:szCs w:val="24"/>
        </w:rPr>
        <w:t xml:space="preserve"> </w:t>
      </w:r>
      <w:r w:rsidRPr="00373BC0">
        <w:rPr>
          <w:rFonts w:ascii="Calibri" w:hAnsi="Calibri" w:cs="Calibri"/>
          <w:b/>
          <w:bCs/>
          <w:noProof/>
          <w:szCs w:val="24"/>
        </w:rPr>
        <w:t>102</w:t>
      </w:r>
      <w:r w:rsidRPr="00373BC0">
        <w:rPr>
          <w:rFonts w:ascii="Calibri" w:hAnsi="Calibri" w:cs="Calibri"/>
          <w:noProof/>
          <w:szCs w:val="24"/>
        </w:rPr>
        <w:t>, 15477–82 (2005).</w:t>
      </w:r>
    </w:p>
    <w:p w14:paraId="17983CA6"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55.</w:t>
      </w:r>
      <w:r w:rsidRPr="00373BC0">
        <w:rPr>
          <w:rFonts w:ascii="Calibri" w:hAnsi="Calibri" w:cs="Calibri"/>
          <w:noProof/>
          <w:szCs w:val="24"/>
        </w:rPr>
        <w:tab/>
        <w:t xml:space="preserve">Kumar, H., Singh, J., Kumari, P. &amp; Udgaonkar, J. B. Modulation of the extent of structural heterogeneity in α-synuclein fibrils by the small molecule thioflavin T. </w:t>
      </w:r>
      <w:r w:rsidRPr="00373BC0">
        <w:rPr>
          <w:rFonts w:ascii="Calibri" w:hAnsi="Calibri" w:cs="Calibri"/>
          <w:i/>
          <w:iCs/>
          <w:noProof/>
          <w:szCs w:val="24"/>
        </w:rPr>
        <w:t>J. Biol. Chem.</w:t>
      </w:r>
      <w:r w:rsidRPr="00373BC0">
        <w:rPr>
          <w:rFonts w:ascii="Calibri" w:hAnsi="Calibri" w:cs="Calibri"/>
          <w:noProof/>
          <w:szCs w:val="24"/>
        </w:rPr>
        <w:t xml:space="preserve"> </w:t>
      </w:r>
      <w:r w:rsidRPr="00373BC0">
        <w:rPr>
          <w:rFonts w:ascii="Calibri" w:hAnsi="Calibri" w:cs="Calibri"/>
          <w:b/>
          <w:bCs/>
          <w:noProof/>
          <w:szCs w:val="24"/>
        </w:rPr>
        <w:t>292</w:t>
      </w:r>
      <w:r w:rsidRPr="00373BC0">
        <w:rPr>
          <w:rFonts w:ascii="Calibri" w:hAnsi="Calibri" w:cs="Calibri"/>
          <w:noProof/>
          <w:szCs w:val="24"/>
        </w:rPr>
        <w:t>, 16891–16903 (2017).</w:t>
      </w:r>
    </w:p>
    <w:p w14:paraId="465B75D0"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lastRenderedPageBreak/>
        <w:t>56.</w:t>
      </w:r>
      <w:r w:rsidRPr="00373BC0">
        <w:rPr>
          <w:rFonts w:ascii="Calibri" w:hAnsi="Calibri" w:cs="Calibri"/>
          <w:noProof/>
          <w:szCs w:val="24"/>
        </w:rPr>
        <w:tab/>
        <w:t xml:space="preserve">Paslawski, W., Mysling, S., Thomsen, K., Jørgensen, T. J. D. &amp; Otzen, D. E. Co-existence of Two Different α-Synuclein Oligomers with Different Core Structures Determined by Hydrogen/Deuterium Exchange Mass Spectrometry. </w:t>
      </w:r>
      <w:r w:rsidRPr="00373BC0">
        <w:rPr>
          <w:rFonts w:ascii="Calibri" w:hAnsi="Calibri" w:cs="Calibri"/>
          <w:i/>
          <w:iCs/>
          <w:noProof/>
          <w:szCs w:val="24"/>
        </w:rPr>
        <w:t>Angew. Chemie Int. Ed.</w:t>
      </w:r>
      <w:r w:rsidRPr="00373BC0">
        <w:rPr>
          <w:rFonts w:ascii="Calibri" w:hAnsi="Calibri" w:cs="Calibri"/>
          <w:noProof/>
          <w:szCs w:val="24"/>
        </w:rPr>
        <w:t xml:space="preserve"> </w:t>
      </w:r>
      <w:r w:rsidRPr="00373BC0">
        <w:rPr>
          <w:rFonts w:ascii="Calibri" w:hAnsi="Calibri" w:cs="Calibri"/>
          <w:b/>
          <w:bCs/>
          <w:noProof/>
          <w:szCs w:val="24"/>
        </w:rPr>
        <w:t>53</w:t>
      </w:r>
      <w:r w:rsidRPr="00373BC0">
        <w:rPr>
          <w:rFonts w:ascii="Calibri" w:hAnsi="Calibri" w:cs="Calibri"/>
          <w:noProof/>
          <w:szCs w:val="24"/>
        </w:rPr>
        <w:t>, 7560–7563 (2014).</w:t>
      </w:r>
    </w:p>
    <w:p w14:paraId="3DC37E4F"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57.</w:t>
      </w:r>
      <w:r w:rsidRPr="00373BC0">
        <w:rPr>
          <w:rFonts w:ascii="Calibri" w:hAnsi="Calibri" w:cs="Calibri"/>
          <w:noProof/>
          <w:szCs w:val="24"/>
        </w:rPr>
        <w:tab/>
        <w:t xml:space="preserve">Bertoncini, C. W. </w:t>
      </w:r>
      <w:r w:rsidRPr="00373BC0">
        <w:rPr>
          <w:rFonts w:ascii="Calibri" w:hAnsi="Calibri" w:cs="Calibri"/>
          <w:i/>
          <w:iCs/>
          <w:noProof/>
          <w:szCs w:val="24"/>
        </w:rPr>
        <w:t>et al.</w:t>
      </w:r>
      <w:r w:rsidRPr="00373BC0">
        <w:rPr>
          <w:rFonts w:ascii="Calibri" w:hAnsi="Calibri" w:cs="Calibri"/>
          <w:noProof/>
          <w:szCs w:val="24"/>
        </w:rPr>
        <w:t xml:space="preserve"> Release of long-range tertiary interactions potentiates aggregation of natively unstructured α-synuclein. </w:t>
      </w:r>
      <w:r w:rsidRPr="00373BC0">
        <w:rPr>
          <w:rFonts w:ascii="Calibri" w:hAnsi="Calibri" w:cs="Calibri"/>
          <w:i/>
          <w:iCs/>
          <w:noProof/>
          <w:szCs w:val="24"/>
        </w:rPr>
        <w:t>Proc. Natl. Acad. Sci. U. S. A.</w:t>
      </w:r>
      <w:r w:rsidRPr="00373BC0">
        <w:rPr>
          <w:rFonts w:ascii="Calibri" w:hAnsi="Calibri" w:cs="Calibri"/>
          <w:noProof/>
          <w:szCs w:val="24"/>
        </w:rPr>
        <w:t xml:space="preserve"> </w:t>
      </w:r>
      <w:r w:rsidRPr="00373BC0">
        <w:rPr>
          <w:rFonts w:ascii="Calibri" w:hAnsi="Calibri" w:cs="Calibri"/>
          <w:b/>
          <w:bCs/>
          <w:noProof/>
          <w:szCs w:val="24"/>
        </w:rPr>
        <w:t>102</w:t>
      </w:r>
      <w:r w:rsidRPr="00373BC0">
        <w:rPr>
          <w:rFonts w:ascii="Calibri" w:hAnsi="Calibri" w:cs="Calibri"/>
          <w:noProof/>
          <w:szCs w:val="24"/>
        </w:rPr>
        <w:t>, 1430–1435 (2005).</w:t>
      </w:r>
    </w:p>
    <w:p w14:paraId="0FD17D0F"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58.</w:t>
      </w:r>
      <w:r w:rsidRPr="00373BC0">
        <w:rPr>
          <w:rFonts w:ascii="Calibri" w:hAnsi="Calibri" w:cs="Calibri"/>
          <w:noProof/>
          <w:szCs w:val="24"/>
        </w:rPr>
        <w:tab/>
        <w:t xml:space="preserve">Murray, I. V. J. </w:t>
      </w:r>
      <w:r w:rsidRPr="00373BC0">
        <w:rPr>
          <w:rFonts w:ascii="Calibri" w:hAnsi="Calibri" w:cs="Calibri"/>
          <w:i/>
          <w:iCs/>
          <w:noProof/>
          <w:szCs w:val="24"/>
        </w:rPr>
        <w:t>et al.</w:t>
      </w:r>
      <w:r w:rsidRPr="00373BC0">
        <w:rPr>
          <w:rFonts w:ascii="Calibri" w:hAnsi="Calibri" w:cs="Calibri"/>
          <w:noProof/>
          <w:szCs w:val="24"/>
        </w:rPr>
        <w:t xml:space="preserve"> Role of α-synuclein carboxy-terminus on fibril formation in vitro. </w:t>
      </w:r>
      <w:r w:rsidRPr="00373BC0">
        <w:rPr>
          <w:rFonts w:ascii="Calibri" w:hAnsi="Calibri" w:cs="Calibri"/>
          <w:i/>
          <w:iCs/>
          <w:noProof/>
          <w:szCs w:val="24"/>
        </w:rPr>
        <w:t>Biochemistry</w:t>
      </w:r>
      <w:r w:rsidRPr="00373BC0">
        <w:rPr>
          <w:rFonts w:ascii="Calibri" w:hAnsi="Calibri" w:cs="Calibri"/>
          <w:noProof/>
          <w:szCs w:val="24"/>
        </w:rPr>
        <w:t xml:space="preserve"> </w:t>
      </w:r>
      <w:r w:rsidRPr="00373BC0">
        <w:rPr>
          <w:rFonts w:ascii="Calibri" w:hAnsi="Calibri" w:cs="Calibri"/>
          <w:b/>
          <w:bCs/>
          <w:noProof/>
          <w:szCs w:val="24"/>
        </w:rPr>
        <w:t>42</w:t>
      </w:r>
      <w:r w:rsidRPr="00373BC0">
        <w:rPr>
          <w:rFonts w:ascii="Calibri" w:hAnsi="Calibri" w:cs="Calibri"/>
          <w:noProof/>
          <w:szCs w:val="24"/>
        </w:rPr>
        <w:t>, 8530–8540 (2003).</w:t>
      </w:r>
    </w:p>
    <w:p w14:paraId="72B7728D"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59.</w:t>
      </w:r>
      <w:r w:rsidRPr="00373BC0">
        <w:rPr>
          <w:rFonts w:ascii="Calibri" w:hAnsi="Calibri" w:cs="Calibri"/>
          <w:noProof/>
          <w:szCs w:val="24"/>
        </w:rPr>
        <w:tab/>
        <w:t xml:space="preserve">Meuvis, J., Gerard, M., Desender, L., Baekelandt, V. &amp; Engelborghs, Y. The conformation and the aggregation kinetics of α-synuclein depend on the proline residues in its C-terminal region. </w:t>
      </w:r>
      <w:r w:rsidRPr="00373BC0">
        <w:rPr>
          <w:rFonts w:ascii="Calibri" w:hAnsi="Calibri" w:cs="Calibri"/>
          <w:i/>
          <w:iCs/>
          <w:noProof/>
          <w:szCs w:val="24"/>
        </w:rPr>
        <w:t>Biochemistry</w:t>
      </w:r>
      <w:r w:rsidRPr="00373BC0">
        <w:rPr>
          <w:rFonts w:ascii="Calibri" w:hAnsi="Calibri" w:cs="Calibri"/>
          <w:noProof/>
          <w:szCs w:val="24"/>
        </w:rPr>
        <w:t xml:space="preserve"> </w:t>
      </w:r>
      <w:r w:rsidRPr="00373BC0">
        <w:rPr>
          <w:rFonts w:ascii="Calibri" w:hAnsi="Calibri" w:cs="Calibri"/>
          <w:b/>
          <w:bCs/>
          <w:noProof/>
          <w:szCs w:val="24"/>
        </w:rPr>
        <w:t>49</w:t>
      </w:r>
      <w:r w:rsidRPr="00373BC0">
        <w:rPr>
          <w:rFonts w:ascii="Calibri" w:hAnsi="Calibri" w:cs="Calibri"/>
          <w:noProof/>
          <w:szCs w:val="24"/>
        </w:rPr>
        <w:t>, 9345–9352 (2010).</w:t>
      </w:r>
    </w:p>
    <w:p w14:paraId="02B27DB8"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60.</w:t>
      </w:r>
      <w:r w:rsidRPr="00373BC0">
        <w:rPr>
          <w:rFonts w:ascii="Calibri" w:hAnsi="Calibri" w:cs="Calibri"/>
          <w:noProof/>
          <w:szCs w:val="24"/>
        </w:rPr>
        <w:tab/>
        <w:t xml:space="preserve">El Turk, F. </w:t>
      </w:r>
      <w:r w:rsidRPr="00373BC0">
        <w:rPr>
          <w:rFonts w:ascii="Calibri" w:hAnsi="Calibri" w:cs="Calibri"/>
          <w:i/>
          <w:iCs/>
          <w:noProof/>
          <w:szCs w:val="24"/>
        </w:rPr>
        <w:t>et al.</w:t>
      </w:r>
      <w:r w:rsidRPr="00373BC0">
        <w:rPr>
          <w:rFonts w:ascii="Calibri" w:hAnsi="Calibri" w:cs="Calibri"/>
          <w:noProof/>
          <w:szCs w:val="24"/>
        </w:rPr>
        <w:t xml:space="preserve"> Exploring the role of post-translational modifications in regulating α-synuclein interactions by studying the effects of phosphorylation on nanobody binding. </w:t>
      </w:r>
      <w:r w:rsidRPr="00373BC0">
        <w:rPr>
          <w:rFonts w:ascii="Calibri" w:hAnsi="Calibri" w:cs="Calibri"/>
          <w:i/>
          <w:iCs/>
          <w:noProof/>
          <w:szCs w:val="24"/>
        </w:rPr>
        <w:t>Protein Sci.</w:t>
      </w:r>
      <w:r w:rsidRPr="00373BC0">
        <w:rPr>
          <w:rFonts w:ascii="Calibri" w:hAnsi="Calibri" w:cs="Calibri"/>
          <w:noProof/>
          <w:szCs w:val="24"/>
        </w:rPr>
        <w:t xml:space="preserve"> </w:t>
      </w:r>
      <w:r w:rsidRPr="00373BC0">
        <w:rPr>
          <w:rFonts w:ascii="Calibri" w:hAnsi="Calibri" w:cs="Calibri"/>
          <w:b/>
          <w:bCs/>
          <w:noProof/>
          <w:szCs w:val="24"/>
        </w:rPr>
        <w:t>27</w:t>
      </w:r>
      <w:r w:rsidRPr="00373BC0">
        <w:rPr>
          <w:rFonts w:ascii="Calibri" w:hAnsi="Calibri" w:cs="Calibri"/>
          <w:noProof/>
          <w:szCs w:val="24"/>
        </w:rPr>
        <w:t>, 1262–1274 (2018).</w:t>
      </w:r>
    </w:p>
    <w:p w14:paraId="148D9DF0"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61.</w:t>
      </w:r>
      <w:r w:rsidRPr="00373BC0">
        <w:rPr>
          <w:rFonts w:ascii="Calibri" w:hAnsi="Calibri" w:cs="Calibri"/>
          <w:noProof/>
          <w:szCs w:val="24"/>
        </w:rPr>
        <w:tab/>
        <w:t xml:space="preserve">Levitan, K. </w:t>
      </w:r>
      <w:r w:rsidRPr="00373BC0">
        <w:rPr>
          <w:rFonts w:ascii="Calibri" w:hAnsi="Calibri" w:cs="Calibri"/>
          <w:i/>
          <w:iCs/>
          <w:noProof/>
          <w:szCs w:val="24"/>
        </w:rPr>
        <w:t>et al.</w:t>
      </w:r>
      <w:r w:rsidRPr="00373BC0">
        <w:rPr>
          <w:rFonts w:ascii="Calibri" w:hAnsi="Calibri" w:cs="Calibri"/>
          <w:noProof/>
          <w:szCs w:val="24"/>
        </w:rPr>
        <w:t xml:space="preserve"> Conserved C-Terminal Charge Exerts a Profound Influence on the Aggregation Rate of α-Synuclein. </w:t>
      </w:r>
      <w:r w:rsidRPr="00373BC0">
        <w:rPr>
          <w:rFonts w:ascii="Calibri" w:hAnsi="Calibri" w:cs="Calibri"/>
          <w:i/>
          <w:iCs/>
          <w:noProof/>
          <w:szCs w:val="24"/>
        </w:rPr>
        <w:t>J. Mol. Biol.</w:t>
      </w:r>
      <w:r w:rsidRPr="00373BC0">
        <w:rPr>
          <w:rFonts w:ascii="Calibri" w:hAnsi="Calibri" w:cs="Calibri"/>
          <w:noProof/>
          <w:szCs w:val="24"/>
        </w:rPr>
        <w:t xml:space="preserve"> </w:t>
      </w:r>
      <w:r w:rsidRPr="00373BC0">
        <w:rPr>
          <w:rFonts w:ascii="Calibri" w:hAnsi="Calibri" w:cs="Calibri"/>
          <w:b/>
          <w:bCs/>
          <w:noProof/>
          <w:szCs w:val="24"/>
        </w:rPr>
        <w:t>411</w:t>
      </w:r>
      <w:r w:rsidRPr="00373BC0">
        <w:rPr>
          <w:rFonts w:ascii="Calibri" w:hAnsi="Calibri" w:cs="Calibri"/>
          <w:noProof/>
          <w:szCs w:val="24"/>
        </w:rPr>
        <w:t>, 329–333 (2011).</w:t>
      </w:r>
    </w:p>
    <w:p w14:paraId="17F0CC78"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62.</w:t>
      </w:r>
      <w:r w:rsidRPr="00373BC0">
        <w:rPr>
          <w:rFonts w:ascii="Calibri" w:hAnsi="Calibri" w:cs="Calibri"/>
          <w:noProof/>
          <w:szCs w:val="24"/>
        </w:rPr>
        <w:tab/>
        <w:t xml:space="preserve">Nielsen, M. S., Vorum, H., Lindersson, E. &amp; Jensen, P. H. Ca2+ Binding to ??-Synuclein Regulates Ligand Binding and Oligomerization. </w:t>
      </w:r>
      <w:r w:rsidRPr="00373BC0">
        <w:rPr>
          <w:rFonts w:ascii="Calibri" w:hAnsi="Calibri" w:cs="Calibri"/>
          <w:i/>
          <w:iCs/>
          <w:noProof/>
          <w:szCs w:val="24"/>
        </w:rPr>
        <w:t>J. Biol. Chem.</w:t>
      </w:r>
      <w:r w:rsidRPr="00373BC0">
        <w:rPr>
          <w:rFonts w:ascii="Calibri" w:hAnsi="Calibri" w:cs="Calibri"/>
          <w:noProof/>
          <w:szCs w:val="24"/>
        </w:rPr>
        <w:t xml:space="preserve"> </w:t>
      </w:r>
      <w:r w:rsidRPr="00373BC0">
        <w:rPr>
          <w:rFonts w:ascii="Calibri" w:hAnsi="Calibri" w:cs="Calibri"/>
          <w:b/>
          <w:bCs/>
          <w:noProof/>
          <w:szCs w:val="24"/>
        </w:rPr>
        <w:t>276</w:t>
      </w:r>
      <w:r w:rsidRPr="00373BC0">
        <w:rPr>
          <w:rFonts w:ascii="Calibri" w:hAnsi="Calibri" w:cs="Calibri"/>
          <w:noProof/>
          <w:szCs w:val="24"/>
        </w:rPr>
        <w:t>, 22680–22684 (2001).</w:t>
      </w:r>
    </w:p>
    <w:p w14:paraId="0BE0DEA1"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63.</w:t>
      </w:r>
      <w:r w:rsidRPr="00373BC0">
        <w:rPr>
          <w:rFonts w:ascii="Calibri" w:hAnsi="Calibri" w:cs="Calibri"/>
          <w:noProof/>
          <w:szCs w:val="24"/>
        </w:rPr>
        <w:tab/>
        <w:t xml:space="preserve">Shaykhalishahi, H. </w:t>
      </w:r>
      <w:r w:rsidRPr="00373BC0">
        <w:rPr>
          <w:rFonts w:ascii="Calibri" w:hAnsi="Calibri" w:cs="Calibri"/>
          <w:i/>
          <w:iCs/>
          <w:noProof/>
          <w:szCs w:val="24"/>
        </w:rPr>
        <w:t>et al.</w:t>
      </w:r>
      <w:r w:rsidRPr="00373BC0">
        <w:rPr>
          <w:rFonts w:ascii="Calibri" w:hAnsi="Calibri" w:cs="Calibri"/>
          <w:noProof/>
          <w:szCs w:val="24"/>
        </w:rPr>
        <w:t xml:space="preserve"> Contact between the β1 and β2 Segments of α-Synuclein that Inhibits Amyloid Formation. </w:t>
      </w:r>
      <w:r w:rsidRPr="00373BC0">
        <w:rPr>
          <w:rFonts w:ascii="Calibri" w:hAnsi="Calibri" w:cs="Calibri"/>
          <w:i/>
          <w:iCs/>
          <w:noProof/>
          <w:szCs w:val="24"/>
        </w:rPr>
        <w:t>Angew. Chemie Int. Ed.</w:t>
      </w:r>
      <w:r w:rsidRPr="00373BC0">
        <w:rPr>
          <w:rFonts w:ascii="Calibri" w:hAnsi="Calibri" w:cs="Calibri"/>
          <w:noProof/>
          <w:szCs w:val="24"/>
        </w:rPr>
        <w:t xml:space="preserve"> </w:t>
      </w:r>
      <w:r w:rsidRPr="00373BC0">
        <w:rPr>
          <w:rFonts w:ascii="Calibri" w:hAnsi="Calibri" w:cs="Calibri"/>
          <w:b/>
          <w:bCs/>
          <w:noProof/>
          <w:szCs w:val="24"/>
        </w:rPr>
        <w:t>54</w:t>
      </w:r>
      <w:r w:rsidRPr="00373BC0">
        <w:rPr>
          <w:rFonts w:ascii="Calibri" w:hAnsi="Calibri" w:cs="Calibri"/>
          <w:noProof/>
          <w:szCs w:val="24"/>
        </w:rPr>
        <w:t>, 8837–8840 (2015).</w:t>
      </w:r>
    </w:p>
    <w:p w14:paraId="4CC98175"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64.</w:t>
      </w:r>
      <w:r w:rsidRPr="00373BC0">
        <w:rPr>
          <w:rFonts w:ascii="Calibri" w:hAnsi="Calibri" w:cs="Calibri"/>
          <w:noProof/>
          <w:szCs w:val="24"/>
        </w:rPr>
        <w:tab/>
        <w:t xml:space="preserve">Mirecka, E. A. </w:t>
      </w:r>
      <w:r w:rsidRPr="00373BC0">
        <w:rPr>
          <w:rFonts w:ascii="Calibri" w:hAnsi="Calibri" w:cs="Calibri"/>
          <w:i/>
          <w:iCs/>
          <w:noProof/>
          <w:szCs w:val="24"/>
        </w:rPr>
        <w:t>et al.</w:t>
      </w:r>
      <w:r w:rsidRPr="00373BC0">
        <w:rPr>
          <w:rFonts w:ascii="Calibri" w:hAnsi="Calibri" w:cs="Calibri"/>
          <w:noProof/>
          <w:szCs w:val="24"/>
        </w:rPr>
        <w:t xml:space="preserve"> Sequestration of a β-hairpin for control of α-synuclein aggregation. </w:t>
      </w:r>
      <w:r w:rsidRPr="00373BC0">
        <w:rPr>
          <w:rFonts w:ascii="Calibri" w:hAnsi="Calibri" w:cs="Calibri"/>
          <w:i/>
          <w:iCs/>
          <w:noProof/>
          <w:szCs w:val="24"/>
        </w:rPr>
        <w:t>Angew. Chemie - Int. Ed.</w:t>
      </w:r>
      <w:r w:rsidRPr="00373BC0">
        <w:rPr>
          <w:rFonts w:ascii="Calibri" w:hAnsi="Calibri" w:cs="Calibri"/>
          <w:noProof/>
          <w:szCs w:val="24"/>
        </w:rPr>
        <w:t xml:space="preserve"> </w:t>
      </w:r>
      <w:r w:rsidRPr="00373BC0">
        <w:rPr>
          <w:rFonts w:ascii="Calibri" w:hAnsi="Calibri" w:cs="Calibri"/>
          <w:b/>
          <w:bCs/>
          <w:noProof/>
          <w:szCs w:val="24"/>
        </w:rPr>
        <w:t>53</w:t>
      </w:r>
      <w:r w:rsidRPr="00373BC0">
        <w:rPr>
          <w:rFonts w:ascii="Calibri" w:hAnsi="Calibri" w:cs="Calibri"/>
          <w:noProof/>
          <w:szCs w:val="24"/>
        </w:rPr>
        <w:t>, 4227–4230 (2014).</w:t>
      </w:r>
    </w:p>
    <w:p w14:paraId="69783D78"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65.</w:t>
      </w:r>
      <w:r w:rsidRPr="00373BC0">
        <w:rPr>
          <w:rFonts w:ascii="Calibri" w:hAnsi="Calibri" w:cs="Calibri"/>
          <w:noProof/>
          <w:szCs w:val="24"/>
        </w:rPr>
        <w:tab/>
        <w:t xml:space="preserve">Agerschou, E. D. </w:t>
      </w:r>
      <w:r w:rsidRPr="00373BC0">
        <w:rPr>
          <w:rFonts w:ascii="Calibri" w:hAnsi="Calibri" w:cs="Calibri"/>
          <w:i/>
          <w:iCs/>
          <w:noProof/>
          <w:szCs w:val="24"/>
        </w:rPr>
        <w:t>et al.</w:t>
      </w:r>
      <w:r w:rsidRPr="00373BC0">
        <w:rPr>
          <w:rFonts w:ascii="Calibri" w:hAnsi="Calibri" w:cs="Calibri"/>
          <w:noProof/>
          <w:szCs w:val="24"/>
        </w:rPr>
        <w:t xml:space="preserve"> An engineered monomer binding-protein for α-synuclein efficiently inhibits the proliferation of amyloid fibrils. </w:t>
      </w:r>
      <w:r w:rsidRPr="00373BC0">
        <w:rPr>
          <w:rFonts w:ascii="Calibri" w:hAnsi="Calibri" w:cs="Calibri"/>
          <w:i/>
          <w:iCs/>
          <w:noProof/>
          <w:szCs w:val="24"/>
        </w:rPr>
        <w:t>Elife</w:t>
      </w:r>
      <w:r w:rsidRPr="00373BC0">
        <w:rPr>
          <w:rFonts w:ascii="Calibri" w:hAnsi="Calibri" w:cs="Calibri"/>
          <w:noProof/>
          <w:szCs w:val="24"/>
        </w:rPr>
        <w:t xml:space="preserve"> </w:t>
      </w:r>
      <w:r w:rsidRPr="00373BC0">
        <w:rPr>
          <w:rFonts w:ascii="Calibri" w:hAnsi="Calibri" w:cs="Calibri"/>
          <w:b/>
          <w:bCs/>
          <w:noProof/>
          <w:szCs w:val="24"/>
        </w:rPr>
        <w:t>8</w:t>
      </w:r>
      <w:r w:rsidRPr="00373BC0">
        <w:rPr>
          <w:rFonts w:ascii="Calibri" w:hAnsi="Calibri" w:cs="Calibri"/>
          <w:noProof/>
          <w:szCs w:val="24"/>
        </w:rPr>
        <w:t>, (2019).</w:t>
      </w:r>
    </w:p>
    <w:p w14:paraId="44DB07E0"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66.</w:t>
      </w:r>
      <w:r w:rsidRPr="00373BC0">
        <w:rPr>
          <w:rFonts w:ascii="Calibri" w:hAnsi="Calibri" w:cs="Calibri"/>
          <w:noProof/>
          <w:szCs w:val="24"/>
        </w:rPr>
        <w:tab/>
        <w:t xml:space="preserve">Kessler, J. C., Rochet, J. C. &amp; Lansbury, P. T. The N-terminal repeat domain of α-synuclein inhibits β-sheet and amyloid fibril formation. </w:t>
      </w:r>
      <w:r w:rsidRPr="00373BC0">
        <w:rPr>
          <w:rFonts w:ascii="Calibri" w:hAnsi="Calibri" w:cs="Calibri"/>
          <w:i/>
          <w:iCs/>
          <w:noProof/>
          <w:szCs w:val="24"/>
        </w:rPr>
        <w:t>Biochemistry</w:t>
      </w:r>
      <w:r w:rsidRPr="00373BC0">
        <w:rPr>
          <w:rFonts w:ascii="Calibri" w:hAnsi="Calibri" w:cs="Calibri"/>
          <w:noProof/>
          <w:szCs w:val="24"/>
        </w:rPr>
        <w:t xml:space="preserve"> </w:t>
      </w:r>
      <w:r w:rsidRPr="00373BC0">
        <w:rPr>
          <w:rFonts w:ascii="Calibri" w:hAnsi="Calibri" w:cs="Calibri"/>
          <w:b/>
          <w:bCs/>
          <w:noProof/>
          <w:szCs w:val="24"/>
        </w:rPr>
        <w:t>42</w:t>
      </w:r>
      <w:r w:rsidRPr="00373BC0">
        <w:rPr>
          <w:rFonts w:ascii="Calibri" w:hAnsi="Calibri" w:cs="Calibri"/>
          <w:noProof/>
          <w:szCs w:val="24"/>
        </w:rPr>
        <w:t>, 672–678 (2003).</w:t>
      </w:r>
    </w:p>
    <w:p w14:paraId="21C9E9B4"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67.</w:t>
      </w:r>
      <w:r w:rsidRPr="00373BC0">
        <w:rPr>
          <w:rFonts w:ascii="Calibri" w:hAnsi="Calibri" w:cs="Calibri"/>
          <w:noProof/>
          <w:szCs w:val="24"/>
        </w:rPr>
        <w:tab/>
        <w:t xml:space="preserve">Shvadchak, V. V &amp; Subramaniam, V. A four-amino acid linker between repeats in the α-synuclein sequence is important for fibril formation. </w:t>
      </w:r>
      <w:r w:rsidRPr="00373BC0">
        <w:rPr>
          <w:rFonts w:ascii="Calibri" w:hAnsi="Calibri" w:cs="Calibri"/>
          <w:i/>
          <w:iCs/>
          <w:noProof/>
          <w:szCs w:val="24"/>
        </w:rPr>
        <w:t>Biochemistry</w:t>
      </w:r>
      <w:r w:rsidRPr="00373BC0">
        <w:rPr>
          <w:rFonts w:ascii="Calibri" w:hAnsi="Calibri" w:cs="Calibri"/>
          <w:noProof/>
          <w:szCs w:val="24"/>
        </w:rPr>
        <w:t xml:space="preserve"> </w:t>
      </w:r>
      <w:r w:rsidRPr="00373BC0">
        <w:rPr>
          <w:rFonts w:ascii="Calibri" w:hAnsi="Calibri" w:cs="Calibri"/>
          <w:b/>
          <w:bCs/>
          <w:noProof/>
          <w:szCs w:val="24"/>
        </w:rPr>
        <w:t>53</w:t>
      </w:r>
      <w:r w:rsidRPr="00373BC0">
        <w:rPr>
          <w:rFonts w:ascii="Calibri" w:hAnsi="Calibri" w:cs="Calibri"/>
          <w:noProof/>
          <w:szCs w:val="24"/>
        </w:rPr>
        <w:t>, 279–281 (2014).</w:t>
      </w:r>
    </w:p>
    <w:p w14:paraId="5A176340"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68.</w:t>
      </w:r>
      <w:r w:rsidRPr="00373BC0">
        <w:rPr>
          <w:rFonts w:ascii="Calibri" w:hAnsi="Calibri" w:cs="Calibri"/>
          <w:noProof/>
          <w:szCs w:val="24"/>
        </w:rPr>
        <w:tab/>
        <w:t xml:space="preserve">Burmann, B. M. </w:t>
      </w:r>
      <w:r w:rsidRPr="00373BC0">
        <w:rPr>
          <w:rFonts w:ascii="Calibri" w:hAnsi="Calibri" w:cs="Calibri"/>
          <w:i/>
          <w:iCs/>
          <w:noProof/>
          <w:szCs w:val="24"/>
        </w:rPr>
        <w:t>et al.</w:t>
      </w:r>
      <w:r w:rsidRPr="00373BC0">
        <w:rPr>
          <w:rFonts w:ascii="Calibri" w:hAnsi="Calibri" w:cs="Calibri"/>
          <w:noProof/>
          <w:szCs w:val="24"/>
        </w:rPr>
        <w:t xml:space="preserve"> Regulation of α-synuclein by chaperones in mammalian cells. </w:t>
      </w:r>
      <w:r w:rsidRPr="00373BC0">
        <w:rPr>
          <w:rFonts w:ascii="Calibri" w:hAnsi="Calibri" w:cs="Calibri"/>
          <w:i/>
          <w:iCs/>
          <w:noProof/>
          <w:szCs w:val="24"/>
        </w:rPr>
        <w:t>Nature</w:t>
      </w:r>
      <w:r w:rsidRPr="00373BC0">
        <w:rPr>
          <w:rFonts w:ascii="Calibri" w:hAnsi="Calibri" w:cs="Calibri"/>
          <w:noProof/>
          <w:szCs w:val="24"/>
        </w:rPr>
        <w:t xml:space="preserve"> (2019). doi:10.1038/s41586-019-1808-9</w:t>
      </w:r>
    </w:p>
    <w:p w14:paraId="4E476551"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lastRenderedPageBreak/>
        <w:t>69.</w:t>
      </w:r>
      <w:r w:rsidRPr="00373BC0">
        <w:rPr>
          <w:rFonts w:ascii="Calibri" w:hAnsi="Calibri" w:cs="Calibri"/>
          <w:noProof/>
          <w:szCs w:val="24"/>
        </w:rPr>
        <w:tab/>
        <w:t xml:space="preserve">Krasnoslobodtsev, A. V. </w:t>
      </w:r>
      <w:r w:rsidRPr="00373BC0">
        <w:rPr>
          <w:rFonts w:ascii="Calibri" w:hAnsi="Calibri" w:cs="Calibri"/>
          <w:i/>
          <w:iCs/>
          <w:noProof/>
          <w:szCs w:val="24"/>
        </w:rPr>
        <w:t>et al.</w:t>
      </w:r>
      <w:r w:rsidRPr="00373BC0">
        <w:rPr>
          <w:rFonts w:ascii="Calibri" w:hAnsi="Calibri" w:cs="Calibri"/>
          <w:noProof/>
          <w:szCs w:val="24"/>
        </w:rPr>
        <w:t xml:space="preserve"> α-Synuclein misfolding assessed with single molecule AFM force spectroscopy: Effect of pathogenic mutations. </w:t>
      </w:r>
      <w:r w:rsidRPr="00373BC0">
        <w:rPr>
          <w:rFonts w:ascii="Calibri" w:hAnsi="Calibri" w:cs="Calibri"/>
          <w:i/>
          <w:iCs/>
          <w:noProof/>
          <w:szCs w:val="24"/>
        </w:rPr>
        <w:t>Biochemistry</w:t>
      </w:r>
      <w:r w:rsidRPr="00373BC0">
        <w:rPr>
          <w:rFonts w:ascii="Calibri" w:hAnsi="Calibri" w:cs="Calibri"/>
          <w:noProof/>
          <w:szCs w:val="24"/>
        </w:rPr>
        <w:t xml:space="preserve"> </w:t>
      </w:r>
      <w:r w:rsidRPr="00373BC0">
        <w:rPr>
          <w:rFonts w:ascii="Calibri" w:hAnsi="Calibri" w:cs="Calibri"/>
          <w:b/>
          <w:bCs/>
          <w:noProof/>
          <w:szCs w:val="24"/>
        </w:rPr>
        <w:t>52</w:t>
      </w:r>
      <w:r w:rsidRPr="00373BC0">
        <w:rPr>
          <w:rFonts w:ascii="Calibri" w:hAnsi="Calibri" w:cs="Calibri"/>
          <w:noProof/>
          <w:szCs w:val="24"/>
        </w:rPr>
        <w:t>, 7377–7386 (2013).</w:t>
      </w:r>
    </w:p>
    <w:p w14:paraId="2406B0D0"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70.</w:t>
      </w:r>
      <w:r w:rsidRPr="00373BC0">
        <w:rPr>
          <w:rFonts w:ascii="Calibri" w:hAnsi="Calibri" w:cs="Calibri"/>
          <w:noProof/>
          <w:szCs w:val="24"/>
        </w:rPr>
        <w:tab/>
        <w:t xml:space="preserve">Brucale, M. </w:t>
      </w:r>
      <w:r w:rsidRPr="00373BC0">
        <w:rPr>
          <w:rFonts w:ascii="Calibri" w:hAnsi="Calibri" w:cs="Calibri"/>
          <w:i/>
          <w:iCs/>
          <w:noProof/>
          <w:szCs w:val="24"/>
        </w:rPr>
        <w:t>et al.</w:t>
      </w:r>
      <w:r w:rsidRPr="00373BC0">
        <w:rPr>
          <w:rFonts w:ascii="Calibri" w:hAnsi="Calibri" w:cs="Calibri"/>
          <w:noProof/>
          <w:szCs w:val="24"/>
        </w:rPr>
        <w:t xml:space="preserve"> Pathogenic Mutations Shift the Equilibria of α-Synuclein Single Molecules towards Structured Conformers. </w:t>
      </w:r>
      <w:r w:rsidRPr="00373BC0">
        <w:rPr>
          <w:rFonts w:ascii="Calibri" w:hAnsi="Calibri" w:cs="Calibri"/>
          <w:i/>
          <w:iCs/>
          <w:noProof/>
          <w:szCs w:val="24"/>
        </w:rPr>
        <w:t>ChemBioChem</w:t>
      </w:r>
      <w:r w:rsidRPr="00373BC0">
        <w:rPr>
          <w:rFonts w:ascii="Calibri" w:hAnsi="Calibri" w:cs="Calibri"/>
          <w:noProof/>
          <w:szCs w:val="24"/>
        </w:rPr>
        <w:t xml:space="preserve"> </w:t>
      </w:r>
      <w:r w:rsidRPr="00373BC0">
        <w:rPr>
          <w:rFonts w:ascii="Calibri" w:hAnsi="Calibri" w:cs="Calibri"/>
          <w:b/>
          <w:bCs/>
          <w:noProof/>
          <w:szCs w:val="24"/>
        </w:rPr>
        <w:t>10</w:t>
      </w:r>
      <w:r w:rsidRPr="00373BC0">
        <w:rPr>
          <w:rFonts w:ascii="Calibri" w:hAnsi="Calibri" w:cs="Calibri"/>
          <w:noProof/>
          <w:szCs w:val="24"/>
        </w:rPr>
        <w:t>, 176–183 (2009).</w:t>
      </w:r>
    </w:p>
    <w:p w14:paraId="2FB9F3FB"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71.</w:t>
      </w:r>
      <w:r w:rsidRPr="00373BC0">
        <w:rPr>
          <w:rFonts w:ascii="Calibri" w:hAnsi="Calibri" w:cs="Calibri"/>
          <w:noProof/>
          <w:szCs w:val="24"/>
        </w:rPr>
        <w:tab/>
        <w:t xml:space="preserve">Wise-Scira, O., Aloglu, A. K., Dunn, A., Sakallioglu, I. T. &amp; Coskuner, O. Structures and free energy landscapes of the wild-type and A30P mutant-type α-synuclein proteins with dynamics. </w:t>
      </w:r>
      <w:r w:rsidRPr="00373BC0">
        <w:rPr>
          <w:rFonts w:ascii="Calibri" w:hAnsi="Calibri" w:cs="Calibri"/>
          <w:i/>
          <w:iCs/>
          <w:noProof/>
          <w:szCs w:val="24"/>
        </w:rPr>
        <w:t>ACS Chem. Neurosci.</w:t>
      </w:r>
      <w:r w:rsidRPr="00373BC0">
        <w:rPr>
          <w:rFonts w:ascii="Calibri" w:hAnsi="Calibri" w:cs="Calibri"/>
          <w:noProof/>
          <w:szCs w:val="24"/>
        </w:rPr>
        <w:t xml:space="preserve"> </w:t>
      </w:r>
      <w:r w:rsidRPr="00373BC0">
        <w:rPr>
          <w:rFonts w:ascii="Calibri" w:hAnsi="Calibri" w:cs="Calibri"/>
          <w:b/>
          <w:bCs/>
          <w:noProof/>
          <w:szCs w:val="24"/>
        </w:rPr>
        <w:t>4</w:t>
      </w:r>
      <w:r w:rsidRPr="00373BC0">
        <w:rPr>
          <w:rFonts w:ascii="Calibri" w:hAnsi="Calibri" w:cs="Calibri"/>
          <w:noProof/>
          <w:szCs w:val="24"/>
        </w:rPr>
        <w:t>, 486–97 (2013).</w:t>
      </w:r>
    </w:p>
    <w:p w14:paraId="0BD1A48D"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72.</w:t>
      </w:r>
      <w:r w:rsidRPr="00373BC0">
        <w:rPr>
          <w:rFonts w:ascii="Calibri" w:hAnsi="Calibri" w:cs="Calibri"/>
          <w:noProof/>
          <w:szCs w:val="24"/>
        </w:rPr>
        <w:tab/>
        <w:t xml:space="preserve">Bussell, R. &amp; Eliezer, D. Residual Structure and Dynamics in Parkinson’s Disease-associated Mutants of α-Synuclein. </w:t>
      </w:r>
      <w:r w:rsidRPr="00373BC0">
        <w:rPr>
          <w:rFonts w:ascii="Calibri" w:hAnsi="Calibri" w:cs="Calibri"/>
          <w:i/>
          <w:iCs/>
          <w:noProof/>
          <w:szCs w:val="24"/>
        </w:rPr>
        <w:t>J. Biol. Chem.</w:t>
      </w:r>
      <w:r w:rsidRPr="00373BC0">
        <w:rPr>
          <w:rFonts w:ascii="Calibri" w:hAnsi="Calibri" w:cs="Calibri"/>
          <w:noProof/>
          <w:szCs w:val="24"/>
        </w:rPr>
        <w:t xml:space="preserve"> </w:t>
      </w:r>
      <w:r w:rsidRPr="00373BC0">
        <w:rPr>
          <w:rFonts w:ascii="Calibri" w:hAnsi="Calibri" w:cs="Calibri"/>
          <w:b/>
          <w:bCs/>
          <w:noProof/>
          <w:szCs w:val="24"/>
        </w:rPr>
        <w:t>276</w:t>
      </w:r>
      <w:r w:rsidRPr="00373BC0">
        <w:rPr>
          <w:rFonts w:ascii="Calibri" w:hAnsi="Calibri" w:cs="Calibri"/>
          <w:noProof/>
          <w:szCs w:val="24"/>
        </w:rPr>
        <w:t>, 45996–46003 (2001).</w:t>
      </w:r>
    </w:p>
    <w:p w14:paraId="04A269D4"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73.</w:t>
      </w:r>
      <w:r w:rsidRPr="00373BC0">
        <w:rPr>
          <w:rFonts w:ascii="Calibri" w:hAnsi="Calibri" w:cs="Calibri"/>
          <w:noProof/>
          <w:szCs w:val="24"/>
        </w:rPr>
        <w:tab/>
        <w:t xml:space="preserve">Ray, S. </w:t>
      </w:r>
      <w:r w:rsidRPr="00373BC0">
        <w:rPr>
          <w:rFonts w:ascii="Calibri" w:hAnsi="Calibri" w:cs="Calibri"/>
          <w:i/>
          <w:iCs/>
          <w:noProof/>
          <w:szCs w:val="24"/>
        </w:rPr>
        <w:t>et al.</w:t>
      </w:r>
      <w:r w:rsidRPr="00373BC0">
        <w:rPr>
          <w:rFonts w:ascii="Calibri" w:hAnsi="Calibri" w:cs="Calibri"/>
          <w:noProof/>
          <w:szCs w:val="24"/>
        </w:rPr>
        <w:t xml:space="preserve"> Liquid-liquid phase separation and liquid-to-solid transition mediate α-synuclein amyloid fibril containing hydrogel formation. </w:t>
      </w:r>
      <w:r w:rsidRPr="00373BC0">
        <w:rPr>
          <w:rFonts w:ascii="Calibri" w:hAnsi="Calibri" w:cs="Calibri"/>
          <w:i/>
          <w:iCs/>
          <w:noProof/>
          <w:szCs w:val="24"/>
        </w:rPr>
        <w:t>bioRxiv</w:t>
      </w:r>
      <w:r w:rsidRPr="00373BC0">
        <w:rPr>
          <w:rFonts w:ascii="Calibri" w:hAnsi="Calibri" w:cs="Calibri"/>
          <w:noProof/>
          <w:szCs w:val="24"/>
        </w:rPr>
        <w:t xml:space="preserve"> 619858 (2019). doi:10.1101/619858</w:t>
      </w:r>
    </w:p>
    <w:p w14:paraId="65C28AC2"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74.</w:t>
      </w:r>
      <w:r w:rsidRPr="00373BC0">
        <w:rPr>
          <w:rFonts w:ascii="Calibri" w:hAnsi="Calibri" w:cs="Calibri"/>
          <w:noProof/>
          <w:szCs w:val="24"/>
        </w:rPr>
        <w:tab/>
        <w:t xml:space="preserve">Fusco, G. </w:t>
      </w:r>
      <w:r w:rsidRPr="00373BC0">
        <w:rPr>
          <w:rFonts w:ascii="Calibri" w:hAnsi="Calibri" w:cs="Calibri"/>
          <w:i/>
          <w:iCs/>
          <w:noProof/>
          <w:szCs w:val="24"/>
        </w:rPr>
        <w:t>et al.</w:t>
      </w:r>
      <w:r w:rsidRPr="00373BC0">
        <w:rPr>
          <w:rFonts w:ascii="Calibri" w:hAnsi="Calibri" w:cs="Calibri"/>
          <w:noProof/>
          <w:szCs w:val="24"/>
        </w:rPr>
        <w:t xml:space="preserve"> Structural basis of synaptic vesicle assembly promoted by α-synuclein. </w:t>
      </w:r>
      <w:r w:rsidRPr="00373BC0">
        <w:rPr>
          <w:rFonts w:ascii="Calibri" w:hAnsi="Calibri" w:cs="Calibri"/>
          <w:i/>
          <w:iCs/>
          <w:noProof/>
          <w:szCs w:val="24"/>
        </w:rPr>
        <w:t>Nat. Commun.</w:t>
      </w:r>
      <w:r w:rsidRPr="00373BC0">
        <w:rPr>
          <w:rFonts w:ascii="Calibri" w:hAnsi="Calibri" w:cs="Calibri"/>
          <w:noProof/>
          <w:szCs w:val="24"/>
        </w:rPr>
        <w:t xml:space="preserve"> </w:t>
      </w:r>
      <w:r w:rsidRPr="00373BC0">
        <w:rPr>
          <w:rFonts w:ascii="Calibri" w:hAnsi="Calibri" w:cs="Calibri"/>
          <w:b/>
          <w:bCs/>
          <w:noProof/>
          <w:szCs w:val="24"/>
        </w:rPr>
        <w:t>7</w:t>
      </w:r>
      <w:r w:rsidRPr="00373BC0">
        <w:rPr>
          <w:rFonts w:ascii="Calibri" w:hAnsi="Calibri" w:cs="Calibri"/>
          <w:noProof/>
          <w:szCs w:val="24"/>
        </w:rPr>
        <w:t>, 12563 (2016).</w:t>
      </w:r>
    </w:p>
    <w:p w14:paraId="73521CC6"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75.</w:t>
      </w:r>
      <w:r w:rsidRPr="00373BC0">
        <w:rPr>
          <w:rFonts w:ascii="Calibri" w:hAnsi="Calibri" w:cs="Calibri"/>
          <w:noProof/>
          <w:szCs w:val="24"/>
        </w:rPr>
        <w:tab/>
        <w:t xml:space="preserve">Eliezer, D., Kutluay, E., Bussell, R. &amp; Browne, G. Conformational properties of α-synuclein in its free and lipid-associated states. </w:t>
      </w:r>
      <w:r w:rsidRPr="00373BC0">
        <w:rPr>
          <w:rFonts w:ascii="Calibri" w:hAnsi="Calibri" w:cs="Calibri"/>
          <w:i/>
          <w:iCs/>
          <w:noProof/>
          <w:szCs w:val="24"/>
        </w:rPr>
        <w:t>J. Mol. Biol.</w:t>
      </w:r>
      <w:r w:rsidRPr="00373BC0">
        <w:rPr>
          <w:rFonts w:ascii="Calibri" w:hAnsi="Calibri" w:cs="Calibri"/>
          <w:noProof/>
          <w:szCs w:val="24"/>
        </w:rPr>
        <w:t xml:space="preserve"> </w:t>
      </w:r>
      <w:r w:rsidRPr="00373BC0">
        <w:rPr>
          <w:rFonts w:ascii="Calibri" w:hAnsi="Calibri" w:cs="Calibri"/>
          <w:b/>
          <w:bCs/>
          <w:noProof/>
          <w:szCs w:val="24"/>
        </w:rPr>
        <w:t>307</w:t>
      </w:r>
      <w:r w:rsidRPr="00373BC0">
        <w:rPr>
          <w:rFonts w:ascii="Calibri" w:hAnsi="Calibri" w:cs="Calibri"/>
          <w:noProof/>
          <w:szCs w:val="24"/>
        </w:rPr>
        <w:t>, 1061–1073 (2001).</w:t>
      </w:r>
    </w:p>
    <w:p w14:paraId="3026D224"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76.</w:t>
      </w:r>
      <w:r w:rsidRPr="00373BC0">
        <w:rPr>
          <w:rFonts w:ascii="Calibri" w:hAnsi="Calibri" w:cs="Calibri"/>
          <w:noProof/>
          <w:szCs w:val="24"/>
        </w:rPr>
        <w:tab/>
        <w:t xml:space="preserve">Fauvet, B. </w:t>
      </w:r>
      <w:r w:rsidRPr="00373BC0">
        <w:rPr>
          <w:rFonts w:ascii="Calibri" w:hAnsi="Calibri" w:cs="Calibri"/>
          <w:i/>
          <w:iCs/>
          <w:noProof/>
          <w:szCs w:val="24"/>
        </w:rPr>
        <w:t>et al.</w:t>
      </w:r>
      <w:r w:rsidRPr="00373BC0">
        <w:rPr>
          <w:rFonts w:ascii="Calibri" w:hAnsi="Calibri" w:cs="Calibri"/>
          <w:noProof/>
          <w:szCs w:val="24"/>
        </w:rPr>
        <w:t xml:space="preserve"> Characterization of semisynthetic and naturally N α- acetylated α-synuclein in vitro and in intact cells: Implications for aggregation and cellular properties of α-synuclein. </w:t>
      </w:r>
      <w:r w:rsidRPr="00373BC0">
        <w:rPr>
          <w:rFonts w:ascii="Calibri" w:hAnsi="Calibri" w:cs="Calibri"/>
          <w:i/>
          <w:iCs/>
          <w:noProof/>
          <w:szCs w:val="24"/>
        </w:rPr>
        <w:t>J. Biol. Chem.</w:t>
      </w:r>
      <w:r w:rsidRPr="00373BC0">
        <w:rPr>
          <w:rFonts w:ascii="Calibri" w:hAnsi="Calibri" w:cs="Calibri"/>
          <w:noProof/>
          <w:szCs w:val="24"/>
        </w:rPr>
        <w:t xml:space="preserve"> </w:t>
      </w:r>
      <w:r w:rsidRPr="00373BC0">
        <w:rPr>
          <w:rFonts w:ascii="Calibri" w:hAnsi="Calibri" w:cs="Calibri"/>
          <w:b/>
          <w:bCs/>
          <w:noProof/>
          <w:szCs w:val="24"/>
        </w:rPr>
        <w:t>287</w:t>
      </w:r>
      <w:r w:rsidRPr="00373BC0">
        <w:rPr>
          <w:rFonts w:ascii="Calibri" w:hAnsi="Calibri" w:cs="Calibri"/>
          <w:noProof/>
          <w:szCs w:val="24"/>
        </w:rPr>
        <w:t>, 28243–28262 (2012).</w:t>
      </w:r>
    </w:p>
    <w:p w14:paraId="5C586C71"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szCs w:val="24"/>
        </w:rPr>
      </w:pPr>
      <w:r w:rsidRPr="00373BC0">
        <w:rPr>
          <w:rFonts w:ascii="Calibri" w:hAnsi="Calibri" w:cs="Calibri"/>
          <w:noProof/>
          <w:szCs w:val="24"/>
        </w:rPr>
        <w:t>77.</w:t>
      </w:r>
      <w:r w:rsidRPr="00373BC0">
        <w:rPr>
          <w:rFonts w:ascii="Calibri" w:hAnsi="Calibri" w:cs="Calibri"/>
          <w:noProof/>
          <w:szCs w:val="24"/>
        </w:rPr>
        <w:tab/>
        <w:t xml:space="preserve">Fauvet, B. &amp; Lashuel, H. A. Semisynthesis and Enzymatic Preparation of Post-translationally Modified α-Synuclein. in </w:t>
      </w:r>
      <w:r w:rsidRPr="00373BC0">
        <w:rPr>
          <w:rFonts w:ascii="Calibri" w:hAnsi="Calibri" w:cs="Calibri"/>
          <w:i/>
          <w:iCs/>
          <w:noProof/>
          <w:szCs w:val="24"/>
        </w:rPr>
        <w:t>Methods in Molecular Biology</w:t>
      </w:r>
      <w:r w:rsidRPr="00373BC0">
        <w:rPr>
          <w:rFonts w:ascii="Calibri" w:hAnsi="Calibri" w:cs="Calibri"/>
          <w:noProof/>
          <w:szCs w:val="24"/>
        </w:rPr>
        <w:t xml:space="preserve"> </w:t>
      </w:r>
      <w:r w:rsidRPr="00373BC0">
        <w:rPr>
          <w:rFonts w:ascii="Calibri" w:hAnsi="Calibri" w:cs="Calibri"/>
          <w:b/>
          <w:bCs/>
          <w:noProof/>
          <w:szCs w:val="24"/>
        </w:rPr>
        <w:t>1345</w:t>
      </w:r>
      <w:r w:rsidRPr="00373BC0">
        <w:rPr>
          <w:rFonts w:ascii="Calibri" w:hAnsi="Calibri" w:cs="Calibri"/>
          <w:noProof/>
          <w:szCs w:val="24"/>
        </w:rPr>
        <w:t>, 3–20 (Humana Press, New York, NY, 2015).</w:t>
      </w:r>
    </w:p>
    <w:p w14:paraId="47452230" w14:textId="77777777" w:rsidR="00373BC0" w:rsidRPr="00373BC0" w:rsidRDefault="00373BC0" w:rsidP="00373BC0">
      <w:pPr>
        <w:widowControl w:val="0"/>
        <w:autoSpaceDE w:val="0"/>
        <w:autoSpaceDN w:val="0"/>
        <w:adjustRightInd w:val="0"/>
        <w:spacing w:line="360" w:lineRule="auto"/>
        <w:ind w:left="640" w:hanging="640"/>
        <w:rPr>
          <w:rFonts w:ascii="Calibri" w:hAnsi="Calibri" w:cs="Calibri"/>
          <w:noProof/>
        </w:rPr>
      </w:pPr>
      <w:r w:rsidRPr="00373BC0">
        <w:rPr>
          <w:rFonts w:ascii="Calibri" w:hAnsi="Calibri" w:cs="Calibri"/>
          <w:noProof/>
          <w:szCs w:val="24"/>
        </w:rPr>
        <w:t>78.</w:t>
      </w:r>
      <w:r w:rsidRPr="00373BC0">
        <w:rPr>
          <w:rFonts w:ascii="Calibri" w:hAnsi="Calibri" w:cs="Calibri"/>
          <w:noProof/>
          <w:szCs w:val="24"/>
        </w:rPr>
        <w:tab/>
        <w:t xml:space="preserve">Masson, G. R. </w:t>
      </w:r>
      <w:r w:rsidRPr="00373BC0">
        <w:rPr>
          <w:rFonts w:ascii="Calibri" w:hAnsi="Calibri" w:cs="Calibri"/>
          <w:i/>
          <w:iCs/>
          <w:noProof/>
          <w:szCs w:val="24"/>
        </w:rPr>
        <w:t>et al.</w:t>
      </w:r>
      <w:r w:rsidRPr="00373BC0">
        <w:rPr>
          <w:rFonts w:ascii="Calibri" w:hAnsi="Calibri" w:cs="Calibri"/>
          <w:noProof/>
          <w:szCs w:val="24"/>
        </w:rPr>
        <w:t xml:space="preserve"> Recommendations for performing, interpreting and reporting hydrogen deuterium exchange mass spectrometry (HDX-MS) experiments. </w:t>
      </w:r>
      <w:r w:rsidRPr="00373BC0">
        <w:rPr>
          <w:rFonts w:ascii="Calibri" w:hAnsi="Calibri" w:cs="Calibri"/>
          <w:i/>
          <w:iCs/>
          <w:noProof/>
          <w:szCs w:val="24"/>
        </w:rPr>
        <w:t>Nat. Methods</w:t>
      </w:r>
      <w:r w:rsidRPr="00373BC0">
        <w:rPr>
          <w:rFonts w:ascii="Calibri" w:hAnsi="Calibri" w:cs="Calibri"/>
          <w:noProof/>
          <w:szCs w:val="24"/>
        </w:rPr>
        <w:t xml:space="preserve"> </w:t>
      </w:r>
      <w:r w:rsidRPr="00373BC0">
        <w:rPr>
          <w:rFonts w:ascii="Calibri" w:hAnsi="Calibri" w:cs="Calibri"/>
          <w:b/>
          <w:bCs/>
          <w:noProof/>
          <w:szCs w:val="24"/>
        </w:rPr>
        <w:t>16</w:t>
      </w:r>
      <w:r w:rsidRPr="00373BC0">
        <w:rPr>
          <w:rFonts w:ascii="Calibri" w:hAnsi="Calibri" w:cs="Calibri"/>
          <w:noProof/>
          <w:szCs w:val="24"/>
        </w:rPr>
        <w:t>, 595–602 (2019).</w:t>
      </w:r>
    </w:p>
    <w:p w14:paraId="0B7B064C" w14:textId="77777777" w:rsidR="00262E08" w:rsidRDefault="00A0313B" w:rsidP="00262E08">
      <w:pPr>
        <w:spacing w:line="360" w:lineRule="auto"/>
        <w:jc w:val="both"/>
      </w:pPr>
      <w:r>
        <w:fldChar w:fldCharType="end"/>
      </w:r>
    </w:p>
    <w:p w14:paraId="351957AE" w14:textId="77777777" w:rsidR="00262E08" w:rsidRDefault="00262E08" w:rsidP="00262E08">
      <w:pPr>
        <w:spacing w:line="360" w:lineRule="auto"/>
        <w:jc w:val="both"/>
      </w:pPr>
    </w:p>
    <w:p w14:paraId="3693F046" w14:textId="77777777" w:rsidR="00262E08" w:rsidRDefault="00262E08" w:rsidP="00262E08">
      <w:pPr>
        <w:spacing w:line="360" w:lineRule="auto"/>
        <w:jc w:val="both"/>
      </w:pPr>
    </w:p>
    <w:p w14:paraId="55AA12F4" w14:textId="77777777" w:rsidR="00262E08" w:rsidRDefault="00262E08" w:rsidP="00262E08">
      <w:pPr>
        <w:spacing w:line="360" w:lineRule="auto"/>
        <w:jc w:val="both"/>
      </w:pPr>
    </w:p>
    <w:p w14:paraId="0F1F9BE7" w14:textId="77777777" w:rsidR="00262E08" w:rsidRDefault="00262E08" w:rsidP="00262E08">
      <w:pPr>
        <w:spacing w:line="360" w:lineRule="auto"/>
        <w:jc w:val="both"/>
      </w:pPr>
    </w:p>
    <w:p w14:paraId="29A74B1E" w14:textId="3DA0BD6A" w:rsidR="00262E08" w:rsidRDefault="000A1F48" w:rsidP="00262E08">
      <w:pPr>
        <w:spacing w:line="360" w:lineRule="auto"/>
        <w:jc w:val="both"/>
      </w:pPr>
      <w:r>
        <w:rPr>
          <w:noProof/>
        </w:rPr>
        <w:lastRenderedPageBreak/>
        <w:drawing>
          <wp:inline distT="0" distB="0" distL="0" distR="0" wp14:anchorId="5A8F63D9" wp14:editId="52CFFF76">
            <wp:extent cx="2009490" cy="2329740"/>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1211 Figure 1 aSyn monomer regions .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6137" cy="2337446"/>
                    </a:xfrm>
                    <a:prstGeom prst="rect">
                      <a:avLst/>
                    </a:prstGeom>
                  </pic:spPr>
                </pic:pic>
              </a:graphicData>
            </a:graphic>
          </wp:inline>
        </w:drawing>
      </w:r>
    </w:p>
    <w:p w14:paraId="09477208" w14:textId="1FDC2677" w:rsidR="00262E08" w:rsidRDefault="00262E08" w:rsidP="00262E08">
      <w:pPr>
        <w:spacing w:line="360" w:lineRule="auto"/>
        <w:jc w:val="both"/>
      </w:pPr>
      <w:r w:rsidRPr="006C4A6F">
        <w:rPr>
          <w:b/>
        </w:rPr>
        <w:t>Figure 1. Represent</w:t>
      </w:r>
      <w:r>
        <w:rPr>
          <w:b/>
        </w:rPr>
        <w:t xml:space="preserve">ation </w:t>
      </w:r>
      <w:r w:rsidRPr="006C4A6F">
        <w:rPr>
          <w:b/>
        </w:rPr>
        <w:t>of the regions of monomeric aSyn</w:t>
      </w:r>
      <w:r w:rsidR="00FC30A3">
        <w:t xml:space="preserve"> </w:t>
      </w:r>
      <w:r w:rsidRPr="00E97592">
        <w:t>(</w:t>
      </w:r>
      <w:r w:rsidRPr="00D5431B">
        <w:t xml:space="preserve">a) Monomeric aSyn is defined by three regions, the N-terminus, </w:t>
      </w:r>
      <w:r>
        <w:t>residues</w:t>
      </w:r>
      <w:r w:rsidRPr="00D5431B">
        <w:t xml:space="preserve"> 1-60 (blue) with an overall charge of +4, contains the familial mutations A30P, E46K, H50Q, G51D, A53E and A53T. The non-Amyloid-β component (NAC) region, </w:t>
      </w:r>
      <w:r>
        <w:t>residues</w:t>
      </w:r>
      <w:r w:rsidRPr="00D5431B">
        <w:t xml:space="preserve"> 61-95 (yellow), has an overall charge of -1, is highly hydrophobic and forms the core of fibrils. The C-terminus, </w:t>
      </w:r>
      <w:r>
        <w:t>residues</w:t>
      </w:r>
      <w:r w:rsidRPr="00D5431B">
        <w:t xml:space="preserve"> 96-140 (red), is highly negatively charged with an overall charge of -12. Residue S129 is commonly phosphorylated (pS129) in Lewy bodies, but rarely in </w:t>
      </w:r>
      <w:r>
        <w:t xml:space="preserve">its </w:t>
      </w:r>
      <w:r w:rsidRPr="00D5431B">
        <w:t xml:space="preserve">soluble </w:t>
      </w:r>
      <w:r>
        <w:t>state</w:t>
      </w:r>
      <w:r w:rsidRPr="00D5431B">
        <w:t xml:space="preserve">. The calcium binding region (black line) is also found at the C-terminus and spans residues 115-140. (b) Monomeric aSyn is highly dynamic and visits a large conformational space. </w:t>
      </w:r>
      <w:r>
        <w:t>Transient intramolecular i</w:t>
      </w:r>
      <w:r w:rsidRPr="00D5431B">
        <w:t>nteractions between the N-</w:t>
      </w:r>
      <w:r>
        <w:t>terminus (blue)</w:t>
      </w:r>
      <w:r w:rsidRPr="00D5431B">
        <w:t xml:space="preserve"> and C-termin</w:t>
      </w:r>
      <w:r>
        <w:t>us (red)</w:t>
      </w:r>
      <w:r w:rsidRPr="00D5431B">
        <w:t xml:space="preserve"> and NAC region </w:t>
      </w:r>
      <w:r>
        <w:t xml:space="preserve">(yellow) </w:t>
      </w:r>
      <w:r w:rsidRPr="00D5431B">
        <w:t>maintain it in a soluble form.</w:t>
      </w:r>
      <w:r>
        <w:t xml:space="preserve"> Created with BioRender.com</w:t>
      </w:r>
    </w:p>
    <w:p w14:paraId="1B1750AF" w14:textId="63D9FF4E" w:rsidR="00262E08" w:rsidRDefault="000A1F48" w:rsidP="00262E08">
      <w:pPr>
        <w:spacing w:line="360" w:lineRule="auto"/>
        <w:jc w:val="both"/>
      </w:pPr>
      <w:r>
        <w:rPr>
          <w:noProof/>
        </w:rPr>
        <w:lastRenderedPageBreak/>
        <w:drawing>
          <wp:inline distT="0" distB="0" distL="0" distR="0" wp14:anchorId="3D2448F9" wp14:editId="13CC4A1C">
            <wp:extent cx="5676265" cy="6340570"/>
            <wp:effectExtent l="0" t="0" r="635" b="3175"/>
            <wp:docPr id="3" name="Picture 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0128 NMR.png.jpg"/>
                    <pic:cNvPicPr/>
                  </pic:nvPicPr>
                  <pic:blipFill rotWithShape="1">
                    <a:blip r:embed="rId11" cstate="print">
                      <a:extLst>
                        <a:ext uri="{28A0092B-C50C-407E-A947-70E740481C1C}">
                          <a14:useLocalDpi xmlns:a14="http://schemas.microsoft.com/office/drawing/2010/main" val="0"/>
                        </a:ext>
                      </a:extLst>
                    </a:blip>
                    <a:srcRect l="955" b="962"/>
                    <a:stretch/>
                  </pic:blipFill>
                  <pic:spPr bwMode="auto">
                    <a:xfrm>
                      <a:off x="0" y="0"/>
                      <a:ext cx="5676756" cy="6341118"/>
                    </a:xfrm>
                    <a:prstGeom prst="rect">
                      <a:avLst/>
                    </a:prstGeom>
                    <a:ln>
                      <a:noFill/>
                    </a:ln>
                    <a:extLst>
                      <a:ext uri="{53640926-AAD7-44D8-BBD7-CCE9431645EC}">
                        <a14:shadowObscured xmlns:a14="http://schemas.microsoft.com/office/drawing/2010/main"/>
                      </a:ext>
                    </a:extLst>
                  </pic:spPr>
                </pic:pic>
              </a:graphicData>
            </a:graphic>
          </wp:inline>
        </w:drawing>
      </w:r>
    </w:p>
    <w:p w14:paraId="616DB013" w14:textId="18E64BAE" w:rsidR="00262E08" w:rsidRDefault="00262E08" w:rsidP="00262E08">
      <w:pPr>
        <w:spacing w:line="360" w:lineRule="auto"/>
        <w:jc w:val="both"/>
      </w:pPr>
      <w:r w:rsidRPr="00673BAC">
        <w:rPr>
          <w:b/>
        </w:rPr>
        <w:t xml:space="preserve">Figure </w:t>
      </w:r>
      <w:r>
        <w:rPr>
          <w:b/>
        </w:rPr>
        <w:t>2</w:t>
      </w:r>
      <w:r w:rsidRPr="00673BAC">
        <w:rPr>
          <w:b/>
        </w:rPr>
        <w:t xml:space="preserve">. </w:t>
      </w:r>
      <w:r w:rsidRPr="00D60884">
        <w:rPr>
          <w:b/>
          <w:vertAlign w:val="superscript"/>
        </w:rPr>
        <w:t>1</w:t>
      </w:r>
      <w:r w:rsidRPr="00D60884">
        <w:rPr>
          <w:b/>
        </w:rPr>
        <w:t>H-</w:t>
      </w:r>
      <w:r w:rsidRPr="00D60884">
        <w:rPr>
          <w:b/>
          <w:vertAlign w:val="superscript"/>
        </w:rPr>
        <w:t>15</w:t>
      </w:r>
      <w:r w:rsidRPr="00D60884">
        <w:rPr>
          <w:b/>
        </w:rPr>
        <w:t>N</w:t>
      </w:r>
      <w:r>
        <w:t xml:space="preserve"> </w:t>
      </w:r>
      <w:r>
        <w:rPr>
          <w:b/>
        </w:rPr>
        <w:t xml:space="preserve">spectra of WT, </w:t>
      </w:r>
      <w:r w:rsidRPr="00673BAC">
        <w:rPr>
          <w:b/>
        </w:rPr>
        <w:t xml:space="preserve">D121A and pS129 aSyn </w:t>
      </w:r>
      <w:r>
        <w:rPr>
          <w:b/>
        </w:rPr>
        <w:t xml:space="preserve">indicate </w:t>
      </w:r>
      <w:r w:rsidRPr="00673BAC">
        <w:rPr>
          <w:b/>
        </w:rPr>
        <w:t>conformation</w:t>
      </w:r>
      <w:r>
        <w:rPr>
          <w:b/>
        </w:rPr>
        <w:t>al differences</w:t>
      </w:r>
      <w:r w:rsidRPr="00673BAC">
        <w:rPr>
          <w:b/>
        </w:rPr>
        <w:t>.</w:t>
      </w:r>
      <w:r>
        <w:t xml:space="preserve"> </w:t>
      </w:r>
      <w:r w:rsidRPr="00D5431B">
        <w:t xml:space="preserve">(a) We compared chemical shift perturbations in the amide backbone of </w:t>
      </w:r>
      <w:r w:rsidRPr="00D5431B">
        <w:rPr>
          <w:vertAlign w:val="superscript"/>
        </w:rPr>
        <w:t>1</w:t>
      </w:r>
      <w:r w:rsidRPr="00D5431B">
        <w:t>H-</w:t>
      </w:r>
      <w:r w:rsidRPr="00D5431B">
        <w:rPr>
          <w:vertAlign w:val="superscript"/>
        </w:rPr>
        <w:t>15</w:t>
      </w:r>
      <w:r w:rsidRPr="00D5431B">
        <w:t xml:space="preserve">N D121A aSyn to WT aSyn (green) and pS129 aSyn to WT aSyn (yellow) </w:t>
      </w:r>
      <w:r>
        <w:t xml:space="preserve">in 20 mM Tris pH 7.2 </w:t>
      </w:r>
      <w:r w:rsidRPr="00D5431B">
        <w:t>and observed CSPs around the location of the D to A mutation and the PO</w:t>
      </w:r>
      <w:r w:rsidRPr="00B138D2">
        <w:rPr>
          <w:vertAlign w:val="subscript"/>
        </w:rPr>
        <w:t>4</w:t>
      </w:r>
      <w:r>
        <w:rPr>
          <w:vertAlign w:val="superscript"/>
        </w:rPr>
        <w:t>2-</w:t>
      </w:r>
      <w:r w:rsidRPr="00D5431B">
        <w:t xml:space="preserve"> of S129 at the C-terminus</w:t>
      </w:r>
      <w:r>
        <w:t xml:space="preserve"> (for the full zoomed out spectrum see Supplementary Figure 3.)</w:t>
      </w:r>
      <w:r w:rsidRPr="00D5431B">
        <w:t xml:space="preserve">. (b) Significant </w:t>
      </w:r>
      <w:r w:rsidR="00BB33C2">
        <w:t>CSPs</w:t>
      </w:r>
      <w:r w:rsidRPr="00D5431B">
        <w:t xml:space="preserve"> were observed at the C-terminus upon addition of 4.2 mM calcium for all, WT (blue), D121A (green) and pS129 (yellow) aSyn. </w:t>
      </w:r>
      <w:r>
        <w:t xml:space="preserve">(Titration data for all concentrations of calcium are available in Supplementary Figure 4). </w:t>
      </w:r>
      <w:r w:rsidRPr="00D5431B">
        <w:t>Higher CSPs are observed for D121A compared to WT and pS129 aSyn</w:t>
      </w:r>
      <w:r>
        <w:t xml:space="preserve">. </w:t>
      </w:r>
      <w:r w:rsidRPr="00D5431B">
        <w:t xml:space="preserve">(c) 2D </w:t>
      </w:r>
      <w:r w:rsidRPr="00D5431B">
        <w:rPr>
          <w:vertAlign w:val="superscript"/>
        </w:rPr>
        <w:t>1</w:t>
      </w:r>
      <w:r w:rsidRPr="00D5431B">
        <w:t>H-</w:t>
      </w:r>
      <w:r w:rsidRPr="00D5431B">
        <w:rPr>
          <w:vertAlign w:val="superscript"/>
        </w:rPr>
        <w:t>15</w:t>
      </w:r>
      <w:r w:rsidRPr="00D5431B">
        <w:t>N HSQC NMR spectra of pS129 and D121A aSyn in the absence (red) and in the presence of calcium (green)</w:t>
      </w:r>
      <w:r>
        <w:t xml:space="preserve"> (Supplementary Figures 6 and 7 show </w:t>
      </w:r>
      <w:r>
        <w:lastRenderedPageBreak/>
        <w:t>spectra with more labels)</w:t>
      </w:r>
      <w:r w:rsidRPr="00D5431B">
        <w:t xml:space="preserve">. Major </w:t>
      </w:r>
      <w:r w:rsidR="00BB33C2">
        <w:t>CSPs</w:t>
      </w:r>
      <w:r w:rsidRPr="00D5431B">
        <w:t xml:space="preserve"> in the presence of calcium are located at the C</w:t>
      </w:r>
      <w:r w:rsidR="00BB33C2">
        <w:t>-</w:t>
      </w:r>
      <w:r w:rsidRPr="00D5431B">
        <w:t>terminus (arrows with assigned amino acid residues) in both pS129 and D121A aSyn.</w:t>
      </w:r>
    </w:p>
    <w:p w14:paraId="705FF3AB" w14:textId="21FCB64A" w:rsidR="00262E08" w:rsidRDefault="000A1F48" w:rsidP="00262E08">
      <w:pPr>
        <w:spacing w:line="360" w:lineRule="auto"/>
        <w:jc w:val="both"/>
      </w:pPr>
      <w:r>
        <w:rPr>
          <w:noProof/>
        </w:rPr>
        <w:drawing>
          <wp:inline distT="0" distB="0" distL="0" distR="0" wp14:anchorId="76E9F8D7" wp14:editId="485B7E13">
            <wp:extent cx="5731510" cy="7165975"/>
            <wp:effectExtent l="0" t="0" r="2540" b="0"/>
            <wp:docPr id="9" name="Picture 9"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7165975"/>
                    </a:xfrm>
                    <a:prstGeom prst="rect">
                      <a:avLst/>
                    </a:prstGeom>
                  </pic:spPr>
                </pic:pic>
              </a:graphicData>
            </a:graphic>
          </wp:inline>
        </w:drawing>
      </w:r>
    </w:p>
    <w:p w14:paraId="53652EDA" w14:textId="41639C04" w:rsidR="004348C7" w:rsidRDefault="00262E08">
      <w:pPr>
        <w:spacing w:line="360" w:lineRule="auto"/>
        <w:jc w:val="both"/>
      </w:pPr>
      <w:r w:rsidRPr="00814372">
        <w:rPr>
          <w:b/>
        </w:rPr>
        <w:t xml:space="preserve">Figure </w:t>
      </w:r>
      <w:r>
        <w:rPr>
          <w:b/>
        </w:rPr>
        <w:t>3</w:t>
      </w:r>
      <w:r w:rsidRPr="00814372">
        <w:rPr>
          <w:b/>
        </w:rPr>
        <w:t xml:space="preserve">. </w:t>
      </w:r>
      <w:r>
        <w:rPr>
          <w:b/>
        </w:rPr>
        <w:t xml:space="preserve">HDX-MS reveals different </w:t>
      </w:r>
      <w:r w:rsidRPr="00673BAC">
        <w:rPr>
          <w:b/>
        </w:rPr>
        <w:t>conformation</w:t>
      </w:r>
      <w:r>
        <w:rPr>
          <w:b/>
        </w:rPr>
        <w:t>s</w:t>
      </w:r>
      <w:r w:rsidRPr="00673BAC">
        <w:rPr>
          <w:b/>
        </w:rPr>
        <w:t xml:space="preserve"> </w:t>
      </w:r>
      <w:r w:rsidR="00BB33C2">
        <w:rPr>
          <w:b/>
        </w:rPr>
        <w:t>of</w:t>
      </w:r>
      <w:r>
        <w:rPr>
          <w:b/>
        </w:rPr>
        <w:t xml:space="preserve"> </w:t>
      </w:r>
      <w:r w:rsidRPr="00673BAC">
        <w:rPr>
          <w:b/>
        </w:rPr>
        <w:t xml:space="preserve">D121A and pS129 </w:t>
      </w:r>
      <w:r>
        <w:rPr>
          <w:b/>
        </w:rPr>
        <w:t>compared to WT aSyn</w:t>
      </w:r>
      <w:r w:rsidRPr="00673BAC">
        <w:rPr>
          <w:b/>
        </w:rPr>
        <w:t>.</w:t>
      </w:r>
      <w:r>
        <w:rPr>
          <w:b/>
        </w:rPr>
        <w:t xml:space="preserve"> </w:t>
      </w:r>
      <w:r w:rsidRPr="00A87D70">
        <w:t xml:space="preserve">Bars represent differences in deuterium uptake </w:t>
      </w:r>
      <w:r>
        <w:t xml:space="preserve">of peptides </w:t>
      </w:r>
      <w:r w:rsidRPr="00A87D70">
        <w:t xml:space="preserve">along the sequence of differently compared aSyn variants (e.g. WT vs D121A aSyn) with the N-terminus </w:t>
      </w:r>
      <w:r>
        <w:t>region</w:t>
      </w:r>
      <w:r w:rsidRPr="00A87D70">
        <w:t xml:space="preserve"> in blue, the NAC region in yellow, </w:t>
      </w:r>
      <w:r w:rsidRPr="00A87D70">
        <w:lastRenderedPageBreak/>
        <w:t xml:space="preserve">and the C-terminus of aSyn in red. Negative values represent increased deuterium uptake in the </w:t>
      </w:r>
      <w:r>
        <w:t>variant</w:t>
      </w:r>
      <w:r w:rsidRPr="00A87D70">
        <w:t xml:space="preserve"> (</w:t>
      </w:r>
      <w:proofErr w:type="spellStart"/>
      <w:r w:rsidRPr="00A87D70">
        <w:t>a,b</w:t>
      </w:r>
      <w:proofErr w:type="spellEnd"/>
      <w:r w:rsidRPr="00A87D70">
        <w:t xml:space="preserve">) or in the calcium bound state (c-e), </w:t>
      </w:r>
      <w:r>
        <w:t xml:space="preserve">correlating to </w:t>
      </w:r>
      <w:r w:rsidRPr="00A87D70">
        <w:t xml:space="preserve">more solvent exposure, and less hydrogen bonding. </w:t>
      </w:r>
      <w:r>
        <w:t xml:space="preserve">The start and end of each peptide is marked on the x-axis (see aSyn peptide map in </w:t>
      </w:r>
      <w:r w:rsidRPr="00E97592">
        <w:rPr>
          <w:bCs/>
        </w:rPr>
        <w:t>Supplementary</w:t>
      </w:r>
      <w:r>
        <w:rPr>
          <w:b/>
          <w:bCs/>
        </w:rPr>
        <w:t xml:space="preserve"> </w:t>
      </w:r>
      <w:r w:rsidRPr="00837306">
        <w:t xml:space="preserve">Figure </w:t>
      </w:r>
      <w:r>
        <w:t>11</w:t>
      </w:r>
      <w:r w:rsidRPr="00837306">
        <w:t>).</w:t>
      </w:r>
      <w:r>
        <w:t xml:space="preserve"> </w:t>
      </w:r>
      <w:r w:rsidRPr="00A87D70">
        <w:t>Peptides containing the mutation were not comparable to WT aSyn and were removed from the data set, indicated by blank regions.</w:t>
      </w:r>
      <w:r>
        <w:t xml:space="preserve"> </w:t>
      </w:r>
      <w:r w:rsidRPr="00A87D70">
        <w:t xml:space="preserve">Comparison of the deuterium uptake (in Dalton -Da) between (a) WT and D121A aSyn and (b) WT and pS129 aSyn showed </w:t>
      </w:r>
      <w:r>
        <w:t>no significant differences</w:t>
      </w:r>
      <w:r w:rsidRPr="00A87D70">
        <w:t xml:space="preserve"> to WT aSyn. (c) In the presence of calcium, WT aSyn becomes significantly more deprotected (more solvent exposed/less hydrogen bonded) at the N-terminus and the NAC region, and at the same time becomes solvent protected at the C-terminus. (d) D121A aSyn is significantly more deprotected at the N-terminus and the NAC region upon calcium addition and solvent protected at the C-terminus. (e) pS129 </w:t>
      </w:r>
      <w:proofErr w:type="spellStart"/>
      <w:r w:rsidRPr="00A87D70">
        <w:t>aSyn</w:t>
      </w:r>
      <w:proofErr w:type="spellEnd"/>
      <w:r w:rsidRPr="00A87D70">
        <w:t xml:space="preserve"> is deprotected at the NAC region upon calcium addition and solvent protected at the C-terminus</w:t>
      </w:r>
      <w:r>
        <w:t>, while no significant differences were observed at the N-terminus</w:t>
      </w:r>
      <w:r w:rsidRPr="00A87D70">
        <w:t xml:space="preserve">. The grey </w:t>
      </w:r>
      <w:r>
        <w:t>dashed line</w:t>
      </w:r>
      <w:r w:rsidRPr="00A87D70">
        <w:t xml:space="preserve"> signifies the error (1 </w:t>
      </w:r>
      <w:proofErr w:type="spellStart"/>
      <w:r w:rsidRPr="00A87D70">
        <w:t>s.d.</w:t>
      </w:r>
      <w:proofErr w:type="spellEnd"/>
      <w:r w:rsidRPr="00A87D70">
        <w:t>) of six replicates collected per condition. Data acquired at each peptide were subjected to a</w:t>
      </w:r>
      <w:r>
        <w:t>n unpaired</w:t>
      </w:r>
      <w:r w:rsidRPr="00A87D70">
        <w:t xml:space="preserve"> Student’s t-test with a</w:t>
      </w:r>
      <w:r>
        <w:t>lpha set to 1%. Each row was analysed individually, without assuming a consistent SD, individual two-tailed p values are presented in Supplementary Tables 1-5 and significant differences where</w:t>
      </w:r>
      <w:r w:rsidRPr="00A87D70">
        <w:t xml:space="preserve"> p-value</w:t>
      </w:r>
      <w:r w:rsidR="00BB33C2">
        <w:t>s are</w:t>
      </w:r>
      <w:r w:rsidRPr="00A87D70">
        <w:t xml:space="preserve"> ≤ 0.0</w:t>
      </w:r>
      <w:r>
        <w:t>1</w:t>
      </w:r>
      <w:r w:rsidRPr="00A87D70">
        <w:t xml:space="preserve"> are presented by a *.</w:t>
      </w:r>
      <w:r w:rsidR="00540F3A">
        <w:t xml:space="preserve"> Individual replicate values for deuterium uptake are presented in </w:t>
      </w:r>
      <w:r w:rsidR="0058168A">
        <w:t>Supplementary</w:t>
      </w:r>
      <w:r w:rsidR="00540F3A">
        <w:t xml:space="preserve"> Figures 22-24.</w:t>
      </w:r>
    </w:p>
    <w:p w14:paraId="557EFC71" w14:textId="76D7D7DA" w:rsidR="00262E08" w:rsidRDefault="000A1F48">
      <w:pPr>
        <w:spacing w:line="360" w:lineRule="auto"/>
        <w:jc w:val="both"/>
      </w:pPr>
      <w:r>
        <w:rPr>
          <w:noProof/>
        </w:rPr>
        <w:lastRenderedPageBreak/>
        <w:drawing>
          <wp:inline distT="0" distB="0" distL="0" distR="0" wp14:anchorId="5180B337" wp14:editId="6C7E43B5">
            <wp:extent cx="5731510" cy="7384415"/>
            <wp:effectExtent l="0" t="0" r="2540" b="6985"/>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7384415"/>
                    </a:xfrm>
                    <a:prstGeom prst="rect">
                      <a:avLst/>
                    </a:prstGeom>
                  </pic:spPr>
                </pic:pic>
              </a:graphicData>
            </a:graphic>
          </wp:inline>
        </w:drawing>
      </w:r>
    </w:p>
    <w:p w14:paraId="7C4AE8C1" w14:textId="54BE9FE0" w:rsidR="00262E08" w:rsidRDefault="00262E08" w:rsidP="00262E08">
      <w:pPr>
        <w:pStyle w:val="NoSpacing"/>
        <w:spacing w:line="360" w:lineRule="auto"/>
        <w:jc w:val="both"/>
        <w:rPr>
          <w:lang w:val="en-US"/>
        </w:rPr>
      </w:pPr>
      <w:r w:rsidRPr="0095510F">
        <w:rPr>
          <w:b/>
        </w:rPr>
        <w:t>Figure 4.</w:t>
      </w:r>
      <w:r w:rsidRPr="0095510F">
        <w:t xml:space="preserve"> </w:t>
      </w:r>
      <w:proofErr w:type="spellStart"/>
      <w:r w:rsidRPr="0095510F">
        <w:rPr>
          <w:b/>
          <w:bCs/>
        </w:rPr>
        <w:t>ThT</w:t>
      </w:r>
      <w:proofErr w:type="spellEnd"/>
      <w:r w:rsidRPr="0095510F">
        <w:rPr>
          <w:b/>
          <w:bCs/>
        </w:rPr>
        <w:t>-based aggregation assay</w:t>
      </w:r>
      <w:r>
        <w:rPr>
          <w:b/>
          <w:bCs/>
        </w:rPr>
        <w:t>s</w:t>
      </w:r>
      <w:r w:rsidRPr="0095510F">
        <w:rPr>
          <w:b/>
          <w:bCs/>
        </w:rPr>
        <w:t xml:space="preserve"> reveal different aggregation behaviour </w:t>
      </w:r>
      <w:r>
        <w:rPr>
          <w:b/>
          <w:bCs/>
        </w:rPr>
        <w:t>for</w:t>
      </w:r>
      <w:r w:rsidRPr="0095510F">
        <w:rPr>
          <w:b/>
          <w:bCs/>
        </w:rPr>
        <w:t xml:space="preserve"> aSyn familial mutants. </w:t>
      </w:r>
      <w:r w:rsidRPr="0095510F">
        <w:rPr>
          <w:bCs/>
        </w:rPr>
        <w:t>Aggregation kinetics of aSyn WT and familial mutants</w:t>
      </w:r>
      <w:r w:rsidRPr="0095510F">
        <w:rPr>
          <w:lang w:val="en-US"/>
        </w:rPr>
        <w:t xml:space="preserve"> A30P, A53T, E46K, A53E, H50Q, G51D were measured using </w:t>
      </w:r>
      <w:proofErr w:type="spellStart"/>
      <w:r w:rsidRPr="0095510F">
        <w:rPr>
          <w:lang w:val="en-US"/>
        </w:rPr>
        <w:t>ThT</w:t>
      </w:r>
      <w:proofErr w:type="spellEnd"/>
      <w:r w:rsidRPr="0095510F">
        <w:rPr>
          <w:lang w:val="en-US"/>
        </w:rPr>
        <w:t xml:space="preserve"> fluorescence intensity and plotted as % of maximum fluorescence (a) in the absence of calcium and (b)</w:t>
      </w:r>
      <w:r>
        <w:rPr>
          <w:lang w:val="en-US"/>
        </w:rPr>
        <w:t xml:space="preserve"> in</w:t>
      </w:r>
      <w:r w:rsidRPr="0095510F">
        <w:rPr>
          <w:lang w:val="en-US"/>
        </w:rPr>
        <w:t xml:space="preserve"> the presence of 2.5 mM CaCl</w:t>
      </w:r>
      <w:r w:rsidRPr="0095510F">
        <w:rPr>
          <w:vertAlign w:val="subscript"/>
          <w:lang w:val="en-US"/>
        </w:rPr>
        <w:t>2</w:t>
      </w:r>
      <w:r>
        <w:rPr>
          <w:lang w:val="en-US"/>
        </w:rPr>
        <w:t xml:space="preserve"> (plate repeat data </w:t>
      </w:r>
      <w:r w:rsidR="00BB33C2">
        <w:rPr>
          <w:lang w:val="en-US"/>
        </w:rPr>
        <w:t>are</w:t>
      </w:r>
      <w:r>
        <w:rPr>
          <w:lang w:val="en-US"/>
        </w:rPr>
        <w:t xml:space="preserve"> available in </w:t>
      </w:r>
      <w:r w:rsidRPr="00F006A4">
        <w:rPr>
          <w:bCs/>
        </w:rPr>
        <w:t>Supplementary</w:t>
      </w:r>
      <w:r>
        <w:rPr>
          <w:b/>
          <w:bCs/>
        </w:rPr>
        <w:t xml:space="preserve"> </w:t>
      </w:r>
      <w:r>
        <w:rPr>
          <w:lang w:val="en-US"/>
        </w:rPr>
        <w:t>Figure 12)</w:t>
      </w:r>
      <w:r w:rsidRPr="0095510F">
        <w:rPr>
          <w:lang w:val="en-US"/>
        </w:rPr>
        <w:t xml:space="preserve">. 20 </w:t>
      </w:r>
      <w:proofErr w:type="spellStart"/>
      <w:r w:rsidRPr="0095510F">
        <w:rPr>
          <w:lang w:val="en-US"/>
        </w:rPr>
        <w:t>μM</w:t>
      </w:r>
      <w:proofErr w:type="spellEnd"/>
      <w:r w:rsidRPr="0095510F">
        <w:rPr>
          <w:lang w:val="en-US"/>
        </w:rPr>
        <w:t xml:space="preserve"> </w:t>
      </w:r>
      <w:proofErr w:type="spellStart"/>
      <w:r w:rsidRPr="0095510F">
        <w:rPr>
          <w:lang w:val="en-US"/>
        </w:rPr>
        <w:t>aSyn</w:t>
      </w:r>
      <w:proofErr w:type="spellEnd"/>
      <w:r w:rsidRPr="0095510F">
        <w:rPr>
          <w:lang w:val="en-US"/>
        </w:rPr>
        <w:t xml:space="preserve"> was incubated with 20 </w:t>
      </w:r>
      <w:proofErr w:type="spellStart"/>
      <w:r w:rsidRPr="0095510F">
        <w:rPr>
          <w:lang w:val="en-US"/>
        </w:rPr>
        <w:t>μM</w:t>
      </w:r>
      <w:proofErr w:type="spellEnd"/>
      <w:r w:rsidRPr="0095510F">
        <w:rPr>
          <w:lang w:val="en-US"/>
        </w:rPr>
        <w:t xml:space="preserve"> </w:t>
      </w:r>
      <w:proofErr w:type="spellStart"/>
      <w:r w:rsidRPr="0095510F">
        <w:rPr>
          <w:lang w:val="en-US"/>
        </w:rPr>
        <w:t>ThT</w:t>
      </w:r>
      <w:proofErr w:type="spellEnd"/>
      <w:r w:rsidRPr="0095510F">
        <w:rPr>
          <w:lang w:val="en-US"/>
        </w:rPr>
        <w:t xml:space="preserve"> in a half area 96 well plate with </w:t>
      </w:r>
      <w:r w:rsidRPr="0095510F">
        <w:rPr>
          <w:lang w:val="en-US"/>
        </w:rPr>
        <w:lastRenderedPageBreak/>
        <w:t>orbital agitation at 300 rpm for 5 minutes before each read every hour for 150 hours. (c) Lag time (</w:t>
      </w:r>
      <w:proofErr w:type="spellStart"/>
      <w:r w:rsidRPr="0095510F">
        <w:rPr>
          <w:lang w:val="en-US"/>
        </w:rPr>
        <w:t>t</w:t>
      </w:r>
      <w:r w:rsidRPr="0095510F">
        <w:rPr>
          <w:vertAlign w:val="subscript"/>
          <w:lang w:val="en-US"/>
        </w:rPr>
        <w:t>lag</w:t>
      </w:r>
      <w:proofErr w:type="spellEnd"/>
      <w:r w:rsidRPr="0095510F">
        <w:rPr>
          <w:lang w:val="en-US"/>
        </w:rPr>
        <w:t>) and (d) time to reach 50 % of maximum aggregation (t</w:t>
      </w:r>
      <w:r w:rsidRPr="0095510F">
        <w:rPr>
          <w:vertAlign w:val="subscript"/>
          <w:lang w:val="en-US"/>
        </w:rPr>
        <w:t>50</w:t>
      </w:r>
      <w:r w:rsidRPr="0095510F">
        <w:rPr>
          <w:lang w:val="en-US"/>
        </w:rPr>
        <w:t xml:space="preserve">) were calculated and the </w:t>
      </w:r>
      <w:r>
        <w:rPr>
          <w:lang w:val="en-US"/>
        </w:rPr>
        <w:t>mean</w:t>
      </w:r>
      <w:r w:rsidRPr="0095510F">
        <w:rPr>
          <w:lang w:val="en-US"/>
        </w:rPr>
        <w:t xml:space="preserve"> is numerically shown</w:t>
      </w:r>
      <w:r>
        <w:rPr>
          <w:lang w:val="en-US"/>
        </w:rPr>
        <w:t xml:space="preserve"> (</w:t>
      </w:r>
      <w:proofErr w:type="spellStart"/>
      <w:r w:rsidRPr="0095510F">
        <w:rPr>
          <w:lang w:val="en-US"/>
        </w:rPr>
        <w:t>t</w:t>
      </w:r>
      <w:r w:rsidRPr="0095510F">
        <w:rPr>
          <w:vertAlign w:val="subscript"/>
          <w:lang w:val="en-US"/>
        </w:rPr>
        <w:t>lag</w:t>
      </w:r>
      <w:proofErr w:type="spellEnd"/>
      <w:r>
        <w:rPr>
          <w:lang w:val="en-US"/>
        </w:rPr>
        <w:t>: *</w:t>
      </w:r>
      <w:r w:rsidRPr="007B705A">
        <w:rPr>
          <w:lang w:val="en-US"/>
        </w:rPr>
        <w:t>p</w:t>
      </w:r>
      <w:r>
        <w:rPr>
          <w:lang w:val="en-US"/>
        </w:rPr>
        <w:t xml:space="preserve">=0.0145, **p=0.0034, ***p=0.001, </w:t>
      </w:r>
      <w:r w:rsidRPr="0095510F">
        <w:rPr>
          <w:lang w:val="en-US"/>
        </w:rPr>
        <w:t>t</w:t>
      </w:r>
      <w:r w:rsidRPr="0095510F">
        <w:rPr>
          <w:vertAlign w:val="subscript"/>
          <w:lang w:val="en-US"/>
        </w:rPr>
        <w:t>50</w:t>
      </w:r>
      <w:r>
        <w:rPr>
          <w:vertAlign w:val="subscript"/>
          <w:lang w:val="en-US"/>
        </w:rPr>
        <w:t xml:space="preserve">: </w:t>
      </w:r>
      <w:r w:rsidRPr="00100374">
        <w:rPr>
          <w:lang w:val="en-US"/>
        </w:rPr>
        <w:t>**p=0.001</w:t>
      </w:r>
      <w:r>
        <w:rPr>
          <w:lang w:val="en-US"/>
        </w:rPr>
        <w:t xml:space="preserve">, ***p=0.0003, ***p=0.0004, *p=0.043, *p=0.002)) </w:t>
      </w:r>
      <w:r w:rsidRPr="0095510F">
        <w:rPr>
          <w:lang w:val="en-US"/>
        </w:rPr>
        <w:t xml:space="preserve">. Mutant G51D did not reach the elongation phase in the studied timeframe, so the </w:t>
      </w:r>
      <w:r w:rsidRPr="00E97592">
        <w:rPr>
          <w:i/>
          <w:lang w:val="en-US"/>
        </w:rPr>
        <w:t>t</w:t>
      </w:r>
      <w:r w:rsidRPr="00E97592">
        <w:rPr>
          <w:i/>
          <w:vertAlign w:val="subscript"/>
          <w:lang w:val="en-US"/>
        </w:rPr>
        <w:t>50</w:t>
      </w:r>
      <w:r w:rsidRPr="0095510F">
        <w:rPr>
          <w:lang w:val="en-US"/>
        </w:rPr>
        <w:t xml:space="preserve"> value was not calculated</w:t>
      </w:r>
      <w:r>
        <w:rPr>
          <w:lang w:val="en-US"/>
        </w:rPr>
        <w:t xml:space="preserve"> in c</w:t>
      </w:r>
      <w:r w:rsidRPr="0095510F">
        <w:rPr>
          <w:lang w:val="en-US"/>
        </w:rPr>
        <w:t xml:space="preserve">. (e) </w:t>
      </w:r>
      <w:r w:rsidR="00BB33C2">
        <w:rPr>
          <w:lang w:val="en-US"/>
        </w:rPr>
        <w:t>The r</w:t>
      </w:r>
      <w:r w:rsidRPr="0095510F">
        <w:rPr>
          <w:lang w:val="en-US"/>
        </w:rPr>
        <w:t xml:space="preserve">emaining monomer </w:t>
      </w:r>
      <w:r w:rsidR="00BB33C2">
        <w:rPr>
          <w:lang w:val="en-US"/>
        </w:rPr>
        <w:t xml:space="preserve">concentration </w:t>
      </w:r>
      <w:r w:rsidRPr="0095510F">
        <w:rPr>
          <w:lang w:val="en-US"/>
        </w:rPr>
        <w:t xml:space="preserve">was determined using SEC-HPLC, 35 </w:t>
      </w:r>
      <w:proofErr w:type="spellStart"/>
      <w:r w:rsidRPr="0095510F">
        <w:rPr>
          <w:lang w:val="en-US"/>
        </w:rPr>
        <w:t>μL</w:t>
      </w:r>
      <w:proofErr w:type="spellEnd"/>
      <w:r w:rsidRPr="0095510F">
        <w:rPr>
          <w:lang w:val="en-US"/>
        </w:rPr>
        <w:t xml:space="preserve"> of monomer from each well in the </w:t>
      </w:r>
      <w:proofErr w:type="spellStart"/>
      <w:r w:rsidRPr="0095510F">
        <w:rPr>
          <w:lang w:val="en-US"/>
        </w:rPr>
        <w:t>ThT</w:t>
      </w:r>
      <w:proofErr w:type="spellEnd"/>
      <w:r w:rsidRPr="0095510F">
        <w:rPr>
          <w:lang w:val="en-US"/>
        </w:rPr>
        <w:t xml:space="preserve"> assays w</w:t>
      </w:r>
      <w:r w:rsidR="00BB33C2">
        <w:rPr>
          <w:lang w:val="en-US"/>
        </w:rPr>
        <w:t>as</w:t>
      </w:r>
      <w:r w:rsidRPr="0095510F">
        <w:rPr>
          <w:lang w:val="en-US"/>
        </w:rPr>
        <w:t xml:space="preserve"> </w:t>
      </w:r>
      <w:proofErr w:type="spellStart"/>
      <w:r w:rsidRPr="0095510F">
        <w:rPr>
          <w:lang w:val="en-US"/>
        </w:rPr>
        <w:t>analysed</w:t>
      </w:r>
      <w:proofErr w:type="spellEnd"/>
      <w:r w:rsidRPr="0095510F">
        <w:rPr>
          <w:lang w:val="en-US"/>
        </w:rPr>
        <w:t xml:space="preserve"> on an </w:t>
      </w:r>
      <w:proofErr w:type="spellStart"/>
      <w:r w:rsidRPr="0095510F">
        <w:rPr>
          <w:lang w:val="en-US"/>
        </w:rPr>
        <w:t>AdvanceBio</w:t>
      </w:r>
      <w:proofErr w:type="spellEnd"/>
      <w:r w:rsidRPr="0095510F">
        <w:rPr>
          <w:lang w:val="en-US"/>
        </w:rPr>
        <w:t xml:space="preserve"> SEC 130Å column in 20 mM Tris pH 7.2 at 1 mL</w:t>
      </w:r>
      <w:r>
        <w:rPr>
          <w:lang w:val="en-US"/>
        </w:rPr>
        <w:t xml:space="preserve"> </w:t>
      </w:r>
      <w:r w:rsidRPr="0095510F">
        <w:rPr>
          <w:lang w:val="en-US"/>
        </w:rPr>
        <w:t>min</w:t>
      </w:r>
      <w:r w:rsidRPr="00E97592">
        <w:rPr>
          <w:vertAlign w:val="superscript"/>
          <w:lang w:val="en-US"/>
        </w:rPr>
        <w:t>-1</w:t>
      </w:r>
      <w:r w:rsidRPr="0095510F">
        <w:rPr>
          <w:lang w:val="en-US"/>
        </w:rPr>
        <w:t>. Remaining monomer concentration</w:t>
      </w:r>
      <w:r w:rsidR="00BB33C2">
        <w:rPr>
          <w:lang w:val="en-US"/>
        </w:rPr>
        <w:t>s</w:t>
      </w:r>
      <w:r w:rsidRPr="0095510F">
        <w:rPr>
          <w:lang w:val="en-US"/>
        </w:rPr>
        <w:t xml:space="preserve"> w</w:t>
      </w:r>
      <w:r w:rsidR="00BB33C2">
        <w:rPr>
          <w:lang w:val="en-US"/>
        </w:rPr>
        <w:t>ere</w:t>
      </w:r>
      <w:r w:rsidRPr="0095510F">
        <w:rPr>
          <w:lang w:val="en-US"/>
        </w:rPr>
        <w:t xml:space="preserve"> measured from the area under the peak and calculated using a standard curve of known concentrations. The </w:t>
      </w:r>
      <w:r>
        <w:rPr>
          <w:lang w:val="en-US"/>
        </w:rPr>
        <w:t>mean</w:t>
      </w:r>
      <w:r w:rsidRPr="0095510F">
        <w:rPr>
          <w:lang w:val="en-US"/>
        </w:rPr>
        <w:t xml:space="preserve"> remaining monomer </w:t>
      </w:r>
      <w:r w:rsidR="00BB33C2">
        <w:rPr>
          <w:lang w:val="en-US"/>
        </w:rPr>
        <w:t xml:space="preserve">concentration </w:t>
      </w:r>
      <w:r w:rsidRPr="0095510F">
        <w:rPr>
          <w:lang w:val="en-US"/>
        </w:rPr>
        <w:t>is numerically shown</w:t>
      </w:r>
      <w:r>
        <w:rPr>
          <w:lang w:val="en-US"/>
        </w:rPr>
        <w:t xml:space="preserve"> (*p=0.0438, *p=0.0466)</w:t>
      </w:r>
      <w:r w:rsidRPr="0095510F">
        <w:rPr>
          <w:lang w:val="en-US"/>
        </w:rPr>
        <w:t xml:space="preserve">. Measurements were repeated </w:t>
      </w:r>
      <w:r w:rsidR="00BB33C2">
        <w:rPr>
          <w:lang w:val="en-US"/>
        </w:rPr>
        <w:t>using</w:t>
      </w:r>
      <w:r w:rsidRPr="0095510F">
        <w:rPr>
          <w:lang w:val="en-US"/>
        </w:rPr>
        <w:t xml:space="preserve"> at least four sample replicates in three experiments and</w:t>
      </w:r>
      <w:r>
        <w:rPr>
          <w:lang w:val="en-US"/>
        </w:rPr>
        <w:t xml:space="preserve"> an unpaired two-tailed t-test with a 95% confidence </w:t>
      </w:r>
      <w:proofErr w:type="gramStart"/>
      <w:r>
        <w:rPr>
          <w:lang w:val="en-US"/>
        </w:rPr>
        <w:t xml:space="preserve">interval </w:t>
      </w:r>
      <w:r w:rsidRPr="0095510F">
        <w:rPr>
          <w:lang w:val="en-US"/>
        </w:rPr>
        <w:t xml:space="preserve"> was</w:t>
      </w:r>
      <w:proofErr w:type="gramEnd"/>
      <w:r w:rsidRPr="0095510F">
        <w:rPr>
          <w:lang w:val="en-US"/>
        </w:rPr>
        <w:t xml:space="preserve"> used to calculate statistical significance</w:t>
      </w:r>
      <w:r>
        <w:rPr>
          <w:lang w:val="en-US"/>
        </w:rPr>
        <w:t xml:space="preserve"> between samples before and after the addition of calcium</w:t>
      </w:r>
      <w:r w:rsidRPr="0095510F">
        <w:rPr>
          <w:lang w:val="en-US"/>
        </w:rPr>
        <w:t xml:space="preserve">. Error bars represent </w:t>
      </w:r>
      <w:proofErr w:type="spellStart"/>
      <w:proofErr w:type="gramStart"/>
      <w:r>
        <w:rPr>
          <w:lang w:val="en-US"/>
        </w:rPr>
        <w:t>s.d.</w:t>
      </w:r>
      <w:proofErr w:type="spellEnd"/>
      <w:r w:rsidRPr="0095510F">
        <w:rPr>
          <w:lang w:val="en-US"/>
        </w:rPr>
        <w:t>.</w:t>
      </w:r>
      <w:proofErr w:type="gramEnd"/>
    </w:p>
    <w:p w14:paraId="73FD5EA3" w14:textId="02EEAF8B" w:rsidR="00262E08" w:rsidRDefault="000A1F48" w:rsidP="00262E08">
      <w:pPr>
        <w:pStyle w:val="NoSpacing"/>
        <w:spacing w:line="360" w:lineRule="auto"/>
        <w:jc w:val="both"/>
        <w:rPr>
          <w:lang w:val="en-US"/>
        </w:rPr>
      </w:pPr>
      <w:r>
        <w:rPr>
          <w:noProof/>
          <w:lang w:val="en-US"/>
        </w:rPr>
        <w:lastRenderedPageBreak/>
        <w:drawing>
          <wp:inline distT="0" distB="0" distL="0" distR="0" wp14:anchorId="19D10DA3" wp14:editId="4A303A2B">
            <wp:extent cx="5328366" cy="7084166"/>
            <wp:effectExtent l="0" t="0" r="5715" b="2540"/>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5.png"/>
                    <pic:cNvPicPr/>
                  </pic:nvPicPr>
                  <pic:blipFill>
                    <a:blip r:embed="rId14">
                      <a:extLst>
                        <a:ext uri="{28A0092B-C50C-407E-A947-70E740481C1C}">
                          <a14:useLocalDpi xmlns:a14="http://schemas.microsoft.com/office/drawing/2010/main" val="0"/>
                        </a:ext>
                      </a:extLst>
                    </a:blip>
                    <a:stretch>
                      <a:fillRect/>
                    </a:stretch>
                  </pic:blipFill>
                  <pic:spPr>
                    <a:xfrm>
                      <a:off x="0" y="0"/>
                      <a:ext cx="5328366" cy="7084166"/>
                    </a:xfrm>
                    <a:prstGeom prst="rect">
                      <a:avLst/>
                    </a:prstGeom>
                  </pic:spPr>
                </pic:pic>
              </a:graphicData>
            </a:graphic>
          </wp:inline>
        </w:drawing>
      </w:r>
    </w:p>
    <w:p w14:paraId="670BB43B" w14:textId="300837BB" w:rsidR="00262E08" w:rsidRDefault="00262E08" w:rsidP="00262E08">
      <w:pPr>
        <w:pStyle w:val="NoSpacing"/>
        <w:spacing w:line="360" w:lineRule="auto"/>
        <w:jc w:val="both"/>
        <w:rPr>
          <w:noProof/>
          <w:lang w:eastAsia="en-GB"/>
        </w:rPr>
      </w:pPr>
      <w:r w:rsidRPr="00F13719">
        <w:rPr>
          <w:b/>
          <w:noProof/>
          <w:lang w:eastAsia="en-GB"/>
        </w:rPr>
        <w:t xml:space="preserve">Figure 5. Native </w:t>
      </w:r>
      <w:r>
        <w:rPr>
          <w:b/>
          <w:noProof/>
          <w:lang w:eastAsia="en-GB"/>
        </w:rPr>
        <w:t xml:space="preserve">nano </w:t>
      </w:r>
      <w:r w:rsidRPr="00F13719">
        <w:rPr>
          <w:b/>
          <w:noProof/>
          <w:lang w:eastAsia="en-GB"/>
        </w:rPr>
        <w:t>ESI</w:t>
      </w:r>
      <w:r>
        <w:rPr>
          <w:b/>
          <w:noProof/>
          <w:lang w:eastAsia="en-GB"/>
        </w:rPr>
        <w:t>-</w:t>
      </w:r>
      <w:r w:rsidRPr="00F13719">
        <w:rPr>
          <w:b/>
          <w:noProof/>
          <w:lang w:eastAsia="en-GB"/>
        </w:rPr>
        <w:t>MS shows no significant difference in number of calcium ions bound.</w:t>
      </w:r>
      <w:r>
        <w:rPr>
          <w:noProof/>
          <w:lang w:eastAsia="en-GB"/>
        </w:rPr>
        <w:t xml:space="preserve"> (a) A calcium titration from 20 </w:t>
      </w:r>
      <w:r>
        <w:rPr>
          <w:rFonts w:cstheme="minorHAnsi"/>
          <w:noProof/>
          <w:lang w:eastAsia="en-GB"/>
        </w:rPr>
        <w:t>μ</w:t>
      </w:r>
      <w:r>
        <w:rPr>
          <w:noProof/>
          <w:lang w:eastAsia="en-GB"/>
        </w:rPr>
        <w:t xml:space="preserve">M to 5 mM shows increasing numbers of calcium ions bound to WT aSyn in the +8 charge state (20 </w:t>
      </w:r>
      <w:r>
        <w:rPr>
          <w:rFonts w:cstheme="minorHAnsi"/>
          <w:noProof/>
          <w:lang w:eastAsia="en-GB"/>
        </w:rPr>
        <w:t>μ</w:t>
      </w:r>
      <w:r>
        <w:rPr>
          <w:noProof/>
          <w:lang w:eastAsia="en-GB"/>
        </w:rPr>
        <w:t xml:space="preserve">M in 20 mM ammonium acetate) with a maximum of 10 calcium ions bound at a 1:250 ratio (the full spectrum is displayed in Supplementary Figure 13). (b) At ratios of 1:10 (black) and 1:20 (grey) aSyn to calcium a maximum of two to four calcium ions are bount to aSyn mutants </w:t>
      </w:r>
      <w:r>
        <w:rPr>
          <w:noProof/>
          <w:lang w:eastAsia="en-GB"/>
        </w:rPr>
        <w:lastRenderedPageBreak/>
        <w:t>(mass spectra are displayed in Supplementary Figure 14). The number of calcium ions bound in three replicates was the same for all aSyn mutants, as displayed by the circle, therefore no error is displayed.</w:t>
      </w:r>
    </w:p>
    <w:p w14:paraId="4A916A9F" w14:textId="5D4B0865" w:rsidR="00262E08" w:rsidRDefault="000A1F48" w:rsidP="00262E08">
      <w:pPr>
        <w:pStyle w:val="NoSpacing"/>
        <w:spacing w:line="360" w:lineRule="auto"/>
        <w:jc w:val="both"/>
        <w:rPr>
          <w:noProof/>
          <w:lang w:eastAsia="en-GB"/>
        </w:rPr>
      </w:pPr>
      <w:r>
        <w:rPr>
          <w:noProof/>
          <w:lang w:eastAsia="en-GB"/>
        </w:rPr>
        <w:drawing>
          <wp:inline distT="0" distB="0" distL="0" distR="0" wp14:anchorId="228DEF79" wp14:editId="49D96D9A">
            <wp:extent cx="5731510" cy="7162165"/>
            <wp:effectExtent l="0" t="0" r="2540" b="635"/>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7162165"/>
                    </a:xfrm>
                    <a:prstGeom prst="rect">
                      <a:avLst/>
                    </a:prstGeom>
                  </pic:spPr>
                </pic:pic>
              </a:graphicData>
            </a:graphic>
          </wp:inline>
        </w:drawing>
      </w:r>
    </w:p>
    <w:p w14:paraId="2D24AF47" w14:textId="464ED53A" w:rsidR="00262E08" w:rsidRDefault="00262E08" w:rsidP="00262E08">
      <w:pPr>
        <w:pStyle w:val="NoSpacing"/>
        <w:spacing w:line="360" w:lineRule="auto"/>
        <w:jc w:val="both"/>
      </w:pPr>
      <w:r w:rsidRPr="00814372">
        <w:rPr>
          <w:b/>
        </w:rPr>
        <w:t xml:space="preserve">Figure </w:t>
      </w:r>
      <w:r>
        <w:rPr>
          <w:b/>
        </w:rPr>
        <w:t>6</w:t>
      </w:r>
      <w:r w:rsidRPr="00814372">
        <w:rPr>
          <w:b/>
        </w:rPr>
        <w:t xml:space="preserve">. </w:t>
      </w:r>
      <w:r>
        <w:rPr>
          <w:b/>
        </w:rPr>
        <w:t xml:space="preserve">HDX-MS reveals different </w:t>
      </w:r>
      <w:r w:rsidRPr="00673BAC">
        <w:rPr>
          <w:b/>
        </w:rPr>
        <w:t>conformation</w:t>
      </w:r>
      <w:r>
        <w:rPr>
          <w:b/>
        </w:rPr>
        <w:t>s</w:t>
      </w:r>
      <w:r w:rsidRPr="00673BAC">
        <w:rPr>
          <w:b/>
        </w:rPr>
        <w:t xml:space="preserve"> </w:t>
      </w:r>
      <w:r>
        <w:rPr>
          <w:b/>
        </w:rPr>
        <w:t>in A53E</w:t>
      </w:r>
      <w:r w:rsidRPr="00673BAC">
        <w:rPr>
          <w:b/>
        </w:rPr>
        <w:t xml:space="preserve"> </w:t>
      </w:r>
      <w:r>
        <w:rPr>
          <w:b/>
        </w:rPr>
        <w:t>compared to WT and A53T aSyn</w:t>
      </w:r>
      <w:r w:rsidRPr="00673BAC">
        <w:rPr>
          <w:b/>
        </w:rPr>
        <w:t>.</w:t>
      </w:r>
      <w:r>
        <w:rPr>
          <w:b/>
        </w:rPr>
        <w:t xml:space="preserve"> </w:t>
      </w:r>
      <w:r w:rsidRPr="0095510F">
        <w:t xml:space="preserve">Bars represent differences in deuterium uptake </w:t>
      </w:r>
      <w:r>
        <w:t xml:space="preserve">of peptides </w:t>
      </w:r>
      <w:r w:rsidRPr="0095510F">
        <w:t xml:space="preserve">along the sequence of differently compared aSyn </w:t>
      </w:r>
      <w:r>
        <w:t>mutants</w:t>
      </w:r>
      <w:r w:rsidRPr="0095510F">
        <w:t xml:space="preserve"> with the N-terminus region in blue, the NAC region in yellow, and the C-terminus in red. Negative values represent increased deuterium uptake in the mutant (a-c) or in the calcium bound </w:t>
      </w:r>
      <w:r w:rsidRPr="0095510F">
        <w:lastRenderedPageBreak/>
        <w:t xml:space="preserve">state (d-f), correlating to more solvent exposure, and less hydrogen bonding. </w:t>
      </w:r>
      <w:r>
        <w:t xml:space="preserve">The start and end of each peptide is marked on the x-axis (from aSyn peptide map see </w:t>
      </w:r>
      <w:r>
        <w:rPr>
          <w:noProof/>
          <w:lang w:eastAsia="en-GB"/>
        </w:rPr>
        <w:t>Supplementary</w:t>
      </w:r>
      <w:r>
        <w:t xml:space="preserve"> Figure 11).</w:t>
      </w:r>
      <w:r w:rsidRPr="0095510F">
        <w:t xml:space="preserve"> Peptides containing the mutation were not comparable to WT aSyn and were removed from the data set, indicated by blank regions.</w:t>
      </w:r>
      <w:r>
        <w:t xml:space="preserve"> </w:t>
      </w:r>
      <w:r w:rsidRPr="0095510F">
        <w:t xml:space="preserve">Difference in deuterium uptake (Da) between (a) WT and A53T aSyn, (b) WT and A53E aSyn and (c) A53T and A53E aSyn showed no significant differences throughout the sequence. In the presence of calcium, as previously shown in Figure 2c, (d) WT </w:t>
      </w:r>
      <w:proofErr w:type="spellStart"/>
      <w:r w:rsidRPr="0095510F">
        <w:t>aSyn</w:t>
      </w:r>
      <w:proofErr w:type="spellEnd"/>
      <w:r w:rsidRPr="0095510F">
        <w:t xml:space="preserve"> becomes significantly deprotected at the N-terminus and the NAC region, and more solvent protected at the C-terminus. (e) Similarly, A53T </w:t>
      </w:r>
      <w:proofErr w:type="spellStart"/>
      <w:r w:rsidRPr="0095510F">
        <w:t>aSyn</w:t>
      </w:r>
      <w:proofErr w:type="spellEnd"/>
      <w:r w:rsidRPr="0095510F">
        <w:t xml:space="preserve"> is significantly deprotected at the N-terminus and the NAC region upon calcium addition, and at the same time becomes solvent protected at the C-terminus. (f) A53E aSyn also becomes solvent protected at the C-terminus upon calcium addition but no significant changes are observed at the NAC region and most of the N-terminus. The grey trace signifies the error (1 </w:t>
      </w:r>
      <w:proofErr w:type="spellStart"/>
      <w:r w:rsidRPr="0095510F">
        <w:t>s.d.</w:t>
      </w:r>
      <w:proofErr w:type="spellEnd"/>
      <w:r w:rsidRPr="0095510F">
        <w:t xml:space="preserve">) of six replicates collected per condition. </w:t>
      </w:r>
      <w:r w:rsidRPr="00A87D70">
        <w:t>Data acquired at each peptide were subjected to a</w:t>
      </w:r>
      <w:r>
        <w:t>n unpaired</w:t>
      </w:r>
      <w:r w:rsidRPr="00A87D70">
        <w:t xml:space="preserve"> Student’s t-test with a</w:t>
      </w:r>
      <w:r>
        <w:t>lpha set to 1%. Each row was analysed individually, without assuming a consistent SD, individual two-tailed p values are presented in Supplementary Tables 1-5 and significant differences where</w:t>
      </w:r>
      <w:r w:rsidRPr="00A87D70">
        <w:t xml:space="preserve"> p-value</w:t>
      </w:r>
      <w:r w:rsidR="008654BD">
        <w:t>s are</w:t>
      </w:r>
      <w:r w:rsidRPr="00A87D70">
        <w:t xml:space="preserve"> ≤ 0.0</w:t>
      </w:r>
      <w:r>
        <w:t>1</w:t>
      </w:r>
      <w:r w:rsidRPr="00A87D70">
        <w:t xml:space="preserve"> are presented by a *.</w:t>
      </w:r>
      <w:r w:rsidR="001614B0">
        <w:t xml:space="preserve"> Individual replicate values for deuterium uptake are presented in </w:t>
      </w:r>
      <w:r w:rsidR="0058168A">
        <w:t>Supplementary</w:t>
      </w:r>
      <w:r w:rsidR="001614B0">
        <w:t xml:space="preserve"> Figures 25-27.</w:t>
      </w:r>
    </w:p>
    <w:p w14:paraId="3A37F763" w14:textId="3030D3BB" w:rsidR="00262E08" w:rsidRDefault="000A1F48" w:rsidP="00262E08">
      <w:pPr>
        <w:pStyle w:val="NoSpacing"/>
        <w:spacing w:line="360" w:lineRule="auto"/>
        <w:jc w:val="both"/>
      </w:pPr>
      <w:r>
        <w:rPr>
          <w:noProof/>
        </w:rPr>
        <w:lastRenderedPageBreak/>
        <w:drawing>
          <wp:inline distT="0" distB="0" distL="0" distR="0" wp14:anchorId="5C3770AB" wp14:editId="1DB0DA1D">
            <wp:extent cx="4572009" cy="5029210"/>
            <wp:effectExtent l="0" t="0" r="0" b="0"/>
            <wp:docPr id="13" name="Picture 1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7 Calcium binding aSyn .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9" cy="5029210"/>
                    </a:xfrm>
                    <a:prstGeom prst="rect">
                      <a:avLst/>
                    </a:prstGeom>
                  </pic:spPr>
                </pic:pic>
              </a:graphicData>
            </a:graphic>
          </wp:inline>
        </w:drawing>
      </w:r>
    </w:p>
    <w:p w14:paraId="0F4B6B41" w14:textId="77777777" w:rsidR="00262E08" w:rsidRPr="00363F53" w:rsidRDefault="00262E08" w:rsidP="00262E08">
      <w:pPr>
        <w:pStyle w:val="NoSpacing"/>
        <w:spacing w:line="360" w:lineRule="auto"/>
        <w:rPr>
          <w:b/>
        </w:rPr>
      </w:pPr>
      <w:r w:rsidRPr="00363F53">
        <w:rPr>
          <w:b/>
        </w:rPr>
        <w:t xml:space="preserve">Figure 7. Cartoon representation of the effect of phosphorylation, mutation and calcium binding on aSyn. </w:t>
      </w:r>
      <w:r w:rsidRPr="00363F53">
        <w:t xml:space="preserve">(a) aSyn is a dynamic ensemble of conformations in solution. Its solubility is maintained by long-range interactions between the N-terminus (blue), NAC region (yellow) and the C-terminus (blue) of aSyn. (b) Addition of a phosphate group to S129 (purple circle) or </w:t>
      </w:r>
      <w:r>
        <w:t xml:space="preserve">(c) a point </w:t>
      </w:r>
      <w:r w:rsidRPr="00363F53">
        <w:t>mutation (</w:t>
      </w:r>
      <w:r>
        <w:t>teal</w:t>
      </w:r>
      <w:r w:rsidRPr="00363F53">
        <w:t xml:space="preserve"> cross) alters the long-range interactions and skews the dynamic ensemble to favour or disfavour aggregation prone structures. (</w:t>
      </w:r>
      <w:r>
        <w:t>d</w:t>
      </w:r>
      <w:r w:rsidRPr="00363F53">
        <w:t>) Addition of divalent cations such as calcium (green) leads to charge shielding</w:t>
      </w:r>
      <w:r>
        <w:t xml:space="preserve"> </w:t>
      </w:r>
      <w:r w:rsidRPr="00363F53">
        <w:t>and exposure of the N-terminus of aSyn. (</w:t>
      </w:r>
      <w:r>
        <w:t>e</w:t>
      </w:r>
      <w:r w:rsidRPr="00363F53">
        <w:t xml:space="preserve">) Calcium binding to phosphorylated aSyn leads to different perturbations of long-range interactions. Phosphorylation at S129 leads to a slightly </w:t>
      </w:r>
      <w:bookmarkStart w:id="6" w:name="_GoBack"/>
      <w:bookmarkEnd w:id="6"/>
      <w:r w:rsidRPr="00363F53">
        <w:t xml:space="preserve">different calcium binding region and to reduced solvent exposure of the N-terminus compared to WT aSyn. </w:t>
      </w:r>
      <w:r>
        <w:t xml:space="preserve">(f) </w:t>
      </w:r>
      <w:r w:rsidRPr="00363F53">
        <w:t>The aSyn mutation A53T (</w:t>
      </w:r>
      <w:r>
        <w:t>blue with blue</w:t>
      </w:r>
      <w:r w:rsidRPr="00363F53">
        <w:t xml:space="preserve"> cross) leads to N-terminus solvent exposure upon calcium binding at the C-terminus, similar to WT aSyn, however the aSyn mutation A53E (light </w:t>
      </w:r>
      <w:r>
        <w:t>teal</w:t>
      </w:r>
      <w:r w:rsidRPr="00363F53">
        <w:t xml:space="preserve"> with </w:t>
      </w:r>
      <w:r>
        <w:t>teal</w:t>
      </w:r>
      <w:r w:rsidRPr="00363F53">
        <w:t xml:space="preserve"> cross) leads to less N-terminus solvent exposure upon calcium binding. Created with BioRender.com</w:t>
      </w:r>
    </w:p>
    <w:p w14:paraId="03ED37A7" w14:textId="77777777" w:rsidR="00262E08" w:rsidRDefault="00262E08">
      <w:pPr>
        <w:spacing w:line="360" w:lineRule="auto"/>
        <w:jc w:val="both"/>
      </w:pPr>
    </w:p>
    <w:sectPr w:rsidR="00262E08" w:rsidSect="00EA53B2">
      <w:footerReference w:type="default" r:id="rId17"/>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334E5E" w14:textId="77777777" w:rsidR="00202B28" w:rsidRDefault="00202B28" w:rsidP="005D335F">
      <w:pPr>
        <w:spacing w:after="0" w:line="240" w:lineRule="auto"/>
      </w:pPr>
      <w:r>
        <w:separator/>
      </w:r>
    </w:p>
  </w:endnote>
  <w:endnote w:type="continuationSeparator" w:id="0">
    <w:p w14:paraId="01123217" w14:textId="77777777" w:rsidR="00202B28" w:rsidRDefault="00202B28" w:rsidP="005D33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1404593"/>
      <w:docPartObj>
        <w:docPartGallery w:val="Page Numbers (Bottom of Page)"/>
        <w:docPartUnique/>
      </w:docPartObj>
    </w:sdtPr>
    <w:sdtEndPr>
      <w:rPr>
        <w:noProof/>
      </w:rPr>
    </w:sdtEndPr>
    <w:sdtContent>
      <w:p w14:paraId="315CD94C" w14:textId="6A1326FE" w:rsidR="00F32E0D" w:rsidRDefault="00F32E0D">
        <w:pPr>
          <w:pStyle w:val="Footer"/>
          <w:jc w:val="right"/>
        </w:pPr>
        <w:r>
          <w:fldChar w:fldCharType="begin"/>
        </w:r>
        <w:r>
          <w:instrText xml:space="preserve"> PAGE   \* MERGEFORMAT </w:instrText>
        </w:r>
        <w:r>
          <w:fldChar w:fldCharType="separate"/>
        </w:r>
        <w:r w:rsidR="005A79D9">
          <w:rPr>
            <w:noProof/>
          </w:rPr>
          <w:t>17</w:t>
        </w:r>
        <w:r>
          <w:rPr>
            <w:noProof/>
          </w:rPr>
          <w:fldChar w:fldCharType="end"/>
        </w:r>
      </w:p>
    </w:sdtContent>
  </w:sdt>
  <w:p w14:paraId="5208F8E6" w14:textId="77777777" w:rsidR="00F32E0D" w:rsidRDefault="00F32E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4E6D13" w14:textId="77777777" w:rsidR="00202B28" w:rsidRDefault="00202B28" w:rsidP="005D335F">
      <w:pPr>
        <w:spacing w:after="0" w:line="240" w:lineRule="auto"/>
      </w:pPr>
      <w:r>
        <w:separator/>
      </w:r>
    </w:p>
  </w:footnote>
  <w:footnote w:type="continuationSeparator" w:id="0">
    <w:p w14:paraId="682A149D" w14:textId="77777777" w:rsidR="00202B28" w:rsidRDefault="00202B28" w:rsidP="005D33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6470FF"/>
    <w:multiLevelType w:val="hybridMultilevel"/>
    <w:tmpl w:val="85EE6542"/>
    <w:lvl w:ilvl="0" w:tplc="E8849A06">
      <w:start w:val="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6BE"/>
    <w:rsid w:val="000015C8"/>
    <w:rsid w:val="000035FD"/>
    <w:rsid w:val="00010A97"/>
    <w:rsid w:val="00011F21"/>
    <w:rsid w:val="00014049"/>
    <w:rsid w:val="00014558"/>
    <w:rsid w:val="00014B9C"/>
    <w:rsid w:val="00016625"/>
    <w:rsid w:val="00021ED7"/>
    <w:rsid w:val="00023C79"/>
    <w:rsid w:val="00023DF3"/>
    <w:rsid w:val="0002592A"/>
    <w:rsid w:val="00026C95"/>
    <w:rsid w:val="0002728F"/>
    <w:rsid w:val="00032950"/>
    <w:rsid w:val="00033040"/>
    <w:rsid w:val="000349AB"/>
    <w:rsid w:val="00040E0D"/>
    <w:rsid w:val="00041384"/>
    <w:rsid w:val="000474AA"/>
    <w:rsid w:val="00053873"/>
    <w:rsid w:val="00055397"/>
    <w:rsid w:val="0006222C"/>
    <w:rsid w:val="000635CB"/>
    <w:rsid w:val="00065A26"/>
    <w:rsid w:val="00065A69"/>
    <w:rsid w:val="0006663A"/>
    <w:rsid w:val="00067778"/>
    <w:rsid w:val="000726F9"/>
    <w:rsid w:val="000732C3"/>
    <w:rsid w:val="00074167"/>
    <w:rsid w:val="00075837"/>
    <w:rsid w:val="00077F14"/>
    <w:rsid w:val="00081246"/>
    <w:rsid w:val="00081383"/>
    <w:rsid w:val="00081DCC"/>
    <w:rsid w:val="000847F4"/>
    <w:rsid w:val="0008778A"/>
    <w:rsid w:val="000908AC"/>
    <w:rsid w:val="000A07AD"/>
    <w:rsid w:val="000A1132"/>
    <w:rsid w:val="000A1F48"/>
    <w:rsid w:val="000A2B13"/>
    <w:rsid w:val="000A3988"/>
    <w:rsid w:val="000A5F4A"/>
    <w:rsid w:val="000A7BE4"/>
    <w:rsid w:val="000B378E"/>
    <w:rsid w:val="000B4851"/>
    <w:rsid w:val="000C000F"/>
    <w:rsid w:val="000C3CA8"/>
    <w:rsid w:val="000C51C9"/>
    <w:rsid w:val="000C6F3C"/>
    <w:rsid w:val="000C7950"/>
    <w:rsid w:val="000D446C"/>
    <w:rsid w:val="000D516C"/>
    <w:rsid w:val="000D7870"/>
    <w:rsid w:val="000E018E"/>
    <w:rsid w:val="000E07A9"/>
    <w:rsid w:val="000E5430"/>
    <w:rsid w:val="000F0C95"/>
    <w:rsid w:val="000F2BCF"/>
    <w:rsid w:val="000F3D72"/>
    <w:rsid w:val="000F41E0"/>
    <w:rsid w:val="000F5137"/>
    <w:rsid w:val="00100374"/>
    <w:rsid w:val="00115ABD"/>
    <w:rsid w:val="00122F1F"/>
    <w:rsid w:val="00125131"/>
    <w:rsid w:val="00125B36"/>
    <w:rsid w:val="00127AC9"/>
    <w:rsid w:val="00134BEF"/>
    <w:rsid w:val="001355DB"/>
    <w:rsid w:val="0014300F"/>
    <w:rsid w:val="001455F6"/>
    <w:rsid w:val="00145610"/>
    <w:rsid w:val="00146640"/>
    <w:rsid w:val="00147A5C"/>
    <w:rsid w:val="001535DD"/>
    <w:rsid w:val="00153C53"/>
    <w:rsid w:val="0015765D"/>
    <w:rsid w:val="001614B0"/>
    <w:rsid w:val="00161B52"/>
    <w:rsid w:val="00162C90"/>
    <w:rsid w:val="001647B0"/>
    <w:rsid w:val="00165962"/>
    <w:rsid w:val="00170E3E"/>
    <w:rsid w:val="001723E5"/>
    <w:rsid w:val="00173ACD"/>
    <w:rsid w:val="00180D19"/>
    <w:rsid w:val="001810AB"/>
    <w:rsid w:val="00183129"/>
    <w:rsid w:val="00185658"/>
    <w:rsid w:val="00186976"/>
    <w:rsid w:val="001941CB"/>
    <w:rsid w:val="001A0197"/>
    <w:rsid w:val="001A4EFE"/>
    <w:rsid w:val="001A5AA1"/>
    <w:rsid w:val="001A640B"/>
    <w:rsid w:val="001A71EC"/>
    <w:rsid w:val="001A7F7F"/>
    <w:rsid w:val="001B11BB"/>
    <w:rsid w:val="001B2059"/>
    <w:rsid w:val="001B510E"/>
    <w:rsid w:val="001B699A"/>
    <w:rsid w:val="001B7446"/>
    <w:rsid w:val="001B77E1"/>
    <w:rsid w:val="001C250D"/>
    <w:rsid w:val="001C6FA2"/>
    <w:rsid w:val="001C73CF"/>
    <w:rsid w:val="001D2BC8"/>
    <w:rsid w:val="001D46BE"/>
    <w:rsid w:val="001E0542"/>
    <w:rsid w:val="001E0722"/>
    <w:rsid w:val="001E111E"/>
    <w:rsid w:val="001E1325"/>
    <w:rsid w:val="001E20FC"/>
    <w:rsid w:val="001E4A02"/>
    <w:rsid w:val="001E6686"/>
    <w:rsid w:val="001F4DC2"/>
    <w:rsid w:val="001F5669"/>
    <w:rsid w:val="002013D5"/>
    <w:rsid w:val="00202B28"/>
    <w:rsid w:val="00206B16"/>
    <w:rsid w:val="002076FC"/>
    <w:rsid w:val="002115B9"/>
    <w:rsid w:val="00213920"/>
    <w:rsid w:val="00214245"/>
    <w:rsid w:val="00216F09"/>
    <w:rsid w:val="00220BE0"/>
    <w:rsid w:val="00222EFE"/>
    <w:rsid w:val="00223041"/>
    <w:rsid w:val="002236B7"/>
    <w:rsid w:val="00225211"/>
    <w:rsid w:val="00225B05"/>
    <w:rsid w:val="00225C88"/>
    <w:rsid w:val="00227925"/>
    <w:rsid w:val="00232923"/>
    <w:rsid w:val="002405A2"/>
    <w:rsid w:val="00241F96"/>
    <w:rsid w:val="0024233A"/>
    <w:rsid w:val="002468E5"/>
    <w:rsid w:val="00246FBD"/>
    <w:rsid w:val="00250CD4"/>
    <w:rsid w:val="002520A5"/>
    <w:rsid w:val="00252DC6"/>
    <w:rsid w:val="00253506"/>
    <w:rsid w:val="0025726F"/>
    <w:rsid w:val="00262E08"/>
    <w:rsid w:val="00264836"/>
    <w:rsid w:val="00270F00"/>
    <w:rsid w:val="00272A5F"/>
    <w:rsid w:val="00272B77"/>
    <w:rsid w:val="00274F21"/>
    <w:rsid w:val="0027722B"/>
    <w:rsid w:val="00277A1B"/>
    <w:rsid w:val="002815DF"/>
    <w:rsid w:val="002822F6"/>
    <w:rsid w:val="0028598F"/>
    <w:rsid w:val="00287254"/>
    <w:rsid w:val="00296282"/>
    <w:rsid w:val="00296E94"/>
    <w:rsid w:val="002970F9"/>
    <w:rsid w:val="002A2250"/>
    <w:rsid w:val="002A6AD7"/>
    <w:rsid w:val="002B14F5"/>
    <w:rsid w:val="002B3B42"/>
    <w:rsid w:val="002B41F8"/>
    <w:rsid w:val="002C04F2"/>
    <w:rsid w:val="002C29AD"/>
    <w:rsid w:val="002C4C3E"/>
    <w:rsid w:val="002E1F58"/>
    <w:rsid w:val="002E2119"/>
    <w:rsid w:val="002E4251"/>
    <w:rsid w:val="002E7EC5"/>
    <w:rsid w:val="002F03FA"/>
    <w:rsid w:val="002F177C"/>
    <w:rsid w:val="002F188C"/>
    <w:rsid w:val="002F56F0"/>
    <w:rsid w:val="002F6637"/>
    <w:rsid w:val="003032F0"/>
    <w:rsid w:val="00303908"/>
    <w:rsid w:val="00303E45"/>
    <w:rsid w:val="00322C36"/>
    <w:rsid w:val="00323588"/>
    <w:rsid w:val="00325141"/>
    <w:rsid w:val="00327128"/>
    <w:rsid w:val="00327E8F"/>
    <w:rsid w:val="0033747C"/>
    <w:rsid w:val="00337D3D"/>
    <w:rsid w:val="0034194C"/>
    <w:rsid w:val="003429B0"/>
    <w:rsid w:val="0034548A"/>
    <w:rsid w:val="00345E72"/>
    <w:rsid w:val="003522D7"/>
    <w:rsid w:val="003567A7"/>
    <w:rsid w:val="0036380F"/>
    <w:rsid w:val="00363F53"/>
    <w:rsid w:val="00364006"/>
    <w:rsid w:val="00364225"/>
    <w:rsid w:val="0036443B"/>
    <w:rsid w:val="003662AA"/>
    <w:rsid w:val="00367D9D"/>
    <w:rsid w:val="00373BC0"/>
    <w:rsid w:val="0037548A"/>
    <w:rsid w:val="003754EF"/>
    <w:rsid w:val="003756F0"/>
    <w:rsid w:val="00376880"/>
    <w:rsid w:val="003768C0"/>
    <w:rsid w:val="00381672"/>
    <w:rsid w:val="00381D24"/>
    <w:rsid w:val="00383FCA"/>
    <w:rsid w:val="00386E6F"/>
    <w:rsid w:val="00386F06"/>
    <w:rsid w:val="0038789E"/>
    <w:rsid w:val="00390C21"/>
    <w:rsid w:val="003919F8"/>
    <w:rsid w:val="00391C5D"/>
    <w:rsid w:val="00391DE8"/>
    <w:rsid w:val="00392ED2"/>
    <w:rsid w:val="00393868"/>
    <w:rsid w:val="00394CE9"/>
    <w:rsid w:val="003966D5"/>
    <w:rsid w:val="003979B7"/>
    <w:rsid w:val="003A0860"/>
    <w:rsid w:val="003A0C89"/>
    <w:rsid w:val="003A3583"/>
    <w:rsid w:val="003A398F"/>
    <w:rsid w:val="003A421B"/>
    <w:rsid w:val="003A448D"/>
    <w:rsid w:val="003A456C"/>
    <w:rsid w:val="003A543B"/>
    <w:rsid w:val="003B0911"/>
    <w:rsid w:val="003B3456"/>
    <w:rsid w:val="003B3F18"/>
    <w:rsid w:val="003B6191"/>
    <w:rsid w:val="003B67B6"/>
    <w:rsid w:val="003B73F9"/>
    <w:rsid w:val="003C29E7"/>
    <w:rsid w:val="003C2F27"/>
    <w:rsid w:val="003C3180"/>
    <w:rsid w:val="003C63BB"/>
    <w:rsid w:val="003C6D9B"/>
    <w:rsid w:val="003C6EA1"/>
    <w:rsid w:val="003D1C36"/>
    <w:rsid w:val="003D46A3"/>
    <w:rsid w:val="003D60B1"/>
    <w:rsid w:val="003D7AC0"/>
    <w:rsid w:val="003E1B75"/>
    <w:rsid w:val="003E2FA7"/>
    <w:rsid w:val="003F4699"/>
    <w:rsid w:val="003F4FD8"/>
    <w:rsid w:val="003F6077"/>
    <w:rsid w:val="003F77EB"/>
    <w:rsid w:val="004016EC"/>
    <w:rsid w:val="004034CA"/>
    <w:rsid w:val="00403642"/>
    <w:rsid w:val="00411BEE"/>
    <w:rsid w:val="00414829"/>
    <w:rsid w:val="00424264"/>
    <w:rsid w:val="004261E6"/>
    <w:rsid w:val="00427021"/>
    <w:rsid w:val="004328C5"/>
    <w:rsid w:val="004348C7"/>
    <w:rsid w:val="00437AEA"/>
    <w:rsid w:val="004418C4"/>
    <w:rsid w:val="004425BE"/>
    <w:rsid w:val="004476D2"/>
    <w:rsid w:val="00447C13"/>
    <w:rsid w:val="00453ADA"/>
    <w:rsid w:val="00453CAC"/>
    <w:rsid w:val="00453E07"/>
    <w:rsid w:val="00454BD0"/>
    <w:rsid w:val="00455F25"/>
    <w:rsid w:val="00456E6F"/>
    <w:rsid w:val="004632F1"/>
    <w:rsid w:val="0047100A"/>
    <w:rsid w:val="00471B19"/>
    <w:rsid w:val="004725AF"/>
    <w:rsid w:val="0047500D"/>
    <w:rsid w:val="00481220"/>
    <w:rsid w:val="00484928"/>
    <w:rsid w:val="0049440C"/>
    <w:rsid w:val="004946A7"/>
    <w:rsid w:val="004951AA"/>
    <w:rsid w:val="004A0282"/>
    <w:rsid w:val="004A28D1"/>
    <w:rsid w:val="004A503A"/>
    <w:rsid w:val="004A619D"/>
    <w:rsid w:val="004B02AE"/>
    <w:rsid w:val="004B288B"/>
    <w:rsid w:val="004B310C"/>
    <w:rsid w:val="004B400D"/>
    <w:rsid w:val="004B42FF"/>
    <w:rsid w:val="004C052A"/>
    <w:rsid w:val="004C0565"/>
    <w:rsid w:val="004C1CA0"/>
    <w:rsid w:val="004C4F01"/>
    <w:rsid w:val="004C5D50"/>
    <w:rsid w:val="004D0077"/>
    <w:rsid w:val="004D03BC"/>
    <w:rsid w:val="004D48B3"/>
    <w:rsid w:val="004D5466"/>
    <w:rsid w:val="004D5895"/>
    <w:rsid w:val="004D7CAE"/>
    <w:rsid w:val="004E0315"/>
    <w:rsid w:val="004E5468"/>
    <w:rsid w:val="004E5CA4"/>
    <w:rsid w:val="004E62B0"/>
    <w:rsid w:val="004E66D8"/>
    <w:rsid w:val="004E7A63"/>
    <w:rsid w:val="004E7EC4"/>
    <w:rsid w:val="004F006C"/>
    <w:rsid w:val="004F4727"/>
    <w:rsid w:val="004F7A78"/>
    <w:rsid w:val="005006CD"/>
    <w:rsid w:val="0050230B"/>
    <w:rsid w:val="00502F4E"/>
    <w:rsid w:val="0050476B"/>
    <w:rsid w:val="00506C00"/>
    <w:rsid w:val="00506DE0"/>
    <w:rsid w:val="005079D4"/>
    <w:rsid w:val="00510857"/>
    <w:rsid w:val="0051122A"/>
    <w:rsid w:val="0051138C"/>
    <w:rsid w:val="00513EBB"/>
    <w:rsid w:val="0051555E"/>
    <w:rsid w:val="005155F9"/>
    <w:rsid w:val="0052295A"/>
    <w:rsid w:val="005236F8"/>
    <w:rsid w:val="00524CD9"/>
    <w:rsid w:val="00524DFA"/>
    <w:rsid w:val="0052516E"/>
    <w:rsid w:val="00525659"/>
    <w:rsid w:val="00525771"/>
    <w:rsid w:val="00536458"/>
    <w:rsid w:val="005369DC"/>
    <w:rsid w:val="00540F3A"/>
    <w:rsid w:val="00541967"/>
    <w:rsid w:val="00543962"/>
    <w:rsid w:val="00544FA7"/>
    <w:rsid w:val="00546090"/>
    <w:rsid w:val="00553312"/>
    <w:rsid w:val="00553334"/>
    <w:rsid w:val="00553D73"/>
    <w:rsid w:val="0055589D"/>
    <w:rsid w:val="00560088"/>
    <w:rsid w:val="00560719"/>
    <w:rsid w:val="005629CE"/>
    <w:rsid w:val="00562D59"/>
    <w:rsid w:val="005646D5"/>
    <w:rsid w:val="00566D10"/>
    <w:rsid w:val="00571C4A"/>
    <w:rsid w:val="00576E04"/>
    <w:rsid w:val="0057742D"/>
    <w:rsid w:val="005803F3"/>
    <w:rsid w:val="0058168A"/>
    <w:rsid w:val="0058494E"/>
    <w:rsid w:val="00586373"/>
    <w:rsid w:val="00587B58"/>
    <w:rsid w:val="0059161A"/>
    <w:rsid w:val="00592571"/>
    <w:rsid w:val="00593B9A"/>
    <w:rsid w:val="00595715"/>
    <w:rsid w:val="00596741"/>
    <w:rsid w:val="005A1B42"/>
    <w:rsid w:val="005A30D9"/>
    <w:rsid w:val="005A3F79"/>
    <w:rsid w:val="005A79D9"/>
    <w:rsid w:val="005B0066"/>
    <w:rsid w:val="005B16E6"/>
    <w:rsid w:val="005B18A5"/>
    <w:rsid w:val="005C294F"/>
    <w:rsid w:val="005C2EB3"/>
    <w:rsid w:val="005C44E0"/>
    <w:rsid w:val="005D0EC1"/>
    <w:rsid w:val="005D29C3"/>
    <w:rsid w:val="005D335F"/>
    <w:rsid w:val="005D649A"/>
    <w:rsid w:val="005E0F25"/>
    <w:rsid w:val="005E39BA"/>
    <w:rsid w:val="005F08E6"/>
    <w:rsid w:val="005F0D28"/>
    <w:rsid w:val="005F297F"/>
    <w:rsid w:val="005F2C86"/>
    <w:rsid w:val="005F2E42"/>
    <w:rsid w:val="005F4F4E"/>
    <w:rsid w:val="005F5F16"/>
    <w:rsid w:val="005F5F92"/>
    <w:rsid w:val="0060017A"/>
    <w:rsid w:val="00610601"/>
    <w:rsid w:val="00621ADE"/>
    <w:rsid w:val="00622810"/>
    <w:rsid w:val="00622E25"/>
    <w:rsid w:val="00623550"/>
    <w:rsid w:val="006248EF"/>
    <w:rsid w:val="00624913"/>
    <w:rsid w:val="0062528D"/>
    <w:rsid w:val="00630917"/>
    <w:rsid w:val="00633E6D"/>
    <w:rsid w:val="006342DF"/>
    <w:rsid w:val="00634B7E"/>
    <w:rsid w:val="00635120"/>
    <w:rsid w:val="006367D8"/>
    <w:rsid w:val="0063785E"/>
    <w:rsid w:val="00640B08"/>
    <w:rsid w:val="00641A2F"/>
    <w:rsid w:val="00642766"/>
    <w:rsid w:val="00643978"/>
    <w:rsid w:val="00645E24"/>
    <w:rsid w:val="00647226"/>
    <w:rsid w:val="0065387E"/>
    <w:rsid w:val="006541E2"/>
    <w:rsid w:val="0065630F"/>
    <w:rsid w:val="0066136C"/>
    <w:rsid w:val="006626B0"/>
    <w:rsid w:val="006650A7"/>
    <w:rsid w:val="00665238"/>
    <w:rsid w:val="00665EB2"/>
    <w:rsid w:val="006724A1"/>
    <w:rsid w:val="00672693"/>
    <w:rsid w:val="00675A26"/>
    <w:rsid w:val="0068137A"/>
    <w:rsid w:val="00687FE2"/>
    <w:rsid w:val="006909B3"/>
    <w:rsid w:val="00691829"/>
    <w:rsid w:val="006A0F84"/>
    <w:rsid w:val="006A26EF"/>
    <w:rsid w:val="006A3424"/>
    <w:rsid w:val="006A36CB"/>
    <w:rsid w:val="006A6A25"/>
    <w:rsid w:val="006B0CB3"/>
    <w:rsid w:val="006B194A"/>
    <w:rsid w:val="006B2714"/>
    <w:rsid w:val="006B3D3B"/>
    <w:rsid w:val="006B748C"/>
    <w:rsid w:val="006B795F"/>
    <w:rsid w:val="006C2179"/>
    <w:rsid w:val="006C43A4"/>
    <w:rsid w:val="006C4A6F"/>
    <w:rsid w:val="006C5BF0"/>
    <w:rsid w:val="006D163A"/>
    <w:rsid w:val="006D314D"/>
    <w:rsid w:val="006D5464"/>
    <w:rsid w:val="006D68B5"/>
    <w:rsid w:val="006D7A78"/>
    <w:rsid w:val="006E049D"/>
    <w:rsid w:val="006E0EF1"/>
    <w:rsid w:val="006E143E"/>
    <w:rsid w:val="006E2523"/>
    <w:rsid w:val="006E3BF5"/>
    <w:rsid w:val="006E5B54"/>
    <w:rsid w:val="006E6C17"/>
    <w:rsid w:val="006E70B7"/>
    <w:rsid w:val="006E70D2"/>
    <w:rsid w:val="006E75C8"/>
    <w:rsid w:val="006E775D"/>
    <w:rsid w:val="006F2701"/>
    <w:rsid w:val="006F53C8"/>
    <w:rsid w:val="006F7FA3"/>
    <w:rsid w:val="0070118F"/>
    <w:rsid w:val="00702808"/>
    <w:rsid w:val="00706B2F"/>
    <w:rsid w:val="00707BCD"/>
    <w:rsid w:val="00710B1A"/>
    <w:rsid w:val="00716E7C"/>
    <w:rsid w:val="007226C0"/>
    <w:rsid w:val="00722850"/>
    <w:rsid w:val="007237FE"/>
    <w:rsid w:val="00727741"/>
    <w:rsid w:val="007278DE"/>
    <w:rsid w:val="00732118"/>
    <w:rsid w:val="007329B9"/>
    <w:rsid w:val="0073342B"/>
    <w:rsid w:val="00733914"/>
    <w:rsid w:val="007340D1"/>
    <w:rsid w:val="0073442B"/>
    <w:rsid w:val="00734EA7"/>
    <w:rsid w:val="00736307"/>
    <w:rsid w:val="0074193B"/>
    <w:rsid w:val="00743609"/>
    <w:rsid w:val="00743A9D"/>
    <w:rsid w:val="007441A2"/>
    <w:rsid w:val="00744628"/>
    <w:rsid w:val="007463EE"/>
    <w:rsid w:val="00746CB4"/>
    <w:rsid w:val="00751568"/>
    <w:rsid w:val="0075453B"/>
    <w:rsid w:val="00756ABB"/>
    <w:rsid w:val="0075761B"/>
    <w:rsid w:val="00757779"/>
    <w:rsid w:val="00763316"/>
    <w:rsid w:val="00763820"/>
    <w:rsid w:val="00764F4B"/>
    <w:rsid w:val="0076519F"/>
    <w:rsid w:val="00765FCA"/>
    <w:rsid w:val="007720F5"/>
    <w:rsid w:val="0077450D"/>
    <w:rsid w:val="0077524A"/>
    <w:rsid w:val="00781E34"/>
    <w:rsid w:val="00782B11"/>
    <w:rsid w:val="00784201"/>
    <w:rsid w:val="00785686"/>
    <w:rsid w:val="00794205"/>
    <w:rsid w:val="00795D52"/>
    <w:rsid w:val="00796034"/>
    <w:rsid w:val="0079604C"/>
    <w:rsid w:val="00796D01"/>
    <w:rsid w:val="007A0960"/>
    <w:rsid w:val="007A09C2"/>
    <w:rsid w:val="007A261D"/>
    <w:rsid w:val="007B3FB8"/>
    <w:rsid w:val="007B5649"/>
    <w:rsid w:val="007B6565"/>
    <w:rsid w:val="007B6F55"/>
    <w:rsid w:val="007B705A"/>
    <w:rsid w:val="007B7755"/>
    <w:rsid w:val="007C7DCA"/>
    <w:rsid w:val="007D25E0"/>
    <w:rsid w:val="007D2715"/>
    <w:rsid w:val="007D2B47"/>
    <w:rsid w:val="007D42B3"/>
    <w:rsid w:val="007D5DAC"/>
    <w:rsid w:val="007E63FE"/>
    <w:rsid w:val="007F31EE"/>
    <w:rsid w:val="007F40C0"/>
    <w:rsid w:val="007F47FE"/>
    <w:rsid w:val="007F4CEA"/>
    <w:rsid w:val="007F7A71"/>
    <w:rsid w:val="00801289"/>
    <w:rsid w:val="008044B5"/>
    <w:rsid w:val="00805857"/>
    <w:rsid w:val="00805880"/>
    <w:rsid w:val="008114E9"/>
    <w:rsid w:val="008117CC"/>
    <w:rsid w:val="008119D0"/>
    <w:rsid w:val="00814372"/>
    <w:rsid w:val="00814E51"/>
    <w:rsid w:val="00817BDA"/>
    <w:rsid w:val="00820BF3"/>
    <w:rsid w:val="00822AAB"/>
    <w:rsid w:val="00824804"/>
    <w:rsid w:val="00830029"/>
    <w:rsid w:val="00833DBE"/>
    <w:rsid w:val="008342F7"/>
    <w:rsid w:val="00835F0B"/>
    <w:rsid w:val="00836653"/>
    <w:rsid w:val="00837306"/>
    <w:rsid w:val="00844A41"/>
    <w:rsid w:val="00845493"/>
    <w:rsid w:val="00846F41"/>
    <w:rsid w:val="008504BD"/>
    <w:rsid w:val="008523F4"/>
    <w:rsid w:val="008606A8"/>
    <w:rsid w:val="00861A4D"/>
    <w:rsid w:val="00862E4D"/>
    <w:rsid w:val="00864112"/>
    <w:rsid w:val="008654BD"/>
    <w:rsid w:val="00865B9C"/>
    <w:rsid w:val="00865E58"/>
    <w:rsid w:val="0086744D"/>
    <w:rsid w:val="00871283"/>
    <w:rsid w:val="0087596A"/>
    <w:rsid w:val="0087613D"/>
    <w:rsid w:val="008832B5"/>
    <w:rsid w:val="00885EBC"/>
    <w:rsid w:val="00886F9C"/>
    <w:rsid w:val="00890553"/>
    <w:rsid w:val="00890AC3"/>
    <w:rsid w:val="00892643"/>
    <w:rsid w:val="00893CF6"/>
    <w:rsid w:val="00895AAA"/>
    <w:rsid w:val="0089764C"/>
    <w:rsid w:val="008A14D8"/>
    <w:rsid w:val="008A1501"/>
    <w:rsid w:val="008A1EFC"/>
    <w:rsid w:val="008A211A"/>
    <w:rsid w:val="008A35DB"/>
    <w:rsid w:val="008B1033"/>
    <w:rsid w:val="008B28B1"/>
    <w:rsid w:val="008B3764"/>
    <w:rsid w:val="008B4740"/>
    <w:rsid w:val="008B528B"/>
    <w:rsid w:val="008B56B8"/>
    <w:rsid w:val="008C04CE"/>
    <w:rsid w:val="008C126D"/>
    <w:rsid w:val="008D2A97"/>
    <w:rsid w:val="008D4820"/>
    <w:rsid w:val="008D6B8B"/>
    <w:rsid w:val="008D6BFE"/>
    <w:rsid w:val="008E3866"/>
    <w:rsid w:val="008E43FA"/>
    <w:rsid w:val="008E458D"/>
    <w:rsid w:val="008E5446"/>
    <w:rsid w:val="008E5ED6"/>
    <w:rsid w:val="008F1CF2"/>
    <w:rsid w:val="008F4986"/>
    <w:rsid w:val="008F4C5B"/>
    <w:rsid w:val="008F64FC"/>
    <w:rsid w:val="0090017B"/>
    <w:rsid w:val="00913CEB"/>
    <w:rsid w:val="00916982"/>
    <w:rsid w:val="0092053C"/>
    <w:rsid w:val="0092292B"/>
    <w:rsid w:val="0092374E"/>
    <w:rsid w:val="0092574C"/>
    <w:rsid w:val="00926B16"/>
    <w:rsid w:val="009276C3"/>
    <w:rsid w:val="009327CA"/>
    <w:rsid w:val="009378BA"/>
    <w:rsid w:val="00937F3D"/>
    <w:rsid w:val="0094289A"/>
    <w:rsid w:val="00942BF7"/>
    <w:rsid w:val="00943119"/>
    <w:rsid w:val="00943331"/>
    <w:rsid w:val="0094366C"/>
    <w:rsid w:val="00946A45"/>
    <w:rsid w:val="00954404"/>
    <w:rsid w:val="0095510F"/>
    <w:rsid w:val="00962336"/>
    <w:rsid w:val="00963D3A"/>
    <w:rsid w:val="00963F2F"/>
    <w:rsid w:val="00964A4C"/>
    <w:rsid w:val="0096572A"/>
    <w:rsid w:val="009678C9"/>
    <w:rsid w:val="009703C4"/>
    <w:rsid w:val="00972290"/>
    <w:rsid w:val="0098037D"/>
    <w:rsid w:val="00985182"/>
    <w:rsid w:val="00985709"/>
    <w:rsid w:val="00985918"/>
    <w:rsid w:val="00987801"/>
    <w:rsid w:val="00987F51"/>
    <w:rsid w:val="00990FFE"/>
    <w:rsid w:val="00992124"/>
    <w:rsid w:val="00997962"/>
    <w:rsid w:val="009A1ADD"/>
    <w:rsid w:val="009A23A6"/>
    <w:rsid w:val="009A4D06"/>
    <w:rsid w:val="009A6041"/>
    <w:rsid w:val="009A7F73"/>
    <w:rsid w:val="009B0273"/>
    <w:rsid w:val="009B0CF3"/>
    <w:rsid w:val="009B2759"/>
    <w:rsid w:val="009B6B29"/>
    <w:rsid w:val="009C0E1E"/>
    <w:rsid w:val="009C1954"/>
    <w:rsid w:val="009C23AE"/>
    <w:rsid w:val="009C2ADF"/>
    <w:rsid w:val="009C3CA6"/>
    <w:rsid w:val="009C4BA2"/>
    <w:rsid w:val="009C53ED"/>
    <w:rsid w:val="009C57C6"/>
    <w:rsid w:val="009D065E"/>
    <w:rsid w:val="009D3515"/>
    <w:rsid w:val="009D3D5F"/>
    <w:rsid w:val="009D51D0"/>
    <w:rsid w:val="009D7816"/>
    <w:rsid w:val="009E21F8"/>
    <w:rsid w:val="009E2989"/>
    <w:rsid w:val="009E43CE"/>
    <w:rsid w:val="009E7865"/>
    <w:rsid w:val="009F251C"/>
    <w:rsid w:val="009F585A"/>
    <w:rsid w:val="00A01398"/>
    <w:rsid w:val="00A02ECA"/>
    <w:rsid w:val="00A0313B"/>
    <w:rsid w:val="00A04D04"/>
    <w:rsid w:val="00A06F8F"/>
    <w:rsid w:val="00A128FA"/>
    <w:rsid w:val="00A13786"/>
    <w:rsid w:val="00A1469D"/>
    <w:rsid w:val="00A14DF9"/>
    <w:rsid w:val="00A22DCE"/>
    <w:rsid w:val="00A2350A"/>
    <w:rsid w:val="00A249E3"/>
    <w:rsid w:val="00A253C0"/>
    <w:rsid w:val="00A262CB"/>
    <w:rsid w:val="00A27A0B"/>
    <w:rsid w:val="00A27D94"/>
    <w:rsid w:val="00A30748"/>
    <w:rsid w:val="00A334A5"/>
    <w:rsid w:val="00A35867"/>
    <w:rsid w:val="00A362A3"/>
    <w:rsid w:val="00A4065F"/>
    <w:rsid w:val="00A43C8D"/>
    <w:rsid w:val="00A47E43"/>
    <w:rsid w:val="00A50798"/>
    <w:rsid w:val="00A52ABB"/>
    <w:rsid w:val="00A540E0"/>
    <w:rsid w:val="00A55734"/>
    <w:rsid w:val="00A573F9"/>
    <w:rsid w:val="00A601EA"/>
    <w:rsid w:val="00A61309"/>
    <w:rsid w:val="00A6218F"/>
    <w:rsid w:val="00A6263E"/>
    <w:rsid w:val="00A62A83"/>
    <w:rsid w:val="00A65AB5"/>
    <w:rsid w:val="00A66047"/>
    <w:rsid w:val="00A66116"/>
    <w:rsid w:val="00A678A4"/>
    <w:rsid w:val="00A7269E"/>
    <w:rsid w:val="00A73FCB"/>
    <w:rsid w:val="00A7669F"/>
    <w:rsid w:val="00A80987"/>
    <w:rsid w:val="00A80D19"/>
    <w:rsid w:val="00A86BBC"/>
    <w:rsid w:val="00A875F7"/>
    <w:rsid w:val="00A91A74"/>
    <w:rsid w:val="00A97024"/>
    <w:rsid w:val="00A97A08"/>
    <w:rsid w:val="00AA1128"/>
    <w:rsid w:val="00AA184C"/>
    <w:rsid w:val="00AA25F5"/>
    <w:rsid w:val="00AA272E"/>
    <w:rsid w:val="00AA6792"/>
    <w:rsid w:val="00AB0426"/>
    <w:rsid w:val="00AB0E09"/>
    <w:rsid w:val="00AB1BB8"/>
    <w:rsid w:val="00AB3708"/>
    <w:rsid w:val="00AB7911"/>
    <w:rsid w:val="00AC1EA5"/>
    <w:rsid w:val="00AC305B"/>
    <w:rsid w:val="00AC401D"/>
    <w:rsid w:val="00AC41E6"/>
    <w:rsid w:val="00AC4EE8"/>
    <w:rsid w:val="00AC582A"/>
    <w:rsid w:val="00AC59F9"/>
    <w:rsid w:val="00AC6DFC"/>
    <w:rsid w:val="00AC7FE7"/>
    <w:rsid w:val="00AD4887"/>
    <w:rsid w:val="00AD6898"/>
    <w:rsid w:val="00AD7A28"/>
    <w:rsid w:val="00AE29E4"/>
    <w:rsid w:val="00AE4189"/>
    <w:rsid w:val="00AE472C"/>
    <w:rsid w:val="00AE7A8A"/>
    <w:rsid w:val="00AF23D0"/>
    <w:rsid w:val="00AF3682"/>
    <w:rsid w:val="00AF4D8A"/>
    <w:rsid w:val="00B00DF0"/>
    <w:rsid w:val="00B02604"/>
    <w:rsid w:val="00B02FBC"/>
    <w:rsid w:val="00B105A7"/>
    <w:rsid w:val="00B12ED0"/>
    <w:rsid w:val="00B1306A"/>
    <w:rsid w:val="00B13CCA"/>
    <w:rsid w:val="00B155B3"/>
    <w:rsid w:val="00B15E9A"/>
    <w:rsid w:val="00B16766"/>
    <w:rsid w:val="00B2185E"/>
    <w:rsid w:val="00B2334C"/>
    <w:rsid w:val="00B237AB"/>
    <w:rsid w:val="00B2564D"/>
    <w:rsid w:val="00B301AC"/>
    <w:rsid w:val="00B30382"/>
    <w:rsid w:val="00B30F4B"/>
    <w:rsid w:val="00B33E6C"/>
    <w:rsid w:val="00B33F14"/>
    <w:rsid w:val="00B340EC"/>
    <w:rsid w:val="00B347AA"/>
    <w:rsid w:val="00B34E23"/>
    <w:rsid w:val="00B402F0"/>
    <w:rsid w:val="00B40767"/>
    <w:rsid w:val="00B44269"/>
    <w:rsid w:val="00B44584"/>
    <w:rsid w:val="00B46393"/>
    <w:rsid w:val="00B503B1"/>
    <w:rsid w:val="00B521BF"/>
    <w:rsid w:val="00B5281F"/>
    <w:rsid w:val="00B52964"/>
    <w:rsid w:val="00B53C9D"/>
    <w:rsid w:val="00B54241"/>
    <w:rsid w:val="00B549F8"/>
    <w:rsid w:val="00B54EAE"/>
    <w:rsid w:val="00B57407"/>
    <w:rsid w:val="00B60910"/>
    <w:rsid w:val="00B61300"/>
    <w:rsid w:val="00B63103"/>
    <w:rsid w:val="00B65506"/>
    <w:rsid w:val="00B67329"/>
    <w:rsid w:val="00B676D5"/>
    <w:rsid w:val="00B7003A"/>
    <w:rsid w:val="00B71157"/>
    <w:rsid w:val="00B72436"/>
    <w:rsid w:val="00B76DD3"/>
    <w:rsid w:val="00B8438E"/>
    <w:rsid w:val="00B9188D"/>
    <w:rsid w:val="00B92343"/>
    <w:rsid w:val="00B95C25"/>
    <w:rsid w:val="00BA0945"/>
    <w:rsid w:val="00BA2C84"/>
    <w:rsid w:val="00BA4EC3"/>
    <w:rsid w:val="00BA5E2E"/>
    <w:rsid w:val="00BA7824"/>
    <w:rsid w:val="00BB2B86"/>
    <w:rsid w:val="00BB33C2"/>
    <w:rsid w:val="00BB3B89"/>
    <w:rsid w:val="00BB7116"/>
    <w:rsid w:val="00BC002C"/>
    <w:rsid w:val="00BC02C3"/>
    <w:rsid w:val="00BC432E"/>
    <w:rsid w:val="00BC6E8A"/>
    <w:rsid w:val="00BC7AD6"/>
    <w:rsid w:val="00BD00D3"/>
    <w:rsid w:val="00BD0E9C"/>
    <w:rsid w:val="00BD1B76"/>
    <w:rsid w:val="00BD21E2"/>
    <w:rsid w:val="00BD2AD2"/>
    <w:rsid w:val="00BD2AD9"/>
    <w:rsid w:val="00BD55C2"/>
    <w:rsid w:val="00BE03CF"/>
    <w:rsid w:val="00BE134D"/>
    <w:rsid w:val="00BE52CA"/>
    <w:rsid w:val="00BE643F"/>
    <w:rsid w:val="00C02A9D"/>
    <w:rsid w:val="00C03333"/>
    <w:rsid w:val="00C03A1A"/>
    <w:rsid w:val="00C04A43"/>
    <w:rsid w:val="00C060C7"/>
    <w:rsid w:val="00C06A62"/>
    <w:rsid w:val="00C10D01"/>
    <w:rsid w:val="00C11244"/>
    <w:rsid w:val="00C21224"/>
    <w:rsid w:val="00C2495E"/>
    <w:rsid w:val="00C249C0"/>
    <w:rsid w:val="00C2763B"/>
    <w:rsid w:val="00C27F00"/>
    <w:rsid w:val="00C345EC"/>
    <w:rsid w:val="00C354F4"/>
    <w:rsid w:val="00C35559"/>
    <w:rsid w:val="00C4243B"/>
    <w:rsid w:val="00C426A9"/>
    <w:rsid w:val="00C42C5F"/>
    <w:rsid w:val="00C44BD2"/>
    <w:rsid w:val="00C45FCA"/>
    <w:rsid w:val="00C506D3"/>
    <w:rsid w:val="00C50F68"/>
    <w:rsid w:val="00C51F8B"/>
    <w:rsid w:val="00C62B85"/>
    <w:rsid w:val="00C6410E"/>
    <w:rsid w:val="00C664A6"/>
    <w:rsid w:val="00C73644"/>
    <w:rsid w:val="00C74D55"/>
    <w:rsid w:val="00C770AE"/>
    <w:rsid w:val="00C771B1"/>
    <w:rsid w:val="00C778ED"/>
    <w:rsid w:val="00C82406"/>
    <w:rsid w:val="00C82AC1"/>
    <w:rsid w:val="00C83A9D"/>
    <w:rsid w:val="00C85A0F"/>
    <w:rsid w:val="00C87F49"/>
    <w:rsid w:val="00C902A9"/>
    <w:rsid w:val="00C92494"/>
    <w:rsid w:val="00C92B9D"/>
    <w:rsid w:val="00C94CF6"/>
    <w:rsid w:val="00C969D0"/>
    <w:rsid w:val="00CA40B4"/>
    <w:rsid w:val="00CB0E48"/>
    <w:rsid w:val="00CB292D"/>
    <w:rsid w:val="00CB43FA"/>
    <w:rsid w:val="00CC0EB5"/>
    <w:rsid w:val="00CC4700"/>
    <w:rsid w:val="00CC7D9E"/>
    <w:rsid w:val="00CC7E90"/>
    <w:rsid w:val="00CD19E2"/>
    <w:rsid w:val="00CD3977"/>
    <w:rsid w:val="00CD4297"/>
    <w:rsid w:val="00CD5601"/>
    <w:rsid w:val="00CD7735"/>
    <w:rsid w:val="00CE1DC9"/>
    <w:rsid w:val="00CE4702"/>
    <w:rsid w:val="00CE4D17"/>
    <w:rsid w:val="00CE6110"/>
    <w:rsid w:val="00CE6F43"/>
    <w:rsid w:val="00CF2323"/>
    <w:rsid w:val="00CF3E76"/>
    <w:rsid w:val="00CF5EC5"/>
    <w:rsid w:val="00CF5EF2"/>
    <w:rsid w:val="00CF6BE1"/>
    <w:rsid w:val="00D01BDF"/>
    <w:rsid w:val="00D05226"/>
    <w:rsid w:val="00D05787"/>
    <w:rsid w:val="00D114A9"/>
    <w:rsid w:val="00D11A24"/>
    <w:rsid w:val="00D121CA"/>
    <w:rsid w:val="00D1320D"/>
    <w:rsid w:val="00D15873"/>
    <w:rsid w:val="00D17C2B"/>
    <w:rsid w:val="00D26471"/>
    <w:rsid w:val="00D272AF"/>
    <w:rsid w:val="00D31093"/>
    <w:rsid w:val="00D36B7C"/>
    <w:rsid w:val="00D36BDA"/>
    <w:rsid w:val="00D402CB"/>
    <w:rsid w:val="00D43109"/>
    <w:rsid w:val="00D43825"/>
    <w:rsid w:val="00D4657B"/>
    <w:rsid w:val="00D470E0"/>
    <w:rsid w:val="00D50E86"/>
    <w:rsid w:val="00D52096"/>
    <w:rsid w:val="00D54351"/>
    <w:rsid w:val="00D5462D"/>
    <w:rsid w:val="00D55308"/>
    <w:rsid w:val="00D5576A"/>
    <w:rsid w:val="00D5600D"/>
    <w:rsid w:val="00D572CA"/>
    <w:rsid w:val="00D578E9"/>
    <w:rsid w:val="00D60884"/>
    <w:rsid w:val="00D63D56"/>
    <w:rsid w:val="00D7009D"/>
    <w:rsid w:val="00D71205"/>
    <w:rsid w:val="00D71B75"/>
    <w:rsid w:val="00D74476"/>
    <w:rsid w:val="00D759B5"/>
    <w:rsid w:val="00D76DC4"/>
    <w:rsid w:val="00D77476"/>
    <w:rsid w:val="00D8089F"/>
    <w:rsid w:val="00D81F1D"/>
    <w:rsid w:val="00D82D41"/>
    <w:rsid w:val="00D83C75"/>
    <w:rsid w:val="00D850FF"/>
    <w:rsid w:val="00D8708F"/>
    <w:rsid w:val="00D87D00"/>
    <w:rsid w:val="00D92AD9"/>
    <w:rsid w:val="00D954DB"/>
    <w:rsid w:val="00DA0C61"/>
    <w:rsid w:val="00DA1364"/>
    <w:rsid w:val="00DA348D"/>
    <w:rsid w:val="00DB039A"/>
    <w:rsid w:val="00DB2708"/>
    <w:rsid w:val="00DB68A3"/>
    <w:rsid w:val="00DC4BDB"/>
    <w:rsid w:val="00DC61CF"/>
    <w:rsid w:val="00DC6844"/>
    <w:rsid w:val="00DD3270"/>
    <w:rsid w:val="00DD3B83"/>
    <w:rsid w:val="00DE2F35"/>
    <w:rsid w:val="00DE5220"/>
    <w:rsid w:val="00DF14EC"/>
    <w:rsid w:val="00DF66F0"/>
    <w:rsid w:val="00DF7123"/>
    <w:rsid w:val="00E01280"/>
    <w:rsid w:val="00E03970"/>
    <w:rsid w:val="00E03E55"/>
    <w:rsid w:val="00E057FB"/>
    <w:rsid w:val="00E05B1F"/>
    <w:rsid w:val="00E12460"/>
    <w:rsid w:val="00E2166C"/>
    <w:rsid w:val="00E24C51"/>
    <w:rsid w:val="00E254C3"/>
    <w:rsid w:val="00E303D7"/>
    <w:rsid w:val="00E305F0"/>
    <w:rsid w:val="00E30681"/>
    <w:rsid w:val="00E3383E"/>
    <w:rsid w:val="00E339AD"/>
    <w:rsid w:val="00E3536C"/>
    <w:rsid w:val="00E41F62"/>
    <w:rsid w:val="00E42BF7"/>
    <w:rsid w:val="00E4406C"/>
    <w:rsid w:val="00E52CF4"/>
    <w:rsid w:val="00E52F4B"/>
    <w:rsid w:val="00E55098"/>
    <w:rsid w:val="00E558D8"/>
    <w:rsid w:val="00E57A4A"/>
    <w:rsid w:val="00E62353"/>
    <w:rsid w:val="00E6235E"/>
    <w:rsid w:val="00E63830"/>
    <w:rsid w:val="00E65F81"/>
    <w:rsid w:val="00E72D56"/>
    <w:rsid w:val="00E74185"/>
    <w:rsid w:val="00E749C1"/>
    <w:rsid w:val="00E77721"/>
    <w:rsid w:val="00E77DBE"/>
    <w:rsid w:val="00E84455"/>
    <w:rsid w:val="00E9030A"/>
    <w:rsid w:val="00E915F6"/>
    <w:rsid w:val="00E91601"/>
    <w:rsid w:val="00E928A1"/>
    <w:rsid w:val="00E93A58"/>
    <w:rsid w:val="00E95312"/>
    <w:rsid w:val="00E96932"/>
    <w:rsid w:val="00E976B1"/>
    <w:rsid w:val="00EA0F6C"/>
    <w:rsid w:val="00EA53B2"/>
    <w:rsid w:val="00EA6AEE"/>
    <w:rsid w:val="00EB09ED"/>
    <w:rsid w:val="00EB4782"/>
    <w:rsid w:val="00EC11D1"/>
    <w:rsid w:val="00EC1993"/>
    <w:rsid w:val="00EC4B16"/>
    <w:rsid w:val="00EC5900"/>
    <w:rsid w:val="00EC6864"/>
    <w:rsid w:val="00ED5699"/>
    <w:rsid w:val="00ED57D6"/>
    <w:rsid w:val="00ED7727"/>
    <w:rsid w:val="00EE2469"/>
    <w:rsid w:val="00EE3419"/>
    <w:rsid w:val="00EE49C1"/>
    <w:rsid w:val="00EE5869"/>
    <w:rsid w:val="00EE6AAE"/>
    <w:rsid w:val="00EE6F4D"/>
    <w:rsid w:val="00EE7B4F"/>
    <w:rsid w:val="00EF2267"/>
    <w:rsid w:val="00EF6501"/>
    <w:rsid w:val="00F017F5"/>
    <w:rsid w:val="00F01EAB"/>
    <w:rsid w:val="00F02B4C"/>
    <w:rsid w:val="00F040EB"/>
    <w:rsid w:val="00F06D8E"/>
    <w:rsid w:val="00F13719"/>
    <w:rsid w:val="00F25086"/>
    <w:rsid w:val="00F32E0D"/>
    <w:rsid w:val="00F330FD"/>
    <w:rsid w:val="00F34BA6"/>
    <w:rsid w:val="00F356F3"/>
    <w:rsid w:val="00F40A43"/>
    <w:rsid w:val="00F40D97"/>
    <w:rsid w:val="00F41039"/>
    <w:rsid w:val="00F41F75"/>
    <w:rsid w:val="00F429BD"/>
    <w:rsid w:val="00F438FE"/>
    <w:rsid w:val="00F4765F"/>
    <w:rsid w:val="00F4793E"/>
    <w:rsid w:val="00F52FB9"/>
    <w:rsid w:val="00F5403B"/>
    <w:rsid w:val="00F55CF3"/>
    <w:rsid w:val="00F55F06"/>
    <w:rsid w:val="00F57579"/>
    <w:rsid w:val="00F63C90"/>
    <w:rsid w:val="00F65C2C"/>
    <w:rsid w:val="00F67321"/>
    <w:rsid w:val="00F7159B"/>
    <w:rsid w:val="00F71855"/>
    <w:rsid w:val="00F724E7"/>
    <w:rsid w:val="00F748DA"/>
    <w:rsid w:val="00F76AF4"/>
    <w:rsid w:val="00F81A06"/>
    <w:rsid w:val="00F81D48"/>
    <w:rsid w:val="00F828B2"/>
    <w:rsid w:val="00F8429F"/>
    <w:rsid w:val="00F85AF9"/>
    <w:rsid w:val="00F93C9B"/>
    <w:rsid w:val="00F97387"/>
    <w:rsid w:val="00FA12E7"/>
    <w:rsid w:val="00FA3058"/>
    <w:rsid w:val="00FA3433"/>
    <w:rsid w:val="00FA3E0A"/>
    <w:rsid w:val="00FA3EBF"/>
    <w:rsid w:val="00FB1554"/>
    <w:rsid w:val="00FB47C5"/>
    <w:rsid w:val="00FB7707"/>
    <w:rsid w:val="00FB78F6"/>
    <w:rsid w:val="00FB7FE3"/>
    <w:rsid w:val="00FC30A3"/>
    <w:rsid w:val="00FC5825"/>
    <w:rsid w:val="00FC59F4"/>
    <w:rsid w:val="00FC5C34"/>
    <w:rsid w:val="00FC78A5"/>
    <w:rsid w:val="00FD4D0B"/>
    <w:rsid w:val="00FD524A"/>
    <w:rsid w:val="00FE0DA3"/>
    <w:rsid w:val="00FE6C90"/>
    <w:rsid w:val="00FE7EDF"/>
    <w:rsid w:val="00FF00C3"/>
    <w:rsid w:val="00FF0328"/>
    <w:rsid w:val="00FF1063"/>
    <w:rsid w:val="00FF38B9"/>
    <w:rsid w:val="00FF5A46"/>
    <w:rsid w:val="00FF6649"/>
    <w:rsid w:val="00FF76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14ACE6"/>
  <w15:chartTrackingRefBased/>
  <w15:docId w15:val="{627DABBB-CDE4-4113-B052-6F7902C7B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47E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A0F6C"/>
    <w:pPr>
      <w:spacing w:after="0" w:line="240" w:lineRule="auto"/>
    </w:pPr>
  </w:style>
  <w:style w:type="paragraph" w:styleId="NormalWeb">
    <w:name w:val="Normal (Web)"/>
    <w:basedOn w:val="Normal"/>
    <w:uiPriority w:val="99"/>
    <w:semiHidden/>
    <w:unhideWhenUsed/>
    <w:rsid w:val="00CC7D9E"/>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B026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2604"/>
    <w:rPr>
      <w:rFonts w:ascii="Segoe UI" w:hAnsi="Segoe UI" w:cs="Segoe UI"/>
      <w:sz w:val="18"/>
      <w:szCs w:val="18"/>
    </w:rPr>
  </w:style>
  <w:style w:type="character" w:customStyle="1" w:styleId="small-caps">
    <w:name w:val="small-caps"/>
    <w:basedOn w:val="DefaultParagraphFont"/>
    <w:rsid w:val="005D335F"/>
  </w:style>
  <w:style w:type="character" w:styleId="Emphasis">
    <w:name w:val="Emphasis"/>
    <w:basedOn w:val="DefaultParagraphFont"/>
    <w:uiPriority w:val="20"/>
    <w:qFormat/>
    <w:rsid w:val="005D335F"/>
    <w:rPr>
      <w:i/>
      <w:iCs/>
    </w:rPr>
  </w:style>
  <w:style w:type="character" w:styleId="LineNumber">
    <w:name w:val="line number"/>
    <w:basedOn w:val="DefaultParagraphFont"/>
    <w:uiPriority w:val="99"/>
    <w:semiHidden/>
    <w:unhideWhenUsed/>
    <w:rsid w:val="005D335F"/>
  </w:style>
  <w:style w:type="paragraph" w:styleId="Header">
    <w:name w:val="header"/>
    <w:basedOn w:val="Normal"/>
    <w:link w:val="HeaderChar"/>
    <w:uiPriority w:val="99"/>
    <w:unhideWhenUsed/>
    <w:rsid w:val="005D33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335F"/>
  </w:style>
  <w:style w:type="paragraph" w:styleId="Footer">
    <w:name w:val="footer"/>
    <w:basedOn w:val="Normal"/>
    <w:link w:val="FooterChar"/>
    <w:uiPriority w:val="99"/>
    <w:unhideWhenUsed/>
    <w:rsid w:val="005D33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335F"/>
  </w:style>
  <w:style w:type="character" w:styleId="CommentReference">
    <w:name w:val="annotation reference"/>
    <w:basedOn w:val="DefaultParagraphFont"/>
    <w:uiPriority w:val="99"/>
    <w:semiHidden/>
    <w:unhideWhenUsed/>
    <w:rsid w:val="00C42C5F"/>
    <w:rPr>
      <w:sz w:val="16"/>
      <w:szCs w:val="16"/>
    </w:rPr>
  </w:style>
  <w:style w:type="paragraph" w:styleId="CommentText">
    <w:name w:val="annotation text"/>
    <w:basedOn w:val="Normal"/>
    <w:link w:val="CommentTextChar"/>
    <w:uiPriority w:val="99"/>
    <w:semiHidden/>
    <w:unhideWhenUsed/>
    <w:rsid w:val="00C42C5F"/>
    <w:pPr>
      <w:spacing w:line="240" w:lineRule="auto"/>
    </w:pPr>
    <w:rPr>
      <w:sz w:val="20"/>
      <w:szCs w:val="20"/>
    </w:rPr>
  </w:style>
  <w:style w:type="character" w:customStyle="1" w:styleId="CommentTextChar">
    <w:name w:val="Comment Text Char"/>
    <w:basedOn w:val="DefaultParagraphFont"/>
    <w:link w:val="CommentText"/>
    <w:uiPriority w:val="99"/>
    <w:semiHidden/>
    <w:rsid w:val="00C42C5F"/>
    <w:rPr>
      <w:sz w:val="20"/>
      <w:szCs w:val="20"/>
    </w:rPr>
  </w:style>
  <w:style w:type="paragraph" w:styleId="CommentSubject">
    <w:name w:val="annotation subject"/>
    <w:basedOn w:val="CommentText"/>
    <w:next w:val="CommentText"/>
    <w:link w:val="CommentSubjectChar"/>
    <w:uiPriority w:val="99"/>
    <w:semiHidden/>
    <w:unhideWhenUsed/>
    <w:rsid w:val="00C42C5F"/>
    <w:rPr>
      <w:b/>
      <w:bCs/>
    </w:rPr>
  </w:style>
  <w:style w:type="character" w:customStyle="1" w:styleId="CommentSubjectChar">
    <w:name w:val="Comment Subject Char"/>
    <w:basedOn w:val="CommentTextChar"/>
    <w:link w:val="CommentSubject"/>
    <w:uiPriority w:val="99"/>
    <w:semiHidden/>
    <w:rsid w:val="00C42C5F"/>
    <w:rPr>
      <w:b/>
      <w:bCs/>
      <w:sz w:val="20"/>
      <w:szCs w:val="20"/>
    </w:rPr>
  </w:style>
  <w:style w:type="character" w:styleId="Hyperlink">
    <w:name w:val="Hyperlink"/>
    <w:basedOn w:val="DefaultParagraphFont"/>
    <w:uiPriority w:val="99"/>
    <w:unhideWhenUsed/>
    <w:rsid w:val="00E928A1"/>
    <w:rPr>
      <w:color w:val="0000FF"/>
      <w:u w:val="single"/>
    </w:rPr>
  </w:style>
  <w:style w:type="paragraph" w:styleId="Revision">
    <w:name w:val="Revision"/>
    <w:hidden/>
    <w:uiPriority w:val="99"/>
    <w:semiHidden/>
    <w:rsid w:val="00943119"/>
    <w:pPr>
      <w:spacing w:after="0" w:line="240" w:lineRule="auto"/>
    </w:pPr>
  </w:style>
  <w:style w:type="paragraph" w:customStyle="1" w:styleId="TAMainText">
    <w:name w:val="TA_Main_Text"/>
    <w:basedOn w:val="Normal"/>
    <w:autoRedefine/>
    <w:rsid w:val="001A640B"/>
    <w:pPr>
      <w:spacing w:after="60" w:line="360" w:lineRule="auto"/>
      <w:jc w:val="both"/>
    </w:pPr>
    <w:rPr>
      <w:rFonts w:eastAsia="Times New Roman" w:cstheme="minorHAnsi"/>
      <w:kern w:val="21"/>
    </w:rPr>
  </w:style>
  <w:style w:type="character" w:styleId="FollowedHyperlink">
    <w:name w:val="FollowedHyperlink"/>
    <w:rsid w:val="0095510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482899">
      <w:bodyDiv w:val="1"/>
      <w:marLeft w:val="0"/>
      <w:marRight w:val="0"/>
      <w:marTop w:val="0"/>
      <w:marBottom w:val="0"/>
      <w:divBdr>
        <w:top w:val="none" w:sz="0" w:space="0" w:color="auto"/>
        <w:left w:val="none" w:sz="0" w:space="0" w:color="auto"/>
        <w:bottom w:val="none" w:sz="0" w:space="0" w:color="auto"/>
        <w:right w:val="none" w:sz="0" w:space="0" w:color="auto"/>
      </w:divBdr>
    </w:div>
    <w:div w:id="345136982">
      <w:bodyDiv w:val="1"/>
      <w:marLeft w:val="0"/>
      <w:marRight w:val="0"/>
      <w:marTop w:val="0"/>
      <w:marBottom w:val="0"/>
      <w:divBdr>
        <w:top w:val="none" w:sz="0" w:space="0" w:color="auto"/>
        <w:left w:val="none" w:sz="0" w:space="0" w:color="auto"/>
        <w:bottom w:val="none" w:sz="0" w:space="0" w:color="auto"/>
        <w:right w:val="none" w:sz="0" w:space="0" w:color="auto"/>
      </w:divBdr>
    </w:div>
    <w:div w:id="768547079">
      <w:bodyDiv w:val="1"/>
      <w:marLeft w:val="0"/>
      <w:marRight w:val="0"/>
      <w:marTop w:val="0"/>
      <w:marBottom w:val="0"/>
      <w:divBdr>
        <w:top w:val="none" w:sz="0" w:space="0" w:color="auto"/>
        <w:left w:val="none" w:sz="0" w:space="0" w:color="auto"/>
        <w:bottom w:val="none" w:sz="0" w:space="0" w:color="auto"/>
        <w:right w:val="none" w:sz="0" w:space="0" w:color="auto"/>
      </w:divBdr>
    </w:div>
    <w:div w:id="1035809783">
      <w:bodyDiv w:val="1"/>
      <w:marLeft w:val="0"/>
      <w:marRight w:val="0"/>
      <w:marTop w:val="0"/>
      <w:marBottom w:val="0"/>
      <w:divBdr>
        <w:top w:val="none" w:sz="0" w:space="0" w:color="auto"/>
        <w:left w:val="none" w:sz="0" w:space="0" w:color="auto"/>
        <w:bottom w:val="none" w:sz="0" w:space="0" w:color="auto"/>
        <w:right w:val="none" w:sz="0" w:space="0" w:color="auto"/>
      </w:divBdr>
    </w:div>
    <w:div w:id="1236209385">
      <w:bodyDiv w:val="1"/>
      <w:marLeft w:val="0"/>
      <w:marRight w:val="0"/>
      <w:marTop w:val="0"/>
      <w:marBottom w:val="0"/>
      <w:divBdr>
        <w:top w:val="none" w:sz="0" w:space="0" w:color="auto"/>
        <w:left w:val="none" w:sz="0" w:space="0" w:color="auto"/>
        <w:bottom w:val="none" w:sz="0" w:space="0" w:color="auto"/>
        <w:right w:val="none" w:sz="0" w:space="0" w:color="auto"/>
      </w:divBdr>
    </w:div>
    <w:div w:id="1377123735">
      <w:bodyDiv w:val="1"/>
      <w:marLeft w:val="0"/>
      <w:marRight w:val="0"/>
      <w:marTop w:val="0"/>
      <w:marBottom w:val="0"/>
      <w:divBdr>
        <w:top w:val="none" w:sz="0" w:space="0" w:color="auto"/>
        <w:left w:val="none" w:sz="0" w:space="0" w:color="auto"/>
        <w:bottom w:val="none" w:sz="0" w:space="0" w:color="auto"/>
        <w:right w:val="none" w:sz="0" w:space="0" w:color="auto"/>
      </w:divBdr>
    </w:div>
    <w:div w:id="1410495088">
      <w:bodyDiv w:val="1"/>
      <w:marLeft w:val="0"/>
      <w:marRight w:val="0"/>
      <w:marTop w:val="0"/>
      <w:marBottom w:val="0"/>
      <w:divBdr>
        <w:top w:val="none" w:sz="0" w:space="0" w:color="auto"/>
        <w:left w:val="none" w:sz="0" w:space="0" w:color="auto"/>
        <w:bottom w:val="none" w:sz="0" w:space="0" w:color="auto"/>
        <w:right w:val="none" w:sz="0" w:space="0" w:color="auto"/>
      </w:divBdr>
    </w:div>
    <w:div w:id="1697610619">
      <w:bodyDiv w:val="1"/>
      <w:marLeft w:val="0"/>
      <w:marRight w:val="0"/>
      <w:marTop w:val="0"/>
      <w:marBottom w:val="0"/>
      <w:divBdr>
        <w:top w:val="none" w:sz="0" w:space="0" w:color="auto"/>
        <w:left w:val="none" w:sz="0" w:space="0" w:color="auto"/>
        <w:bottom w:val="none" w:sz="0" w:space="0" w:color="auto"/>
        <w:right w:val="none" w:sz="0" w:space="0" w:color="auto"/>
      </w:divBdr>
    </w:div>
    <w:div w:id="2080712420">
      <w:bodyDiv w:val="1"/>
      <w:marLeft w:val="0"/>
      <w:marRight w:val="0"/>
      <w:marTop w:val="0"/>
      <w:marBottom w:val="0"/>
      <w:divBdr>
        <w:top w:val="none" w:sz="0" w:space="0" w:color="auto"/>
        <w:left w:val="none" w:sz="0" w:space="0" w:color="auto"/>
        <w:bottom w:val="none" w:sz="0" w:space="0" w:color="auto"/>
        <w:right w:val="none" w:sz="0" w:space="0" w:color="auto"/>
      </w:divBdr>
    </w:div>
    <w:div w:id="2141223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sk20@cam.ac.uk"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17863/CAM.50622"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C8D3E-F652-4A6A-A77B-601BA8B83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59880</Words>
  <Characters>341318</Characters>
  <Application>Microsoft Office Word</Application>
  <DocSecurity>0</DocSecurity>
  <Lines>2844</Lines>
  <Paragraphs>800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asds2</dc:creator>
  <cp:keywords/>
  <dc:description/>
  <cp:lastModifiedBy>Amberley Barrett</cp:lastModifiedBy>
  <cp:revision>2</cp:revision>
  <cp:lastPrinted>2019-08-19T13:21:00Z</cp:lastPrinted>
  <dcterms:created xsi:type="dcterms:W3CDTF">2020-04-20T13:05:00Z</dcterms:created>
  <dcterms:modified xsi:type="dcterms:W3CDTF">2020-04-20T13:05:00Z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http://www.zotero.org/styles/angewandte-chemie</vt:lpwstr>
  </property>
  <property fmtid="{D5CDD505-2E9C-101B-9397-08002B2CF9AE}" pid="7" name="Mendeley Recent Style Name 2_1">
    <vt:lpwstr>Angewandte Chemie International Edition</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http://www.zotero.org/styles/journal-of-the-american-chemical-society</vt:lpwstr>
  </property>
  <property fmtid="{D5CDD505-2E9C-101B-9397-08002B2CF9AE}" pid="13" name="Mendeley Recent Style Name 5_1">
    <vt:lpwstr>Journal of the American Chemical Society</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http://www.zotero.org/styles/science</vt:lpwstr>
  </property>
  <property fmtid="{D5CDD505-2E9C-101B-9397-08002B2CF9AE}" pid="21" name="Mendeley Recent Style Name 9_1">
    <vt:lpwstr>Science</vt:lpwstr>
  </property>
  <property fmtid="{D5CDD505-2E9C-101B-9397-08002B2CF9AE}" pid="22" name="Mendeley Document_1">
    <vt:lpwstr>True</vt:lpwstr>
  </property>
  <property fmtid="{D5CDD505-2E9C-101B-9397-08002B2CF9AE}" pid="23" name="Mendeley Unique User Id_1">
    <vt:lpwstr>c9497404-ebc6-3acd-a054-27d3d50c6524</vt:lpwstr>
  </property>
  <property fmtid="{D5CDD505-2E9C-101B-9397-08002B2CF9AE}" pid="24" name="Mendeley Citation Style_1">
    <vt:lpwstr>http://www.zotero.org/styles/nature</vt:lpwstr>
  </property>
</Properties>
</file>