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56F4A" w14:textId="4BA35E47" w:rsidR="007E091B" w:rsidRPr="007D093C" w:rsidRDefault="007E091B" w:rsidP="007E091B">
      <w:pPr>
        <w:pStyle w:val="Normal1"/>
        <w:spacing w:before="120" w:after="120"/>
        <w:jc w:val="both"/>
        <w:rPr>
          <w:rFonts w:asciiTheme="majorHAnsi" w:hAnsiTheme="majorHAnsi" w:cs="Arial"/>
          <w:b/>
          <w:color w:val="auto"/>
          <w:sz w:val="24"/>
          <w:szCs w:val="24"/>
          <w:lang w:val="en-GB" w:eastAsia="en-US"/>
        </w:rPr>
      </w:pPr>
      <w:r w:rsidRPr="007D093C">
        <w:rPr>
          <w:rFonts w:asciiTheme="majorHAnsi" w:hAnsiTheme="majorHAnsi" w:cs="Arial"/>
          <w:b/>
          <w:color w:val="auto"/>
          <w:sz w:val="24"/>
          <w:szCs w:val="24"/>
          <w:lang w:val="en-GB" w:eastAsia="en-US"/>
        </w:rPr>
        <w:t xml:space="preserve">Supplementary </w:t>
      </w:r>
      <w:r w:rsidR="00EF7B57">
        <w:rPr>
          <w:rFonts w:asciiTheme="majorHAnsi" w:hAnsiTheme="majorHAnsi" w:cs="Arial"/>
          <w:b/>
          <w:color w:val="auto"/>
          <w:sz w:val="24"/>
          <w:szCs w:val="24"/>
          <w:lang w:val="en-GB" w:eastAsia="en-US"/>
        </w:rPr>
        <w:t>information</w:t>
      </w:r>
      <w:r w:rsidR="00EF7B57" w:rsidRPr="007D093C">
        <w:rPr>
          <w:rFonts w:asciiTheme="majorHAnsi" w:hAnsiTheme="majorHAnsi" w:cs="Arial"/>
          <w:b/>
          <w:color w:val="auto"/>
          <w:sz w:val="24"/>
          <w:szCs w:val="24"/>
          <w:lang w:val="en-GB" w:eastAsia="en-US"/>
        </w:rPr>
        <w:t xml:space="preserve"> </w:t>
      </w:r>
      <w:r w:rsidRPr="007D093C">
        <w:rPr>
          <w:rFonts w:asciiTheme="majorHAnsi" w:hAnsiTheme="majorHAnsi" w:cs="Arial"/>
          <w:b/>
          <w:color w:val="auto"/>
          <w:sz w:val="24"/>
          <w:szCs w:val="24"/>
          <w:lang w:val="en-GB" w:eastAsia="en-US"/>
        </w:rPr>
        <w:t>for:</w:t>
      </w:r>
    </w:p>
    <w:p w14:paraId="4BCB5FF8" w14:textId="77777777" w:rsidR="007E091B" w:rsidRPr="007D093C" w:rsidRDefault="007E091B" w:rsidP="007E091B">
      <w:pPr>
        <w:pStyle w:val="Title"/>
        <w:ind w:left="720" w:hanging="720"/>
        <w:jc w:val="center"/>
      </w:pPr>
      <w:r w:rsidRPr="007D093C">
        <w:t>Equity and negative emissions</w:t>
      </w:r>
    </w:p>
    <w:p w14:paraId="542D911F" w14:textId="77777777" w:rsidR="007E091B" w:rsidRPr="007D093C" w:rsidRDefault="007E091B" w:rsidP="007E091B">
      <w:pPr>
        <w:pStyle w:val="Teaser"/>
        <w:spacing w:before="0"/>
        <w:jc w:val="both"/>
        <w:rPr>
          <w:rFonts w:ascii="Arial" w:hAnsi="Arial" w:cs="Arial"/>
          <w:b/>
          <w:sz w:val="20"/>
          <w:szCs w:val="20"/>
          <w:lang w:val="en-GB"/>
        </w:rPr>
      </w:pPr>
    </w:p>
    <w:p w14:paraId="73253EE8" w14:textId="77777777" w:rsidR="00421D52" w:rsidRPr="00C3059A" w:rsidRDefault="00421D52" w:rsidP="00421D52">
      <w:pPr>
        <w:pStyle w:val="Teaser"/>
        <w:spacing w:before="0" w:line="360" w:lineRule="auto"/>
        <w:jc w:val="center"/>
        <w:rPr>
          <w:rFonts w:ascii="Arial" w:hAnsi="Arial" w:cs="Arial"/>
          <w:lang w:val="es-ES"/>
        </w:rPr>
      </w:pPr>
      <w:r w:rsidRPr="00C3059A">
        <w:rPr>
          <w:rFonts w:ascii="Arial" w:hAnsi="Arial" w:cs="Arial"/>
          <w:lang w:val="es-ES"/>
        </w:rPr>
        <w:t>Carlos Pozo</w:t>
      </w:r>
      <w:r w:rsidRPr="00C3059A">
        <w:rPr>
          <w:rFonts w:ascii="Arial" w:hAnsi="Arial" w:cs="Arial"/>
          <w:vertAlign w:val="superscript"/>
          <w:lang w:val="es-ES"/>
        </w:rPr>
        <w:t>1,2†</w:t>
      </w:r>
      <w:r w:rsidRPr="00C3059A">
        <w:rPr>
          <w:rFonts w:ascii="Arial" w:hAnsi="Arial" w:cs="Arial"/>
          <w:lang w:val="es-ES"/>
        </w:rPr>
        <w:t>, Ángel Galán-Martín</w:t>
      </w:r>
      <w:r w:rsidRPr="00C3059A">
        <w:rPr>
          <w:rFonts w:ascii="Arial" w:hAnsi="Arial" w:cs="Arial"/>
          <w:vertAlign w:val="superscript"/>
          <w:lang w:val="es-ES"/>
        </w:rPr>
        <w:t>3†</w:t>
      </w:r>
      <w:r w:rsidRPr="00C3059A">
        <w:rPr>
          <w:rFonts w:ascii="Arial" w:hAnsi="Arial" w:cs="Arial"/>
          <w:lang w:val="es-ES"/>
        </w:rPr>
        <w:t>, David M. Reiner</w:t>
      </w:r>
      <w:r w:rsidRPr="00C3059A">
        <w:rPr>
          <w:rFonts w:ascii="Arial" w:hAnsi="Arial" w:cs="Arial"/>
          <w:vertAlign w:val="superscript"/>
          <w:lang w:val="es-ES"/>
        </w:rPr>
        <w:t>4</w:t>
      </w:r>
      <w:r w:rsidRPr="00C3059A">
        <w:rPr>
          <w:rFonts w:ascii="Arial" w:hAnsi="Arial" w:cs="Arial"/>
          <w:lang w:val="es-ES"/>
        </w:rPr>
        <w:t>*, Niall Mac Dowell</w:t>
      </w:r>
      <w:r w:rsidRPr="00C3059A">
        <w:rPr>
          <w:rFonts w:ascii="Arial" w:hAnsi="Arial" w:cs="Arial"/>
          <w:vertAlign w:val="superscript"/>
          <w:lang w:val="es-ES"/>
        </w:rPr>
        <w:t>1,5*</w:t>
      </w:r>
      <w:r w:rsidRPr="00C3059A">
        <w:rPr>
          <w:rFonts w:ascii="Arial" w:hAnsi="Arial" w:cs="Arial"/>
          <w:lang w:val="es-ES"/>
        </w:rPr>
        <w:t>, Gonzalo Guillén-Gosálbez</w:t>
      </w:r>
      <w:r w:rsidRPr="00C3059A">
        <w:rPr>
          <w:rFonts w:ascii="Arial" w:hAnsi="Arial" w:cs="Arial"/>
          <w:vertAlign w:val="superscript"/>
          <w:lang w:val="es-ES"/>
        </w:rPr>
        <w:t>3*</w:t>
      </w:r>
    </w:p>
    <w:p w14:paraId="76EB32A7" w14:textId="77777777" w:rsidR="00421D52" w:rsidRPr="00363AAD" w:rsidRDefault="00421D52" w:rsidP="00421D52">
      <w:pPr>
        <w:spacing w:line="360" w:lineRule="auto"/>
        <w:jc w:val="center"/>
      </w:pPr>
      <w:r w:rsidRPr="007D093C">
        <w:rPr>
          <w:vertAlign w:val="superscript"/>
        </w:rPr>
        <w:t>1</w:t>
      </w:r>
      <w:r w:rsidRPr="007D093C">
        <w:t>Centre for Process Systems Engineering, Department of Chemical Engineering, Imperial C</w:t>
      </w:r>
      <w:r w:rsidRPr="00363AAD">
        <w:t>ollege London, London, SW7 2AZ, UK</w:t>
      </w:r>
    </w:p>
    <w:p w14:paraId="380331EC" w14:textId="77777777" w:rsidR="00421D52" w:rsidRPr="00363AAD" w:rsidRDefault="00421D52" w:rsidP="00421D52">
      <w:pPr>
        <w:spacing w:line="360" w:lineRule="auto"/>
        <w:jc w:val="center"/>
      </w:pPr>
      <w:r w:rsidRPr="00363AAD">
        <w:rPr>
          <w:vertAlign w:val="superscript"/>
        </w:rPr>
        <w:t>2</w:t>
      </w:r>
      <w:r w:rsidRPr="00363AAD">
        <w:t xml:space="preserve">LEPAMAP research group, University of Girona, C/ Maria </w:t>
      </w:r>
      <w:proofErr w:type="spellStart"/>
      <w:r w:rsidRPr="00363AAD">
        <w:t>Aurèlia</w:t>
      </w:r>
      <w:proofErr w:type="spellEnd"/>
      <w:r w:rsidRPr="00363AAD">
        <w:t xml:space="preserve"> </w:t>
      </w:r>
      <w:proofErr w:type="spellStart"/>
      <w:r w:rsidRPr="00363AAD">
        <w:t>Capmany</w:t>
      </w:r>
      <w:proofErr w:type="spellEnd"/>
      <w:r w:rsidRPr="00363AAD">
        <w:t>, 61 - 17003 Girona, Spain.</w:t>
      </w:r>
    </w:p>
    <w:p w14:paraId="6D9EEAF2" w14:textId="77777777" w:rsidR="00421D52" w:rsidRPr="00363AAD" w:rsidRDefault="00421D52" w:rsidP="00421D52">
      <w:pPr>
        <w:spacing w:line="360" w:lineRule="auto"/>
        <w:jc w:val="center"/>
      </w:pPr>
      <w:r w:rsidRPr="00363AAD">
        <w:rPr>
          <w:vertAlign w:val="superscript"/>
        </w:rPr>
        <w:t>3</w:t>
      </w:r>
      <w:r w:rsidRPr="00363AAD">
        <w:t>Institute for Chemical and Bioengineering, Department of Chemistry and Applied Biosciences, ETH Zürich, Vladimir-Prelog-</w:t>
      </w:r>
      <w:proofErr w:type="spellStart"/>
      <w:r w:rsidRPr="00363AAD">
        <w:t>Weg</w:t>
      </w:r>
      <w:proofErr w:type="spellEnd"/>
      <w:r w:rsidRPr="00363AAD">
        <w:t xml:space="preserve"> 1, 8093 Zürich, Switzerland</w:t>
      </w:r>
    </w:p>
    <w:p w14:paraId="04A8394F" w14:textId="77777777" w:rsidR="00421D52" w:rsidRPr="00363AAD" w:rsidRDefault="00421D52" w:rsidP="00421D52">
      <w:pPr>
        <w:spacing w:line="360" w:lineRule="auto"/>
        <w:jc w:val="center"/>
      </w:pPr>
      <w:r w:rsidRPr="00363AAD">
        <w:rPr>
          <w:vertAlign w:val="superscript"/>
        </w:rPr>
        <w:t>4</w:t>
      </w:r>
      <w:r w:rsidRPr="00363AAD">
        <w:t>Energy Policy Research Group, Judge Business School, University of Cambridge, Trumpington Street, Cambridge, CB2 1AG, UK</w:t>
      </w:r>
    </w:p>
    <w:p w14:paraId="44AB34AF" w14:textId="77777777" w:rsidR="00421D52" w:rsidRPr="00363AAD" w:rsidRDefault="00421D52" w:rsidP="00421D52">
      <w:pPr>
        <w:spacing w:line="360" w:lineRule="auto"/>
        <w:jc w:val="center"/>
      </w:pPr>
      <w:r w:rsidRPr="00363AAD">
        <w:rPr>
          <w:vertAlign w:val="superscript"/>
        </w:rPr>
        <w:t>5</w:t>
      </w:r>
      <w:r w:rsidRPr="00363AAD">
        <w:t>Centre for Environmental Policy, Imperial College London, South Kensington Campus, London SW7 1NE, UK</w:t>
      </w:r>
    </w:p>
    <w:p w14:paraId="7711051F" w14:textId="77777777" w:rsidR="0045223D" w:rsidRPr="00363AAD" w:rsidRDefault="0045223D" w:rsidP="007E091B">
      <w:pPr>
        <w:spacing w:line="360" w:lineRule="auto"/>
      </w:pPr>
      <w:r w:rsidRPr="00363AAD">
        <w:rPr>
          <w:vertAlign w:val="superscript"/>
        </w:rPr>
        <w:t>†</w:t>
      </w:r>
      <w:proofErr w:type="gramStart"/>
      <w:r w:rsidRPr="00363AAD">
        <w:t>C.P</w:t>
      </w:r>
      <w:proofErr w:type="gramEnd"/>
      <w:r w:rsidRPr="00363AAD">
        <w:t xml:space="preserve"> and A.GM are co-first authors.</w:t>
      </w:r>
    </w:p>
    <w:p w14:paraId="62FE7783" w14:textId="77777777" w:rsidR="0045223D" w:rsidRPr="00363AAD" w:rsidRDefault="0045223D" w:rsidP="007E091B">
      <w:pPr>
        <w:spacing w:line="360" w:lineRule="auto"/>
      </w:pPr>
      <w:r w:rsidRPr="00363AAD">
        <w:t>*Correspondence to:</w:t>
      </w:r>
    </w:p>
    <w:p w14:paraId="573BC32A" w14:textId="77777777" w:rsidR="0045223D" w:rsidRPr="00363AAD" w:rsidRDefault="0045223D" w:rsidP="007E091B">
      <w:pPr>
        <w:spacing w:line="360" w:lineRule="auto"/>
        <w:ind w:firstLine="720"/>
      </w:pPr>
      <w:r w:rsidRPr="00363AAD">
        <w:t>gonzalo.guillen.gosalbez@chem.ethz.ch, +41 (0) 44 633 40 84</w:t>
      </w:r>
    </w:p>
    <w:p w14:paraId="2ABB15A6" w14:textId="77777777" w:rsidR="0045223D" w:rsidRPr="00363AAD" w:rsidRDefault="0045223D" w:rsidP="007E091B">
      <w:pPr>
        <w:spacing w:line="360" w:lineRule="auto"/>
        <w:ind w:firstLine="720"/>
      </w:pPr>
      <w:r w:rsidRPr="00363AAD">
        <w:t>niall@imperial.ac.uk, +44 (0) 20 7594 9298</w:t>
      </w:r>
    </w:p>
    <w:p w14:paraId="663A50A7" w14:textId="77777777" w:rsidR="00F36634" w:rsidRPr="00363AAD" w:rsidRDefault="0045223D" w:rsidP="007E091B">
      <w:pPr>
        <w:spacing w:line="360" w:lineRule="auto"/>
        <w:ind w:firstLine="720"/>
      </w:pPr>
      <w:r w:rsidRPr="00363AAD">
        <w:t>d.reiner@jbs.cam.ac.uk, +44 (0) 1223 339616</w:t>
      </w:r>
    </w:p>
    <w:p w14:paraId="6634FE38" w14:textId="77777777" w:rsidR="001D688A" w:rsidRPr="00363AAD" w:rsidRDefault="001D688A" w:rsidP="00975836">
      <w:pPr>
        <w:spacing w:line="360" w:lineRule="auto"/>
        <w:ind w:firstLine="720"/>
      </w:pPr>
    </w:p>
    <w:p w14:paraId="1A09853C" w14:textId="4E82AF68" w:rsidR="002B4A61" w:rsidRPr="00363AAD" w:rsidRDefault="007E091B" w:rsidP="003D5AD9">
      <w:pPr>
        <w:pStyle w:val="Normal1"/>
        <w:spacing w:before="120" w:after="120" w:line="480" w:lineRule="auto"/>
        <w:jc w:val="both"/>
        <w:rPr>
          <w:rFonts w:ascii="Arial" w:hAnsi="Arial" w:cs="Arial"/>
          <w:color w:val="auto"/>
          <w:sz w:val="24"/>
          <w:szCs w:val="24"/>
          <w:lang w:val="en-GB" w:eastAsia="en-US"/>
        </w:rPr>
      </w:pPr>
      <w:r w:rsidRPr="00363AAD">
        <w:rPr>
          <w:rFonts w:ascii="Arial" w:hAnsi="Arial" w:cs="Arial"/>
          <w:color w:val="auto"/>
          <w:sz w:val="24"/>
          <w:szCs w:val="24"/>
          <w:lang w:val="en-GB" w:eastAsia="en-US"/>
        </w:rPr>
        <w:t>This document contains the Supplementary Information for the article “</w:t>
      </w:r>
      <w:r w:rsidRPr="00363AAD">
        <w:rPr>
          <w:rFonts w:ascii="Arial" w:hAnsi="Arial" w:cs="Arial"/>
          <w:i/>
          <w:color w:val="auto"/>
          <w:sz w:val="24"/>
          <w:szCs w:val="24"/>
          <w:lang w:val="en-GB" w:eastAsia="en-US"/>
        </w:rPr>
        <w:t>Equity and negative emissions</w:t>
      </w:r>
      <w:r w:rsidRPr="00363AAD">
        <w:rPr>
          <w:rFonts w:ascii="Arial" w:hAnsi="Arial" w:cs="Arial"/>
          <w:color w:val="auto"/>
          <w:sz w:val="24"/>
          <w:szCs w:val="24"/>
          <w:lang w:val="en-GB" w:eastAsia="en-US"/>
        </w:rPr>
        <w:t>”</w:t>
      </w:r>
      <w:r w:rsidR="001D58B2" w:rsidRPr="00363AAD">
        <w:rPr>
          <w:rFonts w:ascii="Arial" w:hAnsi="Arial" w:cs="Arial"/>
          <w:color w:val="auto"/>
          <w:sz w:val="24"/>
          <w:szCs w:val="24"/>
          <w:lang w:val="en-GB" w:eastAsia="en-US"/>
        </w:rPr>
        <w:t xml:space="preserve">, which </w:t>
      </w:r>
      <w:r w:rsidRPr="00363AAD">
        <w:rPr>
          <w:rFonts w:ascii="Arial" w:hAnsi="Arial" w:cs="Arial"/>
          <w:color w:val="auto"/>
          <w:sz w:val="24"/>
          <w:szCs w:val="24"/>
          <w:lang w:val="en-GB" w:eastAsia="en-US"/>
        </w:rPr>
        <w:t xml:space="preserve">includes two main sections. The first, named “Supplementary </w:t>
      </w:r>
      <w:r w:rsidR="00BA265B" w:rsidRPr="00363AAD">
        <w:rPr>
          <w:rFonts w:ascii="Arial" w:hAnsi="Arial" w:cs="Arial"/>
          <w:color w:val="auto"/>
          <w:sz w:val="24"/>
          <w:szCs w:val="24"/>
          <w:lang w:val="en-GB" w:eastAsia="en-US"/>
        </w:rPr>
        <w:t>methods</w:t>
      </w:r>
      <w:r w:rsidRPr="00363AAD">
        <w:rPr>
          <w:rFonts w:ascii="Arial" w:hAnsi="Arial" w:cs="Arial"/>
          <w:color w:val="auto"/>
          <w:sz w:val="24"/>
          <w:szCs w:val="24"/>
          <w:lang w:val="en-GB" w:eastAsia="en-US"/>
        </w:rPr>
        <w:t>”, describes</w:t>
      </w:r>
      <w:r w:rsidR="00A02563" w:rsidRPr="00363AAD">
        <w:rPr>
          <w:rFonts w:ascii="Arial" w:hAnsi="Arial" w:cs="Arial"/>
          <w:color w:val="auto"/>
          <w:sz w:val="24"/>
          <w:szCs w:val="24"/>
          <w:lang w:val="en-GB" w:eastAsia="en-US"/>
        </w:rPr>
        <w:t xml:space="preserve"> a burden-sharing rule </w:t>
      </w:r>
      <w:r w:rsidR="001D58B2" w:rsidRPr="00363AAD">
        <w:rPr>
          <w:rFonts w:ascii="Arial" w:hAnsi="Arial" w:cs="Arial"/>
          <w:color w:val="auto"/>
          <w:sz w:val="24"/>
          <w:szCs w:val="24"/>
          <w:lang w:val="en-GB" w:eastAsia="en-US"/>
        </w:rPr>
        <w:t xml:space="preserve">that </w:t>
      </w:r>
      <w:r w:rsidR="008137DE" w:rsidRPr="00363AAD">
        <w:rPr>
          <w:rFonts w:ascii="Arial" w:hAnsi="Arial" w:cs="Arial"/>
          <w:color w:val="auto"/>
          <w:sz w:val="24"/>
          <w:szCs w:val="24"/>
          <w:lang w:val="en-GB" w:eastAsia="en-US"/>
        </w:rPr>
        <w:t>provides carbon dioxide removal (CDR) quotas</w:t>
      </w:r>
      <w:r w:rsidR="00271DBE" w:rsidRPr="00363AAD">
        <w:rPr>
          <w:rFonts w:ascii="Arial" w:hAnsi="Arial" w:cs="Arial"/>
          <w:color w:val="auto"/>
          <w:sz w:val="24"/>
          <w:szCs w:val="24"/>
          <w:lang w:val="en-GB" w:eastAsia="en-US"/>
        </w:rPr>
        <w:t xml:space="preserve"> derived from </w:t>
      </w:r>
      <w:r w:rsidR="00A02563" w:rsidRPr="00363AAD">
        <w:rPr>
          <w:rFonts w:ascii="Arial" w:hAnsi="Arial" w:cs="Arial"/>
          <w:color w:val="auto"/>
          <w:sz w:val="24"/>
          <w:szCs w:val="24"/>
          <w:lang w:val="en-GB" w:eastAsia="en-US"/>
        </w:rPr>
        <w:t xml:space="preserve">equity principles </w:t>
      </w:r>
      <w:r w:rsidR="003D5AD9" w:rsidRPr="00363AAD">
        <w:rPr>
          <w:rFonts w:ascii="Arial" w:hAnsi="Arial" w:cs="Arial"/>
          <w:color w:val="auto"/>
          <w:sz w:val="24"/>
          <w:szCs w:val="24"/>
          <w:lang w:val="en-GB" w:eastAsia="en-US"/>
        </w:rPr>
        <w:t>on</w:t>
      </w:r>
      <w:r w:rsidR="008137DE" w:rsidRPr="00363AAD">
        <w:rPr>
          <w:rFonts w:ascii="Arial" w:hAnsi="Arial" w:cs="Arial"/>
          <w:color w:val="auto"/>
          <w:sz w:val="24"/>
          <w:szCs w:val="24"/>
          <w:lang w:val="en-GB" w:eastAsia="en-US"/>
        </w:rPr>
        <w:t xml:space="preserve"> a</w:t>
      </w:r>
      <w:r w:rsidR="003D5AD9" w:rsidRPr="00363AAD">
        <w:rPr>
          <w:rFonts w:ascii="Arial" w:hAnsi="Arial" w:cs="Arial"/>
          <w:color w:val="auto"/>
          <w:sz w:val="24"/>
          <w:szCs w:val="24"/>
          <w:lang w:val="en-GB" w:eastAsia="en-US"/>
        </w:rPr>
        <w:t xml:space="preserve"> </w:t>
      </w:r>
      <w:r w:rsidR="00A02563" w:rsidRPr="00363AAD">
        <w:rPr>
          <w:rFonts w:ascii="Arial" w:hAnsi="Arial" w:cs="Arial"/>
          <w:color w:val="auto"/>
          <w:sz w:val="24"/>
          <w:szCs w:val="24"/>
          <w:lang w:val="en-GB" w:eastAsia="en-US"/>
        </w:rPr>
        <w:t>per-capita</w:t>
      </w:r>
      <w:r w:rsidR="008137DE" w:rsidRPr="00363AAD">
        <w:rPr>
          <w:rFonts w:ascii="Arial" w:hAnsi="Arial" w:cs="Arial"/>
          <w:color w:val="auto"/>
          <w:sz w:val="24"/>
          <w:szCs w:val="24"/>
          <w:lang w:val="en-GB" w:eastAsia="en-US"/>
        </w:rPr>
        <w:t xml:space="preserve"> basis</w:t>
      </w:r>
      <w:r w:rsidR="00A02563" w:rsidRPr="00363AAD">
        <w:rPr>
          <w:rFonts w:ascii="Arial" w:hAnsi="Arial" w:cs="Arial"/>
          <w:color w:val="auto"/>
          <w:sz w:val="24"/>
          <w:szCs w:val="24"/>
          <w:lang w:val="en-GB" w:eastAsia="en-US"/>
        </w:rPr>
        <w:t xml:space="preserve"> </w:t>
      </w:r>
      <w:r w:rsidR="003D5AD9" w:rsidRPr="00363AAD">
        <w:rPr>
          <w:rFonts w:ascii="Arial" w:hAnsi="Arial" w:cs="Arial"/>
          <w:color w:val="auto"/>
          <w:sz w:val="24"/>
          <w:szCs w:val="24"/>
          <w:lang w:val="en-GB" w:eastAsia="en-US"/>
        </w:rPr>
        <w:t xml:space="preserve">(instead of </w:t>
      </w:r>
      <w:r w:rsidR="001D58B2" w:rsidRPr="00363AAD">
        <w:rPr>
          <w:rFonts w:ascii="Arial" w:hAnsi="Arial" w:cs="Arial"/>
          <w:color w:val="auto"/>
          <w:sz w:val="24"/>
          <w:szCs w:val="24"/>
          <w:lang w:val="en-GB" w:eastAsia="en-US"/>
        </w:rPr>
        <w:t xml:space="preserve">on an </w:t>
      </w:r>
      <w:r w:rsidR="003D5AD9" w:rsidRPr="00363AAD">
        <w:rPr>
          <w:rFonts w:ascii="Arial" w:hAnsi="Arial" w:cs="Arial"/>
          <w:color w:val="auto"/>
          <w:sz w:val="24"/>
          <w:szCs w:val="24"/>
          <w:lang w:val="en-GB" w:eastAsia="en-US"/>
        </w:rPr>
        <w:t>absolute</w:t>
      </w:r>
      <w:r w:rsidR="001E7C07" w:rsidRPr="00363AAD">
        <w:rPr>
          <w:rFonts w:ascii="Arial" w:hAnsi="Arial" w:cs="Arial"/>
          <w:color w:val="auto"/>
          <w:sz w:val="24"/>
          <w:szCs w:val="24"/>
          <w:lang w:val="en-GB" w:eastAsia="en-US"/>
        </w:rPr>
        <w:t xml:space="preserve"> basis</w:t>
      </w:r>
      <w:r w:rsidR="001D58B2" w:rsidRPr="00363AAD">
        <w:rPr>
          <w:rFonts w:ascii="Arial" w:hAnsi="Arial" w:cs="Arial"/>
          <w:color w:val="auto"/>
          <w:sz w:val="24"/>
          <w:szCs w:val="24"/>
          <w:lang w:val="en-GB" w:eastAsia="en-US"/>
        </w:rPr>
        <w:t>,</w:t>
      </w:r>
      <w:r w:rsidR="008137DE" w:rsidRPr="00363AAD">
        <w:rPr>
          <w:rFonts w:ascii="Arial" w:hAnsi="Arial" w:cs="Arial"/>
          <w:color w:val="auto"/>
          <w:sz w:val="24"/>
          <w:szCs w:val="24"/>
          <w:lang w:val="en-GB" w:eastAsia="en-US"/>
        </w:rPr>
        <w:t xml:space="preserve"> as derived in the main manuscript</w:t>
      </w:r>
      <w:r w:rsidR="003D5AD9" w:rsidRPr="00363AAD">
        <w:rPr>
          <w:rFonts w:ascii="Arial" w:hAnsi="Arial" w:cs="Arial"/>
          <w:color w:val="auto"/>
          <w:sz w:val="24"/>
          <w:szCs w:val="24"/>
          <w:lang w:val="en-GB" w:eastAsia="en-US"/>
        </w:rPr>
        <w:t>)</w:t>
      </w:r>
      <w:r w:rsidR="006B489C">
        <w:rPr>
          <w:rFonts w:ascii="Arial" w:hAnsi="Arial" w:cs="Arial"/>
          <w:color w:val="auto"/>
          <w:sz w:val="24"/>
          <w:szCs w:val="24"/>
          <w:lang w:val="en-GB" w:eastAsia="en-US"/>
        </w:rPr>
        <w:t>, together with</w:t>
      </w:r>
      <w:r w:rsidR="000876DE" w:rsidRPr="00363AAD">
        <w:rPr>
          <w:rFonts w:ascii="Arial" w:hAnsi="Arial" w:cs="Arial"/>
          <w:color w:val="auto"/>
          <w:sz w:val="24"/>
          <w:szCs w:val="24"/>
          <w:lang w:val="en-GB" w:eastAsia="en-US"/>
        </w:rPr>
        <w:t xml:space="preserve"> </w:t>
      </w:r>
      <w:r w:rsidR="000A788F" w:rsidRPr="00363AAD">
        <w:rPr>
          <w:rFonts w:ascii="Arial" w:hAnsi="Arial" w:cs="Arial"/>
          <w:color w:val="auto"/>
          <w:sz w:val="24"/>
          <w:szCs w:val="24"/>
          <w:lang w:val="en-GB" w:eastAsia="en-US"/>
        </w:rPr>
        <w:t xml:space="preserve">the </w:t>
      </w:r>
      <w:r w:rsidR="000A788F" w:rsidRPr="00363AAD">
        <w:rPr>
          <w:rFonts w:ascii="Arial" w:hAnsi="Arial" w:cs="Arial"/>
          <w:i/>
          <w:iCs/>
          <w:color w:val="auto"/>
          <w:sz w:val="24"/>
          <w:szCs w:val="24"/>
          <w:lang w:val="en-GB" w:eastAsia="en-US"/>
        </w:rPr>
        <w:t xml:space="preserve">Multi-criteria </w:t>
      </w:r>
      <w:r w:rsidR="000A788F" w:rsidRPr="00363AAD">
        <w:rPr>
          <w:rFonts w:ascii="Arial" w:hAnsi="Arial" w:cs="Arial"/>
          <w:color w:val="auto"/>
          <w:sz w:val="24"/>
          <w:szCs w:val="24"/>
          <w:lang w:val="en-GB" w:eastAsia="en-US"/>
        </w:rPr>
        <w:t>voting approach</w:t>
      </w:r>
      <w:r w:rsidR="000A788F" w:rsidRPr="00363AAD">
        <w:rPr>
          <w:rFonts w:ascii="Arial" w:hAnsi="Arial" w:cs="Arial"/>
          <w:i/>
          <w:iCs/>
          <w:color w:val="auto"/>
          <w:sz w:val="24"/>
          <w:szCs w:val="24"/>
          <w:lang w:val="en-GB" w:eastAsia="en-US"/>
        </w:rPr>
        <w:t xml:space="preserve"> </w:t>
      </w:r>
      <w:r w:rsidR="000876DE" w:rsidRPr="00363AAD">
        <w:rPr>
          <w:rFonts w:ascii="Arial" w:hAnsi="Arial" w:cs="Arial"/>
          <w:color w:val="auto"/>
          <w:sz w:val="24"/>
          <w:szCs w:val="24"/>
          <w:lang w:val="en-GB" w:eastAsia="en-US"/>
        </w:rPr>
        <w:t>that can be used to blend these principles</w:t>
      </w:r>
      <w:r w:rsidR="00A02563" w:rsidRPr="00363AAD">
        <w:rPr>
          <w:rFonts w:ascii="Arial" w:hAnsi="Arial" w:cs="Arial"/>
          <w:color w:val="auto"/>
          <w:sz w:val="24"/>
          <w:szCs w:val="24"/>
          <w:lang w:val="en-GB" w:eastAsia="en-US"/>
        </w:rPr>
        <w:t xml:space="preserve">. The second, entitled “Supplementary results”, </w:t>
      </w:r>
      <w:r w:rsidR="001D58B2" w:rsidRPr="00363AAD">
        <w:rPr>
          <w:rFonts w:ascii="Arial" w:hAnsi="Arial" w:cs="Arial"/>
          <w:color w:val="auto"/>
          <w:sz w:val="24"/>
          <w:szCs w:val="24"/>
          <w:lang w:val="en-GB" w:eastAsia="en-US"/>
        </w:rPr>
        <w:t>provides</w:t>
      </w:r>
      <w:r w:rsidR="008137DE" w:rsidRPr="00363AAD">
        <w:rPr>
          <w:rFonts w:ascii="Arial" w:hAnsi="Arial" w:cs="Arial"/>
          <w:color w:val="auto"/>
          <w:sz w:val="24"/>
          <w:szCs w:val="24"/>
          <w:lang w:val="en-GB" w:eastAsia="en-US"/>
        </w:rPr>
        <w:t xml:space="preserve">: </w:t>
      </w:r>
      <w:r w:rsidR="000A788F" w:rsidRPr="00363AAD">
        <w:rPr>
          <w:rFonts w:ascii="Arial" w:hAnsi="Arial" w:cs="Arial"/>
          <w:color w:val="auto"/>
          <w:sz w:val="24"/>
          <w:szCs w:val="24"/>
          <w:lang w:val="en-GB" w:eastAsia="en-US"/>
        </w:rPr>
        <w:t>(i) the CDR quotas derived from the Multi-</w:t>
      </w:r>
      <w:r w:rsidR="000A788F" w:rsidRPr="00363AAD">
        <w:rPr>
          <w:rFonts w:ascii="Arial" w:hAnsi="Arial" w:cs="Arial"/>
          <w:color w:val="auto"/>
          <w:sz w:val="24"/>
          <w:szCs w:val="24"/>
          <w:lang w:val="en-GB" w:eastAsia="en-US"/>
        </w:rPr>
        <w:lastRenderedPageBreak/>
        <w:t>criteria approach;</w:t>
      </w:r>
      <w:r w:rsidR="000876DE" w:rsidRPr="00363AAD">
        <w:rPr>
          <w:rFonts w:ascii="Arial" w:hAnsi="Arial" w:cs="Arial"/>
          <w:color w:val="auto"/>
          <w:sz w:val="24"/>
          <w:szCs w:val="24"/>
          <w:lang w:val="en-GB" w:eastAsia="en-US"/>
        </w:rPr>
        <w:t xml:space="preserve"> </w:t>
      </w:r>
      <w:r w:rsidR="003B1DE5" w:rsidRPr="00363AAD">
        <w:rPr>
          <w:rFonts w:ascii="Arial" w:hAnsi="Arial" w:cs="Arial"/>
          <w:color w:val="auto"/>
          <w:sz w:val="24"/>
          <w:szCs w:val="24"/>
          <w:lang w:val="en-GB" w:eastAsia="en-US"/>
        </w:rPr>
        <w:t>(</w:t>
      </w:r>
      <w:r w:rsidR="000A788F" w:rsidRPr="00363AAD">
        <w:rPr>
          <w:rFonts w:ascii="Arial" w:hAnsi="Arial" w:cs="Arial"/>
          <w:color w:val="auto"/>
          <w:sz w:val="24"/>
          <w:szCs w:val="24"/>
          <w:lang w:val="en-GB" w:eastAsia="en-US"/>
        </w:rPr>
        <w:t>i</w:t>
      </w:r>
      <w:r w:rsidR="008137DE" w:rsidRPr="00363AAD">
        <w:rPr>
          <w:rFonts w:ascii="Arial" w:hAnsi="Arial" w:cs="Arial"/>
          <w:color w:val="auto"/>
          <w:sz w:val="24"/>
          <w:szCs w:val="24"/>
          <w:lang w:val="en-GB" w:eastAsia="en-US"/>
        </w:rPr>
        <w:t>i)</w:t>
      </w:r>
      <w:r w:rsidR="00BA265B" w:rsidRPr="00363AAD">
        <w:rPr>
          <w:rFonts w:ascii="Arial" w:hAnsi="Arial" w:cs="Arial"/>
          <w:color w:val="auto"/>
          <w:sz w:val="24"/>
          <w:szCs w:val="24"/>
          <w:lang w:val="en-GB" w:eastAsia="en-US"/>
        </w:rPr>
        <w:t xml:space="preserve"> </w:t>
      </w:r>
      <w:r w:rsidR="00A02563" w:rsidRPr="00363AAD">
        <w:rPr>
          <w:rFonts w:ascii="Arial" w:hAnsi="Arial" w:cs="Arial"/>
          <w:color w:val="auto"/>
          <w:sz w:val="24"/>
          <w:szCs w:val="24"/>
          <w:lang w:val="en-GB" w:eastAsia="en-US"/>
        </w:rPr>
        <w:t xml:space="preserve">the </w:t>
      </w:r>
      <w:r w:rsidR="000803EC" w:rsidRPr="00363AAD">
        <w:rPr>
          <w:rFonts w:ascii="Arial" w:hAnsi="Arial" w:cs="Arial"/>
          <w:color w:val="auto"/>
          <w:sz w:val="24"/>
          <w:szCs w:val="24"/>
          <w:lang w:val="en-GB" w:eastAsia="en-US"/>
        </w:rPr>
        <w:t xml:space="preserve">CDR </w:t>
      </w:r>
      <w:r w:rsidR="00EA24B7" w:rsidRPr="00363AAD">
        <w:rPr>
          <w:rFonts w:ascii="Arial" w:hAnsi="Arial" w:cs="Arial"/>
          <w:color w:val="auto"/>
          <w:sz w:val="24"/>
          <w:szCs w:val="24"/>
          <w:lang w:val="en-GB" w:eastAsia="en-US"/>
        </w:rPr>
        <w:t xml:space="preserve">quotas for the </w:t>
      </w:r>
      <w:r w:rsidR="008137DE" w:rsidRPr="00363AAD">
        <w:rPr>
          <w:rFonts w:ascii="Arial" w:hAnsi="Arial" w:cs="Arial"/>
          <w:color w:val="auto"/>
          <w:sz w:val="24"/>
          <w:szCs w:val="24"/>
          <w:lang w:val="en-GB" w:eastAsia="en-US"/>
        </w:rPr>
        <w:t xml:space="preserve">28 European </w:t>
      </w:r>
      <w:r w:rsidR="00EA24B7" w:rsidRPr="00363AAD">
        <w:rPr>
          <w:rFonts w:ascii="Arial" w:hAnsi="Arial" w:cs="Arial"/>
          <w:color w:val="auto"/>
          <w:sz w:val="24"/>
          <w:szCs w:val="24"/>
          <w:lang w:val="en-GB" w:eastAsia="en-US"/>
        </w:rPr>
        <w:t>countries</w:t>
      </w:r>
      <w:r w:rsidR="001D58B2" w:rsidRPr="00363AAD">
        <w:rPr>
          <w:rFonts w:ascii="Arial" w:hAnsi="Arial" w:cs="Arial"/>
          <w:color w:val="auto"/>
          <w:sz w:val="24"/>
          <w:szCs w:val="24"/>
          <w:lang w:val="en-GB" w:eastAsia="en-US"/>
        </w:rPr>
        <w:t>,</w:t>
      </w:r>
      <w:r w:rsidR="005160B1" w:rsidRPr="00363AAD">
        <w:rPr>
          <w:rFonts w:ascii="Arial" w:hAnsi="Arial" w:cs="Arial"/>
          <w:color w:val="auto"/>
          <w:sz w:val="24"/>
          <w:szCs w:val="24"/>
          <w:lang w:val="en-GB" w:eastAsia="en-US"/>
        </w:rPr>
        <w:t xml:space="preserve"> </w:t>
      </w:r>
      <w:r w:rsidR="001D688A" w:rsidRPr="00363AAD">
        <w:rPr>
          <w:rFonts w:ascii="Arial" w:hAnsi="Arial" w:cs="Arial"/>
          <w:color w:val="auto"/>
          <w:sz w:val="24"/>
          <w:szCs w:val="24"/>
          <w:lang w:val="en-GB" w:eastAsia="en-US"/>
        </w:rPr>
        <w:t>also presented</w:t>
      </w:r>
      <w:r w:rsidR="005160B1" w:rsidRPr="00363AAD">
        <w:rPr>
          <w:rFonts w:ascii="Arial" w:hAnsi="Arial" w:cs="Arial"/>
          <w:color w:val="auto"/>
          <w:sz w:val="24"/>
          <w:szCs w:val="24"/>
          <w:lang w:val="en-GB" w:eastAsia="en-US"/>
        </w:rPr>
        <w:t xml:space="preserve"> </w:t>
      </w:r>
      <w:r w:rsidR="000803EC" w:rsidRPr="00363AAD">
        <w:rPr>
          <w:rFonts w:ascii="Arial" w:hAnsi="Arial" w:cs="Arial"/>
          <w:color w:val="auto"/>
          <w:sz w:val="24"/>
          <w:szCs w:val="24"/>
          <w:lang w:val="en-GB" w:eastAsia="en-US"/>
        </w:rPr>
        <w:t>in Fig.1 of the main manuscript</w:t>
      </w:r>
      <w:r w:rsidR="008137DE" w:rsidRPr="00363AAD">
        <w:rPr>
          <w:rFonts w:ascii="Arial" w:hAnsi="Arial" w:cs="Arial"/>
          <w:color w:val="auto"/>
          <w:sz w:val="24"/>
          <w:szCs w:val="24"/>
          <w:lang w:val="en-GB" w:eastAsia="en-US"/>
        </w:rPr>
        <w:t xml:space="preserve"> but discussed here in more detail; </w:t>
      </w:r>
      <w:r w:rsidR="003B1DE5" w:rsidRPr="00363AAD">
        <w:rPr>
          <w:rFonts w:ascii="Arial" w:hAnsi="Arial" w:cs="Arial"/>
          <w:color w:val="auto"/>
          <w:sz w:val="24"/>
          <w:szCs w:val="24"/>
          <w:lang w:val="en-GB" w:eastAsia="en-US"/>
        </w:rPr>
        <w:t>(</w:t>
      </w:r>
      <w:r w:rsidR="008137DE" w:rsidRPr="00363AAD">
        <w:rPr>
          <w:rFonts w:ascii="Arial" w:hAnsi="Arial" w:cs="Arial"/>
          <w:color w:val="auto"/>
          <w:sz w:val="24"/>
          <w:szCs w:val="24"/>
          <w:lang w:val="en-GB" w:eastAsia="en-US"/>
        </w:rPr>
        <w:t>i</w:t>
      </w:r>
      <w:r w:rsidR="000A788F" w:rsidRPr="00363AAD">
        <w:rPr>
          <w:rFonts w:ascii="Arial" w:hAnsi="Arial" w:cs="Arial"/>
          <w:color w:val="auto"/>
          <w:sz w:val="24"/>
          <w:szCs w:val="24"/>
          <w:lang w:val="en-GB" w:eastAsia="en-US"/>
        </w:rPr>
        <w:t>i</w:t>
      </w:r>
      <w:r w:rsidR="008137DE" w:rsidRPr="00363AAD">
        <w:rPr>
          <w:rFonts w:ascii="Arial" w:hAnsi="Arial" w:cs="Arial"/>
          <w:color w:val="auto"/>
          <w:sz w:val="24"/>
          <w:szCs w:val="24"/>
          <w:lang w:val="en-GB" w:eastAsia="en-US"/>
        </w:rPr>
        <w:t xml:space="preserve">i) </w:t>
      </w:r>
      <w:r w:rsidR="000803EC" w:rsidRPr="00363AAD">
        <w:rPr>
          <w:rFonts w:ascii="Arial" w:hAnsi="Arial" w:cs="Arial"/>
          <w:color w:val="auto"/>
          <w:sz w:val="24"/>
          <w:szCs w:val="24"/>
          <w:lang w:val="en-GB" w:eastAsia="en-US"/>
        </w:rPr>
        <w:t>the</w:t>
      </w:r>
      <w:r w:rsidR="008137DE" w:rsidRPr="00363AAD">
        <w:rPr>
          <w:rFonts w:ascii="Arial" w:hAnsi="Arial" w:cs="Arial"/>
          <w:color w:val="auto"/>
          <w:sz w:val="24"/>
          <w:szCs w:val="24"/>
          <w:lang w:val="en-GB" w:eastAsia="en-US"/>
        </w:rPr>
        <w:t xml:space="preserve"> CDR</w:t>
      </w:r>
      <w:r w:rsidR="000803EC" w:rsidRPr="00363AAD">
        <w:rPr>
          <w:rFonts w:ascii="Arial" w:hAnsi="Arial" w:cs="Arial"/>
          <w:color w:val="auto"/>
          <w:sz w:val="24"/>
          <w:szCs w:val="24"/>
          <w:lang w:val="en-GB" w:eastAsia="en-US"/>
        </w:rPr>
        <w:t xml:space="preserve"> quotas for the UNFCCC</w:t>
      </w:r>
      <w:r w:rsidR="005160B1" w:rsidRPr="00363AAD">
        <w:rPr>
          <w:rFonts w:ascii="Arial" w:hAnsi="Arial" w:cs="Arial"/>
          <w:color w:val="auto"/>
          <w:sz w:val="24"/>
          <w:szCs w:val="24"/>
          <w:lang w:val="en-GB" w:eastAsia="en-US"/>
        </w:rPr>
        <w:t xml:space="preserve"> </w:t>
      </w:r>
      <w:r w:rsidR="008137DE" w:rsidRPr="00363AAD">
        <w:rPr>
          <w:rFonts w:ascii="Arial" w:hAnsi="Arial" w:cs="Arial"/>
          <w:color w:val="auto"/>
          <w:sz w:val="24"/>
          <w:szCs w:val="24"/>
          <w:lang w:val="en-GB" w:eastAsia="en-US"/>
        </w:rPr>
        <w:t xml:space="preserve">parties </w:t>
      </w:r>
      <w:r w:rsidR="00A02563" w:rsidRPr="00363AAD">
        <w:rPr>
          <w:rFonts w:ascii="Arial" w:hAnsi="Arial" w:cs="Arial"/>
          <w:color w:val="auto"/>
          <w:sz w:val="24"/>
          <w:szCs w:val="24"/>
          <w:lang w:val="en-GB" w:eastAsia="en-US"/>
        </w:rPr>
        <w:t>obtained with the new burden-sharing rule</w:t>
      </w:r>
      <w:r w:rsidR="008137DE" w:rsidRPr="00363AAD">
        <w:rPr>
          <w:rFonts w:ascii="Arial" w:hAnsi="Arial" w:cs="Arial"/>
          <w:color w:val="auto"/>
          <w:sz w:val="24"/>
          <w:szCs w:val="24"/>
          <w:lang w:val="en-GB" w:eastAsia="en-US"/>
        </w:rPr>
        <w:t xml:space="preserve"> derived on </w:t>
      </w:r>
      <w:r w:rsidR="001D58B2" w:rsidRPr="00363AAD">
        <w:rPr>
          <w:rFonts w:ascii="Arial" w:hAnsi="Arial" w:cs="Arial"/>
          <w:color w:val="auto"/>
          <w:sz w:val="24"/>
          <w:szCs w:val="24"/>
          <w:lang w:val="en-GB" w:eastAsia="en-US"/>
        </w:rPr>
        <w:t xml:space="preserve">a </w:t>
      </w:r>
      <w:r w:rsidR="008137DE" w:rsidRPr="00363AAD">
        <w:rPr>
          <w:rFonts w:ascii="Arial" w:hAnsi="Arial" w:cs="Arial"/>
          <w:color w:val="auto"/>
          <w:sz w:val="24"/>
          <w:szCs w:val="24"/>
          <w:lang w:val="en-GB" w:eastAsia="en-US"/>
        </w:rPr>
        <w:t xml:space="preserve">per-capita basis; </w:t>
      </w:r>
      <w:r w:rsidR="003B1DE5" w:rsidRPr="00363AAD">
        <w:rPr>
          <w:rFonts w:ascii="Arial" w:hAnsi="Arial" w:cs="Arial"/>
          <w:color w:val="auto"/>
          <w:sz w:val="24"/>
          <w:szCs w:val="24"/>
          <w:lang w:val="en-GB" w:eastAsia="en-US"/>
        </w:rPr>
        <w:t>(</w:t>
      </w:r>
      <w:r w:rsidR="008137DE" w:rsidRPr="00363AAD">
        <w:rPr>
          <w:rFonts w:ascii="Arial" w:hAnsi="Arial" w:cs="Arial"/>
          <w:color w:val="auto"/>
          <w:sz w:val="24"/>
          <w:szCs w:val="24"/>
          <w:lang w:val="en-GB" w:eastAsia="en-US"/>
        </w:rPr>
        <w:t>i</w:t>
      </w:r>
      <w:r w:rsidR="000A788F" w:rsidRPr="00363AAD">
        <w:rPr>
          <w:rFonts w:ascii="Arial" w:hAnsi="Arial" w:cs="Arial"/>
          <w:color w:val="auto"/>
          <w:sz w:val="24"/>
          <w:szCs w:val="24"/>
          <w:lang w:val="en-GB" w:eastAsia="en-US"/>
        </w:rPr>
        <w:t>v</w:t>
      </w:r>
      <w:r w:rsidR="008137DE" w:rsidRPr="00363AAD">
        <w:rPr>
          <w:rFonts w:ascii="Arial" w:hAnsi="Arial" w:cs="Arial"/>
          <w:color w:val="auto"/>
          <w:sz w:val="24"/>
          <w:szCs w:val="24"/>
          <w:lang w:val="en-GB" w:eastAsia="en-US"/>
        </w:rPr>
        <w:t>)</w:t>
      </w:r>
      <w:r w:rsidR="00271DBE" w:rsidRPr="00363AAD">
        <w:rPr>
          <w:rFonts w:ascii="Arial" w:hAnsi="Arial" w:cs="Arial"/>
          <w:color w:val="auto"/>
          <w:sz w:val="24"/>
          <w:szCs w:val="24"/>
          <w:lang w:val="en-GB" w:eastAsia="en-US"/>
        </w:rPr>
        <w:t xml:space="preserve"> </w:t>
      </w:r>
      <w:r w:rsidR="001D58B2" w:rsidRPr="00363AAD">
        <w:rPr>
          <w:rFonts w:ascii="Arial" w:hAnsi="Arial" w:cs="Arial"/>
          <w:color w:val="auto"/>
          <w:sz w:val="24"/>
          <w:szCs w:val="24"/>
          <w:lang w:val="en-GB" w:eastAsia="en-US"/>
        </w:rPr>
        <w:t>the results of the feasibility analysis of the allocation of per-capita quotas</w:t>
      </w:r>
      <w:r w:rsidR="000A788F" w:rsidRPr="00363AAD">
        <w:rPr>
          <w:rFonts w:ascii="Arial" w:hAnsi="Arial" w:cs="Arial"/>
          <w:color w:val="auto"/>
          <w:sz w:val="24"/>
          <w:szCs w:val="24"/>
          <w:lang w:val="en-GB" w:eastAsia="en-US"/>
        </w:rPr>
        <w:t xml:space="preserve">; and finally (v) a </w:t>
      </w:r>
      <w:r w:rsidR="006B489C">
        <w:rPr>
          <w:rFonts w:ascii="Arial" w:hAnsi="Arial" w:cs="Arial"/>
          <w:color w:val="auto"/>
          <w:sz w:val="24"/>
          <w:szCs w:val="24"/>
          <w:lang w:val="en-GB" w:eastAsia="en-US"/>
        </w:rPr>
        <w:t>discussion</w:t>
      </w:r>
      <w:r w:rsidR="000A788F" w:rsidRPr="00363AAD">
        <w:rPr>
          <w:rFonts w:ascii="Arial" w:hAnsi="Arial" w:cs="Arial"/>
          <w:color w:val="auto"/>
          <w:sz w:val="24"/>
          <w:szCs w:val="24"/>
          <w:lang w:val="en-GB" w:eastAsia="en-US"/>
        </w:rPr>
        <w:t xml:space="preserve"> o</w:t>
      </w:r>
      <w:r w:rsidR="006B489C">
        <w:rPr>
          <w:rFonts w:ascii="Arial" w:hAnsi="Arial" w:cs="Arial"/>
          <w:color w:val="auto"/>
          <w:sz w:val="24"/>
          <w:szCs w:val="24"/>
          <w:lang w:val="en-GB" w:eastAsia="en-US"/>
        </w:rPr>
        <w:t>f</w:t>
      </w:r>
      <w:r w:rsidR="000A788F" w:rsidRPr="00363AAD">
        <w:rPr>
          <w:rFonts w:ascii="Arial" w:hAnsi="Arial" w:cs="Arial"/>
          <w:color w:val="auto"/>
          <w:sz w:val="24"/>
          <w:szCs w:val="24"/>
          <w:lang w:val="en-GB" w:eastAsia="en-US"/>
        </w:rPr>
        <w:t xml:space="preserve"> the main limitations of our study.</w:t>
      </w:r>
    </w:p>
    <w:p w14:paraId="7A490EEF" w14:textId="77777777" w:rsidR="002B4A61" w:rsidRPr="00363AAD" w:rsidRDefault="002B4A61" w:rsidP="002B4A61">
      <w:pPr>
        <w:pStyle w:val="Heading1"/>
        <w:jc w:val="both"/>
      </w:pPr>
      <w:r w:rsidRPr="00363AAD">
        <w:t>Supplementary methods</w:t>
      </w:r>
    </w:p>
    <w:p w14:paraId="5FCED33E" w14:textId="3255FDAB" w:rsidR="002B4A61" w:rsidRPr="00363AAD" w:rsidRDefault="00150EDF" w:rsidP="002B4A61">
      <w:pPr>
        <w:pStyle w:val="Heading2"/>
        <w:jc w:val="both"/>
      </w:pPr>
      <w:r w:rsidRPr="00363AAD">
        <w:t>C</w:t>
      </w:r>
      <w:r w:rsidR="002B4A61" w:rsidRPr="00363AAD">
        <w:t xml:space="preserve">umulative CDR quotas allocated </w:t>
      </w:r>
      <w:r w:rsidR="00740E12" w:rsidRPr="00363AAD">
        <w:t>o</w:t>
      </w:r>
      <w:r w:rsidR="002B4A61" w:rsidRPr="00363AAD">
        <w:t>n a per-capita basis</w:t>
      </w:r>
    </w:p>
    <w:p w14:paraId="1C8AEB6F" w14:textId="77777777" w:rsidR="000B1420" w:rsidRPr="00363AAD" w:rsidRDefault="000B1420" w:rsidP="000B1420">
      <w:pPr>
        <w:jc w:val="both"/>
      </w:pPr>
      <w:r w:rsidRPr="00363AAD">
        <w:t>In the main manuscript</w:t>
      </w:r>
      <w:r w:rsidR="0078181C" w:rsidRPr="00363AAD">
        <w:t>,</w:t>
      </w:r>
      <w:r w:rsidRPr="00363AAD">
        <w:t xml:space="preserve"> we </w:t>
      </w:r>
      <w:r w:rsidR="00BA265B" w:rsidRPr="00363AAD">
        <w:t>present</w:t>
      </w:r>
      <w:r w:rsidRPr="00363AAD">
        <w:t xml:space="preserve"> a burden-sharing rule to allocate the global  cumulative CDR among </w:t>
      </w:r>
      <w:r w:rsidR="008137DE" w:rsidRPr="00363AAD">
        <w:t xml:space="preserve"> the</w:t>
      </w:r>
      <w:r w:rsidR="00855CAF" w:rsidRPr="00363AAD">
        <w:t xml:space="preserve"> </w:t>
      </w:r>
      <w:r w:rsidR="0049358E" w:rsidRPr="00363AAD">
        <w:t xml:space="preserve">UNFCCC </w:t>
      </w:r>
      <w:r w:rsidRPr="00363AAD">
        <w:t>countries based on three control variables, each linked to a different equity principle –</w:t>
      </w:r>
      <w:r w:rsidRPr="00363AAD">
        <w:rPr>
          <w:i/>
        </w:rPr>
        <w:t xml:space="preserve"> Responsibility</w:t>
      </w:r>
      <w:r w:rsidRPr="00363AAD">
        <w:t xml:space="preserve">, </w:t>
      </w:r>
      <w:r w:rsidRPr="00363AAD">
        <w:rPr>
          <w:i/>
        </w:rPr>
        <w:t>Capability</w:t>
      </w:r>
      <w:r w:rsidRPr="00363AAD">
        <w:t xml:space="preserve"> and </w:t>
      </w:r>
      <w:r w:rsidRPr="00363AAD">
        <w:rPr>
          <w:i/>
        </w:rPr>
        <w:t>Equality</w:t>
      </w:r>
      <w:r w:rsidRPr="00363AAD" w:rsidDel="00824196">
        <w:t xml:space="preserve"> </w:t>
      </w:r>
      <w:r w:rsidR="0078181C" w:rsidRPr="00363AAD">
        <w:t>– (see equation (1)</w:t>
      </w:r>
      <w:r w:rsidR="00F85235" w:rsidRPr="00363AAD">
        <w:t xml:space="preserve"> in the main manuscript</w:t>
      </w:r>
      <w:r w:rsidR="0078181C" w:rsidRPr="00363AAD">
        <w:t>, replicated here to facilitate the discussion)</w:t>
      </w:r>
      <w:r w:rsidR="00F85235" w:rsidRPr="00363AA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0"/>
        <w:gridCol w:w="756"/>
      </w:tblGrid>
      <w:tr w:rsidR="000B1420" w:rsidRPr="00363AAD" w14:paraId="5100F333" w14:textId="77777777" w:rsidTr="009B61D2">
        <w:tc>
          <w:tcPr>
            <w:tcW w:w="8472" w:type="dxa"/>
          </w:tcPr>
          <w:p w14:paraId="1876C91C" w14:textId="77777777" w:rsidR="000B1420" w:rsidRPr="00363AAD" w:rsidRDefault="00270D1A" w:rsidP="009B61D2">
            <w:pPr>
              <w:jc w:val="both"/>
            </w:pPr>
            <m:oMathPara>
              <m:oMath>
                <m:sSubSup>
                  <m:sSubSupPr>
                    <m:ctrlPr>
                      <w:rPr>
                        <w:rFonts w:ascii="Cambria Math" w:hAnsi="Cambria Math"/>
                      </w:rPr>
                    </m:ctrlPr>
                  </m:sSubSupPr>
                  <m:e>
                    <m:r>
                      <w:rPr>
                        <w:rFonts w:ascii="Cambria Math" w:hAnsi="Cambria Math"/>
                      </w:rPr>
                      <m:t>CCDR</m:t>
                    </m:r>
                  </m:e>
                  <m:sub>
                    <m:r>
                      <w:rPr>
                        <w:rFonts w:ascii="Cambria Math" w:hAnsi="Cambria Math"/>
                      </w:rPr>
                      <m:t>i</m:t>
                    </m:r>
                    <m:r>
                      <m:rPr>
                        <m:sty m:val="p"/>
                      </m:rPr>
                      <w:rPr>
                        <w:rFonts w:ascii="Cambria Math" w:hAnsi="Cambria Math"/>
                      </w:rPr>
                      <m:t>,</m:t>
                    </m:r>
                    <m:r>
                      <w:rPr>
                        <w:rFonts w:ascii="Cambria Math" w:hAnsi="Cambria Math"/>
                      </w:rPr>
                      <m:t>p</m:t>
                    </m:r>
                  </m:sub>
                  <m:sup>
                    <m:r>
                      <w:rPr>
                        <w:rFonts w:ascii="Cambria Math" w:hAnsi="Cambria Math"/>
                      </w:rPr>
                      <m:t>IND</m:t>
                    </m:r>
                  </m:sup>
                </m:sSubSup>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2020</m:t>
                    </m:r>
                  </m:sub>
                  <m:sup>
                    <m:r>
                      <m:rPr>
                        <m:sty m:val="p"/>
                      </m:rPr>
                      <w:rPr>
                        <w:rFonts w:ascii="Cambria Math" w:hAnsi="Cambria Math"/>
                      </w:rPr>
                      <m:t>2100</m:t>
                    </m:r>
                  </m:sup>
                  <m:e>
                    <m:f>
                      <m:fPr>
                        <m:ctrlPr>
                          <w:rPr>
                            <w:rFonts w:ascii="Cambria Math" w:hAnsi="Cambria Math"/>
                          </w:rPr>
                        </m:ctrlPr>
                      </m:fPr>
                      <m:num>
                        <m:sSub>
                          <m:sSubPr>
                            <m:ctrlPr>
                              <w:rPr>
                                <w:rFonts w:ascii="Cambria Math" w:hAnsi="Cambria Math"/>
                              </w:rPr>
                            </m:ctrlPr>
                          </m:sSubPr>
                          <m:e>
                            <m:r>
                              <w:rPr>
                                <w:rFonts w:ascii="Cambria Math" w:hAnsi="Cambria Math"/>
                              </w:rPr>
                              <m:t>CV</m:t>
                            </m:r>
                          </m:e>
                          <m:sub>
                            <m:r>
                              <w:rPr>
                                <w:rFonts w:ascii="Cambria Math" w:hAnsi="Cambria Math"/>
                              </w:rPr>
                              <m:t>i</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sub>
                          <m:sup/>
                          <m:e>
                            <m:sSub>
                              <m:sSubPr>
                                <m:ctrlPr>
                                  <w:rPr>
                                    <w:rFonts w:ascii="Cambria Math" w:hAnsi="Cambria Math"/>
                                  </w:rPr>
                                </m:ctrlPr>
                              </m:sSubPr>
                              <m:e>
                                <m:r>
                                  <w:rPr>
                                    <w:rFonts w:ascii="Cambria Math" w:hAnsi="Cambria Math"/>
                                  </w:rPr>
                                  <m:t>CV</m:t>
                                </m:r>
                              </m:e>
                              <m:sub>
                                <m:r>
                                  <w:rPr>
                                    <w:rFonts w:ascii="Cambria Math" w:hAnsi="Cambria Math"/>
                                  </w:rPr>
                                  <m:t>i</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e>
                        </m:nary>
                      </m:den>
                    </m:f>
                    <m:sSup>
                      <m:sSupPr>
                        <m:ctrlPr>
                          <w:rPr>
                            <w:rFonts w:ascii="Cambria Math" w:hAnsi="Cambria Math"/>
                          </w:rPr>
                        </m:ctrlPr>
                      </m:sSupPr>
                      <m:e>
                        <m:r>
                          <w:rPr>
                            <w:rFonts w:ascii="Cambria Math" w:hAnsi="Cambria Math"/>
                          </w:rPr>
                          <m:t>YCDR</m:t>
                        </m:r>
                      </m:e>
                      <m:sup>
                        <m:r>
                          <w:rPr>
                            <w:rFonts w:ascii="Cambria Math" w:hAnsi="Cambria Math"/>
                          </w:rPr>
                          <m:t>GLO</m:t>
                        </m:r>
                      </m:sup>
                    </m:sSup>
                    <m:d>
                      <m:dPr>
                        <m:ctrlPr>
                          <w:rPr>
                            <w:rFonts w:ascii="Cambria Math" w:hAnsi="Cambria Math"/>
                          </w:rPr>
                        </m:ctrlPr>
                      </m:dPr>
                      <m:e>
                        <m:r>
                          <w:rPr>
                            <w:rFonts w:ascii="Cambria Math" w:hAnsi="Cambria Math"/>
                          </w:rPr>
                          <m:t>t</m:t>
                        </m:r>
                      </m:e>
                    </m:d>
                  </m:e>
                </m:nary>
                <m:r>
                  <w:rPr>
                    <w:rFonts w:ascii="Cambria Math" w:hAnsi="Cambria Math"/>
                  </w:rPr>
                  <m:t>dt</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p</m:t>
                </m:r>
              </m:oMath>
            </m:oMathPara>
          </w:p>
        </w:tc>
        <w:tc>
          <w:tcPr>
            <w:tcW w:w="770" w:type="dxa"/>
          </w:tcPr>
          <w:p w14:paraId="200DEB19" w14:textId="77777777" w:rsidR="000B1420" w:rsidRPr="00363AAD" w:rsidRDefault="000B1420" w:rsidP="009B61D2">
            <w:pPr>
              <w:jc w:val="both"/>
            </w:pPr>
            <w:r w:rsidRPr="00363AAD">
              <w:t>(1)</w:t>
            </w:r>
          </w:p>
        </w:tc>
      </w:tr>
    </w:tbl>
    <w:p w14:paraId="2C7ED28E" w14:textId="77777777" w:rsidR="000B1420" w:rsidRPr="00363AAD" w:rsidRDefault="00BB784B" w:rsidP="002B4A61">
      <w:pPr>
        <w:jc w:val="both"/>
      </w:pPr>
      <w:r w:rsidRPr="00363AAD">
        <w:t>In this equation</w:t>
      </w:r>
      <w:r w:rsidR="000B1420" w:rsidRPr="00363AAD">
        <w:t xml:space="preserve">, </w:t>
      </w:r>
      <m:oMath>
        <m:sSubSup>
          <m:sSubSupPr>
            <m:ctrlPr>
              <w:rPr>
                <w:rFonts w:ascii="Cambria Math" w:hAnsi="Cambria Math"/>
                <w:i/>
              </w:rPr>
            </m:ctrlPr>
          </m:sSubSupPr>
          <m:e>
            <m:r>
              <w:rPr>
                <w:rFonts w:ascii="Cambria Math" w:hAnsi="Cambria Math"/>
              </w:rPr>
              <m:t>CCDR</m:t>
            </m:r>
          </m:e>
          <m:sub>
            <m:r>
              <w:rPr>
                <w:rFonts w:ascii="Cambria Math" w:hAnsi="Cambria Math"/>
              </w:rPr>
              <m:t>i,p</m:t>
            </m:r>
          </m:sub>
          <m:sup>
            <m:r>
              <w:rPr>
                <w:rFonts w:ascii="Cambria Math" w:hAnsi="Cambria Math"/>
              </w:rPr>
              <m:t>IND</m:t>
            </m:r>
          </m:sup>
        </m:sSubSup>
      </m:oMath>
      <w:r w:rsidR="000B1420" w:rsidRPr="007D093C">
        <w:rPr>
          <w:rFonts w:eastAsiaTheme="minorEastAsia"/>
        </w:rPr>
        <w:t xml:space="preserve"> </w:t>
      </w:r>
      <w:r w:rsidR="000B1420" w:rsidRPr="007D093C">
        <w:t xml:space="preserve">is the cumulative CDR quota by 2100 for country </w:t>
      </w:r>
      <w:r w:rsidR="000B1420" w:rsidRPr="007D093C">
        <w:rPr>
          <w:i/>
        </w:rPr>
        <w:t>i</w:t>
      </w:r>
      <w:r w:rsidR="000B1420" w:rsidRPr="00363AAD">
        <w:t xml:space="preserve"> according to principle </w:t>
      </w:r>
      <w:r w:rsidR="000B1420" w:rsidRPr="00363AAD">
        <w:rPr>
          <w:i/>
        </w:rPr>
        <w:t xml:space="preserve">p </w:t>
      </w:r>
      <w:r w:rsidR="000B1420" w:rsidRPr="00363AAD">
        <w:t xml:space="preserve">(expressed in </w:t>
      </w:r>
      <w:r w:rsidR="000B1420" w:rsidRPr="00363AAD">
        <w:rPr>
          <w:rFonts w:eastAsiaTheme="minorEastAsia"/>
        </w:rPr>
        <w:t>[Mt CO</w:t>
      </w:r>
      <w:r w:rsidR="000B1420" w:rsidRPr="00363AAD">
        <w:rPr>
          <w:rFonts w:eastAsiaTheme="minorEastAsia"/>
          <w:vertAlign w:val="subscript"/>
        </w:rPr>
        <w:t>2</w:t>
      </w:r>
      <w:r w:rsidR="000B1420" w:rsidRPr="00363AAD">
        <w:rPr>
          <w:rFonts w:eastAsiaTheme="minorEastAsia"/>
        </w:rPr>
        <w:t>])</w:t>
      </w:r>
      <w:r w:rsidR="000B1420" w:rsidRPr="00363AAD">
        <w:t xml:space="preserve">, </w:t>
      </w:r>
      <m:oMath>
        <m:sSub>
          <m:sSubPr>
            <m:ctrlPr>
              <w:rPr>
                <w:rFonts w:ascii="Cambria Math" w:eastAsiaTheme="minorEastAsia" w:hAnsi="Cambria Math"/>
                <w:i/>
              </w:rPr>
            </m:ctrlPr>
          </m:sSubPr>
          <m:e>
            <m:r>
              <w:rPr>
                <w:rFonts w:ascii="Cambria Math" w:eastAsiaTheme="minorEastAsia" w:hAnsi="Cambria Math"/>
              </w:rPr>
              <m:t>CV</m:t>
            </m:r>
          </m:e>
          <m:sub>
            <m:r>
              <w:rPr>
                <w:rFonts w:ascii="Cambria Math" w:eastAsiaTheme="minorEastAsia" w:hAnsi="Cambria Math"/>
              </w:rPr>
              <m:t>i,p</m:t>
            </m:r>
          </m:sub>
        </m:sSub>
        <m:d>
          <m:dPr>
            <m:ctrlPr>
              <w:rPr>
                <w:rFonts w:ascii="Cambria Math" w:eastAsiaTheme="minorEastAsia" w:hAnsi="Cambria Math"/>
                <w:i/>
              </w:rPr>
            </m:ctrlPr>
          </m:dPr>
          <m:e>
            <m:r>
              <w:rPr>
                <w:rFonts w:ascii="Cambria Math" w:eastAsiaTheme="minorEastAsia" w:hAnsi="Cambria Math"/>
              </w:rPr>
              <m:t>t</m:t>
            </m:r>
          </m:e>
        </m:d>
      </m:oMath>
      <w:r w:rsidR="000B1420" w:rsidRPr="007D093C">
        <w:t xml:space="preserve"> is the value of the control variable of country </w:t>
      </w:r>
      <w:r w:rsidR="000B1420" w:rsidRPr="007D093C">
        <w:rPr>
          <w:i/>
        </w:rPr>
        <w:t>i</w:t>
      </w:r>
      <w:r w:rsidR="000B1420" w:rsidRPr="007D093C">
        <w:t xml:space="preserve"> (</w:t>
      </w:r>
      <w:r w:rsidR="000B1420" w:rsidRPr="00363AAD">
        <w:rPr>
          <w:i/>
        </w:rPr>
        <w:t>i’</w:t>
      </w:r>
      <w:r w:rsidR="000B1420" w:rsidRPr="00363AAD">
        <w:t xml:space="preserve">) for principle </w:t>
      </w:r>
      <w:r w:rsidR="000B1420" w:rsidRPr="00363AAD">
        <w:rPr>
          <w:i/>
        </w:rPr>
        <w:t>p</w:t>
      </w:r>
      <w:r w:rsidR="000B1420" w:rsidRPr="00363AAD">
        <w:t xml:space="preserve"> as a function of time (expressed in principle-dependant </w:t>
      </w:r>
      <w:r w:rsidR="000B1420" w:rsidRPr="00363AAD">
        <w:rPr>
          <w:rFonts w:eastAsiaTheme="minorEastAsia"/>
        </w:rPr>
        <w:t>[units])</w:t>
      </w:r>
      <w:r w:rsidR="000B1420" w:rsidRPr="00363AAD">
        <w:t xml:space="preserve">, and </w:t>
      </w:r>
      <m:oMath>
        <m:sSup>
          <m:sSupPr>
            <m:ctrlPr>
              <w:rPr>
                <w:rFonts w:ascii="Cambria Math" w:eastAsiaTheme="minorEastAsia" w:hAnsi="Cambria Math"/>
                <w:i/>
              </w:rPr>
            </m:ctrlPr>
          </m:sSupPr>
          <m:e>
            <m:r>
              <w:rPr>
                <w:rFonts w:ascii="Cambria Math" w:eastAsiaTheme="minorEastAsia" w:hAnsi="Cambria Math"/>
              </w:rPr>
              <m:t>YCDR</m:t>
            </m:r>
          </m:e>
          <m:sup>
            <m:r>
              <w:rPr>
                <w:rFonts w:ascii="Cambria Math" w:eastAsiaTheme="minorEastAsia" w:hAnsi="Cambria Math"/>
              </w:rPr>
              <m:t>GLO</m:t>
            </m:r>
          </m:sup>
        </m:sSup>
        <m:d>
          <m:dPr>
            <m:ctrlPr>
              <w:rPr>
                <w:rFonts w:ascii="Cambria Math" w:eastAsiaTheme="minorEastAsia" w:hAnsi="Cambria Math"/>
                <w:i/>
              </w:rPr>
            </m:ctrlPr>
          </m:dPr>
          <m:e>
            <m:r>
              <w:rPr>
                <w:rFonts w:ascii="Cambria Math" w:eastAsiaTheme="minorEastAsia" w:hAnsi="Cambria Math"/>
              </w:rPr>
              <m:t>t</m:t>
            </m:r>
          </m:e>
        </m:d>
      </m:oMath>
      <w:r w:rsidR="000B1420" w:rsidRPr="007D093C">
        <w:t xml:space="preserve"> is the global yearly CDR as a function of time</w:t>
      </w:r>
      <w:r w:rsidR="000B1420" w:rsidRPr="007D093C">
        <w:rPr>
          <w:i/>
        </w:rPr>
        <w:t xml:space="preserve"> </w:t>
      </w:r>
      <w:r w:rsidR="000B1420" w:rsidRPr="007D093C">
        <w:t xml:space="preserve">(in </w:t>
      </w:r>
      <w:r w:rsidR="000B1420" w:rsidRPr="00363AAD">
        <w:rPr>
          <w:rFonts w:eastAsiaTheme="minorEastAsia"/>
        </w:rPr>
        <w:t>[Mt CO</w:t>
      </w:r>
      <w:r w:rsidR="000B1420" w:rsidRPr="00363AAD">
        <w:rPr>
          <w:rFonts w:eastAsiaTheme="minorEastAsia"/>
          <w:vertAlign w:val="subscript"/>
        </w:rPr>
        <w:t>2</w:t>
      </w:r>
      <w:r w:rsidR="009E4461" w:rsidRPr="00363AAD">
        <w:rPr>
          <w:rFonts w:eastAsiaTheme="minorEastAsia"/>
        </w:rPr>
        <w:t>/</w:t>
      </w:r>
      <w:proofErr w:type="spellStart"/>
      <w:r w:rsidR="000B1420" w:rsidRPr="00363AAD">
        <w:rPr>
          <w:rFonts w:eastAsiaTheme="minorEastAsia"/>
        </w:rPr>
        <w:t>yr</w:t>
      </w:r>
      <w:proofErr w:type="spellEnd"/>
      <w:r w:rsidR="000B1420" w:rsidRPr="00363AAD">
        <w:rPr>
          <w:rFonts w:eastAsiaTheme="minorEastAsia"/>
        </w:rPr>
        <w:t>])</w:t>
      </w:r>
      <w:r w:rsidR="000B1420" w:rsidRPr="00363AAD">
        <w:t>.</w:t>
      </w:r>
    </w:p>
    <w:p w14:paraId="18606210" w14:textId="23FE4980" w:rsidR="00350548" w:rsidRPr="007D093C" w:rsidRDefault="00F85235" w:rsidP="00350548">
      <w:pPr>
        <w:jc w:val="both"/>
        <w:rPr>
          <w:rFonts w:eastAsiaTheme="minorEastAsia"/>
        </w:rPr>
      </w:pPr>
      <w:r w:rsidRPr="00363AAD">
        <w:t>As acknowledge</w:t>
      </w:r>
      <w:r w:rsidR="001D688A" w:rsidRPr="00363AAD">
        <w:t>d</w:t>
      </w:r>
      <w:r w:rsidRPr="00363AAD">
        <w:t xml:space="preserve"> in the literature, the way </w:t>
      </w:r>
      <w:r w:rsidR="006A5FB0" w:rsidRPr="00363AAD">
        <w:t>equity</w:t>
      </w:r>
      <w:r w:rsidRPr="00363AAD">
        <w:t xml:space="preserve"> principles are implemented plays a major role in the </w:t>
      </w:r>
      <w:r w:rsidR="006A5FB0" w:rsidRPr="00363AAD">
        <w:t>final</w:t>
      </w:r>
      <w:r w:rsidRPr="00363AAD">
        <w:t xml:space="preserve"> quotas</w:t>
      </w:r>
      <w:r w:rsidR="006A5FB0" w:rsidRPr="00363AAD">
        <w:t>, sometimes offsetting differences across principles</w:t>
      </w:r>
      <w:r w:rsidR="00BA265B" w:rsidRPr="00363AAD">
        <w:t xml:space="preserve"> themselves</w:t>
      </w:r>
      <w:r w:rsidR="006A5FB0" w:rsidRPr="007D093C">
        <w:fldChar w:fldCharType="begin" w:fldLock="1"/>
      </w:r>
      <w:r w:rsidR="00DB5FE4" w:rsidRPr="00363AAD">
        <w:instrText>ADDIN CSL_CITATION {"citationItems":[{"id":"ITEM-1","itemData":{"DOI":"10.1080/14693062.2014.849452","ISSN":"14693062","abstract":"Over 40 studies that analyse future GHG emissions allowances or reduction targets for different regions based on a wide range of effort-sharing approaches and long-term concentration stabilization levels are compared. This updates previous work undertaken for the Fourth Assessment Report of the Intergovernmental Panel on Climate Change. Regional reduction targets differ significantly for each effort-sharing approach. For example, in the Organisation for Economic Co-operation and Development (OECD) 1990 region, new proposals that emphasize the equity principles of responsibility, capability, and need, and those based on equal cumulative per capita emissions (carbon budgets), lead to relatively stringent emissions reduction targets. In order to reach a low concentration stabilization level of 450 ppm CO2e, the allowances under all effort sharing approaches in OECD1990 for 2030 would be approximately half of the emissions of 2010 with a large range, roughly two-thirds in the Economies in Transition (EIT), roughly at the 2010 emissions level or slightly below in Asia, slightly above the 2010 level in the Middle East and Africa and well below the 2010 level in Latin America. For 2050, allowances in OECD1990 and EIT would be a fraction of today's emissions, approximately half of 2010 emission levels in Asia, and possibly less than half of the 2010 level in Latin America.Policy relevanceThe concept of equity and the stringency of future national GHG reduction targets are at the heart of the current debate on the new international climate change agreement to be adopted in 2015. Policy insights gained from an analysis of over 40 studies, which have quantitatively analysed the proposed GHG reduction targets, are presented. It is found that the outcome of effort-sharing approaches is often largely determined by the way the equity principle is implemented and that the distributional impacts of such approaches can be significantly different depending on the criteria used, the stabilization level and shape of the global emissions pathway. However, the current literature only covers a small proportion of the possible allocation approaches. There should thus be an in-depth modelling comparison to ensure consistency and comparability of results and inform decision making regarding the reduction of GHG emissions. © 2013 Taylor &amp; Francis.","author":[{"dropping-particle":"","family":"Höhne","given":"Niklas","non-dropping-particle":"","parse-names":false,"suffix":""},{"dropping-particle":"","family":"Elzen","given":"Michel","non-dropping-particle":"den","parse-names":false,"suffix":""},{"dropping-particle":"","family":"Escalante","given":"Donovan","non-dropping-particle":"","parse-names":false,"suffix":""}],"id":"ITEM-1","issue":"1","issued":{"date-parts":[["2014"]]},"page":"122-147","title":"Regional GHG reduction targets based on effort sharing: a comparison of studies","type":"article-journal","volume":"14"},"uris":["http://www.mendeley.com/documents/?uuid=a4111a5b-3cf6-34eb-8d85-bdfc853a90af"]},{"id":"ITEM-2","itemData":{"ISSN":"0301-4215","author":[{"dropping-particle":"","family":"Ringius","given":"Lasse","non-dropping-particle":"","parse-names":false,"suffix":""},{"dropping-particle":"","family":"Torvanger","given":"Asbjørn","non-dropping-particle":"","parse-names":false,"suffix":""},{"dropping-particle":"","family":"Holtsmark","given":"Bjart","non-dropping-particle":"","parse-names":false,"suffix":""}],"container-title":"Energy Policy","id":"ITEM-2","issue":"10","issued":{"date-parts":[["1998"]]},"page":"777-793","publisher":"Elsevier","title":"Can multi-criteria rules fairly distribute climate burdens?: OECD results from three burden sharing rules","type":"article-journal","volume":"26"},"uris":["http://www.mendeley.com/documents/?uuid=3ac53c07-6c25-42fd-ab82-f53bdb29cf48"]},{"id":"ITEM-3","itemData":{"author":[{"dropping-particle":"","family":"Averchenkova","given":"Alina","non-dropping-particle":"","parse-names":false,"suffix":""},{"dropping-particle":"","family":"Stern","given":"Nicholas","non-dropping-particle":"","parse-names":false,"suffix":""},{"dropping-particle":"","family":"Zenghelis","given":"Dimitri","non-dropping-particle":"","parse-names":false,"suffix":""}],"id":"ITEM-3","issued":{"date-parts":[["2014"]]},"publisher":"Centre for Climate Change Economics and Policy and Grantham Research …","title":"Taming the beasts of ‘burden-sharing’: an analysis of equitable mitigation actions and approaches to 2030 mitigation pledges","type":"article-journal"},"uris":["http://www.mendeley.com/documents/?uuid=fd134ca7-921c-416e-ade7-f949fc7a8d57","http://www.mendeley.com/documents/?uuid=cfce1ad3-f158-4415-81c1-c813b41f0139"]},{"id":"ITEM-4","itemData":{"ISSN":"0165-0009","author":[{"dropping-particle":"","family":"Berg","given":"Nicole J","non-dropping-particle":"van den","parse-names":false,"suffix":""},{"dropping-particle":"","family":"Soest","given":"Heleen L","non-dropping-particle":"van","parse-names":false,"suffix":""},{"dropping-particle":"","family":"Hof","given":"Andries F","non-dropping-particle":"","parse-names":false,"suffix":""},{"dropping-particle":"","family":"Elzen","given":"Michel G J","non-dropping-particle":"den","parse-names":false,"suffix":""},{"dropping-particle":"","family":"Vuuren","given":"Detlef P","non-dropping-particle":"van","parse-names":false,"suffix":""},{"dropping-particle":"","family":"Chen","given":"Wenying","non-dropping-particle":"","parse-names":false,"suffix":""},{"dropping-particle":"","family":"Drouet","given":"Laurent","non-dropping-particle":"","parse-names":false,"suffix":""},{"dropping-particle":"","family":"Emmerling","given":"Johannes","non-dropping-particle":"","parse-names":false,"suffix":""},{"dropping-particle":"","family":"Fujimori","given":"Shinichiro","non-dropping-particle":"","parse-names":false,"suffix":""},{"dropping-particle":"","family":"Höhne","given":"Niklas","non-dropping-particle":"","parse-names":false,"suffix":""}],"container-title":"Climatic Change","id":"ITEM-4","issued":{"date-parts":[["2019"]]},"page":"1-18","publisher":"Springer","title":"Implications of various effort-sharing approaches for national carbon budgets and emission pathways","type":"article-journal"},"uris":["http://www.mendeley.com/documents/?uuid=f904a673-d0f3-48b6-bddd-95a38ca87747"]}],"mendeley":{"formattedCitation":"&lt;sup&gt;1–4&lt;/sup&gt;","plainTextFormattedCitation":"1–4","previouslyFormattedCitation":"&lt;sup&gt;1–4&lt;/sup&gt;"},"properties":{"noteIndex":0},"schema":"https://github.com/citation-style-language/schema/raw/master/csl-citation.json"}</w:instrText>
      </w:r>
      <w:r w:rsidR="006A5FB0" w:rsidRPr="007D093C">
        <w:fldChar w:fldCharType="separate"/>
      </w:r>
      <w:r w:rsidR="00DD582C" w:rsidRPr="007D093C">
        <w:rPr>
          <w:noProof/>
          <w:vertAlign w:val="superscript"/>
        </w:rPr>
        <w:t>1–4</w:t>
      </w:r>
      <w:r w:rsidR="006A5FB0" w:rsidRPr="007D093C">
        <w:fldChar w:fldCharType="end"/>
      </w:r>
      <w:r w:rsidRPr="007D093C">
        <w:t xml:space="preserve">. To illustrate this, we next apply the same equity principles to </w:t>
      </w:r>
      <w:r w:rsidR="002B4A61" w:rsidRPr="007D093C">
        <w:t>allocat</w:t>
      </w:r>
      <w:r w:rsidRPr="00363AAD">
        <w:t xml:space="preserve">e CDR quotas, but </w:t>
      </w:r>
      <w:r w:rsidR="006A5FB0" w:rsidRPr="00363AAD">
        <w:t xml:space="preserve">this time we use a different </w:t>
      </w:r>
      <w:r w:rsidRPr="00363AAD">
        <w:t xml:space="preserve">burden-sharing rule that </w:t>
      </w:r>
      <w:r w:rsidR="00F30E35" w:rsidRPr="00363AAD">
        <w:t xml:space="preserve">allocates </w:t>
      </w:r>
      <w:r w:rsidR="006A5FB0" w:rsidRPr="00363AAD">
        <w:t>country</w:t>
      </w:r>
      <w:r w:rsidR="009339D5" w:rsidRPr="00363AAD">
        <w:t xml:space="preserve"> CDR</w:t>
      </w:r>
      <w:r w:rsidR="006A5FB0" w:rsidRPr="00363AAD">
        <w:t xml:space="preserve"> </w:t>
      </w:r>
      <w:r w:rsidR="00F30E35" w:rsidRPr="00363AAD">
        <w:t xml:space="preserve">shares </w:t>
      </w:r>
      <w:r w:rsidR="003B1DE5" w:rsidRPr="00363AAD">
        <w:t>o</w:t>
      </w:r>
      <w:r w:rsidR="002B4A61" w:rsidRPr="00363AAD">
        <w:t xml:space="preserve">n a </w:t>
      </w:r>
      <w:r w:rsidR="002B4A61" w:rsidRPr="00363AAD">
        <w:rPr>
          <w:iCs/>
        </w:rPr>
        <w:t>per-capita</w:t>
      </w:r>
      <w:r w:rsidR="002B4A61" w:rsidRPr="00363AAD">
        <w:t xml:space="preserve"> basis</w:t>
      </w:r>
      <w:r w:rsidR="006A5FB0" w:rsidRPr="00363AAD">
        <w:t xml:space="preserve"> rather than in </w:t>
      </w:r>
      <w:r w:rsidR="006A5FB0" w:rsidRPr="00363AAD">
        <w:rPr>
          <w:i/>
        </w:rPr>
        <w:t>absolute</w:t>
      </w:r>
      <w:r w:rsidR="006A5FB0" w:rsidRPr="00363AAD">
        <w:t xml:space="preserve"> terms</w:t>
      </w:r>
      <w:r w:rsidRPr="00363AAD">
        <w:t xml:space="preserve">. </w:t>
      </w:r>
      <w:r w:rsidR="006A5FB0" w:rsidRPr="00363AAD">
        <w:t xml:space="preserve">To this end, </w:t>
      </w:r>
      <w:r w:rsidR="00350548" w:rsidRPr="00363AAD">
        <w:t xml:space="preserve">various </w:t>
      </w:r>
      <w:r w:rsidR="00350548" w:rsidRPr="00363AAD">
        <w:lastRenderedPageBreak/>
        <w:t xml:space="preserve">adjustments </w:t>
      </w:r>
      <w:r w:rsidR="006A5FB0" w:rsidRPr="00363AAD">
        <w:t xml:space="preserve">need to be introduced </w:t>
      </w:r>
      <w:r w:rsidRPr="00363AAD">
        <w:t xml:space="preserve">in </w:t>
      </w:r>
      <w:r w:rsidR="00F30E35" w:rsidRPr="00363AAD">
        <w:t xml:space="preserve">Supplementary </w:t>
      </w:r>
      <w:r w:rsidRPr="00363AAD">
        <w:t>equation (1)</w:t>
      </w:r>
      <w:r w:rsidR="005C026E" w:rsidRPr="00363AAD">
        <w:t xml:space="preserve">, ultimately yielding </w:t>
      </w:r>
      <w:r w:rsidR="00150EDF" w:rsidRPr="00363AAD">
        <w:t>Supplementary equation (2)</w:t>
      </w:r>
      <w:r w:rsidR="00350548" w:rsidRPr="00363AAD">
        <w:t xml:space="preserve">. </w:t>
      </w:r>
      <w:r w:rsidR="00AD7F65" w:rsidRPr="00363AAD">
        <w:t>Specifically</w:t>
      </w:r>
      <w:r w:rsidR="005C026E" w:rsidRPr="00363AAD">
        <w:t xml:space="preserve">, we first </w:t>
      </w:r>
      <w:r w:rsidR="00AD7F65" w:rsidRPr="00363AAD">
        <w:t xml:space="preserve">replace </w:t>
      </w:r>
      <w:r w:rsidR="00350548" w:rsidRPr="00363AAD">
        <w:t xml:space="preserve">the </w:t>
      </w:r>
      <w:r w:rsidR="006A5FB0" w:rsidRPr="00363AAD">
        <w:t>global</w:t>
      </w:r>
      <w:r w:rsidR="00350548" w:rsidRPr="00363AAD">
        <w:t xml:space="preserve"> annual CDR quota (</w:t>
      </w:r>
      <m:oMath>
        <m:sSup>
          <m:sSupPr>
            <m:ctrlPr>
              <w:rPr>
                <w:rFonts w:ascii="Cambria Math" w:eastAsiaTheme="minorEastAsia" w:hAnsi="Cambria Math"/>
                <w:i/>
              </w:rPr>
            </m:ctrlPr>
          </m:sSupPr>
          <m:e>
            <m:r>
              <w:rPr>
                <w:rFonts w:ascii="Cambria Math" w:eastAsiaTheme="minorEastAsia" w:hAnsi="Cambria Math"/>
              </w:rPr>
              <m:t>YCDR</m:t>
            </m:r>
          </m:e>
          <m:sup>
            <m:r>
              <w:rPr>
                <w:rFonts w:ascii="Cambria Math" w:eastAsiaTheme="minorEastAsia" w:hAnsi="Cambria Math"/>
              </w:rPr>
              <m:t>GLO</m:t>
            </m:r>
          </m:sup>
        </m:sSup>
        <m:d>
          <m:dPr>
            <m:ctrlPr>
              <w:rPr>
                <w:rFonts w:ascii="Cambria Math" w:eastAsiaTheme="minorEastAsia" w:hAnsi="Cambria Math"/>
                <w:i/>
              </w:rPr>
            </m:ctrlPr>
          </m:dPr>
          <m:e>
            <m:r>
              <w:rPr>
                <w:rFonts w:ascii="Cambria Math" w:eastAsiaTheme="minorEastAsia" w:hAnsi="Cambria Math"/>
              </w:rPr>
              <m:t>t</m:t>
            </m:r>
          </m:e>
        </m:d>
      </m:oMath>
      <w:r w:rsidR="00350548" w:rsidRPr="007D093C">
        <w:t xml:space="preserve">) by the per-capita annual quota, as given by the ratio between </w:t>
      </w:r>
      <m:oMath>
        <m:sSup>
          <m:sSupPr>
            <m:ctrlPr>
              <w:rPr>
                <w:rFonts w:ascii="Cambria Math" w:eastAsiaTheme="minorEastAsia" w:hAnsi="Cambria Math"/>
                <w:i/>
              </w:rPr>
            </m:ctrlPr>
          </m:sSupPr>
          <m:e>
            <m:r>
              <w:rPr>
                <w:rFonts w:ascii="Cambria Math" w:eastAsiaTheme="minorEastAsia" w:hAnsi="Cambria Math"/>
              </w:rPr>
              <m:t>YCDR</m:t>
            </m:r>
          </m:e>
          <m:sup>
            <m:r>
              <w:rPr>
                <w:rFonts w:ascii="Cambria Math" w:eastAsiaTheme="minorEastAsia" w:hAnsi="Cambria Math"/>
              </w:rPr>
              <m:t>GLO</m:t>
            </m:r>
          </m:sup>
        </m:sSup>
        <m:d>
          <m:dPr>
            <m:ctrlPr>
              <w:rPr>
                <w:rFonts w:ascii="Cambria Math" w:eastAsiaTheme="minorEastAsia" w:hAnsi="Cambria Math"/>
                <w:i/>
              </w:rPr>
            </m:ctrlPr>
          </m:dPr>
          <m:e>
            <m:r>
              <w:rPr>
                <w:rFonts w:ascii="Cambria Math" w:eastAsiaTheme="minorEastAsia" w:hAnsi="Cambria Math"/>
              </w:rPr>
              <m:t>t</m:t>
            </m:r>
          </m:e>
        </m:d>
      </m:oMath>
      <w:r w:rsidR="00350548" w:rsidRPr="007D093C">
        <w:rPr>
          <w:rFonts w:eastAsiaTheme="minorEastAsia"/>
        </w:rPr>
        <w:t xml:space="preserve"> and </w:t>
      </w:r>
      <m:oMath>
        <m:sSup>
          <m:sSupPr>
            <m:ctrlPr>
              <w:rPr>
                <w:rFonts w:ascii="Cambria Math" w:hAnsi="Cambria Math"/>
                <w:i/>
              </w:rPr>
            </m:ctrlPr>
          </m:sSupPr>
          <m:e>
            <m:r>
              <w:rPr>
                <w:rFonts w:ascii="Cambria Math" w:hAnsi="Cambria Math"/>
              </w:rPr>
              <m:t>pop</m:t>
            </m:r>
          </m:e>
          <m:sup>
            <m:r>
              <w:rPr>
                <w:rFonts w:ascii="Cambria Math" w:hAnsi="Cambria Math"/>
              </w:rPr>
              <m:t>GLO</m:t>
            </m:r>
          </m:sup>
        </m:sSup>
        <m:d>
          <m:dPr>
            <m:ctrlPr>
              <w:rPr>
                <w:rFonts w:ascii="Cambria Math" w:hAnsi="Cambria Math"/>
              </w:rPr>
            </m:ctrlPr>
          </m:dPr>
          <m:e>
            <m:r>
              <w:rPr>
                <w:rFonts w:ascii="Cambria Math" w:hAnsi="Cambria Math"/>
              </w:rPr>
              <m:t>t</m:t>
            </m:r>
          </m:e>
        </m:d>
      </m:oMath>
      <w:r w:rsidR="00350548" w:rsidRPr="007D093C">
        <w:rPr>
          <w:rFonts w:eastAsiaTheme="minorEastAsia"/>
        </w:rPr>
        <w:t xml:space="preserve"> (the latter corresponding to the </w:t>
      </w:r>
      <w:r w:rsidR="00A31909" w:rsidRPr="007D093C">
        <w:rPr>
          <w:rFonts w:eastAsiaTheme="minorEastAsia"/>
        </w:rPr>
        <w:t>UNFCCC countries</w:t>
      </w:r>
      <w:r w:rsidR="00740E12" w:rsidRPr="007D093C">
        <w:rPr>
          <w:rFonts w:eastAsiaTheme="minorEastAsia"/>
        </w:rPr>
        <w:t>’</w:t>
      </w:r>
      <w:r w:rsidR="00A31909" w:rsidRPr="00363AAD">
        <w:rPr>
          <w:rFonts w:eastAsiaTheme="minorEastAsia"/>
        </w:rPr>
        <w:t xml:space="preserve"> </w:t>
      </w:r>
      <w:r w:rsidR="00350548" w:rsidRPr="00363AAD">
        <w:rPr>
          <w:rFonts w:eastAsiaTheme="minorEastAsia"/>
        </w:rPr>
        <w:t>population</w:t>
      </w:r>
      <w:r w:rsidR="00BA265B" w:rsidRPr="00363AAD">
        <w:rPr>
          <w:rFonts w:eastAsiaTheme="minorEastAsia"/>
        </w:rPr>
        <w:t xml:space="preserve"> as a function of time</w:t>
      </w:r>
      <w:r w:rsidR="00350548" w:rsidRPr="00363AAD">
        <w:rPr>
          <w:rFonts w:eastAsiaTheme="minorEastAsia"/>
        </w:rPr>
        <w:t xml:space="preserve">). </w:t>
      </w:r>
      <w:r w:rsidR="005C026E" w:rsidRPr="00363AAD">
        <w:rPr>
          <w:rFonts w:eastAsiaTheme="minorEastAsia"/>
        </w:rPr>
        <w:t>Multiplying this number by the country share in terms of the corresponding control variable (</w:t>
      </w:r>
      <m:oMath>
        <m:sSub>
          <m:sSubPr>
            <m:ctrlPr>
              <w:rPr>
                <w:rFonts w:ascii="Cambria Math" w:hAnsi="Cambria Math"/>
              </w:rPr>
            </m:ctrlPr>
          </m:sSubPr>
          <m:e>
            <m:r>
              <w:rPr>
                <w:rFonts w:ascii="Cambria Math" w:hAnsi="Cambria Math"/>
              </w:rPr>
              <m:t>CV</m:t>
            </m:r>
          </m:e>
          <m:sub>
            <m:r>
              <w:rPr>
                <w:rFonts w:ascii="Cambria Math" w:hAnsi="Cambria Math"/>
              </w:rPr>
              <m:t>i</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oMath>
      <w:r w:rsidR="005C026E" w:rsidRPr="007D093C">
        <w:rPr>
          <w:rFonts w:eastAsiaTheme="minorEastAsia"/>
        </w:rPr>
        <w:t xml:space="preserve">), </w:t>
      </w:r>
      <w:r w:rsidR="00AD7F65" w:rsidRPr="007D093C">
        <w:rPr>
          <w:rFonts w:eastAsiaTheme="minorEastAsia"/>
        </w:rPr>
        <w:t xml:space="preserve">yields </w:t>
      </w:r>
      <w:r w:rsidR="00350548" w:rsidRPr="007D093C">
        <w:rPr>
          <w:rFonts w:eastAsiaTheme="minorEastAsia"/>
        </w:rPr>
        <w:t xml:space="preserve">a </w:t>
      </w:r>
      <w:r w:rsidR="00AD7F65" w:rsidRPr="00363AAD">
        <w:rPr>
          <w:rFonts w:eastAsiaTheme="minorEastAsia"/>
        </w:rPr>
        <w:t xml:space="preserve">quota </w:t>
      </w:r>
      <w:r w:rsidR="00350548" w:rsidRPr="00363AAD">
        <w:rPr>
          <w:rFonts w:eastAsiaTheme="minorEastAsia"/>
        </w:rPr>
        <w:t>in terms of per-capita emissions</w:t>
      </w:r>
      <w:r w:rsidR="00AD7F65" w:rsidRPr="00363AAD">
        <w:rPr>
          <w:rFonts w:eastAsiaTheme="minorEastAsia"/>
        </w:rPr>
        <w:t xml:space="preserve">; this number </w:t>
      </w:r>
      <w:r w:rsidR="00350548" w:rsidRPr="00363AAD">
        <w:rPr>
          <w:rFonts w:eastAsiaTheme="minorEastAsia"/>
        </w:rPr>
        <w:t xml:space="preserve">needs to be scaled </w:t>
      </w:r>
      <w:r w:rsidR="003B1DE5" w:rsidRPr="00363AAD">
        <w:rPr>
          <w:rFonts w:eastAsiaTheme="minorEastAsia"/>
        </w:rPr>
        <w:t xml:space="preserve">considering </w:t>
      </w:r>
      <w:r w:rsidR="00350548" w:rsidRPr="00363AAD">
        <w:rPr>
          <w:rFonts w:eastAsiaTheme="minorEastAsia"/>
        </w:rPr>
        <w:t>the population of the country assessed (</w:t>
      </w:r>
      <m:oMath>
        <m:sSub>
          <m:sSubPr>
            <m:ctrlPr>
              <w:rPr>
                <w:rFonts w:ascii="Cambria Math" w:hAnsi="Cambria Math"/>
                <w:i/>
              </w:rPr>
            </m:ctrlPr>
          </m:sSubPr>
          <m:e>
            <m:r>
              <w:rPr>
                <w:rFonts w:ascii="Cambria Math" w:hAnsi="Cambria Math"/>
              </w:rPr>
              <m:t>pop</m:t>
            </m:r>
          </m:e>
          <m:sub>
            <m:r>
              <w:rPr>
                <w:rFonts w:ascii="Cambria Math" w:hAnsi="Cambria Math"/>
              </w:rPr>
              <m:t>i</m:t>
            </m:r>
          </m:sub>
        </m:sSub>
        <m:d>
          <m:dPr>
            <m:ctrlPr>
              <w:rPr>
                <w:rFonts w:ascii="Cambria Math" w:hAnsi="Cambria Math"/>
              </w:rPr>
            </m:ctrlPr>
          </m:dPr>
          <m:e>
            <m:r>
              <w:rPr>
                <w:rFonts w:ascii="Cambria Math" w:hAnsi="Cambria Math"/>
              </w:rPr>
              <m:t>t</m:t>
            </m:r>
          </m:e>
        </m:d>
      </m:oMath>
      <w:r w:rsidR="00350548" w:rsidRPr="007D093C">
        <w:rPr>
          <w:rFonts w:eastAsiaTheme="minorEastAsia"/>
        </w:rPr>
        <w:t>)</w:t>
      </w:r>
      <w:r w:rsidR="005C026E" w:rsidRPr="007D093C">
        <w:rPr>
          <w:rFonts w:eastAsiaTheme="minorEastAsia"/>
        </w:rPr>
        <w:t xml:space="preserve"> in order to </w:t>
      </w:r>
      <w:r w:rsidR="00AD7F65" w:rsidRPr="007D093C">
        <w:rPr>
          <w:rFonts w:eastAsiaTheme="minorEastAsia"/>
        </w:rPr>
        <w:t>provide</w:t>
      </w:r>
      <w:r w:rsidR="00D31647" w:rsidRPr="00363AAD">
        <w:rPr>
          <w:rFonts w:eastAsiaTheme="minorEastAsia"/>
        </w:rPr>
        <w:t xml:space="preserve"> a quota in terms of </w:t>
      </w:r>
      <w:r w:rsidR="005C026E" w:rsidRPr="00363AAD">
        <w:rPr>
          <w:rFonts w:eastAsiaTheme="minorEastAsia"/>
        </w:rPr>
        <w:t>absolute CDR</w:t>
      </w:r>
      <w:r w:rsidR="00D31647" w:rsidRPr="00363AAD">
        <w:rPr>
          <w:rFonts w:eastAsiaTheme="minorEastAsia"/>
        </w:rPr>
        <w:t xml:space="preserve"> (</w:t>
      </w:r>
      <w:r w:rsidR="00D31647" w:rsidRPr="00363AAD">
        <w:rPr>
          <w:rFonts w:eastAsiaTheme="minorEastAsia"/>
          <w:i/>
        </w:rPr>
        <w:t>i.e.</w:t>
      </w:r>
      <w:r w:rsidR="00D31647" w:rsidRPr="00363AAD">
        <w:rPr>
          <w:rFonts w:eastAsiaTheme="minorEastAsia"/>
        </w:rPr>
        <w:t xml:space="preserve">, in </w:t>
      </w:r>
      <w:r w:rsidR="00AD7F65" w:rsidRPr="00363AAD">
        <w:rPr>
          <w:rFonts w:eastAsiaTheme="minorEastAsia"/>
        </w:rPr>
        <w:t>[M</w:t>
      </w:r>
      <w:r w:rsidR="00D31647" w:rsidRPr="00363AAD">
        <w:rPr>
          <w:rFonts w:eastAsiaTheme="minorEastAsia"/>
        </w:rPr>
        <w:t>t CO</w:t>
      </w:r>
      <w:r w:rsidR="00D31647" w:rsidRPr="00363AAD">
        <w:rPr>
          <w:rFonts w:eastAsiaTheme="minorEastAsia"/>
          <w:vertAlign w:val="subscript"/>
        </w:rPr>
        <w:t>2</w:t>
      </w:r>
      <w:r w:rsidR="00D31647" w:rsidRPr="00363AAD">
        <w:rPr>
          <w:rFonts w:eastAsiaTheme="minorEastAsia"/>
        </w:rPr>
        <w:t>])</w:t>
      </w:r>
      <w:r w:rsidR="00350548" w:rsidRPr="00363AAD">
        <w:rPr>
          <w:rFonts w:eastAsiaTheme="minorEastAsia"/>
        </w:rPr>
        <w:t xml:space="preserve">. Finally, scalar </w:t>
      </w:r>
      <m:oMath>
        <m:sSub>
          <m:sSubPr>
            <m:ctrlPr>
              <w:rPr>
                <w:rFonts w:ascii="Cambria Math" w:hAnsi="Cambria Math"/>
                <w:i/>
              </w:rPr>
            </m:ctrlPr>
          </m:sSubPr>
          <m:e>
            <m:r>
              <w:rPr>
                <w:rFonts w:ascii="Cambria Math" w:hAnsi="Cambria Math"/>
              </w:rPr>
              <m:t>A</m:t>
            </m:r>
          </m:e>
          <m:sub>
            <m:r>
              <w:rPr>
                <w:rFonts w:ascii="Cambria Math" w:hAnsi="Cambria Math"/>
              </w:rPr>
              <m:t>p</m:t>
            </m:r>
          </m:sub>
        </m:sSub>
        <m:d>
          <m:dPr>
            <m:ctrlPr>
              <w:rPr>
                <w:rFonts w:ascii="Cambria Math" w:hAnsi="Cambria Math"/>
              </w:rPr>
            </m:ctrlPr>
          </m:dPr>
          <m:e>
            <m:r>
              <w:rPr>
                <w:rFonts w:ascii="Cambria Math" w:hAnsi="Cambria Math"/>
              </w:rPr>
              <m:t>t</m:t>
            </m:r>
          </m:e>
        </m:d>
      </m:oMath>
      <w:r w:rsidR="00350548" w:rsidRPr="007D093C">
        <w:rPr>
          <w:rFonts w:eastAsiaTheme="minorEastAsia"/>
        </w:rPr>
        <w:t xml:space="preserve"> is used to guarantee that the total cumulative CDR matches </w:t>
      </w:r>
      <w:r w:rsidR="00150EDF" w:rsidRPr="00363AAD">
        <w:rPr>
          <w:rFonts w:eastAsiaTheme="minorEastAsia"/>
        </w:rPr>
        <w:t xml:space="preserve">the </w:t>
      </w:r>
      <w:r w:rsidR="006A5FB0" w:rsidRPr="00363AAD">
        <w:rPr>
          <w:rFonts w:eastAsiaTheme="minorEastAsia"/>
        </w:rPr>
        <w:t>global</w:t>
      </w:r>
      <w:r w:rsidR="00150EDF" w:rsidRPr="00363AAD">
        <w:rPr>
          <w:rFonts w:eastAsiaTheme="minorEastAsia"/>
        </w:rPr>
        <w:t xml:space="preserve"> cumulative CDR quota </w:t>
      </w:r>
      <w:r w:rsidR="00BA265B" w:rsidRPr="00363AAD">
        <w:rPr>
          <w:rFonts w:eastAsiaTheme="minorEastAsia"/>
        </w:rPr>
        <w:t xml:space="preserve">at every time instant </w:t>
      </w:r>
      <w:r w:rsidR="00150EDF" w:rsidRPr="00363AAD">
        <w:rPr>
          <w:rFonts w:eastAsiaTheme="minorEastAsia"/>
        </w:rPr>
        <w:t>(see Supplementary equation (3)). The use of this scalar, which does not depend on the country, is inspired by the semina</w:t>
      </w:r>
      <w:r w:rsidR="003B1DE5" w:rsidRPr="00363AAD">
        <w:rPr>
          <w:rFonts w:eastAsiaTheme="minorEastAsia"/>
        </w:rPr>
        <w:t>l</w:t>
      </w:r>
      <w:r w:rsidR="00150EDF" w:rsidRPr="00363AAD">
        <w:rPr>
          <w:rFonts w:eastAsiaTheme="minorEastAsia"/>
        </w:rPr>
        <w:t xml:space="preserve"> work </w:t>
      </w:r>
      <w:r w:rsidR="006A5FB0" w:rsidRPr="00363AAD">
        <w:rPr>
          <w:rFonts w:eastAsiaTheme="minorEastAsia"/>
        </w:rPr>
        <w:t>by</w:t>
      </w:r>
      <w:r w:rsidR="00BA265B" w:rsidRPr="00363AAD">
        <w:rPr>
          <w:rFonts w:eastAsiaTheme="minorEastAsia"/>
        </w:rPr>
        <w:t xml:space="preserve"> den</w:t>
      </w:r>
      <w:r w:rsidR="006A5FB0" w:rsidRPr="00363AAD">
        <w:rPr>
          <w:rFonts w:eastAsiaTheme="minorEastAsia"/>
        </w:rPr>
        <w:t xml:space="preserve"> </w:t>
      </w:r>
      <w:proofErr w:type="spellStart"/>
      <w:r w:rsidR="006A5FB0" w:rsidRPr="00363AAD">
        <w:rPr>
          <w:rFonts w:eastAsiaTheme="minorEastAsia"/>
        </w:rPr>
        <w:t>Elzen</w:t>
      </w:r>
      <w:proofErr w:type="spellEnd"/>
      <w:r w:rsidR="006A5FB0" w:rsidRPr="00363AAD">
        <w:rPr>
          <w:rFonts w:eastAsiaTheme="minorEastAsia"/>
        </w:rPr>
        <w:t xml:space="preserve"> et al.</w:t>
      </w:r>
      <w:r w:rsidR="006A5FB0" w:rsidRPr="007D093C">
        <w:rPr>
          <w:rFonts w:eastAsiaTheme="minorEastAsia"/>
        </w:rPr>
        <w:fldChar w:fldCharType="begin" w:fldLock="1"/>
      </w:r>
      <w:r w:rsidR="00DB5FE4" w:rsidRPr="00363AAD">
        <w:rPr>
          <w:rFonts w:eastAsiaTheme="minorEastAsia"/>
        </w:rPr>
        <w:instrText>ADDIN CSL_CITATION {"citationItems":[{"id":"ITEM-1","itemData":{"author":[{"dropping-particle":"","family":"Elzen","given":"M G J","non-dropping-particle":"Den","parse-names":false,"suffix":""},{"dropping-particle":"","family":"Lucas","given":"P L","non-dropping-particle":"","parse-names":false,"suffix":""},{"dropping-particle":"","family":"Gijsen","given":"A","non-dropping-particle":"","parse-names":false,"suffix":""},{"dropping-particle":"","family":"Elzen","given":"Michel","non-dropping-particle":"den","parse-names":false,"suffix":""}],"container-title":"Netherlands Environmental Assessment Agency (MNP), Amsterdam, the Netherlands. MNP Report","id":"ITEM-1","issued":{"date-parts":[["2007"]]},"page":"2007","title":"Exploring European countries’ emission reduction targets, abatement costs and measures needed under the 2007 EU reduction objectives","type":"article-journal","volume":"500114009"},"suppress-author":1,"uris":["http://www.mendeley.com/documents/?uuid=fba0283a-4bd5-4304-8fed-7ac17fca46bc","http://www.mendeley.com/documents/?uuid=5e76dea0-bd9e-49b6-ba63-01eac48ab8a4"]}],"mendeley":{"formattedCitation":"&lt;sup&gt;5&lt;/sup&gt;","plainTextFormattedCitation":"5","previouslyFormattedCitation":"&lt;sup&gt;5&lt;/sup&gt;"},"properties":{"noteIndex":0},"schema":"https://github.com/citation-style-language/schema/raw/master/csl-citation.json"}</w:instrText>
      </w:r>
      <w:r w:rsidR="006A5FB0" w:rsidRPr="007D093C">
        <w:rPr>
          <w:rFonts w:eastAsiaTheme="minorEastAsia"/>
        </w:rPr>
        <w:fldChar w:fldCharType="separate"/>
      </w:r>
      <w:r w:rsidR="00DD582C" w:rsidRPr="007D093C">
        <w:rPr>
          <w:rFonts w:eastAsiaTheme="minorEastAsia"/>
          <w:noProof/>
          <w:vertAlign w:val="superscript"/>
        </w:rPr>
        <w:t>5</w:t>
      </w:r>
      <w:r w:rsidR="006A5FB0" w:rsidRPr="007D093C">
        <w:rPr>
          <w:rFonts w:eastAsiaTheme="minorEastAsia"/>
        </w:rPr>
        <w:fldChar w:fldCharType="end"/>
      </w:r>
      <w:r w:rsidR="00150EDF" w:rsidRPr="007D093C">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7"/>
        <w:gridCol w:w="749"/>
      </w:tblGrid>
      <w:tr w:rsidR="002B4A61" w:rsidRPr="00363AAD" w14:paraId="2E905362" w14:textId="77777777" w:rsidTr="009B61D2">
        <w:tc>
          <w:tcPr>
            <w:tcW w:w="8472" w:type="dxa"/>
          </w:tcPr>
          <w:p w14:paraId="449EB66F" w14:textId="77777777" w:rsidR="002B4A61" w:rsidRPr="00363AAD" w:rsidRDefault="00270D1A" w:rsidP="009B61D2">
            <w:pPr>
              <w:jc w:val="both"/>
            </w:pPr>
            <m:oMathPara>
              <m:oMath>
                <m:sSubSup>
                  <m:sSubSupPr>
                    <m:ctrlPr>
                      <w:rPr>
                        <w:rFonts w:ascii="Cambria Math" w:hAnsi="Cambria Math"/>
                      </w:rPr>
                    </m:ctrlPr>
                  </m:sSubSupPr>
                  <m:e>
                    <m:r>
                      <w:rPr>
                        <w:rFonts w:ascii="Cambria Math" w:hAnsi="Cambria Math"/>
                      </w:rPr>
                      <m:t>CCDR</m:t>
                    </m:r>
                  </m:e>
                  <m:sub>
                    <m:r>
                      <w:rPr>
                        <w:rFonts w:ascii="Cambria Math" w:hAnsi="Cambria Math"/>
                      </w:rPr>
                      <m:t>i</m:t>
                    </m:r>
                    <m:r>
                      <m:rPr>
                        <m:sty m:val="p"/>
                      </m:rPr>
                      <w:rPr>
                        <w:rFonts w:ascii="Cambria Math" w:hAnsi="Cambria Math"/>
                      </w:rPr>
                      <m:t>,</m:t>
                    </m:r>
                    <m:r>
                      <w:rPr>
                        <w:rFonts w:ascii="Cambria Math" w:hAnsi="Cambria Math"/>
                      </w:rPr>
                      <m:t>p</m:t>
                    </m:r>
                  </m:sub>
                  <m:sup>
                    <m:r>
                      <w:rPr>
                        <w:rFonts w:ascii="Cambria Math" w:hAnsi="Cambria Math"/>
                      </w:rPr>
                      <m:t>IND</m:t>
                    </m:r>
                  </m:sup>
                </m:sSubSup>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2020</m:t>
                    </m:r>
                  </m:sub>
                  <m:sup>
                    <m:r>
                      <m:rPr>
                        <m:sty m:val="p"/>
                      </m:rPr>
                      <w:rPr>
                        <w:rFonts w:ascii="Cambria Math" w:hAnsi="Cambria Math"/>
                      </w:rPr>
                      <m:t>2100</m:t>
                    </m:r>
                  </m:sup>
                  <m:e>
                    <m:sSub>
                      <m:sSubPr>
                        <m:ctrlPr>
                          <w:rPr>
                            <w:rFonts w:ascii="Cambria Math" w:hAnsi="Cambria Math"/>
                            <w:i/>
                          </w:rPr>
                        </m:ctrlPr>
                      </m:sSubPr>
                      <m:e>
                        <m:r>
                          <w:rPr>
                            <w:rFonts w:ascii="Cambria Math" w:hAnsi="Cambria Math"/>
                          </w:rPr>
                          <m:t>A</m:t>
                        </m:r>
                      </m:e>
                      <m:sub>
                        <m:r>
                          <w:rPr>
                            <w:rFonts w:ascii="Cambria Math" w:hAnsi="Cambria Math"/>
                          </w:rPr>
                          <m:t>p</m:t>
                        </m:r>
                      </m:sub>
                    </m:sSub>
                    <m:d>
                      <m:dPr>
                        <m:ctrlPr>
                          <w:rPr>
                            <w:rFonts w:ascii="Cambria Math" w:hAnsi="Cambria Math"/>
                          </w:rPr>
                        </m:ctrlPr>
                      </m:dPr>
                      <m:e>
                        <m:r>
                          <w:rPr>
                            <w:rFonts w:ascii="Cambria Math" w:hAnsi="Cambria Math"/>
                          </w:rPr>
                          <m:t>t</m:t>
                        </m:r>
                      </m:e>
                    </m:d>
                    <m:sSub>
                      <m:sSubPr>
                        <m:ctrlPr>
                          <w:rPr>
                            <w:rFonts w:ascii="Cambria Math" w:hAnsi="Cambria Math"/>
                            <w:i/>
                          </w:rPr>
                        </m:ctrlPr>
                      </m:sSubPr>
                      <m:e>
                        <m:r>
                          <w:rPr>
                            <w:rFonts w:ascii="Cambria Math" w:hAnsi="Cambria Math"/>
                          </w:rPr>
                          <m:t>pop</m:t>
                        </m:r>
                      </m:e>
                      <m:sub>
                        <m:r>
                          <w:rPr>
                            <w:rFonts w:ascii="Cambria Math" w:hAnsi="Cambria Math"/>
                          </w:rPr>
                          <m:t>i</m:t>
                        </m:r>
                      </m:sub>
                    </m:sSub>
                    <m:d>
                      <m:dPr>
                        <m:ctrlPr>
                          <w:rPr>
                            <w:rFonts w:ascii="Cambria Math" w:hAnsi="Cambria Math"/>
                          </w:rPr>
                        </m:ctrlPr>
                      </m:dPr>
                      <m:e>
                        <m:r>
                          <w:rPr>
                            <w:rFonts w:ascii="Cambria Math" w:hAnsi="Cambria Math"/>
                          </w:rPr>
                          <m:t>t</m:t>
                        </m:r>
                      </m:e>
                    </m:d>
                    <m:f>
                      <m:fPr>
                        <m:ctrlPr>
                          <w:rPr>
                            <w:rFonts w:ascii="Cambria Math" w:hAnsi="Cambria Math"/>
                          </w:rPr>
                        </m:ctrlPr>
                      </m:fPr>
                      <m:num>
                        <m:sSub>
                          <m:sSubPr>
                            <m:ctrlPr>
                              <w:rPr>
                                <w:rFonts w:ascii="Cambria Math" w:hAnsi="Cambria Math"/>
                              </w:rPr>
                            </m:ctrlPr>
                          </m:sSubPr>
                          <m:e>
                            <m:r>
                              <w:rPr>
                                <w:rFonts w:ascii="Cambria Math" w:hAnsi="Cambria Math"/>
                              </w:rPr>
                              <m:t>CV</m:t>
                            </m:r>
                          </m:e>
                          <m:sub>
                            <m:r>
                              <w:rPr>
                                <w:rFonts w:ascii="Cambria Math" w:hAnsi="Cambria Math"/>
                              </w:rPr>
                              <m:t>i</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sub>
                          <m:sup/>
                          <m:e>
                            <m:sSub>
                              <m:sSubPr>
                                <m:ctrlPr>
                                  <w:rPr>
                                    <w:rFonts w:ascii="Cambria Math" w:hAnsi="Cambria Math"/>
                                  </w:rPr>
                                </m:ctrlPr>
                              </m:sSubPr>
                              <m:e>
                                <m:r>
                                  <w:rPr>
                                    <w:rFonts w:ascii="Cambria Math" w:hAnsi="Cambria Math"/>
                                  </w:rPr>
                                  <m:t>CV</m:t>
                                </m:r>
                              </m:e>
                              <m:sub>
                                <m:r>
                                  <w:rPr>
                                    <w:rFonts w:ascii="Cambria Math" w:hAnsi="Cambria Math"/>
                                  </w:rPr>
                                  <m:t>i</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e>
                        </m:nary>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YCDR</m:t>
                            </m:r>
                          </m:e>
                          <m:sup>
                            <m:r>
                              <w:rPr>
                                <w:rFonts w:ascii="Cambria Math" w:hAnsi="Cambria Math"/>
                              </w:rPr>
                              <m:t>GLO</m:t>
                            </m:r>
                          </m:sup>
                        </m:sSup>
                        <m:d>
                          <m:dPr>
                            <m:ctrlPr>
                              <w:rPr>
                                <w:rFonts w:ascii="Cambria Math" w:hAnsi="Cambria Math"/>
                              </w:rPr>
                            </m:ctrlPr>
                          </m:dPr>
                          <m:e>
                            <m:r>
                              <w:rPr>
                                <w:rFonts w:ascii="Cambria Math" w:hAnsi="Cambria Math"/>
                              </w:rPr>
                              <m:t>t</m:t>
                            </m:r>
                          </m:e>
                        </m:d>
                      </m:num>
                      <m:den>
                        <m:sSup>
                          <m:sSupPr>
                            <m:ctrlPr>
                              <w:rPr>
                                <w:rFonts w:ascii="Cambria Math" w:hAnsi="Cambria Math"/>
                                <w:i/>
                              </w:rPr>
                            </m:ctrlPr>
                          </m:sSupPr>
                          <m:e>
                            <m:r>
                              <w:rPr>
                                <w:rFonts w:ascii="Cambria Math" w:hAnsi="Cambria Math"/>
                              </w:rPr>
                              <m:t>pop</m:t>
                            </m:r>
                          </m:e>
                          <m:sup>
                            <m:r>
                              <w:rPr>
                                <w:rFonts w:ascii="Cambria Math" w:hAnsi="Cambria Math"/>
                              </w:rPr>
                              <m:t>GLO</m:t>
                            </m:r>
                          </m:sup>
                        </m:sSup>
                        <m:d>
                          <m:dPr>
                            <m:ctrlPr>
                              <w:rPr>
                                <w:rFonts w:ascii="Cambria Math" w:hAnsi="Cambria Math"/>
                              </w:rPr>
                            </m:ctrlPr>
                          </m:dPr>
                          <m:e>
                            <m:r>
                              <w:rPr>
                                <w:rFonts w:ascii="Cambria Math" w:hAnsi="Cambria Math"/>
                              </w:rPr>
                              <m:t>t</m:t>
                            </m:r>
                          </m:e>
                        </m:d>
                      </m:den>
                    </m:f>
                  </m:e>
                </m:nary>
                <m:r>
                  <w:rPr>
                    <w:rFonts w:ascii="Cambria Math" w:hAnsi="Cambria Math"/>
                  </w:rPr>
                  <m:t>dt</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p</m:t>
                </m:r>
              </m:oMath>
            </m:oMathPara>
          </w:p>
        </w:tc>
        <w:tc>
          <w:tcPr>
            <w:tcW w:w="770" w:type="dxa"/>
          </w:tcPr>
          <w:p w14:paraId="17C9AA20" w14:textId="77777777" w:rsidR="002B4A61" w:rsidRPr="00363AAD" w:rsidRDefault="002B4A61" w:rsidP="009B61D2">
            <w:pPr>
              <w:jc w:val="both"/>
            </w:pPr>
            <w:r w:rsidRPr="00363AAD">
              <w:t>(</w:t>
            </w:r>
            <w:r w:rsidR="00150EDF" w:rsidRPr="00363AAD">
              <w:t>2</w:t>
            </w:r>
            <w:r w:rsidRPr="00363AAD">
              <w:t>)</w:t>
            </w:r>
          </w:p>
        </w:tc>
      </w:tr>
      <w:tr w:rsidR="00150EDF" w:rsidRPr="00363AAD" w14:paraId="770542A8" w14:textId="77777777" w:rsidTr="009B61D2">
        <w:tc>
          <w:tcPr>
            <w:tcW w:w="8472" w:type="dxa"/>
          </w:tcPr>
          <w:p w14:paraId="71DBB48F" w14:textId="77777777" w:rsidR="00150EDF" w:rsidRPr="00363AAD" w:rsidRDefault="00270D1A" w:rsidP="0091320C">
            <w:pPr>
              <w:jc w:val="both"/>
              <w:rPr>
                <w:rFonts w:eastAsia="Times New Roman"/>
              </w:rPr>
            </w:pPr>
            <m:oMathPara>
              <m:oMath>
                <m:sSub>
                  <m:sSubPr>
                    <m:ctrlPr>
                      <w:rPr>
                        <w:rFonts w:ascii="Cambria Math" w:hAnsi="Cambria Math"/>
                        <w:i/>
                      </w:rPr>
                    </m:ctrlPr>
                  </m:sSubPr>
                  <m:e>
                    <m:r>
                      <w:rPr>
                        <w:rFonts w:ascii="Cambria Math" w:hAnsi="Cambria Math"/>
                      </w:rPr>
                      <m:t>A</m:t>
                    </m:r>
                  </m:e>
                  <m:sub>
                    <m:r>
                      <w:rPr>
                        <w:rFonts w:ascii="Cambria Math" w:hAnsi="Cambria Math"/>
                      </w:rPr>
                      <m:t>p</m:t>
                    </m:r>
                  </m:sub>
                </m:sSub>
                <m:d>
                  <m:dPr>
                    <m:ctrlPr>
                      <w:rPr>
                        <w:rFonts w:ascii="Cambria Math" w:hAnsi="Cambria Math"/>
                      </w:rPr>
                    </m:ctrlPr>
                  </m:dPr>
                  <m:e>
                    <m:r>
                      <w:rPr>
                        <w:rFonts w:ascii="Cambria Math" w:hAnsi="Cambria Math"/>
                      </w:rPr>
                      <m:t>t</m:t>
                    </m:r>
                  </m:e>
                </m:d>
                <m:r>
                  <w:rPr>
                    <w:rFonts w:ascii="Cambria Math" w:hAnsi="Cambria Math"/>
                  </w:rPr>
                  <m:t>=</m:t>
                </m:r>
                <m:f>
                  <m:fPr>
                    <m:ctrlPr>
                      <w:rPr>
                        <w:rFonts w:ascii="Cambria Math" w:hAnsi="Cambria Math"/>
                      </w:rPr>
                    </m:ctrlPr>
                  </m:fPr>
                  <m:num>
                    <m:nary>
                      <m:naryPr>
                        <m:limLoc m:val="subSup"/>
                        <m:ctrlPr>
                          <w:rPr>
                            <w:rFonts w:ascii="Cambria Math" w:hAnsi="Cambria Math"/>
                          </w:rPr>
                        </m:ctrlPr>
                      </m:naryPr>
                      <m:sub>
                        <m:r>
                          <m:rPr>
                            <m:sty m:val="p"/>
                          </m:rPr>
                          <w:rPr>
                            <w:rFonts w:ascii="Cambria Math" w:hAnsi="Cambria Math"/>
                          </w:rPr>
                          <m:t>2020</m:t>
                        </m:r>
                      </m:sub>
                      <m:sup>
                        <m:r>
                          <m:rPr>
                            <m:sty m:val="p"/>
                          </m:rPr>
                          <w:rPr>
                            <w:rFonts w:ascii="Cambria Math" w:hAnsi="Cambria Math"/>
                          </w:rPr>
                          <m:t>t</m:t>
                        </m:r>
                      </m:sup>
                      <m:e>
                        <m:sSup>
                          <m:sSupPr>
                            <m:ctrlPr>
                              <w:rPr>
                                <w:rFonts w:ascii="Cambria Math" w:hAnsi="Cambria Math"/>
                              </w:rPr>
                            </m:ctrlPr>
                          </m:sSupPr>
                          <m:e>
                            <m:r>
                              <w:rPr>
                                <w:rFonts w:ascii="Cambria Math" w:hAnsi="Cambria Math"/>
                              </w:rPr>
                              <m:t>YCDR</m:t>
                            </m:r>
                          </m:e>
                          <m:sup>
                            <m:r>
                              <w:rPr>
                                <w:rFonts w:ascii="Cambria Math" w:hAnsi="Cambria Math"/>
                              </w:rPr>
                              <m:t>GLO</m:t>
                            </m:r>
                          </m:sup>
                        </m:sSup>
                        <m:d>
                          <m:dPr>
                            <m:ctrlPr>
                              <w:rPr>
                                <w:rFonts w:ascii="Cambria Math" w:hAnsi="Cambria Math"/>
                              </w:rPr>
                            </m:ctrlPr>
                          </m:dPr>
                          <m:e>
                            <m:r>
                              <w:rPr>
                                <w:rFonts w:ascii="Cambria Math" w:hAnsi="Cambria Math"/>
                              </w:rPr>
                              <m:t>t</m:t>
                            </m:r>
                          </m:e>
                        </m:d>
                        <m:r>
                          <w:rPr>
                            <w:rFonts w:ascii="Cambria Math" w:hAnsi="Cambria Math"/>
                          </w:rPr>
                          <m:t>dt</m:t>
                        </m:r>
                      </m:e>
                    </m:nary>
                  </m:num>
                  <m:den>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2020</m:t>
                                </m:r>
                              </m:sub>
                              <m:sup>
                                <m:r>
                                  <m:rPr>
                                    <m:sty m:val="p"/>
                                  </m:rPr>
                                  <w:rPr>
                                    <w:rFonts w:ascii="Cambria Math" w:hAnsi="Cambria Math"/>
                                  </w:rPr>
                                  <m:t>t</m:t>
                                </m:r>
                              </m:sup>
                              <m:e>
                                <m:sSub>
                                  <m:sSubPr>
                                    <m:ctrlPr>
                                      <w:rPr>
                                        <w:rFonts w:ascii="Cambria Math" w:hAnsi="Cambria Math"/>
                                        <w:i/>
                                      </w:rPr>
                                    </m:ctrlPr>
                                  </m:sSubPr>
                                  <m:e>
                                    <m:r>
                                      <w:rPr>
                                        <w:rFonts w:ascii="Cambria Math" w:hAnsi="Cambria Math"/>
                                      </w:rPr>
                                      <m:t>pop</m:t>
                                    </m:r>
                                  </m:e>
                                  <m:sub>
                                    <m:r>
                                      <w:rPr>
                                        <w:rFonts w:ascii="Cambria Math" w:hAnsi="Cambria Math"/>
                                      </w:rPr>
                                      <m:t>i</m:t>
                                    </m:r>
                                  </m:sub>
                                </m:sSub>
                                <m:d>
                                  <m:dPr>
                                    <m:ctrlPr>
                                      <w:rPr>
                                        <w:rFonts w:ascii="Cambria Math" w:hAnsi="Cambria Math"/>
                                      </w:rPr>
                                    </m:ctrlPr>
                                  </m:dPr>
                                  <m:e>
                                    <m:r>
                                      <w:rPr>
                                        <w:rFonts w:ascii="Cambria Math" w:hAnsi="Cambria Math"/>
                                      </w:rPr>
                                      <m:t>t</m:t>
                                    </m:r>
                                  </m:e>
                                </m:d>
                                <m:f>
                                  <m:fPr>
                                    <m:ctrlPr>
                                      <w:rPr>
                                        <w:rFonts w:ascii="Cambria Math" w:hAnsi="Cambria Math"/>
                                      </w:rPr>
                                    </m:ctrlPr>
                                  </m:fPr>
                                  <m:num>
                                    <m:sSub>
                                      <m:sSubPr>
                                        <m:ctrlPr>
                                          <w:rPr>
                                            <w:rFonts w:ascii="Cambria Math" w:hAnsi="Cambria Math"/>
                                          </w:rPr>
                                        </m:ctrlPr>
                                      </m:sSubPr>
                                      <m:e>
                                        <m:r>
                                          <w:rPr>
                                            <w:rFonts w:ascii="Cambria Math" w:hAnsi="Cambria Math"/>
                                          </w:rPr>
                                          <m:t>CV</m:t>
                                        </m:r>
                                      </m:e>
                                      <m:sub>
                                        <m:r>
                                          <w:rPr>
                                            <w:rFonts w:ascii="Cambria Math" w:hAnsi="Cambria Math"/>
                                          </w:rPr>
                                          <m:t>i</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sub>
                                      <m:sup/>
                                      <m:e>
                                        <m:sSub>
                                          <m:sSubPr>
                                            <m:ctrlPr>
                                              <w:rPr>
                                                <w:rFonts w:ascii="Cambria Math" w:hAnsi="Cambria Math"/>
                                              </w:rPr>
                                            </m:ctrlPr>
                                          </m:sSubPr>
                                          <m:e>
                                            <m:r>
                                              <w:rPr>
                                                <w:rFonts w:ascii="Cambria Math" w:hAnsi="Cambria Math"/>
                                              </w:rPr>
                                              <m:t>CV</m:t>
                                            </m:r>
                                          </m:e>
                                          <m:sub>
                                            <m:r>
                                              <w:rPr>
                                                <w:rFonts w:ascii="Cambria Math" w:hAnsi="Cambria Math"/>
                                              </w:rPr>
                                              <m:t>i</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e>
                                    </m:nary>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YCDR</m:t>
                                        </m:r>
                                      </m:e>
                                      <m:sup>
                                        <m:r>
                                          <w:rPr>
                                            <w:rFonts w:ascii="Cambria Math" w:hAnsi="Cambria Math"/>
                                          </w:rPr>
                                          <m:t>GLO</m:t>
                                        </m:r>
                                      </m:sup>
                                    </m:sSup>
                                    <m:d>
                                      <m:dPr>
                                        <m:ctrlPr>
                                          <w:rPr>
                                            <w:rFonts w:ascii="Cambria Math" w:hAnsi="Cambria Math"/>
                                          </w:rPr>
                                        </m:ctrlPr>
                                      </m:dPr>
                                      <m:e>
                                        <m:r>
                                          <w:rPr>
                                            <w:rFonts w:ascii="Cambria Math" w:hAnsi="Cambria Math"/>
                                          </w:rPr>
                                          <m:t>t</m:t>
                                        </m:r>
                                      </m:e>
                                    </m:d>
                                  </m:num>
                                  <m:den>
                                    <m:sSup>
                                      <m:sSupPr>
                                        <m:ctrlPr>
                                          <w:rPr>
                                            <w:rFonts w:ascii="Cambria Math" w:hAnsi="Cambria Math"/>
                                            <w:i/>
                                          </w:rPr>
                                        </m:ctrlPr>
                                      </m:sSupPr>
                                      <m:e>
                                        <m:r>
                                          <w:rPr>
                                            <w:rFonts w:ascii="Cambria Math" w:hAnsi="Cambria Math"/>
                                          </w:rPr>
                                          <m:t>pop</m:t>
                                        </m:r>
                                      </m:e>
                                      <m:sup>
                                        <m:r>
                                          <w:rPr>
                                            <w:rFonts w:ascii="Cambria Math" w:hAnsi="Cambria Math"/>
                                          </w:rPr>
                                          <m:t>GLO</m:t>
                                        </m:r>
                                      </m:sup>
                                    </m:sSup>
                                    <m:d>
                                      <m:dPr>
                                        <m:ctrlPr>
                                          <w:rPr>
                                            <w:rFonts w:ascii="Cambria Math" w:hAnsi="Cambria Math"/>
                                          </w:rPr>
                                        </m:ctrlPr>
                                      </m:dPr>
                                      <m:e>
                                        <m:r>
                                          <w:rPr>
                                            <w:rFonts w:ascii="Cambria Math" w:hAnsi="Cambria Math"/>
                                          </w:rPr>
                                          <m:t>t</m:t>
                                        </m:r>
                                      </m:e>
                                    </m:d>
                                  </m:den>
                                </m:f>
                                <m:r>
                                  <w:rPr>
                                    <w:rFonts w:ascii="Cambria Math" w:hAnsi="Cambria Math"/>
                                  </w:rPr>
                                  <m:t>dt</m:t>
                                </m:r>
                              </m:e>
                            </m:nary>
                          </m:e>
                        </m:d>
                      </m:e>
                    </m:nary>
                  </m:den>
                </m:f>
                <m:r>
                  <m:rPr>
                    <m:sty m:val="p"/>
                  </m:rPr>
                  <w:rPr>
                    <w:rFonts w:ascii="Cambria Math" w:hAnsi="Cambria Math"/>
                  </w:rPr>
                  <m:t xml:space="preserve">       ∀</m:t>
                </m:r>
                <m:r>
                  <w:rPr>
                    <w:rFonts w:ascii="Cambria Math" w:hAnsi="Cambria Math"/>
                  </w:rPr>
                  <m:t>p,t∈[2020,2100]</m:t>
                </m:r>
              </m:oMath>
            </m:oMathPara>
          </w:p>
        </w:tc>
        <w:tc>
          <w:tcPr>
            <w:tcW w:w="770" w:type="dxa"/>
          </w:tcPr>
          <w:p w14:paraId="14AAC99D" w14:textId="77777777" w:rsidR="00150EDF" w:rsidRPr="00363AAD" w:rsidRDefault="00150EDF" w:rsidP="009B61D2">
            <w:pPr>
              <w:jc w:val="both"/>
            </w:pPr>
            <w:r w:rsidRPr="00363AAD">
              <w:t>(3)</w:t>
            </w:r>
          </w:p>
        </w:tc>
      </w:tr>
    </w:tbl>
    <w:p w14:paraId="1FDB10D5" w14:textId="389EB0E4" w:rsidR="00150EDF" w:rsidRPr="00363AAD" w:rsidRDefault="000B1420" w:rsidP="007E091B">
      <w:pPr>
        <w:pStyle w:val="Normal1"/>
        <w:spacing w:before="120" w:after="120" w:line="480" w:lineRule="auto"/>
        <w:jc w:val="both"/>
        <w:rPr>
          <w:rFonts w:ascii="Arial" w:hAnsi="Arial" w:cs="Arial"/>
          <w:color w:val="auto"/>
          <w:sz w:val="24"/>
          <w:szCs w:val="24"/>
          <w:lang w:val="en-GB" w:eastAsia="en-US"/>
        </w:rPr>
      </w:pPr>
      <w:r w:rsidRPr="00363AAD">
        <w:rPr>
          <w:rFonts w:ascii="Arial" w:hAnsi="Arial" w:cs="Arial"/>
          <w:color w:val="auto"/>
          <w:sz w:val="24"/>
          <w:szCs w:val="24"/>
          <w:lang w:val="en-GB" w:eastAsia="en-US"/>
        </w:rPr>
        <w:t>Note that control variables (and</w:t>
      </w:r>
      <w:r w:rsidR="000876DE" w:rsidRPr="00363AAD">
        <w:rPr>
          <w:rFonts w:ascii="Arial" w:hAnsi="Arial" w:cs="Arial"/>
          <w:color w:val="auto"/>
          <w:sz w:val="24"/>
          <w:szCs w:val="24"/>
          <w:lang w:val="en-GB" w:eastAsia="en-US"/>
        </w:rPr>
        <w:t>,</w:t>
      </w:r>
      <w:r w:rsidRPr="00363AAD">
        <w:rPr>
          <w:rFonts w:ascii="Arial" w:hAnsi="Arial" w:cs="Arial"/>
          <w:color w:val="auto"/>
          <w:sz w:val="24"/>
          <w:szCs w:val="24"/>
          <w:lang w:val="en-GB" w:eastAsia="en-US"/>
        </w:rPr>
        <w:t xml:space="preserve"> therefore</w:t>
      </w:r>
      <w:r w:rsidR="000876DE" w:rsidRPr="00363AAD">
        <w:rPr>
          <w:rFonts w:ascii="Arial" w:hAnsi="Arial" w:cs="Arial"/>
          <w:color w:val="auto"/>
          <w:sz w:val="24"/>
          <w:szCs w:val="24"/>
          <w:lang w:val="en-GB" w:eastAsia="en-US"/>
        </w:rPr>
        <w:t>,</w:t>
      </w:r>
      <w:r w:rsidRPr="00363AAD">
        <w:rPr>
          <w:rFonts w:ascii="Arial" w:hAnsi="Arial" w:cs="Arial"/>
          <w:color w:val="auto"/>
          <w:sz w:val="24"/>
          <w:szCs w:val="24"/>
          <w:lang w:val="en-GB" w:eastAsia="en-US"/>
        </w:rPr>
        <w:t xml:space="preserve"> country shares) </w:t>
      </w:r>
      <w:r w:rsidR="00BA265B" w:rsidRPr="00363AAD">
        <w:rPr>
          <w:rFonts w:ascii="Arial" w:hAnsi="Arial" w:cs="Arial"/>
          <w:color w:val="auto"/>
          <w:sz w:val="24"/>
          <w:szCs w:val="24"/>
          <w:lang w:val="en-GB" w:eastAsia="en-US"/>
        </w:rPr>
        <w:t>in Suppl</w:t>
      </w:r>
      <w:r w:rsidR="00C170B5" w:rsidRPr="00363AAD">
        <w:rPr>
          <w:rFonts w:ascii="Arial" w:hAnsi="Arial" w:cs="Arial"/>
          <w:color w:val="auto"/>
          <w:sz w:val="24"/>
          <w:szCs w:val="24"/>
          <w:lang w:val="en-GB" w:eastAsia="en-US"/>
        </w:rPr>
        <w:t>e</w:t>
      </w:r>
      <w:r w:rsidR="00BA265B" w:rsidRPr="00363AAD">
        <w:rPr>
          <w:rFonts w:ascii="Arial" w:hAnsi="Arial" w:cs="Arial"/>
          <w:color w:val="auto"/>
          <w:sz w:val="24"/>
          <w:szCs w:val="24"/>
          <w:lang w:val="en-GB" w:eastAsia="en-US"/>
        </w:rPr>
        <w:t>mentary equation (</w:t>
      </w:r>
      <w:r w:rsidR="00E9151D" w:rsidRPr="00363AAD">
        <w:rPr>
          <w:rFonts w:ascii="Arial" w:hAnsi="Arial" w:cs="Arial"/>
          <w:color w:val="auto"/>
          <w:sz w:val="24"/>
          <w:szCs w:val="24"/>
          <w:lang w:val="en-GB" w:eastAsia="en-US"/>
        </w:rPr>
        <w:t>2</w:t>
      </w:r>
      <w:r w:rsidR="00BA265B" w:rsidRPr="00363AAD">
        <w:rPr>
          <w:rFonts w:ascii="Arial" w:hAnsi="Arial" w:cs="Arial"/>
          <w:color w:val="auto"/>
          <w:sz w:val="24"/>
          <w:szCs w:val="24"/>
          <w:lang w:val="en-GB" w:eastAsia="en-US"/>
        </w:rPr>
        <w:t xml:space="preserve">) </w:t>
      </w:r>
      <w:r w:rsidRPr="00363AAD">
        <w:rPr>
          <w:rFonts w:ascii="Arial" w:hAnsi="Arial" w:cs="Arial"/>
          <w:color w:val="auto"/>
          <w:sz w:val="24"/>
          <w:szCs w:val="24"/>
          <w:lang w:val="en-GB" w:eastAsia="en-US"/>
        </w:rPr>
        <w:t xml:space="preserve">are exactly the same as those used in </w:t>
      </w:r>
      <w:r w:rsidR="00BA265B" w:rsidRPr="00363AAD">
        <w:rPr>
          <w:rFonts w:ascii="Arial" w:hAnsi="Arial" w:cs="Arial"/>
          <w:color w:val="auto"/>
          <w:sz w:val="24"/>
          <w:szCs w:val="24"/>
          <w:lang w:val="en-GB" w:eastAsia="en-US"/>
        </w:rPr>
        <w:t xml:space="preserve">equation (1) </w:t>
      </w:r>
      <w:r w:rsidRPr="00363AAD">
        <w:rPr>
          <w:rFonts w:ascii="Arial" w:hAnsi="Arial" w:cs="Arial"/>
          <w:color w:val="auto"/>
          <w:sz w:val="24"/>
          <w:szCs w:val="24"/>
          <w:lang w:val="en-GB" w:eastAsia="en-US"/>
        </w:rPr>
        <w:t>for the allocation of absolute negative emissions</w:t>
      </w:r>
      <w:r w:rsidR="003D5AD9" w:rsidRPr="00363AAD">
        <w:rPr>
          <w:rFonts w:ascii="Arial" w:hAnsi="Arial" w:cs="Arial"/>
          <w:color w:val="auto"/>
          <w:sz w:val="24"/>
          <w:szCs w:val="24"/>
          <w:lang w:val="en-GB" w:eastAsia="en-US"/>
        </w:rPr>
        <w:t xml:space="preserve"> (see equations (2)-(4) in the main manuscript)</w:t>
      </w:r>
      <w:r w:rsidR="00AD7F65" w:rsidRPr="00363AAD">
        <w:rPr>
          <w:rFonts w:ascii="Arial" w:hAnsi="Arial" w:cs="Arial"/>
          <w:color w:val="auto"/>
          <w:sz w:val="24"/>
          <w:szCs w:val="24"/>
          <w:lang w:val="en-GB" w:eastAsia="en-US"/>
        </w:rPr>
        <w:t>.</w:t>
      </w:r>
      <w:r w:rsidRPr="00363AAD">
        <w:rPr>
          <w:rFonts w:ascii="Arial" w:hAnsi="Arial" w:cs="Arial"/>
          <w:color w:val="auto"/>
          <w:sz w:val="24"/>
          <w:szCs w:val="24"/>
          <w:lang w:val="en-GB" w:eastAsia="en-US"/>
        </w:rPr>
        <w:t xml:space="preserve"> </w:t>
      </w:r>
      <w:r w:rsidR="00AD7F65" w:rsidRPr="00363AAD">
        <w:rPr>
          <w:rFonts w:ascii="Arial" w:hAnsi="Arial" w:cs="Arial"/>
          <w:color w:val="auto"/>
          <w:sz w:val="24"/>
          <w:szCs w:val="24"/>
          <w:lang w:val="en-GB" w:eastAsia="en-US"/>
        </w:rPr>
        <w:t>T</w:t>
      </w:r>
      <w:r w:rsidRPr="00363AAD">
        <w:rPr>
          <w:rFonts w:ascii="Arial" w:hAnsi="Arial" w:cs="Arial"/>
          <w:color w:val="auto"/>
          <w:sz w:val="24"/>
          <w:szCs w:val="24"/>
          <w:lang w:val="en-GB" w:eastAsia="en-US"/>
        </w:rPr>
        <w:t xml:space="preserve">he only difference </w:t>
      </w:r>
      <w:r w:rsidR="00AD7F65" w:rsidRPr="00363AAD">
        <w:rPr>
          <w:rFonts w:ascii="Arial" w:hAnsi="Arial" w:cs="Arial"/>
          <w:color w:val="auto"/>
          <w:sz w:val="24"/>
          <w:szCs w:val="24"/>
          <w:lang w:val="en-GB" w:eastAsia="en-US"/>
        </w:rPr>
        <w:t xml:space="preserve">of this approach is </w:t>
      </w:r>
      <w:r w:rsidRPr="00363AAD">
        <w:rPr>
          <w:rFonts w:ascii="Arial" w:hAnsi="Arial" w:cs="Arial"/>
          <w:color w:val="auto"/>
          <w:sz w:val="24"/>
          <w:szCs w:val="24"/>
          <w:lang w:val="en-GB" w:eastAsia="en-US"/>
        </w:rPr>
        <w:t>that</w:t>
      </w:r>
      <w:r w:rsidR="003D5AD9" w:rsidRPr="00363AAD">
        <w:rPr>
          <w:rFonts w:ascii="Arial" w:hAnsi="Arial" w:cs="Arial"/>
          <w:color w:val="auto"/>
          <w:sz w:val="24"/>
          <w:szCs w:val="24"/>
          <w:lang w:val="en-GB" w:eastAsia="en-US"/>
        </w:rPr>
        <w:t xml:space="preserve">, </w:t>
      </w:r>
      <w:r w:rsidR="00BA265B" w:rsidRPr="00363AAD">
        <w:rPr>
          <w:rFonts w:ascii="Arial" w:hAnsi="Arial" w:cs="Arial"/>
          <w:color w:val="auto"/>
          <w:sz w:val="24"/>
          <w:szCs w:val="24"/>
          <w:lang w:val="en-GB" w:eastAsia="en-US"/>
        </w:rPr>
        <w:t xml:space="preserve">in </w:t>
      </w:r>
      <w:r w:rsidRPr="00363AAD">
        <w:rPr>
          <w:rFonts w:ascii="Arial" w:hAnsi="Arial" w:cs="Arial"/>
          <w:color w:val="auto"/>
          <w:sz w:val="24"/>
          <w:szCs w:val="24"/>
          <w:lang w:val="en-GB" w:eastAsia="en-US"/>
        </w:rPr>
        <w:t>Supplementary equation (2)</w:t>
      </w:r>
      <w:r w:rsidR="003D5AD9" w:rsidRPr="00363AAD">
        <w:rPr>
          <w:rFonts w:ascii="Arial" w:hAnsi="Arial" w:cs="Arial"/>
          <w:color w:val="auto"/>
          <w:sz w:val="24"/>
          <w:szCs w:val="24"/>
          <w:lang w:val="en-GB" w:eastAsia="en-US"/>
        </w:rPr>
        <w:t>,</w:t>
      </w:r>
      <w:r w:rsidRPr="00363AAD">
        <w:rPr>
          <w:rFonts w:ascii="Arial" w:hAnsi="Arial" w:cs="Arial"/>
          <w:color w:val="auto"/>
          <w:sz w:val="24"/>
          <w:szCs w:val="24"/>
          <w:lang w:val="en-GB" w:eastAsia="en-US"/>
        </w:rPr>
        <w:t xml:space="preserve"> </w:t>
      </w:r>
      <w:r w:rsidR="003D5AD9" w:rsidRPr="00363AAD">
        <w:rPr>
          <w:rFonts w:ascii="Arial" w:hAnsi="Arial" w:cs="Arial"/>
          <w:color w:val="auto"/>
          <w:sz w:val="24"/>
          <w:szCs w:val="24"/>
          <w:lang w:val="en-GB" w:eastAsia="en-US"/>
        </w:rPr>
        <w:t xml:space="preserve">country </w:t>
      </w:r>
      <w:r w:rsidRPr="00363AAD">
        <w:rPr>
          <w:rFonts w:ascii="Arial" w:hAnsi="Arial" w:cs="Arial"/>
          <w:color w:val="auto"/>
          <w:sz w:val="24"/>
          <w:szCs w:val="24"/>
          <w:lang w:val="en-GB" w:eastAsia="en-US"/>
        </w:rPr>
        <w:t xml:space="preserve">shares </w:t>
      </w:r>
      <w:r w:rsidR="003D5AD9" w:rsidRPr="00363AAD">
        <w:rPr>
          <w:rFonts w:ascii="Arial" w:hAnsi="Arial" w:cs="Arial"/>
          <w:color w:val="auto"/>
          <w:sz w:val="24"/>
          <w:szCs w:val="24"/>
          <w:lang w:val="en-GB" w:eastAsia="en-US"/>
        </w:rPr>
        <w:t xml:space="preserve">are enforced </w:t>
      </w:r>
      <w:r w:rsidRPr="00363AAD">
        <w:rPr>
          <w:rFonts w:ascii="Arial" w:hAnsi="Arial" w:cs="Arial"/>
          <w:color w:val="auto"/>
          <w:sz w:val="24"/>
          <w:szCs w:val="24"/>
          <w:lang w:val="en-GB" w:eastAsia="en-US"/>
        </w:rPr>
        <w:t>on</w:t>
      </w:r>
      <w:r w:rsidR="00BA265B" w:rsidRPr="00363AAD">
        <w:rPr>
          <w:rFonts w:ascii="Arial" w:hAnsi="Arial" w:cs="Arial"/>
          <w:color w:val="auto"/>
          <w:sz w:val="24"/>
          <w:szCs w:val="24"/>
          <w:lang w:val="en-GB" w:eastAsia="en-US"/>
        </w:rPr>
        <w:t xml:space="preserve"> </w:t>
      </w:r>
      <w:r w:rsidR="003B1DE5" w:rsidRPr="00363AAD">
        <w:rPr>
          <w:rFonts w:ascii="Arial" w:hAnsi="Arial" w:cs="Arial"/>
          <w:color w:val="auto"/>
          <w:sz w:val="24"/>
          <w:szCs w:val="24"/>
          <w:lang w:val="en-GB" w:eastAsia="en-US"/>
        </w:rPr>
        <w:t xml:space="preserve">a </w:t>
      </w:r>
      <w:r w:rsidRPr="00363AAD">
        <w:rPr>
          <w:rFonts w:ascii="Arial" w:hAnsi="Arial" w:cs="Arial"/>
          <w:color w:val="auto"/>
          <w:sz w:val="24"/>
          <w:szCs w:val="24"/>
          <w:lang w:val="en-GB" w:eastAsia="en-US"/>
        </w:rPr>
        <w:t xml:space="preserve">per-capita </w:t>
      </w:r>
      <w:r w:rsidR="00CC40F4" w:rsidRPr="00363AAD">
        <w:rPr>
          <w:rFonts w:ascii="Arial" w:hAnsi="Arial" w:cs="Arial"/>
          <w:color w:val="auto"/>
          <w:sz w:val="24"/>
          <w:szCs w:val="24"/>
          <w:lang w:val="en-GB" w:eastAsia="en-US"/>
        </w:rPr>
        <w:t>(</w:t>
      </w:r>
      <w:r w:rsidRPr="00363AAD">
        <w:rPr>
          <w:rFonts w:ascii="Arial" w:hAnsi="Arial" w:cs="Arial"/>
          <w:color w:val="auto"/>
          <w:sz w:val="24"/>
          <w:szCs w:val="24"/>
          <w:lang w:val="en-GB" w:eastAsia="en-US"/>
        </w:rPr>
        <w:t>rather than absolute</w:t>
      </w:r>
      <w:r w:rsidR="00CC40F4" w:rsidRPr="00363AAD">
        <w:rPr>
          <w:rFonts w:ascii="Arial" w:hAnsi="Arial" w:cs="Arial"/>
          <w:color w:val="auto"/>
          <w:sz w:val="24"/>
          <w:szCs w:val="24"/>
          <w:lang w:val="en-GB" w:eastAsia="en-US"/>
        </w:rPr>
        <w:t xml:space="preserve">) </w:t>
      </w:r>
      <w:r w:rsidR="003D5AD9" w:rsidRPr="00363AAD">
        <w:rPr>
          <w:rFonts w:ascii="Arial" w:hAnsi="Arial" w:cs="Arial"/>
          <w:color w:val="auto"/>
          <w:sz w:val="24"/>
          <w:szCs w:val="24"/>
          <w:lang w:val="en-GB" w:eastAsia="en-US"/>
        </w:rPr>
        <w:t>CDR</w:t>
      </w:r>
      <w:r w:rsidR="003B1DE5" w:rsidRPr="00363AAD">
        <w:rPr>
          <w:rFonts w:ascii="Arial" w:hAnsi="Arial" w:cs="Arial"/>
          <w:color w:val="auto"/>
          <w:sz w:val="24"/>
          <w:szCs w:val="24"/>
          <w:lang w:val="en-GB" w:eastAsia="en-US"/>
        </w:rPr>
        <w:t xml:space="preserve"> basis</w:t>
      </w:r>
      <w:r w:rsidR="00BA265B" w:rsidRPr="00363AAD">
        <w:rPr>
          <w:rFonts w:ascii="Arial" w:hAnsi="Arial" w:cs="Arial"/>
          <w:color w:val="auto"/>
          <w:sz w:val="24"/>
          <w:szCs w:val="24"/>
          <w:lang w:val="en-GB" w:eastAsia="en-US"/>
        </w:rPr>
        <w:t>.</w:t>
      </w:r>
      <w:r w:rsidR="00271DBE" w:rsidRPr="00363AAD">
        <w:rPr>
          <w:rFonts w:ascii="Arial" w:hAnsi="Arial" w:cs="Arial"/>
          <w:color w:val="auto"/>
          <w:sz w:val="24"/>
          <w:szCs w:val="24"/>
          <w:lang w:val="en-GB" w:eastAsia="en-US"/>
        </w:rPr>
        <w:t xml:space="preserve"> </w:t>
      </w:r>
      <w:r w:rsidR="003D5AD9" w:rsidRPr="00363AAD">
        <w:rPr>
          <w:rFonts w:ascii="Arial" w:hAnsi="Arial" w:cs="Arial"/>
          <w:color w:val="auto"/>
          <w:sz w:val="24"/>
          <w:szCs w:val="24"/>
          <w:lang w:val="en-GB" w:eastAsia="en-US"/>
        </w:rPr>
        <w:t>The same data sources and assumptions as described in the main manuscript are employed here</w:t>
      </w:r>
      <w:r w:rsidR="003B1DE5" w:rsidRPr="00363AAD">
        <w:rPr>
          <w:rFonts w:ascii="Arial" w:hAnsi="Arial" w:cs="Arial"/>
          <w:color w:val="auto"/>
          <w:sz w:val="24"/>
          <w:szCs w:val="24"/>
          <w:lang w:val="en-GB" w:eastAsia="en-US"/>
        </w:rPr>
        <w:t xml:space="preserve">. More precisely, </w:t>
      </w:r>
      <w:r w:rsidR="003D5AD9" w:rsidRPr="00363AAD">
        <w:rPr>
          <w:rFonts w:ascii="Arial" w:hAnsi="Arial" w:cs="Arial"/>
          <w:color w:val="auto"/>
          <w:sz w:val="24"/>
          <w:szCs w:val="24"/>
          <w:lang w:val="en-GB" w:eastAsia="en-US"/>
        </w:rPr>
        <w:t xml:space="preserve">integrals are solved numerically </w:t>
      </w:r>
      <w:r w:rsidR="003D5AD9" w:rsidRPr="00363AAD">
        <w:rPr>
          <w:rFonts w:ascii="Arial" w:hAnsi="Arial" w:cs="Arial"/>
          <w:i/>
          <w:color w:val="auto"/>
          <w:sz w:val="24"/>
          <w:szCs w:val="24"/>
          <w:lang w:val="en-GB" w:eastAsia="en-US"/>
        </w:rPr>
        <w:t>via</w:t>
      </w:r>
      <w:r w:rsidR="003D5AD9" w:rsidRPr="00363AAD">
        <w:rPr>
          <w:rFonts w:ascii="Arial" w:hAnsi="Arial" w:cs="Arial"/>
          <w:color w:val="auto"/>
          <w:sz w:val="24"/>
          <w:szCs w:val="24"/>
          <w:lang w:val="en-GB" w:eastAsia="en-US"/>
        </w:rPr>
        <w:t xml:space="preserve"> the </w:t>
      </w:r>
      <w:r w:rsidR="00CC40F4" w:rsidRPr="00363AAD">
        <w:rPr>
          <w:rFonts w:ascii="Arial" w:hAnsi="Arial" w:cs="Arial"/>
          <w:color w:val="auto"/>
          <w:sz w:val="24"/>
          <w:szCs w:val="24"/>
          <w:lang w:val="en-GB" w:eastAsia="en-US"/>
        </w:rPr>
        <w:t xml:space="preserve">chained </w:t>
      </w:r>
      <w:r w:rsidR="003D5AD9" w:rsidRPr="00363AAD">
        <w:rPr>
          <w:rFonts w:ascii="Arial" w:hAnsi="Arial" w:cs="Arial"/>
          <w:color w:val="auto"/>
          <w:sz w:val="24"/>
          <w:szCs w:val="24"/>
          <w:lang w:val="en-GB" w:eastAsia="en-US"/>
        </w:rPr>
        <w:t>trapezoidal rule</w:t>
      </w:r>
      <w:r w:rsidR="009A2AE8" w:rsidRPr="00363AAD">
        <w:rPr>
          <w:rFonts w:ascii="Arial" w:hAnsi="Arial" w:cs="Arial"/>
          <w:color w:val="auto"/>
          <w:sz w:val="24"/>
          <w:szCs w:val="24"/>
          <w:lang w:val="en-GB" w:eastAsia="en-US"/>
        </w:rPr>
        <w:t xml:space="preserve">, where </w:t>
      </w:r>
      <w:r w:rsidR="003D5AD9" w:rsidRPr="00363AAD">
        <w:rPr>
          <w:rFonts w:ascii="Arial" w:hAnsi="Arial" w:cs="Arial"/>
          <w:color w:val="auto"/>
          <w:sz w:val="24"/>
          <w:szCs w:val="24"/>
          <w:lang w:val="en-GB" w:eastAsia="en-US"/>
        </w:rPr>
        <w:t>the population from the previous revision year is used at each integral step.</w:t>
      </w:r>
    </w:p>
    <w:p w14:paraId="2EF7E873" w14:textId="77777777" w:rsidR="00D62815" w:rsidRPr="00363AAD" w:rsidRDefault="00D62815" w:rsidP="00D62815">
      <w:pPr>
        <w:pStyle w:val="Heading2"/>
      </w:pPr>
      <w:r w:rsidRPr="00363AAD">
        <w:lastRenderedPageBreak/>
        <w:t>Multi-criteria cumulative CDR quotas</w:t>
      </w:r>
    </w:p>
    <w:p w14:paraId="779D46D6" w14:textId="3AB4DE14" w:rsidR="00D62815" w:rsidRPr="007D093C" w:rsidRDefault="00D62815" w:rsidP="00D62815">
      <w:r w:rsidRPr="00363AAD">
        <w:t>Multiple equity criteria can be combined to derive a single stand-alone country quota (</w:t>
      </w:r>
      <m:oMath>
        <m:sSubSup>
          <m:sSubSupPr>
            <m:ctrlPr>
              <w:rPr>
                <w:rFonts w:ascii="Cambria Math" w:hAnsi="Cambria Math"/>
                <w:i/>
              </w:rPr>
            </m:ctrlPr>
          </m:sSubSupPr>
          <m:e>
            <m:r>
              <w:rPr>
                <w:rFonts w:ascii="Cambria Math" w:hAnsi="Cambria Math"/>
              </w:rPr>
              <m:t>CCDR</m:t>
            </m:r>
          </m:e>
          <m:sub>
            <m:r>
              <w:rPr>
                <w:rFonts w:ascii="Cambria Math" w:hAnsi="Cambria Math"/>
              </w:rPr>
              <m:t>i</m:t>
            </m:r>
          </m:sub>
          <m:sup>
            <m:r>
              <w:rPr>
                <w:rFonts w:ascii="Cambria Math" w:hAnsi="Cambria Math"/>
              </w:rPr>
              <m:t>MC</m:t>
            </m:r>
          </m:sup>
        </m:sSubSup>
      </m:oMath>
      <w:r w:rsidRPr="007D093C">
        <w:t>)</w:t>
      </w:r>
      <w:r w:rsidRPr="007D093C">
        <w:fldChar w:fldCharType="begin" w:fldLock="1"/>
      </w:r>
      <w:r w:rsidR="000E1B1C" w:rsidRPr="00363AAD">
        <w:instrText>ADDIN CSL_CITATION {"citationItems":[{"id":"ITEM-1","itemData":{"author":[{"dropping-particle":"","family":"Baer","given":"Paul","non-dropping-particle":"","parse-names":false,"suffix":""},{"dropping-particle":"","family":"Athanasiou","given":"Tom","non-dropping-particle":"","parse-names":false,"suffix":""},{"dropping-particle":"","family":"Kartha","given":"Sivan","non-dropping-particle":"","parse-names":false,"suffix":""}],"container-title":"The right to development in a climate constrained world: the Greenhouse Development Rights framework.","id":"ITEM-1","issued":{"date-parts":[["2007"]]},"publisher":"Christian Aid","title":"The right to development in a climate constrained world: the Greenhouse Development Rights framework.","type":"article-journal"},"uris":["http://www.mendeley.com/documents/?uuid=883592d0-588a-4eca-8a44-a22d91dc155d","http://www.mendeley.com/documents/?uuid=3cef28b0-65cd-4027-b94b-e85caf672c9a","http://www.mendeley.com/documents/?uuid=faf6e0ad-676d-45e4-ba8e-71848a3b44a4"]},{"id":"ITEM-2","itemData":{"author":[{"dropping-particle":"","family":"Baer","given":"Paul","non-dropping-particle":"","parse-names":false,"suffix":""},{"dropping-particle":"","family":"Athanasiou","given":"Tom","non-dropping-particle":"","parse-names":false,"suffix":""},{"dropping-particle":"","family":"Kartha","given":"Sivan","non-dropping-particle":"","parse-names":false,"suffix":""},{"dropping-particle":"","family":"Kemp-Benedict","given":"Eric","non-dropping-particle":"","parse-names":false,"suffix":""}],"container-title":"Environmental Rights","id":"ITEM-2","issued":{"date-parts":[["2017"]]},"page":"75-89","publisher":"Routledge","title":"Greenhouse development rights: A proposal for a fair global climate treaty","type":"chapter"},"uris":["http://www.mendeley.com/documents/?uuid=54443449-c468-4313-8515-5096678549b1","http://www.mendeley.com/documents/?uuid=d6c6cca4-3f50-4696-9181-b03c7f1bfd0a","http://www.mendeley.com/documents/?uuid=eabadba5-7a79-4fae-a499-558e98ac4f5b"]},{"id":"ITEM-3","itemData":{"author":[{"dropping-particle":"","family":"Höhne","given":"Niklas","non-dropping-particle":"","parse-names":false,"suffix":""},{"dropping-particle":"","family":"Moltmann","given":"Sara","non-dropping-particle":"","parse-names":false,"suffix":""}],"container-title":"Berlin: Heinrich-Böll-Stiftung","id":"ITEM-3","issued":{"date-parts":[["2008"]]},"title":"Distribution of emission allowances under the Greenhouse Development Rights and other effort sharing approaches","type":"article-journal"},"uris":["http://www.mendeley.com/documents/?uuid=9cd52190-6bcc-453e-b332-072772954097","http://www.mendeley.com/documents/?uuid=162115fa-5820-41ac-87f3-4159181715f6","http://www.mendeley.com/documents/?uuid=e8be5ea0-a687-420d-9b26-aa92e74f0530"]},{"id":"ITEM-4","itemData":{"ISSN":"0301-4215","author":[{"dropping-particle":"","family":"Ringius","given":"Lasse","non-dropping-particle":"","parse-names":false,"suffix":""},{"dropping-particle":"","family":"Torvanger","given":"Asbjørn","non-dropping-particle":"","parse-names":false,"suffix":""},{"dropping-particle":"","family":"Holtsmark","given":"Bjart","non-dropping-particle":"","parse-names":false,"suffix":""}],"container-title":"Energy Policy","id":"ITEM-4","issue":"10","issued":{"date-parts":[["1998"]]},"page":"777-793","publisher":"Elsevier","title":"Can multi-criteria rules fairly distribute climate burdens?: OECD results from three burden sharing rules","type":"article-journal","volume":"26"},"uris":["http://www.mendeley.com/documents/?uuid=c349d635-d919-49e2-ae14-4c76d11947eb","http://www.mendeley.com/documents/?uuid=736a9e2b-4a04-4876-826d-f32dad95ee40","http://www.mendeley.com/documents/?uuid=3ac53c07-6c25-42fd-ab82-f53bdb29cf48"]}],"mendeley":{"formattedCitation":"&lt;sup&gt;2,6–8&lt;/sup&gt;","plainTextFormattedCitation":"2,6–8","previouslyFormattedCitation":"&lt;sup&gt;2,6–8&lt;/sup&gt;"},"properties":{"noteIndex":0},"schema":"https://github.com/citation-style-language/schema/raw/master/csl-citation.json"}</w:instrText>
      </w:r>
      <w:r w:rsidRPr="007D093C">
        <w:fldChar w:fldCharType="separate"/>
      </w:r>
      <w:r w:rsidR="000E1B1C" w:rsidRPr="007D093C">
        <w:rPr>
          <w:noProof/>
          <w:vertAlign w:val="superscript"/>
        </w:rPr>
        <w:t>2,6–8</w:t>
      </w:r>
      <w:r w:rsidRPr="007D093C">
        <w:fldChar w:fldCharType="end"/>
      </w:r>
      <w:r w:rsidRPr="007D093C">
        <w:t>. Without loss of generality, we propose to determine such quota by assigning weights (</w:t>
      </w:r>
      <m:oMath>
        <m:sSub>
          <m:sSubPr>
            <m:ctrlPr>
              <w:rPr>
                <w:rFonts w:ascii="Cambria Math" w:hAnsi="Cambria Math"/>
                <w:i/>
              </w:rPr>
            </m:ctrlPr>
          </m:sSubPr>
          <m:e>
            <m:r>
              <w:rPr>
                <w:rFonts w:ascii="Cambria Math" w:hAnsi="Cambria Math"/>
              </w:rPr>
              <m:t>w</m:t>
            </m:r>
          </m:e>
          <m:sub>
            <m:r>
              <w:rPr>
                <w:rFonts w:ascii="Cambria Math" w:hAnsi="Cambria Math"/>
              </w:rPr>
              <m:t>p</m:t>
            </m:r>
          </m:sub>
        </m:sSub>
      </m:oMath>
      <w:r w:rsidRPr="007D093C">
        <w:rPr>
          <w:rFonts w:eastAsiaTheme="minorEastAsia"/>
        </w:rPr>
        <w:t>)</w:t>
      </w:r>
      <w:r w:rsidRPr="007D093C">
        <w:t xml:space="preserve"> to each of the three equity principles considered: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5"/>
        <w:gridCol w:w="761"/>
      </w:tblGrid>
      <w:tr w:rsidR="00D62815" w:rsidRPr="00363AAD" w14:paraId="440401C9" w14:textId="77777777" w:rsidTr="007B5D02">
        <w:tc>
          <w:tcPr>
            <w:tcW w:w="8472" w:type="dxa"/>
          </w:tcPr>
          <w:p w14:paraId="67B36F62" w14:textId="77777777" w:rsidR="00D62815" w:rsidRPr="007D093C" w:rsidRDefault="00270D1A" w:rsidP="007B5D02">
            <w:pPr>
              <w:rPr>
                <w:rFonts w:eastAsiaTheme="minorEastAsia"/>
              </w:rPr>
            </w:pPr>
            <m:oMathPara>
              <m:oMath>
                <m:sSubSup>
                  <m:sSubSupPr>
                    <m:ctrlPr>
                      <w:rPr>
                        <w:rFonts w:ascii="Cambria Math" w:hAnsi="Cambria Math"/>
                        <w:i/>
                      </w:rPr>
                    </m:ctrlPr>
                  </m:sSubSupPr>
                  <m:e>
                    <m:r>
                      <w:rPr>
                        <w:rFonts w:ascii="Cambria Math" w:hAnsi="Cambria Math"/>
                      </w:rPr>
                      <m:t>CCDR</m:t>
                    </m:r>
                  </m:e>
                  <m:sub>
                    <m:r>
                      <w:rPr>
                        <w:rFonts w:ascii="Cambria Math" w:hAnsi="Cambria Math"/>
                      </w:rPr>
                      <m:t>i</m:t>
                    </m:r>
                  </m:sub>
                  <m:sup>
                    <m:r>
                      <w:rPr>
                        <w:rFonts w:ascii="Cambria Math" w:hAnsi="Cambria Math"/>
                      </w:rPr>
                      <m:t>MC</m:t>
                    </m:r>
                  </m:sup>
                </m:sSubSup>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p</m:t>
                    </m:r>
                  </m:sub>
                  <m:sup/>
                  <m:e>
                    <m:sSub>
                      <m:sSubPr>
                        <m:ctrlPr>
                          <w:rPr>
                            <w:rFonts w:ascii="Cambria Math" w:hAnsi="Cambria Math"/>
                            <w:i/>
                          </w:rPr>
                        </m:ctrlPr>
                      </m:sSubPr>
                      <m:e>
                        <m:r>
                          <w:rPr>
                            <w:rFonts w:ascii="Cambria Math" w:hAnsi="Cambria Math"/>
                          </w:rPr>
                          <m:t>w</m:t>
                        </m:r>
                      </m:e>
                      <m:sub>
                        <m:r>
                          <w:rPr>
                            <w:rFonts w:ascii="Cambria Math" w:hAnsi="Cambria Math"/>
                          </w:rPr>
                          <m:t>p</m:t>
                        </m:r>
                      </m:sub>
                    </m:sSub>
                    <m:sSubSup>
                      <m:sSubSupPr>
                        <m:ctrlPr>
                          <w:rPr>
                            <w:rFonts w:ascii="Cambria Math" w:hAnsi="Cambria Math"/>
                          </w:rPr>
                        </m:ctrlPr>
                      </m:sSubSupPr>
                      <m:e>
                        <m:r>
                          <w:rPr>
                            <w:rFonts w:ascii="Cambria Math" w:hAnsi="Cambria Math"/>
                          </w:rPr>
                          <m:t>CCDR</m:t>
                        </m:r>
                      </m:e>
                      <m:sub>
                        <m:r>
                          <w:rPr>
                            <w:rFonts w:ascii="Cambria Math" w:hAnsi="Cambria Math"/>
                          </w:rPr>
                          <m:t>i</m:t>
                        </m:r>
                        <m:r>
                          <m:rPr>
                            <m:sty m:val="p"/>
                          </m:rPr>
                          <w:rPr>
                            <w:rFonts w:ascii="Cambria Math" w:hAnsi="Cambria Math"/>
                          </w:rPr>
                          <m:t>,</m:t>
                        </m:r>
                        <m:r>
                          <w:rPr>
                            <w:rFonts w:ascii="Cambria Math" w:hAnsi="Cambria Math"/>
                          </w:rPr>
                          <m:t>p</m:t>
                        </m:r>
                      </m:sub>
                      <m:sup>
                        <m:r>
                          <w:rPr>
                            <w:rFonts w:ascii="Cambria Math" w:hAnsi="Cambria Math"/>
                          </w:rPr>
                          <m:t>IND</m:t>
                        </m:r>
                      </m:sup>
                    </m:sSubSup>
                  </m:e>
                </m:nary>
                <m:r>
                  <m:rPr>
                    <m:sty m:val="p"/>
                  </m:rPr>
                  <w:rPr>
                    <w:rFonts w:ascii="Cambria Math" w:hAnsi="Cambria Math"/>
                  </w:rPr>
                  <m:t xml:space="preserve">     ∀</m:t>
                </m:r>
                <m:r>
                  <w:rPr>
                    <w:rFonts w:ascii="Cambria Math" w:hAnsi="Cambria Math"/>
                  </w:rPr>
                  <m:t>i</m:t>
                </m:r>
              </m:oMath>
            </m:oMathPara>
          </w:p>
        </w:tc>
        <w:tc>
          <w:tcPr>
            <w:tcW w:w="770" w:type="dxa"/>
          </w:tcPr>
          <w:p w14:paraId="69C4F551" w14:textId="17CFE4E0" w:rsidR="00D62815" w:rsidRPr="00363AAD" w:rsidRDefault="00D62815" w:rsidP="007B5D02">
            <w:r w:rsidRPr="00363AAD">
              <w:t>(4)</w:t>
            </w:r>
          </w:p>
        </w:tc>
      </w:tr>
    </w:tbl>
    <w:p w14:paraId="68C5624B" w14:textId="4A710264" w:rsidR="00D62815" w:rsidRPr="00363AAD" w:rsidRDefault="00D62815" w:rsidP="00D62815">
      <w:r w:rsidRPr="00363AAD">
        <w:rPr>
          <w:rFonts w:eastAsiaTheme="minorEastAsia"/>
        </w:rPr>
        <w:t xml:space="preserve">The final CDR shares </w:t>
      </w:r>
      <w:r w:rsidR="000876DE" w:rsidRPr="00363AAD">
        <w:rPr>
          <w:rFonts w:eastAsiaTheme="minorEastAsia"/>
        </w:rPr>
        <w:t>allocated</w:t>
      </w:r>
      <w:r w:rsidRPr="00363AAD">
        <w:rPr>
          <w:rFonts w:eastAsiaTheme="minorEastAsia"/>
        </w:rPr>
        <w:t xml:space="preserve"> to each country will ultimately depend on the weight values, which should be agreed by the different parties. </w:t>
      </w:r>
      <w:r w:rsidRPr="00363AAD">
        <w:t xml:space="preserve">As an illustrative case, we consider </w:t>
      </w:r>
      <w:r w:rsidR="000876DE" w:rsidRPr="00363AAD">
        <w:t>applying</w:t>
      </w:r>
      <w:r w:rsidRPr="00363AAD">
        <w:t xml:space="preserve"> a voting system to define the weights, whereby each country will vote for one principle (equation 5)</w:t>
      </w:r>
      <w:r w:rsidR="000876DE" w:rsidRPr="00363AAD">
        <w:t>,</w:t>
      </w:r>
      <w:r w:rsidRPr="00363AAD">
        <w:t xml:space="preserve"> and weights will be given by the share of votes received by each principle (equation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5"/>
        <w:gridCol w:w="761"/>
      </w:tblGrid>
      <w:tr w:rsidR="00D62815" w:rsidRPr="00363AAD" w14:paraId="44EBCAA2" w14:textId="77777777" w:rsidTr="007B5D02">
        <w:tc>
          <w:tcPr>
            <w:tcW w:w="8472" w:type="dxa"/>
          </w:tcPr>
          <w:p w14:paraId="7758D51F" w14:textId="77777777" w:rsidR="00D62815" w:rsidRPr="007D093C" w:rsidRDefault="00270D1A" w:rsidP="007B5D02">
            <w:pPr>
              <w:rPr>
                <w:rFonts w:eastAsiaTheme="minorEastAsia"/>
              </w:rPr>
            </w:pPr>
            <m:oMathPara>
              <m:oMath>
                <m:nary>
                  <m:naryPr>
                    <m:chr m:val="∑"/>
                    <m:limLoc m:val="subSup"/>
                    <m:supHide m:val="1"/>
                    <m:ctrlPr>
                      <w:rPr>
                        <w:rFonts w:ascii="Cambria Math" w:hAnsi="Cambria Math"/>
                        <w:i/>
                      </w:rPr>
                    </m:ctrlPr>
                  </m:naryPr>
                  <m:sub>
                    <m:r>
                      <w:rPr>
                        <w:rFonts w:ascii="Cambria Math" w:hAnsi="Cambria Math"/>
                      </w:rPr>
                      <m:t>p</m:t>
                    </m:r>
                  </m:sub>
                  <m:sup/>
                  <m:e>
                    <m:sSub>
                      <m:sSubPr>
                        <m:ctrlPr>
                          <w:rPr>
                            <w:rFonts w:ascii="Cambria Math" w:hAnsi="Cambria Math"/>
                            <w:i/>
                          </w:rPr>
                        </m:ctrlPr>
                      </m:sSubPr>
                      <m:e>
                        <m:r>
                          <w:rPr>
                            <w:rFonts w:ascii="Cambria Math" w:hAnsi="Cambria Math"/>
                          </w:rPr>
                          <m:t>Vote</m:t>
                        </m:r>
                      </m:e>
                      <m:sub>
                        <m:r>
                          <w:rPr>
                            <w:rFonts w:ascii="Cambria Math" w:hAnsi="Cambria Math"/>
                          </w:rPr>
                          <m:t>i,p</m:t>
                        </m:r>
                      </m:sub>
                    </m:sSub>
                  </m:e>
                </m:nary>
                <m:r>
                  <m:rPr>
                    <m:sty m:val="p"/>
                  </m:rPr>
                  <w:rPr>
                    <w:rFonts w:ascii="Cambria Math" w:hAnsi="Cambria Math"/>
                  </w:rPr>
                  <m:t>=1     ∀</m:t>
                </m:r>
                <m:r>
                  <w:rPr>
                    <w:rFonts w:ascii="Cambria Math" w:hAnsi="Cambria Math"/>
                  </w:rPr>
                  <m:t>i</m:t>
                </m:r>
              </m:oMath>
            </m:oMathPara>
          </w:p>
        </w:tc>
        <w:tc>
          <w:tcPr>
            <w:tcW w:w="770" w:type="dxa"/>
          </w:tcPr>
          <w:p w14:paraId="25F50C76" w14:textId="3EEA54D0" w:rsidR="00D62815" w:rsidRPr="00363AAD" w:rsidRDefault="00D62815" w:rsidP="007B5D02">
            <w:r w:rsidRPr="00363AAD">
              <w:t>(5)</w:t>
            </w:r>
          </w:p>
        </w:tc>
      </w:tr>
      <w:tr w:rsidR="00D62815" w:rsidRPr="00363AAD" w14:paraId="7AE81492" w14:textId="77777777" w:rsidTr="007B5D02">
        <w:tc>
          <w:tcPr>
            <w:tcW w:w="8472" w:type="dxa"/>
          </w:tcPr>
          <w:p w14:paraId="24C9726F" w14:textId="77777777" w:rsidR="00D62815" w:rsidRPr="007D093C" w:rsidRDefault="00270D1A" w:rsidP="007B5D02">
            <w:pPr>
              <w:rPr>
                <w:rFonts w:eastAsia="Calibri"/>
              </w:rPr>
            </w:pPr>
            <m:oMathPara>
              <m:oMath>
                <m:sSub>
                  <m:sSubPr>
                    <m:ctrlPr>
                      <w:rPr>
                        <w:rFonts w:ascii="Cambria Math" w:hAnsi="Cambria Math"/>
                        <w:i/>
                      </w:rPr>
                    </m:ctrlPr>
                  </m:sSubPr>
                  <m:e>
                    <m:r>
                      <w:rPr>
                        <w:rFonts w:ascii="Cambria Math" w:hAnsi="Cambria Math"/>
                      </w:rPr>
                      <m:t>w</m:t>
                    </m:r>
                  </m:e>
                  <m:sub>
                    <m:r>
                      <w:rPr>
                        <w:rFonts w:ascii="Cambria Math" w:hAnsi="Cambria Math"/>
                      </w:rPr>
                      <m:t>p</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Vote</m:t>
                            </m:r>
                          </m:e>
                          <m:sub>
                            <m:r>
                              <w:rPr>
                                <w:rFonts w:ascii="Cambria Math" w:hAnsi="Cambria Math"/>
                              </w:rPr>
                              <m:t>i,p</m:t>
                            </m:r>
                          </m:sub>
                        </m:sSub>
                      </m:e>
                    </m:nary>
                  </m:num>
                  <m:den>
                    <m:nary>
                      <m:naryPr>
                        <m:chr m:val="∑"/>
                        <m:limLoc m:val="subSup"/>
                        <m:supHide m:val="1"/>
                        <m:ctrlPr>
                          <w:rPr>
                            <w:rFonts w:ascii="Cambria Math" w:hAnsi="Cambria Math"/>
                            <w:i/>
                          </w:rPr>
                        </m:ctrlPr>
                      </m:naryPr>
                      <m:sub>
                        <m:r>
                          <w:rPr>
                            <w:rFonts w:ascii="Cambria Math" w:hAnsi="Cambria Math"/>
                          </w:rPr>
                          <m:t>p'</m:t>
                        </m:r>
                      </m:sub>
                      <m:sup/>
                      <m:e>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Vote</m:t>
                                </m:r>
                              </m:e>
                              <m:sub>
                                <m:r>
                                  <w:rPr>
                                    <w:rFonts w:ascii="Cambria Math" w:hAnsi="Cambria Math"/>
                                  </w:rPr>
                                  <m:t>i,p'</m:t>
                                </m:r>
                              </m:sub>
                            </m:sSub>
                          </m:e>
                        </m:nary>
                      </m:e>
                    </m:nary>
                  </m:den>
                </m:f>
                <m:r>
                  <m:rPr>
                    <m:sty m:val="p"/>
                  </m:rPr>
                  <w:rPr>
                    <w:rFonts w:ascii="Cambria Math" w:hAnsi="Cambria Math"/>
                  </w:rPr>
                  <m:t xml:space="preserve">     ∀</m:t>
                </m:r>
                <m:r>
                  <w:rPr>
                    <w:rFonts w:ascii="Cambria Math" w:hAnsi="Cambria Math"/>
                  </w:rPr>
                  <m:t>p</m:t>
                </m:r>
              </m:oMath>
            </m:oMathPara>
          </w:p>
        </w:tc>
        <w:tc>
          <w:tcPr>
            <w:tcW w:w="770" w:type="dxa"/>
          </w:tcPr>
          <w:p w14:paraId="5F37CE09" w14:textId="153401F4" w:rsidR="00D62815" w:rsidRPr="00363AAD" w:rsidRDefault="00D62815" w:rsidP="007B5D02">
            <w:r w:rsidRPr="00363AAD">
              <w:t>(6)</w:t>
            </w:r>
          </w:p>
        </w:tc>
      </w:tr>
    </w:tbl>
    <w:p w14:paraId="346A150F" w14:textId="0709BF27" w:rsidR="00D62815" w:rsidRPr="00363AAD" w:rsidRDefault="00D62815" w:rsidP="00D62815">
      <w:r w:rsidRPr="00363AAD">
        <w:t xml:space="preserve">In these equations, </w:t>
      </w:r>
      <m:oMath>
        <m:sSub>
          <m:sSubPr>
            <m:ctrlPr>
              <w:rPr>
                <w:rFonts w:ascii="Cambria Math" w:hAnsi="Cambria Math"/>
                <w:i/>
              </w:rPr>
            </m:ctrlPr>
          </m:sSubPr>
          <m:e>
            <m:r>
              <w:rPr>
                <w:rFonts w:ascii="Cambria Math" w:hAnsi="Cambria Math"/>
              </w:rPr>
              <m:t>Vote</m:t>
            </m:r>
          </m:e>
          <m:sub>
            <m:r>
              <w:rPr>
                <w:rFonts w:ascii="Cambria Math" w:hAnsi="Cambria Math"/>
              </w:rPr>
              <m:t>i,p</m:t>
            </m:r>
          </m:sub>
        </m:sSub>
      </m:oMath>
      <w:r w:rsidRPr="007D093C">
        <w:rPr>
          <w:rFonts w:eastAsiaTheme="minorEastAsia"/>
        </w:rPr>
        <w:t xml:space="preserve"> denotes the vote of country </w:t>
      </w:r>
      <w:r w:rsidRPr="007D093C">
        <w:rPr>
          <w:rFonts w:eastAsiaTheme="minorEastAsia"/>
          <w:i/>
        </w:rPr>
        <w:t>i</w:t>
      </w:r>
      <w:r w:rsidRPr="007D093C">
        <w:rPr>
          <w:rFonts w:eastAsiaTheme="minorEastAsia"/>
        </w:rPr>
        <w:t xml:space="preserve"> to principle </w:t>
      </w:r>
      <w:r w:rsidRPr="00363AAD">
        <w:rPr>
          <w:rFonts w:eastAsiaTheme="minorEastAsia"/>
          <w:i/>
        </w:rPr>
        <w:t>p</w:t>
      </w:r>
      <w:r w:rsidRPr="00363AAD">
        <w:rPr>
          <w:rFonts w:eastAsiaTheme="minorEastAsia"/>
        </w:rPr>
        <w:t>.</w:t>
      </w:r>
      <w:r w:rsidRPr="00363AAD">
        <w:t xml:space="preserve"> To assess the potential outcome of this voting system (as given in Supplementary Fig. 1), we further assume that each country would vote for the principle entailing the least CDR efforts for that specific country; in mathematical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1"/>
        <w:gridCol w:w="755"/>
      </w:tblGrid>
      <w:tr w:rsidR="00D62815" w:rsidRPr="00363AAD" w14:paraId="095523E8" w14:textId="77777777" w:rsidTr="007B5D02">
        <w:tc>
          <w:tcPr>
            <w:tcW w:w="8472" w:type="dxa"/>
          </w:tcPr>
          <w:p w14:paraId="64B6A934" w14:textId="3D8E7010" w:rsidR="00D62815" w:rsidRPr="00363AAD" w:rsidRDefault="00270D1A" w:rsidP="00216956">
            <w:pPr>
              <w:rPr>
                <w:rFonts w:eastAsiaTheme="minorEastAsia"/>
              </w:rPr>
            </w:pPr>
            <m:oMathPara>
              <m:oMath>
                <m:sSub>
                  <m:sSubPr>
                    <m:ctrlPr>
                      <w:rPr>
                        <w:rFonts w:ascii="Cambria Math" w:hAnsi="Cambria Math"/>
                        <w:i/>
                      </w:rPr>
                    </m:ctrlPr>
                  </m:sSubPr>
                  <m:e>
                    <m:r>
                      <w:rPr>
                        <w:rFonts w:ascii="Cambria Math" w:hAnsi="Cambria Math"/>
                      </w:rPr>
                      <m:t>Vote</m:t>
                    </m:r>
                  </m:e>
                  <m:sub>
                    <m:r>
                      <w:rPr>
                        <w:rFonts w:ascii="Cambria Math" w:hAnsi="Cambria Math"/>
                      </w:rPr>
                      <m:t>i,p</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eastAsiaTheme="minorEastAsia" w:hAnsi="Cambria Math"/>
                            </w:rPr>
                            <m:t xml:space="preserve">if </m:t>
                          </m:r>
                          <m:sSubSup>
                            <m:sSubSupPr>
                              <m:ctrlPr>
                                <w:rPr>
                                  <w:rFonts w:ascii="Cambria Math" w:hAnsi="Cambria Math"/>
                                  <w:i/>
                                </w:rPr>
                              </m:ctrlPr>
                            </m:sSubSupPr>
                            <m:e>
                              <m:r>
                                <w:rPr>
                                  <w:rFonts w:ascii="Cambria Math" w:hAnsi="Cambria Math"/>
                                </w:rPr>
                                <m:t>CCDR</m:t>
                              </m:r>
                            </m:e>
                            <m:sub>
                              <m:r>
                                <w:rPr>
                                  <w:rFonts w:ascii="Cambria Math" w:hAnsi="Cambria Math"/>
                                </w:rPr>
                                <m:t>i,p</m:t>
                              </m:r>
                            </m:sub>
                            <m:sup>
                              <m:r>
                                <w:rPr>
                                  <w:rFonts w:ascii="Cambria Math" w:hAnsi="Cambria Math"/>
                                </w:rPr>
                                <m:t>IND</m:t>
                              </m:r>
                            </m:sup>
                          </m:sSubSup>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w:rPr>
                                      <w:rFonts w:ascii="Cambria Math" w:eastAsiaTheme="minorEastAsia" w:hAnsi="Cambria Math"/>
                                    </w:rPr>
                                    <m:t>min</m:t>
                                  </m:r>
                                </m:e>
                                <m:sub>
                                  <m:r>
                                    <w:rPr>
                                      <w:rFonts w:ascii="Cambria Math" w:eastAsiaTheme="minorEastAsia" w:hAnsi="Cambria Math"/>
                                    </w:rPr>
                                    <m:t>p'</m:t>
                                  </m:r>
                                </m:sub>
                              </m:sSub>
                            </m:fName>
                            <m:e>
                              <m:d>
                                <m:dPr>
                                  <m:begChr m:val="{"/>
                                  <m:endChr m:val="}"/>
                                  <m:ctrlPr>
                                    <w:rPr>
                                      <w:rFonts w:ascii="Cambria Math" w:eastAsiaTheme="minorEastAsia" w:hAnsi="Cambria Math"/>
                                      <w:i/>
                                    </w:rPr>
                                  </m:ctrlPr>
                                </m:dPr>
                                <m:e>
                                  <m:sSubSup>
                                    <m:sSubSupPr>
                                      <m:ctrlPr>
                                        <w:rPr>
                                          <w:rFonts w:ascii="Cambria Math" w:hAnsi="Cambria Math"/>
                                          <w:i/>
                                        </w:rPr>
                                      </m:ctrlPr>
                                    </m:sSubSupPr>
                                    <m:e>
                                      <m:r>
                                        <w:rPr>
                                          <w:rFonts w:ascii="Cambria Math" w:hAnsi="Cambria Math"/>
                                        </w:rPr>
                                        <m:t>CCDR</m:t>
                                      </m:r>
                                    </m:e>
                                    <m:sub>
                                      <m:r>
                                        <w:rPr>
                                          <w:rFonts w:ascii="Cambria Math" w:hAnsi="Cambria Math"/>
                                        </w:rPr>
                                        <m:t>i,p'</m:t>
                                      </m:r>
                                    </m:sub>
                                    <m:sup>
                                      <m:r>
                                        <w:rPr>
                                          <w:rFonts w:ascii="Cambria Math" w:hAnsi="Cambria Math"/>
                                        </w:rPr>
                                        <m:t>IND</m:t>
                                      </m:r>
                                    </m:sup>
                                  </m:sSubSup>
                                </m:e>
                              </m:d>
                            </m:e>
                          </m:func>
                        </m:e>
                      </m:mr>
                      <m:mr>
                        <m:e>
                          <m:r>
                            <w:rPr>
                              <w:rFonts w:ascii="Cambria Math" w:hAnsi="Cambria Math"/>
                            </w:rPr>
                            <m:t>0</m:t>
                          </m:r>
                        </m:e>
                        <m:e>
                          <m:r>
                            <w:rPr>
                              <w:rFonts w:ascii="Cambria Math" w:hAnsi="Cambria Math"/>
                            </w:rPr>
                            <m:t>otherwise</m:t>
                          </m:r>
                        </m:e>
                      </m:mr>
                    </m:m>
                  </m:e>
                </m:d>
                <m:r>
                  <m:rPr>
                    <m:sty m:val="p"/>
                  </m:rPr>
                  <w:rPr>
                    <w:rFonts w:ascii="Cambria Math" w:hAnsi="Cambria Math"/>
                  </w:rPr>
                  <m:t xml:space="preserve">     ∀</m:t>
                </m:r>
                <m:r>
                  <w:rPr>
                    <w:rFonts w:ascii="Cambria Math" w:hAnsi="Cambria Math"/>
                  </w:rPr>
                  <m:t>i,p</m:t>
                </m:r>
              </m:oMath>
            </m:oMathPara>
          </w:p>
        </w:tc>
        <w:tc>
          <w:tcPr>
            <w:tcW w:w="770" w:type="dxa"/>
          </w:tcPr>
          <w:p w14:paraId="4E86180A" w14:textId="18CB691A" w:rsidR="00D62815" w:rsidRPr="00363AAD" w:rsidRDefault="00D62815" w:rsidP="007B5D02">
            <w:r w:rsidRPr="00363AAD">
              <w:t>(7)</w:t>
            </w:r>
          </w:p>
        </w:tc>
      </w:tr>
    </w:tbl>
    <w:p w14:paraId="224F40D1" w14:textId="15D64709" w:rsidR="00D62815" w:rsidRPr="00363AAD" w:rsidRDefault="00D62815" w:rsidP="00D62815">
      <w:r w:rsidRPr="00363AAD">
        <w:lastRenderedPageBreak/>
        <w:t xml:space="preserve">Having established CDR quotas according to the different principles, including a </w:t>
      </w:r>
      <w:r w:rsidRPr="00363AAD">
        <w:rPr>
          <w:i/>
        </w:rPr>
        <w:t>Multi-criteria</w:t>
      </w:r>
      <w:r w:rsidRPr="00363AAD">
        <w:t xml:space="preserve"> approach, the next </w:t>
      </w:r>
      <w:r w:rsidR="00216956" w:rsidRPr="00363AAD">
        <w:t>step is to analyse</w:t>
      </w:r>
      <w:r w:rsidRPr="00363AAD">
        <w:t xml:space="preserve"> whether countries would be able to meet their quotas by implementing domestic actions alone. </w:t>
      </w:r>
    </w:p>
    <w:p w14:paraId="4A63F9AD" w14:textId="6572921A" w:rsidR="00A31909" w:rsidRPr="00363AAD" w:rsidRDefault="00C27C90" w:rsidP="00195EC3">
      <w:pPr>
        <w:pStyle w:val="Heading1"/>
      </w:pPr>
      <w:r w:rsidRPr="00363AAD">
        <w:t>Supplementary results</w:t>
      </w:r>
    </w:p>
    <w:p w14:paraId="1A3CA50D" w14:textId="6446DA80" w:rsidR="000A788F" w:rsidRPr="00363AAD" w:rsidRDefault="000A788F" w:rsidP="000A788F">
      <w:pPr>
        <w:pStyle w:val="Heading2"/>
        <w:jc w:val="both"/>
      </w:pPr>
      <w:r w:rsidRPr="00363AAD">
        <w:t>CDR quotas according</w:t>
      </w:r>
      <w:r w:rsidR="00627C4D" w:rsidRPr="00363AAD">
        <w:t xml:space="preserve"> to</w:t>
      </w:r>
      <w:r w:rsidRPr="00363AAD">
        <w:t xml:space="preserve"> the Multi-criteria approach</w:t>
      </w:r>
    </w:p>
    <w:p w14:paraId="576E5C24" w14:textId="73DAC65B" w:rsidR="006503B3" w:rsidRPr="007D093C" w:rsidRDefault="0073054D" w:rsidP="00C23B4D">
      <w:pPr>
        <w:jc w:val="both"/>
      </w:pPr>
      <w:r w:rsidRPr="00363AAD">
        <w:t>In the main manuscript, we show</w:t>
      </w:r>
      <w:r w:rsidR="006503B3" w:rsidRPr="00363AAD">
        <w:t xml:space="preserve"> that the application of</w:t>
      </w:r>
      <w:r w:rsidRPr="00363AAD">
        <w:t xml:space="preserve"> three</w:t>
      </w:r>
      <w:r w:rsidR="006503B3" w:rsidRPr="00363AAD">
        <w:t xml:space="preserve"> effort-sharing approaches based on the three equity </w:t>
      </w:r>
      <w:r w:rsidRPr="00363AAD">
        <w:t>principles considered -</w:t>
      </w:r>
      <w:r w:rsidRPr="00363AAD">
        <w:rPr>
          <w:i/>
        </w:rPr>
        <w:t>Responsibility</w:t>
      </w:r>
      <w:r w:rsidRPr="00363AAD">
        <w:t xml:space="preserve">, </w:t>
      </w:r>
      <w:r w:rsidRPr="00363AAD">
        <w:rPr>
          <w:i/>
        </w:rPr>
        <w:t>Capability</w:t>
      </w:r>
      <w:r w:rsidRPr="00363AAD">
        <w:t xml:space="preserve"> and </w:t>
      </w:r>
      <w:r w:rsidRPr="00363AAD">
        <w:rPr>
          <w:i/>
        </w:rPr>
        <w:t>Equality</w:t>
      </w:r>
      <w:r w:rsidRPr="00363AAD">
        <w:t>- lead to different quotas assigned to each country with significant differences across countries and principles</w:t>
      </w:r>
      <w:r w:rsidR="006503B3" w:rsidRPr="00363AAD">
        <w:t xml:space="preserve">. Arguably, any burden-sharing approach should be unambiguous and provide a single meaningful quota. To </w:t>
      </w:r>
      <w:r w:rsidR="00216956" w:rsidRPr="00363AAD">
        <w:t>embrace all the equity principles simultaneously</w:t>
      </w:r>
      <w:r w:rsidR="006503B3" w:rsidRPr="00363AAD">
        <w:t xml:space="preserve">, </w:t>
      </w:r>
      <w:r w:rsidR="007D093C" w:rsidRPr="00363AAD">
        <w:t xml:space="preserve">these can be blended </w:t>
      </w:r>
      <w:r w:rsidR="006503B3" w:rsidRPr="00363AAD">
        <w:t>into a stand-alone country quota using weighting factors</w:t>
      </w:r>
      <w:r w:rsidR="006503B3" w:rsidRPr="007D093C">
        <w:fldChar w:fldCharType="begin" w:fldLock="1"/>
      </w:r>
      <w:r w:rsidR="000E1B1C" w:rsidRPr="00363AAD">
        <w:instrText>ADDIN CSL_CITATION {"citationItems":[{"id":"ITEM-1","itemData":{"author":[{"dropping-particle":"","family":"Baer","given":"Paul","non-dropping-particle":"","parse-names":false,"suffix":""},{"dropping-particle":"","family":"Athanasiou","given":"Tom","non-dropping-particle":"","parse-names":false,"suffix":""},{"dropping-particle":"","family":"Kartha","given":"Sivan","non-dropping-particle":"","parse-names":false,"suffix":""}],"container-title":"The right to development in a climate constrained world: the Greenhouse Development Rights framework.","id":"ITEM-1","issued":{"date-parts":[["2007"]]},"publisher":"Christian Aid","title":"The right to development in a climate constrained world: the Greenhouse Development Rights framework.","type":"article-journal"},"uris":["http://www.mendeley.com/documents/?uuid=883592d0-588a-4eca-8a44-a22d91dc155d","http://www.mendeley.com/documents/?uuid=3cef28b0-65cd-4027-b94b-e85caf672c9a","http://www.mendeley.com/documents/?uuid=faf6e0ad-676d-45e4-ba8e-71848a3b44a4"]},{"id":"ITEM-2","itemData":{"author":[{"dropping-particle":"","family":"Baer","given":"Paul","non-dropping-particle":"","parse-names":false,"suffix":""},{"dropping-particle":"","family":"Athanasiou","given":"Tom","non-dropping-particle":"","parse-names":false,"suffix":""},{"dropping-particle":"","family":"Kartha","given":"Sivan","non-dropping-particle":"","parse-names":false,"suffix":""},{"dropping-particle":"","family":"Kemp-Benedict","given":"Eric","non-dropping-particle":"","parse-names":false,"suffix":""}],"container-title":"Environmental Rights","id":"ITEM-2","issued":{"date-parts":[["2017"]]},"page":"75-89","publisher":"Routledge","title":"Greenhouse development rights: A proposal for a fair global climate treaty","type":"chapter"},"uris":["http://www.mendeley.com/documents/?uuid=54443449-c468-4313-8515-5096678549b1","http://www.mendeley.com/documents/?uuid=d6c6cca4-3f50-4696-9181-b03c7f1bfd0a","http://www.mendeley.com/documents/?uuid=eabadba5-7a79-4fae-a499-558e98ac4f5b"]},{"id":"ITEM-3","itemData":{"author":[{"dropping-particle":"","family":"Höhne","given":"Niklas","non-dropping-particle":"","parse-names":false,"suffix":""},{"dropping-particle":"","family":"Moltmann","given":"Sara","non-dropping-particle":"","parse-names":false,"suffix":""}],"container-title":"Berlin: Heinrich-Böll-Stiftung","id":"ITEM-3","issued":{"date-parts":[["2008"]]},"title":"Distribution of emission allowances under the Greenhouse Development Rights and other effort sharing approaches","type":"article-journal"},"uris":["http://www.mendeley.com/documents/?uuid=9cd52190-6bcc-453e-b332-072772954097","http://www.mendeley.com/documents/?uuid=162115fa-5820-41ac-87f3-4159181715f6","http://www.mendeley.com/documents/?uuid=e8be5ea0-a687-420d-9b26-aa92e74f0530"]},{"id":"ITEM-4","itemData":{"ISSN":"0301-4215","author":[{"dropping-particle":"","family":"Ringius","given":"Lasse","non-dropping-particle":"","parse-names":false,"suffix":""},{"dropping-particle":"","family":"Torvanger","given":"Asbjørn","non-dropping-particle":"","parse-names":false,"suffix":""},{"dropping-particle":"","family":"Holtsmark","given":"Bjart","non-dropping-particle":"","parse-names":false,"suffix":""}],"container-title":"Energy Policy","id":"ITEM-4","issue":"10","issued":{"date-parts":[["1998"]]},"page":"777-793","publisher":"Elsevier","title":"Can multi-criteria rules fairly distribute climate burdens?: OECD results from three burden sharing rules","type":"article-journal","volume":"26"},"uris":["http://www.mendeley.com/documents/?uuid=c349d635-d919-49e2-ae14-4c76d11947eb","http://www.mendeley.com/documents/?uuid=736a9e2b-4a04-4876-826d-f32dad95ee40","http://www.mendeley.com/documents/?uuid=3ac53c07-6c25-42fd-ab82-f53bdb29cf48"]}],"mendeley":{"formattedCitation":"&lt;sup&gt;2,6–8&lt;/sup&gt;","plainTextFormattedCitation":"2,6–8","previouslyFormattedCitation":"&lt;sup&gt;2,6–8&lt;/sup&gt;"},"properties":{"noteIndex":0},"schema":"https://github.com/citation-style-language/schema/raw/master/csl-citation.json"}</w:instrText>
      </w:r>
      <w:r w:rsidR="006503B3" w:rsidRPr="007D093C">
        <w:fldChar w:fldCharType="separate"/>
      </w:r>
      <w:r w:rsidR="000E1B1C" w:rsidRPr="007D093C">
        <w:rPr>
          <w:noProof/>
          <w:vertAlign w:val="superscript"/>
        </w:rPr>
        <w:t>2,6–8</w:t>
      </w:r>
      <w:r w:rsidR="006503B3" w:rsidRPr="007D093C">
        <w:fldChar w:fldCharType="end"/>
      </w:r>
      <w:r w:rsidR="007D093C" w:rsidRPr="007D093C">
        <w:rPr>
          <w:rFonts w:eastAsiaTheme="minorEastAsia"/>
        </w:rPr>
        <w:t xml:space="preserve">, which </w:t>
      </w:r>
      <w:r w:rsidR="007D093C" w:rsidRPr="00363AAD">
        <w:rPr>
          <w:rFonts w:eastAsiaTheme="minorEastAsia"/>
        </w:rPr>
        <w:t>attempts to</w:t>
      </w:r>
      <w:r w:rsidR="006503B3" w:rsidRPr="00363AAD">
        <w:rPr>
          <w:rFonts w:eastAsiaTheme="minorEastAsia"/>
        </w:rPr>
        <w:t xml:space="preserve"> capture, to some extent, </w:t>
      </w:r>
      <w:r w:rsidR="007D093C" w:rsidRPr="00363AAD">
        <w:rPr>
          <w:rFonts w:eastAsiaTheme="minorEastAsia"/>
        </w:rPr>
        <w:t>all of</w:t>
      </w:r>
      <w:r w:rsidR="006503B3" w:rsidRPr="00363AAD">
        <w:rPr>
          <w:rFonts w:eastAsiaTheme="minorEastAsia"/>
        </w:rPr>
        <w:t xml:space="preserve"> the individual </w:t>
      </w:r>
      <w:r w:rsidR="006503B3" w:rsidRPr="00363AAD">
        <w:t xml:space="preserve">fairness </w:t>
      </w:r>
      <w:r w:rsidR="006503B3" w:rsidRPr="00363AAD">
        <w:rPr>
          <w:rFonts w:eastAsiaTheme="minorEastAsia"/>
        </w:rPr>
        <w:t xml:space="preserve">principles into a single approach. This was, for instance, the strategy followed by </w:t>
      </w:r>
      <w:r w:rsidR="006503B3" w:rsidRPr="00363AAD">
        <w:t xml:space="preserve">the European Commission to allocate the 20% target on the increase in the share of renewable energy sources among member countries, where </w:t>
      </w:r>
      <w:r w:rsidR="006503B3" w:rsidRPr="00363AAD">
        <w:rPr>
          <w:i/>
        </w:rPr>
        <w:t>prior efforts</w:t>
      </w:r>
      <w:r w:rsidR="006503B3" w:rsidRPr="00363AAD">
        <w:t xml:space="preserve"> and </w:t>
      </w:r>
      <w:r w:rsidR="006503B3" w:rsidRPr="00363AAD">
        <w:rPr>
          <w:i/>
        </w:rPr>
        <w:t>ability-to-pay</w:t>
      </w:r>
      <w:r w:rsidR="006503B3" w:rsidRPr="00363AAD">
        <w:t xml:space="preserve"> were weighted to derive the final quotas</w:t>
      </w:r>
      <w:r w:rsidR="006503B3" w:rsidRPr="007D093C">
        <w:fldChar w:fldCharType="begin" w:fldLock="1"/>
      </w:r>
      <w:r w:rsidR="000E1B1C" w:rsidRPr="00363AAD">
        <w:instrText>ADDIN CSL_CITATION {"citationItems":[{"id":"ITEM-1","itemData":{"author":[{"dropping-particle":"","family":"Commission","given":"E U","non-dropping-particle":"","parse-names":false,"suffix":""}],"container-title":"Commission Staff Working Document","id":"ITEM-1","issued":{"date-parts":[["2008"]]},"title":"Package of Implementation Measures for the EU's Objectives on Climate Change and Renewable Energy for 2020","type":"article-journal"},"uris":["http://www.mendeley.com/documents/?uuid=08d2a8b2-13e4-4e10-8b36-1156ec266951","http://www.mendeley.com/documents/?uuid=07a3afe9-801b-42fb-9c96-fa82d8cd2d77"]}],"mendeley":{"formattedCitation":"&lt;sup&gt;9&lt;/sup&gt;","plainTextFormattedCitation":"9","previouslyFormattedCitation":"&lt;sup&gt;9&lt;/sup&gt;"},"properties":{"noteIndex":0},"schema":"https://github.com/citation-style-language/schema/raw/master/csl-citation.json"}</w:instrText>
      </w:r>
      <w:r w:rsidR="006503B3" w:rsidRPr="007D093C">
        <w:fldChar w:fldCharType="separate"/>
      </w:r>
      <w:r w:rsidR="000E1B1C" w:rsidRPr="007D093C">
        <w:rPr>
          <w:noProof/>
          <w:vertAlign w:val="superscript"/>
        </w:rPr>
        <w:t>9</w:t>
      </w:r>
      <w:r w:rsidR="006503B3" w:rsidRPr="007D093C">
        <w:fldChar w:fldCharType="end"/>
      </w:r>
      <w:r w:rsidR="006503B3" w:rsidRPr="007D093C">
        <w:t xml:space="preserve">. </w:t>
      </w:r>
      <w:r w:rsidR="006503B3" w:rsidRPr="007D093C">
        <w:rPr>
          <w:rFonts w:eastAsiaTheme="minorEastAsia"/>
        </w:rPr>
        <w:t>In practice, all member countries</w:t>
      </w:r>
      <w:r w:rsidR="006503B3" w:rsidRPr="00363AAD">
        <w:rPr>
          <w:rFonts w:eastAsiaTheme="minorEastAsia"/>
        </w:rPr>
        <w:t xml:space="preserve"> would need to agree on these weights, which, in the absence of further objective criteria, will inevitably be the result of a process of negotiation, where countries might be expected to advocate for the principle which suits them best (</w:t>
      </w:r>
      <w:r w:rsidR="006503B3" w:rsidRPr="00363AAD">
        <w:rPr>
          <w:rFonts w:eastAsiaTheme="minorEastAsia"/>
          <w:i/>
        </w:rPr>
        <w:t>e.g.</w:t>
      </w:r>
      <w:r w:rsidR="006503B3" w:rsidRPr="00363AAD">
        <w:rPr>
          <w:rFonts w:eastAsiaTheme="minorEastAsia"/>
        </w:rPr>
        <w:t xml:space="preserve">, the one entailing the </w:t>
      </w:r>
      <w:r w:rsidR="004C6CAD">
        <w:rPr>
          <w:rFonts w:eastAsiaTheme="minorEastAsia"/>
        </w:rPr>
        <w:t>least</w:t>
      </w:r>
      <w:r w:rsidR="006503B3" w:rsidRPr="00363AAD">
        <w:rPr>
          <w:rFonts w:eastAsiaTheme="minorEastAsia"/>
        </w:rPr>
        <w:t xml:space="preserve"> CDR efforts for </w:t>
      </w:r>
      <w:r w:rsidR="004C6CAD">
        <w:rPr>
          <w:rFonts w:eastAsiaTheme="minorEastAsia"/>
        </w:rPr>
        <w:t>them</w:t>
      </w:r>
      <w:r w:rsidR="006503B3" w:rsidRPr="00363AAD">
        <w:rPr>
          <w:rFonts w:eastAsiaTheme="minorEastAsia"/>
        </w:rPr>
        <w:t>)</w:t>
      </w:r>
      <w:r w:rsidR="006503B3" w:rsidRPr="007D093C">
        <w:rPr>
          <w:rFonts w:eastAsiaTheme="minorEastAsia"/>
        </w:rPr>
        <w:fldChar w:fldCharType="begin" w:fldLock="1"/>
      </w:r>
      <w:r w:rsidR="000E1B1C" w:rsidRPr="00363AAD">
        <w:rPr>
          <w:rFonts w:eastAsiaTheme="minorEastAsia"/>
        </w:rPr>
        <w:instrText>ADDIN CSL_CITATION {"citationItems":[{"id":"ITEM-1","itemData":{"ISSN":"1571-8069","author":[{"dropping-particle":"","family":"Zartman","given":"I William","non-dropping-particle":"","parse-names":false,"suffix":""},{"dropping-particle":"","family":"Druckman","given":"Daniel","non-dropping-particle":"","parse-names":false,"suffix":""},{"dropping-particle":"","family":"Jensen","given":"Lloyd","non-dropping-particle":"","parse-names":false,"suffix":""},{"dropping-particle":"","family":"Pruitt","given":"Dean G","non-dropping-particle":"","parse-names":false,"suffix":""},{"dropping-particle":"","family":"Young","given":"H Peyton","non-dropping-particle":"","parse-names":false,"suffix":""}],"container-title":"International Negotiation","id":"ITEM-1","issue":"1","issued":{"date-parts":[["1996"]]},"page":"79-98","publisher":"Brill","title":"Negotiation as a search for justice","type":"article-journal","volume":"1"},"uris":["http://www.mendeley.com/documents/?uuid=0a148110-23b8-4672-b9d7-d8e0c1116918","http://www.mendeley.com/documents/?uuid=cd6780e7-2256-48b2-b05c-4baaced1610b","http://www.mendeley.com/documents/?uuid=e8f7e7e3-dbd7-4c06-8def-4b4ef5462710"]},{"id":"ITEM-2","itemData":{"DOI":"10.1023/A:1015041613785","ISSN":"1573-1553","abstract":"One of the major challenges facing participants in the global climate change negotiations is to find a scheme of burden sharing that can be accepted as \"fair\" by all or at least most governments. In this article we first explore which basic principles of fairness seem to be sufficiently widely recognized to serve as a normative basis for such a scheme. We then examine a set of proposals for differentiating obligations that have been submitted by governments in the negotiations leading up to the Kyoto Protocol to see which principles have been honored. In the concluding section we discuss the implications of our analysis for the design of more specific burden sharing rules.","author":[{"dropping-particle":"","family":"Ringius","given":"Lasse","non-dropping-particle":"","parse-names":false,"suffix":""},{"dropping-particle":"","family":"Torvanger","given":"Asbjørn","non-dropping-particle":"","parse-names":false,"suffix":""},{"dropping-particle":"","family":"Underdal","given":"Arild","non-dropping-particle":"","parse-names":false,"suffix":""}],"container-title":"International Environmental Agreements","id":"ITEM-2","issue":"1","issued":{"date-parts":[["2002"]]},"page":"1-22","title":"Burden Sharing and Fairness Principles in International Climate Policy","type":"article-journal","volume":"2"},"uris":["http://www.mendeley.com/documents/?uuid=97e4008e-b9a2-4968-b10a-36af45f9ce07"]}],"mendeley":{"formattedCitation":"&lt;sup&gt;10,11&lt;/sup&gt;","plainTextFormattedCitation":"10,11","previouslyFormattedCitation":"&lt;sup&gt;10,11&lt;/sup&gt;"},"properties":{"noteIndex":0},"schema":"https://github.com/citation-style-language/schema/raw/master/csl-citation.json"}</w:instrText>
      </w:r>
      <w:r w:rsidR="006503B3" w:rsidRPr="007D093C">
        <w:rPr>
          <w:rFonts w:eastAsiaTheme="minorEastAsia"/>
        </w:rPr>
        <w:fldChar w:fldCharType="separate"/>
      </w:r>
      <w:r w:rsidR="000E1B1C" w:rsidRPr="007D093C">
        <w:rPr>
          <w:rFonts w:eastAsiaTheme="minorEastAsia"/>
          <w:noProof/>
          <w:vertAlign w:val="superscript"/>
        </w:rPr>
        <w:t>10,11</w:t>
      </w:r>
      <w:r w:rsidR="006503B3" w:rsidRPr="007D093C">
        <w:rPr>
          <w:rFonts w:eastAsiaTheme="minorEastAsia"/>
        </w:rPr>
        <w:fldChar w:fldCharType="end"/>
      </w:r>
      <w:r w:rsidR="006503B3" w:rsidRPr="007D093C">
        <w:rPr>
          <w:rFonts w:eastAsiaTheme="minorEastAsia"/>
        </w:rPr>
        <w:t xml:space="preserve">. </w:t>
      </w:r>
    </w:p>
    <w:p w14:paraId="72509723" w14:textId="1D8A81D9" w:rsidR="004448C0" w:rsidRPr="00363AAD" w:rsidRDefault="004448C0" w:rsidP="00C23B4D">
      <w:pPr>
        <w:jc w:val="both"/>
        <w:rPr>
          <w:rFonts w:eastAsiaTheme="minorEastAsia"/>
        </w:rPr>
      </w:pPr>
      <w:r w:rsidRPr="00363AAD">
        <w:rPr>
          <w:rFonts w:eastAsiaTheme="minorEastAsia"/>
        </w:rPr>
        <w:t xml:space="preserve">As an illustrative example of </w:t>
      </w:r>
      <w:r w:rsidRPr="00363AAD">
        <w:rPr>
          <w:rFonts w:eastAsiaTheme="minorEastAsia"/>
          <w:i/>
        </w:rPr>
        <w:t>Multi-criteria</w:t>
      </w:r>
      <w:r w:rsidRPr="00363AAD">
        <w:rPr>
          <w:rFonts w:eastAsiaTheme="minorEastAsia"/>
        </w:rPr>
        <w:t xml:space="preserve"> approaches, we provide here the quotas that could arise from a voting system where higher weights would be given to those principles favouring (</w:t>
      </w:r>
      <w:r w:rsidRPr="00363AAD">
        <w:rPr>
          <w:rFonts w:eastAsiaTheme="minorEastAsia"/>
          <w:i/>
        </w:rPr>
        <w:t>i.e.</w:t>
      </w:r>
      <w:r w:rsidRPr="00363AAD">
        <w:rPr>
          <w:rFonts w:eastAsiaTheme="minorEastAsia"/>
        </w:rPr>
        <w:t>, less demanding) the largest number of countries (see</w:t>
      </w:r>
      <w:r w:rsidR="00B976C1" w:rsidRPr="00363AAD">
        <w:rPr>
          <w:rFonts w:eastAsiaTheme="minorEastAsia"/>
        </w:rPr>
        <w:t xml:space="preserve"> </w:t>
      </w:r>
      <w:r w:rsidR="00B976C1" w:rsidRPr="00363AAD">
        <w:rPr>
          <w:rFonts w:eastAsiaTheme="minorEastAsia"/>
        </w:rPr>
        <w:lastRenderedPageBreak/>
        <w:t>Supplementary</w:t>
      </w:r>
      <w:r w:rsidRPr="00363AAD">
        <w:rPr>
          <w:rFonts w:eastAsiaTheme="minorEastAsia"/>
        </w:rPr>
        <w:t xml:space="preserve"> Fig. 1 and further details of the calculations in the </w:t>
      </w:r>
      <w:r w:rsidR="00B976C1" w:rsidRPr="00363AAD">
        <w:rPr>
          <w:rFonts w:eastAsiaTheme="minorEastAsia"/>
        </w:rPr>
        <w:t>previous</w:t>
      </w:r>
      <w:r w:rsidRPr="00363AAD">
        <w:rPr>
          <w:rFonts w:eastAsiaTheme="minorEastAsia"/>
        </w:rPr>
        <w:t xml:space="preserve"> section). Following this approach, </w:t>
      </w:r>
      <w:r w:rsidRPr="00363AAD">
        <w:rPr>
          <w:rFonts w:eastAsiaTheme="minorEastAsia"/>
          <w:iCs/>
        </w:rPr>
        <w:t xml:space="preserve">the </w:t>
      </w:r>
      <w:r w:rsidRPr="00363AAD">
        <w:rPr>
          <w:rFonts w:eastAsiaTheme="minorEastAsia"/>
          <w:i/>
        </w:rPr>
        <w:t>Equality</w:t>
      </w:r>
      <w:r w:rsidRPr="00363AAD">
        <w:rPr>
          <w:rFonts w:eastAsiaTheme="minorEastAsia"/>
        </w:rPr>
        <w:t xml:space="preserve"> principle would receive the largest number of votes and, therefore, </w:t>
      </w:r>
      <w:r w:rsidR="007D093C" w:rsidRPr="00363AAD">
        <w:rPr>
          <w:rFonts w:eastAsiaTheme="minorEastAsia"/>
        </w:rPr>
        <w:t xml:space="preserve">would be assigned </w:t>
      </w:r>
      <w:r w:rsidRPr="00363AAD">
        <w:rPr>
          <w:rFonts w:eastAsiaTheme="minorEastAsia"/>
        </w:rPr>
        <w:t xml:space="preserve">the largest weight (98/176 ≈ 56%), </w:t>
      </w:r>
      <w:r w:rsidR="007D093C">
        <w:rPr>
          <w:rFonts w:eastAsiaTheme="minorEastAsia"/>
        </w:rPr>
        <w:t>as it would be the preferred choice</w:t>
      </w:r>
      <w:r w:rsidRPr="00363AAD">
        <w:rPr>
          <w:rFonts w:eastAsiaTheme="minorEastAsia"/>
        </w:rPr>
        <w:t xml:space="preserve"> for most of the countries. Consequently, the quotas given by the </w:t>
      </w:r>
      <w:r w:rsidRPr="00363AAD">
        <w:rPr>
          <w:rFonts w:eastAsiaTheme="minorEastAsia"/>
          <w:i/>
          <w:iCs/>
        </w:rPr>
        <w:t>Multi-criteria</w:t>
      </w:r>
      <w:r w:rsidRPr="00363AAD">
        <w:rPr>
          <w:rFonts w:eastAsiaTheme="minorEastAsia"/>
        </w:rPr>
        <w:t xml:space="preserve"> approach would approach those of the </w:t>
      </w:r>
      <w:r w:rsidRPr="00363AAD">
        <w:rPr>
          <w:rFonts w:eastAsiaTheme="minorEastAsia"/>
          <w:i/>
          <w:iCs/>
        </w:rPr>
        <w:t>Equality</w:t>
      </w:r>
      <w:r w:rsidRPr="00363AAD">
        <w:rPr>
          <w:rFonts w:eastAsiaTheme="minorEastAsia"/>
        </w:rPr>
        <w:t xml:space="preserve"> principle.</w:t>
      </w:r>
      <w:r w:rsidRPr="00363AAD">
        <w:t xml:space="preserve"> In this case, seven countries, India (61.9 Gt CO</w:t>
      </w:r>
      <w:r w:rsidRPr="00363AAD">
        <w:rPr>
          <w:vertAlign w:val="subscript"/>
        </w:rPr>
        <w:t>2</w:t>
      </w:r>
      <w:r w:rsidRPr="00363AAD">
        <w:t>), China (47.5 Gt CO</w:t>
      </w:r>
      <w:r w:rsidRPr="00363AAD">
        <w:rPr>
          <w:vertAlign w:val="subscript"/>
        </w:rPr>
        <w:t>2</w:t>
      </w:r>
      <w:r w:rsidRPr="00363AAD">
        <w:t>), United States (23.1 Gt CO</w:t>
      </w:r>
      <w:r w:rsidRPr="00363AAD">
        <w:rPr>
          <w:vertAlign w:val="subscript"/>
        </w:rPr>
        <w:t>2</w:t>
      </w:r>
      <w:r w:rsidRPr="00363AAD">
        <w:t>), Nigeria (20.8 Gt CO</w:t>
      </w:r>
      <w:r w:rsidRPr="00363AAD">
        <w:rPr>
          <w:vertAlign w:val="subscript"/>
        </w:rPr>
        <w:t>2</w:t>
      </w:r>
      <w:r w:rsidRPr="00363AAD">
        <w:t>), Pakistan (12.6 Gt CO</w:t>
      </w:r>
      <w:r w:rsidRPr="00363AAD">
        <w:rPr>
          <w:vertAlign w:val="subscript"/>
        </w:rPr>
        <w:t>2</w:t>
      </w:r>
      <w:r w:rsidRPr="00363AAD">
        <w:t>), Indonesia (12.4 Gt CO</w:t>
      </w:r>
      <w:r w:rsidRPr="00363AAD">
        <w:rPr>
          <w:vertAlign w:val="subscript"/>
        </w:rPr>
        <w:t>2</w:t>
      </w:r>
      <w:r w:rsidRPr="00363AAD">
        <w:t>) and Japan (11.5 Gt CO</w:t>
      </w:r>
      <w:r w:rsidRPr="00363AAD">
        <w:rPr>
          <w:vertAlign w:val="subscript"/>
        </w:rPr>
        <w:t>2</w:t>
      </w:r>
      <w:r w:rsidRPr="00363AAD">
        <w:t xml:space="preserve">) would lead the mitigation efforts accounting for 28% of the total CDR required. Hence, the </w:t>
      </w:r>
      <w:r w:rsidRPr="00363AAD">
        <w:rPr>
          <w:i/>
        </w:rPr>
        <w:t xml:space="preserve">Multi-criteria </w:t>
      </w:r>
      <w:r w:rsidRPr="00363AAD">
        <w:t xml:space="preserve">approach </w:t>
      </w:r>
      <w:r w:rsidRPr="00363AAD">
        <w:rPr>
          <w:rFonts w:eastAsiaTheme="minorEastAsia"/>
        </w:rPr>
        <w:t xml:space="preserve">would yield intermediate quotas lying </w:t>
      </w:r>
      <w:r w:rsidR="007D093C">
        <w:rPr>
          <w:rFonts w:eastAsiaTheme="minorEastAsia"/>
        </w:rPr>
        <w:t xml:space="preserve">in </w:t>
      </w:r>
      <w:r w:rsidRPr="00363AAD">
        <w:rPr>
          <w:rFonts w:eastAsiaTheme="minorEastAsia"/>
        </w:rPr>
        <w:t>between those resulting from the distinct equity</w:t>
      </w:r>
      <w:r w:rsidRPr="00363AAD">
        <w:t xml:space="preserve"> principles</w:t>
      </w:r>
      <w:r w:rsidR="007D093C">
        <w:t>. Similarly, as with the application of single principles,</w:t>
      </w:r>
      <w:r w:rsidRPr="00363AAD">
        <w:t xml:space="preserve"> a certain level of disparity across country quotas would </w:t>
      </w:r>
      <w:r w:rsidR="007D093C">
        <w:t>emerge depending on the weights used</w:t>
      </w:r>
      <w:r w:rsidRPr="00363AAD">
        <w:t xml:space="preserve">. </w:t>
      </w:r>
    </w:p>
    <w:p w14:paraId="5AF8D3FC" w14:textId="1FAFA42E" w:rsidR="004448C0" w:rsidRPr="007D093C" w:rsidRDefault="00B976C1" w:rsidP="00B976C1">
      <w:pPr>
        <w:jc w:val="both"/>
      </w:pPr>
      <w:r w:rsidRPr="00133028">
        <w:rPr>
          <w:noProof/>
          <w:lang w:val="es-ES" w:eastAsia="es-ES"/>
        </w:rPr>
        <w:drawing>
          <wp:inline distT="0" distB="0" distL="0" distR="0" wp14:anchorId="303A303C" wp14:editId="50B8E146">
            <wp:extent cx="5731510" cy="2178685"/>
            <wp:effectExtent l="0" t="0" r="254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178685"/>
                    </a:xfrm>
                    <a:prstGeom prst="rect">
                      <a:avLst/>
                    </a:prstGeom>
                  </pic:spPr>
                </pic:pic>
              </a:graphicData>
            </a:graphic>
          </wp:inline>
        </w:drawing>
      </w:r>
    </w:p>
    <w:p w14:paraId="0C8297E2" w14:textId="3667B1AB" w:rsidR="00B976C1" w:rsidRPr="00363AAD" w:rsidRDefault="00B976C1" w:rsidP="00C23B4D">
      <w:pPr>
        <w:jc w:val="both"/>
      </w:pPr>
      <w:r w:rsidRPr="00363AAD">
        <w:rPr>
          <w:b/>
          <w:sz w:val="22"/>
          <w:szCs w:val="22"/>
        </w:rPr>
        <w:t xml:space="preserve">Supplementary Fig. 1 | Cumulative CDR quotas by 2100 for the UNFCCC countries according to the </w:t>
      </w:r>
      <w:r w:rsidRPr="00363AAD">
        <w:rPr>
          <w:b/>
          <w:i/>
          <w:iCs/>
          <w:sz w:val="22"/>
          <w:szCs w:val="22"/>
        </w:rPr>
        <w:t>Multi-criteria</w:t>
      </w:r>
      <w:r w:rsidRPr="00363AAD">
        <w:rPr>
          <w:b/>
          <w:sz w:val="22"/>
          <w:szCs w:val="22"/>
        </w:rPr>
        <w:t xml:space="preserve"> approach.</w:t>
      </w:r>
      <w:r w:rsidRPr="00363AAD">
        <w:rPr>
          <w:sz w:val="22"/>
          <w:szCs w:val="22"/>
        </w:rPr>
        <w:t xml:space="preserve"> Countries are coloured according to their quota so that the darker the shade, the </w:t>
      </w:r>
      <w:bookmarkStart w:id="0" w:name="_Hlk30586533"/>
      <w:r w:rsidRPr="00363AAD">
        <w:rPr>
          <w:sz w:val="22"/>
          <w:szCs w:val="22"/>
        </w:rPr>
        <w:t xml:space="preserve">larger the quota and the more CDR is need </w:t>
      </w:r>
      <w:bookmarkEnd w:id="0"/>
      <w:r w:rsidRPr="00363AAD">
        <w:rPr>
          <w:sz w:val="22"/>
          <w:szCs w:val="22"/>
        </w:rPr>
        <w:t>(countries in grey: no data available). Pie charts show the results aggregated on the five regions consistent with the</w:t>
      </w:r>
      <w:r w:rsidRPr="00363AAD">
        <w:t xml:space="preserve"> </w:t>
      </w:r>
      <w:r w:rsidRPr="00363AAD">
        <w:rPr>
          <w:sz w:val="22"/>
          <w:szCs w:val="22"/>
        </w:rPr>
        <w:t>IIASA SSP database</w:t>
      </w:r>
      <w:r w:rsidRPr="007D093C">
        <w:rPr>
          <w:sz w:val="22"/>
          <w:szCs w:val="22"/>
        </w:rPr>
        <w:fldChar w:fldCharType="begin" w:fldLock="1"/>
      </w:r>
      <w:r w:rsidR="000E1B1C" w:rsidRPr="00363AAD">
        <w:rPr>
          <w:sz w:val="22"/>
          <w:szCs w:val="22"/>
        </w:rPr>
        <w:instrText>ADDIN CSL_CITATION {"citationItems":[{"id":"ITEM-1","itemData":{"ISSN":"0959-3780","author":[{"dropping-particle":"","family":"Riahi","given":"Keywan","non-dropping-particle":"","parse-names":false,"suffix":""},{"dropping-particle":"","family":"Vuuren","given":"Detlef P","non-dropping-particle":"Van","parse-names":false,"suffix":""},{"dropping-particle":"","family":"Kriegler","given":"Elmar","non-dropping-particle":"","parse-names":false,"suffix":""},{"dropping-particle":"","family":"Edmonds","given":"Jae","non-dropping-particle":"","parse-names":false,"suffix":""},{"dropping-particle":"","family":"O’neill","given":"Brian C","non-dropping-particle":"","parse-names":false,"suffix":""},{"dropping-particle":"","family":"Fujimori","given":"Shinichiro","non-dropping-particle":"","parse-names":false,"suffix":""},{"dropping-particle":"","family":"Bauer","given":"Nico","non-dropping-particle":"","parse-names":false,"suffix":""},{"dropping-particle":"","family":"Calvin","given":"Katherine","non-dropping-particle":"","parse-names":false,"suffix":""},{"dropping-particle":"","family":"Dellink","given":"Rob","non-dropping-particle":"","parse-names":false,"suffix":""},{"dropping-particle":"","family":"Fricko","given":"Oliver","non-dropping-particle":"","parse-names":false,"suffix":""}],"container-title":"Global Environmental Change","id":"ITEM-1","issued":{"date-parts":[["2017"]]},"page":"153-168","publisher":"Elsevier","title":"The shared socioeconomic pathways and their energy, land use, and greenhouse gas emissions implications: an overview","type":"article-journal","volume":"42"},"uris":["http://www.mendeley.com/documents/?uuid=482c9d43-e74a-42ba-ac89-e051c9ac446b"]}],"mendeley":{"formattedCitation":"&lt;sup&gt;12&lt;/sup&gt;","plainTextFormattedCitation":"12","previouslyFormattedCitation":"&lt;sup&gt;12&lt;/sup&gt;"},"properties":{"noteIndex":0},"schema":"https://github.com/citation-style-language/schema/raw/master/csl-citation.json"}</w:instrText>
      </w:r>
      <w:r w:rsidRPr="007D093C">
        <w:rPr>
          <w:sz w:val="22"/>
          <w:szCs w:val="22"/>
        </w:rPr>
        <w:fldChar w:fldCharType="separate"/>
      </w:r>
      <w:r w:rsidR="000E1B1C" w:rsidRPr="007D093C">
        <w:rPr>
          <w:noProof/>
          <w:sz w:val="22"/>
          <w:szCs w:val="22"/>
          <w:vertAlign w:val="superscript"/>
        </w:rPr>
        <w:t>12</w:t>
      </w:r>
      <w:r w:rsidRPr="007D093C">
        <w:rPr>
          <w:sz w:val="22"/>
          <w:szCs w:val="22"/>
        </w:rPr>
        <w:fldChar w:fldCharType="end"/>
      </w:r>
      <w:r w:rsidRPr="007D093C">
        <w:rPr>
          <w:sz w:val="22"/>
          <w:szCs w:val="22"/>
        </w:rPr>
        <w:t xml:space="preserve"> (OECD: includes the OECD 90 and EU member states and candidates; REF: Countries from the Reforming Economies of Eastern Europe and the Former Soviet Union; ASIA: Asian countries with the exception of the Middle East, Japan and Former </w:t>
      </w:r>
      <w:r w:rsidRPr="007D093C">
        <w:rPr>
          <w:sz w:val="22"/>
          <w:szCs w:val="22"/>
        </w:rPr>
        <w:lastRenderedPageBreak/>
        <w:t>Soviet Union states; MAF: countries</w:t>
      </w:r>
      <w:r w:rsidRPr="00363AAD">
        <w:rPr>
          <w:sz w:val="22"/>
          <w:szCs w:val="22"/>
        </w:rPr>
        <w:t xml:space="preserve"> of the Middle East and Africa; LAM: Latin America and the Caribbean; see the list of countries in each region in Supplementary Table 2).</w:t>
      </w:r>
    </w:p>
    <w:p w14:paraId="786E3324" w14:textId="77777777" w:rsidR="00C11F18" w:rsidRPr="00363AAD" w:rsidRDefault="00062CD7">
      <w:pPr>
        <w:pStyle w:val="Heading2"/>
        <w:jc w:val="both"/>
      </w:pPr>
      <w:r w:rsidRPr="00363AAD">
        <w:t xml:space="preserve">CDR quotas within the </w:t>
      </w:r>
      <w:r w:rsidR="00A31909" w:rsidRPr="00363AAD">
        <w:t>EU</w:t>
      </w:r>
      <w:r w:rsidRPr="00363AAD">
        <w:t xml:space="preserve"> </w:t>
      </w:r>
      <w:r w:rsidR="00661ACB" w:rsidRPr="00363AAD">
        <w:t>in absolute terms</w:t>
      </w:r>
    </w:p>
    <w:p w14:paraId="36ACEF5A" w14:textId="77777777" w:rsidR="001D688A" w:rsidRPr="007D093C" w:rsidRDefault="001D688A" w:rsidP="001D688A">
      <w:pPr>
        <w:jc w:val="center"/>
      </w:pPr>
      <w:r w:rsidRPr="00133028">
        <w:rPr>
          <w:noProof/>
          <w:lang w:val="es-ES" w:eastAsia="es-ES"/>
        </w:rPr>
        <w:drawing>
          <wp:inline distT="0" distB="0" distL="0" distR="0" wp14:anchorId="3B0253ED" wp14:editId="635A7546">
            <wp:extent cx="5136514" cy="5136514"/>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6514" cy="5136514"/>
                    </a:xfrm>
                    <a:prstGeom prst="rect">
                      <a:avLst/>
                    </a:prstGeom>
                  </pic:spPr>
                </pic:pic>
              </a:graphicData>
            </a:graphic>
          </wp:inline>
        </w:drawing>
      </w:r>
    </w:p>
    <w:p w14:paraId="23673287" w14:textId="64DEF358" w:rsidR="001D688A" w:rsidRPr="00363AAD" w:rsidRDefault="001D688A" w:rsidP="00DD582C">
      <w:pPr>
        <w:jc w:val="both"/>
        <w:rPr>
          <w:sz w:val="22"/>
          <w:szCs w:val="22"/>
        </w:rPr>
      </w:pPr>
      <w:r w:rsidRPr="007D093C">
        <w:rPr>
          <w:b/>
          <w:sz w:val="22"/>
          <w:szCs w:val="22"/>
        </w:rPr>
        <w:t xml:space="preserve">Supplementary </w:t>
      </w:r>
      <w:r w:rsidRPr="00363AAD">
        <w:rPr>
          <w:b/>
          <w:sz w:val="22"/>
          <w:szCs w:val="22"/>
        </w:rPr>
        <w:t xml:space="preserve">Fig. </w:t>
      </w:r>
      <w:r w:rsidR="00627C4D" w:rsidRPr="00363AAD">
        <w:rPr>
          <w:b/>
          <w:sz w:val="22"/>
          <w:szCs w:val="22"/>
        </w:rPr>
        <w:t>2</w:t>
      </w:r>
      <w:r w:rsidRPr="00363AAD">
        <w:rPr>
          <w:b/>
          <w:sz w:val="22"/>
          <w:szCs w:val="22"/>
        </w:rPr>
        <w:t xml:space="preserve"> | Cumulative CDR quotas by 2100 for each of the 28 E</w:t>
      </w:r>
      <w:r w:rsidR="001E7C07" w:rsidRPr="00363AAD">
        <w:rPr>
          <w:b/>
          <w:sz w:val="22"/>
          <w:szCs w:val="22"/>
        </w:rPr>
        <w:t>uropean</w:t>
      </w:r>
      <w:r w:rsidRPr="00363AAD">
        <w:rPr>
          <w:b/>
          <w:sz w:val="22"/>
          <w:szCs w:val="22"/>
        </w:rPr>
        <w:t xml:space="preserve"> countries for the different equity principles.</w:t>
      </w:r>
      <w:r w:rsidRPr="00363AAD">
        <w:rPr>
          <w:sz w:val="22"/>
          <w:szCs w:val="22"/>
        </w:rPr>
        <w:t xml:space="preserve"> Map in subplot (a) shows </w:t>
      </w:r>
      <w:r w:rsidRPr="00363AAD">
        <w:rPr>
          <w:i/>
          <w:sz w:val="22"/>
          <w:szCs w:val="22"/>
        </w:rPr>
        <w:t>Responsibility</w:t>
      </w:r>
      <w:r w:rsidRPr="00363AAD">
        <w:rPr>
          <w:sz w:val="22"/>
          <w:szCs w:val="22"/>
        </w:rPr>
        <w:t xml:space="preserve"> quotas, subplot (b) corresponds to </w:t>
      </w:r>
      <w:r w:rsidRPr="00363AAD">
        <w:rPr>
          <w:i/>
          <w:sz w:val="22"/>
          <w:szCs w:val="22"/>
        </w:rPr>
        <w:t>Capability</w:t>
      </w:r>
      <w:r w:rsidRPr="00363AAD">
        <w:rPr>
          <w:sz w:val="22"/>
          <w:szCs w:val="22"/>
        </w:rPr>
        <w:t xml:space="preserve"> quotas, subplot (c) to </w:t>
      </w:r>
      <w:r w:rsidRPr="00363AAD">
        <w:rPr>
          <w:i/>
          <w:sz w:val="22"/>
          <w:szCs w:val="22"/>
        </w:rPr>
        <w:t>Equality</w:t>
      </w:r>
      <w:r w:rsidRPr="00363AAD">
        <w:rPr>
          <w:sz w:val="22"/>
          <w:szCs w:val="22"/>
        </w:rPr>
        <w:t xml:space="preserve"> quotas and subplot (d) to </w:t>
      </w:r>
      <w:r w:rsidRPr="00363AAD">
        <w:rPr>
          <w:i/>
          <w:sz w:val="22"/>
          <w:szCs w:val="22"/>
        </w:rPr>
        <w:t>Multi-criteria</w:t>
      </w:r>
      <w:r w:rsidRPr="00363AAD">
        <w:rPr>
          <w:sz w:val="22"/>
          <w:szCs w:val="22"/>
        </w:rPr>
        <w:t xml:space="preserve"> quotas based on voting. Countries are coloured according to their quota (the darker the shade, the larger the quota). The horizontal stacked bars at the bottom of each subplot provide the breakdown of the global CDR in EU, with countries sorted in </w:t>
      </w:r>
      <w:r w:rsidRPr="00363AAD">
        <w:rPr>
          <w:sz w:val="22"/>
          <w:szCs w:val="22"/>
        </w:rPr>
        <w:lastRenderedPageBreak/>
        <w:t>ascending order of quotas. The top seven countries and the share they are responsible for are also depicted with labels.</w:t>
      </w:r>
      <w:r w:rsidRPr="00363AAD" w:rsidDel="003B7247">
        <w:rPr>
          <w:sz w:val="22"/>
          <w:szCs w:val="22"/>
        </w:rPr>
        <w:t xml:space="preserve"> </w:t>
      </w:r>
    </w:p>
    <w:p w14:paraId="490A2EEC" w14:textId="582A58C0" w:rsidR="00202835" w:rsidRPr="00363AAD" w:rsidRDefault="00202835" w:rsidP="00DD582C">
      <w:pPr>
        <w:jc w:val="both"/>
      </w:pPr>
      <w:r w:rsidRPr="00363AAD">
        <w:t>As discussed in the main manuscript, t</w:t>
      </w:r>
      <w:r w:rsidR="00A31909" w:rsidRPr="00363AAD">
        <w:t xml:space="preserve">he application of the equity principles results in different cumulative CDR quotas allocated to each </w:t>
      </w:r>
      <w:r w:rsidRPr="00363AAD">
        <w:t xml:space="preserve">UNFCCC </w:t>
      </w:r>
      <w:r w:rsidR="00A31909" w:rsidRPr="00363AAD">
        <w:t>country in 2100</w:t>
      </w:r>
      <w:r w:rsidRPr="00363AAD">
        <w:t xml:space="preserve">. Given the expected key role that EU will play leading the efforts in climate change mitigation, we here </w:t>
      </w:r>
      <w:r w:rsidR="00DD582C" w:rsidRPr="00363AAD">
        <w:t>replicate</w:t>
      </w:r>
      <w:r w:rsidRPr="00363AAD">
        <w:t xml:space="preserve"> </w:t>
      </w:r>
      <w:r w:rsidR="00DD582C" w:rsidRPr="00363AAD">
        <w:t xml:space="preserve">and </w:t>
      </w:r>
      <w:r w:rsidR="001E7C07" w:rsidRPr="00363AAD">
        <w:t xml:space="preserve">further </w:t>
      </w:r>
      <w:r w:rsidR="00DD582C" w:rsidRPr="00363AAD">
        <w:t>discuss the results presented in Fig. 1 in the main manuscript</w:t>
      </w:r>
      <w:r w:rsidR="001D58B2" w:rsidRPr="00363AAD">
        <w:t>,</w:t>
      </w:r>
      <w:r w:rsidR="00DD582C" w:rsidRPr="00363AAD">
        <w:t xml:space="preserve"> </w:t>
      </w:r>
      <w:r w:rsidRPr="00363AAD">
        <w:t>focus</w:t>
      </w:r>
      <w:r w:rsidR="001D58B2" w:rsidRPr="00363AAD">
        <w:t>ing</w:t>
      </w:r>
      <w:r w:rsidR="00DD582C" w:rsidRPr="00363AAD">
        <w:t xml:space="preserve"> exclusively</w:t>
      </w:r>
      <w:r w:rsidRPr="00363AAD">
        <w:t xml:space="preserve"> on the </w:t>
      </w:r>
      <w:r w:rsidR="00DD582C" w:rsidRPr="00363AAD">
        <w:t xml:space="preserve">28 European countries </w:t>
      </w:r>
      <w:r w:rsidRPr="00363AAD">
        <w:t>(</w:t>
      </w:r>
      <w:r w:rsidR="00B3420D" w:rsidRPr="00363AAD">
        <w:t xml:space="preserve">Supplementary </w:t>
      </w:r>
      <w:r w:rsidRPr="00363AAD">
        <w:t xml:space="preserve">Fig. </w:t>
      </w:r>
      <w:r w:rsidR="00627C4D" w:rsidRPr="00363AAD">
        <w:t>2</w:t>
      </w:r>
      <w:r w:rsidRPr="00363AAD">
        <w:t>).</w:t>
      </w:r>
    </w:p>
    <w:p w14:paraId="26B6F152" w14:textId="42769DC2" w:rsidR="00503AFC" w:rsidRPr="00363AAD" w:rsidRDefault="00A31909" w:rsidP="00DD582C">
      <w:pPr>
        <w:jc w:val="both"/>
      </w:pPr>
      <w:r w:rsidRPr="00363AAD">
        <w:t xml:space="preserve">For the </w:t>
      </w:r>
      <w:r w:rsidRPr="00363AAD">
        <w:rPr>
          <w:i/>
        </w:rPr>
        <w:t>Responsibility</w:t>
      </w:r>
      <w:r w:rsidRPr="00363AAD">
        <w:t xml:space="preserve"> principle, </w:t>
      </w:r>
      <w:r w:rsidR="001D688A" w:rsidRPr="00363AAD">
        <w:t xml:space="preserve">the </w:t>
      </w:r>
      <w:r w:rsidRPr="00363AAD">
        <w:t xml:space="preserve">EU would have to deliver </w:t>
      </w:r>
      <w:r w:rsidR="00202835" w:rsidRPr="00363AAD">
        <w:t>jointly</w:t>
      </w:r>
      <w:r w:rsidRPr="00363AAD">
        <w:t xml:space="preserve"> 265.5 Gt CO</w:t>
      </w:r>
      <w:r w:rsidRPr="00363AAD">
        <w:rPr>
          <w:vertAlign w:val="subscript"/>
        </w:rPr>
        <w:t>2</w:t>
      </w:r>
      <w:r w:rsidRPr="00363AAD">
        <w:t xml:space="preserve"> </w:t>
      </w:r>
      <w:r w:rsidR="00202835" w:rsidRPr="00363AAD">
        <w:t>by 2100</w:t>
      </w:r>
      <w:r w:rsidR="003B1DE5" w:rsidRPr="00363AAD">
        <w:t>,</w:t>
      </w:r>
      <w:r w:rsidR="00202835" w:rsidRPr="00363AAD">
        <w:t xml:space="preserve"> which represents 38.6% of the global </w:t>
      </w:r>
      <w:r w:rsidR="00275902" w:rsidRPr="00363AAD">
        <w:t>687 Gt CO</w:t>
      </w:r>
      <w:r w:rsidR="00275902" w:rsidRPr="00363AAD">
        <w:rPr>
          <w:vertAlign w:val="subscript"/>
        </w:rPr>
        <w:t>2</w:t>
      </w:r>
      <w:r w:rsidR="00275902" w:rsidRPr="00363AAD">
        <w:t xml:space="preserve"> of </w:t>
      </w:r>
      <w:r w:rsidR="00202835" w:rsidRPr="00363AAD">
        <w:t>CDR required</w:t>
      </w:r>
      <w:r w:rsidR="00D13079" w:rsidRPr="007D093C">
        <w:rPr>
          <w:vertAlign w:val="subscript"/>
        </w:rPr>
        <w:fldChar w:fldCharType="begin" w:fldLock="1"/>
      </w:r>
      <w:r w:rsidR="000E1B1C" w:rsidRPr="00363AAD">
        <w:rPr>
          <w:vertAlign w:val="subscript"/>
        </w:rPr>
        <w:instrText>ADDIN CSL_CITATION {"citationItems":[{"id":"ITEM-1","itemData":{"author":[{"dropping-particle":"","family":"IPCC","given":"","non-dropping-particle":"","parse-names":false,"suffix":""}],"id":"ITEM-1","issued":{"date-parts":[["2018"]]},"publisher":"Intergovernmental Panel on Climate Change","title":"Global Warming of 1.5° C: An IPCC Special Report on the Impacts of Global Warming of 1.5° C Above Pre-industrial Levels and Related Global Greenhouse Gas Emission Pathways, in the Context of Strengthening the Global Response to the Threat of Climate Chang","type":"book"},"uris":["http://www.mendeley.com/documents/?uuid=eb76d250-56e2-43cb-80a6-a654ae246185"]}],"mendeley":{"formattedCitation":"&lt;sup&gt;13&lt;/sup&gt;","plainTextFormattedCitation":"13","previouslyFormattedCitation":"&lt;sup&gt;13&lt;/sup&gt;"},"properties":{"noteIndex":0},"schema":"https://github.com/citation-style-language/schema/raw/master/csl-citation.json"}</w:instrText>
      </w:r>
      <w:r w:rsidR="00D13079" w:rsidRPr="007D093C">
        <w:rPr>
          <w:vertAlign w:val="subscript"/>
        </w:rPr>
        <w:fldChar w:fldCharType="separate"/>
      </w:r>
      <w:r w:rsidR="000E1B1C" w:rsidRPr="007D093C">
        <w:rPr>
          <w:noProof/>
          <w:vertAlign w:val="superscript"/>
        </w:rPr>
        <w:t>13</w:t>
      </w:r>
      <w:r w:rsidR="00D13079" w:rsidRPr="007D093C">
        <w:rPr>
          <w:vertAlign w:val="subscript"/>
        </w:rPr>
        <w:fldChar w:fldCharType="end"/>
      </w:r>
      <w:r w:rsidR="00202835" w:rsidRPr="007D093C">
        <w:t xml:space="preserve">. </w:t>
      </w:r>
      <w:r w:rsidRPr="007D093C">
        <w:t>Estonia</w:t>
      </w:r>
      <w:r w:rsidRPr="00363AAD">
        <w:t xml:space="preserve">, Luxembourg and Great Britain would lead CDR efforts (28% of the cumulative total), reaching 51% when adding Czech </w:t>
      </w:r>
      <w:r w:rsidR="001D688A" w:rsidRPr="00363AAD">
        <w:t>R</w:t>
      </w:r>
      <w:r w:rsidRPr="00363AAD">
        <w:t>epublic, Belgium, Germany</w:t>
      </w:r>
      <w:r w:rsidR="00B3420D" w:rsidRPr="00363AAD">
        <w:t xml:space="preserve"> </w:t>
      </w:r>
      <w:r w:rsidRPr="00363AAD">
        <w:t xml:space="preserve">and the Netherlands. </w:t>
      </w:r>
      <w:r w:rsidR="00133061" w:rsidRPr="00363AAD">
        <w:t>These countries present the highe</w:t>
      </w:r>
      <w:r w:rsidR="00503AFC" w:rsidRPr="00363AAD">
        <w:t>st</w:t>
      </w:r>
      <w:r w:rsidR="00133061" w:rsidRPr="00363AAD">
        <w:t xml:space="preserve"> carbon emission</w:t>
      </w:r>
      <w:r w:rsidR="003B1DE5" w:rsidRPr="00363AAD">
        <w:t>s</w:t>
      </w:r>
      <w:r w:rsidR="00133061" w:rsidRPr="00363AAD">
        <w:t xml:space="preserve"> intensities in Europe</w:t>
      </w:r>
      <w:r w:rsidR="003B1DE5" w:rsidRPr="00363AAD">
        <w:t>. F</w:t>
      </w:r>
      <w:r w:rsidR="00133061" w:rsidRPr="00363AAD">
        <w:t>or instance, the pri</w:t>
      </w:r>
      <w:r w:rsidR="00503AFC" w:rsidRPr="00363AAD">
        <w:t>mary energy supply</w:t>
      </w:r>
      <w:r w:rsidR="00133061" w:rsidRPr="00363AAD">
        <w:t xml:space="preserve"> in Estonia </w:t>
      </w:r>
      <w:r w:rsidR="00503AFC" w:rsidRPr="00363AAD">
        <w:t>has been always largely dependent on fossil resources, including coal, natural gas and a large share from oil shale.</w:t>
      </w:r>
    </w:p>
    <w:p w14:paraId="5354AB9B" w14:textId="4AB525D1" w:rsidR="00A31909" w:rsidRPr="00363AAD" w:rsidRDefault="000A4C83" w:rsidP="00DD582C">
      <w:pPr>
        <w:jc w:val="both"/>
      </w:pPr>
      <w:r w:rsidRPr="00363AAD">
        <w:t xml:space="preserve">The </w:t>
      </w:r>
      <w:r w:rsidRPr="00363AAD">
        <w:rPr>
          <w:i/>
          <w:iCs/>
        </w:rPr>
        <w:t>Capability</w:t>
      </w:r>
      <w:r w:rsidRPr="00363AAD">
        <w:t xml:space="preserve"> principle leads to the highe</w:t>
      </w:r>
      <w:r w:rsidR="001D58B2" w:rsidRPr="00363AAD">
        <w:t>st</w:t>
      </w:r>
      <w:r w:rsidRPr="00363AAD">
        <w:t xml:space="preserve"> overall CDR quota assigned to</w:t>
      </w:r>
      <w:r w:rsidR="001E7C07" w:rsidRPr="00363AAD">
        <w:t xml:space="preserve"> the</w:t>
      </w:r>
      <w:r w:rsidRPr="00363AAD">
        <w:t xml:space="preserve"> EU (</w:t>
      </w:r>
      <w:r w:rsidRPr="00363AAD">
        <w:rPr>
          <w:i/>
          <w:iCs/>
        </w:rPr>
        <w:t>i.e.,</w:t>
      </w:r>
      <w:r w:rsidRPr="00363AAD">
        <w:t xml:space="preserve"> 325</w:t>
      </w:r>
      <w:r w:rsidR="00DD582C" w:rsidRPr="00363AAD">
        <w:t>.1</w:t>
      </w:r>
      <w:r w:rsidRPr="00363AAD">
        <w:t xml:space="preserve"> Gt CO</w:t>
      </w:r>
      <w:r w:rsidRPr="00363AAD">
        <w:rPr>
          <w:vertAlign w:val="subscript"/>
        </w:rPr>
        <w:t>2</w:t>
      </w:r>
      <w:r w:rsidRPr="00363AAD">
        <w:t xml:space="preserve">). At </w:t>
      </w:r>
      <w:r w:rsidR="001D688A" w:rsidRPr="00363AAD">
        <w:t xml:space="preserve">the </w:t>
      </w:r>
      <w:r w:rsidRPr="00363AAD">
        <w:t>country level,</w:t>
      </w:r>
      <w:r w:rsidR="00A31909" w:rsidRPr="00363AAD">
        <w:t xml:space="preserve"> wealthier countries would lead CDR efforts, with Luxembourg, Denmark and the Netherlands accounting for roughly 19% of cumulative CDR. </w:t>
      </w:r>
      <w:r w:rsidR="003B1DE5" w:rsidRPr="00363AAD">
        <w:t>As already discussed in the main manuscript, g</w:t>
      </w:r>
      <w:r w:rsidR="00A31909" w:rsidRPr="00363AAD">
        <w:t>iven the link between affluence and energy consumption</w:t>
      </w:r>
      <w:r w:rsidR="00A31909" w:rsidRPr="007D093C">
        <w:fldChar w:fldCharType="begin" w:fldLock="1"/>
      </w:r>
      <w:r w:rsidR="000E1B1C" w:rsidRPr="00363AAD">
        <w:instrText>ADDIN CSL_CITATION {"citationItems":[{"id":"ITEM-1","itemData":{"author":[{"dropping-particle":"","family":"Chontanawat","given":"Jaruwan","non-dropping-particle":"","parse-names":false,"suffix":""},{"dropping-particle":"","family":"Hunt","given":"Lester C","non-dropping-particle":"","parse-names":false,"suffix":""},{"dropping-particle":"","family":"Pierse","given":"Richard","non-dropping-particle":"","parse-names":false,"suffix":""}],"container-title":"Journal of policy modeling","id":"ITEM-1","issue":"2","issued":{"date-parts":[["2008"]]},"page":"209-220","publisher":"Elsevier","title":"Does energy consumption cause economic growth?: Evidence from a systematic study of over 100 countries","type":"article-journal","volume":"30"},"uris":["http://www.mendeley.com/documents/?uuid=6a2872a2-aeb0-495e-901c-d48caecb614e","http://www.mendeley.com/documents/?uuid=02a9c30f-e7b3-471a-b6e6-6192bbce0953","http://www.mendeley.com/documents/?uuid=4d0139cf-ec84-4f8d-9da3-f838b2f04622"]}],"mendeley":{"formattedCitation":"&lt;sup&gt;14&lt;/sup&gt;","plainTextFormattedCitation":"14","previouslyFormattedCitation":"&lt;sup&gt;14&lt;/sup&gt;"},"properties":{"noteIndex":0},"schema":"https://github.com/citation-style-language/schema/raw/master/csl-citation.json"}</w:instrText>
      </w:r>
      <w:r w:rsidR="00A31909" w:rsidRPr="007D093C">
        <w:fldChar w:fldCharType="separate"/>
      </w:r>
      <w:r w:rsidR="000E1B1C" w:rsidRPr="007D093C">
        <w:rPr>
          <w:noProof/>
          <w:vertAlign w:val="superscript"/>
        </w:rPr>
        <w:t>14</w:t>
      </w:r>
      <w:r w:rsidR="00A31909" w:rsidRPr="007D093C">
        <w:fldChar w:fldCharType="end"/>
      </w:r>
      <w:r w:rsidR="00A31909" w:rsidRPr="007D093C">
        <w:t xml:space="preserve">, one would expect </w:t>
      </w:r>
      <w:r w:rsidR="00A31909" w:rsidRPr="007D093C">
        <w:rPr>
          <w:i/>
        </w:rPr>
        <w:t>Capability</w:t>
      </w:r>
      <w:r w:rsidR="00A31909" w:rsidRPr="00363AAD">
        <w:t xml:space="preserve"> and </w:t>
      </w:r>
      <w:r w:rsidR="00A31909" w:rsidRPr="00363AAD">
        <w:rPr>
          <w:i/>
        </w:rPr>
        <w:t xml:space="preserve">Responsibility </w:t>
      </w:r>
      <w:r w:rsidR="00A31909" w:rsidRPr="00363AAD">
        <w:t xml:space="preserve">principles to lead to similar quotas. In practice, a mismatch is observed, where countries such as France would be assigned a </w:t>
      </w:r>
      <w:r w:rsidR="00DD582C" w:rsidRPr="00363AAD">
        <w:t>34</w:t>
      </w:r>
      <w:r w:rsidR="00A31909" w:rsidRPr="00363AAD">
        <w:t xml:space="preserve">% lower quota in the </w:t>
      </w:r>
      <w:r w:rsidR="00A31909" w:rsidRPr="00363AAD">
        <w:rPr>
          <w:i/>
        </w:rPr>
        <w:t>Responsibility</w:t>
      </w:r>
      <w:r w:rsidR="00A31909" w:rsidRPr="00363AAD">
        <w:t xml:space="preserve"> principle</w:t>
      </w:r>
      <w:r w:rsidR="00DD582C" w:rsidRPr="00363AAD">
        <w:t xml:space="preserve"> (9.</w:t>
      </w:r>
      <w:r w:rsidR="001E7C07" w:rsidRPr="00363AAD">
        <w:t>2</w:t>
      </w:r>
      <w:r w:rsidR="00DD582C" w:rsidRPr="00363AAD">
        <w:t xml:space="preserve"> vs 14.0 Gt CO</w:t>
      </w:r>
      <w:r w:rsidR="00DD582C" w:rsidRPr="00363AAD">
        <w:rPr>
          <w:vertAlign w:val="subscript"/>
        </w:rPr>
        <w:t>2</w:t>
      </w:r>
      <w:r w:rsidR="00DD582C" w:rsidRPr="00363AAD">
        <w:t>)</w:t>
      </w:r>
      <w:r w:rsidR="00A31909" w:rsidRPr="00363AAD">
        <w:t xml:space="preserve"> due to its early move towards low-carbon energy, shifting from a fossil-based mix in 1970 to a nuclear-based portfolio by 1985</w:t>
      </w:r>
      <w:r w:rsidR="00A31909" w:rsidRPr="007D093C">
        <w:fldChar w:fldCharType="begin" w:fldLock="1"/>
      </w:r>
      <w:r w:rsidR="000E1B1C" w:rsidRPr="00363AAD">
        <w:instrText>ADDIN CSL_CITATION {"citationItems":[{"id":"ITEM-1","itemData":{"id":"ITEM-1","issued":{"date-parts":[["0"]]},"title":"World Development Indicators | DataBank","type":"webpage"},"uris":["http://www.mendeley.com/documents/?uuid=632f559d-f893-4534-a208-267261c03db5"]}],"mendeley":{"formattedCitation":"&lt;sup&gt;15&lt;/sup&gt;","plainTextFormattedCitation":"15","previouslyFormattedCitation":"&lt;sup&gt;15&lt;/sup&gt;"},"properties":{"noteIndex":0},"schema":"https://github.com/citation-style-language/schema/raw/master/csl-citation.json"}</w:instrText>
      </w:r>
      <w:r w:rsidR="00A31909" w:rsidRPr="007D093C">
        <w:fldChar w:fldCharType="separate"/>
      </w:r>
      <w:r w:rsidR="000E1B1C" w:rsidRPr="007D093C">
        <w:rPr>
          <w:noProof/>
          <w:vertAlign w:val="superscript"/>
        </w:rPr>
        <w:t>15</w:t>
      </w:r>
      <w:r w:rsidR="00A31909" w:rsidRPr="007D093C">
        <w:fldChar w:fldCharType="end"/>
      </w:r>
      <w:r w:rsidR="00A31909" w:rsidRPr="007D093C">
        <w:t xml:space="preserve">. </w:t>
      </w:r>
      <w:r w:rsidR="003B1DE5" w:rsidRPr="007D093C">
        <w:t xml:space="preserve">Hence, again, </w:t>
      </w:r>
      <w:r w:rsidR="003B1DE5" w:rsidRPr="007D093C">
        <w:lastRenderedPageBreak/>
        <w:t>t</w:t>
      </w:r>
      <w:r w:rsidR="00A31909" w:rsidRPr="00363AAD">
        <w:t xml:space="preserve">he </w:t>
      </w:r>
      <w:r w:rsidR="00A31909" w:rsidRPr="00363AAD">
        <w:rPr>
          <w:i/>
        </w:rPr>
        <w:t>Responsibility</w:t>
      </w:r>
      <w:r w:rsidR="00A31909" w:rsidRPr="00363AAD">
        <w:t xml:space="preserve"> principle</w:t>
      </w:r>
      <w:r w:rsidR="003B1DE5" w:rsidRPr="00363AAD">
        <w:t xml:space="preserve"> applied in absolute terms </w:t>
      </w:r>
      <w:r w:rsidR="00A31909" w:rsidRPr="00363AAD">
        <w:t>would</w:t>
      </w:r>
      <w:r w:rsidR="003B1DE5" w:rsidRPr="00363AAD">
        <w:t xml:space="preserve"> also</w:t>
      </w:r>
      <w:r w:rsidR="00A31909" w:rsidRPr="00363AAD">
        <w:t xml:space="preserve"> favour countries taking early mitigation actions</w:t>
      </w:r>
      <w:r w:rsidR="003B1DE5" w:rsidRPr="00363AAD">
        <w:t>.</w:t>
      </w:r>
      <w:r w:rsidR="00A31909" w:rsidRPr="00363AAD">
        <w:t xml:space="preserve"> </w:t>
      </w:r>
    </w:p>
    <w:p w14:paraId="72484AD2" w14:textId="3D5C169F" w:rsidR="00B3420D" w:rsidRPr="00363AAD" w:rsidRDefault="00A31909" w:rsidP="00DD582C">
      <w:pPr>
        <w:jc w:val="both"/>
      </w:pPr>
      <w:r w:rsidRPr="00363AAD">
        <w:t xml:space="preserve">Under the </w:t>
      </w:r>
      <w:r w:rsidRPr="00363AAD">
        <w:rPr>
          <w:i/>
        </w:rPr>
        <w:t>Equality</w:t>
      </w:r>
      <w:r w:rsidRPr="00363AAD">
        <w:t xml:space="preserve"> principle,</w:t>
      </w:r>
      <w:r w:rsidR="0079745C" w:rsidRPr="00363AAD">
        <w:t xml:space="preserve"> </w:t>
      </w:r>
      <w:r w:rsidR="001D688A" w:rsidRPr="00363AAD">
        <w:t xml:space="preserve">the </w:t>
      </w:r>
      <w:r w:rsidR="0079745C" w:rsidRPr="00363AAD">
        <w:t xml:space="preserve">EU would have to provide </w:t>
      </w:r>
      <w:r w:rsidR="00DD582C" w:rsidRPr="00363AAD">
        <w:t>32.9</w:t>
      </w:r>
      <w:r w:rsidR="0079745C" w:rsidRPr="00363AAD">
        <w:t xml:space="preserve"> Gt CO</w:t>
      </w:r>
      <w:r w:rsidR="0079745C" w:rsidRPr="00363AAD">
        <w:rPr>
          <w:vertAlign w:val="subscript"/>
        </w:rPr>
        <w:t>2</w:t>
      </w:r>
      <w:r w:rsidR="0079745C" w:rsidRPr="00363AAD">
        <w:t>, an amount almost 10 time</w:t>
      </w:r>
      <w:r w:rsidR="00DD582C" w:rsidRPr="00363AAD">
        <w:t>s</w:t>
      </w:r>
      <w:r w:rsidR="0079745C" w:rsidRPr="00363AAD">
        <w:t xml:space="preserve"> smaller </w:t>
      </w:r>
      <w:r w:rsidR="001D58B2" w:rsidRPr="00363AAD">
        <w:t>than</w:t>
      </w:r>
      <w:r w:rsidR="0079745C" w:rsidRPr="00363AAD">
        <w:t xml:space="preserve"> with the </w:t>
      </w:r>
      <w:r w:rsidR="0079745C" w:rsidRPr="00363AAD">
        <w:rPr>
          <w:i/>
          <w:iCs/>
        </w:rPr>
        <w:t>Capability</w:t>
      </w:r>
      <w:r w:rsidR="0079745C" w:rsidRPr="00363AAD">
        <w:t xml:space="preserve"> principle.</w:t>
      </w:r>
      <w:r w:rsidR="00B3420D" w:rsidRPr="00363AAD">
        <w:t xml:space="preserve"> Here</w:t>
      </w:r>
      <w:r w:rsidR="00275902" w:rsidRPr="00363AAD">
        <w:t>,</w:t>
      </w:r>
      <w:r w:rsidR="00B3420D" w:rsidRPr="00363AAD">
        <w:t xml:space="preserve"> the</w:t>
      </w:r>
      <w:r w:rsidRPr="00363AAD">
        <w:t xml:space="preserve"> mo</w:t>
      </w:r>
      <w:r w:rsidR="001D58B2" w:rsidRPr="00363AAD">
        <w:t>st</w:t>
      </w:r>
      <w:r w:rsidRPr="00363AAD">
        <w:t xml:space="preserve"> populous countries would be assigned most of the CDR efforts, with </w:t>
      </w:r>
      <w:r w:rsidR="001E7C07" w:rsidRPr="00363AAD">
        <w:t>Great Britain</w:t>
      </w:r>
      <w:r w:rsidRPr="00363AAD">
        <w:t xml:space="preserve">, Germany, France and Italy </w:t>
      </w:r>
      <w:r w:rsidR="00740E12" w:rsidRPr="00363AAD">
        <w:t xml:space="preserve">being </w:t>
      </w:r>
      <w:r w:rsidRPr="00363AAD">
        <w:t xml:space="preserve">allocated more than 57% of cumulative CDR in 2100. In contrast, the least populous countries such as Malta, Estonia, Luxemburg, Latvia and Cyprus would contribute marginally (1.0% share altogether). This principle leads to the largest disparities in CDR quotas, found between </w:t>
      </w:r>
      <w:r w:rsidR="001E7C07" w:rsidRPr="00363AAD">
        <w:t>Great Britain</w:t>
      </w:r>
      <w:r w:rsidRPr="00363AAD">
        <w:t xml:space="preserve"> with </w:t>
      </w:r>
      <w:r w:rsidR="00364AD6" w:rsidRPr="00363AAD">
        <w:t>5.3</w:t>
      </w:r>
      <w:r w:rsidRPr="00363AAD">
        <w:t xml:space="preserve"> Gt CO</w:t>
      </w:r>
      <w:r w:rsidRPr="00363AAD">
        <w:rPr>
          <w:vertAlign w:val="subscript"/>
        </w:rPr>
        <w:t>2</w:t>
      </w:r>
      <w:r w:rsidRPr="00363AAD">
        <w:t xml:space="preserve"> and Malta with 0.0</w:t>
      </w:r>
      <w:r w:rsidR="00364AD6" w:rsidRPr="00363AAD">
        <w:t>3</w:t>
      </w:r>
      <w:r w:rsidRPr="00363AAD">
        <w:t xml:space="preserve"> Gt CO</w:t>
      </w:r>
      <w:r w:rsidRPr="00363AAD">
        <w:rPr>
          <w:vertAlign w:val="subscript"/>
        </w:rPr>
        <w:t>2</w:t>
      </w:r>
      <w:r w:rsidRPr="00363AAD">
        <w:t>.</w:t>
      </w:r>
    </w:p>
    <w:p w14:paraId="5A6B619C" w14:textId="1CAAA816" w:rsidR="00A31909" w:rsidRPr="00363AAD" w:rsidRDefault="00B3420D" w:rsidP="00DD582C">
      <w:pPr>
        <w:jc w:val="both"/>
        <w:rPr>
          <w:sz w:val="22"/>
          <w:szCs w:val="22"/>
        </w:rPr>
      </w:pPr>
      <w:r w:rsidRPr="00363AAD">
        <w:t>As seen in Supplementary Fig.</w:t>
      </w:r>
      <w:r w:rsidR="00627C4D" w:rsidRPr="00363AAD">
        <w:t>2</w:t>
      </w:r>
      <w:r w:rsidRPr="00363AAD">
        <w:t>, t</w:t>
      </w:r>
      <w:r w:rsidR="00A31909" w:rsidRPr="00363AAD">
        <w:t xml:space="preserve">he three fairness principles lead to different quotas assigned to each </w:t>
      </w:r>
      <w:r w:rsidR="00A20E38" w:rsidRPr="00363AAD">
        <w:t xml:space="preserve">EU </w:t>
      </w:r>
      <w:r w:rsidR="00A31909" w:rsidRPr="00363AAD">
        <w:t xml:space="preserve">country, with extreme cases such as Luxembourg, </w:t>
      </w:r>
      <w:r w:rsidR="005203F5" w:rsidRPr="00363AAD">
        <w:t>showing a</w:t>
      </w:r>
      <w:r w:rsidR="00A31909" w:rsidRPr="00363AAD">
        <w:t xml:space="preserve"> </w:t>
      </w:r>
      <w:r w:rsidR="00A31909" w:rsidRPr="00363AAD">
        <w:rPr>
          <w:i/>
        </w:rPr>
        <w:t>Responsibility</w:t>
      </w:r>
      <w:r w:rsidR="00A31909" w:rsidRPr="00363AAD">
        <w:t xml:space="preserve"> quota more than </w:t>
      </w:r>
      <w:r w:rsidRPr="00363AAD">
        <w:t>46</w:t>
      </w:r>
      <w:r w:rsidR="00364AD6" w:rsidRPr="00363AAD">
        <w:t>1</w:t>
      </w:r>
      <w:r w:rsidR="00A31909" w:rsidRPr="00363AAD">
        <w:t xml:space="preserve"> times</w:t>
      </w:r>
      <w:r w:rsidR="005203F5" w:rsidRPr="00363AAD">
        <w:t xml:space="preserve"> higher than</w:t>
      </w:r>
      <w:r w:rsidR="00A31909" w:rsidRPr="00363AAD">
        <w:t xml:space="preserve"> </w:t>
      </w:r>
      <w:r w:rsidR="001D58B2" w:rsidRPr="00363AAD">
        <w:t>the</w:t>
      </w:r>
      <w:r w:rsidR="00A31909" w:rsidRPr="00363AAD">
        <w:t xml:space="preserve"> </w:t>
      </w:r>
      <w:r w:rsidR="00A31909" w:rsidRPr="00363AAD">
        <w:rPr>
          <w:i/>
        </w:rPr>
        <w:t>Equality</w:t>
      </w:r>
      <w:r w:rsidR="00A31909" w:rsidRPr="00363AAD">
        <w:t xml:space="preserve"> one. </w:t>
      </w:r>
      <w:r w:rsidRPr="00363AAD">
        <w:t xml:space="preserve">To </w:t>
      </w:r>
      <w:r w:rsidR="00235979" w:rsidRPr="00363AAD">
        <w:t>alleviate the divergence among principles</w:t>
      </w:r>
      <w:r w:rsidRPr="00363AAD">
        <w:t xml:space="preserve">, the quotas resulting from the three </w:t>
      </w:r>
      <w:proofErr w:type="spellStart"/>
      <w:r w:rsidRPr="00363AAD">
        <w:t>principles</w:t>
      </w:r>
      <w:proofErr w:type="spellEnd"/>
      <w:r w:rsidR="00FE66AB" w:rsidRPr="00363AAD">
        <w:t xml:space="preserve"> were combined</w:t>
      </w:r>
      <w:r w:rsidRPr="00363AAD">
        <w:t xml:space="preserve"> according</w:t>
      </w:r>
      <w:r w:rsidR="001D688A" w:rsidRPr="00363AAD">
        <w:t xml:space="preserve"> to</w:t>
      </w:r>
      <w:r w:rsidRPr="00363AAD">
        <w:t xml:space="preserve"> the </w:t>
      </w:r>
      <w:r w:rsidRPr="00363AAD">
        <w:rPr>
          <w:rFonts w:eastAsiaTheme="minorEastAsia"/>
          <w:i/>
        </w:rPr>
        <w:t>Multi-criteria</w:t>
      </w:r>
      <w:r w:rsidRPr="00363AAD">
        <w:rPr>
          <w:rFonts w:eastAsiaTheme="minorEastAsia"/>
        </w:rPr>
        <w:t xml:space="preserve"> approach (see </w:t>
      </w:r>
      <w:r w:rsidR="00CA0182" w:rsidRPr="00363AAD">
        <w:rPr>
          <w:rFonts w:eastAsiaTheme="minorEastAsia"/>
        </w:rPr>
        <w:t>s</w:t>
      </w:r>
      <w:r w:rsidRPr="00363AAD">
        <w:rPr>
          <w:rFonts w:eastAsiaTheme="minorEastAsia"/>
        </w:rPr>
        <w:t>ection</w:t>
      </w:r>
      <w:r w:rsidR="00627C4D" w:rsidRPr="00363AAD">
        <w:rPr>
          <w:rFonts w:eastAsiaTheme="minorEastAsia"/>
        </w:rPr>
        <w:t xml:space="preserve"> on Multi-criteria cumulative CDR quotas</w:t>
      </w:r>
      <w:r w:rsidRPr="00363AAD">
        <w:rPr>
          <w:rFonts w:eastAsiaTheme="minorEastAsia"/>
        </w:rPr>
        <w:t xml:space="preserve"> in</w:t>
      </w:r>
      <w:r w:rsidR="00627C4D" w:rsidRPr="00363AAD">
        <w:rPr>
          <w:rFonts w:eastAsiaTheme="minorEastAsia"/>
        </w:rPr>
        <w:t xml:space="preserve"> this document</w:t>
      </w:r>
      <w:r w:rsidRPr="00363AAD">
        <w:rPr>
          <w:rFonts w:eastAsiaTheme="minorEastAsia"/>
        </w:rPr>
        <w:t xml:space="preserve"> for </w:t>
      </w:r>
      <w:r w:rsidR="00B930D8" w:rsidRPr="00363AAD">
        <w:rPr>
          <w:rFonts w:eastAsiaTheme="minorEastAsia"/>
        </w:rPr>
        <w:t xml:space="preserve">further </w:t>
      </w:r>
      <w:r w:rsidRPr="00363AAD">
        <w:rPr>
          <w:rFonts w:eastAsiaTheme="minorEastAsia"/>
        </w:rPr>
        <w:t>detail</w:t>
      </w:r>
      <w:r w:rsidR="00B930D8" w:rsidRPr="00363AAD">
        <w:rPr>
          <w:rFonts w:eastAsiaTheme="minorEastAsia"/>
        </w:rPr>
        <w:t>s</w:t>
      </w:r>
      <w:r w:rsidRPr="00363AAD">
        <w:rPr>
          <w:rFonts w:eastAsiaTheme="minorEastAsia"/>
        </w:rPr>
        <w:t xml:space="preserve"> on the </w:t>
      </w:r>
      <w:r w:rsidR="00B930D8" w:rsidRPr="00363AAD">
        <w:rPr>
          <w:rFonts w:eastAsiaTheme="minorEastAsia"/>
        </w:rPr>
        <w:t>approach</w:t>
      </w:r>
      <w:r w:rsidRPr="00363AAD">
        <w:rPr>
          <w:rFonts w:eastAsiaTheme="minorEastAsia"/>
        </w:rPr>
        <w:t>)</w:t>
      </w:r>
      <w:r w:rsidR="003B1DE5" w:rsidRPr="00363AAD">
        <w:rPr>
          <w:rFonts w:eastAsiaTheme="minorEastAsia"/>
        </w:rPr>
        <w:t>,</w:t>
      </w:r>
      <w:r w:rsidR="00CA0182" w:rsidRPr="00363AAD">
        <w:rPr>
          <w:rFonts w:eastAsiaTheme="minorEastAsia"/>
        </w:rPr>
        <w:t xml:space="preserve"> finding that</w:t>
      </w:r>
      <w:r w:rsidRPr="00363AAD">
        <w:rPr>
          <w:rFonts w:eastAsiaTheme="minorEastAsia"/>
        </w:rPr>
        <w:t xml:space="preserve"> E</w:t>
      </w:r>
      <w:r w:rsidR="00CA0182" w:rsidRPr="00363AAD">
        <w:rPr>
          <w:rFonts w:eastAsiaTheme="minorEastAsia"/>
        </w:rPr>
        <w:t>U</w:t>
      </w:r>
      <w:r w:rsidRPr="00363AAD">
        <w:rPr>
          <w:rFonts w:eastAsiaTheme="minorEastAsia"/>
        </w:rPr>
        <w:t xml:space="preserve"> would have to remove</w:t>
      </w:r>
      <w:r w:rsidR="00235979" w:rsidRPr="00363AAD">
        <w:rPr>
          <w:rFonts w:eastAsiaTheme="minorEastAsia"/>
        </w:rPr>
        <w:t xml:space="preserve"> collectively</w:t>
      </w:r>
      <w:r w:rsidRPr="00363AAD">
        <w:rPr>
          <w:rFonts w:eastAsiaTheme="minorEastAsia"/>
        </w:rPr>
        <w:t xml:space="preserve"> </w:t>
      </w:r>
      <w:r w:rsidRPr="00363AAD">
        <w:t>154.3 Gt CO</w:t>
      </w:r>
      <w:r w:rsidRPr="00363AAD">
        <w:rPr>
          <w:vertAlign w:val="subscript"/>
        </w:rPr>
        <w:t>2</w:t>
      </w:r>
      <w:r w:rsidRPr="00363AAD">
        <w:rPr>
          <w:rFonts w:eastAsiaTheme="minorEastAsia"/>
        </w:rPr>
        <w:t>.</w:t>
      </w:r>
      <w:r w:rsidR="00CA0182" w:rsidRPr="00363AAD">
        <w:rPr>
          <w:rFonts w:eastAsiaTheme="minorEastAsia"/>
        </w:rPr>
        <w:t xml:space="preserve"> The weights derived from the voting approach would be 0.14, 0.31 and 0.55 for the </w:t>
      </w:r>
      <w:r w:rsidR="00CA0182" w:rsidRPr="00363AAD">
        <w:rPr>
          <w:rFonts w:eastAsiaTheme="minorEastAsia"/>
          <w:i/>
          <w:iCs/>
        </w:rPr>
        <w:t>Responsibility</w:t>
      </w:r>
      <w:r w:rsidR="00CA0182" w:rsidRPr="00363AAD">
        <w:rPr>
          <w:rFonts w:eastAsiaTheme="minorEastAsia"/>
        </w:rPr>
        <w:t xml:space="preserve">, </w:t>
      </w:r>
      <w:r w:rsidR="00CA0182" w:rsidRPr="00363AAD">
        <w:rPr>
          <w:rFonts w:eastAsiaTheme="minorEastAsia"/>
          <w:i/>
          <w:iCs/>
        </w:rPr>
        <w:t>Capability</w:t>
      </w:r>
      <w:r w:rsidR="00CA0182" w:rsidRPr="00363AAD">
        <w:rPr>
          <w:rFonts w:eastAsiaTheme="minorEastAsia"/>
        </w:rPr>
        <w:t xml:space="preserve"> and </w:t>
      </w:r>
      <w:r w:rsidR="00CA0182" w:rsidRPr="00363AAD">
        <w:rPr>
          <w:rFonts w:eastAsiaTheme="minorEastAsia"/>
          <w:i/>
          <w:iCs/>
        </w:rPr>
        <w:t>Equality</w:t>
      </w:r>
      <w:r w:rsidR="00CA0182" w:rsidRPr="00363AAD">
        <w:rPr>
          <w:rFonts w:eastAsiaTheme="minorEastAsia"/>
        </w:rPr>
        <w:t xml:space="preserve"> principles</w:t>
      </w:r>
      <w:r w:rsidR="00DF74CF" w:rsidRPr="00363AAD">
        <w:rPr>
          <w:rFonts w:eastAsiaTheme="minorEastAsia"/>
        </w:rPr>
        <w:t>, respectively</w:t>
      </w:r>
      <w:r w:rsidR="00CA0182" w:rsidRPr="00363AAD">
        <w:rPr>
          <w:rFonts w:eastAsiaTheme="minorEastAsia"/>
        </w:rPr>
        <w:t xml:space="preserve"> since </w:t>
      </w:r>
      <w:r w:rsidR="00CA0182" w:rsidRPr="00363AAD">
        <w:rPr>
          <w:rFonts w:eastAsiaTheme="minorEastAsia"/>
          <w:i/>
          <w:iCs/>
        </w:rPr>
        <w:t>Equality</w:t>
      </w:r>
      <w:r w:rsidR="00CA0182" w:rsidRPr="00363AAD">
        <w:rPr>
          <w:rFonts w:eastAsiaTheme="minorEastAsia"/>
        </w:rPr>
        <w:t xml:space="preserve"> favours more counties.</w:t>
      </w:r>
      <w:r w:rsidR="00B930D8" w:rsidRPr="00363AAD">
        <w:rPr>
          <w:rFonts w:eastAsiaTheme="minorEastAsia"/>
        </w:rPr>
        <w:t xml:space="preserve"> </w:t>
      </w:r>
      <w:r w:rsidR="00B930D8" w:rsidRPr="00363AAD">
        <w:t xml:space="preserve">In this case, </w:t>
      </w:r>
      <w:r w:rsidR="00A20E38" w:rsidRPr="00363AAD">
        <w:t>Luxemburg</w:t>
      </w:r>
      <w:r w:rsidR="00B930D8" w:rsidRPr="00363AAD">
        <w:t xml:space="preserve"> (</w:t>
      </w:r>
      <w:r w:rsidR="00A20E38" w:rsidRPr="00363AAD">
        <w:t>10.9 Gt CO</w:t>
      </w:r>
      <w:r w:rsidR="00A20E38" w:rsidRPr="00363AAD">
        <w:rPr>
          <w:vertAlign w:val="subscript"/>
        </w:rPr>
        <w:t>2</w:t>
      </w:r>
      <w:r w:rsidR="00B930D8" w:rsidRPr="00363AAD">
        <w:t>), Germany (</w:t>
      </w:r>
      <w:r w:rsidR="00A20E38" w:rsidRPr="00363AAD">
        <w:t>10.2</w:t>
      </w:r>
      <w:r w:rsidR="00B930D8" w:rsidRPr="00363AAD">
        <w:t xml:space="preserve"> Gt CO</w:t>
      </w:r>
      <w:r w:rsidR="00B930D8" w:rsidRPr="00363AAD">
        <w:rPr>
          <w:vertAlign w:val="subscript"/>
        </w:rPr>
        <w:t>2</w:t>
      </w:r>
      <w:r w:rsidR="00B930D8" w:rsidRPr="00363AAD">
        <w:t>), UK (</w:t>
      </w:r>
      <w:r w:rsidR="00A20E38" w:rsidRPr="00363AAD">
        <w:t>9</w:t>
      </w:r>
      <w:r w:rsidR="00B930D8" w:rsidRPr="00363AAD">
        <w:t>.2 Gt CO</w:t>
      </w:r>
      <w:r w:rsidR="00B930D8" w:rsidRPr="00363AAD">
        <w:rPr>
          <w:vertAlign w:val="subscript"/>
        </w:rPr>
        <w:t>2</w:t>
      </w:r>
      <w:r w:rsidR="00B930D8" w:rsidRPr="00363AAD">
        <w:t>), France (</w:t>
      </w:r>
      <w:r w:rsidR="00A20E38" w:rsidRPr="00363AAD">
        <w:t>8.3</w:t>
      </w:r>
      <w:r w:rsidR="00B930D8" w:rsidRPr="00363AAD">
        <w:t xml:space="preserve"> Gt CO</w:t>
      </w:r>
      <w:r w:rsidR="00B930D8" w:rsidRPr="00363AAD">
        <w:rPr>
          <w:vertAlign w:val="subscript"/>
        </w:rPr>
        <w:t>2</w:t>
      </w:r>
      <w:r w:rsidR="00B930D8" w:rsidRPr="00363AAD">
        <w:t xml:space="preserve">), </w:t>
      </w:r>
      <w:r w:rsidR="00DF74CF" w:rsidRPr="00363AAD">
        <w:t xml:space="preserve">The </w:t>
      </w:r>
      <w:r w:rsidR="00A20E38" w:rsidRPr="00363AAD">
        <w:t>Ne</w:t>
      </w:r>
      <w:r w:rsidR="00DF74CF" w:rsidRPr="00363AAD">
        <w:t>the</w:t>
      </w:r>
      <w:r w:rsidR="00A20E38" w:rsidRPr="00363AAD">
        <w:t>rland</w:t>
      </w:r>
      <w:r w:rsidR="00DF74CF" w:rsidRPr="00363AAD">
        <w:t>s</w:t>
      </w:r>
      <w:r w:rsidR="00B930D8" w:rsidRPr="00363AAD">
        <w:t xml:space="preserve"> (</w:t>
      </w:r>
      <w:r w:rsidR="00A20E38" w:rsidRPr="00363AAD">
        <w:t>8.0</w:t>
      </w:r>
      <w:r w:rsidR="00B930D8" w:rsidRPr="00363AAD">
        <w:t xml:space="preserve"> Gt CO</w:t>
      </w:r>
      <w:r w:rsidR="00B930D8" w:rsidRPr="00363AAD">
        <w:rPr>
          <w:vertAlign w:val="subscript"/>
        </w:rPr>
        <w:t>2</w:t>
      </w:r>
      <w:r w:rsidR="00B930D8" w:rsidRPr="00363AAD">
        <w:t>)</w:t>
      </w:r>
      <w:r w:rsidR="00A20E38" w:rsidRPr="00363AAD">
        <w:t>, Italy (7.5 Gt CO</w:t>
      </w:r>
      <w:r w:rsidR="00A20E38" w:rsidRPr="00363AAD">
        <w:rPr>
          <w:vertAlign w:val="subscript"/>
        </w:rPr>
        <w:t>2</w:t>
      </w:r>
      <w:r w:rsidR="00A20E38" w:rsidRPr="00363AAD">
        <w:t xml:space="preserve">) </w:t>
      </w:r>
      <w:r w:rsidR="00B930D8" w:rsidRPr="00363AAD">
        <w:t xml:space="preserve">and </w:t>
      </w:r>
      <w:r w:rsidR="00A20E38" w:rsidRPr="00363AAD">
        <w:t>Denmark</w:t>
      </w:r>
      <w:r w:rsidR="00B930D8" w:rsidRPr="00363AAD">
        <w:t xml:space="preserve"> (</w:t>
      </w:r>
      <w:r w:rsidR="00A20E38" w:rsidRPr="00363AAD">
        <w:t>7.3</w:t>
      </w:r>
      <w:r w:rsidR="00B930D8" w:rsidRPr="00363AAD">
        <w:t xml:space="preserve"> Gt CO</w:t>
      </w:r>
      <w:r w:rsidR="00B930D8" w:rsidRPr="00363AAD">
        <w:rPr>
          <w:vertAlign w:val="subscript"/>
        </w:rPr>
        <w:t>2</w:t>
      </w:r>
      <w:r w:rsidR="00B930D8" w:rsidRPr="00363AAD">
        <w:t xml:space="preserve">) would lead the mitigation efforts accounting for </w:t>
      </w:r>
      <w:r w:rsidR="00A20E38" w:rsidRPr="00363AAD">
        <w:t>40</w:t>
      </w:r>
      <w:r w:rsidR="00B930D8" w:rsidRPr="00363AAD">
        <w:t>% of the</w:t>
      </w:r>
      <w:r w:rsidR="00A20E38" w:rsidRPr="00363AAD">
        <w:t xml:space="preserve"> overall</w:t>
      </w:r>
      <w:r w:rsidR="00B930D8" w:rsidRPr="00363AAD">
        <w:t xml:space="preserve"> CDR </w:t>
      </w:r>
      <w:r w:rsidR="00DF74CF" w:rsidRPr="00363AAD">
        <w:t>allocated to the</w:t>
      </w:r>
      <w:r w:rsidR="00A20E38" w:rsidRPr="00363AAD">
        <w:t xml:space="preserve"> EU</w:t>
      </w:r>
      <w:r w:rsidR="00B930D8" w:rsidRPr="00363AAD">
        <w:t xml:space="preserve">. In contrast, </w:t>
      </w:r>
      <w:r w:rsidR="003364D9" w:rsidRPr="00363AAD">
        <w:t xml:space="preserve">Bulgaria, Romania, Lithuania, Cyprus and Latvia </w:t>
      </w:r>
      <w:r w:rsidR="00B930D8" w:rsidRPr="00363AAD">
        <w:t>would be assigned a minor quota (&lt;</w:t>
      </w:r>
      <w:r w:rsidR="003364D9" w:rsidRPr="00363AAD">
        <w:t>3</w:t>
      </w:r>
      <w:r w:rsidR="00B930D8" w:rsidRPr="00363AAD">
        <w:t xml:space="preserve"> Gt CO</w:t>
      </w:r>
      <w:r w:rsidR="00B930D8" w:rsidRPr="00363AAD">
        <w:rPr>
          <w:vertAlign w:val="subscript"/>
        </w:rPr>
        <w:t>2</w:t>
      </w:r>
      <w:r w:rsidR="00B930D8" w:rsidRPr="00363AAD">
        <w:t xml:space="preserve"> each and less than </w:t>
      </w:r>
      <w:r w:rsidR="003364D9" w:rsidRPr="00363AAD">
        <w:t>8.3</w:t>
      </w:r>
      <w:r w:rsidR="00B930D8" w:rsidRPr="00363AAD">
        <w:t>% in total)</w:t>
      </w:r>
      <w:r w:rsidR="003364D9" w:rsidRPr="00363AAD">
        <w:t xml:space="preserve">. </w:t>
      </w:r>
      <w:r w:rsidR="00B930D8" w:rsidRPr="00363AAD">
        <w:t xml:space="preserve">Hence, even </w:t>
      </w:r>
      <w:r w:rsidR="007F06F1" w:rsidRPr="00363AAD">
        <w:t>in the</w:t>
      </w:r>
      <w:r w:rsidR="00B930D8" w:rsidRPr="00363AAD">
        <w:t xml:space="preserve"> </w:t>
      </w:r>
      <w:r w:rsidR="00B930D8" w:rsidRPr="00363AAD">
        <w:rPr>
          <w:i/>
        </w:rPr>
        <w:t xml:space="preserve">Multi-criteria </w:t>
      </w:r>
      <w:r w:rsidR="00B930D8" w:rsidRPr="00363AAD">
        <w:t>approach</w:t>
      </w:r>
      <w:r w:rsidR="000B3019" w:rsidRPr="00363AAD">
        <w:t>,</w:t>
      </w:r>
      <w:r w:rsidR="007F06F1" w:rsidRPr="00363AAD">
        <w:t xml:space="preserve"> </w:t>
      </w:r>
      <w:r w:rsidR="00B930D8" w:rsidRPr="00363AAD">
        <w:t xml:space="preserve">a certain level of disparity across country quotas will </w:t>
      </w:r>
      <w:proofErr w:type="gramStart"/>
      <w:r w:rsidR="00B930D8" w:rsidRPr="00363AAD">
        <w:t xml:space="preserve">still </w:t>
      </w:r>
      <w:r w:rsidR="00B930D8" w:rsidRPr="00363AAD">
        <w:lastRenderedPageBreak/>
        <w:t>persist</w:t>
      </w:r>
      <w:proofErr w:type="gramEnd"/>
      <w:r w:rsidR="007F06F1" w:rsidRPr="00363AAD">
        <w:t xml:space="preserve">, as it was discussed </w:t>
      </w:r>
      <w:r w:rsidR="00627C4D" w:rsidRPr="00363AAD">
        <w:t xml:space="preserve">previously </w:t>
      </w:r>
      <w:r w:rsidR="00740E12" w:rsidRPr="00363AAD">
        <w:t>for the alternative allocation</w:t>
      </w:r>
      <w:r w:rsidR="00B930D8" w:rsidRPr="00363AAD">
        <w:t xml:space="preserve">. Enforcing </w:t>
      </w:r>
      <w:r w:rsidR="00DF74CF" w:rsidRPr="00363AAD">
        <w:t>additional</w:t>
      </w:r>
      <w:r w:rsidR="00B930D8" w:rsidRPr="00363AAD">
        <w:t xml:space="preserve"> equity principles might help </w:t>
      </w:r>
      <w:r w:rsidR="001D688A" w:rsidRPr="00363AAD">
        <w:t>to converge</w:t>
      </w:r>
      <w:r w:rsidR="00B930D8" w:rsidRPr="00363AAD">
        <w:t xml:space="preserve"> to an intermediate solution where weights </w:t>
      </w:r>
      <w:r w:rsidR="00363AAD">
        <w:t>will still play a role</w:t>
      </w:r>
      <w:r w:rsidR="00B930D8" w:rsidRPr="00363AAD">
        <w:t xml:space="preserve">. In any case, populous and wealthy countries such as </w:t>
      </w:r>
      <w:r w:rsidR="00275902" w:rsidRPr="00363AAD">
        <w:t>Great Britain</w:t>
      </w:r>
      <w:r w:rsidR="00B930D8" w:rsidRPr="00363AAD">
        <w:t xml:space="preserve">, Germany or France would likely play a key role in the </w:t>
      </w:r>
      <w:r w:rsidR="000B3019" w:rsidRPr="00363AAD">
        <w:t>joint</w:t>
      </w:r>
      <w:r w:rsidR="00B930D8" w:rsidRPr="00363AAD">
        <w:t xml:space="preserve"> CDR</w:t>
      </w:r>
      <w:r w:rsidR="000B3019" w:rsidRPr="00363AAD">
        <w:t xml:space="preserve"> delivered by the EU countries</w:t>
      </w:r>
      <w:r w:rsidR="00B930D8" w:rsidRPr="00363AAD">
        <w:t>, regardless of the equity principle and sharing formula employed to allocate quotas.</w:t>
      </w:r>
      <w:r w:rsidR="00A31909" w:rsidRPr="00363AAD" w:rsidDel="003B7247">
        <w:rPr>
          <w:sz w:val="22"/>
          <w:szCs w:val="22"/>
        </w:rPr>
        <w:t xml:space="preserve"> </w:t>
      </w:r>
    </w:p>
    <w:p w14:paraId="648C794F" w14:textId="0EAE8855" w:rsidR="00062CD7" w:rsidRPr="00363AAD" w:rsidRDefault="00062CD7" w:rsidP="00062CD7">
      <w:pPr>
        <w:pStyle w:val="Heading2"/>
        <w:jc w:val="both"/>
      </w:pPr>
      <w:r w:rsidRPr="00363AAD">
        <w:t xml:space="preserve">CDR quotas within the UNFCCC parties </w:t>
      </w:r>
      <w:r w:rsidR="00740E12" w:rsidRPr="00363AAD">
        <w:t>o</w:t>
      </w:r>
      <w:r w:rsidRPr="00363AAD">
        <w:t>n per capita basis</w:t>
      </w:r>
    </w:p>
    <w:p w14:paraId="5519D0E0" w14:textId="59FF1C4C" w:rsidR="008709D6" w:rsidRPr="00363AAD" w:rsidRDefault="008709D6" w:rsidP="008709D6">
      <w:r w:rsidRPr="00363AAD">
        <w:t>As acknowledged in the main body of the manuscript, the</w:t>
      </w:r>
      <w:r w:rsidRPr="007D093C">
        <w:t xml:space="preserve"> quotas depend </w:t>
      </w:r>
      <w:r w:rsidRPr="00363AAD">
        <w:t>not only on the equity principles considered but also on the sharing rules or formulae used to implement them</w:t>
      </w:r>
      <w:r w:rsidRPr="007D093C">
        <w:fldChar w:fldCharType="begin" w:fldLock="1"/>
      </w:r>
      <w:r w:rsidR="000E1B1C" w:rsidRPr="00363AAD">
        <w:instrText>ADDIN CSL_CITATION {"citationItems":[{"id":"ITEM-1","itemData":{"author":[{"dropping-particle":"","family":"Rose","given":"Adam","non-dropping-particle":"","parse-names":false,"suffix":""}],"container-title":"Combating Global Warming, UNCTAD, Geneva","id":"ITEM-1","issued":{"date-parts":[["1992"]]},"title":"Equity considerations of tradable carbon emission entitlements","type":"article-journal"},"uris":["http://www.mendeley.com/documents/?uuid=71ae6ef3-1542-4096-bdbc-0e4bc56d1342","http://www.mendeley.com/documents/?uuid=b0586cb7-e6b5-4ccd-9158-55793213fe2c"]}],"mendeley":{"formattedCitation":"&lt;sup&gt;16&lt;/sup&gt;","plainTextFormattedCitation":"16","previouslyFormattedCitation":"&lt;sup&gt;16&lt;/sup&gt;"},"properties":{"noteIndex":0},"schema":"https://github.com/citation-style-language/schema/raw/master/csl-citation.json"}</w:instrText>
      </w:r>
      <w:r w:rsidRPr="007D093C">
        <w:fldChar w:fldCharType="separate"/>
      </w:r>
      <w:r w:rsidR="000E1B1C" w:rsidRPr="007D093C">
        <w:rPr>
          <w:noProof/>
          <w:vertAlign w:val="superscript"/>
        </w:rPr>
        <w:t>16</w:t>
      </w:r>
      <w:r w:rsidRPr="007D093C">
        <w:fldChar w:fldCharType="end"/>
      </w:r>
      <w:r w:rsidRPr="007D093C">
        <w:t xml:space="preserve">. </w:t>
      </w:r>
      <w:r w:rsidR="00DD6FC7" w:rsidRPr="007D093C">
        <w:t>Below</w:t>
      </w:r>
      <w:r w:rsidRPr="00363AAD">
        <w:t xml:space="preserve"> we show the results after allocating country shares on a per-capita basis instead of </w:t>
      </w:r>
      <w:r w:rsidR="00363AAD">
        <w:t>i</w:t>
      </w:r>
      <w:r w:rsidRPr="00363AAD">
        <w:t>n absolute terms</w:t>
      </w:r>
      <w:r w:rsidR="00DD6FC7" w:rsidRPr="00363AAD">
        <w:t xml:space="preserve"> (</w:t>
      </w:r>
      <w:r w:rsidRPr="00363AAD">
        <w:t>as illustrated in Fig. 2 in the</w:t>
      </w:r>
      <w:r w:rsidR="00C876DF" w:rsidRPr="00363AAD">
        <w:t xml:space="preserve"> </w:t>
      </w:r>
      <w:r w:rsidRPr="00363AAD">
        <w:t xml:space="preserve">manuscript). </w:t>
      </w:r>
    </w:p>
    <w:p w14:paraId="7C16AB28" w14:textId="77777777" w:rsidR="001D688A" w:rsidRPr="00363AAD" w:rsidRDefault="001D688A" w:rsidP="001D688A">
      <w:pPr>
        <w:jc w:val="both"/>
      </w:pPr>
    </w:p>
    <w:p w14:paraId="0CB1071C" w14:textId="77777777" w:rsidR="001D688A" w:rsidRPr="00363AAD" w:rsidRDefault="001D688A" w:rsidP="001D688A">
      <w:pPr>
        <w:jc w:val="both"/>
      </w:pPr>
    </w:p>
    <w:p w14:paraId="7E6A6E19" w14:textId="77777777" w:rsidR="001D688A" w:rsidRPr="00363AAD" w:rsidRDefault="001D688A" w:rsidP="00503AFC"/>
    <w:p w14:paraId="540EA65F" w14:textId="77777777" w:rsidR="00062CD7" w:rsidRPr="007D093C" w:rsidRDefault="00D1590B" w:rsidP="00255516">
      <w:pPr>
        <w:jc w:val="center"/>
      </w:pPr>
      <w:r w:rsidRPr="00133028">
        <w:rPr>
          <w:noProof/>
          <w:lang w:val="es-ES" w:eastAsia="es-ES"/>
        </w:rPr>
        <w:lastRenderedPageBreak/>
        <w:drawing>
          <wp:inline distT="0" distB="0" distL="0" distR="0" wp14:anchorId="2051F7E4" wp14:editId="1D8D022E">
            <wp:extent cx="5184404" cy="7868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upp relative UNFCC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2321" cy="7880270"/>
                    </a:xfrm>
                    <a:prstGeom prst="rect">
                      <a:avLst/>
                    </a:prstGeom>
                  </pic:spPr>
                </pic:pic>
              </a:graphicData>
            </a:graphic>
          </wp:inline>
        </w:drawing>
      </w:r>
    </w:p>
    <w:p w14:paraId="51117CED" w14:textId="2AED7451" w:rsidR="001D688A" w:rsidRPr="00363AAD" w:rsidRDefault="001D688A" w:rsidP="00432665">
      <w:pPr>
        <w:rPr>
          <w:sz w:val="22"/>
          <w:szCs w:val="22"/>
        </w:rPr>
      </w:pPr>
      <w:r w:rsidRPr="007D093C">
        <w:rPr>
          <w:b/>
          <w:sz w:val="22"/>
          <w:szCs w:val="22"/>
        </w:rPr>
        <w:t xml:space="preserve">Supplementary </w:t>
      </w:r>
      <w:r w:rsidR="00815833" w:rsidRPr="00363AAD">
        <w:rPr>
          <w:b/>
          <w:sz w:val="22"/>
          <w:szCs w:val="22"/>
        </w:rPr>
        <w:t xml:space="preserve">Fig. </w:t>
      </w:r>
      <w:r w:rsidR="00627C4D" w:rsidRPr="00363AAD">
        <w:rPr>
          <w:b/>
          <w:sz w:val="22"/>
          <w:szCs w:val="22"/>
        </w:rPr>
        <w:t>3</w:t>
      </w:r>
      <w:r w:rsidR="00815833" w:rsidRPr="00363AAD">
        <w:rPr>
          <w:b/>
          <w:sz w:val="22"/>
          <w:szCs w:val="22"/>
        </w:rPr>
        <w:t xml:space="preserve"> | Cumulative CDR quotas by 2100 for the UNFCCC countries according to different equity principles allocated on a per-capita basis.</w:t>
      </w:r>
      <w:r w:rsidR="00815833" w:rsidRPr="00363AAD">
        <w:rPr>
          <w:sz w:val="22"/>
          <w:szCs w:val="22"/>
        </w:rPr>
        <w:t xml:space="preserve"> </w:t>
      </w:r>
      <w:r w:rsidRPr="00363AAD">
        <w:rPr>
          <w:sz w:val="22"/>
          <w:szCs w:val="22"/>
        </w:rPr>
        <w:t>Map in s</w:t>
      </w:r>
      <w:r w:rsidR="00815833" w:rsidRPr="00363AAD">
        <w:rPr>
          <w:sz w:val="22"/>
          <w:szCs w:val="22"/>
        </w:rPr>
        <w:t xml:space="preserve">ubplot </w:t>
      </w:r>
      <w:r w:rsidR="00815833" w:rsidRPr="00363AAD">
        <w:rPr>
          <w:sz w:val="22"/>
          <w:szCs w:val="22"/>
        </w:rPr>
        <w:lastRenderedPageBreak/>
        <w:t xml:space="preserve">(a) shows </w:t>
      </w:r>
      <w:r w:rsidR="00815833" w:rsidRPr="00363AAD">
        <w:rPr>
          <w:i/>
          <w:sz w:val="22"/>
          <w:szCs w:val="22"/>
        </w:rPr>
        <w:t>Responsibility</w:t>
      </w:r>
      <w:r w:rsidR="00815833" w:rsidRPr="00363AAD">
        <w:rPr>
          <w:sz w:val="22"/>
          <w:szCs w:val="22"/>
        </w:rPr>
        <w:t xml:space="preserve"> quotas, subplot (b) corresponds to </w:t>
      </w:r>
      <w:r w:rsidR="00815833" w:rsidRPr="00363AAD">
        <w:rPr>
          <w:i/>
          <w:sz w:val="22"/>
          <w:szCs w:val="22"/>
        </w:rPr>
        <w:t>Capability</w:t>
      </w:r>
      <w:r w:rsidR="00815833" w:rsidRPr="00363AAD">
        <w:rPr>
          <w:sz w:val="22"/>
          <w:szCs w:val="22"/>
        </w:rPr>
        <w:t xml:space="preserve"> quotas, subplot (c) to </w:t>
      </w:r>
      <w:r w:rsidR="00815833" w:rsidRPr="00363AAD">
        <w:rPr>
          <w:i/>
          <w:sz w:val="22"/>
          <w:szCs w:val="22"/>
        </w:rPr>
        <w:t>Equality</w:t>
      </w:r>
      <w:r w:rsidR="00815833" w:rsidRPr="00363AAD">
        <w:rPr>
          <w:sz w:val="22"/>
          <w:szCs w:val="22"/>
        </w:rPr>
        <w:t xml:space="preserve"> quotas and subplot (d) to </w:t>
      </w:r>
      <w:r w:rsidR="00815833" w:rsidRPr="00363AAD">
        <w:rPr>
          <w:i/>
          <w:sz w:val="22"/>
          <w:szCs w:val="22"/>
        </w:rPr>
        <w:t>Multi-criteria</w:t>
      </w:r>
      <w:r w:rsidR="00815833" w:rsidRPr="00363AAD">
        <w:rPr>
          <w:sz w:val="22"/>
          <w:szCs w:val="22"/>
        </w:rPr>
        <w:t xml:space="preserve"> quotas based on voting. Countries are coloured according to their quota so </w:t>
      </w:r>
      <w:r w:rsidR="00740E12" w:rsidRPr="00363AAD">
        <w:rPr>
          <w:sz w:val="22"/>
          <w:szCs w:val="22"/>
        </w:rPr>
        <w:t>that</w:t>
      </w:r>
      <w:r w:rsidR="00815833" w:rsidRPr="00363AAD">
        <w:rPr>
          <w:sz w:val="22"/>
          <w:szCs w:val="22"/>
        </w:rPr>
        <w:t xml:space="preserve"> the darker the shade, the larger the quota (countries in grey: no data available). Pie charts show the results aggregated on SPP World regions (OECD: includes the OECD 90 and EU member states and candidates; REF:  Countries from the Reforming Economies of Eastern Europe and the Former Soviet Union; ASIA: Asian countries with the exception of the Middle East, Japan and Former Soviet Union states; M</w:t>
      </w:r>
      <w:r w:rsidR="00740E12" w:rsidRPr="00363AAD">
        <w:rPr>
          <w:sz w:val="22"/>
          <w:szCs w:val="22"/>
        </w:rPr>
        <w:t>A</w:t>
      </w:r>
      <w:r w:rsidR="00815833" w:rsidRPr="00363AAD">
        <w:rPr>
          <w:sz w:val="22"/>
          <w:szCs w:val="22"/>
        </w:rPr>
        <w:t>F: countries of the Middle East and Africa; LAM: Latin America and the Caribbean).</w:t>
      </w:r>
    </w:p>
    <w:p w14:paraId="5AEAF199" w14:textId="53349065" w:rsidR="00DD6FC7" w:rsidRPr="00363AAD" w:rsidRDefault="001D688A" w:rsidP="00FE66AB">
      <w:pPr>
        <w:jc w:val="both"/>
      </w:pPr>
      <w:r w:rsidRPr="00363AAD">
        <w:t xml:space="preserve">Supplementary Fig. </w:t>
      </w:r>
      <w:r w:rsidR="00627C4D" w:rsidRPr="00363AAD">
        <w:t>3</w:t>
      </w:r>
      <w:r w:rsidRPr="00363AAD">
        <w:t xml:space="preserve"> </w:t>
      </w:r>
      <w:r w:rsidR="00992A54" w:rsidRPr="00363AAD">
        <w:t>shows</w:t>
      </w:r>
      <w:r w:rsidRPr="00363AAD">
        <w:t xml:space="preserve"> the cumulative CDR quotas</w:t>
      </w:r>
      <w:r w:rsidR="008C7723" w:rsidRPr="00363AAD">
        <w:t xml:space="preserve"> derived on a per-capita basis</w:t>
      </w:r>
      <w:r w:rsidR="002B42EE" w:rsidRPr="00363AAD">
        <w:t xml:space="preserve"> for each UNFCCC country</w:t>
      </w:r>
      <w:r w:rsidR="007F06F1" w:rsidRPr="00363AAD">
        <w:t>. These were</w:t>
      </w:r>
      <w:r w:rsidR="002B42EE" w:rsidRPr="00363AAD">
        <w:t xml:space="preserve"> </w:t>
      </w:r>
      <w:r w:rsidRPr="00363AAD">
        <w:t>obtained from the alternative implementation of the equity principles</w:t>
      </w:r>
      <w:r w:rsidR="002B42EE" w:rsidRPr="00363AAD">
        <w:t xml:space="preserve"> based on</w:t>
      </w:r>
      <w:r w:rsidRPr="00363AAD">
        <w:t xml:space="preserve"> </w:t>
      </w:r>
      <w:r w:rsidR="00DF74CF" w:rsidRPr="00363AAD">
        <w:t xml:space="preserve">a </w:t>
      </w:r>
      <w:r w:rsidRPr="00363AAD">
        <w:t>global per-capita annual quota. D</w:t>
      </w:r>
      <w:r w:rsidR="009E1EE6" w:rsidRPr="00363AAD">
        <w:t xml:space="preserve">espite </w:t>
      </w:r>
      <w:r w:rsidR="002B42EE" w:rsidRPr="00363AAD">
        <w:t xml:space="preserve">relying </w:t>
      </w:r>
      <w:r w:rsidR="009E1EE6" w:rsidRPr="00363AAD">
        <w:t>on the same equity principles, th</w:t>
      </w:r>
      <w:r w:rsidR="004675F8" w:rsidRPr="00363AAD">
        <w:t>is</w:t>
      </w:r>
      <w:r w:rsidR="009E1EE6" w:rsidRPr="00363AAD">
        <w:t xml:space="preserve"> new sharing formula results in </w:t>
      </w:r>
      <w:r w:rsidR="002B42EE" w:rsidRPr="00363AAD">
        <w:t xml:space="preserve">very </w:t>
      </w:r>
      <w:r w:rsidR="009E1EE6" w:rsidRPr="00363AAD">
        <w:t>different cumulative CDR quotas allocated to each country in 2100</w:t>
      </w:r>
      <w:r w:rsidR="00D31647" w:rsidRPr="00363AAD">
        <w:t xml:space="preserve">. </w:t>
      </w:r>
      <w:r w:rsidR="00992A54" w:rsidRPr="00363AAD">
        <w:t>Broadly speaking,</w:t>
      </w:r>
      <w:r w:rsidR="008611B0" w:rsidRPr="00363AAD">
        <w:t xml:space="preserve"> </w:t>
      </w:r>
      <w:r w:rsidR="00992A54" w:rsidRPr="00363AAD">
        <w:t xml:space="preserve">with this sharing-approach based on </w:t>
      </w:r>
      <w:r w:rsidR="00BC7D70" w:rsidRPr="00363AAD">
        <w:t xml:space="preserve">a </w:t>
      </w:r>
      <w:r w:rsidR="00992A54" w:rsidRPr="00363AAD">
        <w:t>per-capita basis, populous regions/countries would</w:t>
      </w:r>
      <w:r w:rsidR="008611B0" w:rsidRPr="00363AAD">
        <w:t xml:space="preserve"> be penalised</w:t>
      </w:r>
      <w:r w:rsidR="00DF74CF" w:rsidRPr="00363AAD">
        <w:t>,</w:t>
      </w:r>
      <w:r w:rsidR="008611B0" w:rsidRPr="00363AAD">
        <w:t xml:space="preserve"> since they</w:t>
      </w:r>
      <w:r w:rsidR="00992A54" w:rsidRPr="00363AAD">
        <w:t xml:space="preserve"> </w:t>
      </w:r>
      <w:r w:rsidR="00DF74CF" w:rsidRPr="00363AAD">
        <w:t>would have to</w:t>
      </w:r>
      <w:r w:rsidR="00992A54" w:rsidRPr="00363AAD">
        <w:t xml:space="preserve"> provide higher cumulative CDR. For example, China </w:t>
      </w:r>
      <w:r w:rsidR="008611B0" w:rsidRPr="00363AAD">
        <w:t>presented</w:t>
      </w:r>
      <w:r w:rsidR="00992A54" w:rsidRPr="00363AAD">
        <w:t xml:space="preserve"> CDR quota</w:t>
      </w:r>
      <w:r w:rsidR="008611B0" w:rsidRPr="00363AAD">
        <w:t>s</w:t>
      </w:r>
      <w:r w:rsidR="008C7723" w:rsidRPr="00363AAD">
        <w:t xml:space="preserve"> on </w:t>
      </w:r>
      <w:r w:rsidR="00DF74CF" w:rsidRPr="00363AAD">
        <w:t xml:space="preserve">an </w:t>
      </w:r>
      <w:r w:rsidR="008C7723" w:rsidRPr="00363AAD">
        <w:t>absolute basis</w:t>
      </w:r>
      <w:r w:rsidR="00992A54" w:rsidRPr="00363AAD">
        <w:t xml:space="preserve"> </w:t>
      </w:r>
      <w:r w:rsidR="00DF74CF" w:rsidRPr="00363AAD">
        <w:t>equal to</w:t>
      </w:r>
      <w:r w:rsidR="00992A54" w:rsidRPr="00363AAD">
        <w:t xml:space="preserve"> 2.03, 1.90</w:t>
      </w:r>
      <w:r w:rsidR="00DB5FE4" w:rsidRPr="00363AAD">
        <w:t>,</w:t>
      </w:r>
      <w:r w:rsidR="004675F8" w:rsidRPr="00363AAD">
        <w:t xml:space="preserve"> </w:t>
      </w:r>
      <w:r w:rsidR="00992A54" w:rsidRPr="00363AAD">
        <w:t>83.73</w:t>
      </w:r>
      <w:r w:rsidR="00DB5FE4" w:rsidRPr="00363AAD">
        <w:t xml:space="preserve"> and 47.49</w:t>
      </w:r>
      <w:r w:rsidR="004675F8" w:rsidRPr="00363AAD">
        <w:t xml:space="preserve"> </w:t>
      </w:r>
      <w:bookmarkStart w:id="1" w:name="_Hlk23437497"/>
      <w:r w:rsidR="004675F8" w:rsidRPr="00363AAD">
        <w:t>Gt CO</w:t>
      </w:r>
      <w:r w:rsidR="004675F8" w:rsidRPr="00363AAD">
        <w:rPr>
          <w:vertAlign w:val="subscript"/>
        </w:rPr>
        <w:t>2</w:t>
      </w:r>
      <w:r w:rsidR="00992A54" w:rsidRPr="00363AAD">
        <w:t xml:space="preserve"> </w:t>
      </w:r>
      <w:bookmarkEnd w:id="1"/>
      <w:r w:rsidR="008611B0" w:rsidRPr="00363AAD">
        <w:t>for the</w:t>
      </w:r>
      <w:r w:rsidR="008611B0" w:rsidRPr="00363AAD">
        <w:rPr>
          <w:i/>
        </w:rPr>
        <w:t xml:space="preserve"> Responsibility, Capability</w:t>
      </w:r>
      <w:r w:rsidR="00DB5FE4" w:rsidRPr="00363AAD">
        <w:rPr>
          <w:i/>
        </w:rPr>
        <w:t xml:space="preserve">, </w:t>
      </w:r>
      <w:r w:rsidR="008611B0" w:rsidRPr="00363AAD">
        <w:rPr>
          <w:i/>
        </w:rPr>
        <w:t>Equality</w:t>
      </w:r>
      <w:r w:rsidR="00DB5FE4" w:rsidRPr="00363AAD">
        <w:rPr>
          <w:i/>
        </w:rPr>
        <w:t xml:space="preserve"> and Multi-criteria</w:t>
      </w:r>
      <w:r w:rsidR="008611B0" w:rsidRPr="00363AAD">
        <w:t xml:space="preserve"> principles</w:t>
      </w:r>
      <w:r w:rsidR="00DF74CF" w:rsidRPr="00363AAD">
        <w:t>, respectively</w:t>
      </w:r>
      <w:r w:rsidR="008611B0" w:rsidRPr="00363AAD">
        <w:t xml:space="preserve"> (Fig.1 in </w:t>
      </w:r>
      <w:r w:rsidR="00C876DF" w:rsidRPr="00363AAD">
        <w:t xml:space="preserve">the </w:t>
      </w:r>
      <w:r w:rsidR="008611B0" w:rsidRPr="00363AAD">
        <w:t>main manuscript</w:t>
      </w:r>
      <w:r w:rsidR="00627C4D" w:rsidRPr="00363AAD">
        <w:t xml:space="preserve"> and Supplementary Fig. 1</w:t>
      </w:r>
      <w:r w:rsidR="008611B0" w:rsidRPr="00363AAD">
        <w:t>)</w:t>
      </w:r>
      <w:r w:rsidR="00DF74CF" w:rsidRPr="00363AAD">
        <w:t>.</w:t>
      </w:r>
      <w:r w:rsidR="008611B0" w:rsidRPr="00363AAD">
        <w:t xml:space="preserve"> </w:t>
      </w:r>
      <w:r w:rsidR="00DF74CF" w:rsidRPr="00363AAD">
        <w:t>Mean</w:t>
      </w:r>
      <w:r w:rsidR="008611B0" w:rsidRPr="00363AAD">
        <w:t>while</w:t>
      </w:r>
      <w:r w:rsidR="00DF74CF" w:rsidRPr="00363AAD">
        <w:t>,</w:t>
      </w:r>
      <w:r w:rsidR="008611B0" w:rsidRPr="00363AAD">
        <w:t xml:space="preserve"> </w:t>
      </w:r>
      <w:r w:rsidR="008C7723" w:rsidRPr="00363AAD">
        <w:t>o</w:t>
      </w:r>
      <w:r w:rsidR="008611B0" w:rsidRPr="00363AAD">
        <w:t xml:space="preserve">n </w:t>
      </w:r>
      <w:r w:rsidR="00DF74CF" w:rsidRPr="00363AAD">
        <w:t xml:space="preserve">a </w:t>
      </w:r>
      <w:r w:rsidR="008611B0" w:rsidRPr="00363AAD">
        <w:t>per-capita basis</w:t>
      </w:r>
      <w:r w:rsidR="008C7723" w:rsidRPr="00363AAD">
        <w:t>,</w:t>
      </w:r>
      <w:r w:rsidR="008611B0" w:rsidRPr="00363AAD">
        <w:t xml:space="preserve"> those quotas would increase </w:t>
      </w:r>
      <w:r w:rsidR="008C7723" w:rsidRPr="00363AAD">
        <w:t>to</w:t>
      </w:r>
      <w:r w:rsidR="008611B0" w:rsidRPr="00363AAD">
        <w:t xml:space="preserve"> 57.72, 64.77</w:t>
      </w:r>
      <w:r w:rsidR="00DB5FE4" w:rsidRPr="00363AAD">
        <w:t>,</w:t>
      </w:r>
      <w:r w:rsidR="008611B0" w:rsidRPr="00363AAD">
        <w:t xml:space="preserve"> 189.97</w:t>
      </w:r>
      <w:r w:rsidR="00DB5FE4" w:rsidRPr="00363AAD">
        <w:t xml:space="preserve"> and 1</w:t>
      </w:r>
      <w:r w:rsidR="004C312A" w:rsidRPr="00363AAD">
        <w:t>60</w:t>
      </w:r>
      <w:r w:rsidR="00DB5FE4" w:rsidRPr="00363AAD">
        <w:t>.67</w:t>
      </w:r>
      <w:r w:rsidR="008611B0" w:rsidRPr="00363AAD">
        <w:t xml:space="preserve"> Gt CO</w:t>
      </w:r>
      <w:r w:rsidR="008611B0" w:rsidRPr="00363AAD">
        <w:rPr>
          <w:vertAlign w:val="subscript"/>
        </w:rPr>
        <w:t>2</w:t>
      </w:r>
      <w:r w:rsidR="00DF74CF" w:rsidRPr="00363AAD">
        <w:t>,</w:t>
      </w:r>
      <w:r w:rsidR="008611B0" w:rsidRPr="00363AAD">
        <w:t xml:space="preserve"> respectively (Supplementary Fig. </w:t>
      </w:r>
      <w:r w:rsidR="00627C4D" w:rsidRPr="00363AAD">
        <w:t>3</w:t>
      </w:r>
      <w:r w:rsidR="008611B0" w:rsidRPr="00363AAD">
        <w:t>).</w:t>
      </w:r>
      <w:r w:rsidR="002B42EE" w:rsidRPr="00363AAD">
        <w:t xml:space="preserve"> </w:t>
      </w:r>
      <w:r w:rsidR="008611B0" w:rsidRPr="00363AAD">
        <w:t xml:space="preserve">In contrast, </w:t>
      </w:r>
      <w:r w:rsidR="008C7723" w:rsidRPr="00363AAD">
        <w:t xml:space="preserve">the </w:t>
      </w:r>
      <w:r w:rsidR="008611B0" w:rsidRPr="00363AAD">
        <w:t>EU</w:t>
      </w:r>
      <w:r w:rsidR="008C7723" w:rsidRPr="00363AAD">
        <w:t>28</w:t>
      </w:r>
      <w:r w:rsidR="008611B0" w:rsidRPr="00363AAD">
        <w:t xml:space="preserve"> would now</w:t>
      </w:r>
      <w:r w:rsidR="008C7723" w:rsidRPr="00363AAD">
        <w:t xml:space="preserve"> present</w:t>
      </w:r>
      <w:r w:rsidR="008611B0" w:rsidRPr="00363AAD">
        <w:t xml:space="preserve"> lower</w:t>
      </w:r>
      <w:r w:rsidR="008C7723" w:rsidRPr="00363AAD">
        <w:t xml:space="preserve"> overall</w:t>
      </w:r>
      <w:r w:rsidR="008611B0" w:rsidRPr="00363AAD">
        <w:t xml:space="preserve"> CDR</w:t>
      </w:r>
      <w:r w:rsidR="008C7723" w:rsidRPr="00363AAD">
        <w:t xml:space="preserve"> quota. In particular, the CDR quota for EU would be</w:t>
      </w:r>
      <w:r w:rsidR="008611B0" w:rsidRPr="00363AAD">
        <w:t xml:space="preserve"> 46% lower for</w:t>
      </w:r>
      <w:r w:rsidR="00DF74CF" w:rsidRPr="00363AAD">
        <w:t xml:space="preserve"> the</w:t>
      </w:r>
      <w:r w:rsidR="008611B0" w:rsidRPr="00363AAD">
        <w:t xml:space="preserve"> </w:t>
      </w:r>
      <w:r w:rsidR="008611B0" w:rsidRPr="00363AAD">
        <w:rPr>
          <w:i/>
        </w:rPr>
        <w:t>Responsibility</w:t>
      </w:r>
      <w:r w:rsidR="008C7723" w:rsidRPr="00363AAD">
        <w:rPr>
          <w:i/>
        </w:rPr>
        <w:t xml:space="preserve"> </w:t>
      </w:r>
      <w:r w:rsidR="008C7723" w:rsidRPr="00363AAD">
        <w:rPr>
          <w:iCs/>
        </w:rPr>
        <w:t>principle</w:t>
      </w:r>
      <w:r w:rsidR="008C7723" w:rsidRPr="00363AAD">
        <w:rPr>
          <w:i/>
        </w:rPr>
        <w:t xml:space="preserve"> </w:t>
      </w:r>
      <w:r w:rsidR="008611B0" w:rsidRPr="00363AAD">
        <w:rPr>
          <w:iCs/>
        </w:rPr>
        <w:t xml:space="preserve">(265.5 vs 122.2 </w:t>
      </w:r>
      <w:r w:rsidR="008611B0" w:rsidRPr="00363AAD">
        <w:t>Gt CO</w:t>
      </w:r>
      <w:r w:rsidR="008611B0" w:rsidRPr="00363AAD">
        <w:rPr>
          <w:vertAlign w:val="subscript"/>
        </w:rPr>
        <w:t>2</w:t>
      </w:r>
      <w:r w:rsidR="008611B0" w:rsidRPr="00363AAD">
        <w:t>), 55% lower for</w:t>
      </w:r>
      <w:r w:rsidR="008611B0" w:rsidRPr="00363AAD">
        <w:rPr>
          <w:i/>
        </w:rPr>
        <w:t xml:space="preserve"> Capability</w:t>
      </w:r>
      <w:r w:rsidR="008611B0" w:rsidRPr="00363AAD">
        <w:t xml:space="preserve"> </w:t>
      </w:r>
      <w:r w:rsidR="008611B0" w:rsidRPr="00363AAD">
        <w:rPr>
          <w:iCs/>
        </w:rPr>
        <w:t xml:space="preserve">(235.1 vs 180.3 </w:t>
      </w:r>
      <w:r w:rsidR="008611B0" w:rsidRPr="00363AAD">
        <w:t>Gt CO</w:t>
      </w:r>
      <w:r w:rsidR="008611B0" w:rsidRPr="00363AAD">
        <w:rPr>
          <w:vertAlign w:val="subscript"/>
        </w:rPr>
        <w:t>2</w:t>
      </w:r>
      <w:r w:rsidR="008611B0" w:rsidRPr="00363AAD">
        <w:t>), 9% lower for</w:t>
      </w:r>
      <w:r w:rsidR="008611B0" w:rsidRPr="00363AAD">
        <w:rPr>
          <w:i/>
        </w:rPr>
        <w:t xml:space="preserve"> Equality </w:t>
      </w:r>
      <w:r w:rsidR="008611B0" w:rsidRPr="00363AAD">
        <w:rPr>
          <w:iCs/>
        </w:rPr>
        <w:t xml:space="preserve">(32.9 vs 2.9 </w:t>
      </w:r>
      <w:r w:rsidR="008611B0" w:rsidRPr="00363AAD">
        <w:t>Gt CO</w:t>
      </w:r>
      <w:r w:rsidR="008611B0" w:rsidRPr="00363AAD">
        <w:rPr>
          <w:vertAlign w:val="subscript"/>
        </w:rPr>
        <w:t>2</w:t>
      </w:r>
      <w:r w:rsidR="008611B0" w:rsidRPr="00363AAD">
        <w:t>)</w:t>
      </w:r>
      <w:r w:rsidR="00DF74CF" w:rsidRPr="00363AAD">
        <w:t>,</w:t>
      </w:r>
      <w:r w:rsidR="00DB5FE4" w:rsidRPr="00363AAD">
        <w:t xml:space="preserve"> and 31% lower for</w:t>
      </w:r>
      <w:r w:rsidR="00DB5FE4" w:rsidRPr="00363AAD">
        <w:rPr>
          <w:i/>
        </w:rPr>
        <w:t xml:space="preserve"> Multi-criteria </w:t>
      </w:r>
      <w:r w:rsidR="00DB5FE4" w:rsidRPr="00363AAD">
        <w:rPr>
          <w:iCs/>
        </w:rPr>
        <w:t>(154.3</w:t>
      </w:r>
      <w:r w:rsidR="004C312A" w:rsidRPr="00363AAD">
        <w:rPr>
          <w:iCs/>
        </w:rPr>
        <w:t xml:space="preserve"> vs 38.9</w:t>
      </w:r>
      <w:r w:rsidR="00DB5FE4" w:rsidRPr="00363AAD">
        <w:rPr>
          <w:iCs/>
        </w:rPr>
        <w:t xml:space="preserve"> </w:t>
      </w:r>
      <w:r w:rsidR="00DB5FE4" w:rsidRPr="00363AAD">
        <w:t>Gt CO</w:t>
      </w:r>
      <w:r w:rsidR="00DB5FE4" w:rsidRPr="00363AAD">
        <w:rPr>
          <w:vertAlign w:val="subscript"/>
        </w:rPr>
        <w:t>2</w:t>
      </w:r>
      <w:r w:rsidR="00DB5FE4" w:rsidRPr="00363AAD">
        <w:t>)</w:t>
      </w:r>
      <w:r w:rsidR="008611B0" w:rsidRPr="00363AAD">
        <w:rPr>
          <w:iCs/>
        </w:rPr>
        <w:t>.</w:t>
      </w:r>
      <w:r w:rsidR="002B42EE" w:rsidRPr="00363AAD">
        <w:t xml:space="preserve"> Populous EU countries such as Germany, Great Britain, France or Italy would be penalised in the </w:t>
      </w:r>
      <w:r w:rsidR="002B42EE" w:rsidRPr="00363AAD">
        <w:rPr>
          <w:i/>
          <w:iCs/>
        </w:rPr>
        <w:t>Responsibility</w:t>
      </w:r>
      <w:r w:rsidR="002B42EE" w:rsidRPr="00363AAD">
        <w:t xml:space="preserve"> and </w:t>
      </w:r>
      <w:r w:rsidR="002B42EE" w:rsidRPr="00363AAD">
        <w:rPr>
          <w:i/>
          <w:iCs/>
        </w:rPr>
        <w:t>Capability</w:t>
      </w:r>
      <w:r w:rsidR="002B42EE" w:rsidRPr="00363AAD">
        <w:t xml:space="preserve"> </w:t>
      </w:r>
      <w:r w:rsidR="002B42EE" w:rsidRPr="00363AAD">
        <w:lastRenderedPageBreak/>
        <w:t xml:space="preserve">principles, while CDR efforts required from </w:t>
      </w:r>
      <w:r w:rsidR="00DF74CF" w:rsidRPr="00363AAD">
        <w:t xml:space="preserve">less populous </w:t>
      </w:r>
      <w:r w:rsidR="002B42EE" w:rsidRPr="00363AAD">
        <w:t>countries would be reduced (</w:t>
      </w:r>
      <w:r w:rsidR="002B42EE" w:rsidRPr="00363AAD">
        <w:rPr>
          <w:i/>
          <w:iCs/>
        </w:rPr>
        <w:t>e.g.,</w:t>
      </w:r>
      <w:r w:rsidR="002B42EE" w:rsidRPr="00363AAD">
        <w:t xml:space="preserve"> Luxemburg or Malta). </w:t>
      </w:r>
    </w:p>
    <w:p w14:paraId="35AEEED7" w14:textId="117C85A7" w:rsidR="00FE66AB" w:rsidRPr="00363AAD" w:rsidRDefault="00DD6FC7" w:rsidP="00FE66AB">
      <w:pPr>
        <w:jc w:val="both"/>
      </w:pPr>
      <w:r w:rsidRPr="00363AAD">
        <w:t xml:space="preserve">A detailed assessment of the country-by-country CDR quotas allocated to the EU countries </w:t>
      </w:r>
      <w:r w:rsidR="00363AAD">
        <w:t>i</w:t>
      </w:r>
      <w:r w:rsidRPr="00363AAD">
        <w:t xml:space="preserve">n absolute terms is included in the Supplementary Fig. </w:t>
      </w:r>
      <w:r w:rsidR="00627C4D" w:rsidRPr="00363AAD">
        <w:t>2</w:t>
      </w:r>
      <w:r w:rsidRPr="00363AAD">
        <w:t xml:space="preserve"> while </w:t>
      </w:r>
      <w:r w:rsidR="008C7723" w:rsidRPr="00363AAD">
        <w:rPr>
          <w:iCs/>
        </w:rPr>
        <w:t xml:space="preserve">Supplementary Table 1 shows the comparison between the CDR quotas derived in absolute </w:t>
      </w:r>
      <w:r w:rsidR="00DF74CF" w:rsidRPr="00363AAD">
        <w:rPr>
          <w:iCs/>
        </w:rPr>
        <w:t>terms and on a</w:t>
      </w:r>
      <w:r w:rsidR="008C7723" w:rsidRPr="00363AAD">
        <w:rPr>
          <w:iCs/>
        </w:rPr>
        <w:t xml:space="preserve"> per-capita basis for the 28 European countries. </w:t>
      </w:r>
      <w:r w:rsidR="00DB5FE4" w:rsidRPr="00363AAD">
        <w:t>Note that</w:t>
      </w:r>
      <w:r w:rsidR="00D31647" w:rsidRPr="00363AAD">
        <w:t xml:space="preserve"> </w:t>
      </w:r>
      <w:r w:rsidR="008611B0" w:rsidRPr="00363AAD">
        <w:t xml:space="preserve">per-capita based quotas </w:t>
      </w:r>
      <w:r w:rsidR="00DF74CF" w:rsidRPr="00363AAD">
        <w:t xml:space="preserve">still lead to large disparities </w:t>
      </w:r>
      <w:r w:rsidR="009A2AE8" w:rsidRPr="00363AAD">
        <w:t>across principles</w:t>
      </w:r>
      <w:r w:rsidR="00DF74CF" w:rsidRPr="00363AAD">
        <w:t>,</w:t>
      </w:r>
      <w:r w:rsidR="008611B0" w:rsidRPr="00363AAD">
        <w:t xml:space="preserve"> with</w:t>
      </w:r>
      <w:r w:rsidR="009A2AE8" w:rsidRPr="00363AAD">
        <w:t xml:space="preserve"> extreme cases such as </w:t>
      </w:r>
      <w:r w:rsidR="00D31647" w:rsidRPr="00363AAD">
        <w:t>Luxembourg</w:t>
      </w:r>
      <w:r w:rsidR="009A2AE8" w:rsidRPr="00363AAD">
        <w:t xml:space="preserve">, where the </w:t>
      </w:r>
      <w:r w:rsidR="009A2AE8" w:rsidRPr="00363AAD">
        <w:rPr>
          <w:i/>
        </w:rPr>
        <w:t>Responsibility</w:t>
      </w:r>
      <w:r w:rsidR="009A2AE8" w:rsidRPr="00363AAD">
        <w:t xml:space="preserve"> quota is more than</w:t>
      </w:r>
      <w:r w:rsidR="008611B0" w:rsidRPr="00363AAD">
        <w:t xml:space="preserve"> 5730</w:t>
      </w:r>
      <w:r w:rsidR="009A2AE8" w:rsidRPr="00363AAD">
        <w:t xml:space="preserve"> times its </w:t>
      </w:r>
      <w:r w:rsidR="009A2AE8" w:rsidRPr="00363AAD">
        <w:rPr>
          <w:i/>
        </w:rPr>
        <w:t>Equality</w:t>
      </w:r>
      <w:r w:rsidR="009A2AE8" w:rsidRPr="00363AAD">
        <w:t xml:space="preserve"> one. Hence, </w:t>
      </w:r>
      <w:r w:rsidR="00DB5FE4" w:rsidRPr="00363AAD">
        <w:t xml:space="preserve">the outcome of the effort-sharing approaches </w:t>
      </w:r>
      <w:r w:rsidR="00DF74CF" w:rsidRPr="00363AAD">
        <w:t xml:space="preserve">can </w:t>
      </w:r>
      <w:r w:rsidR="00DB5FE4" w:rsidRPr="00363AAD">
        <w:t xml:space="preserve">vary greatly </w:t>
      </w:r>
      <w:r w:rsidR="00DF74CF" w:rsidRPr="00363AAD">
        <w:t>depending on how the calculations are implemented, even when considering the same principles</w:t>
      </w:r>
      <w:r w:rsidR="00DB5FE4" w:rsidRPr="007D093C">
        <w:fldChar w:fldCharType="begin" w:fldLock="1"/>
      </w:r>
      <w:r w:rsidR="00D13079" w:rsidRPr="00363AAD">
        <w:instrText>ADDIN CSL_CITATION {"citationItems":[{"id":"ITEM-1","itemData":{"ISSN":"0165-0009","author":[{"dropping-particle":"","family":"Berg","given":"Nicole J","non-dropping-particle":"van den","parse-names":false,"suffix":""},{"dropping-particle":"","family":"Soest","given":"Heleen L","non-dropping-particle":"van","parse-names":false,"suffix":""},{"dropping-particle":"","family":"Hof","given":"Andries F","non-dropping-particle":"","parse-names":false,"suffix":""},{"dropping-particle":"","family":"Elzen","given":"Michel G J","non-dropping-particle":"den","parse-names":false,"suffix":""},{"dropping-particle":"","family":"Vuuren","given":"Detlef P","non-dropping-particle":"van","parse-names":false,"suffix":""},{"dropping-particle":"","family":"Chen","given":"Wenying","non-dropping-particle":"","parse-names":false,"suffix":""},{"dropping-particle":"","family":"Drouet","given":"Laurent","non-dropping-particle":"","parse-names":false,"suffix":""},{"dropping-particle":"","family":"Emmerling","given":"Johannes","non-dropping-particle":"","parse-names":false,"suffix":""},{"dropping-particle":"","family":"Fujimori","given":"Shinichiro","non-dropping-particle":"","parse-names":false,"suffix":""},{"dropping-particle":"","family":"Höhne","given":"Niklas","non-dropping-particle":"","parse-names":false,"suffix":""}],"container-title":"Climatic Change","id":"ITEM-1","issued":{"date-parts":[["2019"]]},"page":"1-18","publisher":"Springer","title":"Implications of various effort-sharing approaches for national carbon budgets and emission pathways","type":"article-journal"},"uris":["http://www.mendeley.com/documents/?uuid=f904a673-d0f3-48b6-bddd-95a38ca87747"]}],"mendeley":{"formattedCitation":"&lt;sup&gt;4&lt;/sup&gt;","plainTextFormattedCitation":"4","previouslyFormattedCitation":"&lt;sup&gt;4&lt;/sup&gt;"},"properties":{"noteIndex":0},"schema":"https://github.com/citation-style-language/schema/raw/master/csl-citation.json"}</w:instrText>
      </w:r>
      <w:r w:rsidR="00DB5FE4" w:rsidRPr="007D093C">
        <w:fldChar w:fldCharType="separate"/>
      </w:r>
      <w:r w:rsidR="00DB5FE4" w:rsidRPr="007D093C">
        <w:rPr>
          <w:noProof/>
          <w:vertAlign w:val="superscript"/>
        </w:rPr>
        <w:t>4</w:t>
      </w:r>
      <w:r w:rsidR="00DB5FE4" w:rsidRPr="007D093C">
        <w:fldChar w:fldCharType="end"/>
      </w:r>
      <w:r w:rsidR="00DB5FE4" w:rsidRPr="007D093C">
        <w:t>.</w:t>
      </w:r>
      <w:r w:rsidR="00DB5FE4" w:rsidRPr="007D093C">
        <w:rPr>
          <w:iCs/>
        </w:rPr>
        <w:t xml:space="preserve"> </w:t>
      </w:r>
    </w:p>
    <w:p w14:paraId="130D7B49" w14:textId="77777777" w:rsidR="00FE66AB" w:rsidRPr="00363AAD" w:rsidRDefault="00FE66AB" w:rsidP="00FE66AB">
      <w:pPr>
        <w:jc w:val="both"/>
      </w:pPr>
      <w:r w:rsidRPr="00363AAD">
        <w:rPr>
          <w:b/>
          <w:sz w:val="22"/>
          <w:szCs w:val="22"/>
        </w:rPr>
        <w:t>Supplementary Table 1 | Comparison between CDR absolute and per-capita quotas by 2100 (expressed in Gt CO</w:t>
      </w:r>
      <w:r w:rsidRPr="00363AAD">
        <w:rPr>
          <w:b/>
          <w:sz w:val="22"/>
          <w:szCs w:val="22"/>
          <w:vertAlign w:val="subscript"/>
        </w:rPr>
        <w:t>2</w:t>
      </w:r>
      <w:r w:rsidRPr="00363AAD">
        <w:rPr>
          <w:b/>
          <w:sz w:val="22"/>
          <w:szCs w:val="22"/>
        </w:rPr>
        <w:t>) for the European countries.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889"/>
        <w:gridCol w:w="889"/>
        <w:gridCol w:w="767"/>
        <w:gridCol w:w="889"/>
        <w:gridCol w:w="889"/>
        <w:gridCol w:w="889"/>
        <w:gridCol w:w="669"/>
        <w:gridCol w:w="767"/>
      </w:tblGrid>
      <w:tr w:rsidR="00FE66AB" w:rsidRPr="00363AAD" w14:paraId="67247BE8" w14:textId="77777777" w:rsidTr="00155837">
        <w:trPr>
          <w:trHeight w:hRule="exact" w:val="454"/>
          <w:jc w:val="center"/>
        </w:trPr>
        <w:tc>
          <w:tcPr>
            <w:tcW w:w="1439" w:type="dxa"/>
            <w:tcBorders>
              <w:top w:val="nil"/>
              <w:left w:val="nil"/>
              <w:bottom w:val="nil"/>
              <w:right w:val="single" w:sz="4" w:space="0" w:color="auto"/>
            </w:tcBorders>
            <w:shd w:val="clear" w:color="auto" w:fill="auto"/>
            <w:noWrap/>
            <w:vAlign w:val="center"/>
            <w:hideMark/>
          </w:tcPr>
          <w:p w14:paraId="073F5672" w14:textId="77777777" w:rsidR="00FE66AB" w:rsidRPr="00363AAD" w:rsidRDefault="00FE66AB" w:rsidP="00D53564">
            <w:pPr>
              <w:spacing w:before="0" w:after="0" w:line="240" w:lineRule="auto"/>
              <w:ind w:left="-1016"/>
              <w:jc w:val="center"/>
              <w:rPr>
                <w:rFonts w:eastAsia="Times New Roman"/>
                <w:sz w:val="22"/>
                <w:szCs w:val="22"/>
                <w:lang w:eastAsia="en-GB"/>
              </w:rPr>
            </w:pPr>
          </w:p>
        </w:tc>
        <w:tc>
          <w:tcPr>
            <w:tcW w:w="0" w:type="auto"/>
            <w:gridSpan w:val="4"/>
            <w:tcBorders>
              <w:left w:val="single" w:sz="4" w:space="0" w:color="auto"/>
            </w:tcBorders>
            <w:shd w:val="clear" w:color="auto" w:fill="auto"/>
            <w:noWrap/>
            <w:vAlign w:val="center"/>
            <w:hideMark/>
          </w:tcPr>
          <w:p w14:paraId="23E40C5D"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Absolute</w:t>
            </w:r>
          </w:p>
        </w:tc>
        <w:tc>
          <w:tcPr>
            <w:tcW w:w="0" w:type="auto"/>
            <w:gridSpan w:val="4"/>
            <w:shd w:val="clear" w:color="auto" w:fill="auto"/>
            <w:noWrap/>
            <w:vAlign w:val="center"/>
            <w:hideMark/>
          </w:tcPr>
          <w:p w14:paraId="7EBB010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Per-capita</w:t>
            </w:r>
          </w:p>
        </w:tc>
      </w:tr>
      <w:tr w:rsidR="00FE66AB" w:rsidRPr="00363AAD" w14:paraId="30F87D7D" w14:textId="77777777" w:rsidTr="00155837">
        <w:trPr>
          <w:trHeight w:hRule="exact" w:val="454"/>
          <w:jc w:val="center"/>
        </w:trPr>
        <w:tc>
          <w:tcPr>
            <w:tcW w:w="1439" w:type="dxa"/>
            <w:tcBorders>
              <w:top w:val="nil"/>
              <w:left w:val="nil"/>
              <w:bottom w:val="single" w:sz="4" w:space="0" w:color="auto"/>
              <w:right w:val="single" w:sz="4" w:space="0" w:color="auto"/>
            </w:tcBorders>
            <w:shd w:val="clear" w:color="auto" w:fill="auto"/>
            <w:noWrap/>
            <w:vAlign w:val="center"/>
            <w:hideMark/>
          </w:tcPr>
          <w:p w14:paraId="7DB25D00" w14:textId="77777777" w:rsidR="00FE66AB" w:rsidRPr="00363AAD" w:rsidRDefault="00FE66AB" w:rsidP="00D53564">
            <w:pPr>
              <w:spacing w:before="0" w:after="0" w:line="240" w:lineRule="auto"/>
              <w:jc w:val="center"/>
              <w:rPr>
                <w:rFonts w:eastAsia="Times New Roman"/>
                <w:color w:val="000000"/>
                <w:sz w:val="22"/>
                <w:szCs w:val="22"/>
                <w:lang w:eastAsia="en-GB"/>
              </w:rPr>
            </w:pPr>
          </w:p>
        </w:tc>
        <w:tc>
          <w:tcPr>
            <w:tcW w:w="0" w:type="auto"/>
            <w:tcBorders>
              <w:left w:val="single" w:sz="4" w:space="0" w:color="auto"/>
            </w:tcBorders>
            <w:shd w:val="clear" w:color="auto" w:fill="auto"/>
            <w:noWrap/>
            <w:vAlign w:val="center"/>
            <w:hideMark/>
          </w:tcPr>
          <w:p w14:paraId="3EA6D48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Res.</w:t>
            </w:r>
          </w:p>
        </w:tc>
        <w:tc>
          <w:tcPr>
            <w:tcW w:w="0" w:type="auto"/>
            <w:shd w:val="clear" w:color="auto" w:fill="auto"/>
            <w:noWrap/>
            <w:vAlign w:val="center"/>
            <w:hideMark/>
          </w:tcPr>
          <w:p w14:paraId="2133AE3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Cap.</w:t>
            </w:r>
          </w:p>
        </w:tc>
        <w:tc>
          <w:tcPr>
            <w:tcW w:w="0" w:type="auto"/>
            <w:shd w:val="clear" w:color="auto" w:fill="auto"/>
            <w:noWrap/>
            <w:vAlign w:val="center"/>
            <w:hideMark/>
          </w:tcPr>
          <w:p w14:paraId="56AE1FEF" w14:textId="77777777" w:rsidR="00FE66AB" w:rsidRPr="00363AAD" w:rsidRDefault="00FE66AB" w:rsidP="00D53564">
            <w:pPr>
              <w:spacing w:before="0" w:after="0" w:line="240" w:lineRule="auto"/>
              <w:jc w:val="center"/>
              <w:rPr>
                <w:rFonts w:eastAsia="Times New Roman"/>
                <w:color w:val="000000"/>
                <w:sz w:val="22"/>
                <w:szCs w:val="22"/>
                <w:lang w:eastAsia="en-GB"/>
              </w:rPr>
            </w:pPr>
            <w:proofErr w:type="spellStart"/>
            <w:r w:rsidRPr="00363AAD">
              <w:rPr>
                <w:rFonts w:eastAsia="Times New Roman"/>
                <w:color w:val="000000"/>
                <w:sz w:val="22"/>
                <w:szCs w:val="22"/>
                <w:lang w:eastAsia="en-GB"/>
              </w:rPr>
              <w:t>Equ</w:t>
            </w:r>
            <w:proofErr w:type="spellEnd"/>
            <w:r w:rsidRPr="00363AAD">
              <w:rPr>
                <w:rFonts w:eastAsia="Times New Roman"/>
                <w:color w:val="000000"/>
                <w:sz w:val="22"/>
                <w:szCs w:val="22"/>
                <w:lang w:eastAsia="en-GB"/>
              </w:rPr>
              <w:t>.</w:t>
            </w:r>
          </w:p>
        </w:tc>
        <w:tc>
          <w:tcPr>
            <w:tcW w:w="0" w:type="auto"/>
            <w:shd w:val="clear" w:color="auto" w:fill="auto"/>
            <w:noWrap/>
            <w:vAlign w:val="center"/>
            <w:hideMark/>
          </w:tcPr>
          <w:p w14:paraId="710BEC03"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Mult.</w:t>
            </w:r>
          </w:p>
        </w:tc>
        <w:tc>
          <w:tcPr>
            <w:tcW w:w="0" w:type="auto"/>
            <w:shd w:val="clear" w:color="auto" w:fill="auto"/>
            <w:noWrap/>
            <w:vAlign w:val="center"/>
            <w:hideMark/>
          </w:tcPr>
          <w:p w14:paraId="716A274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Res.</w:t>
            </w:r>
          </w:p>
        </w:tc>
        <w:tc>
          <w:tcPr>
            <w:tcW w:w="0" w:type="auto"/>
            <w:shd w:val="clear" w:color="auto" w:fill="auto"/>
            <w:noWrap/>
            <w:vAlign w:val="center"/>
            <w:hideMark/>
          </w:tcPr>
          <w:p w14:paraId="10718FC2"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Cap.</w:t>
            </w:r>
          </w:p>
        </w:tc>
        <w:tc>
          <w:tcPr>
            <w:tcW w:w="0" w:type="auto"/>
            <w:shd w:val="clear" w:color="auto" w:fill="auto"/>
            <w:noWrap/>
            <w:vAlign w:val="center"/>
            <w:hideMark/>
          </w:tcPr>
          <w:p w14:paraId="6FA4CB88" w14:textId="77777777" w:rsidR="00FE66AB" w:rsidRPr="00363AAD" w:rsidRDefault="00FE66AB" w:rsidP="00D53564">
            <w:pPr>
              <w:spacing w:before="0" w:after="0" w:line="240" w:lineRule="auto"/>
              <w:jc w:val="center"/>
              <w:rPr>
                <w:rFonts w:eastAsia="Times New Roman"/>
                <w:color w:val="000000"/>
                <w:sz w:val="22"/>
                <w:szCs w:val="22"/>
                <w:lang w:eastAsia="en-GB"/>
              </w:rPr>
            </w:pPr>
            <w:proofErr w:type="spellStart"/>
            <w:r w:rsidRPr="00363AAD">
              <w:rPr>
                <w:rFonts w:eastAsia="Times New Roman"/>
                <w:color w:val="000000"/>
                <w:sz w:val="22"/>
                <w:szCs w:val="22"/>
                <w:lang w:eastAsia="en-GB"/>
              </w:rPr>
              <w:t>Equ</w:t>
            </w:r>
            <w:proofErr w:type="spellEnd"/>
            <w:r w:rsidRPr="00363AAD">
              <w:rPr>
                <w:rFonts w:eastAsia="Times New Roman"/>
                <w:color w:val="000000"/>
                <w:sz w:val="22"/>
                <w:szCs w:val="22"/>
                <w:lang w:eastAsia="en-GB"/>
              </w:rPr>
              <w:t>.</w:t>
            </w:r>
          </w:p>
        </w:tc>
        <w:tc>
          <w:tcPr>
            <w:tcW w:w="0" w:type="auto"/>
            <w:shd w:val="clear" w:color="auto" w:fill="auto"/>
            <w:noWrap/>
            <w:vAlign w:val="center"/>
            <w:hideMark/>
          </w:tcPr>
          <w:p w14:paraId="20211A3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Mult.</w:t>
            </w:r>
          </w:p>
        </w:tc>
      </w:tr>
      <w:tr w:rsidR="00FE66AB" w:rsidRPr="00363AAD" w14:paraId="54F3CFF1" w14:textId="77777777" w:rsidTr="00155837">
        <w:trPr>
          <w:trHeight w:hRule="exact" w:val="454"/>
          <w:jc w:val="center"/>
        </w:trPr>
        <w:tc>
          <w:tcPr>
            <w:tcW w:w="1439" w:type="dxa"/>
            <w:tcBorders>
              <w:top w:val="single" w:sz="4" w:space="0" w:color="auto"/>
            </w:tcBorders>
            <w:shd w:val="clear" w:color="auto" w:fill="auto"/>
            <w:noWrap/>
            <w:vAlign w:val="center"/>
            <w:hideMark/>
          </w:tcPr>
          <w:p w14:paraId="47F2EA65"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AUT</w:t>
            </w:r>
          </w:p>
        </w:tc>
        <w:tc>
          <w:tcPr>
            <w:tcW w:w="0" w:type="auto"/>
            <w:shd w:val="clear" w:color="auto" w:fill="auto"/>
            <w:noWrap/>
            <w:vAlign w:val="center"/>
            <w:hideMark/>
          </w:tcPr>
          <w:p w14:paraId="4D16F13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9.94</w:t>
            </w:r>
          </w:p>
        </w:tc>
        <w:tc>
          <w:tcPr>
            <w:tcW w:w="0" w:type="auto"/>
            <w:shd w:val="clear" w:color="auto" w:fill="auto"/>
            <w:noWrap/>
            <w:vAlign w:val="center"/>
            <w:hideMark/>
          </w:tcPr>
          <w:p w14:paraId="042FD01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17.32</w:t>
            </w:r>
          </w:p>
        </w:tc>
        <w:tc>
          <w:tcPr>
            <w:tcW w:w="0" w:type="auto"/>
            <w:shd w:val="clear" w:color="auto" w:fill="auto"/>
            <w:noWrap/>
            <w:vAlign w:val="center"/>
            <w:hideMark/>
          </w:tcPr>
          <w:p w14:paraId="394F2D1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0.58</w:t>
            </w:r>
          </w:p>
        </w:tc>
        <w:tc>
          <w:tcPr>
            <w:tcW w:w="0" w:type="auto"/>
            <w:shd w:val="clear" w:color="auto" w:fill="auto"/>
            <w:noWrap/>
            <w:vAlign w:val="center"/>
            <w:hideMark/>
          </w:tcPr>
          <w:p w14:paraId="2D82B02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6.99</w:t>
            </w:r>
          </w:p>
        </w:tc>
        <w:tc>
          <w:tcPr>
            <w:tcW w:w="0" w:type="auto"/>
            <w:shd w:val="clear" w:color="auto" w:fill="auto"/>
            <w:noWrap/>
            <w:vAlign w:val="center"/>
            <w:hideMark/>
          </w:tcPr>
          <w:p w14:paraId="09AD140D"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1.97</w:t>
            </w:r>
          </w:p>
        </w:tc>
        <w:tc>
          <w:tcPr>
            <w:tcW w:w="0" w:type="auto"/>
            <w:shd w:val="clear" w:color="auto" w:fill="auto"/>
            <w:noWrap/>
            <w:vAlign w:val="center"/>
            <w:hideMark/>
          </w:tcPr>
          <w:p w14:paraId="4FE6F39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4.14</w:t>
            </w:r>
          </w:p>
        </w:tc>
        <w:tc>
          <w:tcPr>
            <w:tcW w:w="0" w:type="auto"/>
            <w:shd w:val="clear" w:color="auto" w:fill="auto"/>
            <w:noWrap/>
            <w:vAlign w:val="center"/>
            <w:hideMark/>
          </w:tcPr>
          <w:p w14:paraId="6A1AC80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0.01</w:t>
            </w:r>
          </w:p>
        </w:tc>
        <w:tc>
          <w:tcPr>
            <w:tcW w:w="0" w:type="auto"/>
            <w:shd w:val="clear" w:color="auto" w:fill="auto"/>
            <w:noWrap/>
            <w:vAlign w:val="center"/>
            <w:hideMark/>
          </w:tcPr>
          <w:p w14:paraId="2078CA4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0.79</w:t>
            </w:r>
          </w:p>
        </w:tc>
      </w:tr>
      <w:tr w:rsidR="00FE66AB" w:rsidRPr="00363AAD" w14:paraId="7F00E482" w14:textId="77777777" w:rsidTr="00155837">
        <w:trPr>
          <w:trHeight w:hRule="exact" w:val="454"/>
          <w:jc w:val="center"/>
        </w:trPr>
        <w:tc>
          <w:tcPr>
            <w:tcW w:w="1439" w:type="dxa"/>
            <w:shd w:val="clear" w:color="auto" w:fill="auto"/>
            <w:noWrap/>
            <w:vAlign w:val="center"/>
            <w:hideMark/>
          </w:tcPr>
          <w:p w14:paraId="287D307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BEL</w:t>
            </w:r>
          </w:p>
        </w:tc>
        <w:tc>
          <w:tcPr>
            <w:tcW w:w="0" w:type="auto"/>
            <w:shd w:val="clear" w:color="auto" w:fill="auto"/>
            <w:noWrap/>
            <w:vAlign w:val="center"/>
            <w:hideMark/>
          </w:tcPr>
          <w:p w14:paraId="65B8E58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15.93</w:t>
            </w:r>
          </w:p>
        </w:tc>
        <w:tc>
          <w:tcPr>
            <w:tcW w:w="0" w:type="auto"/>
            <w:shd w:val="clear" w:color="auto" w:fill="auto"/>
            <w:noWrap/>
            <w:vAlign w:val="center"/>
            <w:hideMark/>
          </w:tcPr>
          <w:p w14:paraId="014A2A8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14.54</w:t>
            </w:r>
          </w:p>
        </w:tc>
        <w:tc>
          <w:tcPr>
            <w:tcW w:w="0" w:type="auto"/>
            <w:shd w:val="clear" w:color="auto" w:fill="auto"/>
            <w:noWrap/>
            <w:vAlign w:val="center"/>
            <w:hideMark/>
          </w:tcPr>
          <w:p w14:paraId="154E8FF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0.86</w:t>
            </w:r>
          </w:p>
        </w:tc>
        <w:tc>
          <w:tcPr>
            <w:tcW w:w="0" w:type="auto"/>
            <w:shd w:val="clear" w:color="auto" w:fill="auto"/>
            <w:noWrap/>
            <w:vAlign w:val="center"/>
            <w:hideMark/>
          </w:tcPr>
          <w:p w14:paraId="01F64B3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7.11</w:t>
            </w:r>
          </w:p>
        </w:tc>
        <w:tc>
          <w:tcPr>
            <w:tcW w:w="0" w:type="auto"/>
            <w:shd w:val="clear" w:color="auto" w:fill="auto"/>
            <w:noWrap/>
            <w:vAlign w:val="center"/>
            <w:hideMark/>
          </w:tcPr>
          <w:p w14:paraId="60B0DA8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4.66</w:t>
            </w:r>
          </w:p>
        </w:tc>
        <w:tc>
          <w:tcPr>
            <w:tcW w:w="0" w:type="auto"/>
            <w:shd w:val="clear" w:color="auto" w:fill="auto"/>
            <w:noWrap/>
            <w:vAlign w:val="center"/>
            <w:hideMark/>
          </w:tcPr>
          <w:p w14:paraId="7BBB74A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5.13</w:t>
            </w:r>
          </w:p>
        </w:tc>
        <w:tc>
          <w:tcPr>
            <w:tcW w:w="0" w:type="auto"/>
            <w:shd w:val="clear" w:color="auto" w:fill="auto"/>
            <w:noWrap/>
            <w:vAlign w:val="center"/>
            <w:hideMark/>
          </w:tcPr>
          <w:p w14:paraId="6177CF9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0.02</w:t>
            </w:r>
          </w:p>
        </w:tc>
        <w:tc>
          <w:tcPr>
            <w:tcW w:w="0" w:type="auto"/>
            <w:shd w:val="clear" w:color="auto" w:fill="auto"/>
            <w:noWrap/>
            <w:vAlign w:val="center"/>
            <w:hideMark/>
          </w:tcPr>
          <w:p w14:paraId="4C62A28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1.15</w:t>
            </w:r>
          </w:p>
        </w:tc>
      </w:tr>
      <w:tr w:rsidR="00FE66AB" w:rsidRPr="00363AAD" w14:paraId="68B1905D" w14:textId="77777777" w:rsidTr="00155837">
        <w:trPr>
          <w:trHeight w:hRule="exact" w:val="454"/>
          <w:jc w:val="center"/>
        </w:trPr>
        <w:tc>
          <w:tcPr>
            <w:tcW w:w="1439" w:type="dxa"/>
            <w:shd w:val="clear" w:color="auto" w:fill="auto"/>
            <w:noWrap/>
            <w:vAlign w:val="center"/>
            <w:hideMark/>
          </w:tcPr>
          <w:p w14:paraId="604B518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BGR</w:t>
            </w:r>
          </w:p>
        </w:tc>
        <w:tc>
          <w:tcPr>
            <w:tcW w:w="0" w:type="auto"/>
            <w:shd w:val="clear" w:color="auto" w:fill="auto"/>
            <w:noWrap/>
            <w:vAlign w:val="center"/>
            <w:hideMark/>
          </w:tcPr>
          <w:p w14:paraId="44837D1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5.70</w:t>
            </w:r>
          </w:p>
        </w:tc>
        <w:tc>
          <w:tcPr>
            <w:tcW w:w="0" w:type="auto"/>
            <w:shd w:val="clear" w:color="auto" w:fill="auto"/>
            <w:noWrap/>
            <w:vAlign w:val="center"/>
            <w:hideMark/>
          </w:tcPr>
          <w:p w14:paraId="0362950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4.11</w:t>
            </w:r>
          </w:p>
        </w:tc>
        <w:tc>
          <w:tcPr>
            <w:tcW w:w="0" w:type="auto"/>
            <w:shd w:val="clear" w:color="auto" w:fill="auto"/>
            <w:noWrap/>
            <w:vAlign w:val="center"/>
            <w:hideMark/>
          </w:tcPr>
          <w:p w14:paraId="77FCE85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0.33</w:t>
            </w:r>
          </w:p>
        </w:tc>
        <w:tc>
          <w:tcPr>
            <w:tcW w:w="0" w:type="auto"/>
            <w:shd w:val="clear" w:color="auto" w:fill="auto"/>
            <w:noWrap/>
            <w:vAlign w:val="center"/>
            <w:hideMark/>
          </w:tcPr>
          <w:p w14:paraId="3C69480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2.22</w:t>
            </w:r>
          </w:p>
        </w:tc>
        <w:tc>
          <w:tcPr>
            <w:tcW w:w="0" w:type="auto"/>
            <w:shd w:val="clear" w:color="auto" w:fill="auto"/>
            <w:noWrap/>
            <w:vAlign w:val="center"/>
            <w:hideMark/>
          </w:tcPr>
          <w:p w14:paraId="2DFD6E9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0.63</w:t>
            </w:r>
          </w:p>
        </w:tc>
        <w:tc>
          <w:tcPr>
            <w:tcW w:w="0" w:type="auto"/>
            <w:shd w:val="clear" w:color="auto" w:fill="auto"/>
            <w:noWrap/>
            <w:vAlign w:val="center"/>
            <w:hideMark/>
          </w:tcPr>
          <w:p w14:paraId="6E88713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0.54</w:t>
            </w:r>
          </w:p>
        </w:tc>
        <w:tc>
          <w:tcPr>
            <w:tcW w:w="0" w:type="auto"/>
            <w:shd w:val="clear" w:color="auto" w:fill="auto"/>
            <w:noWrap/>
            <w:vAlign w:val="center"/>
            <w:hideMark/>
          </w:tcPr>
          <w:p w14:paraId="036C4D6F"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0.00</w:t>
            </w:r>
          </w:p>
        </w:tc>
        <w:tc>
          <w:tcPr>
            <w:tcW w:w="0" w:type="auto"/>
            <w:shd w:val="clear" w:color="auto" w:fill="auto"/>
            <w:noWrap/>
            <w:vAlign w:val="center"/>
            <w:hideMark/>
          </w:tcPr>
          <w:p w14:paraId="6CE357F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0.13</w:t>
            </w:r>
          </w:p>
        </w:tc>
      </w:tr>
      <w:tr w:rsidR="00FE66AB" w:rsidRPr="00363AAD" w14:paraId="24C8A26D" w14:textId="77777777" w:rsidTr="00155837">
        <w:trPr>
          <w:trHeight w:hRule="exact" w:val="454"/>
          <w:jc w:val="center"/>
        </w:trPr>
        <w:tc>
          <w:tcPr>
            <w:tcW w:w="1439" w:type="dxa"/>
            <w:shd w:val="clear" w:color="auto" w:fill="auto"/>
            <w:noWrap/>
            <w:vAlign w:val="center"/>
            <w:hideMark/>
          </w:tcPr>
          <w:p w14:paraId="7EFC3B7D"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CYP</w:t>
            </w:r>
          </w:p>
        </w:tc>
        <w:tc>
          <w:tcPr>
            <w:tcW w:w="0" w:type="auto"/>
            <w:shd w:val="clear" w:color="auto" w:fill="auto"/>
            <w:noWrap/>
            <w:vAlign w:val="center"/>
            <w:hideMark/>
          </w:tcPr>
          <w:p w14:paraId="2D83265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3.82</w:t>
            </w:r>
          </w:p>
        </w:tc>
        <w:tc>
          <w:tcPr>
            <w:tcW w:w="0" w:type="auto"/>
            <w:shd w:val="clear" w:color="auto" w:fill="auto"/>
            <w:noWrap/>
            <w:vAlign w:val="center"/>
            <w:hideMark/>
          </w:tcPr>
          <w:p w14:paraId="1B62C23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7.07</w:t>
            </w:r>
          </w:p>
        </w:tc>
        <w:tc>
          <w:tcPr>
            <w:tcW w:w="0" w:type="auto"/>
            <w:shd w:val="clear" w:color="auto" w:fill="auto"/>
            <w:noWrap/>
            <w:vAlign w:val="center"/>
            <w:hideMark/>
          </w:tcPr>
          <w:p w14:paraId="36C2171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0.09</w:t>
            </w:r>
          </w:p>
        </w:tc>
        <w:tc>
          <w:tcPr>
            <w:tcW w:w="0" w:type="auto"/>
            <w:shd w:val="clear" w:color="auto" w:fill="auto"/>
            <w:noWrap/>
            <w:vAlign w:val="center"/>
            <w:hideMark/>
          </w:tcPr>
          <w:p w14:paraId="4EFDB0E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2.74</w:t>
            </w:r>
          </w:p>
        </w:tc>
        <w:tc>
          <w:tcPr>
            <w:tcW w:w="0" w:type="auto"/>
            <w:shd w:val="clear" w:color="auto" w:fill="auto"/>
            <w:noWrap/>
            <w:vAlign w:val="center"/>
            <w:hideMark/>
          </w:tcPr>
          <w:p w14:paraId="7577F03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0.12</w:t>
            </w:r>
          </w:p>
        </w:tc>
        <w:tc>
          <w:tcPr>
            <w:tcW w:w="0" w:type="auto"/>
            <w:shd w:val="clear" w:color="auto" w:fill="auto"/>
            <w:noWrap/>
            <w:vAlign w:val="center"/>
            <w:hideMark/>
          </w:tcPr>
          <w:p w14:paraId="15487D6D"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0.27</w:t>
            </w:r>
          </w:p>
        </w:tc>
        <w:tc>
          <w:tcPr>
            <w:tcW w:w="0" w:type="auto"/>
            <w:shd w:val="clear" w:color="auto" w:fill="auto"/>
            <w:noWrap/>
            <w:vAlign w:val="center"/>
            <w:hideMark/>
          </w:tcPr>
          <w:p w14:paraId="19007EA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0.00</w:t>
            </w:r>
          </w:p>
        </w:tc>
        <w:tc>
          <w:tcPr>
            <w:tcW w:w="0" w:type="auto"/>
            <w:shd w:val="clear" w:color="auto" w:fill="auto"/>
            <w:noWrap/>
            <w:vAlign w:val="center"/>
            <w:hideMark/>
          </w:tcPr>
          <w:p w14:paraId="4307FED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0.05</w:t>
            </w:r>
          </w:p>
        </w:tc>
      </w:tr>
      <w:tr w:rsidR="00FE66AB" w:rsidRPr="00363AAD" w14:paraId="65E67EFA" w14:textId="77777777" w:rsidTr="00155837">
        <w:trPr>
          <w:trHeight w:hRule="exact" w:val="454"/>
          <w:jc w:val="center"/>
        </w:trPr>
        <w:tc>
          <w:tcPr>
            <w:tcW w:w="1439" w:type="dxa"/>
            <w:shd w:val="clear" w:color="auto" w:fill="auto"/>
            <w:noWrap/>
            <w:vAlign w:val="center"/>
            <w:hideMark/>
          </w:tcPr>
          <w:p w14:paraId="400BF00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CZE</w:t>
            </w:r>
          </w:p>
        </w:tc>
        <w:tc>
          <w:tcPr>
            <w:tcW w:w="0" w:type="auto"/>
            <w:shd w:val="clear" w:color="auto" w:fill="auto"/>
            <w:noWrap/>
            <w:vAlign w:val="center"/>
            <w:hideMark/>
          </w:tcPr>
          <w:p w14:paraId="25046B3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17.91</w:t>
            </w:r>
          </w:p>
        </w:tc>
        <w:tc>
          <w:tcPr>
            <w:tcW w:w="0" w:type="auto"/>
            <w:shd w:val="clear" w:color="auto" w:fill="auto"/>
            <w:noWrap/>
            <w:vAlign w:val="center"/>
            <w:hideMark/>
          </w:tcPr>
          <w:p w14:paraId="35916CE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8.29</w:t>
            </w:r>
          </w:p>
        </w:tc>
        <w:tc>
          <w:tcPr>
            <w:tcW w:w="0" w:type="auto"/>
            <w:shd w:val="clear" w:color="auto" w:fill="auto"/>
            <w:noWrap/>
            <w:vAlign w:val="center"/>
            <w:hideMark/>
          </w:tcPr>
          <w:p w14:paraId="270AB60D"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0.65</w:t>
            </w:r>
          </w:p>
        </w:tc>
        <w:tc>
          <w:tcPr>
            <w:tcW w:w="0" w:type="auto"/>
            <w:shd w:val="clear" w:color="auto" w:fill="auto"/>
            <w:noWrap/>
            <w:vAlign w:val="center"/>
            <w:hideMark/>
          </w:tcPr>
          <w:p w14:paraId="60F6E10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5.35</w:t>
            </w:r>
          </w:p>
        </w:tc>
        <w:tc>
          <w:tcPr>
            <w:tcW w:w="0" w:type="auto"/>
            <w:shd w:val="clear" w:color="auto" w:fill="auto"/>
            <w:noWrap/>
            <w:vAlign w:val="center"/>
            <w:hideMark/>
          </w:tcPr>
          <w:p w14:paraId="7A24586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3.95</w:t>
            </w:r>
          </w:p>
        </w:tc>
        <w:tc>
          <w:tcPr>
            <w:tcW w:w="0" w:type="auto"/>
            <w:shd w:val="clear" w:color="auto" w:fill="auto"/>
            <w:noWrap/>
            <w:vAlign w:val="center"/>
            <w:hideMark/>
          </w:tcPr>
          <w:p w14:paraId="5F607FD2"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2.20</w:t>
            </w:r>
          </w:p>
        </w:tc>
        <w:tc>
          <w:tcPr>
            <w:tcW w:w="0" w:type="auto"/>
            <w:shd w:val="clear" w:color="auto" w:fill="auto"/>
            <w:noWrap/>
            <w:vAlign w:val="center"/>
            <w:hideMark/>
          </w:tcPr>
          <w:p w14:paraId="141486D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0.01</w:t>
            </w:r>
          </w:p>
        </w:tc>
        <w:tc>
          <w:tcPr>
            <w:tcW w:w="0" w:type="auto"/>
            <w:shd w:val="clear" w:color="auto" w:fill="auto"/>
            <w:noWrap/>
            <w:vAlign w:val="center"/>
            <w:hideMark/>
          </w:tcPr>
          <w:p w14:paraId="7284A623"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0.64</w:t>
            </w:r>
          </w:p>
        </w:tc>
      </w:tr>
      <w:tr w:rsidR="00FE66AB" w:rsidRPr="00363AAD" w14:paraId="510B498E" w14:textId="77777777" w:rsidTr="00155837">
        <w:trPr>
          <w:trHeight w:hRule="exact" w:val="454"/>
          <w:jc w:val="center"/>
        </w:trPr>
        <w:tc>
          <w:tcPr>
            <w:tcW w:w="1439" w:type="dxa"/>
            <w:shd w:val="clear" w:color="auto" w:fill="auto"/>
            <w:noWrap/>
            <w:vAlign w:val="center"/>
            <w:hideMark/>
          </w:tcPr>
          <w:p w14:paraId="56A23D2C"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DEU</w:t>
            </w:r>
          </w:p>
        </w:tc>
        <w:tc>
          <w:tcPr>
            <w:tcW w:w="0" w:type="auto"/>
            <w:shd w:val="clear" w:color="auto" w:fill="auto"/>
            <w:noWrap/>
            <w:vAlign w:val="center"/>
            <w:hideMark/>
          </w:tcPr>
          <w:p w14:paraId="2911A09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15.00</w:t>
            </w:r>
          </w:p>
        </w:tc>
        <w:tc>
          <w:tcPr>
            <w:tcW w:w="0" w:type="auto"/>
            <w:shd w:val="clear" w:color="auto" w:fill="auto"/>
            <w:noWrap/>
            <w:vAlign w:val="center"/>
            <w:hideMark/>
          </w:tcPr>
          <w:p w14:paraId="244AB85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17.17</w:t>
            </w:r>
          </w:p>
        </w:tc>
        <w:tc>
          <w:tcPr>
            <w:tcW w:w="0" w:type="auto"/>
            <w:shd w:val="clear" w:color="auto" w:fill="auto"/>
            <w:noWrap/>
            <w:vAlign w:val="center"/>
            <w:hideMark/>
          </w:tcPr>
          <w:p w14:paraId="618FBD1F"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5.15</w:t>
            </w:r>
          </w:p>
        </w:tc>
        <w:tc>
          <w:tcPr>
            <w:tcW w:w="0" w:type="auto"/>
            <w:shd w:val="clear" w:color="auto" w:fill="auto"/>
            <w:noWrap/>
            <w:vAlign w:val="center"/>
            <w:hideMark/>
          </w:tcPr>
          <w:p w14:paraId="62573955"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10.18</w:t>
            </w:r>
          </w:p>
        </w:tc>
        <w:tc>
          <w:tcPr>
            <w:tcW w:w="0" w:type="auto"/>
            <w:shd w:val="clear" w:color="auto" w:fill="auto"/>
            <w:noWrap/>
            <w:vAlign w:val="center"/>
            <w:hideMark/>
          </w:tcPr>
          <w:p w14:paraId="473F615F"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26.33</w:t>
            </w:r>
          </w:p>
        </w:tc>
        <w:tc>
          <w:tcPr>
            <w:tcW w:w="0" w:type="auto"/>
            <w:shd w:val="clear" w:color="auto" w:fill="auto"/>
            <w:noWrap/>
            <w:vAlign w:val="center"/>
            <w:hideMark/>
          </w:tcPr>
          <w:p w14:paraId="65875E23"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36.28</w:t>
            </w:r>
          </w:p>
        </w:tc>
        <w:tc>
          <w:tcPr>
            <w:tcW w:w="0" w:type="auto"/>
            <w:shd w:val="clear" w:color="auto" w:fill="auto"/>
            <w:noWrap/>
            <w:vAlign w:val="center"/>
            <w:hideMark/>
          </w:tcPr>
          <w:p w14:paraId="153362BF"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0.72</w:t>
            </w:r>
          </w:p>
        </w:tc>
        <w:tc>
          <w:tcPr>
            <w:tcW w:w="0" w:type="auto"/>
            <w:shd w:val="clear" w:color="auto" w:fill="auto"/>
            <w:noWrap/>
            <w:vAlign w:val="center"/>
            <w:hideMark/>
          </w:tcPr>
          <w:p w14:paraId="6F6000C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8.07</w:t>
            </w:r>
          </w:p>
        </w:tc>
      </w:tr>
      <w:tr w:rsidR="00FE66AB" w:rsidRPr="00363AAD" w14:paraId="711664D6" w14:textId="77777777" w:rsidTr="00155837">
        <w:trPr>
          <w:trHeight w:hRule="exact" w:val="454"/>
          <w:jc w:val="center"/>
        </w:trPr>
        <w:tc>
          <w:tcPr>
            <w:tcW w:w="1439" w:type="dxa"/>
            <w:shd w:val="clear" w:color="auto" w:fill="auto"/>
            <w:noWrap/>
            <w:vAlign w:val="center"/>
            <w:hideMark/>
          </w:tcPr>
          <w:p w14:paraId="3911B64F"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DNK</w:t>
            </w:r>
          </w:p>
        </w:tc>
        <w:tc>
          <w:tcPr>
            <w:tcW w:w="0" w:type="auto"/>
            <w:shd w:val="clear" w:color="auto" w:fill="auto"/>
            <w:noWrap/>
            <w:vAlign w:val="center"/>
            <w:hideMark/>
          </w:tcPr>
          <w:p w14:paraId="778BD9D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9.65</w:t>
            </w:r>
          </w:p>
        </w:tc>
        <w:tc>
          <w:tcPr>
            <w:tcW w:w="0" w:type="auto"/>
            <w:shd w:val="clear" w:color="auto" w:fill="auto"/>
            <w:noWrap/>
            <w:vAlign w:val="center"/>
            <w:hideMark/>
          </w:tcPr>
          <w:p w14:paraId="4B31624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18.80</w:t>
            </w:r>
          </w:p>
        </w:tc>
        <w:tc>
          <w:tcPr>
            <w:tcW w:w="0" w:type="auto"/>
            <w:shd w:val="clear" w:color="auto" w:fill="auto"/>
            <w:noWrap/>
            <w:vAlign w:val="center"/>
            <w:hideMark/>
          </w:tcPr>
          <w:p w14:paraId="40940EC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0.44</w:t>
            </w:r>
          </w:p>
        </w:tc>
        <w:tc>
          <w:tcPr>
            <w:tcW w:w="0" w:type="auto"/>
            <w:shd w:val="clear" w:color="auto" w:fill="auto"/>
            <w:noWrap/>
            <w:vAlign w:val="center"/>
            <w:hideMark/>
          </w:tcPr>
          <w:p w14:paraId="0B0842C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7.33</w:t>
            </w:r>
          </w:p>
        </w:tc>
        <w:tc>
          <w:tcPr>
            <w:tcW w:w="0" w:type="auto"/>
            <w:shd w:val="clear" w:color="auto" w:fill="auto"/>
            <w:noWrap/>
            <w:vAlign w:val="center"/>
            <w:hideMark/>
          </w:tcPr>
          <w:p w14:paraId="56F6E5F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1.46</w:t>
            </w:r>
          </w:p>
        </w:tc>
        <w:tc>
          <w:tcPr>
            <w:tcW w:w="0" w:type="auto"/>
            <w:shd w:val="clear" w:color="auto" w:fill="auto"/>
            <w:noWrap/>
            <w:vAlign w:val="center"/>
            <w:hideMark/>
          </w:tcPr>
          <w:p w14:paraId="58E149D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3.42</w:t>
            </w:r>
          </w:p>
        </w:tc>
        <w:tc>
          <w:tcPr>
            <w:tcW w:w="0" w:type="auto"/>
            <w:shd w:val="clear" w:color="auto" w:fill="auto"/>
            <w:noWrap/>
            <w:vAlign w:val="center"/>
            <w:hideMark/>
          </w:tcPr>
          <w:p w14:paraId="55DA826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0.01</w:t>
            </w:r>
          </w:p>
        </w:tc>
        <w:tc>
          <w:tcPr>
            <w:tcW w:w="0" w:type="auto"/>
            <w:shd w:val="clear" w:color="auto" w:fill="auto"/>
            <w:noWrap/>
            <w:vAlign w:val="center"/>
            <w:hideMark/>
          </w:tcPr>
          <w:p w14:paraId="3AC9F70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0.64</w:t>
            </w:r>
          </w:p>
        </w:tc>
      </w:tr>
      <w:tr w:rsidR="00FE66AB" w:rsidRPr="00363AAD" w14:paraId="2AD6D016" w14:textId="77777777" w:rsidTr="00155837">
        <w:trPr>
          <w:trHeight w:hRule="exact" w:val="454"/>
          <w:jc w:val="center"/>
        </w:trPr>
        <w:tc>
          <w:tcPr>
            <w:tcW w:w="1439" w:type="dxa"/>
            <w:shd w:val="clear" w:color="auto" w:fill="auto"/>
            <w:noWrap/>
            <w:vAlign w:val="center"/>
            <w:hideMark/>
          </w:tcPr>
          <w:p w14:paraId="032766C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ESP</w:t>
            </w:r>
          </w:p>
        </w:tc>
        <w:tc>
          <w:tcPr>
            <w:tcW w:w="0" w:type="auto"/>
            <w:shd w:val="clear" w:color="auto" w:fill="auto"/>
            <w:noWrap/>
            <w:vAlign w:val="center"/>
            <w:hideMark/>
          </w:tcPr>
          <w:p w14:paraId="199E655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4.38</w:t>
            </w:r>
          </w:p>
        </w:tc>
        <w:tc>
          <w:tcPr>
            <w:tcW w:w="0" w:type="auto"/>
            <w:shd w:val="clear" w:color="auto" w:fill="auto"/>
            <w:noWrap/>
            <w:vAlign w:val="center"/>
            <w:hideMark/>
          </w:tcPr>
          <w:p w14:paraId="6CA18E6C"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13.45</w:t>
            </w:r>
          </w:p>
        </w:tc>
        <w:tc>
          <w:tcPr>
            <w:tcW w:w="0" w:type="auto"/>
            <w:shd w:val="clear" w:color="auto" w:fill="auto"/>
            <w:noWrap/>
            <w:vAlign w:val="center"/>
            <w:hideMark/>
          </w:tcPr>
          <w:p w14:paraId="0CE1A65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2.77</w:t>
            </w:r>
          </w:p>
        </w:tc>
        <w:tc>
          <w:tcPr>
            <w:tcW w:w="0" w:type="auto"/>
            <w:shd w:val="clear" w:color="auto" w:fill="auto"/>
            <w:noWrap/>
            <w:vAlign w:val="center"/>
            <w:hideMark/>
          </w:tcPr>
          <w:p w14:paraId="47B7410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6.27</w:t>
            </w:r>
          </w:p>
        </w:tc>
        <w:tc>
          <w:tcPr>
            <w:tcW w:w="0" w:type="auto"/>
            <w:shd w:val="clear" w:color="auto" w:fill="auto"/>
            <w:noWrap/>
            <w:vAlign w:val="center"/>
            <w:hideMark/>
          </w:tcPr>
          <w:p w14:paraId="5C46992F"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4.13</w:t>
            </w:r>
          </w:p>
        </w:tc>
        <w:tc>
          <w:tcPr>
            <w:tcW w:w="0" w:type="auto"/>
            <w:shd w:val="clear" w:color="auto" w:fill="auto"/>
            <w:noWrap/>
            <w:vAlign w:val="center"/>
            <w:hideMark/>
          </w:tcPr>
          <w:p w14:paraId="1B6F92A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15.20</w:t>
            </w:r>
          </w:p>
        </w:tc>
        <w:tc>
          <w:tcPr>
            <w:tcW w:w="0" w:type="auto"/>
            <w:shd w:val="clear" w:color="auto" w:fill="auto"/>
            <w:noWrap/>
            <w:vAlign w:val="center"/>
            <w:hideMark/>
          </w:tcPr>
          <w:p w14:paraId="22596D0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0.21</w:t>
            </w:r>
          </w:p>
        </w:tc>
        <w:tc>
          <w:tcPr>
            <w:tcW w:w="0" w:type="auto"/>
            <w:shd w:val="clear" w:color="auto" w:fill="auto"/>
            <w:noWrap/>
            <w:vAlign w:val="center"/>
            <w:hideMark/>
          </w:tcPr>
          <w:p w14:paraId="5BB78785"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2.80</w:t>
            </w:r>
          </w:p>
        </w:tc>
      </w:tr>
      <w:tr w:rsidR="00FE66AB" w:rsidRPr="00363AAD" w14:paraId="09B59D12" w14:textId="77777777" w:rsidTr="00155837">
        <w:trPr>
          <w:trHeight w:hRule="exact" w:val="454"/>
          <w:jc w:val="center"/>
        </w:trPr>
        <w:tc>
          <w:tcPr>
            <w:tcW w:w="1439" w:type="dxa"/>
            <w:shd w:val="clear" w:color="auto" w:fill="auto"/>
            <w:noWrap/>
            <w:vAlign w:val="center"/>
            <w:hideMark/>
          </w:tcPr>
          <w:p w14:paraId="0DF99C82"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EST</w:t>
            </w:r>
          </w:p>
        </w:tc>
        <w:tc>
          <w:tcPr>
            <w:tcW w:w="0" w:type="auto"/>
            <w:shd w:val="clear" w:color="auto" w:fill="auto"/>
            <w:noWrap/>
            <w:vAlign w:val="center"/>
            <w:hideMark/>
          </w:tcPr>
          <w:p w14:paraId="3BF5E9C3"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28.94</w:t>
            </w:r>
          </w:p>
        </w:tc>
        <w:tc>
          <w:tcPr>
            <w:tcW w:w="0" w:type="auto"/>
            <w:shd w:val="clear" w:color="auto" w:fill="auto"/>
            <w:noWrap/>
            <w:vAlign w:val="center"/>
            <w:hideMark/>
          </w:tcPr>
          <w:p w14:paraId="6415C31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7.17</w:t>
            </w:r>
          </w:p>
        </w:tc>
        <w:tc>
          <w:tcPr>
            <w:tcW w:w="0" w:type="auto"/>
            <w:shd w:val="clear" w:color="auto" w:fill="auto"/>
            <w:noWrap/>
            <w:vAlign w:val="center"/>
            <w:hideMark/>
          </w:tcPr>
          <w:p w14:paraId="31E94C3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0.07</w:t>
            </w:r>
          </w:p>
        </w:tc>
        <w:tc>
          <w:tcPr>
            <w:tcW w:w="0" w:type="auto"/>
            <w:shd w:val="clear" w:color="auto" w:fill="auto"/>
            <w:noWrap/>
            <w:vAlign w:val="center"/>
            <w:hideMark/>
          </w:tcPr>
          <w:p w14:paraId="5E1E19DF"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6.19</w:t>
            </w:r>
          </w:p>
        </w:tc>
        <w:tc>
          <w:tcPr>
            <w:tcW w:w="0" w:type="auto"/>
            <w:shd w:val="clear" w:color="auto" w:fill="auto"/>
            <w:noWrap/>
            <w:vAlign w:val="center"/>
            <w:hideMark/>
          </w:tcPr>
          <w:p w14:paraId="43D360D2"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0.70</w:t>
            </w:r>
          </w:p>
        </w:tc>
        <w:tc>
          <w:tcPr>
            <w:tcW w:w="0" w:type="auto"/>
            <w:shd w:val="clear" w:color="auto" w:fill="auto"/>
            <w:noWrap/>
            <w:vAlign w:val="center"/>
            <w:hideMark/>
          </w:tcPr>
          <w:p w14:paraId="1F3625D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0.21</w:t>
            </w:r>
          </w:p>
        </w:tc>
        <w:tc>
          <w:tcPr>
            <w:tcW w:w="0" w:type="auto"/>
            <w:shd w:val="clear" w:color="auto" w:fill="auto"/>
            <w:noWrap/>
            <w:vAlign w:val="center"/>
            <w:hideMark/>
          </w:tcPr>
          <w:p w14:paraId="7B5682D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0.00</w:t>
            </w:r>
          </w:p>
        </w:tc>
        <w:tc>
          <w:tcPr>
            <w:tcW w:w="0" w:type="auto"/>
            <w:shd w:val="clear" w:color="auto" w:fill="auto"/>
            <w:noWrap/>
            <w:vAlign w:val="center"/>
            <w:hideMark/>
          </w:tcPr>
          <w:p w14:paraId="40E76FB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0.08</w:t>
            </w:r>
          </w:p>
        </w:tc>
      </w:tr>
      <w:tr w:rsidR="00FE66AB" w:rsidRPr="00363AAD" w14:paraId="075F65C8" w14:textId="77777777" w:rsidTr="00155837">
        <w:trPr>
          <w:trHeight w:hRule="exact" w:val="454"/>
          <w:jc w:val="center"/>
        </w:trPr>
        <w:tc>
          <w:tcPr>
            <w:tcW w:w="1439" w:type="dxa"/>
            <w:shd w:val="clear" w:color="auto" w:fill="auto"/>
            <w:noWrap/>
            <w:vAlign w:val="center"/>
            <w:hideMark/>
          </w:tcPr>
          <w:p w14:paraId="175769FF"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FIN</w:t>
            </w:r>
          </w:p>
        </w:tc>
        <w:tc>
          <w:tcPr>
            <w:tcW w:w="0" w:type="auto"/>
            <w:shd w:val="clear" w:color="auto" w:fill="auto"/>
            <w:noWrap/>
            <w:vAlign w:val="center"/>
            <w:hideMark/>
          </w:tcPr>
          <w:p w14:paraId="0F8A26C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7.67</w:t>
            </w:r>
          </w:p>
        </w:tc>
        <w:tc>
          <w:tcPr>
            <w:tcW w:w="0" w:type="auto"/>
            <w:shd w:val="clear" w:color="auto" w:fill="auto"/>
            <w:noWrap/>
            <w:vAlign w:val="center"/>
            <w:hideMark/>
          </w:tcPr>
          <w:p w14:paraId="41FEF45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15.75</w:t>
            </w:r>
          </w:p>
        </w:tc>
        <w:tc>
          <w:tcPr>
            <w:tcW w:w="0" w:type="auto"/>
            <w:shd w:val="clear" w:color="auto" w:fill="auto"/>
            <w:noWrap/>
            <w:vAlign w:val="center"/>
            <w:hideMark/>
          </w:tcPr>
          <w:p w14:paraId="6CF0891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0.41</w:t>
            </w:r>
          </w:p>
        </w:tc>
        <w:tc>
          <w:tcPr>
            <w:tcW w:w="0" w:type="auto"/>
            <w:shd w:val="clear" w:color="auto" w:fill="auto"/>
            <w:noWrap/>
            <w:vAlign w:val="center"/>
            <w:hideMark/>
          </w:tcPr>
          <w:p w14:paraId="62C82F3D"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6.10</w:t>
            </w:r>
          </w:p>
        </w:tc>
        <w:tc>
          <w:tcPr>
            <w:tcW w:w="0" w:type="auto"/>
            <w:shd w:val="clear" w:color="auto" w:fill="auto"/>
            <w:noWrap/>
            <w:vAlign w:val="center"/>
            <w:hideMark/>
          </w:tcPr>
          <w:p w14:paraId="34C928F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1.06</w:t>
            </w:r>
          </w:p>
        </w:tc>
        <w:tc>
          <w:tcPr>
            <w:tcW w:w="0" w:type="auto"/>
            <w:shd w:val="clear" w:color="auto" w:fill="auto"/>
            <w:noWrap/>
            <w:vAlign w:val="center"/>
            <w:hideMark/>
          </w:tcPr>
          <w:p w14:paraId="2435D54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2.63</w:t>
            </w:r>
          </w:p>
        </w:tc>
        <w:tc>
          <w:tcPr>
            <w:tcW w:w="0" w:type="auto"/>
            <w:shd w:val="clear" w:color="auto" w:fill="auto"/>
            <w:noWrap/>
            <w:vAlign w:val="center"/>
            <w:hideMark/>
          </w:tcPr>
          <w:p w14:paraId="404442E3"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0.00</w:t>
            </w:r>
          </w:p>
        </w:tc>
        <w:tc>
          <w:tcPr>
            <w:tcW w:w="0" w:type="auto"/>
            <w:shd w:val="clear" w:color="auto" w:fill="auto"/>
            <w:noWrap/>
            <w:vAlign w:val="center"/>
            <w:hideMark/>
          </w:tcPr>
          <w:p w14:paraId="15C6D17D"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0.49</w:t>
            </w:r>
          </w:p>
        </w:tc>
      </w:tr>
      <w:tr w:rsidR="00FE66AB" w:rsidRPr="00363AAD" w14:paraId="2A906F91" w14:textId="77777777" w:rsidTr="00155837">
        <w:trPr>
          <w:trHeight w:hRule="exact" w:val="454"/>
          <w:jc w:val="center"/>
        </w:trPr>
        <w:tc>
          <w:tcPr>
            <w:tcW w:w="1439" w:type="dxa"/>
            <w:shd w:val="clear" w:color="auto" w:fill="auto"/>
            <w:noWrap/>
            <w:vAlign w:val="center"/>
            <w:hideMark/>
          </w:tcPr>
          <w:p w14:paraId="71D0541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FRA</w:t>
            </w:r>
          </w:p>
        </w:tc>
        <w:tc>
          <w:tcPr>
            <w:tcW w:w="0" w:type="auto"/>
            <w:shd w:val="clear" w:color="auto" w:fill="auto"/>
            <w:noWrap/>
            <w:vAlign w:val="center"/>
            <w:hideMark/>
          </w:tcPr>
          <w:p w14:paraId="6035E2AC"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9.24</w:t>
            </w:r>
          </w:p>
        </w:tc>
        <w:tc>
          <w:tcPr>
            <w:tcW w:w="0" w:type="auto"/>
            <w:shd w:val="clear" w:color="auto" w:fill="auto"/>
            <w:noWrap/>
            <w:vAlign w:val="center"/>
            <w:hideMark/>
          </w:tcPr>
          <w:p w14:paraId="0E45B9E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14.03</w:t>
            </w:r>
          </w:p>
        </w:tc>
        <w:tc>
          <w:tcPr>
            <w:tcW w:w="0" w:type="auto"/>
            <w:shd w:val="clear" w:color="auto" w:fill="auto"/>
            <w:noWrap/>
            <w:vAlign w:val="center"/>
            <w:hideMark/>
          </w:tcPr>
          <w:p w14:paraId="23F8949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4.86</w:t>
            </w:r>
          </w:p>
        </w:tc>
        <w:tc>
          <w:tcPr>
            <w:tcW w:w="0" w:type="auto"/>
            <w:shd w:val="clear" w:color="auto" w:fill="auto"/>
            <w:noWrap/>
            <w:vAlign w:val="center"/>
            <w:hideMark/>
          </w:tcPr>
          <w:p w14:paraId="1269A3B3"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8.27</w:t>
            </w:r>
          </w:p>
        </w:tc>
        <w:tc>
          <w:tcPr>
            <w:tcW w:w="0" w:type="auto"/>
            <w:shd w:val="clear" w:color="auto" w:fill="auto"/>
            <w:noWrap/>
            <w:vAlign w:val="center"/>
            <w:hideMark/>
          </w:tcPr>
          <w:p w14:paraId="79B9D60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15.34</w:t>
            </w:r>
          </w:p>
        </w:tc>
        <w:tc>
          <w:tcPr>
            <w:tcW w:w="0" w:type="auto"/>
            <w:shd w:val="clear" w:color="auto" w:fill="auto"/>
            <w:noWrap/>
            <w:vAlign w:val="center"/>
            <w:hideMark/>
          </w:tcPr>
          <w:p w14:paraId="6953C53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28.10</w:t>
            </w:r>
          </w:p>
        </w:tc>
        <w:tc>
          <w:tcPr>
            <w:tcW w:w="0" w:type="auto"/>
            <w:shd w:val="clear" w:color="auto" w:fill="auto"/>
            <w:noWrap/>
            <w:vAlign w:val="center"/>
            <w:hideMark/>
          </w:tcPr>
          <w:p w14:paraId="4DC2D67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0.64</w:t>
            </w:r>
          </w:p>
        </w:tc>
        <w:tc>
          <w:tcPr>
            <w:tcW w:w="0" w:type="auto"/>
            <w:shd w:val="clear" w:color="auto" w:fill="auto"/>
            <w:noWrap/>
            <w:vAlign w:val="center"/>
            <w:hideMark/>
          </w:tcPr>
          <w:p w14:paraId="46AB094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5.94</w:t>
            </w:r>
          </w:p>
        </w:tc>
      </w:tr>
      <w:tr w:rsidR="00FE66AB" w:rsidRPr="00363AAD" w14:paraId="44A80535" w14:textId="77777777" w:rsidTr="00155837">
        <w:trPr>
          <w:trHeight w:hRule="exact" w:val="454"/>
          <w:jc w:val="center"/>
        </w:trPr>
        <w:tc>
          <w:tcPr>
            <w:tcW w:w="1439" w:type="dxa"/>
            <w:shd w:val="clear" w:color="auto" w:fill="auto"/>
            <w:noWrap/>
            <w:vAlign w:val="center"/>
            <w:hideMark/>
          </w:tcPr>
          <w:p w14:paraId="0214E80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GBR</w:t>
            </w:r>
          </w:p>
        </w:tc>
        <w:tc>
          <w:tcPr>
            <w:tcW w:w="0" w:type="auto"/>
            <w:shd w:val="clear" w:color="auto" w:fill="auto"/>
            <w:noWrap/>
            <w:vAlign w:val="center"/>
            <w:hideMark/>
          </w:tcPr>
          <w:p w14:paraId="7716A3B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18.98</w:t>
            </w:r>
          </w:p>
        </w:tc>
        <w:tc>
          <w:tcPr>
            <w:tcW w:w="0" w:type="auto"/>
            <w:shd w:val="clear" w:color="auto" w:fill="auto"/>
            <w:noWrap/>
            <w:vAlign w:val="center"/>
            <w:hideMark/>
          </w:tcPr>
          <w:p w14:paraId="3A93ACC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11.93</w:t>
            </w:r>
          </w:p>
        </w:tc>
        <w:tc>
          <w:tcPr>
            <w:tcW w:w="0" w:type="auto"/>
            <w:shd w:val="clear" w:color="auto" w:fill="auto"/>
            <w:noWrap/>
            <w:vAlign w:val="center"/>
            <w:hideMark/>
          </w:tcPr>
          <w:p w14:paraId="4E5729AD"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5.25</w:t>
            </w:r>
          </w:p>
        </w:tc>
        <w:tc>
          <w:tcPr>
            <w:tcW w:w="0" w:type="auto"/>
            <w:shd w:val="clear" w:color="auto" w:fill="auto"/>
            <w:noWrap/>
            <w:vAlign w:val="center"/>
            <w:hideMark/>
          </w:tcPr>
          <w:p w14:paraId="00E6A93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9.17</w:t>
            </w:r>
          </w:p>
        </w:tc>
        <w:tc>
          <w:tcPr>
            <w:tcW w:w="0" w:type="auto"/>
            <w:shd w:val="clear" w:color="auto" w:fill="auto"/>
            <w:noWrap/>
            <w:vAlign w:val="center"/>
            <w:hideMark/>
          </w:tcPr>
          <w:p w14:paraId="2BF674E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34.02</w:t>
            </w:r>
          </w:p>
        </w:tc>
        <w:tc>
          <w:tcPr>
            <w:tcW w:w="0" w:type="auto"/>
            <w:shd w:val="clear" w:color="auto" w:fill="auto"/>
            <w:noWrap/>
            <w:vAlign w:val="center"/>
            <w:hideMark/>
          </w:tcPr>
          <w:p w14:paraId="28EEA3AC"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25.80</w:t>
            </w:r>
          </w:p>
        </w:tc>
        <w:tc>
          <w:tcPr>
            <w:tcW w:w="0" w:type="auto"/>
            <w:shd w:val="clear" w:color="auto" w:fill="auto"/>
            <w:noWrap/>
            <w:vAlign w:val="center"/>
            <w:hideMark/>
          </w:tcPr>
          <w:p w14:paraId="6609CAD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0.75</w:t>
            </w:r>
          </w:p>
        </w:tc>
        <w:tc>
          <w:tcPr>
            <w:tcW w:w="0" w:type="auto"/>
            <w:shd w:val="clear" w:color="auto" w:fill="auto"/>
            <w:noWrap/>
            <w:vAlign w:val="center"/>
            <w:hideMark/>
          </w:tcPr>
          <w:p w14:paraId="20B7C25C"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7.05</w:t>
            </w:r>
          </w:p>
        </w:tc>
      </w:tr>
      <w:tr w:rsidR="00FE66AB" w:rsidRPr="00363AAD" w14:paraId="1ED8929F" w14:textId="77777777" w:rsidTr="00155837">
        <w:trPr>
          <w:trHeight w:hRule="exact" w:val="454"/>
          <w:jc w:val="center"/>
        </w:trPr>
        <w:tc>
          <w:tcPr>
            <w:tcW w:w="1439" w:type="dxa"/>
            <w:shd w:val="clear" w:color="auto" w:fill="auto"/>
            <w:noWrap/>
            <w:vAlign w:val="center"/>
            <w:hideMark/>
          </w:tcPr>
          <w:p w14:paraId="7CDCAE8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lastRenderedPageBreak/>
              <w:t>GRC</w:t>
            </w:r>
          </w:p>
        </w:tc>
        <w:tc>
          <w:tcPr>
            <w:tcW w:w="0" w:type="auto"/>
            <w:shd w:val="clear" w:color="auto" w:fill="auto"/>
            <w:noWrap/>
            <w:vAlign w:val="center"/>
            <w:hideMark/>
          </w:tcPr>
          <w:p w14:paraId="3920369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4.73</w:t>
            </w:r>
          </w:p>
        </w:tc>
        <w:tc>
          <w:tcPr>
            <w:tcW w:w="0" w:type="auto"/>
            <w:shd w:val="clear" w:color="auto" w:fill="auto"/>
            <w:noWrap/>
            <w:vAlign w:val="center"/>
            <w:hideMark/>
          </w:tcPr>
          <w:p w14:paraId="23DA94D3"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12.92</w:t>
            </w:r>
          </w:p>
        </w:tc>
        <w:tc>
          <w:tcPr>
            <w:tcW w:w="0" w:type="auto"/>
            <w:shd w:val="clear" w:color="auto" w:fill="auto"/>
            <w:noWrap/>
            <w:vAlign w:val="center"/>
            <w:hideMark/>
          </w:tcPr>
          <w:p w14:paraId="138C19F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0.61</w:t>
            </w:r>
          </w:p>
        </w:tc>
        <w:tc>
          <w:tcPr>
            <w:tcW w:w="0" w:type="auto"/>
            <w:shd w:val="clear" w:color="auto" w:fill="auto"/>
            <w:noWrap/>
            <w:vAlign w:val="center"/>
            <w:hideMark/>
          </w:tcPr>
          <w:p w14:paraId="00CC5B12"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4.95</w:t>
            </w:r>
          </w:p>
        </w:tc>
        <w:tc>
          <w:tcPr>
            <w:tcW w:w="0" w:type="auto"/>
            <w:shd w:val="clear" w:color="auto" w:fill="auto"/>
            <w:noWrap/>
            <w:vAlign w:val="center"/>
            <w:hideMark/>
          </w:tcPr>
          <w:p w14:paraId="3ACE6235"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0.98</w:t>
            </w:r>
          </w:p>
        </w:tc>
        <w:tc>
          <w:tcPr>
            <w:tcW w:w="0" w:type="auto"/>
            <w:shd w:val="clear" w:color="auto" w:fill="auto"/>
            <w:noWrap/>
            <w:vAlign w:val="center"/>
            <w:hideMark/>
          </w:tcPr>
          <w:p w14:paraId="1A9A6C9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3.18</w:t>
            </w:r>
          </w:p>
        </w:tc>
        <w:tc>
          <w:tcPr>
            <w:tcW w:w="0" w:type="auto"/>
            <w:shd w:val="clear" w:color="auto" w:fill="auto"/>
            <w:noWrap/>
            <w:vAlign w:val="center"/>
            <w:hideMark/>
          </w:tcPr>
          <w:p w14:paraId="314499EC"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0.01</w:t>
            </w:r>
          </w:p>
        </w:tc>
        <w:tc>
          <w:tcPr>
            <w:tcW w:w="0" w:type="auto"/>
            <w:shd w:val="clear" w:color="auto" w:fill="auto"/>
            <w:noWrap/>
            <w:vAlign w:val="center"/>
            <w:hideMark/>
          </w:tcPr>
          <w:p w14:paraId="2FD1CE0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0.57</w:t>
            </w:r>
          </w:p>
        </w:tc>
      </w:tr>
      <w:tr w:rsidR="00FE66AB" w:rsidRPr="00363AAD" w14:paraId="66410270" w14:textId="77777777" w:rsidTr="00155837">
        <w:trPr>
          <w:trHeight w:hRule="exact" w:val="454"/>
          <w:jc w:val="center"/>
        </w:trPr>
        <w:tc>
          <w:tcPr>
            <w:tcW w:w="1439" w:type="dxa"/>
            <w:shd w:val="clear" w:color="auto" w:fill="auto"/>
            <w:noWrap/>
            <w:vAlign w:val="center"/>
            <w:hideMark/>
          </w:tcPr>
          <w:p w14:paraId="757D8F3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HRV</w:t>
            </w:r>
          </w:p>
        </w:tc>
        <w:tc>
          <w:tcPr>
            <w:tcW w:w="0" w:type="auto"/>
            <w:shd w:val="clear" w:color="auto" w:fill="auto"/>
            <w:noWrap/>
            <w:vAlign w:val="center"/>
            <w:hideMark/>
          </w:tcPr>
          <w:p w14:paraId="6CEC0652"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3.11</w:t>
            </w:r>
          </w:p>
        </w:tc>
        <w:tc>
          <w:tcPr>
            <w:tcW w:w="0" w:type="auto"/>
            <w:shd w:val="clear" w:color="auto" w:fill="auto"/>
            <w:noWrap/>
            <w:vAlign w:val="center"/>
            <w:hideMark/>
          </w:tcPr>
          <w:p w14:paraId="35BB73CC"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7.42</w:t>
            </w:r>
          </w:p>
        </w:tc>
        <w:tc>
          <w:tcPr>
            <w:tcW w:w="0" w:type="auto"/>
            <w:shd w:val="clear" w:color="auto" w:fill="auto"/>
            <w:noWrap/>
            <w:vAlign w:val="center"/>
            <w:hideMark/>
          </w:tcPr>
          <w:p w14:paraId="73562442"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0.21</w:t>
            </w:r>
          </w:p>
        </w:tc>
        <w:tc>
          <w:tcPr>
            <w:tcW w:w="0" w:type="auto"/>
            <w:shd w:val="clear" w:color="auto" w:fill="auto"/>
            <w:noWrap/>
            <w:vAlign w:val="center"/>
            <w:hideMark/>
          </w:tcPr>
          <w:p w14:paraId="4AB9FF4C"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2.82</w:t>
            </w:r>
          </w:p>
        </w:tc>
        <w:tc>
          <w:tcPr>
            <w:tcW w:w="0" w:type="auto"/>
            <w:shd w:val="clear" w:color="auto" w:fill="auto"/>
            <w:noWrap/>
            <w:vAlign w:val="center"/>
            <w:hideMark/>
          </w:tcPr>
          <w:p w14:paraId="5C83E23F"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0.22</w:t>
            </w:r>
          </w:p>
        </w:tc>
        <w:tc>
          <w:tcPr>
            <w:tcW w:w="0" w:type="auto"/>
            <w:shd w:val="clear" w:color="auto" w:fill="auto"/>
            <w:noWrap/>
            <w:vAlign w:val="center"/>
            <w:hideMark/>
          </w:tcPr>
          <w:p w14:paraId="4A8B6A5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0.63</w:t>
            </w:r>
          </w:p>
        </w:tc>
        <w:tc>
          <w:tcPr>
            <w:tcW w:w="0" w:type="auto"/>
            <w:shd w:val="clear" w:color="auto" w:fill="auto"/>
            <w:noWrap/>
            <w:vAlign w:val="center"/>
            <w:hideMark/>
          </w:tcPr>
          <w:p w14:paraId="617B9B8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0.00</w:t>
            </w:r>
          </w:p>
        </w:tc>
        <w:tc>
          <w:tcPr>
            <w:tcW w:w="0" w:type="auto"/>
            <w:shd w:val="clear" w:color="auto" w:fill="auto"/>
            <w:noWrap/>
            <w:vAlign w:val="center"/>
            <w:hideMark/>
          </w:tcPr>
          <w:p w14:paraId="5E0AFAB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0.11</w:t>
            </w:r>
          </w:p>
        </w:tc>
      </w:tr>
      <w:tr w:rsidR="00FE66AB" w:rsidRPr="00363AAD" w14:paraId="6F8AA023" w14:textId="77777777" w:rsidTr="00155837">
        <w:trPr>
          <w:trHeight w:hRule="exact" w:val="454"/>
          <w:jc w:val="center"/>
        </w:trPr>
        <w:tc>
          <w:tcPr>
            <w:tcW w:w="1439" w:type="dxa"/>
            <w:shd w:val="clear" w:color="auto" w:fill="auto"/>
            <w:noWrap/>
            <w:vAlign w:val="center"/>
            <w:hideMark/>
          </w:tcPr>
          <w:p w14:paraId="6707793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HUN</w:t>
            </w:r>
          </w:p>
        </w:tc>
        <w:tc>
          <w:tcPr>
            <w:tcW w:w="0" w:type="auto"/>
            <w:shd w:val="clear" w:color="auto" w:fill="auto"/>
            <w:noWrap/>
            <w:vAlign w:val="center"/>
            <w:hideMark/>
          </w:tcPr>
          <w:p w14:paraId="24C2672F"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5.85</w:t>
            </w:r>
          </w:p>
        </w:tc>
        <w:tc>
          <w:tcPr>
            <w:tcW w:w="0" w:type="auto"/>
            <w:shd w:val="clear" w:color="auto" w:fill="auto"/>
            <w:noWrap/>
            <w:vAlign w:val="center"/>
            <w:hideMark/>
          </w:tcPr>
          <w:p w14:paraId="50FD49F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6.63</w:t>
            </w:r>
          </w:p>
        </w:tc>
        <w:tc>
          <w:tcPr>
            <w:tcW w:w="0" w:type="auto"/>
            <w:shd w:val="clear" w:color="auto" w:fill="auto"/>
            <w:noWrap/>
            <w:vAlign w:val="center"/>
            <w:hideMark/>
          </w:tcPr>
          <w:p w14:paraId="200C7FE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0.51</w:t>
            </w:r>
          </w:p>
        </w:tc>
        <w:tc>
          <w:tcPr>
            <w:tcW w:w="0" w:type="auto"/>
            <w:shd w:val="clear" w:color="auto" w:fill="auto"/>
            <w:noWrap/>
            <w:vAlign w:val="center"/>
            <w:hideMark/>
          </w:tcPr>
          <w:p w14:paraId="1A93603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3.12</w:t>
            </w:r>
          </w:p>
        </w:tc>
        <w:tc>
          <w:tcPr>
            <w:tcW w:w="0" w:type="auto"/>
            <w:shd w:val="clear" w:color="auto" w:fill="auto"/>
            <w:noWrap/>
            <w:vAlign w:val="center"/>
            <w:hideMark/>
          </w:tcPr>
          <w:p w14:paraId="22DFDB2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1.02</w:t>
            </w:r>
          </w:p>
        </w:tc>
        <w:tc>
          <w:tcPr>
            <w:tcW w:w="0" w:type="auto"/>
            <w:shd w:val="clear" w:color="auto" w:fill="auto"/>
            <w:noWrap/>
            <w:vAlign w:val="center"/>
            <w:hideMark/>
          </w:tcPr>
          <w:p w14:paraId="00E73C9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1.38</w:t>
            </w:r>
          </w:p>
        </w:tc>
        <w:tc>
          <w:tcPr>
            <w:tcW w:w="0" w:type="auto"/>
            <w:shd w:val="clear" w:color="auto" w:fill="auto"/>
            <w:noWrap/>
            <w:vAlign w:val="center"/>
            <w:hideMark/>
          </w:tcPr>
          <w:p w14:paraId="420C230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0.01</w:t>
            </w:r>
          </w:p>
        </w:tc>
        <w:tc>
          <w:tcPr>
            <w:tcW w:w="0" w:type="auto"/>
            <w:shd w:val="clear" w:color="auto" w:fill="auto"/>
            <w:noWrap/>
            <w:vAlign w:val="center"/>
            <w:hideMark/>
          </w:tcPr>
          <w:p w14:paraId="66A8A9E5"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0.29</w:t>
            </w:r>
          </w:p>
        </w:tc>
      </w:tr>
      <w:tr w:rsidR="00FE66AB" w:rsidRPr="00363AAD" w14:paraId="646C9C62" w14:textId="77777777" w:rsidTr="00155837">
        <w:trPr>
          <w:trHeight w:hRule="exact" w:val="454"/>
          <w:jc w:val="center"/>
        </w:trPr>
        <w:tc>
          <w:tcPr>
            <w:tcW w:w="1439" w:type="dxa"/>
            <w:shd w:val="clear" w:color="auto" w:fill="auto"/>
            <w:noWrap/>
            <w:vAlign w:val="center"/>
            <w:hideMark/>
          </w:tcPr>
          <w:p w14:paraId="342E58C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IRL</w:t>
            </w:r>
          </w:p>
        </w:tc>
        <w:tc>
          <w:tcPr>
            <w:tcW w:w="0" w:type="auto"/>
            <w:shd w:val="clear" w:color="auto" w:fill="auto"/>
            <w:noWrap/>
            <w:vAlign w:val="center"/>
            <w:hideMark/>
          </w:tcPr>
          <w:p w14:paraId="711079B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6.28</w:t>
            </w:r>
          </w:p>
        </w:tc>
        <w:tc>
          <w:tcPr>
            <w:tcW w:w="0" w:type="auto"/>
            <w:shd w:val="clear" w:color="auto" w:fill="auto"/>
            <w:noWrap/>
            <w:vAlign w:val="center"/>
            <w:hideMark/>
          </w:tcPr>
          <w:p w14:paraId="201A873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14.06</w:t>
            </w:r>
          </w:p>
        </w:tc>
        <w:tc>
          <w:tcPr>
            <w:tcW w:w="0" w:type="auto"/>
            <w:shd w:val="clear" w:color="auto" w:fill="auto"/>
            <w:noWrap/>
            <w:vAlign w:val="center"/>
            <w:hideMark/>
          </w:tcPr>
          <w:p w14:paraId="34C2677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0.41</w:t>
            </w:r>
          </w:p>
        </w:tc>
        <w:tc>
          <w:tcPr>
            <w:tcW w:w="0" w:type="auto"/>
            <w:shd w:val="clear" w:color="auto" w:fill="auto"/>
            <w:noWrap/>
            <w:vAlign w:val="center"/>
            <w:hideMark/>
          </w:tcPr>
          <w:p w14:paraId="2107AD8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5.40</w:t>
            </w:r>
          </w:p>
        </w:tc>
        <w:tc>
          <w:tcPr>
            <w:tcW w:w="0" w:type="auto"/>
            <w:shd w:val="clear" w:color="auto" w:fill="auto"/>
            <w:noWrap/>
            <w:vAlign w:val="center"/>
            <w:hideMark/>
          </w:tcPr>
          <w:p w14:paraId="3E97D19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0.87</w:t>
            </w:r>
          </w:p>
        </w:tc>
        <w:tc>
          <w:tcPr>
            <w:tcW w:w="0" w:type="auto"/>
            <w:shd w:val="clear" w:color="auto" w:fill="auto"/>
            <w:noWrap/>
            <w:vAlign w:val="center"/>
            <w:hideMark/>
          </w:tcPr>
          <w:p w14:paraId="6150F36F"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2.35</w:t>
            </w:r>
          </w:p>
        </w:tc>
        <w:tc>
          <w:tcPr>
            <w:tcW w:w="0" w:type="auto"/>
            <w:shd w:val="clear" w:color="auto" w:fill="auto"/>
            <w:noWrap/>
            <w:vAlign w:val="center"/>
            <w:hideMark/>
          </w:tcPr>
          <w:p w14:paraId="7997D82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0.00</w:t>
            </w:r>
          </w:p>
        </w:tc>
        <w:tc>
          <w:tcPr>
            <w:tcW w:w="0" w:type="auto"/>
            <w:shd w:val="clear" w:color="auto" w:fill="auto"/>
            <w:noWrap/>
            <w:vAlign w:val="center"/>
            <w:hideMark/>
          </w:tcPr>
          <w:p w14:paraId="514BCFB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0.43</w:t>
            </w:r>
          </w:p>
        </w:tc>
      </w:tr>
      <w:tr w:rsidR="00FE66AB" w:rsidRPr="00363AAD" w14:paraId="54D89A58" w14:textId="77777777" w:rsidTr="00155837">
        <w:trPr>
          <w:trHeight w:hRule="exact" w:val="454"/>
          <w:jc w:val="center"/>
        </w:trPr>
        <w:tc>
          <w:tcPr>
            <w:tcW w:w="1439" w:type="dxa"/>
            <w:shd w:val="clear" w:color="auto" w:fill="auto"/>
            <w:noWrap/>
            <w:vAlign w:val="center"/>
            <w:hideMark/>
          </w:tcPr>
          <w:p w14:paraId="35B853F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ITA</w:t>
            </w:r>
          </w:p>
        </w:tc>
        <w:tc>
          <w:tcPr>
            <w:tcW w:w="0" w:type="auto"/>
            <w:shd w:val="clear" w:color="auto" w:fill="auto"/>
            <w:noWrap/>
            <w:vAlign w:val="center"/>
            <w:hideMark/>
          </w:tcPr>
          <w:p w14:paraId="7B78ED15"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5.34</w:t>
            </w:r>
          </w:p>
        </w:tc>
        <w:tc>
          <w:tcPr>
            <w:tcW w:w="0" w:type="auto"/>
            <w:shd w:val="clear" w:color="auto" w:fill="auto"/>
            <w:noWrap/>
            <w:vAlign w:val="center"/>
            <w:hideMark/>
          </w:tcPr>
          <w:p w14:paraId="692C491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15.71</w:t>
            </w:r>
          </w:p>
        </w:tc>
        <w:tc>
          <w:tcPr>
            <w:tcW w:w="0" w:type="auto"/>
            <w:shd w:val="clear" w:color="auto" w:fill="auto"/>
            <w:noWrap/>
            <w:vAlign w:val="center"/>
            <w:hideMark/>
          </w:tcPr>
          <w:p w14:paraId="62FD1155"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3.51</w:t>
            </w:r>
          </w:p>
        </w:tc>
        <w:tc>
          <w:tcPr>
            <w:tcW w:w="0" w:type="auto"/>
            <w:shd w:val="clear" w:color="auto" w:fill="auto"/>
            <w:noWrap/>
            <w:vAlign w:val="center"/>
            <w:hideMark/>
          </w:tcPr>
          <w:p w14:paraId="218ECE23"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7.50</w:t>
            </w:r>
          </w:p>
        </w:tc>
        <w:tc>
          <w:tcPr>
            <w:tcW w:w="0" w:type="auto"/>
            <w:shd w:val="clear" w:color="auto" w:fill="auto"/>
            <w:noWrap/>
            <w:vAlign w:val="center"/>
            <w:hideMark/>
          </w:tcPr>
          <w:p w14:paraId="7E86C98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6.38</w:t>
            </w:r>
          </w:p>
        </w:tc>
        <w:tc>
          <w:tcPr>
            <w:tcW w:w="0" w:type="auto"/>
            <w:shd w:val="clear" w:color="auto" w:fill="auto"/>
            <w:noWrap/>
            <w:vAlign w:val="center"/>
            <w:hideMark/>
          </w:tcPr>
          <w:p w14:paraId="13EE8F2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22.56</w:t>
            </w:r>
          </w:p>
        </w:tc>
        <w:tc>
          <w:tcPr>
            <w:tcW w:w="0" w:type="auto"/>
            <w:shd w:val="clear" w:color="auto" w:fill="auto"/>
            <w:noWrap/>
            <w:vAlign w:val="center"/>
            <w:hideMark/>
          </w:tcPr>
          <w:p w14:paraId="41F65A6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0.33</w:t>
            </w:r>
          </w:p>
        </w:tc>
        <w:tc>
          <w:tcPr>
            <w:tcW w:w="0" w:type="auto"/>
            <w:shd w:val="clear" w:color="auto" w:fill="auto"/>
            <w:noWrap/>
            <w:vAlign w:val="center"/>
            <w:hideMark/>
          </w:tcPr>
          <w:p w14:paraId="22F6103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4.19</w:t>
            </w:r>
          </w:p>
        </w:tc>
      </w:tr>
      <w:tr w:rsidR="00FE66AB" w:rsidRPr="00363AAD" w14:paraId="7AF1359E" w14:textId="77777777" w:rsidTr="00155837">
        <w:trPr>
          <w:trHeight w:hRule="exact" w:val="454"/>
          <w:jc w:val="center"/>
        </w:trPr>
        <w:tc>
          <w:tcPr>
            <w:tcW w:w="1439" w:type="dxa"/>
            <w:shd w:val="clear" w:color="auto" w:fill="auto"/>
            <w:noWrap/>
            <w:vAlign w:val="center"/>
            <w:hideMark/>
          </w:tcPr>
          <w:p w14:paraId="14A5FAB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LTU</w:t>
            </w:r>
          </w:p>
        </w:tc>
        <w:tc>
          <w:tcPr>
            <w:tcW w:w="0" w:type="auto"/>
            <w:shd w:val="clear" w:color="auto" w:fill="auto"/>
            <w:noWrap/>
            <w:vAlign w:val="center"/>
            <w:hideMark/>
          </w:tcPr>
          <w:p w14:paraId="3E8EE7D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4.89</w:t>
            </w:r>
          </w:p>
        </w:tc>
        <w:tc>
          <w:tcPr>
            <w:tcW w:w="0" w:type="auto"/>
            <w:shd w:val="clear" w:color="auto" w:fill="auto"/>
            <w:noWrap/>
            <w:vAlign w:val="center"/>
            <w:hideMark/>
          </w:tcPr>
          <w:p w14:paraId="0B5FE10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6.45</w:t>
            </w:r>
          </w:p>
        </w:tc>
        <w:tc>
          <w:tcPr>
            <w:tcW w:w="0" w:type="auto"/>
            <w:shd w:val="clear" w:color="auto" w:fill="auto"/>
            <w:noWrap/>
            <w:vAlign w:val="center"/>
            <w:hideMark/>
          </w:tcPr>
          <w:p w14:paraId="78492B9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0.15</w:t>
            </w:r>
          </w:p>
        </w:tc>
        <w:tc>
          <w:tcPr>
            <w:tcW w:w="0" w:type="auto"/>
            <w:shd w:val="clear" w:color="auto" w:fill="auto"/>
            <w:noWrap/>
            <w:vAlign w:val="center"/>
            <w:hideMark/>
          </w:tcPr>
          <w:p w14:paraId="2A1A8D2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2.73</w:t>
            </w:r>
          </w:p>
        </w:tc>
        <w:tc>
          <w:tcPr>
            <w:tcW w:w="0" w:type="auto"/>
            <w:shd w:val="clear" w:color="auto" w:fill="auto"/>
            <w:noWrap/>
            <w:vAlign w:val="center"/>
            <w:hideMark/>
          </w:tcPr>
          <w:p w14:paraId="57A62C0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0.25</w:t>
            </w:r>
          </w:p>
        </w:tc>
        <w:tc>
          <w:tcPr>
            <w:tcW w:w="0" w:type="auto"/>
            <w:shd w:val="clear" w:color="auto" w:fill="auto"/>
            <w:noWrap/>
            <w:vAlign w:val="center"/>
            <w:hideMark/>
          </w:tcPr>
          <w:p w14:paraId="1CF48D25"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0.39</w:t>
            </w:r>
          </w:p>
        </w:tc>
        <w:tc>
          <w:tcPr>
            <w:tcW w:w="0" w:type="auto"/>
            <w:shd w:val="clear" w:color="auto" w:fill="auto"/>
            <w:noWrap/>
            <w:vAlign w:val="center"/>
            <w:hideMark/>
          </w:tcPr>
          <w:p w14:paraId="6CD7948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0.00</w:t>
            </w:r>
          </w:p>
        </w:tc>
        <w:tc>
          <w:tcPr>
            <w:tcW w:w="0" w:type="auto"/>
            <w:shd w:val="clear" w:color="auto" w:fill="auto"/>
            <w:noWrap/>
            <w:vAlign w:val="center"/>
            <w:hideMark/>
          </w:tcPr>
          <w:p w14:paraId="256A52A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0.08</w:t>
            </w:r>
          </w:p>
        </w:tc>
      </w:tr>
      <w:tr w:rsidR="00FE66AB" w:rsidRPr="00363AAD" w14:paraId="299F0A2C" w14:textId="77777777" w:rsidTr="00155837">
        <w:trPr>
          <w:trHeight w:hRule="exact" w:val="454"/>
          <w:jc w:val="center"/>
        </w:trPr>
        <w:tc>
          <w:tcPr>
            <w:tcW w:w="1439" w:type="dxa"/>
            <w:shd w:val="clear" w:color="auto" w:fill="auto"/>
            <w:noWrap/>
            <w:vAlign w:val="center"/>
            <w:hideMark/>
          </w:tcPr>
          <w:p w14:paraId="12A2D8A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LUX</w:t>
            </w:r>
          </w:p>
        </w:tc>
        <w:tc>
          <w:tcPr>
            <w:tcW w:w="0" w:type="auto"/>
            <w:shd w:val="clear" w:color="auto" w:fill="auto"/>
            <w:noWrap/>
            <w:vAlign w:val="center"/>
            <w:hideMark/>
          </w:tcPr>
          <w:p w14:paraId="0C5E21A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27.25</w:t>
            </w:r>
          </w:p>
        </w:tc>
        <w:tc>
          <w:tcPr>
            <w:tcW w:w="0" w:type="auto"/>
            <w:shd w:val="clear" w:color="auto" w:fill="auto"/>
            <w:noWrap/>
            <w:vAlign w:val="center"/>
            <w:hideMark/>
          </w:tcPr>
          <w:p w14:paraId="123E239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23.22</w:t>
            </w:r>
          </w:p>
        </w:tc>
        <w:tc>
          <w:tcPr>
            <w:tcW w:w="0" w:type="auto"/>
            <w:shd w:val="clear" w:color="auto" w:fill="auto"/>
            <w:noWrap/>
            <w:vAlign w:val="center"/>
            <w:hideMark/>
          </w:tcPr>
          <w:p w14:paraId="74E73CF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0.06</w:t>
            </w:r>
          </w:p>
        </w:tc>
        <w:tc>
          <w:tcPr>
            <w:tcW w:w="0" w:type="auto"/>
            <w:shd w:val="clear" w:color="auto" w:fill="auto"/>
            <w:noWrap/>
            <w:vAlign w:val="center"/>
            <w:hideMark/>
          </w:tcPr>
          <w:p w14:paraId="661B31B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10.87</w:t>
            </w:r>
          </w:p>
        </w:tc>
        <w:tc>
          <w:tcPr>
            <w:tcW w:w="0" w:type="auto"/>
            <w:shd w:val="clear" w:color="auto" w:fill="auto"/>
            <w:noWrap/>
            <w:vAlign w:val="center"/>
            <w:hideMark/>
          </w:tcPr>
          <w:p w14:paraId="3C4F0CB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0.55</w:t>
            </w:r>
          </w:p>
        </w:tc>
        <w:tc>
          <w:tcPr>
            <w:tcW w:w="0" w:type="auto"/>
            <w:shd w:val="clear" w:color="auto" w:fill="auto"/>
            <w:noWrap/>
            <w:vAlign w:val="center"/>
            <w:hideMark/>
          </w:tcPr>
          <w:p w14:paraId="3FA80DD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0.56</w:t>
            </w:r>
          </w:p>
        </w:tc>
        <w:tc>
          <w:tcPr>
            <w:tcW w:w="0" w:type="auto"/>
            <w:shd w:val="clear" w:color="auto" w:fill="auto"/>
            <w:noWrap/>
            <w:vAlign w:val="center"/>
            <w:hideMark/>
          </w:tcPr>
          <w:p w14:paraId="2D27DBE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0.00</w:t>
            </w:r>
          </w:p>
        </w:tc>
        <w:tc>
          <w:tcPr>
            <w:tcW w:w="0" w:type="auto"/>
            <w:shd w:val="clear" w:color="auto" w:fill="auto"/>
            <w:noWrap/>
            <w:vAlign w:val="center"/>
            <w:hideMark/>
          </w:tcPr>
          <w:p w14:paraId="6D2B1A5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0.13</w:t>
            </w:r>
          </w:p>
        </w:tc>
      </w:tr>
      <w:tr w:rsidR="00FE66AB" w:rsidRPr="00363AAD" w14:paraId="6F05F3E2" w14:textId="77777777" w:rsidTr="00155837">
        <w:trPr>
          <w:trHeight w:hRule="exact" w:val="454"/>
          <w:jc w:val="center"/>
        </w:trPr>
        <w:tc>
          <w:tcPr>
            <w:tcW w:w="1439" w:type="dxa"/>
            <w:shd w:val="clear" w:color="auto" w:fill="auto"/>
            <w:noWrap/>
            <w:vAlign w:val="center"/>
            <w:hideMark/>
          </w:tcPr>
          <w:p w14:paraId="5556103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LVA</w:t>
            </w:r>
          </w:p>
        </w:tc>
        <w:tc>
          <w:tcPr>
            <w:tcW w:w="0" w:type="auto"/>
            <w:shd w:val="clear" w:color="auto" w:fill="auto"/>
            <w:noWrap/>
            <w:vAlign w:val="center"/>
            <w:hideMark/>
          </w:tcPr>
          <w:p w14:paraId="61B95D8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3.94</w:t>
            </w:r>
          </w:p>
        </w:tc>
        <w:tc>
          <w:tcPr>
            <w:tcW w:w="0" w:type="auto"/>
            <w:shd w:val="clear" w:color="auto" w:fill="auto"/>
            <w:noWrap/>
            <w:vAlign w:val="center"/>
            <w:hideMark/>
          </w:tcPr>
          <w:p w14:paraId="1F4609C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6.69</w:t>
            </w:r>
          </w:p>
        </w:tc>
        <w:tc>
          <w:tcPr>
            <w:tcW w:w="0" w:type="auto"/>
            <w:shd w:val="clear" w:color="auto" w:fill="auto"/>
            <w:noWrap/>
            <w:vAlign w:val="center"/>
            <w:hideMark/>
          </w:tcPr>
          <w:p w14:paraId="5CF26CFD"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0.09</w:t>
            </w:r>
          </w:p>
        </w:tc>
        <w:tc>
          <w:tcPr>
            <w:tcW w:w="0" w:type="auto"/>
            <w:shd w:val="clear" w:color="auto" w:fill="auto"/>
            <w:noWrap/>
            <w:vAlign w:val="center"/>
            <w:hideMark/>
          </w:tcPr>
          <w:p w14:paraId="5B4C013F"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2.64</w:t>
            </w:r>
          </w:p>
        </w:tc>
        <w:tc>
          <w:tcPr>
            <w:tcW w:w="0" w:type="auto"/>
            <w:shd w:val="clear" w:color="auto" w:fill="auto"/>
            <w:noWrap/>
            <w:vAlign w:val="center"/>
            <w:hideMark/>
          </w:tcPr>
          <w:p w14:paraId="0DD8B7D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0.12</w:t>
            </w:r>
          </w:p>
        </w:tc>
        <w:tc>
          <w:tcPr>
            <w:tcW w:w="0" w:type="auto"/>
            <w:shd w:val="clear" w:color="auto" w:fill="auto"/>
            <w:noWrap/>
            <w:vAlign w:val="center"/>
            <w:hideMark/>
          </w:tcPr>
          <w:p w14:paraId="4E11607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0.25</w:t>
            </w:r>
          </w:p>
        </w:tc>
        <w:tc>
          <w:tcPr>
            <w:tcW w:w="0" w:type="auto"/>
            <w:shd w:val="clear" w:color="auto" w:fill="auto"/>
            <w:noWrap/>
            <w:vAlign w:val="center"/>
            <w:hideMark/>
          </w:tcPr>
          <w:p w14:paraId="0BAD7E6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0.00</w:t>
            </w:r>
          </w:p>
        </w:tc>
        <w:tc>
          <w:tcPr>
            <w:tcW w:w="0" w:type="auto"/>
            <w:shd w:val="clear" w:color="auto" w:fill="auto"/>
            <w:noWrap/>
            <w:vAlign w:val="center"/>
            <w:hideMark/>
          </w:tcPr>
          <w:p w14:paraId="19D72DD5"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0.05</w:t>
            </w:r>
          </w:p>
        </w:tc>
      </w:tr>
      <w:tr w:rsidR="00FE66AB" w:rsidRPr="00363AAD" w14:paraId="421E4D22" w14:textId="77777777" w:rsidTr="00155837">
        <w:trPr>
          <w:trHeight w:hRule="exact" w:val="454"/>
          <w:jc w:val="center"/>
        </w:trPr>
        <w:tc>
          <w:tcPr>
            <w:tcW w:w="1439" w:type="dxa"/>
            <w:shd w:val="clear" w:color="auto" w:fill="auto"/>
            <w:noWrap/>
            <w:vAlign w:val="center"/>
            <w:hideMark/>
          </w:tcPr>
          <w:p w14:paraId="526A0515"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MLT</w:t>
            </w:r>
          </w:p>
        </w:tc>
        <w:tc>
          <w:tcPr>
            <w:tcW w:w="0" w:type="auto"/>
            <w:shd w:val="clear" w:color="auto" w:fill="auto"/>
            <w:noWrap/>
            <w:vAlign w:val="center"/>
            <w:hideMark/>
          </w:tcPr>
          <w:p w14:paraId="4851EAB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3.05</w:t>
            </w:r>
          </w:p>
        </w:tc>
        <w:tc>
          <w:tcPr>
            <w:tcW w:w="0" w:type="auto"/>
            <w:shd w:val="clear" w:color="auto" w:fill="auto"/>
            <w:noWrap/>
            <w:vAlign w:val="center"/>
            <w:hideMark/>
          </w:tcPr>
          <w:p w14:paraId="09A5700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8.43</w:t>
            </w:r>
          </w:p>
        </w:tc>
        <w:tc>
          <w:tcPr>
            <w:tcW w:w="0" w:type="auto"/>
            <w:shd w:val="clear" w:color="auto" w:fill="auto"/>
            <w:noWrap/>
            <w:vAlign w:val="center"/>
            <w:hideMark/>
          </w:tcPr>
          <w:p w14:paraId="2AC698D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0.03</w:t>
            </w:r>
          </w:p>
        </w:tc>
        <w:tc>
          <w:tcPr>
            <w:tcW w:w="0" w:type="auto"/>
            <w:shd w:val="clear" w:color="auto" w:fill="auto"/>
            <w:noWrap/>
            <w:vAlign w:val="center"/>
            <w:hideMark/>
          </w:tcPr>
          <w:p w14:paraId="1FE1B4E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3.02</w:t>
            </w:r>
          </w:p>
        </w:tc>
        <w:tc>
          <w:tcPr>
            <w:tcW w:w="0" w:type="auto"/>
            <w:shd w:val="clear" w:color="auto" w:fill="auto"/>
            <w:noWrap/>
            <w:vAlign w:val="center"/>
            <w:hideMark/>
          </w:tcPr>
          <w:p w14:paraId="30E63BD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0.03</w:t>
            </w:r>
          </w:p>
        </w:tc>
        <w:tc>
          <w:tcPr>
            <w:tcW w:w="0" w:type="auto"/>
            <w:shd w:val="clear" w:color="auto" w:fill="auto"/>
            <w:noWrap/>
            <w:vAlign w:val="center"/>
            <w:hideMark/>
          </w:tcPr>
          <w:p w14:paraId="0B918D5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0.09</w:t>
            </w:r>
          </w:p>
        </w:tc>
        <w:tc>
          <w:tcPr>
            <w:tcW w:w="0" w:type="auto"/>
            <w:shd w:val="clear" w:color="auto" w:fill="auto"/>
            <w:noWrap/>
            <w:vAlign w:val="center"/>
            <w:hideMark/>
          </w:tcPr>
          <w:p w14:paraId="69E89A0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0.00</w:t>
            </w:r>
          </w:p>
        </w:tc>
        <w:tc>
          <w:tcPr>
            <w:tcW w:w="0" w:type="auto"/>
            <w:shd w:val="clear" w:color="auto" w:fill="auto"/>
            <w:noWrap/>
            <w:vAlign w:val="center"/>
            <w:hideMark/>
          </w:tcPr>
          <w:p w14:paraId="1B69BA5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0.02</w:t>
            </w:r>
          </w:p>
        </w:tc>
      </w:tr>
      <w:tr w:rsidR="00FE66AB" w:rsidRPr="00363AAD" w14:paraId="3C639F4A" w14:textId="77777777" w:rsidTr="00155837">
        <w:trPr>
          <w:trHeight w:hRule="exact" w:val="454"/>
          <w:jc w:val="center"/>
        </w:trPr>
        <w:tc>
          <w:tcPr>
            <w:tcW w:w="1439" w:type="dxa"/>
            <w:shd w:val="clear" w:color="auto" w:fill="auto"/>
            <w:noWrap/>
            <w:vAlign w:val="center"/>
            <w:hideMark/>
          </w:tcPr>
          <w:p w14:paraId="1F81EDA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NLD</w:t>
            </w:r>
          </w:p>
        </w:tc>
        <w:tc>
          <w:tcPr>
            <w:tcW w:w="0" w:type="auto"/>
            <w:shd w:val="clear" w:color="auto" w:fill="auto"/>
            <w:noWrap/>
            <w:vAlign w:val="center"/>
            <w:hideMark/>
          </w:tcPr>
          <w:p w14:paraId="5687643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12.05</w:t>
            </w:r>
          </w:p>
        </w:tc>
        <w:tc>
          <w:tcPr>
            <w:tcW w:w="0" w:type="auto"/>
            <w:shd w:val="clear" w:color="auto" w:fill="auto"/>
            <w:noWrap/>
            <w:vAlign w:val="center"/>
            <w:hideMark/>
          </w:tcPr>
          <w:p w14:paraId="231C09B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18.58</w:t>
            </w:r>
          </w:p>
        </w:tc>
        <w:tc>
          <w:tcPr>
            <w:tcW w:w="0" w:type="auto"/>
            <w:shd w:val="clear" w:color="auto" w:fill="auto"/>
            <w:noWrap/>
            <w:vAlign w:val="center"/>
            <w:hideMark/>
          </w:tcPr>
          <w:p w14:paraId="05AE724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1.16</w:t>
            </w:r>
          </w:p>
        </w:tc>
        <w:tc>
          <w:tcPr>
            <w:tcW w:w="0" w:type="auto"/>
            <w:shd w:val="clear" w:color="auto" w:fill="auto"/>
            <w:noWrap/>
            <w:vAlign w:val="center"/>
            <w:hideMark/>
          </w:tcPr>
          <w:p w14:paraId="1061CBE2"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7.99</w:t>
            </w:r>
          </w:p>
        </w:tc>
        <w:tc>
          <w:tcPr>
            <w:tcW w:w="0" w:type="auto"/>
            <w:shd w:val="clear" w:color="auto" w:fill="auto"/>
            <w:noWrap/>
            <w:vAlign w:val="center"/>
            <w:hideMark/>
          </w:tcPr>
          <w:p w14:paraId="12D74D4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4.78</w:t>
            </w:r>
          </w:p>
        </w:tc>
        <w:tc>
          <w:tcPr>
            <w:tcW w:w="0" w:type="auto"/>
            <w:shd w:val="clear" w:color="auto" w:fill="auto"/>
            <w:noWrap/>
            <w:vAlign w:val="center"/>
            <w:hideMark/>
          </w:tcPr>
          <w:p w14:paraId="68BC952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8.88</w:t>
            </w:r>
          </w:p>
        </w:tc>
        <w:tc>
          <w:tcPr>
            <w:tcW w:w="0" w:type="auto"/>
            <w:shd w:val="clear" w:color="auto" w:fill="auto"/>
            <w:noWrap/>
            <w:vAlign w:val="center"/>
            <w:hideMark/>
          </w:tcPr>
          <w:p w14:paraId="25B1E1E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0.04</w:t>
            </w:r>
          </w:p>
        </w:tc>
        <w:tc>
          <w:tcPr>
            <w:tcW w:w="0" w:type="auto"/>
            <w:shd w:val="clear" w:color="auto" w:fill="auto"/>
            <w:noWrap/>
            <w:vAlign w:val="center"/>
            <w:hideMark/>
          </w:tcPr>
          <w:p w14:paraId="3433A592"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1.74</w:t>
            </w:r>
          </w:p>
        </w:tc>
      </w:tr>
      <w:tr w:rsidR="00FE66AB" w:rsidRPr="00363AAD" w14:paraId="30F736FF" w14:textId="77777777" w:rsidTr="00155837">
        <w:trPr>
          <w:trHeight w:hRule="exact" w:val="454"/>
          <w:jc w:val="center"/>
        </w:trPr>
        <w:tc>
          <w:tcPr>
            <w:tcW w:w="1439" w:type="dxa"/>
            <w:shd w:val="clear" w:color="auto" w:fill="auto"/>
            <w:noWrap/>
            <w:vAlign w:val="center"/>
            <w:hideMark/>
          </w:tcPr>
          <w:p w14:paraId="54E2BE23"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POL</w:t>
            </w:r>
          </w:p>
        </w:tc>
        <w:tc>
          <w:tcPr>
            <w:tcW w:w="0" w:type="auto"/>
            <w:shd w:val="clear" w:color="auto" w:fill="auto"/>
            <w:noWrap/>
            <w:vAlign w:val="center"/>
            <w:hideMark/>
          </w:tcPr>
          <w:p w14:paraId="19A51FE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9.65</w:t>
            </w:r>
          </w:p>
        </w:tc>
        <w:tc>
          <w:tcPr>
            <w:tcW w:w="0" w:type="auto"/>
            <w:shd w:val="clear" w:color="auto" w:fill="auto"/>
            <w:noWrap/>
            <w:vAlign w:val="center"/>
            <w:hideMark/>
          </w:tcPr>
          <w:p w14:paraId="6EC5BCED"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6.62</w:t>
            </w:r>
          </w:p>
        </w:tc>
        <w:tc>
          <w:tcPr>
            <w:tcW w:w="0" w:type="auto"/>
            <w:shd w:val="clear" w:color="auto" w:fill="auto"/>
            <w:noWrap/>
            <w:vAlign w:val="center"/>
            <w:hideMark/>
          </w:tcPr>
          <w:p w14:paraId="32EDD26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1.92</w:t>
            </w:r>
          </w:p>
        </w:tc>
        <w:tc>
          <w:tcPr>
            <w:tcW w:w="0" w:type="auto"/>
            <w:shd w:val="clear" w:color="auto" w:fill="auto"/>
            <w:noWrap/>
            <w:vAlign w:val="center"/>
            <w:hideMark/>
          </w:tcPr>
          <w:p w14:paraId="68AD681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4.41</w:t>
            </w:r>
          </w:p>
        </w:tc>
        <w:tc>
          <w:tcPr>
            <w:tcW w:w="0" w:type="auto"/>
            <w:shd w:val="clear" w:color="auto" w:fill="auto"/>
            <w:noWrap/>
            <w:vAlign w:val="center"/>
            <w:hideMark/>
          </w:tcPr>
          <w:p w14:paraId="5F7F6723"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6.27</w:t>
            </w:r>
          </w:p>
        </w:tc>
        <w:tc>
          <w:tcPr>
            <w:tcW w:w="0" w:type="auto"/>
            <w:shd w:val="clear" w:color="auto" w:fill="auto"/>
            <w:noWrap/>
            <w:vAlign w:val="center"/>
            <w:hideMark/>
          </w:tcPr>
          <w:p w14:paraId="35A4A4AC"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5.09</w:t>
            </w:r>
          </w:p>
        </w:tc>
        <w:tc>
          <w:tcPr>
            <w:tcW w:w="0" w:type="auto"/>
            <w:shd w:val="clear" w:color="auto" w:fill="auto"/>
            <w:noWrap/>
            <w:vAlign w:val="center"/>
            <w:hideMark/>
          </w:tcPr>
          <w:p w14:paraId="084E371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0.10</w:t>
            </w:r>
          </w:p>
        </w:tc>
        <w:tc>
          <w:tcPr>
            <w:tcW w:w="0" w:type="auto"/>
            <w:shd w:val="clear" w:color="auto" w:fill="auto"/>
            <w:noWrap/>
            <w:vAlign w:val="center"/>
            <w:hideMark/>
          </w:tcPr>
          <w:p w14:paraId="3BA4810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1.32</w:t>
            </w:r>
          </w:p>
        </w:tc>
      </w:tr>
      <w:tr w:rsidR="00FE66AB" w:rsidRPr="00363AAD" w14:paraId="03FCEC83" w14:textId="77777777" w:rsidTr="00155837">
        <w:trPr>
          <w:trHeight w:hRule="exact" w:val="454"/>
          <w:jc w:val="center"/>
        </w:trPr>
        <w:tc>
          <w:tcPr>
            <w:tcW w:w="1439" w:type="dxa"/>
            <w:shd w:val="clear" w:color="auto" w:fill="auto"/>
            <w:noWrap/>
            <w:vAlign w:val="center"/>
            <w:hideMark/>
          </w:tcPr>
          <w:p w14:paraId="1705B0B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PRT</w:t>
            </w:r>
          </w:p>
        </w:tc>
        <w:tc>
          <w:tcPr>
            <w:tcW w:w="0" w:type="auto"/>
            <w:shd w:val="clear" w:color="auto" w:fill="auto"/>
            <w:noWrap/>
            <w:vAlign w:val="center"/>
            <w:hideMark/>
          </w:tcPr>
          <w:p w14:paraId="50598C1D"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3.28</w:t>
            </w:r>
          </w:p>
        </w:tc>
        <w:tc>
          <w:tcPr>
            <w:tcW w:w="0" w:type="auto"/>
            <w:shd w:val="clear" w:color="auto" w:fill="auto"/>
            <w:noWrap/>
            <w:vAlign w:val="center"/>
            <w:hideMark/>
          </w:tcPr>
          <w:p w14:paraId="16610563"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11.44</w:t>
            </w:r>
          </w:p>
        </w:tc>
        <w:tc>
          <w:tcPr>
            <w:tcW w:w="0" w:type="auto"/>
            <w:shd w:val="clear" w:color="auto" w:fill="auto"/>
            <w:noWrap/>
            <w:vAlign w:val="center"/>
            <w:hideMark/>
          </w:tcPr>
          <w:p w14:paraId="23185A1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0.55</w:t>
            </w:r>
          </w:p>
        </w:tc>
        <w:tc>
          <w:tcPr>
            <w:tcW w:w="0" w:type="auto"/>
            <w:shd w:val="clear" w:color="auto" w:fill="auto"/>
            <w:noWrap/>
            <w:vAlign w:val="center"/>
            <w:hideMark/>
          </w:tcPr>
          <w:p w14:paraId="7844135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4.26</w:t>
            </w:r>
          </w:p>
        </w:tc>
        <w:tc>
          <w:tcPr>
            <w:tcW w:w="0" w:type="auto"/>
            <w:shd w:val="clear" w:color="auto" w:fill="auto"/>
            <w:noWrap/>
            <w:vAlign w:val="center"/>
            <w:hideMark/>
          </w:tcPr>
          <w:p w14:paraId="66A7EB2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0.61</w:t>
            </w:r>
          </w:p>
        </w:tc>
        <w:tc>
          <w:tcPr>
            <w:tcW w:w="0" w:type="auto"/>
            <w:shd w:val="clear" w:color="auto" w:fill="auto"/>
            <w:noWrap/>
            <w:vAlign w:val="center"/>
            <w:hideMark/>
          </w:tcPr>
          <w:p w14:paraId="52F4B6C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2.53</w:t>
            </w:r>
          </w:p>
        </w:tc>
        <w:tc>
          <w:tcPr>
            <w:tcW w:w="0" w:type="auto"/>
            <w:shd w:val="clear" w:color="auto" w:fill="auto"/>
            <w:noWrap/>
            <w:vAlign w:val="center"/>
            <w:hideMark/>
          </w:tcPr>
          <w:p w14:paraId="1115671C"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0.01</w:t>
            </w:r>
          </w:p>
        </w:tc>
        <w:tc>
          <w:tcPr>
            <w:tcW w:w="0" w:type="auto"/>
            <w:shd w:val="clear" w:color="auto" w:fill="auto"/>
            <w:noWrap/>
            <w:vAlign w:val="center"/>
            <w:hideMark/>
          </w:tcPr>
          <w:p w14:paraId="7D215D15"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0.44</w:t>
            </w:r>
          </w:p>
        </w:tc>
      </w:tr>
      <w:tr w:rsidR="00FE66AB" w:rsidRPr="00363AAD" w14:paraId="5D34B24E" w14:textId="77777777" w:rsidTr="00155837">
        <w:trPr>
          <w:trHeight w:hRule="exact" w:val="454"/>
          <w:jc w:val="center"/>
        </w:trPr>
        <w:tc>
          <w:tcPr>
            <w:tcW w:w="1439" w:type="dxa"/>
            <w:shd w:val="clear" w:color="auto" w:fill="auto"/>
            <w:noWrap/>
            <w:vAlign w:val="center"/>
            <w:hideMark/>
          </w:tcPr>
          <w:p w14:paraId="190A171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ROU</w:t>
            </w:r>
          </w:p>
        </w:tc>
        <w:tc>
          <w:tcPr>
            <w:tcW w:w="0" w:type="auto"/>
            <w:shd w:val="clear" w:color="auto" w:fill="auto"/>
            <w:noWrap/>
            <w:vAlign w:val="center"/>
            <w:hideMark/>
          </w:tcPr>
          <w:p w14:paraId="3323808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4.61</w:t>
            </w:r>
          </w:p>
        </w:tc>
        <w:tc>
          <w:tcPr>
            <w:tcW w:w="0" w:type="auto"/>
            <w:shd w:val="clear" w:color="auto" w:fill="auto"/>
            <w:noWrap/>
            <w:vAlign w:val="center"/>
            <w:hideMark/>
          </w:tcPr>
          <w:p w14:paraId="7405977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4.41</w:t>
            </w:r>
          </w:p>
        </w:tc>
        <w:tc>
          <w:tcPr>
            <w:tcW w:w="0" w:type="auto"/>
            <w:shd w:val="clear" w:color="auto" w:fill="auto"/>
            <w:noWrap/>
            <w:vAlign w:val="center"/>
            <w:hideMark/>
          </w:tcPr>
          <w:p w14:paraId="1590E92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1.00</w:t>
            </w:r>
          </w:p>
        </w:tc>
        <w:tc>
          <w:tcPr>
            <w:tcW w:w="0" w:type="auto"/>
            <w:shd w:val="clear" w:color="auto" w:fill="auto"/>
            <w:noWrap/>
            <w:vAlign w:val="center"/>
            <w:hideMark/>
          </w:tcPr>
          <w:p w14:paraId="734D621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2.54</w:t>
            </w:r>
          </w:p>
        </w:tc>
        <w:tc>
          <w:tcPr>
            <w:tcW w:w="0" w:type="auto"/>
            <w:shd w:val="clear" w:color="auto" w:fill="auto"/>
            <w:noWrap/>
            <w:vAlign w:val="center"/>
            <w:hideMark/>
          </w:tcPr>
          <w:p w14:paraId="7AB9264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1.57</w:t>
            </w:r>
          </w:p>
        </w:tc>
        <w:tc>
          <w:tcPr>
            <w:tcW w:w="0" w:type="auto"/>
            <w:shd w:val="clear" w:color="auto" w:fill="auto"/>
            <w:noWrap/>
            <w:vAlign w:val="center"/>
            <w:hideMark/>
          </w:tcPr>
          <w:p w14:paraId="2BFD8F6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1.78</w:t>
            </w:r>
          </w:p>
        </w:tc>
        <w:tc>
          <w:tcPr>
            <w:tcW w:w="0" w:type="auto"/>
            <w:shd w:val="clear" w:color="auto" w:fill="auto"/>
            <w:noWrap/>
            <w:vAlign w:val="center"/>
            <w:hideMark/>
          </w:tcPr>
          <w:p w14:paraId="39739C7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0.03</w:t>
            </w:r>
          </w:p>
        </w:tc>
        <w:tc>
          <w:tcPr>
            <w:tcW w:w="0" w:type="auto"/>
            <w:shd w:val="clear" w:color="auto" w:fill="auto"/>
            <w:noWrap/>
            <w:vAlign w:val="center"/>
            <w:hideMark/>
          </w:tcPr>
          <w:p w14:paraId="23465B9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0.41</w:t>
            </w:r>
          </w:p>
        </w:tc>
      </w:tr>
      <w:tr w:rsidR="00FE66AB" w:rsidRPr="00363AAD" w14:paraId="6A73C38F" w14:textId="77777777" w:rsidTr="00155837">
        <w:trPr>
          <w:trHeight w:hRule="exact" w:val="454"/>
          <w:jc w:val="center"/>
        </w:trPr>
        <w:tc>
          <w:tcPr>
            <w:tcW w:w="1439" w:type="dxa"/>
            <w:shd w:val="clear" w:color="auto" w:fill="auto"/>
            <w:noWrap/>
            <w:vAlign w:val="center"/>
            <w:hideMark/>
          </w:tcPr>
          <w:p w14:paraId="49A93D3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SVK</w:t>
            </w:r>
          </w:p>
        </w:tc>
        <w:tc>
          <w:tcPr>
            <w:tcW w:w="0" w:type="auto"/>
            <w:shd w:val="clear" w:color="auto" w:fill="auto"/>
            <w:noWrap/>
            <w:vAlign w:val="center"/>
            <w:hideMark/>
          </w:tcPr>
          <w:p w14:paraId="7C9F445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8.77</w:t>
            </w:r>
          </w:p>
        </w:tc>
        <w:tc>
          <w:tcPr>
            <w:tcW w:w="0" w:type="auto"/>
            <w:shd w:val="clear" w:color="auto" w:fill="auto"/>
            <w:noWrap/>
            <w:vAlign w:val="center"/>
            <w:hideMark/>
          </w:tcPr>
          <w:p w14:paraId="050EC9F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7.61</w:t>
            </w:r>
          </w:p>
        </w:tc>
        <w:tc>
          <w:tcPr>
            <w:tcW w:w="0" w:type="auto"/>
            <w:shd w:val="clear" w:color="auto" w:fill="auto"/>
            <w:noWrap/>
            <w:vAlign w:val="center"/>
            <w:hideMark/>
          </w:tcPr>
          <w:p w14:paraId="2367512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0.31</w:t>
            </w:r>
          </w:p>
        </w:tc>
        <w:tc>
          <w:tcPr>
            <w:tcW w:w="0" w:type="auto"/>
            <w:shd w:val="clear" w:color="auto" w:fill="auto"/>
            <w:noWrap/>
            <w:vAlign w:val="center"/>
            <w:hideMark/>
          </w:tcPr>
          <w:p w14:paraId="4DA18DD3"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3.70</w:t>
            </w:r>
          </w:p>
        </w:tc>
        <w:tc>
          <w:tcPr>
            <w:tcW w:w="0" w:type="auto"/>
            <w:shd w:val="clear" w:color="auto" w:fill="auto"/>
            <w:noWrap/>
            <w:vAlign w:val="center"/>
            <w:hideMark/>
          </w:tcPr>
          <w:p w14:paraId="49CAC22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0.92</w:t>
            </w:r>
          </w:p>
        </w:tc>
        <w:tc>
          <w:tcPr>
            <w:tcW w:w="0" w:type="auto"/>
            <w:shd w:val="clear" w:color="auto" w:fill="auto"/>
            <w:noWrap/>
            <w:vAlign w:val="center"/>
            <w:hideMark/>
          </w:tcPr>
          <w:p w14:paraId="028623BD"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0.95</w:t>
            </w:r>
          </w:p>
        </w:tc>
        <w:tc>
          <w:tcPr>
            <w:tcW w:w="0" w:type="auto"/>
            <w:shd w:val="clear" w:color="auto" w:fill="auto"/>
            <w:noWrap/>
            <w:vAlign w:val="center"/>
            <w:hideMark/>
          </w:tcPr>
          <w:p w14:paraId="6F15C287"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0.00</w:t>
            </w:r>
          </w:p>
        </w:tc>
        <w:tc>
          <w:tcPr>
            <w:tcW w:w="0" w:type="auto"/>
            <w:shd w:val="clear" w:color="auto" w:fill="auto"/>
            <w:noWrap/>
            <w:vAlign w:val="center"/>
            <w:hideMark/>
          </w:tcPr>
          <w:p w14:paraId="30D4B01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0.22</w:t>
            </w:r>
          </w:p>
        </w:tc>
      </w:tr>
      <w:tr w:rsidR="00FE66AB" w:rsidRPr="00363AAD" w14:paraId="33FF07D7" w14:textId="77777777" w:rsidTr="00155837">
        <w:trPr>
          <w:trHeight w:hRule="exact" w:val="454"/>
          <w:jc w:val="center"/>
        </w:trPr>
        <w:tc>
          <w:tcPr>
            <w:tcW w:w="1439" w:type="dxa"/>
            <w:shd w:val="clear" w:color="auto" w:fill="auto"/>
            <w:noWrap/>
            <w:vAlign w:val="center"/>
            <w:hideMark/>
          </w:tcPr>
          <w:p w14:paraId="76222C0C"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SVN</w:t>
            </w:r>
          </w:p>
        </w:tc>
        <w:tc>
          <w:tcPr>
            <w:tcW w:w="0" w:type="auto"/>
            <w:shd w:val="clear" w:color="auto" w:fill="auto"/>
            <w:noWrap/>
            <w:vAlign w:val="center"/>
            <w:hideMark/>
          </w:tcPr>
          <w:p w14:paraId="1800C62B"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4.92</w:t>
            </w:r>
          </w:p>
        </w:tc>
        <w:tc>
          <w:tcPr>
            <w:tcW w:w="0" w:type="auto"/>
            <w:shd w:val="clear" w:color="auto" w:fill="auto"/>
            <w:noWrap/>
            <w:vAlign w:val="center"/>
            <w:hideMark/>
          </w:tcPr>
          <w:p w14:paraId="70BF1232"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10.13</w:t>
            </w:r>
          </w:p>
        </w:tc>
        <w:tc>
          <w:tcPr>
            <w:tcW w:w="0" w:type="auto"/>
            <w:shd w:val="clear" w:color="auto" w:fill="auto"/>
            <w:noWrap/>
            <w:vAlign w:val="center"/>
            <w:hideMark/>
          </w:tcPr>
          <w:p w14:paraId="6D29F94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0.12</w:t>
            </w:r>
          </w:p>
        </w:tc>
        <w:tc>
          <w:tcPr>
            <w:tcW w:w="0" w:type="auto"/>
            <w:shd w:val="clear" w:color="auto" w:fill="auto"/>
            <w:noWrap/>
            <w:vAlign w:val="center"/>
            <w:hideMark/>
          </w:tcPr>
          <w:p w14:paraId="7E4E09F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3.85</w:t>
            </w:r>
          </w:p>
        </w:tc>
        <w:tc>
          <w:tcPr>
            <w:tcW w:w="0" w:type="auto"/>
            <w:shd w:val="clear" w:color="auto" w:fill="auto"/>
            <w:noWrap/>
            <w:vAlign w:val="center"/>
            <w:hideMark/>
          </w:tcPr>
          <w:p w14:paraId="12E1207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0.21</w:t>
            </w:r>
          </w:p>
        </w:tc>
        <w:tc>
          <w:tcPr>
            <w:tcW w:w="0" w:type="auto"/>
            <w:shd w:val="clear" w:color="auto" w:fill="auto"/>
            <w:noWrap/>
            <w:vAlign w:val="center"/>
            <w:hideMark/>
          </w:tcPr>
          <w:p w14:paraId="61A7906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0.51</w:t>
            </w:r>
          </w:p>
        </w:tc>
        <w:tc>
          <w:tcPr>
            <w:tcW w:w="0" w:type="auto"/>
            <w:shd w:val="clear" w:color="auto" w:fill="auto"/>
            <w:noWrap/>
            <w:vAlign w:val="center"/>
            <w:hideMark/>
          </w:tcPr>
          <w:p w14:paraId="745BC670"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0.00</w:t>
            </w:r>
          </w:p>
        </w:tc>
        <w:tc>
          <w:tcPr>
            <w:tcW w:w="0" w:type="auto"/>
            <w:shd w:val="clear" w:color="auto" w:fill="auto"/>
            <w:noWrap/>
            <w:vAlign w:val="center"/>
            <w:hideMark/>
          </w:tcPr>
          <w:p w14:paraId="7FD89CA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0.09</w:t>
            </w:r>
          </w:p>
        </w:tc>
      </w:tr>
      <w:tr w:rsidR="00FE66AB" w:rsidRPr="00363AAD" w14:paraId="58FD772C" w14:textId="77777777" w:rsidTr="00155837">
        <w:trPr>
          <w:trHeight w:hRule="exact" w:val="454"/>
          <w:jc w:val="center"/>
        </w:trPr>
        <w:tc>
          <w:tcPr>
            <w:tcW w:w="1439" w:type="dxa"/>
            <w:shd w:val="clear" w:color="auto" w:fill="auto"/>
            <w:noWrap/>
            <w:vAlign w:val="center"/>
            <w:hideMark/>
          </w:tcPr>
          <w:p w14:paraId="59DC941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SWE</w:t>
            </w:r>
          </w:p>
        </w:tc>
        <w:tc>
          <w:tcPr>
            <w:tcW w:w="0" w:type="auto"/>
            <w:shd w:val="clear" w:color="auto" w:fill="auto"/>
            <w:noWrap/>
            <w:vAlign w:val="center"/>
            <w:hideMark/>
          </w:tcPr>
          <w:p w14:paraId="7E2A90D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10.61</w:t>
            </w:r>
          </w:p>
        </w:tc>
        <w:tc>
          <w:tcPr>
            <w:tcW w:w="0" w:type="auto"/>
            <w:shd w:val="clear" w:color="auto" w:fill="auto"/>
            <w:noWrap/>
            <w:vAlign w:val="center"/>
            <w:hideMark/>
          </w:tcPr>
          <w:p w14:paraId="4203A1C9"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15.15</w:t>
            </w:r>
          </w:p>
        </w:tc>
        <w:tc>
          <w:tcPr>
            <w:tcW w:w="0" w:type="auto"/>
            <w:shd w:val="clear" w:color="auto" w:fill="auto"/>
            <w:noWrap/>
            <w:vAlign w:val="center"/>
            <w:hideMark/>
          </w:tcPr>
          <w:p w14:paraId="2062647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0.83</w:t>
            </w:r>
          </w:p>
        </w:tc>
        <w:tc>
          <w:tcPr>
            <w:tcW w:w="0" w:type="auto"/>
            <w:shd w:val="clear" w:color="auto" w:fill="auto"/>
            <w:noWrap/>
            <w:vAlign w:val="center"/>
            <w:hideMark/>
          </w:tcPr>
          <w:p w14:paraId="79B56898"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6.56</w:t>
            </w:r>
          </w:p>
        </w:tc>
        <w:tc>
          <w:tcPr>
            <w:tcW w:w="0" w:type="auto"/>
            <w:shd w:val="clear" w:color="auto" w:fill="auto"/>
            <w:noWrap/>
            <w:vAlign w:val="center"/>
            <w:hideMark/>
          </w:tcPr>
          <w:p w14:paraId="3F7A8BFA"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3.02</w:t>
            </w:r>
          </w:p>
        </w:tc>
        <w:tc>
          <w:tcPr>
            <w:tcW w:w="0" w:type="auto"/>
            <w:shd w:val="clear" w:color="auto" w:fill="auto"/>
            <w:noWrap/>
            <w:vAlign w:val="center"/>
            <w:hideMark/>
          </w:tcPr>
          <w:p w14:paraId="5B58B9E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5.19</w:t>
            </w:r>
          </w:p>
        </w:tc>
        <w:tc>
          <w:tcPr>
            <w:tcW w:w="0" w:type="auto"/>
            <w:shd w:val="clear" w:color="auto" w:fill="auto"/>
            <w:noWrap/>
            <w:vAlign w:val="center"/>
            <w:hideMark/>
          </w:tcPr>
          <w:p w14:paraId="75E1BD9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0.02</w:t>
            </w:r>
          </w:p>
        </w:tc>
        <w:tc>
          <w:tcPr>
            <w:tcW w:w="0" w:type="auto"/>
            <w:shd w:val="clear" w:color="auto" w:fill="auto"/>
            <w:noWrap/>
            <w:vAlign w:val="center"/>
            <w:hideMark/>
          </w:tcPr>
          <w:p w14:paraId="70326945"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1.03</w:t>
            </w:r>
          </w:p>
        </w:tc>
      </w:tr>
      <w:tr w:rsidR="00FE66AB" w:rsidRPr="00363AAD" w14:paraId="3E075416" w14:textId="77777777" w:rsidTr="00155837">
        <w:trPr>
          <w:trHeight w:hRule="exact" w:val="454"/>
          <w:jc w:val="center"/>
        </w:trPr>
        <w:tc>
          <w:tcPr>
            <w:tcW w:w="1439" w:type="dxa"/>
            <w:shd w:val="clear" w:color="auto" w:fill="auto"/>
            <w:noWrap/>
            <w:vAlign w:val="center"/>
            <w:hideMark/>
          </w:tcPr>
          <w:p w14:paraId="0ED1BD9C"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Total EU28</w:t>
            </w:r>
          </w:p>
        </w:tc>
        <w:tc>
          <w:tcPr>
            <w:tcW w:w="0" w:type="auto"/>
            <w:shd w:val="clear" w:color="auto" w:fill="auto"/>
            <w:noWrap/>
            <w:vAlign w:val="center"/>
            <w:hideMark/>
          </w:tcPr>
          <w:p w14:paraId="1F63CF5C"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265.50</w:t>
            </w:r>
          </w:p>
        </w:tc>
        <w:tc>
          <w:tcPr>
            <w:tcW w:w="0" w:type="auto"/>
            <w:shd w:val="clear" w:color="auto" w:fill="auto"/>
            <w:noWrap/>
            <w:vAlign w:val="center"/>
            <w:hideMark/>
          </w:tcPr>
          <w:p w14:paraId="5316AD0D"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325.12</w:t>
            </w:r>
          </w:p>
        </w:tc>
        <w:tc>
          <w:tcPr>
            <w:tcW w:w="0" w:type="auto"/>
            <w:shd w:val="clear" w:color="auto" w:fill="auto"/>
            <w:noWrap/>
            <w:vAlign w:val="center"/>
            <w:hideMark/>
          </w:tcPr>
          <w:p w14:paraId="27F9A125"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32.93</w:t>
            </w:r>
          </w:p>
        </w:tc>
        <w:tc>
          <w:tcPr>
            <w:tcW w:w="0" w:type="auto"/>
            <w:shd w:val="clear" w:color="auto" w:fill="auto"/>
            <w:noWrap/>
            <w:vAlign w:val="center"/>
            <w:hideMark/>
          </w:tcPr>
          <w:p w14:paraId="2EA7BE9E"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154.29</w:t>
            </w:r>
          </w:p>
        </w:tc>
        <w:tc>
          <w:tcPr>
            <w:tcW w:w="0" w:type="auto"/>
            <w:shd w:val="clear" w:color="auto" w:fill="auto"/>
            <w:noWrap/>
            <w:vAlign w:val="center"/>
            <w:hideMark/>
          </w:tcPr>
          <w:p w14:paraId="74487362"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122.17</w:t>
            </w:r>
          </w:p>
        </w:tc>
        <w:tc>
          <w:tcPr>
            <w:tcW w:w="0" w:type="auto"/>
            <w:shd w:val="clear" w:color="auto" w:fill="auto"/>
            <w:noWrap/>
            <w:vAlign w:val="center"/>
            <w:hideMark/>
          </w:tcPr>
          <w:p w14:paraId="1A7F7B74"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180.25</w:t>
            </w:r>
          </w:p>
        </w:tc>
        <w:tc>
          <w:tcPr>
            <w:tcW w:w="0" w:type="auto"/>
            <w:shd w:val="clear" w:color="auto" w:fill="auto"/>
            <w:noWrap/>
            <w:vAlign w:val="center"/>
            <w:hideMark/>
          </w:tcPr>
          <w:p w14:paraId="27AFC691"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2.92</w:t>
            </w:r>
          </w:p>
        </w:tc>
        <w:tc>
          <w:tcPr>
            <w:tcW w:w="0" w:type="auto"/>
            <w:shd w:val="clear" w:color="auto" w:fill="auto"/>
            <w:noWrap/>
            <w:vAlign w:val="center"/>
            <w:hideMark/>
          </w:tcPr>
          <w:p w14:paraId="1D616FB6" w14:textId="77777777" w:rsidR="00FE66AB" w:rsidRPr="00363AAD" w:rsidRDefault="00FE66AB" w:rsidP="00D53564">
            <w:pPr>
              <w:spacing w:before="0" w:after="0" w:line="240" w:lineRule="auto"/>
              <w:jc w:val="center"/>
              <w:rPr>
                <w:rFonts w:eastAsia="Times New Roman"/>
                <w:color w:val="000000"/>
                <w:sz w:val="22"/>
                <w:szCs w:val="22"/>
                <w:lang w:eastAsia="en-GB"/>
              </w:rPr>
            </w:pPr>
            <w:r w:rsidRPr="00363AAD">
              <w:rPr>
                <w:rFonts w:eastAsia="Times New Roman"/>
                <w:color w:val="000000"/>
                <w:sz w:val="22"/>
                <w:szCs w:val="22"/>
                <w:lang w:eastAsia="en-GB"/>
              </w:rPr>
              <w:t>38.94</w:t>
            </w:r>
          </w:p>
        </w:tc>
      </w:tr>
    </w:tbl>
    <w:p w14:paraId="35E8B111" w14:textId="64DFD850" w:rsidR="00FE66AB" w:rsidRPr="00363AAD" w:rsidRDefault="00FE66AB" w:rsidP="00FE66AB"/>
    <w:p w14:paraId="3F4AFC8E" w14:textId="229466D5" w:rsidR="00FE66AB" w:rsidRPr="00363AAD" w:rsidRDefault="000B2092" w:rsidP="00FE66AB">
      <w:pPr>
        <w:jc w:val="both"/>
        <w:rPr>
          <w:iCs/>
        </w:rPr>
      </w:pPr>
      <w:r w:rsidRPr="00363AAD">
        <w:rPr>
          <w:iCs/>
        </w:rPr>
        <w:t>The r</w:t>
      </w:r>
      <w:r w:rsidR="00FE66AB" w:rsidRPr="00363AAD">
        <w:rPr>
          <w:iCs/>
        </w:rPr>
        <w:t>esults for the quotas are also shown</w:t>
      </w:r>
      <w:r w:rsidRPr="00363AAD">
        <w:rPr>
          <w:iCs/>
        </w:rPr>
        <w:t xml:space="preserve"> </w:t>
      </w:r>
      <w:r w:rsidR="00FE66AB" w:rsidRPr="00363AAD">
        <w:rPr>
          <w:iCs/>
        </w:rPr>
        <w:t xml:space="preserve">aggregated </w:t>
      </w:r>
      <w:r w:rsidRPr="00363AAD">
        <w:rPr>
          <w:iCs/>
        </w:rPr>
        <w:t>in</w:t>
      </w:r>
      <w:r w:rsidR="00FE66AB" w:rsidRPr="00363AAD">
        <w:rPr>
          <w:iCs/>
        </w:rPr>
        <w:t xml:space="preserve"> five regions </w:t>
      </w:r>
      <w:r w:rsidR="00C06849" w:rsidRPr="00363AAD">
        <w:rPr>
          <w:iCs/>
        </w:rPr>
        <w:t xml:space="preserve">consistent </w:t>
      </w:r>
      <w:r w:rsidR="00740E12" w:rsidRPr="00363AAD">
        <w:rPr>
          <w:iCs/>
        </w:rPr>
        <w:t xml:space="preserve">with </w:t>
      </w:r>
      <w:r w:rsidR="00C06849" w:rsidRPr="00363AAD">
        <w:rPr>
          <w:iCs/>
        </w:rPr>
        <w:t>the aggregation in the IIASA SSP database</w:t>
      </w:r>
      <w:r w:rsidR="00C06849" w:rsidRPr="007D093C">
        <w:rPr>
          <w:iCs/>
        </w:rPr>
        <w:fldChar w:fldCharType="begin" w:fldLock="1"/>
      </w:r>
      <w:r w:rsidR="000E1B1C" w:rsidRPr="00363AAD">
        <w:rPr>
          <w:iCs/>
        </w:rPr>
        <w:instrText>ADDIN CSL_CITATION {"citationItems":[{"id":"ITEM-1","itemData":{"ISSN":"0959-3780","author":[{"dropping-particle":"","family":"Riahi","given":"Keywan","non-dropping-particle":"","parse-names":false,"suffix":""},{"dropping-particle":"","family":"Vuuren","given":"Detlef P","non-dropping-particle":"Van","parse-names":false,"suffix":""},{"dropping-particle":"","family":"Kriegler","given":"Elmar","non-dropping-particle":"","parse-names":false,"suffix":""},{"dropping-particle":"","family":"Edmonds","given":"Jae","non-dropping-particle":"","parse-names":false,"suffix":""},{"dropping-particle":"","family":"O’neill","given":"Brian C","non-dropping-particle":"","parse-names":false,"suffix":""},{"dropping-particle":"","family":"Fujimori","given":"Shinichiro","non-dropping-particle":"","parse-names":false,"suffix":""},{"dropping-particle":"","family":"Bauer","given":"Nico","non-dropping-particle":"","parse-names":false,"suffix":""},{"dropping-particle":"","family":"Calvin","given":"Katherine","non-dropping-particle":"","parse-names":false,"suffix":""},{"dropping-particle":"","family":"Dellink","given":"Rob","non-dropping-particle":"","parse-names":false,"suffix":""},{"dropping-particle":"","family":"Fricko","given":"Oliver","non-dropping-particle":"","parse-names":false,"suffix":""}],"container-title":"Global Environmental Change","id":"ITEM-1","issued":{"date-parts":[["2017"]]},"page":"153-168","publisher":"Elsevier","title":"The shared socioeconomic pathways and their energy, land use, and greenhouse gas emissions implications: an overview","type":"article-journal","volume":"42"},"uris":["http://www.mendeley.com/documents/?uuid=482c9d43-e74a-42ba-ac89-e051c9ac446b"]}],"mendeley":{"formattedCitation":"&lt;sup&gt;12&lt;/sup&gt;","plainTextFormattedCitation":"12","previouslyFormattedCitation":"&lt;sup&gt;12&lt;/sup&gt;"},"properties":{"noteIndex":0},"schema":"https://github.com/citation-style-language/schema/raw/master/csl-citation.json"}</w:instrText>
      </w:r>
      <w:r w:rsidR="00C06849" w:rsidRPr="007D093C">
        <w:rPr>
          <w:iCs/>
        </w:rPr>
        <w:fldChar w:fldCharType="separate"/>
      </w:r>
      <w:r w:rsidR="000E1B1C" w:rsidRPr="007D093C">
        <w:rPr>
          <w:iCs/>
          <w:noProof/>
          <w:vertAlign w:val="superscript"/>
        </w:rPr>
        <w:t>12</w:t>
      </w:r>
      <w:r w:rsidR="00C06849" w:rsidRPr="007D093C">
        <w:rPr>
          <w:iCs/>
        </w:rPr>
        <w:fldChar w:fldCharType="end"/>
      </w:r>
      <w:r w:rsidR="00C06849" w:rsidRPr="007D093C">
        <w:rPr>
          <w:iCs/>
        </w:rPr>
        <w:t xml:space="preserve"> (</w:t>
      </w:r>
      <w:r w:rsidRPr="007D093C">
        <w:rPr>
          <w:iCs/>
        </w:rPr>
        <w:t>pie charts</w:t>
      </w:r>
      <w:r w:rsidRPr="00363AAD">
        <w:rPr>
          <w:iCs/>
        </w:rPr>
        <w:t xml:space="preserve"> in Fig. 1 and Supplementary Fig. </w:t>
      </w:r>
      <w:r w:rsidR="00627C4D" w:rsidRPr="00363AAD">
        <w:rPr>
          <w:iCs/>
        </w:rPr>
        <w:t>3</w:t>
      </w:r>
      <w:r w:rsidRPr="00363AAD">
        <w:rPr>
          <w:iCs/>
        </w:rPr>
        <w:t>)</w:t>
      </w:r>
      <w:r w:rsidR="00FE66AB" w:rsidRPr="00363AAD">
        <w:rPr>
          <w:iCs/>
        </w:rPr>
        <w:t>. OECD region includes countries that were OECD members in 1990. REF region includes reforming economies, countries of Central and Eastern Europe and the Former Soviet Union. ASIA region includes Asian countries. MAF region includes the African (Sub-Saharan and North Africa) and Middle Eastern countries. LAM region includes Latin America and the Caribbean countries. Supplementary Table 1 show</w:t>
      </w:r>
      <w:r w:rsidR="004C6CAD">
        <w:rPr>
          <w:iCs/>
        </w:rPr>
        <w:t>s</w:t>
      </w:r>
      <w:r w:rsidR="00FE66AB" w:rsidRPr="00363AAD">
        <w:rPr>
          <w:iCs/>
        </w:rPr>
        <w:t xml:space="preserve"> the countries that are included in each region with acronyms corresponding to the officially assigned ISO3 code abbreviations.</w:t>
      </w:r>
    </w:p>
    <w:p w14:paraId="7E51E3E8" w14:textId="3239C1B0" w:rsidR="00FE66AB" w:rsidRPr="00363AAD" w:rsidRDefault="000B2092" w:rsidP="00FE66AB">
      <w:pPr>
        <w:jc w:val="both"/>
        <w:rPr>
          <w:iCs/>
        </w:rPr>
      </w:pPr>
      <w:r w:rsidRPr="00363AAD">
        <w:rPr>
          <w:iCs/>
        </w:rPr>
        <w:lastRenderedPageBreak/>
        <w:t>Looking at the regional results</w:t>
      </w:r>
      <w:r w:rsidR="00C06849" w:rsidRPr="00363AAD">
        <w:t xml:space="preserve"> derived on a per-capita basis</w:t>
      </w:r>
      <w:r w:rsidRPr="00363AAD">
        <w:rPr>
          <w:iCs/>
        </w:rPr>
        <w:t xml:space="preserve"> (shown in pie charts in Supplementary Fig.</w:t>
      </w:r>
      <w:r w:rsidR="00627C4D" w:rsidRPr="00363AAD">
        <w:rPr>
          <w:iCs/>
        </w:rPr>
        <w:t>3</w:t>
      </w:r>
      <w:r w:rsidRPr="00363AAD">
        <w:rPr>
          <w:iCs/>
        </w:rPr>
        <w:t xml:space="preserve">), we can see that according to the </w:t>
      </w:r>
      <w:r w:rsidRPr="00363AAD">
        <w:rPr>
          <w:i/>
        </w:rPr>
        <w:t>Responsibility</w:t>
      </w:r>
      <w:r w:rsidRPr="00363AAD">
        <w:rPr>
          <w:iCs/>
        </w:rPr>
        <w:t xml:space="preserve"> and </w:t>
      </w:r>
      <w:r w:rsidRPr="00363AAD">
        <w:rPr>
          <w:i/>
        </w:rPr>
        <w:t>Capability</w:t>
      </w:r>
      <w:r w:rsidRPr="00363AAD">
        <w:rPr>
          <w:iCs/>
        </w:rPr>
        <w:t xml:space="preserve"> principles most of the CDR effort would be carried out by the OECD countries (</w:t>
      </w:r>
      <w:r w:rsidRPr="00363AAD">
        <w:rPr>
          <w:i/>
        </w:rPr>
        <w:t>i.e.,</w:t>
      </w:r>
      <w:r w:rsidRPr="00363AAD">
        <w:rPr>
          <w:iCs/>
        </w:rPr>
        <w:t xml:space="preserve"> 57% and 63% respectively) with USA accounting for 231.23 and 158.88 Gt CO</w:t>
      </w:r>
      <w:r w:rsidRPr="00363AAD">
        <w:rPr>
          <w:iCs/>
          <w:vertAlign w:val="subscript"/>
        </w:rPr>
        <w:t>2</w:t>
      </w:r>
      <w:r w:rsidRPr="00363AAD">
        <w:rPr>
          <w:iCs/>
        </w:rPr>
        <w:t>. (</w:t>
      </w:r>
      <w:r w:rsidRPr="00363AAD">
        <w:rPr>
          <w:i/>
        </w:rPr>
        <w:t>i.e.,</w:t>
      </w:r>
      <w:r w:rsidRPr="00363AAD">
        <w:rPr>
          <w:iCs/>
        </w:rPr>
        <w:t xml:space="preserve"> one-third and one-fourth of the total CDR needed</w:t>
      </w:r>
      <w:r w:rsidR="00363AAD">
        <w:rPr>
          <w:iCs/>
        </w:rPr>
        <w:t>, respectively</w:t>
      </w:r>
      <w:r w:rsidRPr="00363AAD">
        <w:rPr>
          <w:iCs/>
        </w:rPr>
        <w:t>). In contrast, according to the Equality principle, most of the CDR would be provided by ASIA, with India and China removing 333.05 and 189.97 Gt CO</w:t>
      </w:r>
      <w:r w:rsidRPr="00363AAD">
        <w:rPr>
          <w:iCs/>
          <w:vertAlign w:val="subscript"/>
        </w:rPr>
        <w:t xml:space="preserve">2 </w:t>
      </w:r>
      <w:r w:rsidRPr="00363AAD">
        <w:rPr>
          <w:iCs/>
        </w:rPr>
        <w:t>respectively (</w:t>
      </w:r>
      <w:r w:rsidRPr="00363AAD">
        <w:rPr>
          <w:i/>
        </w:rPr>
        <w:t>i.e.,</w:t>
      </w:r>
      <w:r w:rsidRPr="00363AAD">
        <w:rPr>
          <w:iCs/>
        </w:rPr>
        <w:t xml:space="preserve"> more than three-thirds of the total CDR required). Moreover, the CDR quotas for the Latin American and Caribbean countries (</w:t>
      </w:r>
      <w:r w:rsidRPr="00363AAD">
        <w:rPr>
          <w:i/>
        </w:rPr>
        <w:t>i.e.,</w:t>
      </w:r>
      <w:r w:rsidRPr="00363AAD">
        <w:rPr>
          <w:iCs/>
        </w:rPr>
        <w:t xml:space="preserve"> LAM region) and the </w:t>
      </w:r>
      <w:proofErr w:type="gramStart"/>
      <w:r w:rsidRPr="00363AAD">
        <w:rPr>
          <w:iCs/>
        </w:rPr>
        <w:t>Middle-East</w:t>
      </w:r>
      <w:proofErr w:type="gramEnd"/>
      <w:r w:rsidRPr="00363AAD">
        <w:rPr>
          <w:iCs/>
        </w:rPr>
        <w:t xml:space="preserve"> and African countries (</w:t>
      </w:r>
      <w:r w:rsidRPr="00363AAD">
        <w:rPr>
          <w:i/>
        </w:rPr>
        <w:t>i.e.,</w:t>
      </w:r>
      <w:r w:rsidRPr="00363AAD">
        <w:rPr>
          <w:iCs/>
        </w:rPr>
        <w:t xml:space="preserve"> MAF region) would be small compared to those in the other regions.</w:t>
      </w:r>
    </w:p>
    <w:p w14:paraId="3AC7A808" w14:textId="10D93E21" w:rsidR="00FE66AB" w:rsidRPr="00363AAD" w:rsidRDefault="00FE66AB" w:rsidP="00FE66AB">
      <w:pPr>
        <w:jc w:val="center"/>
        <w:rPr>
          <w:b/>
          <w:sz w:val="22"/>
          <w:szCs w:val="22"/>
        </w:rPr>
      </w:pPr>
      <w:r w:rsidRPr="00363AAD">
        <w:rPr>
          <w:b/>
          <w:sz w:val="22"/>
          <w:szCs w:val="22"/>
        </w:rPr>
        <w:t xml:space="preserve">Supplementary Table </w:t>
      </w:r>
      <w:r w:rsidRPr="00363AAD">
        <w:rPr>
          <w:b/>
        </w:rPr>
        <w:t>2</w:t>
      </w:r>
      <w:r w:rsidRPr="00363AAD">
        <w:rPr>
          <w:b/>
          <w:sz w:val="22"/>
          <w:szCs w:val="22"/>
        </w:rPr>
        <w:t xml:space="preserve"> | </w:t>
      </w:r>
      <w:r w:rsidRPr="00363AAD">
        <w:rPr>
          <w:b/>
        </w:rPr>
        <w:t>List of countries included in each region</w:t>
      </w:r>
      <w:r w:rsidRPr="00363AAD">
        <w:rPr>
          <w:b/>
          <w:sz w:val="22"/>
          <w:szCs w:val="22"/>
        </w:rPr>
        <w:t>.</w:t>
      </w:r>
    </w:p>
    <w:tbl>
      <w:tblPr>
        <w:tblStyle w:val="TableGrid"/>
        <w:tblW w:w="0" w:type="auto"/>
        <w:jc w:val="center"/>
        <w:tblLook w:val="04A0" w:firstRow="1" w:lastRow="0" w:firstColumn="1" w:lastColumn="0" w:noHBand="0" w:noVBand="1"/>
      </w:tblPr>
      <w:tblGrid>
        <w:gridCol w:w="852"/>
        <w:gridCol w:w="705"/>
        <w:gridCol w:w="742"/>
        <w:gridCol w:w="730"/>
        <w:gridCol w:w="730"/>
        <w:gridCol w:w="730"/>
      </w:tblGrid>
      <w:tr w:rsidR="00D53564" w:rsidRPr="00363AAD" w14:paraId="7E067CC4" w14:textId="77777777" w:rsidTr="00155837">
        <w:trPr>
          <w:trHeight w:hRule="exact" w:val="454"/>
          <w:jc w:val="center"/>
        </w:trPr>
        <w:tc>
          <w:tcPr>
            <w:tcW w:w="0" w:type="auto"/>
            <w:noWrap/>
            <w:vAlign w:val="center"/>
            <w:hideMark/>
          </w:tcPr>
          <w:p w14:paraId="18860995" w14:textId="77777777" w:rsidR="00FE66AB" w:rsidRPr="00363AAD" w:rsidRDefault="00FE66AB" w:rsidP="00D53564">
            <w:pPr>
              <w:jc w:val="center"/>
              <w:rPr>
                <w:b/>
                <w:bCs/>
                <w:sz w:val="22"/>
                <w:szCs w:val="22"/>
              </w:rPr>
            </w:pPr>
            <w:r w:rsidRPr="00363AAD">
              <w:rPr>
                <w:b/>
                <w:bCs/>
                <w:sz w:val="22"/>
                <w:szCs w:val="22"/>
              </w:rPr>
              <w:t>OECD</w:t>
            </w:r>
          </w:p>
        </w:tc>
        <w:tc>
          <w:tcPr>
            <w:tcW w:w="0" w:type="auto"/>
            <w:noWrap/>
            <w:vAlign w:val="center"/>
            <w:hideMark/>
          </w:tcPr>
          <w:p w14:paraId="692A6853" w14:textId="77777777" w:rsidR="00FE66AB" w:rsidRPr="00363AAD" w:rsidRDefault="00FE66AB" w:rsidP="00D53564">
            <w:pPr>
              <w:jc w:val="center"/>
              <w:rPr>
                <w:b/>
                <w:bCs/>
                <w:sz w:val="22"/>
                <w:szCs w:val="22"/>
              </w:rPr>
            </w:pPr>
            <w:r w:rsidRPr="00363AAD">
              <w:rPr>
                <w:b/>
                <w:bCs/>
                <w:sz w:val="22"/>
                <w:szCs w:val="22"/>
              </w:rPr>
              <w:t>REF</w:t>
            </w:r>
          </w:p>
        </w:tc>
        <w:tc>
          <w:tcPr>
            <w:tcW w:w="0" w:type="auto"/>
            <w:noWrap/>
            <w:vAlign w:val="center"/>
            <w:hideMark/>
          </w:tcPr>
          <w:p w14:paraId="1AF13822" w14:textId="77777777" w:rsidR="00FE66AB" w:rsidRPr="00363AAD" w:rsidRDefault="00FE66AB" w:rsidP="00D53564">
            <w:pPr>
              <w:jc w:val="center"/>
              <w:rPr>
                <w:b/>
                <w:bCs/>
                <w:sz w:val="22"/>
                <w:szCs w:val="22"/>
              </w:rPr>
            </w:pPr>
            <w:r w:rsidRPr="00363AAD">
              <w:rPr>
                <w:b/>
                <w:bCs/>
                <w:sz w:val="22"/>
                <w:szCs w:val="22"/>
              </w:rPr>
              <w:t>ASIA</w:t>
            </w:r>
          </w:p>
        </w:tc>
        <w:tc>
          <w:tcPr>
            <w:tcW w:w="0" w:type="auto"/>
            <w:gridSpan w:val="2"/>
            <w:noWrap/>
            <w:vAlign w:val="center"/>
            <w:hideMark/>
          </w:tcPr>
          <w:p w14:paraId="33032D1F" w14:textId="77777777" w:rsidR="00FE66AB" w:rsidRPr="00363AAD" w:rsidRDefault="00FE66AB" w:rsidP="00D53564">
            <w:pPr>
              <w:jc w:val="center"/>
              <w:rPr>
                <w:b/>
                <w:bCs/>
                <w:sz w:val="22"/>
                <w:szCs w:val="22"/>
              </w:rPr>
            </w:pPr>
            <w:r w:rsidRPr="00363AAD">
              <w:rPr>
                <w:b/>
                <w:bCs/>
                <w:sz w:val="22"/>
                <w:szCs w:val="22"/>
              </w:rPr>
              <w:t>MAF</w:t>
            </w:r>
          </w:p>
        </w:tc>
        <w:tc>
          <w:tcPr>
            <w:tcW w:w="0" w:type="auto"/>
            <w:noWrap/>
            <w:vAlign w:val="center"/>
            <w:hideMark/>
          </w:tcPr>
          <w:p w14:paraId="1BE6BDA7" w14:textId="77777777" w:rsidR="00FE66AB" w:rsidRPr="00363AAD" w:rsidRDefault="00FE66AB" w:rsidP="00D53564">
            <w:pPr>
              <w:jc w:val="center"/>
              <w:rPr>
                <w:b/>
                <w:bCs/>
                <w:sz w:val="22"/>
                <w:szCs w:val="22"/>
              </w:rPr>
            </w:pPr>
            <w:r w:rsidRPr="00363AAD">
              <w:rPr>
                <w:b/>
                <w:bCs/>
                <w:sz w:val="22"/>
                <w:szCs w:val="22"/>
              </w:rPr>
              <w:t>LAM</w:t>
            </w:r>
          </w:p>
        </w:tc>
      </w:tr>
      <w:tr w:rsidR="00D53564" w:rsidRPr="00363AAD" w14:paraId="6F7FBE24" w14:textId="77777777" w:rsidTr="00155837">
        <w:trPr>
          <w:trHeight w:hRule="exact" w:val="454"/>
          <w:jc w:val="center"/>
        </w:trPr>
        <w:tc>
          <w:tcPr>
            <w:tcW w:w="0" w:type="auto"/>
            <w:noWrap/>
            <w:vAlign w:val="center"/>
            <w:hideMark/>
          </w:tcPr>
          <w:p w14:paraId="59ED67E2" w14:textId="77777777" w:rsidR="00FE66AB" w:rsidRPr="00363AAD" w:rsidRDefault="00FE66AB" w:rsidP="00D53564">
            <w:pPr>
              <w:rPr>
                <w:sz w:val="22"/>
                <w:szCs w:val="22"/>
              </w:rPr>
            </w:pPr>
            <w:r w:rsidRPr="00363AAD">
              <w:rPr>
                <w:sz w:val="22"/>
                <w:szCs w:val="22"/>
              </w:rPr>
              <w:t>AUS</w:t>
            </w:r>
          </w:p>
        </w:tc>
        <w:tc>
          <w:tcPr>
            <w:tcW w:w="0" w:type="auto"/>
            <w:noWrap/>
            <w:vAlign w:val="center"/>
            <w:hideMark/>
          </w:tcPr>
          <w:p w14:paraId="03B72C89" w14:textId="77777777" w:rsidR="00FE66AB" w:rsidRPr="00363AAD" w:rsidRDefault="00FE66AB" w:rsidP="00D53564">
            <w:pPr>
              <w:rPr>
                <w:sz w:val="22"/>
                <w:szCs w:val="22"/>
              </w:rPr>
            </w:pPr>
            <w:r w:rsidRPr="00363AAD">
              <w:rPr>
                <w:sz w:val="22"/>
                <w:szCs w:val="22"/>
              </w:rPr>
              <w:t>ALB</w:t>
            </w:r>
          </w:p>
        </w:tc>
        <w:tc>
          <w:tcPr>
            <w:tcW w:w="0" w:type="auto"/>
            <w:noWrap/>
            <w:vAlign w:val="center"/>
            <w:hideMark/>
          </w:tcPr>
          <w:p w14:paraId="253438AC" w14:textId="77777777" w:rsidR="00FE66AB" w:rsidRPr="00363AAD" w:rsidRDefault="00FE66AB" w:rsidP="00D53564">
            <w:pPr>
              <w:rPr>
                <w:sz w:val="22"/>
                <w:szCs w:val="22"/>
              </w:rPr>
            </w:pPr>
            <w:r w:rsidRPr="00363AAD">
              <w:rPr>
                <w:sz w:val="22"/>
                <w:szCs w:val="22"/>
              </w:rPr>
              <w:t>AFG</w:t>
            </w:r>
          </w:p>
        </w:tc>
        <w:tc>
          <w:tcPr>
            <w:tcW w:w="0" w:type="auto"/>
            <w:noWrap/>
            <w:vAlign w:val="center"/>
            <w:hideMark/>
          </w:tcPr>
          <w:p w14:paraId="5F6EDB1A" w14:textId="77777777" w:rsidR="00FE66AB" w:rsidRPr="00363AAD" w:rsidRDefault="00FE66AB" w:rsidP="00D53564">
            <w:pPr>
              <w:rPr>
                <w:sz w:val="22"/>
                <w:szCs w:val="22"/>
              </w:rPr>
            </w:pPr>
            <w:r w:rsidRPr="00363AAD">
              <w:rPr>
                <w:sz w:val="22"/>
                <w:szCs w:val="22"/>
              </w:rPr>
              <w:t>DZA</w:t>
            </w:r>
          </w:p>
        </w:tc>
        <w:tc>
          <w:tcPr>
            <w:tcW w:w="0" w:type="auto"/>
            <w:vAlign w:val="center"/>
          </w:tcPr>
          <w:p w14:paraId="3AD84C43" w14:textId="77777777" w:rsidR="00FE66AB" w:rsidRPr="00363AAD" w:rsidRDefault="00FE66AB" w:rsidP="00D53564">
            <w:pPr>
              <w:rPr>
                <w:sz w:val="22"/>
                <w:szCs w:val="22"/>
              </w:rPr>
            </w:pPr>
            <w:r w:rsidRPr="00363AAD">
              <w:rPr>
                <w:sz w:val="22"/>
                <w:szCs w:val="22"/>
              </w:rPr>
              <w:t>LBR</w:t>
            </w:r>
          </w:p>
        </w:tc>
        <w:tc>
          <w:tcPr>
            <w:tcW w:w="0" w:type="auto"/>
            <w:noWrap/>
            <w:vAlign w:val="center"/>
            <w:hideMark/>
          </w:tcPr>
          <w:p w14:paraId="16F27BB0" w14:textId="77777777" w:rsidR="00FE66AB" w:rsidRPr="00363AAD" w:rsidRDefault="00FE66AB" w:rsidP="00D53564">
            <w:pPr>
              <w:rPr>
                <w:sz w:val="22"/>
                <w:szCs w:val="22"/>
              </w:rPr>
            </w:pPr>
            <w:r w:rsidRPr="00363AAD">
              <w:rPr>
                <w:sz w:val="22"/>
                <w:szCs w:val="22"/>
              </w:rPr>
              <w:t>ATG</w:t>
            </w:r>
          </w:p>
        </w:tc>
      </w:tr>
      <w:tr w:rsidR="00D53564" w:rsidRPr="00363AAD" w14:paraId="2D585822" w14:textId="77777777" w:rsidTr="00155837">
        <w:trPr>
          <w:trHeight w:hRule="exact" w:val="454"/>
          <w:jc w:val="center"/>
        </w:trPr>
        <w:tc>
          <w:tcPr>
            <w:tcW w:w="0" w:type="auto"/>
            <w:noWrap/>
            <w:vAlign w:val="center"/>
            <w:hideMark/>
          </w:tcPr>
          <w:p w14:paraId="12AE558E" w14:textId="77777777" w:rsidR="00FE66AB" w:rsidRPr="00363AAD" w:rsidRDefault="00FE66AB" w:rsidP="00D53564">
            <w:pPr>
              <w:rPr>
                <w:sz w:val="22"/>
                <w:szCs w:val="22"/>
              </w:rPr>
            </w:pPr>
            <w:r w:rsidRPr="00363AAD">
              <w:rPr>
                <w:sz w:val="22"/>
                <w:szCs w:val="22"/>
              </w:rPr>
              <w:t>AUT</w:t>
            </w:r>
          </w:p>
        </w:tc>
        <w:tc>
          <w:tcPr>
            <w:tcW w:w="0" w:type="auto"/>
            <w:noWrap/>
            <w:vAlign w:val="center"/>
            <w:hideMark/>
          </w:tcPr>
          <w:p w14:paraId="4514E068" w14:textId="77777777" w:rsidR="00FE66AB" w:rsidRPr="00363AAD" w:rsidRDefault="00FE66AB" w:rsidP="00D53564">
            <w:pPr>
              <w:rPr>
                <w:sz w:val="22"/>
                <w:szCs w:val="22"/>
              </w:rPr>
            </w:pPr>
            <w:r w:rsidRPr="00363AAD">
              <w:rPr>
                <w:sz w:val="22"/>
                <w:szCs w:val="22"/>
              </w:rPr>
              <w:t>ARM</w:t>
            </w:r>
          </w:p>
        </w:tc>
        <w:tc>
          <w:tcPr>
            <w:tcW w:w="0" w:type="auto"/>
            <w:noWrap/>
            <w:vAlign w:val="center"/>
            <w:hideMark/>
          </w:tcPr>
          <w:p w14:paraId="4CF1DBFC" w14:textId="77777777" w:rsidR="00FE66AB" w:rsidRPr="00363AAD" w:rsidRDefault="00FE66AB" w:rsidP="00D53564">
            <w:pPr>
              <w:rPr>
                <w:sz w:val="22"/>
                <w:szCs w:val="22"/>
              </w:rPr>
            </w:pPr>
            <w:r w:rsidRPr="00363AAD">
              <w:rPr>
                <w:sz w:val="22"/>
                <w:szCs w:val="22"/>
              </w:rPr>
              <w:t>BGD</w:t>
            </w:r>
          </w:p>
        </w:tc>
        <w:tc>
          <w:tcPr>
            <w:tcW w:w="0" w:type="auto"/>
            <w:noWrap/>
            <w:vAlign w:val="center"/>
            <w:hideMark/>
          </w:tcPr>
          <w:p w14:paraId="75912318" w14:textId="77777777" w:rsidR="00FE66AB" w:rsidRPr="00363AAD" w:rsidRDefault="00FE66AB" w:rsidP="00D53564">
            <w:pPr>
              <w:rPr>
                <w:sz w:val="22"/>
                <w:szCs w:val="22"/>
              </w:rPr>
            </w:pPr>
            <w:r w:rsidRPr="00363AAD">
              <w:rPr>
                <w:sz w:val="22"/>
                <w:szCs w:val="22"/>
              </w:rPr>
              <w:t>AGO</w:t>
            </w:r>
          </w:p>
        </w:tc>
        <w:tc>
          <w:tcPr>
            <w:tcW w:w="0" w:type="auto"/>
            <w:vAlign w:val="center"/>
          </w:tcPr>
          <w:p w14:paraId="5BFC33AC" w14:textId="77777777" w:rsidR="00FE66AB" w:rsidRPr="00363AAD" w:rsidRDefault="00FE66AB" w:rsidP="00D53564">
            <w:pPr>
              <w:rPr>
                <w:sz w:val="22"/>
                <w:szCs w:val="22"/>
              </w:rPr>
            </w:pPr>
            <w:r w:rsidRPr="00363AAD">
              <w:rPr>
                <w:sz w:val="22"/>
                <w:szCs w:val="22"/>
              </w:rPr>
              <w:t>LBY</w:t>
            </w:r>
          </w:p>
        </w:tc>
        <w:tc>
          <w:tcPr>
            <w:tcW w:w="0" w:type="auto"/>
            <w:noWrap/>
            <w:vAlign w:val="center"/>
            <w:hideMark/>
          </w:tcPr>
          <w:p w14:paraId="7557334F" w14:textId="77777777" w:rsidR="00FE66AB" w:rsidRPr="00363AAD" w:rsidRDefault="00FE66AB" w:rsidP="00D53564">
            <w:pPr>
              <w:rPr>
                <w:sz w:val="22"/>
                <w:szCs w:val="22"/>
              </w:rPr>
            </w:pPr>
            <w:r w:rsidRPr="00363AAD">
              <w:rPr>
                <w:sz w:val="22"/>
                <w:szCs w:val="22"/>
              </w:rPr>
              <w:t>ARG</w:t>
            </w:r>
          </w:p>
        </w:tc>
      </w:tr>
      <w:tr w:rsidR="00D53564" w:rsidRPr="00363AAD" w14:paraId="2C1CA7BD" w14:textId="77777777" w:rsidTr="00155837">
        <w:trPr>
          <w:trHeight w:hRule="exact" w:val="454"/>
          <w:jc w:val="center"/>
        </w:trPr>
        <w:tc>
          <w:tcPr>
            <w:tcW w:w="0" w:type="auto"/>
            <w:noWrap/>
            <w:vAlign w:val="center"/>
            <w:hideMark/>
          </w:tcPr>
          <w:p w14:paraId="3139E2B3" w14:textId="77777777" w:rsidR="00FE66AB" w:rsidRPr="00363AAD" w:rsidRDefault="00FE66AB" w:rsidP="00D53564">
            <w:pPr>
              <w:rPr>
                <w:sz w:val="22"/>
                <w:szCs w:val="22"/>
              </w:rPr>
            </w:pPr>
            <w:r w:rsidRPr="00363AAD">
              <w:rPr>
                <w:sz w:val="22"/>
                <w:szCs w:val="22"/>
              </w:rPr>
              <w:t>BEL</w:t>
            </w:r>
          </w:p>
        </w:tc>
        <w:tc>
          <w:tcPr>
            <w:tcW w:w="0" w:type="auto"/>
            <w:noWrap/>
            <w:vAlign w:val="center"/>
            <w:hideMark/>
          </w:tcPr>
          <w:p w14:paraId="14BAB868" w14:textId="77777777" w:rsidR="00FE66AB" w:rsidRPr="00363AAD" w:rsidRDefault="00FE66AB" w:rsidP="00D53564">
            <w:pPr>
              <w:rPr>
                <w:sz w:val="22"/>
                <w:szCs w:val="22"/>
              </w:rPr>
            </w:pPr>
            <w:r w:rsidRPr="00363AAD">
              <w:rPr>
                <w:sz w:val="22"/>
                <w:szCs w:val="22"/>
              </w:rPr>
              <w:t>AZE</w:t>
            </w:r>
          </w:p>
        </w:tc>
        <w:tc>
          <w:tcPr>
            <w:tcW w:w="0" w:type="auto"/>
            <w:noWrap/>
            <w:vAlign w:val="center"/>
            <w:hideMark/>
          </w:tcPr>
          <w:p w14:paraId="5A413D47" w14:textId="77777777" w:rsidR="00FE66AB" w:rsidRPr="00363AAD" w:rsidRDefault="00FE66AB" w:rsidP="00D53564">
            <w:pPr>
              <w:rPr>
                <w:sz w:val="22"/>
                <w:szCs w:val="22"/>
              </w:rPr>
            </w:pPr>
            <w:r w:rsidRPr="00363AAD">
              <w:rPr>
                <w:sz w:val="22"/>
                <w:szCs w:val="22"/>
              </w:rPr>
              <w:t>BTN</w:t>
            </w:r>
          </w:p>
        </w:tc>
        <w:tc>
          <w:tcPr>
            <w:tcW w:w="0" w:type="auto"/>
            <w:noWrap/>
            <w:vAlign w:val="center"/>
            <w:hideMark/>
          </w:tcPr>
          <w:p w14:paraId="13D8C249" w14:textId="77777777" w:rsidR="00FE66AB" w:rsidRPr="00363AAD" w:rsidRDefault="00FE66AB" w:rsidP="00D53564">
            <w:pPr>
              <w:rPr>
                <w:sz w:val="22"/>
                <w:szCs w:val="22"/>
              </w:rPr>
            </w:pPr>
            <w:r w:rsidRPr="00363AAD">
              <w:rPr>
                <w:sz w:val="22"/>
                <w:szCs w:val="22"/>
              </w:rPr>
              <w:t>BHR</w:t>
            </w:r>
          </w:p>
        </w:tc>
        <w:tc>
          <w:tcPr>
            <w:tcW w:w="0" w:type="auto"/>
            <w:vAlign w:val="center"/>
          </w:tcPr>
          <w:p w14:paraId="7DA216CC" w14:textId="77777777" w:rsidR="00FE66AB" w:rsidRPr="00363AAD" w:rsidRDefault="00FE66AB" w:rsidP="00D53564">
            <w:pPr>
              <w:rPr>
                <w:sz w:val="22"/>
                <w:szCs w:val="22"/>
              </w:rPr>
            </w:pPr>
            <w:r w:rsidRPr="00363AAD">
              <w:rPr>
                <w:sz w:val="22"/>
                <w:szCs w:val="22"/>
              </w:rPr>
              <w:t>MDG</w:t>
            </w:r>
          </w:p>
        </w:tc>
        <w:tc>
          <w:tcPr>
            <w:tcW w:w="0" w:type="auto"/>
            <w:noWrap/>
            <w:vAlign w:val="center"/>
            <w:hideMark/>
          </w:tcPr>
          <w:p w14:paraId="4E519DB9" w14:textId="77777777" w:rsidR="00FE66AB" w:rsidRPr="00363AAD" w:rsidRDefault="00FE66AB" w:rsidP="00D53564">
            <w:pPr>
              <w:rPr>
                <w:sz w:val="22"/>
                <w:szCs w:val="22"/>
              </w:rPr>
            </w:pPr>
            <w:r w:rsidRPr="00363AAD">
              <w:rPr>
                <w:sz w:val="22"/>
                <w:szCs w:val="22"/>
              </w:rPr>
              <w:t>BHS</w:t>
            </w:r>
          </w:p>
        </w:tc>
      </w:tr>
      <w:tr w:rsidR="00D53564" w:rsidRPr="00363AAD" w14:paraId="7BFE0E77" w14:textId="77777777" w:rsidTr="00155837">
        <w:trPr>
          <w:trHeight w:hRule="exact" w:val="454"/>
          <w:jc w:val="center"/>
        </w:trPr>
        <w:tc>
          <w:tcPr>
            <w:tcW w:w="0" w:type="auto"/>
            <w:noWrap/>
            <w:vAlign w:val="center"/>
            <w:hideMark/>
          </w:tcPr>
          <w:p w14:paraId="625BB5DB" w14:textId="77777777" w:rsidR="00FE66AB" w:rsidRPr="00363AAD" w:rsidRDefault="00FE66AB" w:rsidP="00D53564">
            <w:pPr>
              <w:rPr>
                <w:sz w:val="22"/>
                <w:szCs w:val="22"/>
              </w:rPr>
            </w:pPr>
            <w:r w:rsidRPr="00363AAD">
              <w:rPr>
                <w:sz w:val="22"/>
                <w:szCs w:val="22"/>
              </w:rPr>
              <w:t>CAN</w:t>
            </w:r>
          </w:p>
        </w:tc>
        <w:tc>
          <w:tcPr>
            <w:tcW w:w="0" w:type="auto"/>
            <w:noWrap/>
            <w:vAlign w:val="center"/>
            <w:hideMark/>
          </w:tcPr>
          <w:p w14:paraId="735C753D" w14:textId="77777777" w:rsidR="00FE66AB" w:rsidRPr="00363AAD" w:rsidRDefault="00FE66AB" w:rsidP="00D53564">
            <w:pPr>
              <w:rPr>
                <w:sz w:val="22"/>
                <w:szCs w:val="22"/>
              </w:rPr>
            </w:pPr>
            <w:r w:rsidRPr="00363AAD">
              <w:rPr>
                <w:sz w:val="22"/>
                <w:szCs w:val="22"/>
              </w:rPr>
              <w:t>BLR</w:t>
            </w:r>
          </w:p>
        </w:tc>
        <w:tc>
          <w:tcPr>
            <w:tcW w:w="0" w:type="auto"/>
            <w:noWrap/>
            <w:vAlign w:val="center"/>
            <w:hideMark/>
          </w:tcPr>
          <w:p w14:paraId="3D0A8777" w14:textId="77777777" w:rsidR="00FE66AB" w:rsidRPr="00363AAD" w:rsidRDefault="00FE66AB" w:rsidP="00D53564">
            <w:pPr>
              <w:rPr>
                <w:sz w:val="22"/>
                <w:szCs w:val="22"/>
              </w:rPr>
            </w:pPr>
            <w:r w:rsidRPr="00363AAD">
              <w:rPr>
                <w:sz w:val="22"/>
                <w:szCs w:val="22"/>
              </w:rPr>
              <w:t>BRN</w:t>
            </w:r>
          </w:p>
        </w:tc>
        <w:tc>
          <w:tcPr>
            <w:tcW w:w="0" w:type="auto"/>
            <w:noWrap/>
            <w:vAlign w:val="center"/>
            <w:hideMark/>
          </w:tcPr>
          <w:p w14:paraId="57FBC60F" w14:textId="77777777" w:rsidR="00FE66AB" w:rsidRPr="00363AAD" w:rsidRDefault="00FE66AB" w:rsidP="00D53564">
            <w:pPr>
              <w:rPr>
                <w:sz w:val="22"/>
                <w:szCs w:val="22"/>
              </w:rPr>
            </w:pPr>
            <w:r w:rsidRPr="00363AAD">
              <w:rPr>
                <w:sz w:val="22"/>
                <w:szCs w:val="22"/>
              </w:rPr>
              <w:t>BEN</w:t>
            </w:r>
          </w:p>
        </w:tc>
        <w:tc>
          <w:tcPr>
            <w:tcW w:w="0" w:type="auto"/>
            <w:vAlign w:val="center"/>
          </w:tcPr>
          <w:p w14:paraId="70EA0184" w14:textId="77777777" w:rsidR="00FE66AB" w:rsidRPr="00363AAD" w:rsidRDefault="00FE66AB" w:rsidP="00D53564">
            <w:pPr>
              <w:rPr>
                <w:sz w:val="22"/>
                <w:szCs w:val="22"/>
              </w:rPr>
            </w:pPr>
            <w:r w:rsidRPr="00363AAD">
              <w:rPr>
                <w:sz w:val="22"/>
                <w:szCs w:val="22"/>
              </w:rPr>
              <w:t>MWI</w:t>
            </w:r>
          </w:p>
        </w:tc>
        <w:tc>
          <w:tcPr>
            <w:tcW w:w="0" w:type="auto"/>
            <w:noWrap/>
            <w:vAlign w:val="center"/>
            <w:hideMark/>
          </w:tcPr>
          <w:p w14:paraId="5C491D83" w14:textId="77777777" w:rsidR="00FE66AB" w:rsidRPr="00363AAD" w:rsidRDefault="00FE66AB" w:rsidP="00D53564">
            <w:pPr>
              <w:rPr>
                <w:sz w:val="22"/>
                <w:szCs w:val="22"/>
              </w:rPr>
            </w:pPr>
            <w:r w:rsidRPr="00363AAD">
              <w:rPr>
                <w:sz w:val="22"/>
                <w:szCs w:val="22"/>
              </w:rPr>
              <w:t>BRB</w:t>
            </w:r>
          </w:p>
        </w:tc>
      </w:tr>
      <w:tr w:rsidR="00D53564" w:rsidRPr="00363AAD" w14:paraId="08590021" w14:textId="77777777" w:rsidTr="00155837">
        <w:trPr>
          <w:trHeight w:hRule="exact" w:val="454"/>
          <w:jc w:val="center"/>
        </w:trPr>
        <w:tc>
          <w:tcPr>
            <w:tcW w:w="0" w:type="auto"/>
            <w:noWrap/>
            <w:vAlign w:val="center"/>
            <w:hideMark/>
          </w:tcPr>
          <w:p w14:paraId="5C7DF04D" w14:textId="77777777" w:rsidR="00FE66AB" w:rsidRPr="00363AAD" w:rsidRDefault="00FE66AB" w:rsidP="00D53564">
            <w:pPr>
              <w:rPr>
                <w:sz w:val="22"/>
                <w:szCs w:val="22"/>
              </w:rPr>
            </w:pPr>
            <w:r w:rsidRPr="00363AAD">
              <w:rPr>
                <w:sz w:val="22"/>
                <w:szCs w:val="22"/>
              </w:rPr>
              <w:t>DNK</w:t>
            </w:r>
          </w:p>
        </w:tc>
        <w:tc>
          <w:tcPr>
            <w:tcW w:w="0" w:type="auto"/>
            <w:noWrap/>
            <w:vAlign w:val="center"/>
            <w:hideMark/>
          </w:tcPr>
          <w:p w14:paraId="6678AA96" w14:textId="77777777" w:rsidR="00FE66AB" w:rsidRPr="00363AAD" w:rsidRDefault="00FE66AB" w:rsidP="00D53564">
            <w:pPr>
              <w:rPr>
                <w:sz w:val="22"/>
                <w:szCs w:val="22"/>
              </w:rPr>
            </w:pPr>
            <w:r w:rsidRPr="00363AAD">
              <w:rPr>
                <w:sz w:val="22"/>
                <w:szCs w:val="22"/>
              </w:rPr>
              <w:t>BIH</w:t>
            </w:r>
          </w:p>
        </w:tc>
        <w:tc>
          <w:tcPr>
            <w:tcW w:w="0" w:type="auto"/>
            <w:noWrap/>
            <w:vAlign w:val="center"/>
            <w:hideMark/>
          </w:tcPr>
          <w:p w14:paraId="3E353CEB" w14:textId="77777777" w:rsidR="00FE66AB" w:rsidRPr="00363AAD" w:rsidRDefault="00FE66AB" w:rsidP="00D53564">
            <w:pPr>
              <w:rPr>
                <w:sz w:val="22"/>
                <w:szCs w:val="22"/>
              </w:rPr>
            </w:pPr>
            <w:r w:rsidRPr="00363AAD">
              <w:rPr>
                <w:sz w:val="22"/>
                <w:szCs w:val="22"/>
              </w:rPr>
              <w:t>KHM</w:t>
            </w:r>
          </w:p>
        </w:tc>
        <w:tc>
          <w:tcPr>
            <w:tcW w:w="0" w:type="auto"/>
            <w:noWrap/>
            <w:vAlign w:val="center"/>
            <w:hideMark/>
          </w:tcPr>
          <w:p w14:paraId="1B6EE9F3" w14:textId="77777777" w:rsidR="00FE66AB" w:rsidRPr="00363AAD" w:rsidRDefault="00FE66AB" w:rsidP="00D53564">
            <w:pPr>
              <w:rPr>
                <w:sz w:val="22"/>
                <w:szCs w:val="22"/>
              </w:rPr>
            </w:pPr>
            <w:r w:rsidRPr="00363AAD">
              <w:rPr>
                <w:sz w:val="22"/>
                <w:szCs w:val="22"/>
              </w:rPr>
              <w:t>BWA</w:t>
            </w:r>
          </w:p>
        </w:tc>
        <w:tc>
          <w:tcPr>
            <w:tcW w:w="0" w:type="auto"/>
            <w:vAlign w:val="center"/>
          </w:tcPr>
          <w:p w14:paraId="0911DC4F" w14:textId="77777777" w:rsidR="00FE66AB" w:rsidRPr="00363AAD" w:rsidRDefault="00FE66AB" w:rsidP="00D53564">
            <w:pPr>
              <w:rPr>
                <w:sz w:val="22"/>
                <w:szCs w:val="22"/>
              </w:rPr>
            </w:pPr>
            <w:r w:rsidRPr="00363AAD">
              <w:rPr>
                <w:sz w:val="22"/>
                <w:szCs w:val="22"/>
              </w:rPr>
              <w:t>MLI</w:t>
            </w:r>
          </w:p>
        </w:tc>
        <w:tc>
          <w:tcPr>
            <w:tcW w:w="0" w:type="auto"/>
            <w:noWrap/>
            <w:vAlign w:val="center"/>
            <w:hideMark/>
          </w:tcPr>
          <w:p w14:paraId="0D3D6BB0" w14:textId="77777777" w:rsidR="00FE66AB" w:rsidRPr="00363AAD" w:rsidRDefault="00FE66AB" w:rsidP="00D53564">
            <w:pPr>
              <w:rPr>
                <w:sz w:val="22"/>
                <w:szCs w:val="22"/>
              </w:rPr>
            </w:pPr>
            <w:r w:rsidRPr="00363AAD">
              <w:rPr>
                <w:sz w:val="22"/>
                <w:szCs w:val="22"/>
              </w:rPr>
              <w:t>BLZ</w:t>
            </w:r>
          </w:p>
        </w:tc>
      </w:tr>
      <w:tr w:rsidR="00D53564" w:rsidRPr="00363AAD" w14:paraId="533F6307" w14:textId="77777777" w:rsidTr="00155837">
        <w:trPr>
          <w:trHeight w:hRule="exact" w:val="454"/>
          <w:jc w:val="center"/>
        </w:trPr>
        <w:tc>
          <w:tcPr>
            <w:tcW w:w="0" w:type="auto"/>
            <w:noWrap/>
            <w:vAlign w:val="center"/>
            <w:hideMark/>
          </w:tcPr>
          <w:p w14:paraId="5966A683" w14:textId="77777777" w:rsidR="00FE66AB" w:rsidRPr="00363AAD" w:rsidRDefault="00FE66AB" w:rsidP="00D53564">
            <w:pPr>
              <w:rPr>
                <w:sz w:val="22"/>
                <w:szCs w:val="22"/>
              </w:rPr>
            </w:pPr>
            <w:r w:rsidRPr="00363AAD">
              <w:rPr>
                <w:sz w:val="22"/>
                <w:szCs w:val="22"/>
              </w:rPr>
              <w:t>FJI</w:t>
            </w:r>
          </w:p>
        </w:tc>
        <w:tc>
          <w:tcPr>
            <w:tcW w:w="0" w:type="auto"/>
            <w:noWrap/>
            <w:vAlign w:val="center"/>
            <w:hideMark/>
          </w:tcPr>
          <w:p w14:paraId="520ED617" w14:textId="77777777" w:rsidR="00FE66AB" w:rsidRPr="00363AAD" w:rsidRDefault="00FE66AB" w:rsidP="00D53564">
            <w:pPr>
              <w:rPr>
                <w:sz w:val="22"/>
                <w:szCs w:val="22"/>
              </w:rPr>
            </w:pPr>
            <w:r w:rsidRPr="00363AAD">
              <w:rPr>
                <w:sz w:val="22"/>
                <w:szCs w:val="22"/>
              </w:rPr>
              <w:t>BGR</w:t>
            </w:r>
          </w:p>
        </w:tc>
        <w:tc>
          <w:tcPr>
            <w:tcW w:w="0" w:type="auto"/>
            <w:noWrap/>
            <w:vAlign w:val="center"/>
            <w:hideMark/>
          </w:tcPr>
          <w:p w14:paraId="1E381CC7" w14:textId="77777777" w:rsidR="00FE66AB" w:rsidRPr="00363AAD" w:rsidRDefault="00FE66AB" w:rsidP="00D53564">
            <w:pPr>
              <w:rPr>
                <w:sz w:val="22"/>
                <w:szCs w:val="22"/>
              </w:rPr>
            </w:pPr>
            <w:r w:rsidRPr="00363AAD">
              <w:rPr>
                <w:sz w:val="22"/>
                <w:szCs w:val="22"/>
              </w:rPr>
              <w:t>CHN</w:t>
            </w:r>
          </w:p>
        </w:tc>
        <w:tc>
          <w:tcPr>
            <w:tcW w:w="0" w:type="auto"/>
            <w:noWrap/>
            <w:vAlign w:val="center"/>
            <w:hideMark/>
          </w:tcPr>
          <w:p w14:paraId="69B4D1C3" w14:textId="77777777" w:rsidR="00FE66AB" w:rsidRPr="00363AAD" w:rsidRDefault="00FE66AB" w:rsidP="00D53564">
            <w:pPr>
              <w:rPr>
                <w:sz w:val="22"/>
                <w:szCs w:val="22"/>
              </w:rPr>
            </w:pPr>
            <w:r w:rsidRPr="00363AAD">
              <w:rPr>
                <w:sz w:val="22"/>
                <w:szCs w:val="22"/>
              </w:rPr>
              <w:t>BFA</w:t>
            </w:r>
          </w:p>
        </w:tc>
        <w:tc>
          <w:tcPr>
            <w:tcW w:w="0" w:type="auto"/>
            <w:vAlign w:val="center"/>
          </w:tcPr>
          <w:p w14:paraId="58E00D04" w14:textId="77777777" w:rsidR="00FE66AB" w:rsidRPr="00363AAD" w:rsidRDefault="00FE66AB" w:rsidP="00D53564">
            <w:pPr>
              <w:rPr>
                <w:sz w:val="22"/>
                <w:szCs w:val="22"/>
              </w:rPr>
            </w:pPr>
            <w:r w:rsidRPr="00363AAD">
              <w:rPr>
                <w:sz w:val="22"/>
                <w:szCs w:val="22"/>
              </w:rPr>
              <w:t>MRT</w:t>
            </w:r>
          </w:p>
        </w:tc>
        <w:tc>
          <w:tcPr>
            <w:tcW w:w="0" w:type="auto"/>
            <w:noWrap/>
            <w:vAlign w:val="center"/>
            <w:hideMark/>
          </w:tcPr>
          <w:p w14:paraId="266030DD" w14:textId="77777777" w:rsidR="00FE66AB" w:rsidRPr="00363AAD" w:rsidRDefault="00FE66AB" w:rsidP="00D53564">
            <w:pPr>
              <w:rPr>
                <w:sz w:val="22"/>
                <w:szCs w:val="22"/>
              </w:rPr>
            </w:pPr>
            <w:r w:rsidRPr="00363AAD">
              <w:rPr>
                <w:sz w:val="22"/>
                <w:szCs w:val="22"/>
              </w:rPr>
              <w:t>BOL</w:t>
            </w:r>
          </w:p>
        </w:tc>
      </w:tr>
      <w:tr w:rsidR="00D53564" w:rsidRPr="00363AAD" w14:paraId="6D64F305" w14:textId="77777777" w:rsidTr="00155837">
        <w:trPr>
          <w:trHeight w:hRule="exact" w:val="454"/>
          <w:jc w:val="center"/>
        </w:trPr>
        <w:tc>
          <w:tcPr>
            <w:tcW w:w="0" w:type="auto"/>
            <w:noWrap/>
            <w:vAlign w:val="center"/>
            <w:hideMark/>
          </w:tcPr>
          <w:p w14:paraId="41C6EE17" w14:textId="77777777" w:rsidR="00FE66AB" w:rsidRPr="00363AAD" w:rsidRDefault="00FE66AB" w:rsidP="00D53564">
            <w:pPr>
              <w:rPr>
                <w:sz w:val="22"/>
                <w:szCs w:val="22"/>
              </w:rPr>
            </w:pPr>
            <w:r w:rsidRPr="00363AAD">
              <w:rPr>
                <w:sz w:val="22"/>
                <w:szCs w:val="22"/>
              </w:rPr>
              <w:t>FIN</w:t>
            </w:r>
          </w:p>
        </w:tc>
        <w:tc>
          <w:tcPr>
            <w:tcW w:w="0" w:type="auto"/>
            <w:noWrap/>
            <w:vAlign w:val="center"/>
            <w:hideMark/>
          </w:tcPr>
          <w:p w14:paraId="07A8CD70" w14:textId="77777777" w:rsidR="00FE66AB" w:rsidRPr="00363AAD" w:rsidRDefault="00FE66AB" w:rsidP="00D53564">
            <w:pPr>
              <w:rPr>
                <w:sz w:val="22"/>
                <w:szCs w:val="22"/>
              </w:rPr>
            </w:pPr>
            <w:r w:rsidRPr="00363AAD">
              <w:rPr>
                <w:sz w:val="22"/>
                <w:szCs w:val="22"/>
              </w:rPr>
              <w:t>HRV</w:t>
            </w:r>
          </w:p>
        </w:tc>
        <w:tc>
          <w:tcPr>
            <w:tcW w:w="0" w:type="auto"/>
            <w:noWrap/>
            <w:vAlign w:val="center"/>
            <w:hideMark/>
          </w:tcPr>
          <w:p w14:paraId="71DDF66F" w14:textId="77777777" w:rsidR="00FE66AB" w:rsidRPr="00363AAD" w:rsidRDefault="00FE66AB" w:rsidP="00D53564">
            <w:pPr>
              <w:rPr>
                <w:sz w:val="22"/>
                <w:szCs w:val="22"/>
              </w:rPr>
            </w:pPr>
            <w:r w:rsidRPr="00363AAD">
              <w:rPr>
                <w:sz w:val="22"/>
                <w:szCs w:val="22"/>
              </w:rPr>
              <w:t>IND</w:t>
            </w:r>
          </w:p>
        </w:tc>
        <w:tc>
          <w:tcPr>
            <w:tcW w:w="0" w:type="auto"/>
            <w:noWrap/>
            <w:vAlign w:val="center"/>
            <w:hideMark/>
          </w:tcPr>
          <w:p w14:paraId="6B43FBBB" w14:textId="77777777" w:rsidR="00FE66AB" w:rsidRPr="00363AAD" w:rsidRDefault="00FE66AB" w:rsidP="00D53564">
            <w:pPr>
              <w:rPr>
                <w:sz w:val="22"/>
                <w:szCs w:val="22"/>
              </w:rPr>
            </w:pPr>
            <w:r w:rsidRPr="00363AAD">
              <w:rPr>
                <w:sz w:val="22"/>
                <w:szCs w:val="22"/>
              </w:rPr>
              <w:t>BDI</w:t>
            </w:r>
          </w:p>
        </w:tc>
        <w:tc>
          <w:tcPr>
            <w:tcW w:w="0" w:type="auto"/>
            <w:vAlign w:val="center"/>
          </w:tcPr>
          <w:p w14:paraId="2A1D1511" w14:textId="77777777" w:rsidR="00FE66AB" w:rsidRPr="00363AAD" w:rsidRDefault="00FE66AB" w:rsidP="00D53564">
            <w:pPr>
              <w:rPr>
                <w:sz w:val="22"/>
                <w:szCs w:val="22"/>
              </w:rPr>
            </w:pPr>
            <w:r w:rsidRPr="00363AAD">
              <w:rPr>
                <w:sz w:val="22"/>
                <w:szCs w:val="22"/>
              </w:rPr>
              <w:t>MUS</w:t>
            </w:r>
          </w:p>
        </w:tc>
        <w:tc>
          <w:tcPr>
            <w:tcW w:w="0" w:type="auto"/>
            <w:noWrap/>
            <w:vAlign w:val="center"/>
            <w:hideMark/>
          </w:tcPr>
          <w:p w14:paraId="38BE08D0" w14:textId="77777777" w:rsidR="00FE66AB" w:rsidRPr="00363AAD" w:rsidRDefault="00FE66AB" w:rsidP="00D53564">
            <w:pPr>
              <w:rPr>
                <w:sz w:val="22"/>
                <w:szCs w:val="22"/>
              </w:rPr>
            </w:pPr>
            <w:r w:rsidRPr="00363AAD">
              <w:rPr>
                <w:sz w:val="22"/>
                <w:szCs w:val="22"/>
              </w:rPr>
              <w:t>BRA</w:t>
            </w:r>
          </w:p>
        </w:tc>
      </w:tr>
      <w:tr w:rsidR="00D53564" w:rsidRPr="00363AAD" w14:paraId="70FE1BCF" w14:textId="77777777" w:rsidTr="00155837">
        <w:trPr>
          <w:trHeight w:hRule="exact" w:val="454"/>
          <w:jc w:val="center"/>
        </w:trPr>
        <w:tc>
          <w:tcPr>
            <w:tcW w:w="0" w:type="auto"/>
            <w:noWrap/>
            <w:vAlign w:val="center"/>
            <w:hideMark/>
          </w:tcPr>
          <w:p w14:paraId="54CBF064" w14:textId="77777777" w:rsidR="00FE66AB" w:rsidRPr="00363AAD" w:rsidRDefault="00FE66AB" w:rsidP="00D53564">
            <w:pPr>
              <w:rPr>
                <w:sz w:val="22"/>
                <w:szCs w:val="22"/>
              </w:rPr>
            </w:pPr>
            <w:r w:rsidRPr="00363AAD">
              <w:rPr>
                <w:sz w:val="22"/>
                <w:szCs w:val="22"/>
              </w:rPr>
              <w:t>FRA</w:t>
            </w:r>
          </w:p>
        </w:tc>
        <w:tc>
          <w:tcPr>
            <w:tcW w:w="0" w:type="auto"/>
            <w:noWrap/>
            <w:vAlign w:val="center"/>
            <w:hideMark/>
          </w:tcPr>
          <w:p w14:paraId="2ED2039F" w14:textId="77777777" w:rsidR="00FE66AB" w:rsidRPr="00363AAD" w:rsidRDefault="00FE66AB" w:rsidP="00D53564">
            <w:pPr>
              <w:rPr>
                <w:sz w:val="22"/>
                <w:szCs w:val="22"/>
              </w:rPr>
            </w:pPr>
            <w:r w:rsidRPr="00363AAD">
              <w:rPr>
                <w:sz w:val="22"/>
                <w:szCs w:val="22"/>
              </w:rPr>
              <w:t>CYP</w:t>
            </w:r>
          </w:p>
        </w:tc>
        <w:tc>
          <w:tcPr>
            <w:tcW w:w="0" w:type="auto"/>
            <w:noWrap/>
            <w:vAlign w:val="center"/>
            <w:hideMark/>
          </w:tcPr>
          <w:p w14:paraId="49E1B5B1" w14:textId="77777777" w:rsidR="00FE66AB" w:rsidRPr="00363AAD" w:rsidRDefault="00FE66AB" w:rsidP="00D53564">
            <w:pPr>
              <w:rPr>
                <w:sz w:val="22"/>
                <w:szCs w:val="22"/>
              </w:rPr>
            </w:pPr>
            <w:r w:rsidRPr="00363AAD">
              <w:rPr>
                <w:sz w:val="22"/>
                <w:szCs w:val="22"/>
              </w:rPr>
              <w:t>IDN</w:t>
            </w:r>
          </w:p>
        </w:tc>
        <w:tc>
          <w:tcPr>
            <w:tcW w:w="0" w:type="auto"/>
            <w:noWrap/>
            <w:vAlign w:val="center"/>
            <w:hideMark/>
          </w:tcPr>
          <w:p w14:paraId="7304135A" w14:textId="77777777" w:rsidR="00FE66AB" w:rsidRPr="00363AAD" w:rsidRDefault="00FE66AB" w:rsidP="00D53564">
            <w:pPr>
              <w:rPr>
                <w:sz w:val="22"/>
                <w:szCs w:val="22"/>
              </w:rPr>
            </w:pPr>
            <w:r w:rsidRPr="00363AAD">
              <w:rPr>
                <w:sz w:val="22"/>
                <w:szCs w:val="22"/>
              </w:rPr>
              <w:t>CPV</w:t>
            </w:r>
          </w:p>
        </w:tc>
        <w:tc>
          <w:tcPr>
            <w:tcW w:w="0" w:type="auto"/>
            <w:vAlign w:val="center"/>
          </w:tcPr>
          <w:p w14:paraId="7E674B8B" w14:textId="77777777" w:rsidR="00FE66AB" w:rsidRPr="00363AAD" w:rsidRDefault="00FE66AB" w:rsidP="00D53564">
            <w:pPr>
              <w:rPr>
                <w:sz w:val="22"/>
                <w:szCs w:val="22"/>
              </w:rPr>
            </w:pPr>
            <w:r w:rsidRPr="00363AAD">
              <w:rPr>
                <w:sz w:val="22"/>
                <w:szCs w:val="22"/>
              </w:rPr>
              <w:t>MAR</w:t>
            </w:r>
          </w:p>
        </w:tc>
        <w:tc>
          <w:tcPr>
            <w:tcW w:w="0" w:type="auto"/>
            <w:noWrap/>
            <w:vAlign w:val="center"/>
            <w:hideMark/>
          </w:tcPr>
          <w:p w14:paraId="5BCA0A68" w14:textId="77777777" w:rsidR="00FE66AB" w:rsidRPr="00363AAD" w:rsidRDefault="00FE66AB" w:rsidP="00D53564">
            <w:pPr>
              <w:rPr>
                <w:sz w:val="22"/>
                <w:szCs w:val="22"/>
              </w:rPr>
            </w:pPr>
            <w:r w:rsidRPr="00363AAD">
              <w:rPr>
                <w:sz w:val="22"/>
                <w:szCs w:val="22"/>
              </w:rPr>
              <w:t>CHL</w:t>
            </w:r>
          </w:p>
        </w:tc>
      </w:tr>
      <w:tr w:rsidR="00D53564" w:rsidRPr="00363AAD" w14:paraId="4470B436" w14:textId="77777777" w:rsidTr="00155837">
        <w:trPr>
          <w:trHeight w:hRule="exact" w:val="454"/>
          <w:jc w:val="center"/>
        </w:trPr>
        <w:tc>
          <w:tcPr>
            <w:tcW w:w="0" w:type="auto"/>
            <w:noWrap/>
            <w:vAlign w:val="center"/>
            <w:hideMark/>
          </w:tcPr>
          <w:p w14:paraId="5F7DC0D8" w14:textId="77777777" w:rsidR="00FE66AB" w:rsidRPr="00363AAD" w:rsidRDefault="00FE66AB" w:rsidP="00D53564">
            <w:pPr>
              <w:rPr>
                <w:sz w:val="22"/>
                <w:szCs w:val="22"/>
              </w:rPr>
            </w:pPr>
            <w:r w:rsidRPr="00363AAD">
              <w:rPr>
                <w:sz w:val="22"/>
                <w:szCs w:val="22"/>
              </w:rPr>
              <w:t>DEU</w:t>
            </w:r>
          </w:p>
        </w:tc>
        <w:tc>
          <w:tcPr>
            <w:tcW w:w="0" w:type="auto"/>
            <w:noWrap/>
            <w:vAlign w:val="center"/>
            <w:hideMark/>
          </w:tcPr>
          <w:p w14:paraId="765C06FE" w14:textId="77777777" w:rsidR="00FE66AB" w:rsidRPr="00363AAD" w:rsidRDefault="00FE66AB" w:rsidP="00D53564">
            <w:pPr>
              <w:rPr>
                <w:sz w:val="22"/>
                <w:szCs w:val="22"/>
              </w:rPr>
            </w:pPr>
            <w:r w:rsidRPr="00363AAD">
              <w:rPr>
                <w:sz w:val="22"/>
                <w:szCs w:val="22"/>
              </w:rPr>
              <w:t>CZE</w:t>
            </w:r>
          </w:p>
        </w:tc>
        <w:tc>
          <w:tcPr>
            <w:tcW w:w="0" w:type="auto"/>
            <w:noWrap/>
            <w:vAlign w:val="center"/>
            <w:hideMark/>
          </w:tcPr>
          <w:p w14:paraId="43852706" w14:textId="77777777" w:rsidR="00FE66AB" w:rsidRPr="00363AAD" w:rsidRDefault="00FE66AB" w:rsidP="00D53564">
            <w:pPr>
              <w:rPr>
                <w:sz w:val="22"/>
                <w:szCs w:val="22"/>
              </w:rPr>
            </w:pPr>
            <w:r w:rsidRPr="00363AAD">
              <w:rPr>
                <w:sz w:val="22"/>
                <w:szCs w:val="22"/>
              </w:rPr>
              <w:t>LAO</w:t>
            </w:r>
          </w:p>
        </w:tc>
        <w:tc>
          <w:tcPr>
            <w:tcW w:w="0" w:type="auto"/>
            <w:noWrap/>
            <w:vAlign w:val="center"/>
            <w:hideMark/>
          </w:tcPr>
          <w:p w14:paraId="6636E89E" w14:textId="77777777" w:rsidR="00FE66AB" w:rsidRPr="00363AAD" w:rsidRDefault="00FE66AB" w:rsidP="00D53564">
            <w:pPr>
              <w:rPr>
                <w:sz w:val="22"/>
                <w:szCs w:val="22"/>
              </w:rPr>
            </w:pPr>
            <w:r w:rsidRPr="00363AAD">
              <w:rPr>
                <w:sz w:val="22"/>
                <w:szCs w:val="22"/>
              </w:rPr>
              <w:t>CMR</w:t>
            </w:r>
          </w:p>
        </w:tc>
        <w:tc>
          <w:tcPr>
            <w:tcW w:w="0" w:type="auto"/>
            <w:vAlign w:val="center"/>
          </w:tcPr>
          <w:p w14:paraId="6386F4A0" w14:textId="77777777" w:rsidR="00FE66AB" w:rsidRPr="00363AAD" w:rsidRDefault="00FE66AB" w:rsidP="00D53564">
            <w:pPr>
              <w:rPr>
                <w:sz w:val="22"/>
                <w:szCs w:val="22"/>
              </w:rPr>
            </w:pPr>
            <w:r w:rsidRPr="00363AAD">
              <w:rPr>
                <w:sz w:val="22"/>
                <w:szCs w:val="22"/>
              </w:rPr>
              <w:t>MOZ</w:t>
            </w:r>
          </w:p>
        </w:tc>
        <w:tc>
          <w:tcPr>
            <w:tcW w:w="0" w:type="auto"/>
            <w:noWrap/>
            <w:vAlign w:val="center"/>
            <w:hideMark/>
          </w:tcPr>
          <w:p w14:paraId="4B63884C" w14:textId="77777777" w:rsidR="00FE66AB" w:rsidRPr="00363AAD" w:rsidRDefault="00FE66AB" w:rsidP="00D53564">
            <w:pPr>
              <w:rPr>
                <w:sz w:val="22"/>
                <w:szCs w:val="22"/>
              </w:rPr>
            </w:pPr>
            <w:r w:rsidRPr="00363AAD">
              <w:rPr>
                <w:sz w:val="22"/>
                <w:szCs w:val="22"/>
              </w:rPr>
              <w:t>COL</w:t>
            </w:r>
          </w:p>
        </w:tc>
      </w:tr>
      <w:tr w:rsidR="00D53564" w:rsidRPr="00363AAD" w14:paraId="21CC4EB1" w14:textId="77777777" w:rsidTr="00155837">
        <w:trPr>
          <w:trHeight w:hRule="exact" w:val="454"/>
          <w:jc w:val="center"/>
        </w:trPr>
        <w:tc>
          <w:tcPr>
            <w:tcW w:w="0" w:type="auto"/>
            <w:noWrap/>
            <w:vAlign w:val="center"/>
            <w:hideMark/>
          </w:tcPr>
          <w:p w14:paraId="32BE44F9" w14:textId="77777777" w:rsidR="00FE66AB" w:rsidRPr="00363AAD" w:rsidRDefault="00FE66AB" w:rsidP="00D53564">
            <w:pPr>
              <w:rPr>
                <w:sz w:val="22"/>
                <w:szCs w:val="22"/>
              </w:rPr>
            </w:pPr>
            <w:r w:rsidRPr="00363AAD">
              <w:rPr>
                <w:sz w:val="22"/>
                <w:szCs w:val="22"/>
              </w:rPr>
              <w:t>GRC</w:t>
            </w:r>
          </w:p>
        </w:tc>
        <w:tc>
          <w:tcPr>
            <w:tcW w:w="0" w:type="auto"/>
            <w:noWrap/>
            <w:vAlign w:val="center"/>
            <w:hideMark/>
          </w:tcPr>
          <w:p w14:paraId="4868D7A1" w14:textId="77777777" w:rsidR="00FE66AB" w:rsidRPr="00363AAD" w:rsidRDefault="00FE66AB" w:rsidP="00D53564">
            <w:pPr>
              <w:rPr>
                <w:sz w:val="22"/>
                <w:szCs w:val="22"/>
              </w:rPr>
            </w:pPr>
            <w:r w:rsidRPr="00363AAD">
              <w:rPr>
                <w:sz w:val="22"/>
                <w:szCs w:val="22"/>
              </w:rPr>
              <w:t>EST</w:t>
            </w:r>
          </w:p>
        </w:tc>
        <w:tc>
          <w:tcPr>
            <w:tcW w:w="0" w:type="auto"/>
            <w:noWrap/>
            <w:vAlign w:val="center"/>
            <w:hideMark/>
          </w:tcPr>
          <w:p w14:paraId="792506CA" w14:textId="77777777" w:rsidR="00FE66AB" w:rsidRPr="00363AAD" w:rsidRDefault="00FE66AB" w:rsidP="00D53564">
            <w:pPr>
              <w:rPr>
                <w:sz w:val="22"/>
                <w:szCs w:val="22"/>
              </w:rPr>
            </w:pPr>
            <w:r w:rsidRPr="00363AAD">
              <w:rPr>
                <w:sz w:val="22"/>
                <w:szCs w:val="22"/>
              </w:rPr>
              <w:t>MYS</w:t>
            </w:r>
          </w:p>
        </w:tc>
        <w:tc>
          <w:tcPr>
            <w:tcW w:w="0" w:type="auto"/>
            <w:noWrap/>
            <w:vAlign w:val="center"/>
            <w:hideMark/>
          </w:tcPr>
          <w:p w14:paraId="1C826247" w14:textId="77777777" w:rsidR="00FE66AB" w:rsidRPr="00363AAD" w:rsidRDefault="00FE66AB" w:rsidP="00D53564">
            <w:pPr>
              <w:rPr>
                <w:sz w:val="22"/>
                <w:szCs w:val="22"/>
              </w:rPr>
            </w:pPr>
            <w:r w:rsidRPr="00363AAD">
              <w:rPr>
                <w:sz w:val="22"/>
                <w:szCs w:val="22"/>
              </w:rPr>
              <w:t>CAF</w:t>
            </w:r>
          </w:p>
        </w:tc>
        <w:tc>
          <w:tcPr>
            <w:tcW w:w="0" w:type="auto"/>
            <w:vAlign w:val="center"/>
          </w:tcPr>
          <w:p w14:paraId="5101110A" w14:textId="77777777" w:rsidR="00FE66AB" w:rsidRPr="00363AAD" w:rsidRDefault="00FE66AB" w:rsidP="00D53564">
            <w:pPr>
              <w:rPr>
                <w:sz w:val="22"/>
                <w:szCs w:val="22"/>
              </w:rPr>
            </w:pPr>
            <w:r w:rsidRPr="00363AAD">
              <w:rPr>
                <w:sz w:val="22"/>
                <w:szCs w:val="22"/>
              </w:rPr>
              <w:t>NAM</w:t>
            </w:r>
          </w:p>
        </w:tc>
        <w:tc>
          <w:tcPr>
            <w:tcW w:w="0" w:type="auto"/>
            <w:noWrap/>
            <w:vAlign w:val="center"/>
            <w:hideMark/>
          </w:tcPr>
          <w:p w14:paraId="30F77EE8" w14:textId="77777777" w:rsidR="00FE66AB" w:rsidRPr="00363AAD" w:rsidRDefault="00FE66AB" w:rsidP="00D53564">
            <w:pPr>
              <w:rPr>
                <w:sz w:val="22"/>
                <w:szCs w:val="22"/>
              </w:rPr>
            </w:pPr>
            <w:r w:rsidRPr="00363AAD">
              <w:rPr>
                <w:sz w:val="22"/>
                <w:szCs w:val="22"/>
              </w:rPr>
              <w:t>CRI</w:t>
            </w:r>
          </w:p>
        </w:tc>
      </w:tr>
      <w:tr w:rsidR="00D53564" w:rsidRPr="00363AAD" w14:paraId="4BDD2ED5" w14:textId="77777777" w:rsidTr="00155837">
        <w:trPr>
          <w:trHeight w:hRule="exact" w:val="454"/>
          <w:jc w:val="center"/>
        </w:trPr>
        <w:tc>
          <w:tcPr>
            <w:tcW w:w="0" w:type="auto"/>
            <w:noWrap/>
            <w:vAlign w:val="center"/>
            <w:hideMark/>
          </w:tcPr>
          <w:p w14:paraId="35F3AFEC" w14:textId="77777777" w:rsidR="00FE66AB" w:rsidRPr="00363AAD" w:rsidRDefault="00FE66AB" w:rsidP="00D53564">
            <w:pPr>
              <w:rPr>
                <w:sz w:val="22"/>
                <w:szCs w:val="22"/>
              </w:rPr>
            </w:pPr>
            <w:r w:rsidRPr="00363AAD">
              <w:rPr>
                <w:sz w:val="22"/>
                <w:szCs w:val="22"/>
              </w:rPr>
              <w:t>ISL</w:t>
            </w:r>
          </w:p>
        </w:tc>
        <w:tc>
          <w:tcPr>
            <w:tcW w:w="0" w:type="auto"/>
            <w:noWrap/>
            <w:vAlign w:val="center"/>
            <w:hideMark/>
          </w:tcPr>
          <w:p w14:paraId="60B0BF7B" w14:textId="77777777" w:rsidR="00FE66AB" w:rsidRPr="00363AAD" w:rsidRDefault="00FE66AB" w:rsidP="00D53564">
            <w:pPr>
              <w:rPr>
                <w:sz w:val="22"/>
                <w:szCs w:val="22"/>
              </w:rPr>
            </w:pPr>
            <w:r w:rsidRPr="00363AAD">
              <w:rPr>
                <w:sz w:val="22"/>
                <w:szCs w:val="22"/>
              </w:rPr>
              <w:t>GEO</w:t>
            </w:r>
          </w:p>
        </w:tc>
        <w:tc>
          <w:tcPr>
            <w:tcW w:w="0" w:type="auto"/>
            <w:noWrap/>
            <w:vAlign w:val="center"/>
            <w:hideMark/>
          </w:tcPr>
          <w:p w14:paraId="77AECE36" w14:textId="77777777" w:rsidR="00FE66AB" w:rsidRPr="00363AAD" w:rsidRDefault="00FE66AB" w:rsidP="00D53564">
            <w:pPr>
              <w:rPr>
                <w:sz w:val="22"/>
                <w:szCs w:val="22"/>
              </w:rPr>
            </w:pPr>
            <w:r w:rsidRPr="00363AAD">
              <w:rPr>
                <w:sz w:val="22"/>
                <w:szCs w:val="22"/>
              </w:rPr>
              <w:t>MDV</w:t>
            </w:r>
          </w:p>
        </w:tc>
        <w:tc>
          <w:tcPr>
            <w:tcW w:w="0" w:type="auto"/>
            <w:noWrap/>
            <w:vAlign w:val="center"/>
            <w:hideMark/>
          </w:tcPr>
          <w:p w14:paraId="0829E97A" w14:textId="77777777" w:rsidR="00FE66AB" w:rsidRPr="00363AAD" w:rsidRDefault="00FE66AB" w:rsidP="00D53564">
            <w:pPr>
              <w:rPr>
                <w:sz w:val="22"/>
                <w:szCs w:val="22"/>
              </w:rPr>
            </w:pPr>
            <w:r w:rsidRPr="00363AAD">
              <w:rPr>
                <w:sz w:val="22"/>
                <w:szCs w:val="22"/>
              </w:rPr>
              <w:t>TCD</w:t>
            </w:r>
          </w:p>
        </w:tc>
        <w:tc>
          <w:tcPr>
            <w:tcW w:w="0" w:type="auto"/>
            <w:vAlign w:val="center"/>
          </w:tcPr>
          <w:p w14:paraId="4AEEAA89" w14:textId="77777777" w:rsidR="00FE66AB" w:rsidRPr="00363AAD" w:rsidRDefault="00FE66AB" w:rsidP="00D53564">
            <w:pPr>
              <w:rPr>
                <w:sz w:val="22"/>
                <w:szCs w:val="22"/>
              </w:rPr>
            </w:pPr>
            <w:r w:rsidRPr="00363AAD">
              <w:rPr>
                <w:sz w:val="22"/>
                <w:szCs w:val="22"/>
              </w:rPr>
              <w:t>NER</w:t>
            </w:r>
          </w:p>
        </w:tc>
        <w:tc>
          <w:tcPr>
            <w:tcW w:w="0" w:type="auto"/>
            <w:noWrap/>
            <w:vAlign w:val="center"/>
            <w:hideMark/>
          </w:tcPr>
          <w:p w14:paraId="411132F8" w14:textId="77777777" w:rsidR="00FE66AB" w:rsidRPr="00363AAD" w:rsidRDefault="00FE66AB" w:rsidP="00D53564">
            <w:pPr>
              <w:rPr>
                <w:sz w:val="22"/>
                <w:szCs w:val="22"/>
              </w:rPr>
            </w:pPr>
            <w:r w:rsidRPr="00363AAD">
              <w:rPr>
                <w:sz w:val="22"/>
                <w:szCs w:val="22"/>
              </w:rPr>
              <w:t>CUB</w:t>
            </w:r>
          </w:p>
        </w:tc>
      </w:tr>
      <w:tr w:rsidR="00D53564" w:rsidRPr="00363AAD" w14:paraId="1E218555" w14:textId="77777777" w:rsidTr="00155837">
        <w:trPr>
          <w:trHeight w:hRule="exact" w:val="454"/>
          <w:jc w:val="center"/>
        </w:trPr>
        <w:tc>
          <w:tcPr>
            <w:tcW w:w="0" w:type="auto"/>
            <w:noWrap/>
            <w:vAlign w:val="center"/>
            <w:hideMark/>
          </w:tcPr>
          <w:p w14:paraId="7F5A79F1" w14:textId="77777777" w:rsidR="00FE66AB" w:rsidRPr="00363AAD" w:rsidRDefault="00FE66AB" w:rsidP="00D53564">
            <w:pPr>
              <w:rPr>
                <w:sz w:val="22"/>
                <w:szCs w:val="22"/>
              </w:rPr>
            </w:pPr>
            <w:r w:rsidRPr="00363AAD">
              <w:rPr>
                <w:sz w:val="22"/>
                <w:szCs w:val="22"/>
              </w:rPr>
              <w:t>IRL</w:t>
            </w:r>
          </w:p>
        </w:tc>
        <w:tc>
          <w:tcPr>
            <w:tcW w:w="0" w:type="auto"/>
            <w:noWrap/>
            <w:vAlign w:val="center"/>
            <w:hideMark/>
          </w:tcPr>
          <w:p w14:paraId="4D050737" w14:textId="77777777" w:rsidR="00FE66AB" w:rsidRPr="00363AAD" w:rsidRDefault="00FE66AB" w:rsidP="00D53564">
            <w:pPr>
              <w:rPr>
                <w:sz w:val="22"/>
                <w:szCs w:val="22"/>
              </w:rPr>
            </w:pPr>
            <w:r w:rsidRPr="00363AAD">
              <w:rPr>
                <w:sz w:val="22"/>
                <w:szCs w:val="22"/>
              </w:rPr>
              <w:t>HUN</w:t>
            </w:r>
          </w:p>
        </w:tc>
        <w:tc>
          <w:tcPr>
            <w:tcW w:w="0" w:type="auto"/>
            <w:noWrap/>
            <w:vAlign w:val="center"/>
            <w:hideMark/>
          </w:tcPr>
          <w:p w14:paraId="54F29BC6" w14:textId="77777777" w:rsidR="00FE66AB" w:rsidRPr="00363AAD" w:rsidRDefault="00FE66AB" w:rsidP="00D53564">
            <w:pPr>
              <w:rPr>
                <w:sz w:val="22"/>
                <w:szCs w:val="22"/>
              </w:rPr>
            </w:pPr>
            <w:r w:rsidRPr="00363AAD">
              <w:rPr>
                <w:sz w:val="22"/>
                <w:szCs w:val="22"/>
              </w:rPr>
              <w:t>FSM</w:t>
            </w:r>
          </w:p>
        </w:tc>
        <w:tc>
          <w:tcPr>
            <w:tcW w:w="0" w:type="auto"/>
            <w:noWrap/>
            <w:vAlign w:val="center"/>
            <w:hideMark/>
          </w:tcPr>
          <w:p w14:paraId="7A4EF01D" w14:textId="77777777" w:rsidR="00FE66AB" w:rsidRPr="00363AAD" w:rsidRDefault="00FE66AB" w:rsidP="00D53564">
            <w:pPr>
              <w:rPr>
                <w:sz w:val="22"/>
                <w:szCs w:val="22"/>
              </w:rPr>
            </w:pPr>
            <w:r w:rsidRPr="00363AAD">
              <w:rPr>
                <w:sz w:val="22"/>
                <w:szCs w:val="22"/>
              </w:rPr>
              <w:t>COM</w:t>
            </w:r>
          </w:p>
        </w:tc>
        <w:tc>
          <w:tcPr>
            <w:tcW w:w="0" w:type="auto"/>
            <w:vAlign w:val="center"/>
          </w:tcPr>
          <w:p w14:paraId="415E8C09" w14:textId="77777777" w:rsidR="00FE66AB" w:rsidRPr="00363AAD" w:rsidRDefault="00FE66AB" w:rsidP="00D53564">
            <w:pPr>
              <w:rPr>
                <w:sz w:val="22"/>
                <w:szCs w:val="22"/>
              </w:rPr>
            </w:pPr>
            <w:r w:rsidRPr="00363AAD">
              <w:rPr>
                <w:sz w:val="22"/>
                <w:szCs w:val="22"/>
              </w:rPr>
              <w:t>NGA</w:t>
            </w:r>
          </w:p>
        </w:tc>
        <w:tc>
          <w:tcPr>
            <w:tcW w:w="0" w:type="auto"/>
            <w:noWrap/>
            <w:vAlign w:val="center"/>
            <w:hideMark/>
          </w:tcPr>
          <w:p w14:paraId="632F06B7" w14:textId="77777777" w:rsidR="00FE66AB" w:rsidRPr="00363AAD" w:rsidRDefault="00FE66AB" w:rsidP="00D53564">
            <w:pPr>
              <w:rPr>
                <w:sz w:val="22"/>
                <w:szCs w:val="22"/>
              </w:rPr>
            </w:pPr>
            <w:r w:rsidRPr="00363AAD">
              <w:rPr>
                <w:sz w:val="22"/>
                <w:szCs w:val="22"/>
              </w:rPr>
              <w:t>DMA</w:t>
            </w:r>
          </w:p>
        </w:tc>
      </w:tr>
      <w:tr w:rsidR="00D53564" w:rsidRPr="00363AAD" w14:paraId="7F7D3B8B" w14:textId="77777777" w:rsidTr="00155837">
        <w:trPr>
          <w:trHeight w:hRule="exact" w:val="454"/>
          <w:jc w:val="center"/>
        </w:trPr>
        <w:tc>
          <w:tcPr>
            <w:tcW w:w="0" w:type="auto"/>
            <w:noWrap/>
            <w:vAlign w:val="center"/>
            <w:hideMark/>
          </w:tcPr>
          <w:p w14:paraId="0704C21C" w14:textId="77777777" w:rsidR="00FE66AB" w:rsidRPr="00363AAD" w:rsidRDefault="00FE66AB" w:rsidP="00D53564">
            <w:pPr>
              <w:rPr>
                <w:sz w:val="22"/>
                <w:szCs w:val="22"/>
              </w:rPr>
            </w:pPr>
            <w:r w:rsidRPr="00363AAD">
              <w:rPr>
                <w:sz w:val="22"/>
                <w:szCs w:val="22"/>
              </w:rPr>
              <w:t>ITA</w:t>
            </w:r>
          </w:p>
        </w:tc>
        <w:tc>
          <w:tcPr>
            <w:tcW w:w="0" w:type="auto"/>
            <w:noWrap/>
            <w:vAlign w:val="center"/>
            <w:hideMark/>
          </w:tcPr>
          <w:p w14:paraId="5C975070" w14:textId="77777777" w:rsidR="00FE66AB" w:rsidRPr="00363AAD" w:rsidRDefault="00FE66AB" w:rsidP="00D53564">
            <w:pPr>
              <w:rPr>
                <w:sz w:val="22"/>
                <w:szCs w:val="22"/>
              </w:rPr>
            </w:pPr>
            <w:r w:rsidRPr="00363AAD">
              <w:rPr>
                <w:sz w:val="22"/>
                <w:szCs w:val="22"/>
              </w:rPr>
              <w:t>KAZ</w:t>
            </w:r>
          </w:p>
        </w:tc>
        <w:tc>
          <w:tcPr>
            <w:tcW w:w="0" w:type="auto"/>
            <w:noWrap/>
            <w:vAlign w:val="center"/>
            <w:hideMark/>
          </w:tcPr>
          <w:p w14:paraId="33F5AF3B" w14:textId="77777777" w:rsidR="00FE66AB" w:rsidRPr="00363AAD" w:rsidRDefault="00FE66AB" w:rsidP="00D53564">
            <w:pPr>
              <w:rPr>
                <w:sz w:val="22"/>
                <w:szCs w:val="22"/>
              </w:rPr>
            </w:pPr>
            <w:r w:rsidRPr="00363AAD">
              <w:rPr>
                <w:sz w:val="22"/>
                <w:szCs w:val="22"/>
              </w:rPr>
              <w:t>MNG</w:t>
            </w:r>
          </w:p>
        </w:tc>
        <w:tc>
          <w:tcPr>
            <w:tcW w:w="0" w:type="auto"/>
            <w:noWrap/>
            <w:vAlign w:val="center"/>
            <w:hideMark/>
          </w:tcPr>
          <w:p w14:paraId="73503C67" w14:textId="77777777" w:rsidR="00FE66AB" w:rsidRPr="00363AAD" w:rsidRDefault="00FE66AB" w:rsidP="00D53564">
            <w:pPr>
              <w:rPr>
                <w:sz w:val="22"/>
                <w:szCs w:val="22"/>
              </w:rPr>
            </w:pPr>
            <w:r w:rsidRPr="00363AAD">
              <w:rPr>
                <w:sz w:val="22"/>
                <w:szCs w:val="22"/>
              </w:rPr>
              <w:t>COG</w:t>
            </w:r>
          </w:p>
        </w:tc>
        <w:tc>
          <w:tcPr>
            <w:tcW w:w="0" w:type="auto"/>
            <w:vAlign w:val="center"/>
          </w:tcPr>
          <w:p w14:paraId="682A30AE" w14:textId="77777777" w:rsidR="00FE66AB" w:rsidRPr="00363AAD" w:rsidRDefault="00FE66AB" w:rsidP="00D53564">
            <w:pPr>
              <w:rPr>
                <w:sz w:val="22"/>
                <w:szCs w:val="22"/>
              </w:rPr>
            </w:pPr>
            <w:r w:rsidRPr="00363AAD">
              <w:rPr>
                <w:sz w:val="22"/>
                <w:szCs w:val="22"/>
              </w:rPr>
              <w:t>OMN</w:t>
            </w:r>
          </w:p>
        </w:tc>
        <w:tc>
          <w:tcPr>
            <w:tcW w:w="0" w:type="auto"/>
            <w:noWrap/>
            <w:vAlign w:val="center"/>
            <w:hideMark/>
          </w:tcPr>
          <w:p w14:paraId="359A6764" w14:textId="77777777" w:rsidR="00FE66AB" w:rsidRPr="00363AAD" w:rsidRDefault="00FE66AB" w:rsidP="00D53564">
            <w:pPr>
              <w:rPr>
                <w:sz w:val="22"/>
                <w:szCs w:val="22"/>
              </w:rPr>
            </w:pPr>
            <w:r w:rsidRPr="00363AAD">
              <w:rPr>
                <w:sz w:val="22"/>
                <w:szCs w:val="22"/>
              </w:rPr>
              <w:t>DOM</w:t>
            </w:r>
          </w:p>
        </w:tc>
      </w:tr>
      <w:tr w:rsidR="00D53564" w:rsidRPr="00363AAD" w14:paraId="2E2592DC" w14:textId="77777777" w:rsidTr="00155837">
        <w:trPr>
          <w:trHeight w:hRule="exact" w:val="454"/>
          <w:jc w:val="center"/>
        </w:trPr>
        <w:tc>
          <w:tcPr>
            <w:tcW w:w="0" w:type="auto"/>
            <w:noWrap/>
            <w:vAlign w:val="center"/>
            <w:hideMark/>
          </w:tcPr>
          <w:p w14:paraId="026249FF" w14:textId="77777777" w:rsidR="00FE66AB" w:rsidRPr="00363AAD" w:rsidRDefault="00FE66AB" w:rsidP="00D53564">
            <w:pPr>
              <w:rPr>
                <w:sz w:val="22"/>
                <w:szCs w:val="22"/>
              </w:rPr>
            </w:pPr>
            <w:r w:rsidRPr="00363AAD">
              <w:rPr>
                <w:sz w:val="22"/>
                <w:szCs w:val="22"/>
              </w:rPr>
              <w:t>JPN</w:t>
            </w:r>
          </w:p>
        </w:tc>
        <w:tc>
          <w:tcPr>
            <w:tcW w:w="0" w:type="auto"/>
            <w:noWrap/>
            <w:vAlign w:val="center"/>
            <w:hideMark/>
          </w:tcPr>
          <w:p w14:paraId="0FBD70EA" w14:textId="77777777" w:rsidR="00FE66AB" w:rsidRPr="00363AAD" w:rsidRDefault="00FE66AB" w:rsidP="00D53564">
            <w:pPr>
              <w:rPr>
                <w:sz w:val="22"/>
                <w:szCs w:val="22"/>
              </w:rPr>
            </w:pPr>
            <w:r w:rsidRPr="00363AAD">
              <w:rPr>
                <w:sz w:val="22"/>
                <w:szCs w:val="22"/>
              </w:rPr>
              <w:t>KGZ</w:t>
            </w:r>
          </w:p>
        </w:tc>
        <w:tc>
          <w:tcPr>
            <w:tcW w:w="0" w:type="auto"/>
            <w:noWrap/>
            <w:vAlign w:val="center"/>
            <w:hideMark/>
          </w:tcPr>
          <w:p w14:paraId="71A17A1A" w14:textId="77777777" w:rsidR="00FE66AB" w:rsidRPr="00363AAD" w:rsidRDefault="00FE66AB" w:rsidP="00D53564">
            <w:pPr>
              <w:rPr>
                <w:sz w:val="22"/>
                <w:szCs w:val="22"/>
              </w:rPr>
            </w:pPr>
            <w:r w:rsidRPr="00363AAD">
              <w:rPr>
                <w:sz w:val="22"/>
                <w:szCs w:val="22"/>
              </w:rPr>
              <w:t>MMR</w:t>
            </w:r>
          </w:p>
        </w:tc>
        <w:tc>
          <w:tcPr>
            <w:tcW w:w="0" w:type="auto"/>
            <w:noWrap/>
            <w:vAlign w:val="center"/>
            <w:hideMark/>
          </w:tcPr>
          <w:p w14:paraId="5AD63805" w14:textId="77777777" w:rsidR="00FE66AB" w:rsidRPr="00363AAD" w:rsidRDefault="00FE66AB" w:rsidP="00D53564">
            <w:pPr>
              <w:rPr>
                <w:sz w:val="22"/>
                <w:szCs w:val="22"/>
              </w:rPr>
            </w:pPr>
            <w:r w:rsidRPr="00363AAD">
              <w:rPr>
                <w:sz w:val="22"/>
                <w:szCs w:val="22"/>
              </w:rPr>
              <w:t>CIV</w:t>
            </w:r>
          </w:p>
        </w:tc>
        <w:tc>
          <w:tcPr>
            <w:tcW w:w="0" w:type="auto"/>
            <w:vAlign w:val="center"/>
          </w:tcPr>
          <w:p w14:paraId="67300C54" w14:textId="77777777" w:rsidR="00FE66AB" w:rsidRPr="00363AAD" w:rsidRDefault="00FE66AB" w:rsidP="00D53564">
            <w:pPr>
              <w:rPr>
                <w:sz w:val="22"/>
                <w:szCs w:val="22"/>
              </w:rPr>
            </w:pPr>
            <w:r w:rsidRPr="00363AAD">
              <w:rPr>
                <w:sz w:val="22"/>
                <w:szCs w:val="22"/>
              </w:rPr>
              <w:t>RWA</w:t>
            </w:r>
          </w:p>
        </w:tc>
        <w:tc>
          <w:tcPr>
            <w:tcW w:w="0" w:type="auto"/>
            <w:noWrap/>
            <w:vAlign w:val="center"/>
            <w:hideMark/>
          </w:tcPr>
          <w:p w14:paraId="3955DDAA" w14:textId="77777777" w:rsidR="00FE66AB" w:rsidRPr="00363AAD" w:rsidRDefault="00FE66AB" w:rsidP="00D53564">
            <w:pPr>
              <w:rPr>
                <w:sz w:val="22"/>
                <w:szCs w:val="22"/>
              </w:rPr>
            </w:pPr>
            <w:r w:rsidRPr="00363AAD">
              <w:rPr>
                <w:sz w:val="22"/>
                <w:szCs w:val="22"/>
              </w:rPr>
              <w:t>ECU</w:t>
            </w:r>
          </w:p>
        </w:tc>
      </w:tr>
      <w:tr w:rsidR="00D53564" w:rsidRPr="00363AAD" w14:paraId="74844452" w14:textId="77777777" w:rsidTr="00155837">
        <w:trPr>
          <w:trHeight w:hRule="exact" w:val="454"/>
          <w:jc w:val="center"/>
        </w:trPr>
        <w:tc>
          <w:tcPr>
            <w:tcW w:w="0" w:type="auto"/>
            <w:noWrap/>
            <w:vAlign w:val="center"/>
            <w:hideMark/>
          </w:tcPr>
          <w:p w14:paraId="727FBC10" w14:textId="77777777" w:rsidR="00FE66AB" w:rsidRPr="00363AAD" w:rsidRDefault="00FE66AB" w:rsidP="00D53564">
            <w:pPr>
              <w:rPr>
                <w:sz w:val="22"/>
                <w:szCs w:val="22"/>
              </w:rPr>
            </w:pPr>
            <w:r w:rsidRPr="00363AAD">
              <w:rPr>
                <w:sz w:val="22"/>
                <w:szCs w:val="22"/>
              </w:rPr>
              <w:t>LUX</w:t>
            </w:r>
          </w:p>
        </w:tc>
        <w:tc>
          <w:tcPr>
            <w:tcW w:w="0" w:type="auto"/>
            <w:noWrap/>
            <w:vAlign w:val="center"/>
            <w:hideMark/>
          </w:tcPr>
          <w:p w14:paraId="295EB038" w14:textId="77777777" w:rsidR="00FE66AB" w:rsidRPr="00363AAD" w:rsidRDefault="00FE66AB" w:rsidP="00D53564">
            <w:pPr>
              <w:rPr>
                <w:sz w:val="22"/>
                <w:szCs w:val="22"/>
              </w:rPr>
            </w:pPr>
            <w:r w:rsidRPr="00363AAD">
              <w:rPr>
                <w:sz w:val="22"/>
                <w:szCs w:val="22"/>
              </w:rPr>
              <w:t>LVA</w:t>
            </w:r>
          </w:p>
        </w:tc>
        <w:tc>
          <w:tcPr>
            <w:tcW w:w="0" w:type="auto"/>
            <w:noWrap/>
            <w:vAlign w:val="center"/>
            <w:hideMark/>
          </w:tcPr>
          <w:p w14:paraId="309B184E" w14:textId="77777777" w:rsidR="00FE66AB" w:rsidRPr="00363AAD" w:rsidRDefault="00FE66AB" w:rsidP="00D53564">
            <w:pPr>
              <w:rPr>
                <w:sz w:val="22"/>
                <w:szCs w:val="22"/>
              </w:rPr>
            </w:pPr>
            <w:r w:rsidRPr="00363AAD">
              <w:rPr>
                <w:sz w:val="22"/>
                <w:szCs w:val="22"/>
              </w:rPr>
              <w:t>NPL</w:t>
            </w:r>
          </w:p>
        </w:tc>
        <w:tc>
          <w:tcPr>
            <w:tcW w:w="0" w:type="auto"/>
            <w:noWrap/>
            <w:vAlign w:val="center"/>
            <w:hideMark/>
          </w:tcPr>
          <w:p w14:paraId="49003882" w14:textId="77777777" w:rsidR="00FE66AB" w:rsidRPr="00363AAD" w:rsidRDefault="00FE66AB" w:rsidP="00D53564">
            <w:pPr>
              <w:rPr>
                <w:sz w:val="22"/>
                <w:szCs w:val="22"/>
              </w:rPr>
            </w:pPr>
            <w:r w:rsidRPr="00363AAD">
              <w:rPr>
                <w:sz w:val="22"/>
                <w:szCs w:val="22"/>
              </w:rPr>
              <w:t>COD</w:t>
            </w:r>
          </w:p>
        </w:tc>
        <w:tc>
          <w:tcPr>
            <w:tcW w:w="0" w:type="auto"/>
            <w:vAlign w:val="center"/>
          </w:tcPr>
          <w:p w14:paraId="2884BAB4" w14:textId="77777777" w:rsidR="00FE66AB" w:rsidRPr="00363AAD" w:rsidRDefault="00FE66AB" w:rsidP="00D53564">
            <w:pPr>
              <w:rPr>
                <w:sz w:val="22"/>
                <w:szCs w:val="22"/>
              </w:rPr>
            </w:pPr>
            <w:r w:rsidRPr="00363AAD">
              <w:rPr>
                <w:sz w:val="22"/>
                <w:szCs w:val="22"/>
              </w:rPr>
              <w:t>STP</w:t>
            </w:r>
          </w:p>
        </w:tc>
        <w:tc>
          <w:tcPr>
            <w:tcW w:w="0" w:type="auto"/>
            <w:noWrap/>
            <w:vAlign w:val="center"/>
            <w:hideMark/>
          </w:tcPr>
          <w:p w14:paraId="06FB5F50" w14:textId="77777777" w:rsidR="00FE66AB" w:rsidRPr="00363AAD" w:rsidRDefault="00FE66AB" w:rsidP="00D53564">
            <w:pPr>
              <w:rPr>
                <w:sz w:val="22"/>
                <w:szCs w:val="22"/>
              </w:rPr>
            </w:pPr>
            <w:r w:rsidRPr="00363AAD">
              <w:rPr>
                <w:sz w:val="22"/>
                <w:szCs w:val="22"/>
              </w:rPr>
              <w:t>SLV</w:t>
            </w:r>
          </w:p>
        </w:tc>
      </w:tr>
      <w:tr w:rsidR="00D53564" w:rsidRPr="00363AAD" w14:paraId="5233D250" w14:textId="77777777" w:rsidTr="00155837">
        <w:trPr>
          <w:trHeight w:hRule="exact" w:val="454"/>
          <w:jc w:val="center"/>
        </w:trPr>
        <w:tc>
          <w:tcPr>
            <w:tcW w:w="0" w:type="auto"/>
            <w:noWrap/>
            <w:vAlign w:val="center"/>
            <w:hideMark/>
          </w:tcPr>
          <w:p w14:paraId="113DE9D7" w14:textId="77777777" w:rsidR="00FE66AB" w:rsidRPr="00363AAD" w:rsidRDefault="00FE66AB" w:rsidP="00D53564">
            <w:pPr>
              <w:rPr>
                <w:sz w:val="22"/>
                <w:szCs w:val="22"/>
              </w:rPr>
            </w:pPr>
            <w:r w:rsidRPr="00363AAD">
              <w:rPr>
                <w:sz w:val="22"/>
                <w:szCs w:val="22"/>
              </w:rPr>
              <w:lastRenderedPageBreak/>
              <w:t>NLD</w:t>
            </w:r>
          </w:p>
        </w:tc>
        <w:tc>
          <w:tcPr>
            <w:tcW w:w="0" w:type="auto"/>
            <w:noWrap/>
            <w:vAlign w:val="center"/>
            <w:hideMark/>
          </w:tcPr>
          <w:p w14:paraId="0F408DE3" w14:textId="77777777" w:rsidR="00FE66AB" w:rsidRPr="00363AAD" w:rsidRDefault="00FE66AB" w:rsidP="00D53564">
            <w:pPr>
              <w:rPr>
                <w:sz w:val="22"/>
                <w:szCs w:val="22"/>
              </w:rPr>
            </w:pPr>
            <w:r w:rsidRPr="00363AAD">
              <w:rPr>
                <w:sz w:val="22"/>
                <w:szCs w:val="22"/>
              </w:rPr>
              <w:t>LTU</w:t>
            </w:r>
          </w:p>
        </w:tc>
        <w:tc>
          <w:tcPr>
            <w:tcW w:w="0" w:type="auto"/>
            <w:noWrap/>
            <w:vAlign w:val="center"/>
            <w:hideMark/>
          </w:tcPr>
          <w:p w14:paraId="3A8FFA75" w14:textId="77777777" w:rsidR="00FE66AB" w:rsidRPr="00363AAD" w:rsidRDefault="00FE66AB" w:rsidP="00D53564">
            <w:pPr>
              <w:rPr>
                <w:sz w:val="22"/>
                <w:szCs w:val="22"/>
              </w:rPr>
            </w:pPr>
            <w:r w:rsidRPr="00363AAD">
              <w:rPr>
                <w:sz w:val="22"/>
                <w:szCs w:val="22"/>
              </w:rPr>
              <w:t>PAK</w:t>
            </w:r>
          </w:p>
        </w:tc>
        <w:tc>
          <w:tcPr>
            <w:tcW w:w="0" w:type="auto"/>
            <w:noWrap/>
            <w:vAlign w:val="center"/>
            <w:hideMark/>
          </w:tcPr>
          <w:p w14:paraId="40882ECC" w14:textId="77777777" w:rsidR="00FE66AB" w:rsidRPr="00363AAD" w:rsidRDefault="00FE66AB" w:rsidP="00D53564">
            <w:pPr>
              <w:rPr>
                <w:sz w:val="22"/>
                <w:szCs w:val="22"/>
              </w:rPr>
            </w:pPr>
            <w:r w:rsidRPr="00363AAD">
              <w:rPr>
                <w:sz w:val="22"/>
                <w:szCs w:val="22"/>
              </w:rPr>
              <w:t>DJI</w:t>
            </w:r>
          </w:p>
        </w:tc>
        <w:tc>
          <w:tcPr>
            <w:tcW w:w="0" w:type="auto"/>
            <w:vAlign w:val="center"/>
          </w:tcPr>
          <w:p w14:paraId="43782F36" w14:textId="77777777" w:rsidR="00FE66AB" w:rsidRPr="00363AAD" w:rsidRDefault="00FE66AB" w:rsidP="00D53564">
            <w:pPr>
              <w:rPr>
                <w:sz w:val="22"/>
                <w:szCs w:val="22"/>
              </w:rPr>
            </w:pPr>
            <w:r w:rsidRPr="00363AAD">
              <w:rPr>
                <w:sz w:val="22"/>
                <w:szCs w:val="22"/>
              </w:rPr>
              <w:t>SAU</w:t>
            </w:r>
          </w:p>
        </w:tc>
        <w:tc>
          <w:tcPr>
            <w:tcW w:w="0" w:type="auto"/>
            <w:noWrap/>
            <w:vAlign w:val="center"/>
            <w:hideMark/>
          </w:tcPr>
          <w:p w14:paraId="74B8020E" w14:textId="77777777" w:rsidR="00FE66AB" w:rsidRPr="00363AAD" w:rsidRDefault="00FE66AB" w:rsidP="00D53564">
            <w:pPr>
              <w:rPr>
                <w:sz w:val="22"/>
                <w:szCs w:val="22"/>
              </w:rPr>
            </w:pPr>
            <w:r w:rsidRPr="00363AAD">
              <w:rPr>
                <w:sz w:val="22"/>
                <w:szCs w:val="22"/>
              </w:rPr>
              <w:t>GRD</w:t>
            </w:r>
          </w:p>
        </w:tc>
      </w:tr>
      <w:tr w:rsidR="00D53564" w:rsidRPr="00363AAD" w14:paraId="3BC210C9" w14:textId="77777777" w:rsidTr="00155837">
        <w:trPr>
          <w:trHeight w:hRule="exact" w:val="454"/>
          <w:jc w:val="center"/>
        </w:trPr>
        <w:tc>
          <w:tcPr>
            <w:tcW w:w="0" w:type="auto"/>
            <w:noWrap/>
            <w:vAlign w:val="center"/>
            <w:hideMark/>
          </w:tcPr>
          <w:p w14:paraId="29183163" w14:textId="77777777" w:rsidR="00FE66AB" w:rsidRPr="00363AAD" w:rsidRDefault="00FE66AB" w:rsidP="00D53564">
            <w:pPr>
              <w:rPr>
                <w:sz w:val="22"/>
                <w:szCs w:val="22"/>
              </w:rPr>
            </w:pPr>
            <w:r w:rsidRPr="00363AAD">
              <w:rPr>
                <w:sz w:val="22"/>
                <w:szCs w:val="22"/>
              </w:rPr>
              <w:t>NZL</w:t>
            </w:r>
          </w:p>
        </w:tc>
        <w:tc>
          <w:tcPr>
            <w:tcW w:w="0" w:type="auto"/>
            <w:noWrap/>
            <w:vAlign w:val="center"/>
            <w:hideMark/>
          </w:tcPr>
          <w:p w14:paraId="202B7324" w14:textId="77777777" w:rsidR="00FE66AB" w:rsidRPr="00363AAD" w:rsidRDefault="00FE66AB" w:rsidP="00D53564">
            <w:pPr>
              <w:rPr>
                <w:sz w:val="22"/>
                <w:szCs w:val="22"/>
              </w:rPr>
            </w:pPr>
            <w:r w:rsidRPr="00363AAD">
              <w:rPr>
                <w:sz w:val="22"/>
                <w:szCs w:val="22"/>
              </w:rPr>
              <w:t>MLT</w:t>
            </w:r>
          </w:p>
        </w:tc>
        <w:tc>
          <w:tcPr>
            <w:tcW w:w="0" w:type="auto"/>
            <w:noWrap/>
            <w:vAlign w:val="center"/>
            <w:hideMark/>
          </w:tcPr>
          <w:p w14:paraId="3DECED31" w14:textId="77777777" w:rsidR="00FE66AB" w:rsidRPr="00363AAD" w:rsidRDefault="00FE66AB" w:rsidP="00D53564">
            <w:pPr>
              <w:rPr>
                <w:sz w:val="22"/>
                <w:szCs w:val="22"/>
              </w:rPr>
            </w:pPr>
            <w:r w:rsidRPr="00363AAD">
              <w:rPr>
                <w:sz w:val="22"/>
                <w:szCs w:val="22"/>
              </w:rPr>
              <w:t>PNG</w:t>
            </w:r>
          </w:p>
        </w:tc>
        <w:tc>
          <w:tcPr>
            <w:tcW w:w="0" w:type="auto"/>
            <w:noWrap/>
            <w:vAlign w:val="center"/>
            <w:hideMark/>
          </w:tcPr>
          <w:p w14:paraId="455444B8" w14:textId="77777777" w:rsidR="00FE66AB" w:rsidRPr="00363AAD" w:rsidRDefault="00FE66AB" w:rsidP="00D53564">
            <w:pPr>
              <w:rPr>
                <w:sz w:val="22"/>
                <w:szCs w:val="22"/>
              </w:rPr>
            </w:pPr>
            <w:r w:rsidRPr="00363AAD">
              <w:rPr>
                <w:sz w:val="22"/>
                <w:szCs w:val="22"/>
              </w:rPr>
              <w:t>EGY</w:t>
            </w:r>
          </w:p>
        </w:tc>
        <w:tc>
          <w:tcPr>
            <w:tcW w:w="0" w:type="auto"/>
            <w:vAlign w:val="center"/>
          </w:tcPr>
          <w:p w14:paraId="4CDD3177" w14:textId="77777777" w:rsidR="00FE66AB" w:rsidRPr="00363AAD" w:rsidRDefault="00FE66AB" w:rsidP="00D53564">
            <w:pPr>
              <w:rPr>
                <w:sz w:val="22"/>
                <w:szCs w:val="22"/>
              </w:rPr>
            </w:pPr>
            <w:r w:rsidRPr="00363AAD">
              <w:rPr>
                <w:sz w:val="22"/>
                <w:szCs w:val="22"/>
              </w:rPr>
              <w:t>SEN</w:t>
            </w:r>
          </w:p>
        </w:tc>
        <w:tc>
          <w:tcPr>
            <w:tcW w:w="0" w:type="auto"/>
            <w:noWrap/>
            <w:vAlign w:val="center"/>
            <w:hideMark/>
          </w:tcPr>
          <w:p w14:paraId="5CBF8E47" w14:textId="77777777" w:rsidR="00FE66AB" w:rsidRPr="00363AAD" w:rsidRDefault="00FE66AB" w:rsidP="00D53564">
            <w:pPr>
              <w:rPr>
                <w:sz w:val="22"/>
                <w:szCs w:val="22"/>
              </w:rPr>
            </w:pPr>
            <w:r w:rsidRPr="00363AAD">
              <w:rPr>
                <w:sz w:val="22"/>
                <w:szCs w:val="22"/>
              </w:rPr>
              <w:t>GTM</w:t>
            </w:r>
          </w:p>
        </w:tc>
      </w:tr>
      <w:tr w:rsidR="00D53564" w:rsidRPr="00363AAD" w14:paraId="4A357CD7" w14:textId="77777777" w:rsidTr="00155837">
        <w:trPr>
          <w:trHeight w:hRule="exact" w:val="454"/>
          <w:jc w:val="center"/>
        </w:trPr>
        <w:tc>
          <w:tcPr>
            <w:tcW w:w="0" w:type="auto"/>
            <w:noWrap/>
            <w:vAlign w:val="center"/>
            <w:hideMark/>
          </w:tcPr>
          <w:p w14:paraId="1F0AC471" w14:textId="77777777" w:rsidR="00FE66AB" w:rsidRPr="00363AAD" w:rsidRDefault="00FE66AB" w:rsidP="00D53564">
            <w:pPr>
              <w:rPr>
                <w:sz w:val="22"/>
                <w:szCs w:val="22"/>
              </w:rPr>
            </w:pPr>
            <w:r w:rsidRPr="00363AAD">
              <w:rPr>
                <w:sz w:val="22"/>
                <w:szCs w:val="22"/>
              </w:rPr>
              <w:t>NOR</w:t>
            </w:r>
          </w:p>
        </w:tc>
        <w:tc>
          <w:tcPr>
            <w:tcW w:w="0" w:type="auto"/>
            <w:noWrap/>
            <w:vAlign w:val="center"/>
            <w:hideMark/>
          </w:tcPr>
          <w:p w14:paraId="7B1ED938" w14:textId="77777777" w:rsidR="00FE66AB" w:rsidRPr="00363AAD" w:rsidRDefault="00FE66AB" w:rsidP="00D53564">
            <w:pPr>
              <w:rPr>
                <w:sz w:val="22"/>
                <w:szCs w:val="22"/>
              </w:rPr>
            </w:pPr>
            <w:r w:rsidRPr="00363AAD">
              <w:rPr>
                <w:sz w:val="22"/>
                <w:szCs w:val="22"/>
              </w:rPr>
              <w:t>POL</w:t>
            </w:r>
          </w:p>
        </w:tc>
        <w:tc>
          <w:tcPr>
            <w:tcW w:w="0" w:type="auto"/>
            <w:noWrap/>
            <w:vAlign w:val="center"/>
            <w:hideMark/>
          </w:tcPr>
          <w:p w14:paraId="6980460F" w14:textId="77777777" w:rsidR="00FE66AB" w:rsidRPr="00363AAD" w:rsidRDefault="00FE66AB" w:rsidP="00D53564">
            <w:pPr>
              <w:rPr>
                <w:sz w:val="22"/>
                <w:szCs w:val="22"/>
              </w:rPr>
            </w:pPr>
            <w:r w:rsidRPr="00363AAD">
              <w:rPr>
                <w:sz w:val="22"/>
                <w:szCs w:val="22"/>
              </w:rPr>
              <w:t>PHL</w:t>
            </w:r>
          </w:p>
        </w:tc>
        <w:tc>
          <w:tcPr>
            <w:tcW w:w="0" w:type="auto"/>
            <w:noWrap/>
            <w:vAlign w:val="center"/>
            <w:hideMark/>
          </w:tcPr>
          <w:p w14:paraId="790C8C15" w14:textId="77777777" w:rsidR="00FE66AB" w:rsidRPr="00363AAD" w:rsidRDefault="00FE66AB" w:rsidP="00D53564">
            <w:pPr>
              <w:rPr>
                <w:sz w:val="22"/>
                <w:szCs w:val="22"/>
              </w:rPr>
            </w:pPr>
            <w:r w:rsidRPr="00363AAD">
              <w:rPr>
                <w:sz w:val="22"/>
                <w:szCs w:val="22"/>
              </w:rPr>
              <w:t>GNQ</w:t>
            </w:r>
          </w:p>
        </w:tc>
        <w:tc>
          <w:tcPr>
            <w:tcW w:w="0" w:type="auto"/>
            <w:vAlign w:val="center"/>
          </w:tcPr>
          <w:p w14:paraId="7166EB46" w14:textId="77777777" w:rsidR="00FE66AB" w:rsidRPr="00363AAD" w:rsidRDefault="00FE66AB" w:rsidP="00D53564">
            <w:pPr>
              <w:rPr>
                <w:sz w:val="22"/>
                <w:szCs w:val="22"/>
              </w:rPr>
            </w:pPr>
            <w:r w:rsidRPr="00363AAD">
              <w:rPr>
                <w:sz w:val="22"/>
                <w:szCs w:val="22"/>
              </w:rPr>
              <w:t>SYC</w:t>
            </w:r>
          </w:p>
        </w:tc>
        <w:tc>
          <w:tcPr>
            <w:tcW w:w="0" w:type="auto"/>
            <w:noWrap/>
            <w:vAlign w:val="center"/>
            <w:hideMark/>
          </w:tcPr>
          <w:p w14:paraId="145CE121" w14:textId="77777777" w:rsidR="00FE66AB" w:rsidRPr="00363AAD" w:rsidRDefault="00FE66AB" w:rsidP="00D53564">
            <w:pPr>
              <w:rPr>
                <w:sz w:val="22"/>
                <w:szCs w:val="22"/>
              </w:rPr>
            </w:pPr>
            <w:r w:rsidRPr="00363AAD">
              <w:rPr>
                <w:sz w:val="22"/>
                <w:szCs w:val="22"/>
              </w:rPr>
              <w:t>GUY</w:t>
            </w:r>
          </w:p>
        </w:tc>
      </w:tr>
      <w:tr w:rsidR="00D53564" w:rsidRPr="00363AAD" w14:paraId="65AA0C09" w14:textId="77777777" w:rsidTr="00155837">
        <w:trPr>
          <w:trHeight w:hRule="exact" w:val="454"/>
          <w:jc w:val="center"/>
        </w:trPr>
        <w:tc>
          <w:tcPr>
            <w:tcW w:w="0" w:type="auto"/>
            <w:noWrap/>
            <w:vAlign w:val="center"/>
            <w:hideMark/>
          </w:tcPr>
          <w:p w14:paraId="01031362" w14:textId="77777777" w:rsidR="00FE66AB" w:rsidRPr="00363AAD" w:rsidRDefault="00FE66AB" w:rsidP="00D53564">
            <w:pPr>
              <w:rPr>
                <w:sz w:val="22"/>
                <w:szCs w:val="22"/>
              </w:rPr>
            </w:pPr>
            <w:r w:rsidRPr="00363AAD">
              <w:rPr>
                <w:sz w:val="22"/>
                <w:szCs w:val="22"/>
              </w:rPr>
              <w:t>PRT</w:t>
            </w:r>
          </w:p>
        </w:tc>
        <w:tc>
          <w:tcPr>
            <w:tcW w:w="0" w:type="auto"/>
            <w:noWrap/>
            <w:vAlign w:val="center"/>
            <w:hideMark/>
          </w:tcPr>
          <w:p w14:paraId="6E0B50D2" w14:textId="77777777" w:rsidR="00FE66AB" w:rsidRPr="00363AAD" w:rsidRDefault="00FE66AB" w:rsidP="00D53564">
            <w:pPr>
              <w:rPr>
                <w:sz w:val="22"/>
                <w:szCs w:val="22"/>
              </w:rPr>
            </w:pPr>
            <w:r w:rsidRPr="00363AAD">
              <w:rPr>
                <w:sz w:val="22"/>
                <w:szCs w:val="22"/>
              </w:rPr>
              <w:t>MDA</w:t>
            </w:r>
          </w:p>
        </w:tc>
        <w:tc>
          <w:tcPr>
            <w:tcW w:w="0" w:type="auto"/>
            <w:noWrap/>
            <w:vAlign w:val="center"/>
            <w:hideMark/>
          </w:tcPr>
          <w:p w14:paraId="4328674D" w14:textId="77777777" w:rsidR="00FE66AB" w:rsidRPr="00363AAD" w:rsidRDefault="00FE66AB" w:rsidP="00D53564">
            <w:pPr>
              <w:rPr>
                <w:sz w:val="22"/>
                <w:szCs w:val="22"/>
              </w:rPr>
            </w:pPr>
            <w:r w:rsidRPr="00363AAD">
              <w:rPr>
                <w:sz w:val="22"/>
                <w:szCs w:val="22"/>
              </w:rPr>
              <w:t>KOR</w:t>
            </w:r>
          </w:p>
        </w:tc>
        <w:tc>
          <w:tcPr>
            <w:tcW w:w="0" w:type="auto"/>
            <w:noWrap/>
            <w:vAlign w:val="center"/>
            <w:hideMark/>
          </w:tcPr>
          <w:p w14:paraId="000FC048" w14:textId="77777777" w:rsidR="00FE66AB" w:rsidRPr="00363AAD" w:rsidRDefault="00FE66AB" w:rsidP="00D53564">
            <w:pPr>
              <w:rPr>
                <w:sz w:val="22"/>
                <w:szCs w:val="22"/>
              </w:rPr>
            </w:pPr>
            <w:r w:rsidRPr="00363AAD">
              <w:rPr>
                <w:sz w:val="22"/>
                <w:szCs w:val="22"/>
              </w:rPr>
              <w:t>ERI</w:t>
            </w:r>
          </w:p>
        </w:tc>
        <w:tc>
          <w:tcPr>
            <w:tcW w:w="0" w:type="auto"/>
            <w:vAlign w:val="center"/>
          </w:tcPr>
          <w:p w14:paraId="77502C52" w14:textId="77777777" w:rsidR="00FE66AB" w:rsidRPr="00363AAD" w:rsidRDefault="00FE66AB" w:rsidP="00D53564">
            <w:pPr>
              <w:rPr>
                <w:sz w:val="22"/>
                <w:szCs w:val="22"/>
              </w:rPr>
            </w:pPr>
            <w:r w:rsidRPr="00363AAD">
              <w:rPr>
                <w:sz w:val="22"/>
                <w:szCs w:val="22"/>
              </w:rPr>
              <w:t>SLE</w:t>
            </w:r>
          </w:p>
        </w:tc>
        <w:tc>
          <w:tcPr>
            <w:tcW w:w="0" w:type="auto"/>
            <w:noWrap/>
            <w:vAlign w:val="center"/>
            <w:hideMark/>
          </w:tcPr>
          <w:p w14:paraId="59C13F66" w14:textId="77777777" w:rsidR="00FE66AB" w:rsidRPr="00363AAD" w:rsidRDefault="00FE66AB" w:rsidP="00D53564">
            <w:pPr>
              <w:rPr>
                <w:sz w:val="22"/>
                <w:szCs w:val="22"/>
              </w:rPr>
            </w:pPr>
            <w:r w:rsidRPr="00363AAD">
              <w:rPr>
                <w:sz w:val="22"/>
                <w:szCs w:val="22"/>
              </w:rPr>
              <w:t>HTI</w:t>
            </w:r>
          </w:p>
        </w:tc>
      </w:tr>
      <w:tr w:rsidR="00D53564" w:rsidRPr="00363AAD" w14:paraId="5339B7E2" w14:textId="77777777" w:rsidTr="00155837">
        <w:trPr>
          <w:trHeight w:hRule="exact" w:val="454"/>
          <w:jc w:val="center"/>
        </w:trPr>
        <w:tc>
          <w:tcPr>
            <w:tcW w:w="0" w:type="auto"/>
            <w:noWrap/>
            <w:vAlign w:val="center"/>
            <w:hideMark/>
          </w:tcPr>
          <w:p w14:paraId="479CA942" w14:textId="77777777" w:rsidR="00FE66AB" w:rsidRPr="00363AAD" w:rsidRDefault="00FE66AB" w:rsidP="00D53564">
            <w:pPr>
              <w:rPr>
                <w:sz w:val="22"/>
                <w:szCs w:val="22"/>
              </w:rPr>
            </w:pPr>
            <w:r w:rsidRPr="00363AAD">
              <w:rPr>
                <w:sz w:val="22"/>
                <w:szCs w:val="22"/>
              </w:rPr>
              <w:t>WSM</w:t>
            </w:r>
          </w:p>
        </w:tc>
        <w:tc>
          <w:tcPr>
            <w:tcW w:w="0" w:type="auto"/>
            <w:noWrap/>
            <w:vAlign w:val="center"/>
            <w:hideMark/>
          </w:tcPr>
          <w:p w14:paraId="601629B5" w14:textId="77777777" w:rsidR="00FE66AB" w:rsidRPr="00363AAD" w:rsidRDefault="00FE66AB" w:rsidP="00D53564">
            <w:pPr>
              <w:rPr>
                <w:sz w:val="22"/>
                <w:szCs w:val="22"/>
              </w:rPr>
            </w:pPr>
            <w:r w:rsidRPr="00363AAD">
              <w:rPr>
                <w:sz w:val="22"/>
                <w:szCs w:val="22"/>
              </w:rPr>
              <w:t>ROU</w:t>
            </w:r>
          </w:p>
        </w:tc>
        <w:tc>
          <w:tcPr>
            <w:tcW w:w="0" w:type="auto"/>
            <w:noWrap/>
            <w:vAlign w:val="center"/>
            <w:hideMark/>
          </w:tcPr>
          <w:p w14:paraId="4D4AF1B3" w14:textId="77777777" w:rsidR="00FE66AB" w:rsidRPr="00363AAD" w:rsidRDefault="00FE66AB" w:rsidP="00D53564">
            <w:pPr>
              <w:rPr>
                <w:sz w:val="22"/>
                <w:szCs w:val="22"/>
              </w:rPr>
            </w:pPr>
            <w:r w:rsidRPr="00363AAD">
              <w:rPr>
                <w:sz w:val="22"/>
                <w:szCs w:val="22"/>
              </w:rPr>
              <w:t>SGP</w:t>
            </w:r>
          </w:p>
        </w:tc>
        <w:tc>
          <w:tcPr>
            <w:tcW w:w="0" w:type="auto"/>
            <w:noWrap/>
            <w:vAlign w:val="center"/>
            <w:hideMark/>
          </w:tcPr>
          <w:p w14:paraId="4F273DE9" w14:textId="77777777" w:rsidR="00FE66AB" w:rsidRPr="00363AAD" w:rsidRDefault="00FE66AB" w:rsidP="00D53564">
            <w:pPr>
              <w:rPr>
                <w:sz w:val="22"/>
                <w:szCs w:val="22"/>
              </w:rPr>
            </w:pPr>
            <w:r w:rsidRPr="00363AAD">
              <w:rPr>
                <w:sz w:val="22"/>
                <w:szCs w:val="22"/>
              </w:rPr>
              <w:t>ETH</w:t>
            </w:r>
          </w:p>
        </w:tc>
        <w:tc>
          <w:tcPr>
            <w:tcW w:w="0" w:type="auto"/>
            <w:vAlign w:val="center"/>
          </w:tcPr>
          <w:p w14:paraId="2F7F0457" w14:textId="77777777" w:rsidR="00FE66AB" w:rsidRPr="00363AAD" w:rsidRDefault="00FE66AB" w:rsidP="00D53564">
            <w:pPr>
              <w:rPr>
                <w:sz w:val="22"/>
                <w:szCs w:val="22"/>
              </w:rPr>
            </w:pPr>
            <w:r w:rsidRPr="00363AAD">
              <w:rPr>
                <w:sz w:val="22"/>
                <w:szCs w:val="22"/>
              </w:rPr>
              <w:t>ZAF</w:t>
            </w:r>
          </w:p>
        </w:tc>
        <w:tc>
          <w:tcPr>
            <w:tcW w:w="0" w:type="auto"/>
            <w:noWrap/>
            <w:vAlign w:val="center"/>
            <w:hideMark/>
          </w:tcPr>
          <w:p w14:paraId="36D63846" w14:textId="77777777" w:rsidR="00FE66AB" w:rsidRPr="00363AAD" w:rsidRDefault="00FE66AB" w:rsidP="00D53564">
            <w:pPr>
              <w:rPr>
                <w:sz w:val="22"/>
                <w:szCs w:val="22"/>
              </w:rPr>
            </w:pPr>
            <w:r w:rsidRPr="00363AAD">
              <w:rPr>
                <w:sz w:val="22"/>
                <w:szCs w:val="22"/>
              </w:rPr>
              <w:t>HND</w:t>
            </w:r>
          </w:p>
        </w:tc>
      </w:tr>
      <w:tr w:rsidR="00D53564" w:rsidRPr="00363AAD" w14:paraId="6598D780" w14:textId="77777777" w:rsidTr="00155837">
        <w:trPr>
          <w:trHeight w:hRule="exact" w:val="454"/>
          <w:jc w:val="center"/>
        </w:trPr>
        <w:tc>
          <w:tcPr>
            <w:tcW w:w="0" w:type="auto"/>
            <w:noWrap/>
            <w:vAlign w:val="center"/>
            <w:hideMark/>
          </w:tcPr>
          <w:p w14:paraId="68504CDD" w14:textId="77777777" w:rsidR="00FE66AB" w:rsidRPr="00363AAD" w:rsidRDefault="00FE66AB" w:rsidP="00D53564">
            <w:pPr>
              <w:rPr>
                <w:sz w:val="22"/>
                <w:szCs w:val="22"/>
              </w:rPr>
            </w:pPr>
            <w:r w:rsidRPr="00363AAD">
              <w:rPr>
                <w:sz w:val="22"/>
                <w:szCs w:val="22"/>
              </w:rPr>
              <w:t>SLB</w:t>
            </w:r>
          </w:p>
        </w:tc>
        <w:tc>
          <w:tcPr>
            <w:tcW w:w="0" w:type="auto"/>
            <w:noWrap/>
            <w:vAlign w:val="center"/>
            <w:hideMark/>
          </w:tcPr>
          <w:p w14:paraId="6BA1AC79" w14:textId="77777777" w:rsidR="00FE66AB" w:rsidRPr="00363AAD" w:rsidRDefault="00FE66AB" w:rsidP="00D53564">
            <w:pPr>
              <w:rPr>
                <w:sz w:val="22"/>
                <w:szCs w:val="22"/>
              </w:rPr>
            </w:pPr>
            <w:r w:rsidRPr="00363AAD">
              <w:rPr>
                <w:sz w:val="22"/>
                <w:szCs w:val="22"/>
              </w:rPr>
              <w:t>RUS</w:t>
            </w:r>
          </w:p>
        </w:tc>
        <w:tc>
          <w:tcPr>
            <w:tcW w:w="0" w:type="auto"/>
            <w:noWrap/>
            <w:vAlign w:val="center"/>
            <w:hideMark/>
          </w:tcPr>
          <w:p w14:paraId="34629744" w14:textId="77777777" w:rsidR="00FE66AB" w:rsidRPr="00363AAD" w:rsidRDefault="00FE66AB" w:rsidP="00D53564">
            <w:pPr>
              <w:rPr>
                <w:sz w:val="22"/>
                <w:szCs w:val="22"/>
              </w:rPr>
            </w:pPr>
            <w:r w:rsidRPr="00363AAD">
              <w:rPr>
                <w:sz w:val="22"/>
                <w:szCs w:val="22"/>
              </w:rPr>
              <w:t>LKA</w:t>
            </w:r>
          </w:p>
        </w:tc>
        <w:tc>
          <w:tcPr>
            <w:tcW w:w="0" w:type="auto"/>
            <w:noWrap/>
            <w:vAlign w:val="center"/>
            <w:hideMark/>
          </w:tcPr>
          <w:p w14:paraId="4551E88A" w14:textId="77777777" w:rsidR="00FE66AB" w:rsidRPr="00363AAD" w:rsidRDefault="00FE66AB" w:rsidP="00D53564">
            <w:pPr>
              <w:rPr>
                <w:sz w:val="22"/>
                <w:szCs w:val="22"/>
              </w:rPr>
            </w:pPr>
            <w:r w:rsidRPr="00363AAD">
              <w:rPr>
                <w:sz w:val="22"/>
                <w:szCs w:val="22"/>
              </w:rPr>
              <w:t>GAB</w:t>
            </w:r>
          </w:p>
        </w:tc>
        <w:tc>
          <w:tcPr>
            <w:tcW w:w="0" w:type="auto"/>
            <w:vAlign w:val="center"/>
          </w:tcPr>
          <w:p w14:paraId="7252D1FE" w14:textId="77777777" w:rsidR="00FE66AB" w:rsidRPr="00363AAD" w:rsidRDefault="00FE66AB" w:rsidP="00D53564">
            <w:pPr>
              <w:rPr>
                <w:sz w:val="22"/>
                <w:szCs w:val="22"/>
              </w:rPr>
            </w:pPr>
            <w:r w:rsidRPr="00363AAD">
              <w:rPr>
                <w:sz w:val="22"/>
                <w:szCs w:val="22"/>
              </w:rPr>
              <w:t>SDN</w:t>
            </w:r>
          </w:p>
        </w:tc>
        <w:tc>
          <w:tcPr>
            <w:tcW w:w="0" w:type="auto"/>
            <w:noWrap/>
            <w:vAlign w:val="center"/>
            <w:hideMark/>
          </w:tcPr>
          <w:p w14:paraId="6E4EF1A2" w14:textId="77777777" w:rsidR="00FE66AB" w:rsidRPr="00363AAD" w:rsidRDefault="00FE66AB" w:rsidP="00D53564">
            <w:pPr>
              <w:rPr>
                <w:sz w:val="22"/>
                <w:szCs w:val="22"/>
              </w:rPr>
            </w:pPr>
            <w:r w:rsidRPr="00363AAD">
              <w:rPr>
                <w:sz w:val="22"/>
                <w:szCs w:val="22"/>
              </w:rPr>
              <w:t>JAM</w:t>
            </w:r>
          </w:p>
        </w:tc>
      </w:tr>
      <w:tr w:rsidR="00D53564" w:rsidRPr="00363AAD" w14:paraId="15CFB72D" w14:textId="77777777" w:rsidTr="00155837">
        <w:trPr>
          <w:trHeight w:hRule="exact" w:val="454"/>
          <w:jc w:val="center"/>
        </w:trPr>
        <w:tc>
          <w:tcPr>
            <w:tcW w:w="0" w:type="auto"/>
            <w:noWrap/>
            <w:vAlign w:val="center"/>
            <w:hideMark/>
          </w:tcPr>
          <w:p w14:paraId="339028E3" w14:textId="77777777" w:rsidR="00FE66AB" w:rsidRPr="00363AAD" w:rsidRDefault="00FE66AB" w:rsidP="00D53564">
            <w:pPr>
              <w:rPr>
                <w:sz w:val="22"/>
                <w:szCs w:val="22"/>
              </w:rPr>
            </w:pPr>
            <w:r w:rsidRPr="00363AAD">
              <w:rPr>
                <w:sz w:val="22"/>
                <w:szCs w:val="22"/>
              </w:rPr>
              <w:t>ESP</w:t>
            </w:r>
          </w:p>
        </w:tc>
        <w:tc>
          <w:tcPr>
            <w:tcW w:w="0" w:type="auto"/>
            <w:noWrap/>
            <w:vAlign w:val="center"/>
            <w:hideMark/>
          </w:tcPr>
          <w:p w14:paraId="3C7D48B5" w14:textId="77777777" w:rsidR="00FE66AB" w:rsidRPr="00363AAD" w:rsidRDefault="00FE66AB" w:rsidP="00D53564">
            <w:pPr>
              <w:rPr>
                <w:sz w:val="22"/>
                <w:szCs w:val="22"/>
              </w:rPr>
            </w:pPr>
            <w:r w:rsidRPr="00363AAD">
              <w:rPr>
                <w:sz w:val="22"/>
                <w:szCs w:val="22"/>
              </w:rPr>
              <w:t>SRB</w:t>
            </w:r>
          </w:p>
        </w:tc>
        <w:tc>
          <w:tcPr>
            <w:tcW w:w="0" w:type="auto"/>
            <w:noWrap/>
            <w:vAlign w:val="center"/>
            <w:hideMark/>
          </w:tcPr>
          <w:p w14:paraId="2D5B2318" w14:textId="77777777" w:rsidR="00FE66AB" w:rsidRPr="00363AAD" w:rsidRDefault="00FE66AB" w:rsidP="00D53564">
            <w:pPr>
              <w:rPr>
                <w:sz w:val="22"/>
                <w:szCs w:val="22"/>
              </w:rPr>
            </w:pPr>
            <w:r w:rsidRPr="00363AAD">
              <w:rPr>
                <w:sz w:val="22"/>
                <w:szCs w:val="22"/>
              </w:rPr>
              <w:t>THA</w:t>
            </w:r>
          </w:p>
        </w:tc>
        <w:tc>
          <w:tcPr>
            <w:tcW w:w="0" w:type="auto"/>
            <w:noWrap/>
            <w:vAlign w:val="center"/>
            <w:hideMark/>
          </w:tcPr>
          <w:p w14:paraId="1C5E134E" w14:textId="77777777" w:rsidR="00FE66AB" w:rsidRPr="00363AAD" w:rsidRDefault="00FE66AB" w:rsidP="00D53564">
            <w:pPr>
              <w:rPr>
                <w:sz w:val="22"/>
                <w:szCs w:val="22"/>
              </w:rPr>
            </w:pPr>
            <w:r w:rsidRPr="00363AAD">
              <w:rPr>
                <w:sz w:val="22"/>
                <w:szCs w:val="22"/>
              </w:rPr>
              <w:t>GMB</w:t>
            </w:r>
          </w:p>
        </w:tc>
        <w:tc>
          <w:tcPr>
            <w:tcW w:w="0" w:type="auto"/>
            <w:vAlign w:val="center"/>
          </w:tcPr>
          <w:p w14:paraId="60176B07" w14:textId="77777777" w:rsidR="00FE66AB" w:rsidRPr="00363AAD" w:rsidRDefault="00FE66AB" w:rsidP="00D53564">
            <w:pPr>
              <w:rPr>
                <w:sz w:val="22"/>
                <w:szCs w:val="22"/>
              </w:rPr>
            </w:pPr>
            <w:r w:rsidRPr="00363AAD">
              <w:rPr>
                <w:sz w:val="22"/>
                <w:szCs w:val="22"/>
              </w:rPr>
              <w:t>SYR</w:t>
            </w:r>
          </w:p>
        </w:tc>
        <w:tc>
          <w:tcPr>
            <w:tcW w:w="0" w:type="auto"/>
            <w:noWrap/>
            <w:vAlign w:val="center"/>
            <w:hideMark/>
          </w:tcPr>
          <w:p w14:paraId="7D71E79F" w14:textId="77777777" w:rsidR="00FE66AB" w:rsidRPr="00363AAD" w:rsidRDefault="00FE66AB" w:rsidP="00D53564">
            <w:pPr>
              <w:rPr>
                <w:sz w:val="22"/>
                <w:szCs w:val="22"/>
              </w:rPr>
            </w:pPr>
            <w:r w:rsidRPr="00363AAD">
              <w:rPr>
                <w:sz w:val="22"/>
                <w:szCs w:val="22"/>
              </w:rPr>
              <w:t>MEX</w:t>
            </w:r>
          </w:p>
        </w:tc>
      </w:tr>
      <w:tr w:rsidR="00D53564" w:rsidRPr="00363AAD" w14:paraId="471F90D2" w14:textId="77777777" w:rsidTr="00155837">
        <w:trPr>
          <w:trHeight w:hRule="exact" w:val="454"/>
          <w:jc w:val="center"/>
        </w:trPr>
        <w:tc>
          <w:tcPr>
            <w:tcW w:w="0" w:type="auto"/>
            <w:noWrap/>
            <w:vAlign w:val="center"/>
            <w:hideMark/>
          </w:tcPr>
          <w:p w14:paraId="5CB2E8ED" w14:textId="77777777" w:rsidR="00FE66AB" w:rsidRPr="00363AAD" w:rsidRDefault="00FE66AB" w:rsidP="00D53564">
            <w:pPr>
              <w:rPr>
                <w:sz w:val="22"/>
                <w:szCs w:val="22"/>
              </w:rPr>
            </w:pPr>
            <w:r w:rsidRPr="00363AAD">
              <w:rPr>
                <w:sz w:val="22"/>
                <w:szCs w:val="22"/>
              </w:rPr>
              <w:t>SWE</w:t>
            </w:r>
          </w:p>
        </w:tc>
        <w:tc>
          <w:tcPr>
            <w:tcW w:w="0" w:type="auto"/>
            <w:noWrap/>
            <w:vAlign w:val="center"/>
            <w:hideMark/>
          </w:tcPr>
          <w:p w14:paraId="569EB30C" w14:textId="77777777" w:rsidR="00FE66AB" w:rsidRPr="00363AAD" w:rsidRDefault="00FE66AB" w:rsidP="00D53564">
            <w:pPr>
              <w:rPr>
                <w:sz w:val="22"/>
                <w:szCs w:val="22"/>
              </w:rPr>
            </w:pPr>
            <w:r w:rsidRPr="00363AAD">
              <w:rPr>
                <w:sz w:val="22"/>
                <w:szCs w:val="22"/>
              </w:rPr>
              <w:t>SVK</w:t>
            </w:r>
          </w:p>
        </w:tc>
        <w:tc>
          <w:tcPr>
            <w:tcW w:w="0" w:type="auto"/>
            <w:noWrap/>
            <w:vAlign w:val="center"/>
            <w:hideMark/>
          </w:tcPr>
          <w:p w14:paraId="2147C33B" w14:textId="77777777" w:rsidR="00FE66AB" w:rsidRPr="00363AAD" w:rsidRDefault="00FE66AB" w:rsidP="00D53564">
            <w:pPr>
              <w:rPr>
                <w:sz w:val="22"/>
                <w:szCs w:val="22"/>
              </w:rPr>
            </w:pPr>
            <w:r w:rsidRPr="00363AAD">
              <w:rPr>
                <w:sz w:val="22"/>
                <w:szCs w:val="22"/>
              </w:rPr>
              <w:t>VNM</w:t>
            </w:r>
          </w:p>
        </w:tc>
        <w:tc>
          <w:tcPr>
            <w:tcW w:w="0" w:type="auto"/>
            <w:noWrap/>
            <w:vAlign w:val="center"/>
            <w:hideMark/>
          </w:tcPr>
          <w:p w14:paraId="5919692D" w14:textId="77777777" w:rsidR="00FE66AB" w:rsidRPr="00363AAD" w:rsidRDefault="00FE66AB" w:rsidP="00D53564">
            <w:pPr>
              <w:rPr>
                <w:sz w:val="22"/>
                <w:szCs w:val="22"/>
              </w:rPr>
            </w:pPr>
            <w:r w:rsidRPr="00363AAD">
              <w:rPr>
                <w:sz w:val="22"/>
                <w:szCs w:val="22"/>
              </w:rPr>
              <w:t>GHA</w:t>
            </w:r>
          </w:p>
        </w:tc>
        <w:tc>
          <w:tcPr>
            <w:tcW w:w="0" w:type="auto"/>
            <w:vAlign w:val="center"/>
          </w:tcPr>
          <w:p w14:paraId="3EE4CCC6" w14:textId="77777777" w:rsidR="00FE66AB" w:rsidRPr="00363AAD" w:rsidRDefault="00FE66AB" w:rsidP="00D53564">
            <w:pPr>
              <w:rPr>
                <w:sz w:val="22"/>
                <w:szCs w:val="22"/>
              </w:rPr>
            </w:pPr>
            <w:r w:rsidRPr="00363AAD">
              <w:rPr>
                <w:sz w:val="22"/>
                <w:szCs w:val="22"/>
              </w:rPr>
              <w:t>TGO</w:t>
            </w:r>
          </w:p>
        </w:tc>
        <w:tc>
          <w:tcPr>
            <w:tcW w:w="0" w:type="auto"/>
            <w:noWrap/>
            <w:vAlign w:val="center"/>
            <w:hideMark/>
          </w:tcPr>
          <w:p w14:paraId="6A909135" w14:textId="77777777" w:rsidR="00FE66AB" w:rsidRPr="00363AAD" w:rsidRDefault="00FE66AB" w:rsidP="00D53564">
            <w:pPr>
              <w:rPr>
                <w:sz w:val="22"/>
                <w:szCs w:val="22"/>
              </w:rPr>
            </w:pPr>
            <w:r w:rsidRPr="00363AAD">
              <w:rPr>
                <w:sz w:val="22"/>
                <w:szCs w:val="22"/>
              </w:rPr>
              <w:t>NIC</w:t>
            </w:r>
          </w:p>
        </w:tc>
      </w:tr>
      <w:tr w:rsidR="00D53564" w:rsidRPr="00363AAD" w14:paraId="0BC95801" w14:textId="77777777" w:rsidTr="00155837">
        <w:trPr>
          <w:trHeight w:hRule="exact" w:val="454"/>
          <w:jc w:val="center"/>
        </w:trPr>
        <w:tc>
          <w:tcPr>
            <w:tcW w:w="0" w:type="auto"/>
            <w:noWrap/>
            <w:vAlign w:val="center"/>
            <w:hideMark/>
          </w:tcPr>
          <w:p w14:paraId="210397B7" w14:textId="77777777" w:rsidR="00FE66AB" w:rsidRPr="00363AAD" w:rsidRDefault="00FE66AB" w:rsidP="00D53564">
            <w:pPr>
              <w:rPr>
                <w:sz w:val="22"/>
                <w:szCs w:val="22"/>
              </w:rPr>
            </w:pPr>
            <w:r w:rsidRPr="00363AAD">
              <w:rPr>
                <w:sz w:val="22"/>
                <w:szCs w:val="22"/>
              </w:rPr>
              <w:t>CHE</w:t>
            </w:r>
          </w:p>
        </w:tc>
        <w:tc>
          <w:tcPr>
            <w:tcW w:w="0" w:type="auto"/>
            <w:noWrap/>
            <w:vAlign w:val="center"/>
            <w:hideMark/>
          </w:tcPr>
          <w:p w14:paraId="21E00FA3" w14:textId="77777777" w:rsidR="00FE66AB" w:rsidRPr="00363AAD" w:rsidRDefault="00FE66AB" w:rsidP="00D53564">
            <w:pPr>
              <w:rPr>
                <w:sz w:val="22"/>
                <w:szCs w:val="22"/>
              </w:rPr>
            </w:pPr>
            <w:r w:rsidRPr="00363AAD">
              <w:rPr>
                <w:sz w:val="22"/>
                <w:szCs w:val="22"/>
              </w:rPr>
              <w:t>SVN</w:t>
            </w:r>
          </w:p>
        </w:tc>
        <w:tc>
          <w:tcPr>
            <w:tcW w:w="0" w:type="auto"/>
            <w:noWrap/>
            <w:vAlign w:val="center"/>
            <w:hideMark/>
          </w:tcPr>
          <w:p w14:paraId="2BC4B6FC" w14:textId="77777777" w:rsidR="00FE66AB" w:rsidRPr="00363AAD" w:rsidRDefault="00FE66AB" w:rsidP="00D53564">
            <w:pPr>
              <w:rPr>
                <w:sz w:val="22"/>
                <w:szCs w:val="22"/>
              </w:rPr>
            </w:pPr>
          </w:p>
        </w:tc>
        <w:tc>
          <w:tcPr>
            <w:tcW w:w="0" w:type="auto"/>
            <w:noWrap/>
            <w:vAlign w:val="center"/>
            <w:hideMark/>
          </w:tcPr>
          <w:p w14:paraId="34ACA210" w14:textId="77777777" w:rsidR="00FE66AB" w:rsidRPr="00363AAD" w:rsidRDefault="00FE66AB" w:rsidP="00D53564">
            <w:pPr>
              <w:rPr>
                <w:sz w:val="22"/>
                <w:szCs w:val="22"/>
              </w:rPr>
            </w:pPr>
            <w:r w:rsidRPr="00363AAD">
              <w:rPr>
                <w:sz w:val="22"/>
                <w:szCs w:val="22"/>
              </w:rPr>
              <w:t>GIN</w:t>
            </w:r>
          </w:p>
        </w:tc>
        <w:tc>
          <w:tcPr>
            <w:tcW w:w="0" w:type="auto"/>
            <w:vAlign w:val="center"/>
          </w:tcPr>
          <w:p w14:paraId="5DD20259" w14:textId="77777777" w:rsidR="00FE66AB" w:rsidRPr="00363AAD" w:rsidRDefault="00FE66AB" w:rsidP="00D53564">
            <w:pPr>
              <w:rPr>
                <w:sz w:val="22"/>
                <w:szCs w:val="22"/>
              </w:rPr>
            </w:pPr>
            <w:r w:rsidRPr="00363AAD">
              <w:rPr>
                <w:sz w:val="22"/>
                <w:szCs w:val="22"/>
              </w:rPr>
              <w:t>TUN</w:t>
            </w:r>
          </w:p>
        </w:tc>
        <w:tc>
          <w:tcPr>
            <w:tcW w:w="0" w:type="auto"/>
            <w:noWrap/>
            <w:vAlign w:val="center"/>
            <w:hideMark/>
          </w:tcPr>
          <w:p w14:paraId="5CB0F58F" w14:textId="77777777" w:rsidR="00FE66AB" w:rsidRPr="00363AAD" w:rsidRDefault="00FE66AB" w:rsidP="00D53564">
            <w:pPr>
              <w:rPr>
                <w:sz w:val="22"/>
                <w:szCs w:val="22"/>
              </w:rPr>
            </w:pPr>
            <w:r w:rsidRPr="00363AAD">
              <w:rPr>
                <w:sz w:val="22"/>
                <w:szCs w:val="22"/>
              </w:rPr>
              <w:t>PAN</w:t>
            </w:r>
          </w:p>
        </w:tc>
      </w:tr>
      <w:tr w:rsidR="00D53564" w:rsidRPr="00363AAD" w14:paraId="335A7B3D" w14:textId="77777777" w:rsidTr="00155837">
        <w:trPr>
          <w:trHeight w:hRule="exact" w:val="454"/>
          <w:jc w:val="center"/>
        </w:trPr>
        <w:tc>
          <w:tcPr>
            <w:tcW w:w="0" w:type="auto"/>
            <w:noWrap/>
            <w:vAlign w:val="center"/>
            <w:hideMark/>
          </w:tcPr>
          <w:p w14:paraId="4641C4CD" w14:textId="77777777" w:rsidR="00FE66AB" w:rsidRPr="00363AAD" w:rsidRDefault="00FE66AB" w:rsidP="00D53564">
            <w:pPr>
              <w:rPr>
                <w:sz w:val="22"/>
                <w:szCs w:val="22"/>
              </w:rPr>
            </w:pPr>
            <w:r w:rsidRPr="00363AAD">
              <w:rPr>
                <w:sz w:val="22"/>
                <w:szCs w:val="22"/>
              </w:rPr>
              <w:t>TON</w:t>
            </w:r>
          </w:p>
        </w:tc>
        <w:tc>
          <w:tcPr>
            <w:tcW w:w="0" w:type="auto"/>
            <w:noWrap/>
            <w:vAlign w:val="center"/>
            <w:hideMark/>
          </w:tcPr>
          <w:p w14:paraId="6427CD47" w14:textId="77777777" w:rsidR="00FE66AB" w:rsidRPr="00363AAD" w:rsidRDefault="00FE66AB" w:rsidP="00D53564">
            <w:pPr>
              <w:rPr>
                <w:sz w:val="22"/>
                <w:szCs w:val="22"/>
              </w:rPr>
            </w:pPr>
            <w:r w:rsidRPr="00363AAD">
              <w:rPr>
                <w:sz w:val="22"/>
                <w:szCs w:val="22"/>
              </w:rPr>
              <w:t>TJK</w:t>
            </w:r>
          </w:p>
        </w:tc>
        <w:tc>
          <w:tcPr>
            <w:tcW w:w="0" w:type="auto"/>
            <w:noWrap/>
            <w:vAlign w:val="center"/>
            <w:hideMark/>
          </w:tcPr>
          <w:p w14:paraId="65FB10B4" w14:textId="77777777" w:rsidR="00FE66AB" w:rsidRPr="00363AAD" w:rsidRDefault="00FE66AB" w:rsidP="00D53564">
            <w:pPr>
              <w:rPr>
                <w:sz w:val="22"/>
                <w:szCs w:val="22"/>
              </w:rPr>
            </w:pPr>
          </w:p>
        </w:tc>
        <w:tc>
          <w:tcPr>
            <w:tcW w:w="0" w:type="auto"/>
            <w:noWrap/>
            <w:vAlign w:val="center"/>
            <w:hideMark/>
          </w:tcPr>
          <w:p w14:paraId="6BBCC984" w14:textId="77777777" w:rsidR="00FE66AB" w:rsidRPr="00363AAD" w:rsidRDefault="00FE66AB" w:rsidP="00D53564">
            <w:pPr>
              <w:rPr>
                <w:sz w:val="22"/>
                <w:szCs w:val="22"/>
              </w:rPr>
            </w:pPr>
            <w:r w:rsidRPr="00363AAD">
              <w:rPr>
                <w:sz w:val="22"/>
                <w:szCs w:val="22"/>
              </w:rPr>
              <w:t>GNB</w:t>
            </w:r>
          </w:p>
        </w:tc>
        <w:tc>
          <w:tcPr>
            <w:tcW w:w="0" w:type="auto"/>
            <w:vAlign w:val="center"/>
          </w:tcPr>
          <w:p w14:paraId="448BBE05" w14:textId="77777777" w:rsidR="00FE66AB" w:rsidRPr="00363AAD" w:rsidRDefault="00FE66AB" w:rsidP="00D53564">
            <w:pPr>
              <w:rPr>
                <w:sz w:val="22"/>
                <w:szCs w:val="22"/>
              </w:rPr>
            </w:pPr>
            <w:r w:rsidRPr="00363AAD">
              <w:rPr>
                <w:sz w:val="22"/>
                <w:szCs w:val="22"/>
              </w:rPr>
              <w:t>UGA</w:t>
            </w:r>
          </w:p>
        </w:tc>
        <w:tc>
          <w:tcPr>
            <w:tcW w:w="0" w:type="auto"/>
            <w:noWrap/>
            <w:vAlign w:val="center"/>
            <w:hideMark/>
          </w:tcPr>
          <w:p w14:paraId="4005A367" w14:textId="77777777" w:rsidR="00FE66AB" w:rsidRPr="00363AAD" w:rsidRDefault="00FE66AB" w:rsidP="00D53564">
            <w:pPr>
              <w:rPr>
                <w:sz w:val="22"/>
                <w:szCs w:val="22"/>
              </w:rPr>
            </w:pPr>
            <w:r w:rsidRPr="00363AAD">
              <w:rPr>
                <w:sz w:val="22"/>
                <w:szCs w:val="22"/>
              </w:rPr>
              <w:t>PRY</w:t>
            </w:r>
          </w:p>
        </w:tc>
      </w:tr>
      <w:tr w:rsidR="00D53564" w:rsidRPr="00363AAD" w14:paraId="0BD6CEFA" w14:textId="77777777" w:rsidTr="00155837">
        <w:trPr>
          <w:trHeight w:hRule="exact" w:val="454"/>
          <w:jc w:val="center"/>
        </w:trPr>
        <w:tc>
          <w:tcPr>
            <w:tcW w:w="0" w:type="auto"/>
            <w:noWrap/>
            <w:vAlign w:val="center"/>
            <w:hideMark/>
          </w:tcPr>
          <w:p w14:paraId="31369E51" w14:textId="77777777" w:rsidR="00FE66AB" w:rsidRPr="00363AAD" w:rsidRDefault="00FE66AB" w:rsidP="00D53564">
            <w:pPr>
              <w:rPr>
                <w:sz w:val="22"/>
                <w:szCs w:val="22"/>
              </w:rPr>
            </w:pPr>
            <w:r w:rsidRPr="00363AAD">
              <w:rPr>
                <w:sz w:val="22"/>
                <w:szCs w:val="22"/>
              </w:rPr>
              <w:t>TUR</w:t>
            </w:r>
          </w:p>
        </w:tc>
        <w:tc>
          <w:tcPr>
            <w:tcW w:w="0" w:type="auto"/>
            <w:noWrap/>
            <w:vAlign w:val="center"/>
            <w:hideMark/>
          </w:tcPr>
          <w:p w14:paraId="17644406" w14:textId="77777777" w:rsidR="00FE66AB" w:rsidRPr="00363AAD" w:rsidRDefault="00FE66AB" w:rsidP="00D53564">
            <w:pPr>
              <w:rPr>
                <w:sz w:val="22"/>
                <w:szCs w:val="22"/>
              </w:rPr>
            </w:pPr>
            <w:r w:rsidRPr="00363AAD">
              <w:rPr>
                <w:sz w:val="22"/>
                <w:szCs w:val="22"/>
              </w:rPr>
              <w:t>MKD</w:t>
            </w:r>
          </w:p>
        </w:tc>
        <w:tc>
          <w:tcPr>
            <w:tcW w:w="0" w:type="auto"/>
            <w:noWrap/>
            <w:vAlign w:val="center"/>
            <w:hideMark/>
          </w:tcPr>
          <w:p w14:paraId="7C924F4D" w14:textId="77777777" w:rsidR="00FE66AB" w:rsidRPr="00363AAD" w:rsidRDefault="00FE66AB" w:rsidP="00D53564">
            <w:pPr>
              <w:rPr>
                <w:sz w:val="22"/>
                <w:szCs w:val="22"/>
              </w:rPr>
            </w:pPr>
          </w:p>
        </w:tc>
        <w:tc>
          <w:tcPr>
            <w:tcW w:w="0" w:type="auto"/>
            <w:noWrap/>
            <w:vAlign w:val="center"/>
            <w:hideMark/>
          </w:tcPr>
          <w:p w14:paraId="13F934DC" w14:textId="77777777" w:rsidR="00FE66AB" w:rsidRPr="00363AAD" w:rsidRDefault="00FE66AB" w:rsidP="00D53564">
            <w:pPr>
              <w:rPr>
                <w:sz w:val="22"/>
                <w:szCs w:val="22"/>
              </w:rPr>
            </w:pPr>
            <w:r w:rsidRPr="00363AAD">
              <w:rPr>
                <w:sz w:val="22"/>
                <w:szCs w:val="22"/>
              </w:rPr>
              <w:t>IRN</w:t>
            </w:r>
          </w:p>
        </w:tc>
        <w:tc>
          <w:tcPr>
            <w:tcW w:w="0" w:type="auto"/>
            <w:vAlign w:val="center"/>
          </w:tcPr>
          <w:p w14:paraId="5A6DA760" w14:textId="77777777" w:rsidR="00FE66AB" w:rsidRPr="00363AAD" w:rsidRDefault="00FE66AB" w:rsidP="00D53564">
            <w:pPr>
              <w:rPr>
                <w:sz w:val="22"/>
                <w:szCs w:val="22"/>
              </w:rPr>
            </w:pPr>
            <w:r w:rsidRPr="00363AAD">
              <w:rPr>
                <w:sz w:val="22"/>
                <w:szCs w:val="22"/>
              </w:rPr>
              <w:t>ARE</w:t>
            </w:r>
          </w:p>
        </w:tc>
        <w:tc>
          <w:tcPr>
            <w:tcW w:w="0" w:type="auto"/>
            <w:noWrap/>
            <w:vAlign w:val="center"/>
            <w:hideMark/>
          </w:tcPr>
          <w:p w14:paraId="3BBAE458" w14:textId="77777777" w:rsidR="00FE66AB" w:rsidRPr="00363AAD" w:rsidRDefault="00FE66AB" w:rsidP="00D53564">
            <w:pPr>
              <w:rPr>
                <w:sz w:val="22"/>
                <w:szCs w:val="22"/>
              </w:rPr>
            </w:pPr>
            <w:r w:rsidRPr="00363AAD">
              <w:rPr>
                <w:sz w:val="22"/>
                <w:szCs w:val="22"/>
              </w:rPr>
              <w:t>PER</w:t>
            </w:r>
          </w:p>
        </w:tc>
      </w:tr>
      <w:tr w:rsidR="00D53564" w:rsidRPr="00363AAD" w14:paraId="0978CAE3" w14:textId="77777777" w:rsidTr="00155837">
        <w:trPr>
          <w:trHeight w:hRule="exact" w:val="454"/>
          <w:jc w:val="center"/>
        </w:trPr>
        <w:tc>
          <w:tcPr>
            <w:tcW w:w="0" w:type="auto"/>
            <w:noWrap/>
            <w:vAlign w:val="center"/>
            <w:hideMark/>
          </w:tcPr>
          <w:p w14:paraId="4ACEF97A" w14:textId="77777777" w:rsidR="00FE66AB" w:rsidRPr="00363AAD" w:rsidRDefault="00FE66AB" w:rsidP="00D53564">
            <w:pPr>
              <w:rPr>
                <w:sz w:val="22"/>
                <w:szCs w:val="22"/>
              </w:rPr>
            </w:pPr>
            <w:r w:rsidRPr="00363AAD">
              <w:rPr>
                <w:sz w:val="22"/>
                <w:szCs w:val="22"/>
              </w:rPr>
              <w:t>GBR</w:t>
            </w:r>
          </w:p>
        </w:tc>
        <w:tc>
          <w:tcPr>
            <w:tcW w:w="0" w:type="auto"/>
            <w:noWrap/>
            <w:vAlign w:val="center"/>
            <w:hideMark/>
          </w:tcPr>
          <w:p w14:paraId="0145A10E" w14:textId="77777777" w:rsidR="00FE66AB" w:rsidRPr="00363AAD" w:rsidRDefault="00FE66AB" w:rsidP="00D53564">
            <w:pPr>
              <w:rPr>
                <w:sz w:val="22"/>
                <w:szCs w:val="22"/>
              </w:rPr>
            </w:pPr>
            <w:r w:rsidRPr="00363AAD">
              <w:rPr>
                <w:sz w:val="22"/>
                <w:szCs w:val="22"/>
              </w:rPr>
              <w:t>TKM</w:t>
            </w:r>
          </w:p>
        </w:tc>
        <w:tc>
          <w:tcPr>
            <w:tcW w:w="0" w:type="auto"/>
            <w:noWrap/>
            <w:vAlign w:val="center"/>
            <w:hideMark/>
          </w:tcPr>
          <w:p w14:paraId="6740407E" w14:textId="77777777" w:rsidR="00FE66AB" w:rsidRPr="00363AAD" w:rsidRDefault="00FE66AB" w:rsidP="00D53564">
            <w:pPr>
              <w:rPr>
                <w:sz w:val="22"/>
                <w:szCs w:val="22"/>
              </w:rPr>
            </w:pPr>
          </w:p>
        </w:tc>
        <w:tc>
          <w:tcPr>
            <w:tcW w:w="0" w:type="auto"/>
            <w:noWrap/>
            <w:vAlign w:val="center"/>
            <w:hideMark/>
          </w:tcPr>
          <w:p w14:paraId="26F71AA3" w14:textId="77777777" w:rsidR="00FE66AB" w:rsidRPr="00363AAD" w:rsidRDefault="00FE66AB" w:rsidP="00D53564">
            <w:pPr>
              <w:rPr>
                <w:sz w:val="22"/>
                <w:szCs w:val="22"/>
              </w:rPr>
            </w:pPr>
            <w:r w:rsidRPr="00363AAD">
              <w:rPr>
                <w:sz w:val="22"/>
                <w:szCs w:val="22"/>
              </w:rPr>
              <w:t>IRQ</w:t>
            </w:r>
          </w:p>
        </w:tc>
        <w:tc>
          <w:tcPr>
            <w:tcW w:w="0" w:type="auto"/>
            <w:vAlign w:val="center"/>
          </w:tcPr>
          <w:p w14:paraId="70C59DA1" w14:textId="77777777" w:rsidR="00FE66AB" w:rsidRPr="00363AAD" w:rsidRDefault="00FE66AB" w:rsidP="00D53564">
            <w:pPr>
              <w:rPr>
                <w:sz w:val="22"/>
                <w:szCs w:val="22"/>
              </w:rPr>
            </w:pPr>
            <w:r w:rsidRPr="00363AAD">
              <w:rPr>
                <w:sz w:val="22"/>
                <w:szCs w:val="22"/>
              </w:rPr>
              <w:t>TZA</w:t>
            </w:r>
          </w:p>
        </w:tc>
        <w:tc>
          <w:tcPr>
            <w:tcW w:w="0" w:type="auto"/>
            <w:noWrap/>
            <w:vAlign w:val="center"/>
            <w:hideMark/>
          </w:tcPr>
          <w:p w14:paraId="683D0F17" w14:textId="77777777" w:rsidR="00FE66AB" w:rsidRPr="00363AAD" w:rsidRDefault="00FE66AB" w:rsidP="00D53564">
            <w:pPr>
              <w:rPr>
                <w:sz w:val="22"/>
                <w:szCs w:val="22"/>
              </w:rPr>
            </w:pPr>
            <w:r w:rsidRPr="00363AAD">
              <w:rPr>
                <w:sz w:val="22"/>
                <w:szCs w:val="22"/>
              </w:rPr>
              <w:t>KNA</w:t>
            </w:r>
          </w:p>
        </w:tc>
      </w:tr>
      <w:tr w:rsidR="00D53564" w:rsidRPr="00363AAD" w14:paraId="430681E2" w14:textId="77777777" w:rsidTr="00155837">
        <w:trPr>
          <w:trHeight w:hRule="exact" w:val="454"/>
          <w:jc w:val="center"/>
        </w:trPr>
        <w:tc>
          <w:tcPr>
            <w:tcW w:w="0" w:type="auto"/>
            <w:noWrap/>
            <w:vAlign w:val="center"/>
            <w:hideMark/>
          </w:tcPr>
          <w:p w14:paraId="7A0C1EA8" w14:textId="77777777" w:rsidR="00FE66AB" w:rsidRPr="00363AAD" w:rsidRDefault="00FE66AB" w:rsidP="00D53564">
            <w:pPr>
              <w:rPr>
                <w:sz w:val="22"/>
                <w:szCs w:val="22"/>
              </w:rPr>
            </w:pPr>
            <w:r w:rsidRPr="00363AAD">
              <w:rPr>
                <w:sz w:val="22"/>
                <w:szCs w:val="22"/>
              </w:rPr>
              <w:t>USA</w:t>
            </w:r>
          </w:p>
        </w:tc>
        <w:tc>
          <w:tcPr>
            <w:tcW w:w="0" w:type="auto"/>
            <w:noWrap/>
            <w:vAlign w:val="center"/>
            <w:hideMark/>
          </w:tcPr>
          <w:p w14:paraId="3E011C13" w14:textId="77777777" w:rsidR="00FE66AB" w:rsidRPr="00363AAD" w:rsidRDefault="00FE66AB" w:rsidP="00D53564">
            <w:pPr>
              <w:rPr>
                <w:sz w:val="22"/>
                <w:szCs w:val="22"/>
              </w:rPr>
            </w:pPr>
            <w:r w:rsidRPr="00363AAD">
              <w:rPr>
                <w:sz w:val="22"/>
                <w:szCs w:val="22"/>
              </w:rPr>
              <w:t>UKR</w:t>
            </w:r>
          </w:p>
        </w:tc>
        <w:tc>
          <w:tcPr>
            <w:tcW w:w="0" w:type="auto"/>
            <w:noWrap/>
            <w:vAlign w:val="center"/>
            <w:hideMark/>
          </w:tcPr>
          <w:p w14:paraId="4B9EE748" w14:textId="77777777" w:rsidR="00FE66AB" w:rsidRPr="00363AAD" w:rsidRDefault="00FE66AB" w:rsidP="00D53564">
            <w:pPr>
              <w:rPr>
                <w:sz w:val="22"/>
                <w:szCs w:val="22"/>
              </w:rPr>
            </w:pPr>
          </w:p>
        </w:tc>
        <w:tc>
          <w:tcPr>
            <w:tcW w:w="0" w:type="auto"/>
            <w:noWrap/>
            <w:vAlign w:val="center"/>
            <w:hideMark/>
          </w:tcPr>
          <w:p w14:paraId="2A1BA1F4" w14:textId="77777777" w:rsidR="00FE66AB" w:rsidRPr="00363AAD" w:rsidRDefault="00FE66AB" w:rsidP="00D53564">
            <w:pPr>
              <w:rPr>
                <w:sz w:val="22"/>
                <w:szCs w:val="22"/>
              </w:rPr>
            </w:pPr>
            <w:r w:rsidRPr="00363AAD">
              <w:rPr>
                <w:sz w:val="22"/>
                <w:szCs w:val="22"/>
              </w:rPr>
              <w:t>ISR</w:t>
            </w:r>
          </w:p>
        </w:tc>
        <w:tc>
          <w:tcPr>
            <w:tcW w:w="0" w:type="auto"/>
            <w:vAlign w:val="center"/>
          </w:tcPr>
          <w:p w14:paraId="0120DD98" w14:textId="77777777" w:rsidR="00FE66AB" w:rsidRPr="00363AAD" w:rsidRDefault="00FE66AB" w:rsidP="00D53564">
            <w:pPr>
              <w:rPr>
                <w:sz w:val="22"/>
                <w:szCs w:val="22"/>
              </w:rPr>
            </w:pPr>
            <w:r w:rsidRPr="00363AAD">
              <w:rPr>
                <w:sz w:val="22"/>
                <w:szCs w:val="22"/>
              </w:rPr>
              <w:t>YEM</w:t>
            </w:r>
          </w:p>
        </w:tc>
        <w:tc>
          <w:tcPr>
            <w:tcW w:w="0" w:type="auto"/>
            <w:noWrap/>
            <w:vAlign w:val="center"/>
            <w:hideMark/>
          </w:tcPr>
          <w:p w14:paraId="64E1BC6D" w14:textId="77777777" w:rsidR="00FE66AB" w:rsidRPr="00363AAD" w:rsidRDefault="00FE66AB" w:rsidP="00D53564">
            <w:pPr>
              <w:rPr>
                <w:sz w:val="22"/>
                <w:szCs w:val="22"/>
              </w:rPr>
            </w:pPr>
            <w:r w:rsidRPr="00363AAD">
              <w:rPr>
                <w:sz w:val="22"/>
                <w:szCs w:val="22"/>
              </w:rPr>
              <w:t>LCA</w:t>
            </w:r>
          </w:p>
        </w:tc>
      </w:tr>
      <w:tr w:rsidR="00D53564" w:rsidRPr="00363AAD" w14:paraId="483ACC9D" w14:textId="77777777" w:rsidTr="00155837">
        <w:trPr>
          <w:trHeight w:hRule="exact" w:val="454"/>
          <w:jc w:val="center"/>
        </w:trPr>
        <w:tc>
          <w:tcPr>
            <w:tcW w:w="0" w:type="auto"/>
            <w:noWrap/>
            <w:vAlign w:val="center"/>
            <w:hideMark/>
          </w:tcPr>
          <w:p w14:paraId="6BB189B3" w14:textId="77777777" w:rsidR="00FE66AB" w:rsidRPr="00363AAD" w:rsidRDefault="00FE66AB" w:rsidP="00D53564">
            <w:pPr>
              <w:rPr>
                <w:sz w:val="22"/>
                <w:szCs w:val="22"/>
              </w:rPr>
            </w:pPr>
            <w:r w:rsidRPr="00363AAD">
              <w:rPr>
                <w:sz w:val="22"/>
                <w:szCs w:val="22"/>
              </w:rPr>
              <w:t>VUT</w:t>
            </w:r>
          </w:p>
        </w:tc>
        <w:tc>
          <w:tcPr>
            <w:tcW w:w="0" w:type="auto"/>
            <w:noWrap/>
            <w:vAlign w:val="center"/>
            <w:hideMark/>
          </w:tcPr>
          <w:p w14:paraId="14FC86A0" w14:textId="77777777" w:rsidR="00FE66AB" w:rsidRPr="00363AAD" w:rsidRDefault="00FE66AB" w:rsidP="00D53564">
            <w:pPr>
              <w:rPr>
                <w:sz w:val="22"/>
                <w:szCs w:val="22"/>
              </w:rPr>
            </w:pPr>
            <w:r w:rsidRPr="00363AAD">
              <w:rPr>
                <w:sz w:val="22"/>
                <w:szCs w:val="22"/>
              </w:rPr>
              <w:t>UZB</w:t>
            </w:r>
          </w:p>
        </w:tc>
        <w:tc>
          <w:tcPr>
            <w:tcW w:w="0" w:type="auto"/>
            <w:noWrap/>
            <w:vAlign w:val="center"/>
            <w:hideMark/>
          </w:tcPr>
          <w:p w14:paraId="36C55F7F" w14:textId="77777777" w:rsidR="00FE66AB" w:rsidRPr="00363AAD" w:rsidRDefault="00FE66AB" w:rsidP="00D53564">
            <w:pPr>
              <w:rPr>
                <w:sz w:val="22"/>
                <w:szCs w:val="22"/>
              </w:rPr>
            </w:pPr>
          </w:p>
        </w:tc>
        <w:tc>
          <w:tcPr>
            <w:tcW w:w="0" w:type="auto"/>
            <w:noWrap/>
            <w:vAlign w:val="center"/>
            <w:hideMark/>
          </w:tcPr>
          <w:p w14:paraId="4CED6DE4" w14:textId="77777777" w:rsidR="00FE66AB" w:rsidRPr="00363AAD" w:rsidRDefault="00FE66AB" w:rsidP="00D53564">
            <w:pPr>
              <w:rPr>
                <w:sz w:val="22"/>
                <w:szCs w:val="22"/>
              </w:rPr>
            </w:pPr>
            <w:r w:rsidRPr="00363AAD">
              <w:rPr>
                <w:sz w:val="22"/>
                <w:szCs w:val="22"/>
              </w:rPr>
              <w:t>JOR</w:t>
            </w:r>
          </w:p>
        </w:tc>
        <w:tc>
          <w:tcPr>
            <w:tcW w:w="0" w:type="auto"/>
            <w:vAlign w:val="center"/>
          </w:tcPr>
          <w:p w14:paraId="4B9DAD1A" w14:textId="77777777" w:rsidR="00FE66AB" w:rsidRPr="00363AAD" w:rsidRDefault="00FE66AB" w:rsidP="00D53564">
            <w:pPr>
              <w:rPr>
                <w:sz w:val="22"/>
                <w:szCs w:val="22"/>
              </w:rPr>
            </w:pPr>
            <w:r w:rsidRPr="00363AAD">
              <w:rPr>
                <w:sz w:val="22"/>
                <w:szCs w:val="22"/>
              </w:rPr>
              <w:t>ZMB</w:t>
            </w:r>
          </w:p>
        </w:tc>
        <w:tc>
          <w:tcPr>
            <w:tcW w:w="0" w:type="auto"/>
            <w:noWrap/>
            <w:vAlign w:val="center"/>
            <w:hideMark/>
          </w:tcPr>
          <w:p w14:paraId="7B06A026" w14:textId="77777777" w:rsidR="00FE66AB" w:rsidRPr="00363AAD" w:rsidRDefault="00FE66AB" w:rsidP="00D53564">
            <w:pPr>
              <w:rPr>
                <w:sz w:val="22"/>
                <w:szCs w:val="22"/>
              </w:rPr>
            </w:pPr>
            <w:r w:rsidRPr="00363AAD">
              <w:rPr>
                <w:sz w:val="22"/>
                <w:szCs w:val="22"/>
              </w:rPr>
              <w:t>VCT</w:t>
            </w:r>
          </w:p>
        </w:tc>
      </w:tr>
      <w:tr w:rsidR="00D53564" w:rsidRPr="00363AAD" w14:paraId="1F3E2343" w14:textId="77777777" w:rsidTr="00155837">
        <w:trPr>
          <w:trHeight w:hRule="exact" w:val="454"/>
          <w:jc w:val="center"/>
        </w:trPr>
        <w:tc>
          <w:tcPr>
            <w:tcW w:w="0" w:type="auto"/>
            <w:noWrap/>
            <w:vAlign w:val="center"/>
            <w:hideMark/>
          </w:tcPr>
          <w:p w14:paraId="12C871CA" w14:textId="77777777" w:rsidR="00FE66AB" w:rsidRPr="00363AAD" w:rsidRDefault="00FE66AB" w:rsidP="00D53564">
            <w:pPr>
              <w:rPr>
                <w:sz w:val="22"/>
                <w:szCs w:val="22"/>
              </w:rPr>
            </w:pPr>
          </w:p>
        </w:tc>
        <w:tc>
          <w:tcPr>
            <w:tcW w:w="0" w:type="auto"/>
            <w:noWrap/>
            <w:vAlign w:val="center"/>
            <w:hideMark/>
          </w:tcPr>
          <w:p w14:paraId="2EC20230" w14:textId="77777777" w:rsidR="00FE66AB" w:rsidRPr="00363AAD" w:rsidRDefault="00FE66AB" w:rsidP="00D53564">
            <w:pPr>
              <w:rPr>
                <w:sz w:val="22"/>
                <w:szCs w:val="22"/>
              </w:rPr>
            </w:pPr>
          </w:p>
        </w:tc>
        <w:tc>
          <w:tcPr>
            <w:tcW w:w="0" w:type="auto"/>
            <w:noWrap/>
            <w:vAlign w:val="center"/>
            <w:hideMark/>
          </w:tcPr>
          <w:p w14:paraId="63DAC0EE" w14:textId="77777777" w:rsidR="00FE66AB" w:rsidRPr="00363AAD" w:rsidRDefault="00FE66AB" w:rsidP="00D53564">
            <w:pPr>
              <w:rPr>
                <w:sz w:val="22"/>
                <w:szCs w:val="22"/>
              </w:rPr>
            </w:pPr>
          </w:p>
        </w:tc>
        <w:tc>
          <w:tcPr>
            <w:tcW w:w="0" w:type="auto"/>
            <w:noWrap/>
            <w:vAlign w:val="center"/>
            <w:hideMark/>
          </w:tcPr>
          <w:p w14:paraId="5A284DF7" w14:textId="77777777" w:rsidR="00FE66AB" w:rsidRPr="00363AAD" w:rsidRDefault="00FE66AB" w:rsidP="00D53564">
            <w:pPr>
              <w:rPr>
                <w:sz w:val="22"/>
                <w:szCs w:val="22"/>
              </w:rPr>
            </w:pPr>
            <w:r w:rsidRPr="00363AAD">
              <w:rPr>
                <w:sz w:val="22"/>
                <w:szCs w:val="22"/>
              </w:rPr>
              <w:t>KEN</w:t>
            </w:r>
          </w:p>
        </w:tc>
        <w:tc>
          <w:tcPr>
            <w:tcW w:w="0" w:type="auto"/>
            <w:vAlign w:val="center"/>
          </w:tcPr>
          <w:p w14:paraId="5743DEF6" w14:textId="77777777" w:rsidR="00FE66AB" w:rsidRPr="00363AAD" w:rsidRDefault="00FE66AB" w:rsidP="00D53564">
            <w:pPr>
              <w:rPr>
                <w:sz w:val="22"/>
                <w:szCs w:val="22"/>
              </w:rPr>
            </w:pPr>
          </w:p>
        </w:tc>
        <w:tc>
          <w:tcPr>
            <w:tcW w:w="0" w:type="auto"/>
            <w:noWrap/>
            <w:vAlign w:val="center"/>
            <w:hideMark/>
          </w:tcPr>
          <w:p w14:paraId="61CD623A" w14:textId="77777777" w:rsidR="00FE66AB" w:rsidRPr="00363AAD" w:rsidRDefault="00FE66AB" w:rsidP="00D53564">
            <w:pPr>
              <w:rPr>
                <w:sz w:val="22"/>
                <w:szCs w:val="22"/>
              </w:rPr>
            </w:pPr>
            <w:r w:rsidRPr="00363AAD">
              <w:rPr>
                <w:sz w:val="22"/>
                <w:szCs w:val="22"/>
              </w:rPr>
              <w:t>SUR</w:t>
            </w:r>
          </w:p>
        </w:tc>
      </w:tr>
      <w:tr w:rsidR="00D53564" w:rsidRPr="00363AAD" w14:paraId="69943F49" w14:textId="77777777" w:rsidTr="00155837">
        <w:trPr>
          <w:trHeight w:hRule="exact" w:val="454"/>
          <w:jc w:val="center"/>
        </w:trPr>
        <w:tc>
          <w:tcPr>
            <w:tcW w:w="0" w:type="auto"/>
            <w:noWrap/>
            <w:vAlign w:val="center"/>
            <w:hideMark/>
          </w:tcPr>
          <w:p w14:paraId="2DDB932A" w14:textId="77777777" w:rsidR="00FE66AB" w:rsidRPr="00363AAD" w:rsidRDefault="00FE66AB" w:rsidP="00D53564">
            <w:pPr>
              <w:rPr>
                <w:sz w:val="22"/>
                <w:szCs w:val="22"/>
              </w:rPr>
            </w:pPr>
          </w:p>
        </w:tc>
        <w:tc>
          <w:tcPr>
            <w:tcW w:w="0" w:type="auto"/>
            <w:noWrap/>
            <w:vAlign w:val="center"/>
            <w:hideMark/>
          </w:tcPr>
          <w:p w14:paraId="5BA97338" w14:textId="77777777" w:rsidR="00FE66AB" w:rsidRPr="00363AAD" w:rsidRDefault="00FE66AB" w:rsidP="00D53564">
            <w:pPr>
              <w:rPr>
                <w:sz w:val="22"/>
                <w:szCs w:val="22"/>
              </w:rPr>
            </w:pPr>
          </w:p>
        </w:tc>
        <w:tc>
          <w:tcPr>
            <w:tcW w:w="0" w:type="auto"/>
            <w:noWrap/>
            <w:vAlign w:val="center"/>
            <w:hideMark/>
          </w:tcPr>
          <w:p w14:paraId="0EB617B2" w14:textId="77777777" w:rsidR="00FE66AB" w:rsidRPr="00363AAD" w:rsidRDefault="00FE66AB" w:rsidP="00D53564">
            <w:pPr>
              <w:rPr>
                <w:sz w:val="22"/>
                <w:szCs w:val="22"/>
              </w:rPr>
            </w:pPr>
          </w:p>
        </w:tc>
        <w:tc>
          <w:tcPr>
            <w:tcW w:w="0" w:type="auto"/>
            <w:noWrap/>
            <w:vAlign w:val="center"/>
            <w:hideMark/>
          </w:tcPr>
          <w:p w14:paraId="7AB7ADCD" w14:textId="77777777" w:rsidR="00FE66AB" w:rsidRPr="00363AAD" w:rsidRDefault="00FE66AB" w:rsidP="00D53564">
            <w:pPr>
              <w:rPr>
                <w:sz w:val="22"/>
                <w:szCs w:val="22"/>
              </w:rPr>
            </w:pPr>
            <w:r w:rsidRPr="00363AAD">
              <w:rPr>
                <w:sz w:val="22"/>
                <w:szCs w:val="22"/>
              </w:rPr>
              <w:t>KWT</w:t>
            </w:r>
          </w:p>
        </w:tc>
        <w:tc>
          <w:tcPr>
            <w:tcW w:w="0" w:type="auto"/>
            <w:vAlign w:val="center"/>
          </w:tcPr>
          <w:p w14:paraId="73937CC4" w14:textId="77777777" w:rsidR="00FE66AB" w:rsidRPr="00363AAD" w:rsidRDefault="00FE66AB" w:rsidP="00D53564">
            <w:pPr>
              <w:rPr>
                <w:sz w:val="22"/>
                <w:szCs w:val="22"/>
              </w:rPr>
            </w:pPr>
          </w:p>
        </w:tc>
        <w:tc>
          <w:tcPr>
            <w:tcW w:w="0" w:type="auto"/>
            <w:noWrap/>
            <w:vAlign w:val="center"/>
            <w:hideMark/>
          </w:tcPr>
          <w:p w14:paraId="7C266F99" w14:textId="77777777" w:rsidR="00FE66AB" w:rsidRPr="00363AAD" w:rsidRDefault="00FE66AB" w:rsidP="00D53564">
            <w:pPr>
              <w:rPr>
                <w:sz w:val="22"/>
                <w:szCs w:val="22"/>
              </w:rPr>
            </w:pPr>
            <w:r w:rsidRPr="00363AAD">
              <w:rPr>
                <w:sz w:val="22"/>
                <w:szCs w:val="22"/>
              </w:rPr>
              <w:t>TTO</w:t>
            </w:r>
          </w:p>
        </w:tc>
      </w:tr>
      <w:tr w:rsidR="00D53564" w:rsidRPr="00363AAD" w14:paraId="03B47154" w14:textId="77777777" w:rsidTr="00155837">
        <w:trPr>
          <w:trHeight w:hRule="exact" w:val="454"/>
          <w:jc w:val="center"/>
        </w:trPr>
        <w:tc>
          <w:tcPr>
            <w:tcW w:w="0" w:type="auto"/>
            <w:noWrap/>
            <w:vAlign w:val="center"/>
            <w:hideMark/>
          </w:tcPr>
          <w:p w14:paraId="774CB35A" w14:textId="77777777" w:rsidR="00FE66AB" w:rsidRPr="00363AAD" w:rsidRDefault="00FE66AB" w:rsidP="00D53564">
            <w:pPr>
              <w:rPr>
                <w:sz w:val="22"/>
                <w:szCs w:val="22"/>
              </w:rPr>
            </w:pPr>
          </w:p>
        </w:tc>
        <w:tc>
          <w:tcPr>
            <w:tcW w:w="0" w:type="auto"/>
            <w:noWrap/>
            <w:vAlign w:val="center"/>
            <w:hideMark/>
          </w:tcPr>
          <w:p w14:paraId="548969BF" w14:textId="77777777" w:rsidR="00FE66AB" w:rsidRPr="00363AAD" w:rsidRDefault="00FE66AB" w:rsidP="00D53564">
            <w:pPr>
              <w:rPr>
                <w:sz w:val="22"/>
                <w:szCs w:val="22"/>
              </w:rPr>
            </w:pPr>
          </w:p>
        </w:tc>
        <w:tc>
          <w:tcPr>
            <w:tcW w:w="0" w:type="auto"/>
            <w:noWrap/>
            <w:vAlign w:val="center"/>
            <w:hideMark/>
          </w:tcPr>
          <w:p w14:paraId="36AAAD83" w14:textId="77777777" w:rsidR="00FE66AB" w:rsidRPr="00363AAD" w:rsidRDefault="00FE66AB" w:rsidP="00D53564">
            <w:pPr>
              <w:rPr>
                <w:sz w:val="22"/>
                <w:szCs w:val="22"/>
              </w:rPr>
            </w:pPr>
          </w:p>
        </w:tc>
        <w:tc>
          <w:tcPr>
            <w:tcW w:w="0" w:type="auto"/>
            <w:noWrap/>
            <w:vAlign w:val="center"/>
            <w:hideMark/>
          </w:tcPr>
          <w:p w14:paraId="4CCF4E5C" w14:textId="77777777" w:rsidR="00FE66AB" w:rsidRPr="00363AAD" w:rsidRDefault="00FE66AB" w:rsidP="00D53564">
            <w:pPr>
              <w:rPr>
                <w:sz w:val="22"/>
                <w:szCs w:val="22"/>
              </w:rPr>
            </w:pPr>
            <w:r w:rsidRPr="00363AAD">
              <w:rPr>
                <w:sz w:val="22"/>
                <w:szCs w:val="22"/>
              </w:rPr>
              <w:t>LBN</w:t>
            </w:r>
          </w:p>
        </w:tc>
        <w:tc>
          <w:tcPr>
            <w:tcW w:w="0" w:type="auto"/>
            <w:vAlign w:val="center"/>
          </w:tcPr>
          <w:p w14:paraId="47FDFC1C" w14:textId="77777777" w:rsidR="00FE66AB" w:rsidRPr="00363AAD" w:rsidRDefault="00FE66AB" w:rsidP="00D53564">
            <w:pPr>
              <w:rPr>
                <w:sz w:val="22"/>
                <w:szCs w:val="22"/>
              </w:rPr>
            </w:pPr>
          </w:p>
        </w:tc>
        <w:tc>
          <w:tcPr>
            <w:tcW w:w="0" w:type="auto"/>
            <w:noWrap/>
            <w:vAlign w:val="center"/>
            <w:hideMark/>
          </w:tcPr>
          <w:p w14:paraId="75BD8C18" w14:textId="77777777" w:rsidR="00FE66AB" w:rsidRPr="00363AAD" w:rsidRDefault="00FE66AB" w:rsidP="00D53564">
            <w:pPr>
              <w:rPr>
                <w:sz w:val="22"/>
                <w:szCs w:val="22"/>
              </w:rPr>
            </w:pPr>
            <w:r w:rsidRPr="00363AAD">
              <w:rPr>
                <w:sz w:val="22"/>
                <w:szCs w:val="22"/>
              </w:rPr>
              <w:t>URY</w:t>
            </w:r>
          </w:p>
        </w:tc>
      </w:tr>
      <w:tr w:rsidR="00D53564" w:rsidRPr="00363AAD" w14:paraId="01F6EC9D" w14:textId="77777777" w:rsidTr="00155837">
        <w:trPr>
          <w:trHeight w:hRule="exact" w:val="454"/>
          <w:jc w:val="center"/>
        </w:trPr>
        <w:tc>
          <w:tcPr>
            <w:tcW w:w="0" w:type="auto"/>
            <w:noWrap/>
            <w:vAlign w:val="center"/>
            <w:hideMark/>
          </w:tcPr>
          <w:p w14:paraId="3C6C59B0" w14:textId="77777777" w:rsidR="00FE66AB" w:rsidRPr="00363AAD" w:rsidRDefault="00FE66AB" w:rsidP="00D53564">
            <w:pPr>
              <w:rPr>
                <w:sz w:val="22"/>
                <w:szCs w:val="22"/>
              </w:rPr>
            </w:pPr>
          </w:p>
        </w:tc>
        <w:tc>
          <w:tcPr>
            <w:tcW w:w="0" w:type="auto"/>
            <w:noWrap/>
            <w:vAlign w:val="center"/>
            <w:hideMark/>
          </w:tcPr>
          <w:p w14:paraId="23B99B4B" w14:textId="77777777" w:rsidR="00FE66AB" w:rsidRPr="00363AAD" w:rsidRDefault="00FE66AB" w:rsidP="00D53564">
            <w:pPr>
              <w:rPr>
                <w:sz w:val="22"/>
                <w:szCs w:val="22"/>
              </w:rPr>
            </w:pPr>
          </w:p>
        </w:tc>
        <w:tc>
          <w:tcPr>
            <w:tcW w:w="0" w:type="auto"/>
            <w:noWrap/>
            <w:vAlign w:val="center"/>
            <w:hideMark/>
          </w:tcPr>
          <w:p w14:paraId="2287445F" w14:textId="77777777" w:rsidR="00FE66AB" w:rsidRPr="00363AAD" w:rsidRDefault="00FE66AB" w:rsidP="00D53564">
            <w:pPr>
              <w:rPr>
                <w:sz w:val="22"/>
                <w:szCs w:val="22"/>
              </w:rPr>
            </w:pPr>
          </w:p>
        </w:tc>
        <w:tc>
          <w:tcPr>
            <w:tcW w:w="0" w:type="auto"/>
            <w:noWrap/>
            <w:vAlign w:val="center"/>
            <w:hideMark/>
          </w:tcPr>
          <w:p w14:paraId="3A56A5DD" w14:textId="77777777" w:rsidR="00FE66AB" w:rsidRPr="00363AAD" w:rsidRDefault="00FE66AB" w:rsidP="00D53564">
            <w:pPr>
              <w:rPr>
                <w:sz w:val="22"/>
                <w:szCs w:val="22"/>
              </w:rPr>
            </w:pPr>
            <w:r w:rsidRPr="00363AAD">
              <w:rPr>
                <w:sz w:val="22"/>
                <w:szCs w:val="22"/>
              </w:rPr>
              <w:t>LSO</w:t>
            </w:r>
          </w:p>
        </w:tc>
        <w:tc>
          <w:tcPr>
            <w:tcW w:w="0" w:type="auto"/>
            <w:vAlign w:val="center"/>
          </w:tcPr>
          <w:p w14:paraId="2925CF5A" w14:textId="77777777" w:rsidR="00FE66AB" w:rsidRPr="00363AAD" w:rsidRDefault="00FE66AB" w:rsidP="00D53564">
            <w:pPr>
              <w:rPr>
                <w:sz w:val="22"/>
                <w:szCs w:val="22"/>
              </w:rPr>
            </w:pPr>
          </w:p>
        </w:tc>
        <w:tc>
          <w:tcPr>
            <w:tcW w:w="0" w:type="auto"/>
            <w:noWrap/>
            <w:vAlign w:val="center"/>
            <w:hideMark/>
          </w:tcPr>
          <w:p w14:paraId="2A906EC9" w14:textId="77777777" w:rsidR="00FE66AB" w:rsidRPr="00363AAD" w:rsidRDefault="00FE66AB" w:rsidP="00D53564">
            <w:pPr>
              <w:rPr>
                <w:sz w:val="22"/>
                <w:szCs w:val="22"/>
              </w:rPr>
            </w:pPr>
            <w:r w:rsidRPr="00363AAD">
              <w:rPr>
                <w:sz w:val="22"/>
                <w:szCs w:val="22"/>
              </w:rPr>
              <w:t>VEN</w:t>
            </w:r>
          </w:p>
        </w:tc>
      </w:tr>
    </w:tbl>
    <w:p w14:paraId="2D2552A2" w14:textId="3DDDA792" w:rsidR="009B61D2" w:rsidRPr="00363AAD" w:rsidRDefault="009B61D2" w:rsidP="009B61D2">
      <w:pPr>
        <w:pStyle w:val="Heading2"/>
        <w:jc w:val="both"/>
        <w:rPr>
          <w:iCs/>
        </w:rPr>
      </w:pPr>
      <w:r w:rsidRPr="00363AAD">
        <w:lastRenderedPageBreak/>
        <w:t>CDR quotas in per-capita basis vs domestic potential for the EU</w:t>
      </w:r>
    </w:p>
    <w:p w14:paraId="0BDFD617" w14:textId="77777777" w:rsidR="00BE2FDC" w:rsidRPr="007D093C" w:rsidRDefault="00DD616D" w:rsidP="00BE2FDC">
      <w:pPr>
        <w:rPr>
          <w:b/>
          <w:sz w:val="22"/>
          <w:szCs w:val="22"/>
        </w:rPr>
      </w:pPr>
      <w:r w:rsidRPr="00133028">
        <w:rPr>
          <w:noProof/>
          <w:lang w:val="es-ES" w:eastAsia="es-ES"/>
        </w:rPr>
        <w:drawing>
          <wp:inline distT="0" distB="0" distL="0" distR="0" wp14:anchorId="1F4FD9E9" wp14:editId="5C91BE90">
            <wp:extent cx="5633883" cy="3058159"/>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3883" cy="3058159"/>
                    </a:xfrm>
                    <a:prstGeom prst="rect">
                      <a:avLst/>
                    </a:prstGeom>
                  </pic:spPr>
                </pic:pic>
              </a:graphicData>
            </a:graphic>
          </wp:inline>
        </w:drawing>
      </w:r>
    </w:p>
    <w:p w14:paraId="2524DD8A" w14:textId="2EE44C74" w:rsidR="006D0359" w:rsidRPr="00363AAD" w:rsidRDefault="00DD616D" w:rsidP="00975836">
      <w:pPr>
        <w:rPr>
          <w:color w:val="000000"/>
          <w:sz w:val="22"/>
          <w:szCs w:val="22"/>
          <w:shd w:val="clear" w:color="auto" w:fill="FFFFFF"/>
        </w:rPr>
      </w:pPr>
      <w:r w:rsidRPr="007D093C">
        <w:rPr>
          <w:b/>
          <w:sz w:val="22"/>
          <w:szCs w:val="22"/>
        </w:rPr>
        <w:t xml:space="preserve">Supplementary </w:t>
      </w:r>
      <w:r w:rsidRPr="00363AAD">
        <w:rPr>
          <w:b/>
          <w:sz w:val="22"/>
          <w:szCs w:val="22"/>
        </w:rPr>
        <w:t>Fig</w:t>
      </w:r>
      <w:r w:rsidRPr="007D093C">
        <w:rPr>
          <w:b/>
          <w:sz w:val="22"/>
          <w:szCs w:val="22"/>
        </w:rPr>
        <w:t xml:space="preserve">. </w:t>
      </w:r>
      <w:r w:rsidR="00627C4D" w:rsidRPr="00363AAD">
        <w:rPr>
          <w:b/>
          <w:sz w:val="22"/>
          <w:szCs w:val="22"/>
        </w:rPr>
        <w:t>4</w:t>
      </w:r>
      <w:r w:rsidRPr="00363AAD">
        <w:rPr>
          <w:b/>
          <w:sz w:val="22"/>
          <w:szCs w:val="22"/>
        </w:rPr>
        <w:t xml:space="preserve"> | Comparison between the CO</w:t>
      </w:r>
      <w:r w:rsidRPr="00363AAD">
        <w:rPr>
          <w:b/>
          <w:sz w:val="22"/>
          <w:szCs w:val="22"/>
          <w:vertAlign w:val="subscript"/>
        </w:rPr>
        <w:t>2</w:t>
      </w:r>
      <w:r w:rsidRPr="00363AAD">
        <w:rPr>
          <w:b/>
          <w:sz w:val="22"/>
          <w:szCs w:val="22"/>
        </w:rPr>
        <w:t xml:space="preserve"> </w:t>
      </w:r>
      <w:r w:rsidR="00556EDF">
        <w:rPr>
          <w:b/>
          <w:sz w:val="22"/>
          <w:szCs w:val="22"/>
        </w:rPr>
        <w:t xml:space="preserve">removal and </w:t>
      </w:r>
      <w:r w:rsidRPr="00363AAD">
        <w:rPr>
          <w:b/>
          <w:sz w:val="22"/>
          <w:szCs w:val="22"/>
        </w:rPr>
        <w:t xml:space="preserve">storage potentials in each EU country and the quotas derived from the equity principles </w:t>
      </w:r>
      <w:r w:rsidR="00556EDF">
        <w:rPr>
          <w:b/>
          <w:sz w:val="22"/>
          <w:szCs w:val="22"/>
        </w:rPr>
        <w:t>o</w:t>
      </w:r>
      <w:r w:rsidR="00556EDF" w:rsidRPr="00363AAD">
        <w:rPr>
          <w:b/>
          <w:sz w:val="22"/>
          <w:szCs w:val="22"/>
        </w:rPr>
        <w:t xml:space="preserve">n </w:t>
      </w:r>
      <w:r w:rsidRPr="00363AAD">
        <w:rPr>
          <w:b/>
          <w:sz w:val="22"/>
          <w:szCs w:val="22"/>
        </w:rPr>
        <w:t>per-capita basis.</w:t>
      </w:r>
      <w:r w:rsidRPr="00363AAD">
        <w:rPr>
          <w:color w:val="000000"/>
          <w:sz w:val="22"/>
          <w:szCs w:val="22"/>
          <w:shd w:val="clear" w:color="auto" w:fill="FFFFFF"/>
        </w:rPr>
        <w:t xml:space="preserve"> National CDR quotas for each principle </w:t>
      </w:r>
      <w:r w:rsidR="0083543F" w:rsidRPr="00363AAD">
        <w:rPr>
          <w:color w:val="000000"/>
          <w:sz w:val="22"/>
          <w:szCs w:val="22"/>
          <w:shd w:val="clear" w:color="auto" w:fill="FFFFFF"/>
        </w:rPr>
        <w:t xml:space="preserve">derived on per-capita basis </w:t>
      </w:r>
      <w:r w:rsidRPr="00363AAD">
        <w:rPr>
          <w:color w:val="000000"/>
          <w:sz w:val="22"/>
          <w:szCs w:val="22"/>
          <w:shd w:val="clear" w:color="auto" w:fill="FFFFFF"/>
        </w:rPr>
        <w:t xml:space="preserve">are depicted with different markers (circles for </w:t>
      </w:r>
      <w:r w:rsidRPr="00363AAD">
        <w:rPr>
          <w:i/>
          <w:color w:val="000000"/>
          <w:sz w:val="22"/>
          <w:szCs w:val="22"/>
          <w:shd w:val="clear" w:color="auto" w:fill="FFFFFF"/>
        </w:rPr>
        <w:t>Responsibility</w:t>
      </w:r>
      <w:r w:rsidRPr="00363AAD">
        <w:rPr>
          <w:color w:val="000000"/>
          <w:sz w:val="22"/>
          <w:szCs w:val="22"/>
          <w:shd w:val="clear" w:color="auto" w:fill="FFFFFF"/>
        </w:rPr>
        <w:t xml:space="preserve">, squares for </w:t>
      </w:r>
      <w:r w:rsidRPr="00363AAD">
        <w:rPr>
          <w:i/>
          <w:color w:val="000000"/>
          <w:sz w:val="22"/>
          <w:szCs w:val="22"/>
          <w:shd w:val="clear" w:color="auto" w:fill="FFFFFF"/>
        </w:rPr>
        <w:t>Capability</w:t>
      </w:r>
      <w:r w:rsidRPr="00363AAD">
        <w:rPr>
          <w:color w:val="000000"/>
          <w:sz w:val="22"/>
          <w:szCs w:val="22"/>
          <w:shd w:val="clear" w:color="auto" w:fill="FFFFFF"/>
        </w:rPr>
        <w:t xml:space="preserve"> and triangles for </w:t>
      </w:r>
      <w:r w:rsidRPr="00363AAD">
        <w:rPr>
          <w:i/>
          <w:color w:val="000000"/>
          <w:sz w:val="22"/>
          <w:szCs w:val="22"/>
          <w:shd w:val="clear" w:color="auto" w:fill="FFFFFF"/>
        </w:rPr>
        <w:t>Equality</w:t>
      </w:r>
      <w:r w:rsidRPr="00363AAD">
        <w:rPr>
          <w:color w:val="000000"/>
          <w:sz w:val="22"/>
          <w:szCs w:val="22"/>
          <w:shd w:val="clear" w:color="auto" w:fill="FFFFFF"/>
        </w:rPr>
        <w:t xml:space="preserve">). The domestic CDR potential for each EU member state is given by the vertical bars, where </w:t>
      </w:r>
      <w:r w:rsidR="00556EDF">
        <w:rPr>
          <w:color w:val="000000"/>
          <w:sz w:val="22"/>
          <w:szCs w:val="22"/>
          <w:shd w:val="clear" w:color="auto" w:fill="FFFFFF"/>
        </w:rPr>
        <w:t xml:space="preserve">the left-hand side </w:t>
      </w:r>
      <w:r w:rsidRPr="00363AAD">
        <w:rPr>
          <w:color w:val="000000"/>
          <w:sz w:val="22"/>
          <w:szCs w:val="22"/>
          <w:shd w:val="clear" w:color="auto" w:fill="FFFFFF"/>
        </w:rPr>
        <w:t xml:space="preserve">stacked bars denote </w:t>
      </w:r>
      <w:r w:rsidR="00556EDF">
        <w:rPr>
          <w:color w:val="000000"/>
          <w:sz w:val="22"/>
          <w:szCs w:val="22"/>
          <w:shd w:val="clear" w:color="auto" w:fill="FFFFFF"/>
        </w:rPr>
        <w:t xml:space="preserve">removal </w:t>
      </w:r>
      <w:r w:rsidRPr="00363AAD">
        <w:rPr>
          <w:color w:val="000000"/>
          <w:sz w:val="22"/>
          <w:szCs w:val="22"/>
          <w:shd w:val="clear" w:color="auto" w:fill="FFFFFF"/>
        </w:rPr>
        <w:t>potential (</w:t>
      </w:r>
      <w:r w:rsidRPr="00363AAD">
        <w:rPr>
          <w:i/>
          <w:color w:val="000000"/>
          <w:sz w:val="22"/>
          <w:szCs w:val="22"/>
          <w:shd w:val="clear" w:color="auto" w:fill="FFFFFF"/>
        </w:rPr>
        <w:t>i.e.</w:t>
      </w:r>
      <w:r w:rsidRPr="00363AAD">
        <w:rPr>
          <w:color w:val="000000"/>
          <w:sz w:val="22"/>
          <w:szCs w:val="22"/>
          <w:shd w:val="clear" w:color="auto" w:fill="FFFFFF"/>
        </w:rPr>
        <w:t>, energy crops, forestry and agricultural residues and reforestation</w:t>
      </w:r>
      <w:r w:rsidR="00556EDF">
        <w:rPr>
          <w:color w:val="000000"/>
          <w:sz w:val="22"/>
          <w:szCs w:val="22"/>
          <w:shd w:val="clear" w:color="auto" w:fill="FFFFFF"/>
        </w:rPr>
        <w:t xml:space="preserve"> plus DACCS</w:t>
      </w:r>
      <w:r w:rsidRPr="00363AAD">
        <w:rPr>
          <w:color w:val="000000"/>
          <w:sz w:val="22"/>
          <w:szCs w:val="22"/>
          <w:shd w:val="clear" w:color="auto" w:fill="FFFFFF"/>
        </w:rPr>
        <w:t xml:space="preserve">), and the </w:t>
      </w:r>
      <w:r w:rsidR="00556EDF">
        <w:rPr>
          <w:color w:val="000000"/>
          <w:sz w:val="22"/>
          <w:szCs w:val="22"/>
          <w:shd w:val="clear" w:color="auto" w:fill="FFFFFF"/>
        </w:rPr>
        <w:t xml:space="preserve">right-hand side </w:t>
      </w:r>
      <w:r w:rsidRPr="00363AAD">
        <w:rPr>
          <w:color w:val="000000"/>
          <w:sz w:val="22"/>
          <w:szCs w:val="22"/>
          <w:shd w:val="clear" w:color="auto" w:fill="FFFFFF"/>
        </w:rPr>
        <w:t>stacked bars provide the CO</w:t>
      </w:r>
      <w:r w:rsidRPr="00363AAD">
        <w:rPr>
          <w:color w:val="000000"/>
          <w:sz w:val="22"/>
          <w:szCs w:val="22"/>
          <w:shd w:val="clear" w:color="auto" w:fill="FFFFFF"/>
          <w:vertAlign w:val="subscript"/>
        </w:rPr>
        <w:t>2</w:t>
      </w:r>
      <w:r w:rsidRPr="00363AAD">
        <w:rPr>
          <w:color w:val="000000"/>
          <w:sz w:val="22"/>
          <w:szCs w:val="22"/>
          <w:shd w:val="clear" w:color="auto" w:fill="FFFFFF"/>
        </w:rPr>
        <w:t xml:space="preserve"> storage potential (</w:t>
      </w:r>
      <w:r w:rsidRPr="00363AAD">
        <w:rPr>
          <w:i/>
          <w:color w:val="000000"/>
          <w:sz w:val="22"/>
          <w:szCs w:val="22"/>
          <w:shd w:val="clear" w:color="auto" w:fill="FFFFFF"/>
        </w:rPr>
        <w:t>i.e.</w:t>
      </w:r>
      <w:r w:rsidRPr="00363AAD">
        <w:rPr>
          <w:color w:val="000000"/>
          <w:sz w:val="22"/>
          <w:szCs w:val="22"/>
          <w:shd w:val="clear" w:color="auto" w:fill="FFFFFF"/>
        </w:rPr>
        <w:t xml:space="preserve">, deep saline formations, depleted hydrocarbon fields and coal fields). Countries are sorted in increasing order of their </w:t>
      </w:r>
      <w:r w:rsidR="00556EDF">
        <w:rPr>
          <w:color w:val="000000"/>
          <w:sz w:val="22"/>
          <w:szCs w:val="22"/>
          <w:shd w:val="clear" w:color="auto" w:fill="FFFFFF"/>
        </w:rPr>
        <w:t xml:space="preserve">natural </w:t>
      </w:r>
      <w:r w:rsidRPr="00363AAD">
        <w:rPr>
          <w:color w:val="000000"/>
          <w:sz w:val="22"/>
          <w:szCs w:val="22"/>
          <w:shd w:val="clear" w:color="auto" w:fill="FFFFFF"/>
        </w:rPr>
        <w:t xml:space="preserve">domestic potential considering the most limiting factor between </w:t>
      </w:r>
      <w:r w:rsidR="00556EDF">
        <w:rPr>
          <w:color w:val="000000"/>
          <w:sz w:val="22"/>
          <w:szCs w:val="22"/>
          <w:shd w:val="clear" w:color="auto" w:fill="FFFFFF"/>
        </w:rPr>
        <w:t xml:space="preserve">removal </w:t>
      </w:r>
      <w:r w:rsidRPr="00363AAD">
        <w:rPr>
          <w:color w:val="000000"/>
          <w:sz w:val="22"/>
          <w:szCs w:val="22"/>
          <w:shd w:val="clear" w:color="auto" w:fill="FFFFFF"/>
        </w:rPr>
        <w:t>and storage</w:t>
      </w:r>
      <w:r w:rsidR="00556EDF">
        <w:rPr>
          <w:color w:val="000000"/>
          <w:sz w:val="22"/>
          <w:szCs w:val="22"/>
          <w:shd w:val="clear" w:color="auto" w:fill="FFFFFF"/>
        </w:rPr>
        <w:t xml:space="preserve"> (</w:t>
      </w:r>
      <w:r w:rsidRPr="00363AAD">
        <w:rPr>
          <w:color w:val="000000"/>
          <w:sz w:val="22"/>
          <w:szCs w:val="22"/>
          <w:shd w:val="clear" w:color="auto" w:fill="FFFFFF"/>
        </w:rPr>
        <w:t xml:space="preserve">depicted by a horizontal </w:t>
      </w:r>
      <w:r w:rsidR="00556EDF" w:rsidRPr="00363AAD">
        <w:rPr>
          <w:color w:val="000000"/>
          <w:sz w:val="22"/>
          <w:szCs w:val="22"/>
          <w:shd w:val="clear" w:color="auto" w:fill="FFFFFF"/>
        </w:rPr>
        <w:t xml:space="preserve">red </w:t>
      </w:r>
      <w:r w:rsidRPr="00363AAD">
        <w:rPr>
          <w:color w:val="000000"/>
          <w:sz w:val="22"/>
          <w:szCs w:val="22"/>
          <w:shd w:val="clear" w:color="auto" w:fill="FFFFFF"/>
        </w:rPr>
        <w:t>line</w:t>
      </w:r>
      <w:r w:rsidR="00556EDF">
        <w:rPr>
          <w:color w:val="000000"/>
          <w:sz w:val="22"/>
          <w:szCs w:val="22"/>
          <w:shd w:val="clear" w:color="auto" w:fill="FFFFFF"/>
        </w:rPr>
        <w:t>)</w:t>
      </w:r>
      <w:r w:rsidRPr="00363AAD">
        <w:rPr>
          <w:color w:val="000000"/>
          <w:sz w:val="22"/>
          <w:szCs w:val="22"/>
          <w:shd w:val="clear" w:color="auto" w:fill="FFFFFF"/>
        </w:rPr>
        <w:t>.</w:t>
      </w:r>
      <w:r w:rsidR="005B61DA" w:rsidRPr="00363AAD">
        <w:rPr>
          <w:color w:val="000000"/>
          <w:sz w:val="22"/>
          <w:szCs w:val="22"/>
          <w:shd w:val="clear" w:color="auto" w:fill="FFFFFF"/>
        </w:rPr>
        <w:t xml:space="preserve"> </w:t>
      </w:r>
      <w:r w:rsidRPr="00363AAD">
        <w:rPr>
          <w:color w:val="000000"/>
          <w:sz w:val="22"/>
          <w:szCs w:val="22"/>
          <w:shd w:val="clear" w:color="auto" w:fill="FFFFFF"/>
        </w:rPr>
        <w:t>Aggregated EU potentials are also provided with pie charts, which follow the same colour code</w:t>
      </w:r>
      <w:r w:rsidR="00556EDF">
        <w:rPr>
          <w:color w:val="000000"/>
          <w:sz w:val="22"/>
          <w:szCs w:val="22"/>
          <w:shd w:val="clear" w:color="auto" w:fill="FFFFFF"/>
        </w:rPr>
        <w:t xml:space="preserve"> as the bars</w:t>
      </w:r>
      <w:r w:rsidRPr="00363AAD">
        <w:rPr>
          <w:color w:val="000000"/>
          <w:sz w:val="22"/>
          <w:szCs w:val="22"/>
          <w:shd w:val="clear" w:color="auto" w:fill="FFFFFF"/>
        </w:rPr>
        <w:t xml:space="preserve">. Country labels in bold indicate </w:t>
      </w:r>
      <w:proofErr w:type="gramStart"/>
      <w:r w:rsidR="00556EDF">
        <w:rPr>
          <w:color w:val="000000"/>
          <w:sz w:val="22"/>
          <w:szCs w:val="22"/>
          <w:shd w:val="clear" w:color="auto" w:fill="FFFFFF"/>
        </w:rPr>
        <w:t>sufficient</w:t>
      </w:r>
      <w:proofErr w:type="gramEnd"/>
      <w:r w:rsidR="00556EDF">
        <w:rPr>
          <w:color w:val="000000"/>
          <w:sz w:val="22"/>
          <w:szCs w:val="22"/>
          <w:shd w:val="clear" w:color="auto" w:fill="FFFFFF"/>
        </w:rPr>
        <w:t xml:space="preserve"> </w:t>
      </w:r>
      <w:r w:rsidRPr="00363AAD">
        <w:rPr>
          <w:color w:val="000000"/>
          <w:sz w:val="22"/>
          <w:szCs w:val="22"/>
          <w:shd w:val="clear" w:color="auto" w:fill="FFFFFF"/>
        </w:rPr>
        <w:t xml:space="preserve">CDR </w:t>
      </w:r>
      <w:r w:rsidR="00556EDF">
        <w:rPr>
          <w:color w:val="000000"/>
          <w:sz w:val="22"/>
          <w:szCs w:val="22"/>
          <w:shd w:val="clear" w:color="auto" w:fill="FFFFFF"/>
        </w:rPr>
        <w:t xml:space="preserve">natural </w:t>
      </w:r>
      <w:r w:rsidRPr="00363AAD">
        <w:rPr>
          <w:color w:val="000000"/>
          <w:sz w:val="22"/>
          <w:szCs w:val="22"/>
          <w:shd w:val="clear" w:color="auto" w:fill="FFFFFF"/>
        </w:rPr>
        <w:t xml:space="preserve">potential to meet </w:t>
      </w:r>
      <w:r w:rsidR="0083543F" w:rsidRPr="00363AAD">
        <w:rPr>
          <w:color w:val="000000"/>
          <w:sz w:val="22"/>
          <w:szCs w:val="22"/>
          <w:shd w:val="clear" w:color="auto" w:fill="FFFFFF"/>
        </w:rPr>
        <w:t xml:space="preserve">per-capita </w:t>
      </w:r>
      <w:r w:rsidRPr="00363AAD">
        <w:rPr>
          <w:color w:val="000000"/>
          <w:sz w:val="22"/>
          <w:szCs w:val="22"/>
          <w:shd w:val="clear" w:color="auto" w:fill="FFFFFF"/>
        </w:rPr>
        <w:t xml:space="preserve">quotas for all principles. Error bars depict the </w:t>
      </w:r>
      <w:r w:rsidR="00556EDF">
        <w:rPr>
          <w:color w:val="000000"/>
          <w:sz w:val="22"/>
          <w:szCs w:val="22"/>
          <w:shd w:val="clear" w:color="auto" w:fill="FFFFFF"/>
        </w:rPr>
        <w:t xml:space="preserve">conservative </w:t>
      </w:r>
      <w:r w:rsidRPr="00363AAD">
        <w:rPr>
          <w:color w:val="000000"/>
          <w:sz w:val="22"/>
          <w:szCs w:val="22"/>
          <w:shd w:val="clear" w:color="auto" w:fill="FFFFFF"/>
        </w:rPr>
        <w:t xml:space="preserve">and optimistic scenarios for both </w:t>
      </w:r>
      <w:r w:rsidR="00556EDF">
        <w:rPr>
          <w:color w:val="000000"/>
          <w:sz w:val="22"/>
          <w:szCs w:val="22"/>
          <w:shd w:val="clear" w:color="auto" w:fill="FFFFFF"/>
        </w:rPr>
        <w:t xml:space="preserve">removal </w:t>
      </w:r>
      <w:r w:rsidRPr="00363AAD">
        <w:rPr>
          <w:color w:val="000000"/>
          <w:sz w:val="22"/>
          <w:szCs w:val="22"/>
          <w:shd w:val="clear" w:color="auto" w:fill="FFFFFF"/>
        </w:rPr>
        <w:t>and storage potentials in each country (see Methods for details on the sensitivity analysis)</w:t>
      </w:r>
      <w:r w:rsidR="00FE4828" w:rsidRPr="00363AAD">
        <w:rPr>
          <w:color w:val="000000"/>
          <w:sz w:val="22"/>
          <w:szCs w:val="22"/>
          <w:shd w:val="clear" w:color="auto" w:fill="FFFFFF"/>
        </w:rPr>
        <w:t>.</w:t>
      </w:r>
    </w:p>
    <w:p w14:paraId="160ED8DF" w14:textId="0F68F9F2" w:rsidR="00FE4828" w:rsidRPr="00363AAD" w:rsidRDefault="00FE4828" w:rsidP="00FE4828">
      <w:pPr>
        <w:pStyle w:val="Heading2"/>
        <w:jc w:val="both"/>
      </w:pPr>
      <w:r w:rsidRPr="00363AAD">
        <w:lastRenderedPageBreak/>
        <w:t>Limitations of the study</w:t>
      </w:r>
    </w:p>
    <w:p w14:paraId="7323908B" w14:textId="0755C181" w:rsidR="00C2081D" w:rsidRPr="00363AAD" w:rsidRDefault="00363AAD" w:rsidP="00C2081D">
      <w:pPr>
        <w:rPr>
          <w:color w:val="000000"/>
          <w:sz w:val="22"/>
          <w:szCs w:val="22"/>
          <w:shd w:val="clear" w:color="auto" w:fill="FFFFFF"/>
        </w:rPr>
      </w:pPr>
      <w:r>
        <w:rPr>
          <w:color w:val="000000"/>
          <w:sz w:val="22"/>
          <w:szCs w:val="22"/>
          <w:shd w:val="clear" w:color="auto" w:fill="FFFFFF"/>
        </w:rPr>
        <w:t>T</w:t>
      </w:r>
      <w:r w:rsidR="00A10639" w:rsidRPr="00363AAD">
        <w:rPr>
          <w:color w:val="000000"/>
          <w:sz w:val="22"/>
          <w:szCs w:val="22"/>
          <w:shd w:val="clear" w:color="auto" w:fill="FFFFFF"/>
        </w:rPr>
        <w:t xml:space="preserve">he </w:t>
      </w:r>
      <w:r>
        <w:rPr>
          <w:color w:val="000000"/>
          <w:sz w:val="22"/>
          <w:szCs w:val="22"/>
          <w:shd w:val="clear" w:color="auto" w:fill="FFFFFF"/>
        </w:rPr>
        <w:t>main</w:t>
      </w:r>
      <w:r w:rsidR="00A10639" w:rsidRPr="00363AAD">
        <w:rPr>
          <w:color w:val="000000"/>
          <w:sz w:val="22"/>
          <w:szCs w:val="22"/>
          <w:shd w:val="clear" w:color="auto" w:fill="FFFFFF"/>
        </w:rPr>
        <w:t xml:space="preserve"> limitations of our study, which we believe do not affect the main insight</w:t>
      </w:r>
      <w:r>
        <w:rPr>
          <w:color w:val="000000"/>
          <w:sz w:val="22"/>
          <w:szCs w:val="22"/>
          <w:shd w:val="clear" w:color="auto" w:fill="FFFFFF"/>
        </w:rPr>
        <w:t>s</w:t>
      </w:r>
      <w:r w:rsidR="00A10639" w:rsidRPr="00363AAD">
        <w:rPr>
          <w:color w:val="000000"/>
          <w:sz w:val="22"/>
          <w:szCs w:val="22"/>
          <w:shd w:val="clear" w:color="auto" w:fill="FFFFFF"/>
        </w:rPr>
        <w:t xml:space="preserve"> </w:t>
      </w:r>
      <w:r>
        <w:rPr>
          <w:color w:val="000000"/>
          <w:sz w:val="22"/>
          <w:szCs w:val="22"/>
          <w:shd w:val="clear" w:color="auto" w:fill="FFFFFF"/>
        </w:rPr>
        <w:t>and conclusions, are listed below</w:t>
      </w:r>
      <w:r w:rsidR="00A10639" w:rsidRPr="00363AAD">
        <w:rPr>
          <w:color w:val="000000"/>
          <w:sz w:val="22"/>
          <w:szCs w:val="22"/>
          <w:shd w:val="clear" w:color="auto" w:fill="FFFFFF"/>
        </w:rPr>
        <w:t>.</w:t>
      </w:r>
    </w:p>
    <w:p w14:paraId="15CABB7E" w14:textId="688C77F2" w:rsidR="00E13410" w:rsidRPr="00386BC8" w:rsidRDefault="00E13410" w:rsidP="00386BC8">
      <w:pPr>
        <w:pStyle w:val="ListParagraph"/>
        <w:numPr>
          <w:ilvl w:val="0"/>
          <w:numId w:val="50"/>
        </w:numPr>
        <w:jc w:val="both"/>
        <w:rPr>
          <w:color w:val="000000"/>
          <w:sz w:val="22"/>
          <w:szCs w:val="22"/>
          <w:shd w:val="clear" w:color="auto" w:fill="FFFFFF"/>
        </w:rPr>
      </w:pPr>
      <w:r w:rsidRPr="00386BC8">
        <w:rPr>
          <w:color w:val="000000"/>
          <w:sz w:val="22"/>
          <w:szCs w:val="22"/>
          <w:shd w:val="clear" w:color="auto" w:fill="FFFFFF"/>
        </w:rPr>
        <w:t xml:space="preserve">In our work, </w:t>
      </w:r>
      <w:r w:rsidR="00363AAD" w:rsidRPr="00386BC8">
        <w:rPr>
          <w:color w:val="000000"/>
          <w:sz w:val="22"/>
          <w:szCs w:val="22"/>
          <w:shd w:val="clear" w:color="auto" w:fill="FFFFFF"/>
        </w:rPr>
        <w:t>following previous literature that strongly advocates for treating the carbon removal and mitigation targets separately</w:t>
      </w:r>
      <w:r w:rsidR="00D125B9">
        <w:rPr>
          <w:color w:val="000000"/>
          <w:sz w:val="22"/>
          <w:szCs w:val="22"/>
          <w:shd w:val="clear" w:color="auto" w:fill="FFFFFF"/>
        </w:rPr>
        <w:fldChar w:fldCharType="begin" w:fldLock="1"/>
      </w:r>
      <w:r w:rsidR="00D125B9">
        <w:rPr>
          <w:color w:val="000000"/>
          <w:sz w:val="22"/>
          <w:szCs w:val="22"/>
          <w:shd w:val="clear" w:color="auto" w:fill="FFFFFF"/>
        </w:rPr>
        <w:instrText>ADDIN CSL_CITATION {"citationItems":[{"id":"ITEM-1","itemData":{"ISSN":"2624-9553","author":[{"dropping-particle":"","family":"McLaren","given":"Duncan Peter","non-dropping-particle":"","parse-names":false,"suffix":""},{"dropping-particle":"","family":"Tyfield","given":"David P","non-dropping-particle":"","parse-names":false,"suffix":""},{"dropping-particle":"","family":"Willis","given":"Rebecca","non-dropping-particle":"","parse-names":false,"suffix":""},{"dropping-particle":"","family":"Szerszynski","given":"Bron","non-dropping-particle":"","parse-names":false,"suffix":""},{"dropping-particle":"","family":"Markusson","given":"Nils O","non-dropping-particle":"","parse-names":false,"suffix":""}],"container-title":"Frontiers in Climate","id":"ITEM-1","issued":{"date-parts":[["2019"]]},"page":"4","publisher":"Frontiers","title":"Beyond ‘Net-Zero’: A case for separate targets for emissions reduction and negative emissions","type":"article-journal","volume":"1"},"uris":["http://www.mendeley.com/documents/?uuid=19c260f9-2178-43d6-a8f3-1da02edf61d5"]},{"id":"ITEM-2","itemData":{"ISSN":"1469-3062","author":[{"dropping-particle":"","family":"Geden","given":"Oliver","non-dropping-particle":"","parse-names":false,"suffix":""},{"dropping-particle":"","family":"Peters","given":"Glen P","non-dropping-particle":"","parse-names":false,"suffix":""},{"dropping-particle":"","family":"Scott","given":"Vivian","non-dropping-particle":"","parse-names":false,"suffix":""}],"container-title":"Climate policy","id":"ITEM-2","issue":"4","issued":{"date-parts":[["2019"]]},"page":"487-494","publisher":"Taylor &amp; Francis","title":"Targeting carbon dioxide removal in the European Union","type":"article-journal","volume":"19"},"uris":["http://www.mendeley.com/documents/?uuid=b03a245a-c338-4b44-a5eb-773945fffd9b"]},{"id":"ITEM-3","itemData":{"author":[{"dropping-particle":"","family":"Peters","given":"Glen P","non-dropping-particle":"","parse-names":false,"suffix":""},{"dropping-particle":"","family":"Geden","given":"Oliver","non-dropping-particle":"","parse-names":false,"suffix":""}],"container-title":"Nature Climate Change","id":"ITEM-3","issued":{"date-parts":[["2017","8","14"]]},"page":"619","publisher":"Nature Publishing Group, a division of Macmillan Publishers Limited. All Rights Reserved.","title":"Catalysing a political shift from low to negative carbon","type":"article-journal","volume":"7"},"uris":["http://www.mendeley.com/documents/?uuid=1345403c-c7f7-478e-b5e4-6c3270554f0c"]}],"mendeley":{"formattedCitation":"&lt;sup&gt;17–19&lt;/sup&gt;","plainTextFormattedCitation":"17–19","previouslyFormattedCitation":"&lt;sup&gt;17–19&lt;/sup&gt;"},"properties":{"noteIndex":0},"schema":"https://github.com/citation-style-language/schema/raw/master/csl-citation.json"}</w:instrText>
      </w:r>
      <w:r w:rsidR="00D125B9">
        <w:rPr>
          <w:color w:val="000000"/>
          <w:sz w:val="22"/>
          <w:szCs w:val="22"/>
          <w:shd w:val="clear" w:color="auto" w:fill="FFFFFF"/>
        </w:rPr>
        <w:fldChar w:fldCharType="separate"/>
      </w:r>
      <w:r w:rsidR="00D125B9" w:rsidRPr="00D125B9">
        <w:rPr>
          <w:noProof/>
          <w:color w:val="000000"/>
          <w:sz w:val="22"/>
          <w:szCs w:val="22"/>
          <w:shd w:val="clear" w:color="auto" w:fill="FFFFFF"/>
          <w:vertAlign w:val="superscript"/>
        </w:rPr>
        <w:t>17–19</w:t>
      </w:r>
      <w:r w:rsidR="00D125B9">
        <w:rPr>
          <w:color w:val="000000"/>
          <w:sz w:val="22"/>
          <w:szCs w:val="22"/>
          <w:shd w:val="clear" w:color="auto" w:fill="FFFFFF"/>
        </w:rPr>
        <w:fldChar w:fldCharType="end"/>
      </w:r>
      <w:r w:rsidR="00363AAD" w:rsidRPr="00386BC8">
        <w:rPr>
          <w:color w:val="000000"/>
          <w:sz w:val="22"/>
          <w:szCs w:val="22"/>
          <w:shd w:val="clear" w:color="auto" w:fill="FFFFFF"/>
        </w:rPr>
        <w:t xml:space="preserve">, </w:t>
      </w:r>
      <w:r w:rsidRPr="00386BC8">
        <w:rPr>
          <w:color w:val="000000"/>
          <w:sz w:val="22"/>
          <w:szCs w:val="22"/>
          <w:shd w:val="clear" w:color="auto" w:fill="FFFFFF"/>
        </w:rPr>
        <w:t xml:space="preserve">we focus on </w:t>
      </w:r>
      <w:r w:rsidR="001B5B6A" w:rsidRPr="00386BC8">
        <w:rPr>
          <w:color w:val="000000"/>
          <w:sz w:val="22"/>
          <w:szCs w:val="22"/>
          <w:shd w:val="clear" w:color="auto" w:fill="FFFFFF"/>
        </w:rPr>
        <w:t>allocating</w:t>
      </w:r>
      <w:r w:rsidR="00386BC8" w:rsidRPr="00386BC8">
        <w:rPr>
          <w:color w:val="000000"/>
          <w:sz w:val="22"/>
          <w:szCs w:val="22"/>
          <w:shd w:val="clear" w:color="auto" w:fill="FFFFFF"/>
        </w:rPr>
        <w:t xml:space="preserve"> only</w:t>
      </w:r>
      <w:r w:rsidRPr="00386BC8">
        <w:rPr>
          <w:color w:val="000000"/>
          <w:sz w:val="22"/>
          <w:szCs w:val="22"/>
          <w:shd w:val="clear" w:color="auto" w:fill="FFFFFF"/>
        </w:rPr>
        <w:t xml:space="preserve"> the </w:t>
      </w:r>
      <w:r w:rsidR="001B5B6A" w:rsidRPr="00386BC8">
        <w:rPr>
          <w:color w:val="000000"/>
          <w:sz w:val="22"/>
          <w:szCs w:val="22"/>
          <w:shd w:val="clear" w:color="auto" w:fill="FFFFFF"/>
        </w:rPr>
        <w:t xml:space="preserve">gross </w:t>
      </w:r>
      <w:r w:rsidRPr="00386BC8">
        <w:rPr>
          <w:color w:val="000000"/>
          <w:sz w:val="22"/>
          <w:szCs w:val="22"/>
          <w:shd w:val="clear" w:color="auto" w:fill="FFFFFF"/>
        </w:rPr>
        <w:t>negative emissions</w:t>
      </w:r>
      <w:r w:rsidR="00386BC8" w:rsidRPr="00386BC8">
        <w:rPr>
          <w:color w:val="000000"/>
          <w:sz w:val="22"/>
          <w:szCs w:val="22"/>
          <w:shd w:val="clear" w:color="auto" w:fill="FFFFFF"/>
        </w:rPr>
        <w:t>.</w:t>
      </w:r>
      <w:r w:rsidRPr="00386BC8">
        <w:rPr>
          <w:color w:val="000000"/>
          <w:sz w:val="22"/>
          <w:szCs w:val="22"/>
          <w:shd w:val="clear" w:color="auto" w:fill="FFFFFF"/>
        </w:rPr>
        <w:t xml:space="preserve"> </w:t>
      </w:r>
      <w:r w:rsidR="00386BC8" w:rsidRPr="00386BC8">
        <w:rPr>
          <w:color w:val="000000"/>
          <w:sz w:val="22"/>
          <w:szCs w:val="22"/>
          <w:shd w:val="clear" w:color="auto" w:fill="FFFFFF"/>
        </w:rPr>
        <w:t>M</w:t>
      </w:r>
      <w:r w:rsidRPr="00386BC8">
        <w:rPr>
          <w:color w:val="000000"/>
          <w:sz w:val="22"/>
          <w:szCs w:val="22"/>
          <w:shd w:val="clear" w:color="auto" w:fill="FFFFFF"/>
        </w:rPr>
        <w:t>anaging CDR separately</w:t>
      </w:r>
      <w:r w:rsidR="00386BC8" w:rsidRPr="00386BC8">
        <w:rPr>
          <w:color w:val="000000"/>
          <w:sz w:val="22"/>
          <w:szCs w:val="22"/>
          <w:shd w:val="clear" w:color="auto" w:fill="FFFFFF"/>
        </w:rPr>
        <w:t xml:space="preserve"> from mitigation</w:t>
      </w:r>
      <w:r w:rsidRPr="00386BC8">
        <w:rPr>
          <w:color w:val="000000"/>
          <w:sz w:val="22"/>
          <w:szCs w:val="22"/>
          <w:shd w:val="clear" w:color="auto" w:fill="FFFFFF"/>
        </w:rPr>
        <w:t xml:space="preserve"> and defining CDR quotas (“fair targets”) may encourage countries to deliver negative emissions in addition to rapid emissions reduction. </w:t>
      </w:r>
      <w:r w:rsidR="00386BC8">
        <w:rPr>
          <w:color w:val="000000"/>
          <w:sz w:val="22"/>
          <w:szCs w:val="22"/>
          <w:shd w:val="clear" w:color="auto" w:fill="FFFFFF"/>
        </w:rPr>
        <w:t>Furthermore, a</w:t>
      </w:r>
      <w:r w:rsidR="00386BC8" w:rsidRPr="00386BC8">
        <w:rPr>
          <w:color w:val="000000"/>
          <w:sz w:val="22"/>
          <w:szCs w:val="22"/>
          <w:shd w:val="clear" w:color="auto" w:fill="FFFFFF"/>
        </w:rPr>
        <w:t>llocating negative emissions separately today may help to avoid promises of future negative emissions contributions that would basically act as substitution of mitigation actions</w:t>
      </w:r>
      <w:r w:rsidR="00386BC8" w:rsidRPr="00386BC8">
        <w:rPr>
          <w:color w:val="000000"/>
          <w:sz w:val="22"/>
          <w:szCs w:val="22"/>
          <w:shd w:val="clear" w:color="auto" w:fill="FFFFFF"/>
        </w:rPr>
        <w:fldChar w:fldCharType="begin" w:fldLock="1"/>
      </w:r>
      <w:r w:rsidR="00D125B9">
        <w:rPr>
          <w:color w:val="000000"/>
          <w:sz w:val="22"/>
          <w:szCs w:val="22"/>
          <w:shd w:val="clear" w:color="auto" w:fill="FFFFFF"/>
        </w:rPr>
        <w:instrText>ADDIN CSL_CITATION {"citationItems":[{"id":"ITEM-1","itemData":{"author":[{"dropping-particle":"","family":"Peters","given":"Glen P","non-dropping-particle":"","parse-names":false,"suffix":""},{"dropping-particle":"","family":"Geden","given":"Oliver","non-dropping-particle":"","parse-names":false,"suffix":""}],"container-title":"Nature Climate Change","id":"ITEM-1","issued":{"date-parts":[["2017","8","14"]]},"page":"619","publisher":"Nature Publishing Group, a division of Macmillan Publishers Limited. All Rights Reserved.","title":"Catalysing a political shift from low to negative carbon","type":"article-journal","volume":"7"},"uris":["http://www.mendeley.com/documents/?uuid=1345403c-c7f7-478e-b5e4-6c3270554f0c"]},{"id":"ITEM-2","itemData":{"author":[{"dropping-particle":"","family":"Anderson","given":"Kevin","non-dropping-particle":"","parse-names":false,"suffix":""},{"dropping-particle":"","family":"Peters","given":"Glen","non-dropping-particle":"","parse-names":false,"suffix":""}],"container-title":"Science","id":"ITEM-2","issue":"6309","issued":{"date-parts":[["2016"]]},"page":"182-183","publisher":"American Association for the Advancement of Science","title":"The trouble with negative emissions","type":"article-journal","volume":"354"},"uris":["http://www.mendeley.com/documents/?uuid=8a80c184-7708-42dd-bfaf-47840f7f0ce3"]},{"id":"ITEM-3","itemData":{"ISSN":"2624-9553","author":[{"dropping-particle":"","family":"McLaren","given":"Duncan Peter","non-dropping-particle":"","parse-names":false,"suffix":""},{"dropping-particle":"","family":"Tyfield","given":"David P","non-dropping-particle":"","parse-names":false,"suffix":""},{"dropping-particle":"","family":"Willis","given":"Rebecca","non-dropping-particle":"","parse-names":false,"suffix":""},{"dropping-particle":"","family":"Szerszynski","given":"Bron","non-dropping-particle":"","parse-names":false,"suffix":""},{"dropping-particle":"","family":"Markusson","given":"Nils O","non-dropping-particle":"","parse-names":false,"suffix":""}],"container-title":"Frontiers in Climate","id":"ITEM-3","issued":{"date-parts":[["2019"]]},"page":"4","publisher":"Frontiers","title":"Beyond ‘Net-Zero’: A case for separate targets for emissions reduction and negative emissions","type":"article-journal","volume":"1"},"uris":["http://www.mendeley.com/documents/?uuid=19c260f9-2178-43d6-a8f3-1da02edf61d5"]}],"mendeley":{"formattedCitation":"&lt;sup&gt;17,19,20&lt;/sup&gt;","plainTextFormattedCitation":"17,19,20","previouslyFormattedCitation":"&lt;sup&gt;17,19,20&lt;/sup&gt;"},"properties":{"noteIndex":0},"schema":"https://github.com/citation-style-language/schema/raw/master/csl-citation.json"}</w:instrText>
      </w:r>
      <w:r w:rsidR="00386BC8" w:rsidRPr="00386BC8">
        <w:rPr>
          <w:color w:val="000000"/>
          <w:sz w:val="22"/>
          <w:szCs w:val="22"/>
          <w:shd w:val="clear" w:color="auto" w:fill="FFFFFF"/>
        </w:rPr>
        <w:fldChar w:fldCharType="separate"/>
      </w:r>
      <w:r w:rsidR="00D125B9" w:rsidRPr="00D125B9">
        <w:rPr>
          <w:noProof/>
          <w:color w:val="000000"/>
          <w:sz w:val="22"/>
          <w:szCs w:val="22"/>
          <w:shd w:val="clear" w:color="auto" w:fill="FFFFFF"/>
          <w:vertAlign w:val="superscript"/>
        </w:rPr>
        <w:t>17,19,20</w:t>
      </w:r>
      <w:r w:rsidR="00386BC8" w:rsidRPr="00386BC8">
        <w:rPr>
          <w:color w:val="000000"/>
          <w:sz w:val="22"/>
          <w:szCs w:val="22"/>
          <w:shd w:val="clear" w:color="auto" w:fill="FFFFFF"/>
        </w:rPr>
        <w:fldChar w:fldCharType="end"/>
      </w:r>
      <w:r w:rsidR="00386BC8" w:rsidRPr="00386BC8">
        <w:rPr>
          <w:color w:val="000000"/>
          <w:sz w:val="22"/>
          <w:szCs w:val="22"/>
          <w:shd w:val="clear" w:color="auto" w:fill="FFFFFF"/>
        </w:rPr>
        <w:t xml:space="preserve">. </w:t>
      </w:r>
      <w:r w:rsidR="00386BC8">
        <w:rPr>
          <w:color w:val="000000"/>
          <w:sz w:val="22"/>
          <w:szCs w:val="22"/>
          <w:shd w:val="clear" w:color="auto" w:fill="FFFFFF"/>
        </w:rPr>
        <w:t xml:space="preserve">This separation could also help in the development of </w:t>
      </w:r>
      <w:r w:rsidR="00386BC8" w:rsidRPr="00386BC8">
        <w:rPr>
          <w:color w:val="000000"/>
          <w:sz w:val="22"/>
          <w:szCs w:val="22"/>
          <w:shd w:val="clear" w:color="auto" w:fill="FFFFFF"/>
        </w:rPr>
        <w:t>tailored policies for incentivising the deployment of CDR options</w:t>
      </w:r>
      <w:r w:rsidR="00386BC8">
        <w:rPr>
          <w:color w:val="000000"/>
          <w:sz w:val="22"/>
          <w:szCs w:val="22"/>
          <w:shd w:val="clear" w:color="auto" w:fill="FFFFFF"/>
        </w:rPr>
        <w:t xml:space="preserve">, which would mitigate the risk of using </w:t>
      </w:r>
      <w:r w:rsidR="00386BC8" w:rsidRPr="00386BC8">
        <w:rPr>
          <w:color w:val="000000"/>
          <w:sz w:val="22"/>
          <w:szCs w:val="22"/>
          <w:shd w:val="clear" w:color="auto" w:fill="FFFFFF"/>
        </w:rPr>
        <w:t>CDR as an offset of mitigation actions.</w:t>
      </w:r>
      <w:r w:rsidR="00386BC8">
        <w:rPr>
          <w:color w:val="000000"/>
          <w:sz w:val="22"/>
          <w:szCs w:val="22"/>
          <w:shd w:val="clear" w:color="auto" w:fill="FFFFFF"/>
        </w:rPr>
        <w:t xml:space="preserve"> </w:t>
      </w:r>
      <w:r w:rsidR="00386BC8" w:rsidRPr="00386BC8">
        <w:rPr>
          <w:color w:val="000000"/>
          <w:sz w:val="22"/>
          <w:szCs w:val="22"/>
          <w:shd w:val="clear" w:color="auto" w:fill="FFFFFF"/>
        </w:rPr>
        <w:t>Note</w:t>
      </w:r>
      <w:r w:rsidR="00386BC8">
        <w:rPr>
          <w:color w:val="000000"/>
          <w:sz w:val="22"/>
          <w:szCs w:val="22"/>
          <w:shd w:val="clear" w:color="auto" w:fill="FFFFFF"/>
        </w:rPr>
        <w:t>, however,</w:t>
      </w:r>
      <w:r w:rsidR="00386BC8" w:rsidRPr="00386BC8">
        <w:rPr>
          <w:color w:val="000000"/>
          <w:sz w:val="22"/>
          <w:szCs w:val="22"/>
          <w:shd w:val="clear" w:color="auto" w:fill="FFFFFF"/>
        </w:rPr>
        <w:t xml:space="preserve"> that</w:t>
      </w:r>
      <w:r w:rsidRPr="00386BC8">
        <w:rPr>
          <w:color w:val="000000"/>
          <w:sz w:val="22"/>
          <w:szCs w:val="22"/>
          <w:shd w:val="clear" w:color="auto" w:fill="FFFFFF"/>
        </w:rPr>
        <w:t xml:space="preserve"> since the </w:t>
      </w:r>
      <w:bookmarkStart w:id="2" w:name="_Hlk30510106"/>
      <w:r w:rsidRPr="00386BC8">
        <w:rPr>
          <w:color w:val="000000"/>
          <w:sz w:val="22"/>
          <w:szCs w:val="22"/>
          <w:shd w:val="clear" w:color="auto" w:fill="FFFFFF"/>
        </w:rPr>
        <w:t>amount of CDR to be delivered is directly linked to the “positive emissions” (e.g., ongoing emissions, delayed mitigation actions, emission from hard-to-abate activities)</w:t>
      </w:r>
      <w:r w:rsidR="00386BC8" w:rsidRPr="00386BC8">
        <w:rPr>
          <w:color w:val="000000"/>
          <w:sz w:val="22"/>
          <w:szCs w:val="22"/>
          <w:shd w:val="clear" w:color="auto" w:fill="FFFFFF"/>
        </w:rPr>
        <w:t>,</w:t>
      </w:r>
      <w:r w:rsidRPr="00386BC8">
        <w:rPr>
          <w:color w:val="000000"/>
          <w:sz w:val="22"/>
          <w:szCs w:val="22"/>
          <w:shd w:val="clear" w:color="auto" w:fill="FFFFFF"/>
        </w:rPr>
        <w:t xml:space="preserve"> </w:t>
      </w:r>
      <w:r w:rsidR="00386BC8">
        <w:rPr>
          <w:color w:val="000000"/>
          <w:sz w:val="22"/>
          <w:szCs w:val="22"/>
          <w:shd w:val="clear" w:color="auto" w:fill="FFFFFF"/>
        </w:rPr>
        <w:t>the CDR</w:t>
      </w:r>
      <w:r w:rsidRPr="00386BC8">
        <w:rPr>
          <w:color w:val="000000"/>
          <w:sz w:val="22"/>
          <w:szCs w:val="22"/>
          <w:shd w:val="clear" w:color="auto" w:fill="FFFFFF"/>
        </w:rPr>
        <w:t xml:space="preserve"> allocation should be done together and simultaneously with the allocation of the gross positive emissions (i.e., emission reduction targets).</w:t>
      </w:r>
      <w:bookmarkEnd w:id="2"/>
      <w:r w:rsidR="001B5B6A" w:rsidRPr="00386BC8">
        <w:rPr>
          <w:color w:val="000000"/>
          <w:sz w:val="22"/>
          <w:szCs w:val="22"/>
          <w:shd w:val="clear" w:color="auto" w:fill="FFFFFF"/>
        </w:rPr>
        <w:t xml:space="preserve"> </w:t>
      </w:r>
      <w:bookmarkStart w:id="3" w:name="_Hlk30502480"/>
      <w:r w:rsidR="00611819" w:rsidRPr="00386BC8">
        <w:rPr>
          <w:color w:val="000000"/>
          <w:sz w:val="22"/>
          <w:szCs w:val="22"/>
          <w:shd w:val="clear" w:color="auto" w:fill="FFFFFF"/>
        </w:rPr>
        <w:t xml:space="preserve"> </w:t>
      </w:r>
      <w:bookmarkEnd w:id="3"/>
    </w:p>
    <w:p w14:paraId="05F1ADF9" w14:textId="1FC18F14" w:rsidR="00846151" w:rsidRPr="00363AAD" w:rsidRDefault="00E13410">
      <w:pPr>
        <w:pStyle w:val="ListParagraph"/>
        <w:numPr>
          <w:ilvl w:val="0"/>
          <w:numId w:val="50"/>
        </w:numPr>
        <w:jc w:val="both"/>
        <w:rPr>
          <w:color w:val="000000"/>
          <w:sz w:val="22"/>
          <w:szCs w:val="22"/>
          <w:shd w:val="clear" w:color="auto" w:fill="FFFFFF"/>
        </w:rPr>
      </w:pPr>
      <w:r w:rsidRPr="00363AAD">
        <w:rPr>
          <w:color w:val="000000"/>
          <w:sz w:val="22"/>
          <w:szCs w:val="22"/>
          <w:shd w:val="clear" w:color="auto" w:fill="FFFFFF"/>
        </w:rPr>
        <w:t>The selection of the effort-sharing approaches is a controversial topic</w:t>
      </w:r>
      <w:r w:rsidR="00386BC8">
        <w:rPr>
          <w:color w:val="000000"/>
          <w:sz w:val="22"/>
          <w:szCs w:val="22"/>
          <w:shd w:val="clear" w:color="auto" w:fill="FFFFFF"/>
        </w:rPr>
        <w:t>,</w:t>
      </w:r>
      <w:r w:rsidRPr="00363AAD">
        <w:rPr>
          <w:color w:val="000000"/>
          <w:sz w:val="22"/>
          <w:szCs w:val="22"/>
          <w:shd w:val="clear" w:color="auto" w:fill="FFFFFF"/>
        </w:rPr>
        <w:t xml:space="preserve"> since it can be regarded as unfair i</w:t>
      </w:r>
      <w:r w:rsidR="00386BC8">
        <w:rPr>
          <w:color w:val="000000"/>
          <w:sz w:val="22"/>
          <w:szCs w:val="22"/>
          <w:shd w:val="clear" w:color="auto" w:fill="FFFFFF"/>
        </w:rPr>
        <w:t>f</w:t>
      </w:r>
      <w:r w:rsidRPr="00363AAD">
        <w:rPr>
          <w:color w:val="000000"/>
          <w:sz w:val="22"/>
          <w:szCs w:val="22"/>
          <w:shd w:val="clear" w:color="auto" w:fill="FFFFFF"/>
        </w:rPr>
        <w:t xml:space="preserve"> they are considered biased, for instance, in favour of wealthier countries over developing countries or </w:t>
      </w:r>
      <w:r w:rsidRPr="00D125B9">
        <w:rPr>
          <w:i/>
          <w:color w:val="000000"/>
          <w:sz w:val="22"/>
          <w:szCs w:val="22"/>
          <w:shd w:val="clear" w:color="auto" w:fill="FFFFFF"/>
        </w:rPr>
        <w:t>vice-versa</w:t>
      </w:r>
      <w:r w:rsidRPr="007D093C">
        <w:rPr>
          <w:color w:val="000000"/>
          <w:sz w:val="22"/>
          <w:szCs w:val="22"/>
          <w:shd w:val="clear" w:color="auto" w:fill="FFFFFF"/>
        </w:rPr>
        <w:fldChar w:fldCharType="begin" w:fldLock="1"/>
      </w:r>
      <w:r w:rsidR="00D125B9">
        <w:rPr>
          <w:color w:val="000000"/>
          <w:sz w:val="22"/>
          <w:szCs w:val="22"/>
          <w:shd w:val="clear" w:color="auto" w:fill="FFFFFF"/>
        </w:rPr>
        <w:instrText>ADDIN CSL_CITATION {"citationItems":[{"id":"ITEM-1","itemData":{"ISSN":"1758-6798","author":[{"dropping-particle":"","family":"Kartha","given":"Sivan","non-dropping-particle":"","parse-names":false,"suffix":""},{"dropping-particle":"","family":"Athanasiou","given":"Tom","non-dropping-particle":"","parse-names":false,"suffix":""},{"dropping-particle":"","family":"Caney","given":"Simon","non-dropping-particle":"","parse-names":false,"suffix":""},{"dropping-particle":"","family":"Cripps","given":"Elizabeth","non-dropping-particle":"","parse-names":false,"suffix":""},{"dropping-particle":"","family":"Dooley","given":"Kate","non-dropping-particle":"","parse-names":false,"suffix":""},{"dropping-particle":"","family":"Dubash","given":"Navroz K","non-dropping-particle":"","parse-names":false,"suffix":""},{"dropping-particle":"","family":"Fei","given":"Teng","non-dropping-particle":"","parse-names":false,"suffix":""},{"dropping-particle":"","family":"Harris","given":"Paul G","non-dropping-particle":"","parse-names":false,"suffix":""},{"dropping-particle":"","family":"Holz","given":"Christian","non-dropping-particle":"","parse-names":false,"suffix":""},{"dropping-particle":"","family":"Lahn","given":"Bård","non-dropping-particle":"","parse-names":false,"suffix":""}],"container-title":"Nature Climate Change","id":"ITEM-1","issue":"5","issued":{"date-parts":[["2018"]]},"page":"348-349","publisher":"Nature Publishing Group","title":"Cascading biases against poorer countries","type":"article-journal","volume":"8"},"uris":["http://www.mendeley.com/documents/?uuid=7aefb233-fc25-4882-bee6-542259adecd2"]}],"mendeley":{"formattedCitation":"&lt;sup&gt;21&lt;/sup&gt;","plainTextFormattedCitation":"21","previouslyFormattedCitation":"&lt;sup&gt;21&lt;/sup&gt;"},"properties":{"noteIndex":0},"schema":"https://github.com/citation-style-language/schema/raw/master/csl-citation.json"}</w:instrText>
      </w:r>
      <w:r w:rsidRPr="007D093C">
        <w:rPr>
          <w:color w:val="000000"/>
          <w:sz w:val="22"/>
          <w:szCs w:val="22"/>
          <w:shd w:val="clear" w:color="auto" w:fill="FFFFFF"/>
        </w:rPr>
        <w:fldChar w:fldCharType="separate"/>
      </w:r>
      <w:r w:rsidR="00D125B9" w:rsidRPr="00D125B9">
        <w:rPr>
          <w:noProof/>
          <w:color w:val="000000"/>
          <w:sz w:val="22"/>
          <w:szCs w:val="22"/>
          <w:shd w:val="clear" w:color="auto" w:fill="FFFFFF"/>
          <w:vertAlign w:val="superscript"/>
        </w:rPr>
        <w:t>21</w:t>
      </w:r>
      <w:r w:rsidRPr="007D093C">
        <w:rPr>
          <w:color w:val="000000"/>
          <w:sz w:val="22"/>
          <w:szCs w:val="22"/>
          <w:shd w:val="clear" w:color="auto" w:fill="FFFFFF"/>
        </w:rPr>
        <w:fldChar w:fldCharType="end"/>
      </w:r>
      <w:r w:rsidRPr="007D093C">
        <w:rPr>
          <w:color w:val="000000"/>
          <w:sz w:val="22"/>
          <w:szCs w:val="22"/>
          <w:shd w:val="clear" w:color="auto" w:fill="FFFFFF"/>
        </w:rPr>
        <w:t>. Without loss of generality, and recognizing the ethical importance of other equity notions, in our work we</w:t>
      </w:r>
      <w:r w:rsidRPr="00363AAD">
        <w:rPr>
          <w:color w:val="000000"/>
          <w:sz w:val="22"/>
          <w:szCs w:val="22"/>
          <w:shd w:val="clear" w:color="auto" w:fill="FFFFFF"/>
        </w:rPr>
        <w:t xml:space="preserve"> consider a set of the core equity principles</w:t>
      </w:r>
      <w:r w:rsidR="00386BC8">
        <w:rPr>
          <w:color w:val="000000"/>
          <w:sz w:val="22"/>
          <w:szCs w:val="22"/>
          <w:shd w:val="clear" w:color="auto" w:fill="FFFFFF"/>
        </w:rPr>
        <w:t>,</w:t>
      </w:r>
      <w:r w:rsidRPr="00363AAD">
        <w:rPr>
          <w:color w:val="000000"/>
          <w:sz w:val="22"/>
          <w:szCs w:val="22"/>
          <w:shd w:val="clear" w:color="auto" w:fill="FFFFFF"/>
        </w:rPr>
        <w:t xml:space="preserve"> which are widely accepted in the international climate regime. In particular, our set of principles comprises three out of the four key equity categories contemplated in Chapter 4 of the AR5 IPPC report</w:t>
      </w:r>
      <w:r w:rsidRPr="007D093C">
        <w:rPr>
          <w:color w:val="000000"/>
          <w:sz w:val="22"/>
          <w:szCs w:val="22"/>
          <w:shd w:val="clear" w:color="auto" w:fill="FFFFFF"/>
        </w:rPr>
        <w:fldChar w:fldCharType="begin" w:fldLock="1"/>
      </w:r>
      <w:r w:rsidR="00D125B9">
        <w:rPr>
          <w:color w:val="000000"/>
          <w:sz w:val="22"/>
          <w:szCs w:val="22"/>
          <w:shd w:val="clear" w:color="auto" w:fill="FFFFFF"/>
        </w:rPr>
        <w:instrText>ADDIN CSL_CITATION {"citationItems":[{"id":"ITEM-1","itemData":{"ISSN":"110705821X","author":[{"dropping-particle":"","family":"Fleurbaey","given":"Marc","non-dropping-particle":"","parse-names":false,"suffix":""},{"dropping-particle":"","family":"Kartha","given":"Sivan","non-dropping-particle":"","parse-names":false,"suffix":""},{"dropping-particle":"","family":"Bolwig","given":"Simon","non-dropping-particle":"","parse-names":false,"suffix":""},{"dropping-particle":"","family":"Chee","given":"Yoke Ling","non-dropping-particle":"","parse-names":false,"suffix":""},{"dropping-particle":"","family":"Chen","given":"Ying","non-dropping-particle":"","parse-names":false,"suffix":""},{"dropping-particle":"","family":"Corbera","given":"Esteve","non-dropping-particle":"","parse-names":false,"suffix":""},{"dropping-particle":"","family":"Lecocq","given":"Franck","non-dropping-particle":"","parse-names":false,"suffix":""},{"dropping-particle":"","family":"Lutz","given":"Wolfgang","non-dropping-particle":"","parse-names":false,"suffix":""},{"dropping-particle":"","family":"Muylaert","given":"Maria Silvia","non-dropping-particle":"","parse-names":false,"suffix":""},{"dropping-particle":"","family":"Norgaard","given":"Richard B","non-dropping-particle":"","parse-names":false,"suffix":""}],"chapter-number":"Chapter 4","id":"ITEM-1","issued":{"date-parts":[["2014"]]},"publisher":"Cambridge University Press","title":"Sustainable development and equity. In: Climate Change 2014: Mitigation of Climate Change. Contribution of Working Group III to the Fifth Assessment Report of the Intergovernmental Panel on Climate Change","type":"chapter"},"uris":["http://www.mendeley.com/documents/?uuid=925e8036-06af-456a-ab7b-64660b422793"]}],"mendeley":{"formattedCitation":"&lt;sup&gt;22&lt;/sup&gt;","plainTextFormattedCitation":"22","previouslyFormattedCitation":"&lt;sup&gt;22&lt;/sup&gt;"},"properties":{"noteIndex":0},"schema":"https://github.com/citation-style-language/schema/raw/master/csl-citation.json"}</w:instrText>
      </w:r>
      <w:r w:rsidRPr="007D093C">
        <w:rPr>
          <w:color w:val="000000"/>
          <w:sz w:val="22"/>
          <w:szCs w:val="22"/>
          <w:shd w:val="clear" w:color="auto" w:fill="FFFFFF"/>
        </w:rPr>
        <w:fldChar w:fldCharType="separate"/>
      </w:r>
      <w:r w:rsidR="00D125B9" w:rsidRPr="00D125B9">
        <w:rPr>
          <w:noProof/>
          <w:color w:val="000000"/>
          <w:sz w:val="22"/>
          <w:szCs w:val="22"/>
          <w:shd w:val="clear" w:color="auto" w:fill="FFFFFF"/>
          <w:vertAlign w:val="superscript"/>
        </w:rPr>
        <w:t>22</w:t>
      </w:r>
      <w:r w:rsidRPr="007D093C">
        <w:rPr>
          <w:color w:val="000000"/>
          <w:sz w:val="22"/>
          <w:szCs w:val="22"/>
          <w:shd w:val="clear" w:color="auto" w:fill="FFFFFF"/>
        </w:rPr>
        <w:fldChar w:fldCharType="end"/>
      </w:r>
      <w:r w:rsidRPr="007D093C">
        <w:rPr>
          <w:color w:val="000000"/>
          <w:sz w:val="22"/>
          <w:szCs w:val="22"/>
          <w:shd w:val="clear" w:color="auto" w:fill="FFFFFF"/>
        </w:rPr>
        <w:t xml:space="preserve">, namely </w:t>
      </w:r>
      <w:r w:rsidRPr="007D093C">
        <w:rPr>
          <w:i/>
          <w:iCs/>
          <w:color w:val="000000"/>
          <w:sz w:val="22"/>
          <w:szCs w:val="22"/>
          <w:shd w:val="clear" w:color="auto" w:fill="FFFFFF"/>
        </w:rPr>
        <w:t>Responsibility</w:t>
      </w:r>
      <w:r w:rsidRPr="00363AAD">
        <w:rPr>
          <w:color w:val="000000"/>
          <w:sz w:val="22"/>
          <w:szCs w:val="22"/>
          <w:shd w:val="clear" w:color="auto" w:fill="FFFFFF"/>
        </w:rPr>
        <w:t xml:space="preserve">, </w:t>
      </w:r>
      <w:r w:rsidRPr="00363AAD">
        <w:rPr>
          <w:i/>
          <w:iCs/>
          <w:color w:val="000000"/>
          <w:sz w:val="22"/>
          <w:szCs w:val="22"/>
          <w:shd w:val="clear" w:color="auto" w:fill="FFFFFF"/>
        </w:rPr>
        <w:t>Capability</w:t>
      </w:r>
      <w:r w:rsidRPr="00363AAD">
        <w:rPr>
          <w:color w:val="000000"/>
          <w:sz w:val="22"/>
          <w:szCs w:val="22"/>
          <w:shd w:val="clear" w:color="auto" w:fill="FFFFFF"/>
        </w:rPr>
        <w:t xml:space="preserve"> and </w:t>
      </w:r>
      <w:r w:rsidRPr="00363AAD">
        <w:rPr>
          <w:i/>
          <w:iCs/>
          <w:color w:val="000000"/>
          <w:sz w:val="22"/>
          <w:szCs w:val="22"/>
          <w:shd w:val="clear" w:color="auto" w:fill="FFFFFF"/>
        </w:rPr>
        <w:t>Equality</w:t>
      </w:r>
      <w:r w:rsidRPr="00363AAD">
        <w:rPr>
          <w:color w:val="000000"/>
          <w:sz w:val="22"/>
          <w:szCs w:val="22"/>
          <w:shd w:val="clear" w:color="auto" w:fill="FFFFFF"/>
        </w:rPr>
        <w:t>. These three equity principles alone correspond to the three first (out of the six) key categories of effort-sharing approaches used by the IPCC and other authors</w:t>
      </w:r>
      <w:r w:rsidRPr="007D093C">
        <w:rPr>
          <w:color w:val="000000"/>
          <w:sz w:val="22"/>
          <w:szCs w:val="22"/>
          <w:shd w:val="clear" w:color="auto" w:fill="FFFFFF"/>
        </w:rPr>
        <w:fldChar w:fldCharType="begin" w:fldLock="1"/>
      </w:r>
      <w:r w:rsidR="00D125B9">
        <w:rPr>
          <w:color w:val="000000"/>
          <w:sz w:val="22"/>
          <w:szCs w:val="22"/>
          <w:shd w:val="clear" w:color="auto" w:fill="FFFFFF"/>
        </w:rPr>
        <w:instrText>ADDIN CSL_CITATION {"citationItems":[{"id":"ITEM-1","itemData":{"ISSN":"110705821X","author":[{"dropping-particle":"","family":"Fleurbaey","given":"Marc","non-dropping-particle":"","parse-names":false,"suffix":""},{"dropping-particle":"","family":"Kartha","given":"Sivan","non-dropping-particle":"","parse-names":false,"suffix":""},{"dropping-particle":"","family":"Bolwig","given":"Simon","non-dropping-particle":"","parse-names":false,"suffix":""},{"dropping-particle":"","family":"Chee","given":"Yoke Ling","non-dropping-particle":"","parse-names":false,"suffix":""},{"dropping-particle":"","family":"Chen","given":"Ying","non-dropping-particle":"","parse-names":false,"suffix":""},{"dropping-particle":"","family":"Corbera","given":"Esteve","non-dropping-particle":"","parse-names":false,"suffix":""},{"dropping-particle":"","family":"Lecocq","given":"Franck","non-dropping-particle":"","parse-names":false,"suffix":""},{"dropping-particle":"","family":"Lutz","given":"Wolfgang","non-dropping-particle":"","parse-names":false,"suffix":""},{"dropping-particle":"","family":"Muylaert","given":"Maria Silvia","non-dropping-particle":"","parse-names":false,"suffix":""},{"dropping-particle":"","family":"Norgaard","given":"Richard B","non-dropping-particle":"","parse-names":false,"suffix":""}],"chapter-number":"Chapter 4","id":"ITEM-1","issued":{"date-parts":[["2014"]]},"publisher":"Cambridge University Press","title":"Sustainable development and equity. In: Climate Change 2014: Mitigation of Climate Change. Contribution of Working Group III to the Fifth Assessment Report of the Intergovernmental Panel on Climate Change","type":"chapter"},"uris":["http://www.mendeley.com/documents/?uuid=925e8036-06af-456a-ab7b-64660b422793"]},{"id":"ITEM-2","itemData":{"ISSN":"1462-9011","author":[{"dropping-particle":"","family":"Pan","given":"Xunzhang","non-dropping-particle":"","parse-names":false,"suffix":""},{"dropping-particle":"","family":"Elzen","given":"Michel","non-dropping-particle":"den","parse-names":false,"suffix":""},{"dropping-particle":"","family":"Höhne","given":"Niklas","non-dropping-particle":"","parse-names":false,"suffix":""},{"dropping-particle":"","family":"Teng","given":"Fei","non-dropping-particle":"","parse-names":false,"suffix":""},{"dropping-particle":"","family":"Wang","given":"Lining","non-dropping-particle":"","parse-names":false,"suffix":""}],"container-title":"Environmental Science &amp; Policy","id":"ITEM-2","issued":{"date-parts":[["2017"]]},"page":"49-56","publisher":"Elsevier","title":"Exploring fair and ambitious mitigation contributions under the Paris Agreement goals","type":"article-journal","volume":"74"},"uris":["http://www.mendeley.com/documents/?uuid=1f836406-e02d-41de-a550-3e7bb0f7ed18"]},{"id":"ITEM-3","itemData":{"ISSN":"0165-0009","author":[{"dropping-particle":"","family":"Berg","given":"Nicole J","non-dropping-particle":"van den","parse-names":false,"suffix":""},{"dropping-particle":"","family":"Soest","given":"Heleen L","non-dropping-particle":"van","parse-names":false,"suffix":""},{"dropping-particle":"","family":"Hof","given":"Andries F","non-dropping-particle":"","parse-names":false,"suffix":""},{"dropping-particle":"","family":"Elzen","given":"Michel G J","non-dropping-particle":"den","parse-names":false,"suffix":""},{"dropping-particle":"","family":"Vuuren","given":"Detlef P","non-dropping-particle":"van","parse-names":false,"suffix":""},{"dropping-particle":"","family":"Chen","given":"Wenying","non-dropping-particle":"","parse-names":false,"suffix":""},{"dropping-particle":"","family":"Drouet","given":"Laurent","non-dropping-particle":"","parse-names":false,"suffix":""},{"dropping-particle":"","family":"Emmerling","given":"Johannes","non-dropping-particle":"","parse-names":false,"suffix":""},{"dropping-particle":"","family":"Fujimori","given":"Shinichiro","non-dropping-particle":"","parse-names":false,"suffix":""},{"dropping-particle":"","family":"Höhne","given":"Niklas","non-dropping-particle":"","parse-names":false,"suffix":""}],"container-title":"Climatic Change","id":"ITEM-3","issued":{"date-parts":[["2019"]]},"page":"1-18","publisher":"Springer","title":"Implications of various effort-sharing approaches for national carbon budgets and emission pathways","type":"article-journal"},"uris":["http://www.mendeley.com/documents/?uuid=f904a673-d0f3-48b6-bddd-95a38ca87747"]}],"mendeley":{"formattedCitation":"&lt;sup&gt;4,22,23&lt;/sup&gt;","plainTextFormattedCitation":"4,22,23","previouslyFormattedCitation":"&lt;sup&gt;4,22,23&lt;/sup&gt;"},"properties":{"noteIndex":0},"schema":"https://github.com/citation-style-language/schema/raw/master/csl-citation.json"}</w:instrText>
      </w:r>
      <w:r w:rsidRPr="007D093C">
        <w:rPr>
          <w:color w:val="000000"/>
          <w:sz w:val="22"/>
          <w:szCs w:val="22"/>
          <w:shd w:val="clear" w:color="auto" w:fill="FFFFFF"/>
        </w:rPr>
        <w:fldChar w:fldCharType="separate"/>
      </w:r>
      <w:r w:rsidR="00D125B9" w:rsidRPr="00D125B9">
        <w:rPr>
          <w:noProof/>
          <w:color w:val="000000"/>
          <w:sz w:val="22"/>
          <w:szCs w:val="22"/>
          <w:shd w:val="clear" w:color="auto" w:fill="FFFFFF"/>
          <w:vertAlign w:val="superscript"/>
        </w:rPr>
        <w:t>4,22,23</w:t>
      </w:r>
      <w:r w:rsidRPr="007D093C">
        <w:rPr>
          <w:color w:val="000000"/>
          <w:sz w:val="22"/>
          <w:szCs w:val="22"/>
          <w:shd w:val="clear" w:color="auto" w:fill="FFFFFF"/>
        </w:rPr>
        <w:fldChar w:fldCharType="end"/>
      </w:r>
      <w:r w:rsidRPr="007D093C">
        <w:rPr>
          <w:color w:val="000000"/>
          <w:sz w:val="22"/>
          <w:szCs w:val="22"/>
          <w:shd w:val="clear" w:color="auto" w:fill="FFFFFF"/>
        </w:rPr>
        <w:t xml:space="preserve"> while the following three categories correspond to  different </w:t>
      </w:r>
      <w:r w:rsidRPr="00363AAD">
        <w:rPr>
          <w:color w:val="000000"/>
          <w:sz w:val="22"/>
          <w:szCs w:val="22"/>
          <w:shd w:val="clear" w:color="auto" w:fill="FFFFFF"/>
        </w:rPr>
        <w:lastRenderedPageBreak/>
        <w:t xml:space="preserve">combinations of these three principles. As an illustrative example of a combined approach, we also propose a </w:t>
      </w:r>
      <w:proofErr w:type="gramStart"/>
      <w:r w:rsidRPr="00363AAD">
        <w:rPr>
          <w:i/>
          <w:iCs/>
          <w:color w:val="000000"/>
          <w:sz w:val="22"/>
          <w:szCs w:val="22"/>
          <w:shd w:val="clear" w:color="auto" w:fill="FFFFFF"/>
        </w:rPr>
        <w:t>Multi-criteria</w:t>
      </w:r>
      <w:proofErr w:type="gramEnd"/>
      <w:r w:rsidRPr="00363AAD">
        <w:rPr>
          <w:color w:val="000000"/>
          <w:sz w:val="22"/>
          <w:szCs w:val="22"/>
          <w:shd w:val="clear" w:color="auto" w:fill="FFFFFF"/>
        </w:rPr>
        <w:t xml:space="preserve"> voting approach </w:t>
      </w:r>
      <w:r w:rsidR="00386BC8">
        <w:rPr>
          <w:color w:val="000000"/>
          <w:sz w:val="22"/>
          <w:szCs w:val="22"/>
          <w:shd w:val="clear" w:color="auto" w:fill="FFFFFF"/>
        </w:rPr>
        <w:t>that blends the</w:t>
      </w:r>
      <w:r w:rsidRPr="00363AAD">
        <w:rPr>
          <w:color w:val="000000"/>
          <w:sz w:val="22"/>
          <w:szCs w:val="22"/>
          <w:shd w:val="clear" w:color="auto" w:fill="FFFFFF"/>
        </w:rPr>
        <w:t xml:space="preserve"> three equity approaches </w:t>
      </w:r>
      <w:r w:rsidR="00386BC8">
        <w:rPr>
          <w:color w:val="000000"/>
          <w:sz w:val="22"/>
          <w:szCs w:val="22"/>
          <w:shd w:val="clear" w:color="auto" w:fill="FFFFFF"/>
        </w:rPr>
        <w:t>and</w:t>
      </w:r>
      <w:r w:rsidRPr="00363AAD">
        <w:rPr>
          <w:color w:val="000000"/>
          <w:sz w:val="22"/>
          <w:szCs w:val="22"/>
          <w:shd w:val="clear" w:color="auto" w:fill="FFFFFF"/>
        </w:rPr>
        <w:t xml:space="preserve"> could</w:t>
      </w:r>
      <w:r w:rsidR="00386BC8">
        <w:rPr>
          <w:color w:val="000000"/>
          <w:sz w:val="22"/>
          <w:szCs w:val="22"/>
          <w:shd w:val="clear" w:color="auto" w:fill="FFFFFF"/>
        </w:rPr>
        <w:t>, therefore, prove useful to underpin</w:t>
      </w:r>
      <w:r w:rsidRPr="00363AAD">
        <w:rPr>
          <w:color w:val="000000"/>
          <w:sz w:val="22"/>
          <w:szCs w:val="22"/>
          <w:shd w:val="clear" w:color="auto" w:fill="FFFFFF"/>
        </w:rPr>
        <w:t xml:space="preserve"> negotiations among countries</w:t>
      </w:r>
      <w:r w:rsidR="00810438" w:rsidRPr="00363AAD">
        <w:rPr>
          <w:color w:val="000000"/>
          <w:sz w:val="22"/>
          <w:szCs w:val="22"/>
          <w:shd w:val="clear" w:color="auto" w:fill="FFFFFF"/>
        </w:rPr>
        <w:t>.</w:t>
      </w:r>
    </w:p>
    <w:p w14:paraId="467B9141" w14:textId="0696D89B" w:rsidR="00602D0F" w:rsidRPr="00363AAD" w:rsidRDefault="00810438">
      <w:pPr>
        <w:pStyle w:val="ListParagraph"/>
        <w:numPr>
          <w:ilvl w:val="0"/>
          <w:numId w:val="50"/>
        </w:numPr>
        <w:jc w:val="both"/>
        <w:rPr>
          <w:color w:val="000000"/>
          <w:sz w:val="22"/>
          <w:szCs w:val="22"/>
          <w:shd w:val="clear" w:color="auto" w:fill="FFFFFF"/>
        </w:rPr>
      </w:pPr>
      <w:r w:rsidRPr="00363AAD">
        <w:rPr>
          <w:color w:val="000000"/>
          <w:sz w:val="22"/>
          <w:szCs w:val="22"/>
          <w:shd w:val="clear" w:color="auto" w:fill="FFFFFF"/>
        </w:rPr>
        <w:t>In the comparison between the CDR quotas derived from the equity principles and the domestic potential of the countries, we consider a limited portfolio of CDR options comprising BECCS, reforestation and DACCS. To date, BECCS and reforestation/afforestation appear in most IAMS</w:t>
      </w:r>
      <w:r w:rsidR="00123382">
        <w:rPr>
          <w:color w:val="000000"/>
          <w:sz w:val="22"/>
          <w:szCs w:val="22"/>
          <w:shd w:val="clear" w:color="auto" w:fill="FFFFFF"/>
        </w:rPr>
        <w:t>,</w:t>
      </w:r>
      <w:r w:rsidRPr="00363AAD">
        <w:rPr>
          <w:color w:val="000000"/>
          <w:sz w:val="22"/>
          <w:szCs w:val="22"/>
          <w:shd w:val="clear" w:color="auto" w:fill="FFFFFF"/>
        </w:rPr>
        <w:t xml:space="preserve"> while the contribution from DACCS is marginal. Other CDR options could be incorporated in the analysis when new data become available</w:t>
      </w:r>
      <w:r w:rsidR="00123382">
        <w:rPr>
          <w:color w:val="000000"/>
          <w:sz w:val="22"/>
          <w:szCs w:val="22"/>
          <w:shd w:val="clear" w:color="auto" w:fill="FFFFFF"/>
        </w:rPr>
        <w:t>,</w:t>
      </w:r>
      <w:r w:rsidRPr="00363AAD">
        <w:rPr>
          <w:color w:val="000000"/>
          <w:sz w:val="22"/>
          <w:szCs w:val="22"/>
          <w:shd w:val="clear" w:color="auto" w:fill="FFFFFF"/>
        </w:rPr>
        <w:t xml:space="preserve"> which would increase the domestic potential of the countries.</w:t>
      </w:r>
      <w:r w:rsidR="00602D0F" w:rsidRPr="00363AAD">
        <w:rPr>
          <w:color w:val="000000"/>
          <w:sz w:val="22"/>
          <w:szCs w:val="22"/>
          <w:shd w:val="clear" w:color="auto" w:fill="FFFFFF"/>
        </w:rPr>
        <w:t xml:space="preserve"> </w:t>
      </w:r>
      <w:r w:rsidR="00123382">
        <w:rPr>
          <w:color w:val="000000"/>
          <w:sz w:val="22"/>
          <w:szCs w:val="22"/>
          <w:shd w:val="clear" w:color="auto" w:fill="FFFFFF"/>
        </w:rPr>
        <w:t>Due to scarce data, w</w:t>
      </w:r>
      <w:r w:rsidR="00602D0F" w:rsidRPr="00363AAD">
        <w:rPr>
          <w:color w:val="000000"/>
          <w:sz w:val="22"/>
          <w:szCs w:val="22"/>
          <w:shd w:val="clear" w:color="auto" w:fill="FFFFFF"/>
        </w:rPr>
        <w:t>e restrict</w:t>
      </w:r>
      <w:r w:rsidR="00123382">
        <w:rPr>
          <w:color w:val="000000"/>
          <w:sz w:val="22"/>
          <w:szCs w:val="22"/>
          <w:shd w:val="clear" w:color="auto" w:fill="FFFFFF"/>
        </w:rPr>
        <w:t>ed</w:t>
      </w:r>
      <w:r w:rsidR="00602D0F" w:rsidRPr="00363AAD">
        <w:rPr>
          <w:color w:val="000000"/>
          <w:sz w:val="22"/>
          <w:szCs w:val="22"/>
          <w:shd w:val="clear" w:color="auto" w:fill="FFFFFF"/>
        </w:rPr>
        <w:t xml:space="preserve"> our </w:t>
      </w:r>
      <w:r w:rsidR="00123382">
        <w:rPr>
          <w:color w:val="000000"/>
          <w:sz w:val="22"/>
          <w:szCs w:val="22"/>
          <w:shd w:val="clear" w:color="auto" w:fill="FFFFFF"/>
        </w:rPr>
        <w:t>study</w:t>
      </w:r>
      <w:r w:rsidR="00602D0F" w:rsidRPr="00363AAD">
        <w:rPr>
          <w:color w:val="000000"/>
          <w:sz w:val="22"/>
          <w:szCs w:val="22"/>
          <w:shd w:val="clear" w:color="auto" w:fill="FFFFFF"/>
        </w:rPr>
        <w:t xml:space="preserve"> to the EU countries</w:t>
      </w:r>
      <w:r w:rsidR="00123382">
        <w:rPr>
          <w:color w:val="000000"/>
          <w:sz w:val="22"/>
          <w:szCs w:val="22"/>
          <w:shd w:val="clear" w:color="auto" w:fill="FFFFFF"/>
        </w:rPr>
        <w:t>. T</w:t>
      </w:r>
      <w:r w:rsidR="00F91D41" w:rsidRPr="00363AAD">
        <w:rPr>
          <w:color w:val="000000"/>
          <w:sz w:val="22"/>
          <w:szCs w:val="22"/>
          <w:shd w:val="clear" w:color="auto" w:fill="FFFFFF"/>
        </w:rPr>
        <w:t>his analysis</w:t>
      </w:r>
      <w:r w:rsidR="00123382">
        <w:rPr>
          <w:color w:val="000000"/>
          <w:sz w:val="22"/>
          <w:szCs w:val="22"/>
          <w:shd w:val="clear" w:color="auto" w:fill="FFFFFF"/>
        </w:rPr>
        <w:t>, however,</w:t>
      </w:r>
      <w:r w:rsidR="00F91D41" w:rsidRPr="00363AAD">
        <w:rPr>
          <w:color w:val="000000"/>
          <w:sz w:val="22"/>
          <w:szCs w:val="22"/>
          <w:shd w:val="clear" w:color="auto" w:fill="FFFFFF"/>
        </w:rPr>
        <w:t xml:space="preserve"> could be expanded to al</w:t>
      </w:r>
      <w:r w:rsidR="00123382">
        <w:rPr>
          <w:color w:val="000000"/>
          <w:sz w:val="22"/>
          <w:szCs w:val="22"/>
          <w:shd w:val="clear" w:color="auto" w:fill="FFFFFF"/>
        </w:rPr>
        <w:t>l</w:t>
      </w:r>
      <w:r w:rsidR="00F91D41" w:rsidRPr="00363AAD">
        <w:rPr>
          <w:color w:val="000000"/>
          <w:sz w:val="22"/>
          <w:szCs w:val="22"/>
          <w:shd w:val="clear" w:color="auto" w:fill="FFFFFF"/>
        </w:rPr>
        <w:t xml:space="preserve"> the UNFCC parties when </w:t>
      </w:r>
      <w:r w:rsidR="00123382">
        <w:rPr>
          <w:color w:val="000000"/>
          <w:sz w:val="22"/>
          <w:szCs w:val="22"/>
          <w:shd w:val="clear" w:color="auto" w:fill="FFFFFF"/>
        </w:rPr>
        <w:t xml:space="preserve">more </w:t>
      </w:r>
      <w:r w:rsidR="00F91D41" w:rsidRPr="00363AAD">
        <w:rPr>
          <w:color w:val="000000"/>
          <w:sz w:val="22"/>
          <w:szCs w:val="22"/>
          <w:shd w:val="clear" w:color="auto" w:fill="FFFFFF"/>
        </w:rPr>
        <w:t xml:space="preserve">data become available. </w:t>
      </w:r>
    </w:p>
    <w:p w14:paraId="7218C94A" w14:textId="73087C79" w:rsidR="00810438" w:rsidRPr="00363AAD" w:rsidRDefault="00810438" w:rsidP="00E13410">
      <w:pPr>
        <w:pStyle w:val="ListParagraph"/>
        <w:numPr>
          <w:ilvl w:val="0"/>
          <w:numId w:val="50"/>
        </w:numPr>
        <w:jc w:val="both"/>
        <w:rPr>
          <w:color w:val="000000"/>
          <w:sz w:val="22"/>
          <w:szCs w:val="22"/>
          <w:shd w:val="clear" w:color="auto" w:fill="FFFFFF"/>
        </w:rPr>
      </w:pPr>
      <w:r w:rsidRPr="00363AAD">
        <w:rPr>
          <w:color w:val="000000"/>
          <w:sz w:val="22"/>
          <w:szCs w:val="22"/>
          <w:shd w:val="clear" w:color="auto" w:fill="FFFFFF"/>
        </w:rPr>
        <w:t>In our analysis</w:t>
      </w:r>
      <w:r w:rsidR="007B5D02" w:rsidRPr="00363AAD">
        <w:rPr>
          <w:color w:val="000000"/>
          <w:sz w:val="22"/>
          <w:szCs w:val="22"/>
          <w:shd w:val="clear" w:color="auto" w:fill="FFFFFF"/>
        </w:rPr>
        <w:t>,</w:t>
      </w:r>
      <w:r w:rsidRPr="00363AAD">
        <w:rPr>
          <w:color w:val="000000"/>
          <w:sz w:val="22"/>
          <w:szCs w:val="22"/>
          <w:shd w:val="clear" w:color="auto" w:fill="FFFFFF"/>
        </w:rPr>
        <w:t xml:space="preserve"> we only consider the</w:t>
      </w:r>
      <w:r w:rsidR="007B5D02" w:rsidRPr="00363AAD">
        <w:rPr>
          <w:color w:val="000000"/>
          <w:sz w:val="22"/>
          <w:szCs w:val="22"/>
          <w:shd w:val="clear" w:color="auto" w:fill="FFFFFF"/>
        </w:rPr>
        <w:t xml:space="preserve"> potential of the CDR option</w:t>
      </w:r>
      <w:r w:rsidR="00123382">
        <w:rPr>
          <w:color w:val="000000"/>
          <w:sz w:val="22"/>
          <w:szCs w:val="22"/>
          <w:shd w:val="clear" w:color="auto" w:fill="FFFFFF"/>
        </w:rPr>
        <w:t>s</w:t>
      </w:r>
      <w:r w:rsidR="007B5D02" w:rsidRPr="00363AAD">
        <w:rPr>
          <w:color w:val="000000"/>
          <w:sz w:val="22"/>
          <w:szCs w:val="22"/>
          <w:shd w:val="clear" w:color="auto" w:fill="FFFFFF"/>
        </w:rPr>
        <w:t xml:space="preserve"> to deliver negative emissions</w:t>
      </w:r>
      <w:r w:rsidR="00123382">
        <w:rPr>
          <w:color w:val="000000"/>
          <w:sz w:val="22"/>
          <w:szCs w:val="22"/>
          <w:shd w:val="clear" w:color="auto" w:fill="FFFFFF"/>
        </w:rPr>
        <w:t>. In practice</w:t>
      </w:r>
      <w:r w:rsidR="007B5D02" w:rsidRPr="00363AAD">
        <w:rPr>
          <w:color w:val="000000"/>
          <w:sz w:val="22"/>
          <w:szCs w:val="22"/>
          <w:shd w:val="clear" w:color="auto" w:fill="FFFFFF"/>
        </w:rPr>
        <w:t xml:space="preserve">, however, </w:t>
      </w:r>
      <w:r w:rsidR="00123382">
        <w:rPr>
          <w:color w:val="000000"/>
          <w:sz w:val="22"/>
          <w:szCs w:val="22"/>
          <w:shd w:val="clear" w:color="auto" w:fill="FFFFFF"/>
        </w:rPr>
        <w:t>there might be</w:t>
      </w:r>
      <w:r w:rsidR="007B5D02" w:rsidRPr="00363AAD">
        <w:rPr>
          <w:color w:val="000000"/>
          <w:sz w:val="22"/>
          <w:szCs w:val="22"/>
          <w:shd w:val="clear" w:color="auto" w:fill="FFFFFF"/>
        </w:rPr>
        <w:t xml:space="preserve"> other limiting factor</w:t>
      </w:r>
      <w:r w:rsidR="00123382">
        <w:rPr>
          <w:color w:val="000000"/>
          <w:sz w:val="22"/>
          <w:szCs w:val="22"/>
          <w:shd w:val="clear" w:color="auto" w:fill="FFFFFF"/>
        </w:rPr>
        <w:t>s</w:t>
      </w:r>
      <w:r w:rsidR="007B5D02" w:rsidRPr="00363AAD">
        <w:rPr>
          <w:color w:val="000000"/>
          <w:sz w:val="22"/>
          <w:szCs w:val="22"/>
          <w:shd w:val="clear" w:color="auto" w:fill="FFFFFF"/>
        </w:rPr>
        <w:t xml:space="preserve"> </w:t>
      </w:r>
      <w:r w:rsidR="00123382">
        <w:rPr>
          <w:color w:val="000000"/>
          <w:sz w:val="22"/>
          <w:szCs w:val="22"/>
          <w:shd w:val="clear" w:color="auto" w:fill="FFFFFF"/>
        </w:rPr>
        <w:t xml:space="preserve">hindering </w:t>
      </w:r>
      <w:r w:rsidR="007B5D02" w:rsidRPr="00363AAD">
        <w:rPr>
          <w:color w:val="000000"/>
          <w:sz w:val="22"/>
          <w:szCs w:val="22"/>
          <w:shd w:val="clear" w:color="auto" w:fill="FFFFFF"/>
        </w:rPr>
        <w:t>their large deployment</w:t>
      </w:r>
      <w:r w:rsidR="007427C6" w:rsidRPr="00363AAD">
        <w:rPr>
          <w:color w:val="000000"/>
          <w:sz w:val="22"/>
          <w:szCs w:val="22"/>
          <w:shd w:val="clear" w:color="auto" w:fill="FFFFFF"/>
        </w:rPr>
        <w:t xml:space="preserve"> </w:t>
      </w:r>
      <w:r w:rsidR="007B5D02" w:rsidRPr="00363AAD">
        <w:rPr>
          <w:color w:val="000000"/>
          <w:sz w:val="22"/>
          <w:szCs w:val="22"/>
          <w:shd w:val="clear" w:color="auto" w:fill="FFFFFF"/>
        </w:rPr>
        <w:t>such as economic consideration</w:t>
      </w:r>
      <w:r w:rsidR="007427C6" w:rsidRPr="00363AAD">
        <w:rPr>
          <w:color w:val="000000"/>
          <w:sz w:val="22"/>
          <w:szCs w:val="22"/>
          <w:shd w:val="clear" w:color="auto" w:fill="FFFFFF"/>
        </w:rPr>
        <w:t>s</w:t>
      </w:r>
      <w:r w:rsidR="007B5D02" w:rsidRPr="00363AAD">
        <w:rPr>
          <w:color w:val="000000"/>
          <w:sz w:val="22"/>
          <w:szCs w:val="22"/>
          <w:shd w:val="clear" w:color="auto" w:fill="FFFFFF"/>
        </w:rPr>
        <w:t>, social acceptance, political interest</w:t>
      </w:r>
      <w:r w:rsidR="007427C6" w:rsidRPr="00363AAD">
        <w:rPr>
          <w:color w:val="000000"/>
          <w:sz w:val="22"/>
          <w:szCs w:val="22"/>
          <w:shd w:val="clear" w:color="auto" w:fill="FFFFFF"/>
        </w:rPr>
        <w:t>s</w:t>
      </w:r>
      <w:r w:rsidR="007B5D02" w:rsidRPr="00363AAD">
        <w:rPr>
          <w:color w:val="000000"/>
          <w:sz w:val="22"/>
          <w:szCs w:val="22"/>
          <w:shd w:val="clear" w:color="auto" w:fill="FFFFFF"/>
        </w:rPr>
        <w:t xml:space="preserve"> or environmental side</w:t>
      </w:r>
      <w:r w:rsidR="007427C6" w:rsidRPr="00363AAD">
        <w:rPr>
          <w:color w:val="000000"/>
          <w:sz w:val="22"/>
          <w:szCs w:val="22"/>
          <w:shd w:val="clear" w:color="auto" w:fill="FFFFFF"/>
        </w:rPr>
        <w:t>-</w:t>
      </w:r>
      <w:r w:rsidR="007B5D02" w:rsidRPr="00363AAD">
        <w:rPr>
          <w:color w:val="000000"/>
          <w:sz w:val="22"/>
          <w:szCs w:val="22"/>
          <w:shd w:val="clear" w:color="auto" w:fill="FFFFFF"/>
        </w:rPr>
        <w:t>effect</w:t>
      </w:r>
      <w:r w:rsidR="007427C6" w:rsidRPr="00363AAD">
        <w:rPr>
          <w:color w:val="000000"/>
          <w:sz w:val="22"/>
          <w:szCs w:val="22"/>
          <w:shd w:val="clear" w:color="auto" w:fill="FFFFFF"/>
        </w:rPr>
        <w:t>s</w:t>
      </w:r>
      <w:r w:rsidR="007B5D02" w:rsidRPr="00363AAD">
        <w:rPr>
          <w:color w:val="000000"/>
          <w:sz w:val="22"/>
          <w:szCs w:val="22"/>
          <w:shd w:val="clear" w:color="auto" w:fill="FFFFFF"/>
        </w:rPr>
        <w:t>, among others.</w:t>
      </w:r>
    </w:p>
    <w:p w14:paraId="7F31D80B" w14:textId="3B10783A" w:rsidR="00505668" w:rsidRPr="00363AAD" w:rsidRDefault="00505668" w:rsidP="00C23B4D">
      <w:pPr>
        <w:pStyle w:val="ListParagraph"/>
        <w:numPr>
          <w:ilvl w:val="0"/>
          <w:numId w:val="50"/>
        </w:numPr>
        <w:jc w:val="both"/>
        <w:rPr>
          <w:color w:val="000000"/>
          <w:sz w:val="22"/>
          <w:szCs w:val="22"/>
          <w:shd w:val="clear" w:color="auto" w:fill="FFFFFF"/>
        </w:rPr>
      </w:pPr>
      <w:r w:rsidRPr="00363AAD">
        <w:rPr>
          <w:color w:val="000000"/>
          <w:sz w:val="22"/>
          <w:szCs w:val="22"/>
          <w:shd w:val="clear" w:color="auto" w:fill="FFFFFF"/>
        </w:rPr>
        <w:t>In the calculations of the CDR potentials, it would be necessary to account for a</w:t>
      </w:r>
      <w:r w:rsidR="003D61EE" w:rsidRPr="00363AAD">
        <w:rPr>
          <w:color w:val="000000"/>
          <w:sz w:val="22"/>
          <w:szCs w:val="22"/>
          <w:shd w:val="clear" w:color="auto" w:fill="FFFFFF"/>
        </w:rPr>
        <w:t>ll</w:t>
      </w:r>
      <w:r w:rsidRPr="00363AAD">
        <w:rPr>
          <w:color w:val="000000"/>
          <w:sz w:val="22"/>
          <w:szCs w:val="22"/>
          <w:shd w:val="clear" w:color="auto" w:fill="FFFFFF"/>
        </w:rPr>
        <w:t xml:space="preserve"> the</w:t>
      </w:r>
      <w:r w:rsidR="003D61EE" w:rsidRPr="00363AAD">
        <w:rPr>
          <w:color w:val="000000"/>
          <w:sz w:val="22"/>
          <w:szCs w:val="22"/>
          <w:shd w:val="clear" w:color="auto" w:fill="FFFFFF"/>
        </w:rPr>
        <w:t xml:space="preserve"> </w:t>
      </w:r>
      <w:r w:rsidR="003D61EE" w:rsidRPr="00363AAD">
        <w:rPr>
          <w:color w:val="000000"/>
          <w:sz w:val="22"/>
          <w:szCs w:val="22"/>
        </w:rPr>
        <w:t>l</w:t>
      </w:r>
      <w:r w:rsidRPr="00363AAD">
        <w:rPr>
          <w:color w:val="000000"/>
          <w:sz w:val="22"/>
          <w:szCs w:val="22"/>
        </w:rPr>
        <w:t>ife</w:t>
      </w:r>
      <w:r w:rsidR="003D61EE" w:rsidRPr="00363AAD">
        <w:rPr>
          <w:color w:val="000000"/>
          <w:sz w:val="22"/>
          <w:szCs w:val="22"/>
          <w:shd w:val="clear" w:color="auto" w:fill="FFFFFF"/>
        </w:rPr>
        <w:t xml:space="preserve"> </w:t>
      </w:r>
      <w:r w:rsidR="003D61EE" w:rsidRPr="00363AAD">
        <w:rPr>
          <w:color w:val="000000"/>
          <w:sz w:val="22"/>
          <w:szCs w:val="22"/>
        </w:rPr>
        <w:t>c</w:t>
      </w:r>
      <w:r w:rsidRPr="00363AAD">
        <w:rPr>
          <w:color w:val="000000"/>
          <w:sz w:val="22"/>
          <w:szCs w:val="22"/>
        </w:rPr>
        <w:t>ycle</w:t>
      </w:r>
      <w:r w:rsidR="003D61EE" w:rsidRPr="00363AAD">
        <w:rPr>
          <w:color w:val="000000"/>
          <w:sz w:val="22"/>
          <w:szCs w:val="22"/>
        </w:rPr>
        <w:t xml:space="preserve"> (</w:t>
      </w:r>
      <w:r w:rsidR="003D61EE" w:rsidRPr="00363AAD">
        <w:rPr>
          <w:color w:val="000000"/>
          <w:sz w:val="22"/>
          <w:szCs w:val="22"/>
          <w:shd w:val="clear" w:color="auto" w:fill="FFFFFF"/>
        </w:rPr>
        <w:t>g</w:t>
      </w:r>
      <w:r w:rsidRPr="00363AAD">
        <w:rPr>
          <w:color w:val="000000"/>
          <w:sz w:val="22"/>
          <w:szCs w:val="22"/>
          <w:shd w:val="clear" w:color="auto" w:fill="FFFFFF"/>
        </w:rPr>
        <w:t xml:space="preserve">reenhouse </w:t>
      </w:r>
      <w:r w:rsidR="003D61EE" w:rsidRPr="00363AAD">
        <w:rPr>
          <w:color w:val="000000"/>
          <w:sz w:val="22"/>
          <w:szCs w:val="22"/>
          <w:shd w:val="clear" w:color="auto" w:fill="FFFFFF"/>
        </w:rPr>
        <w:t>g</w:t>
      </w:r>
      <w:r w:rsidRPr="00363AAD">
        <w:rPr>
          <w:color w:val="000000"/>
          <w:sz w:val="22"/>
          <w:szCs w:val="22"/>
          <w:shd w:val="clear" w:color="auto" w:fill="FFFFFF"/>
        </w:rPr>
        <w:t>as</w:t>
      </w:r>
      <w:r w:rsidR="003D61EE" w:rsidRPr="00363AAD">
        <w:rPr>
          <w:color w:val="000000"/>
          <w:sz w:val="22"/>
          <w:szCs w:val="22"/>
          <w:shd w:val="clear" w:color="auto" w:fill="FFFFFF"/>
        </w:rPr>
        <w:t xml:space="preserve">) </w:t>
      </w:r>
      <w:r w:rsidR="003D61EE" w:rsidRPr="00363AAD">
        <w:rPr>
          <w:color w:val="000000"/>
          <w:sz w:val="22"/>
          <w:szCs w:val="22"/>
        </w:rPr>
        <w:t>e</w:t>
      </w:r>
      <w:r w:rsidRPr="00363AAD">
        <w:rPr>
          <w:color w:val="000000"/>
          <w:sz w:val="22"/>
          <w:szCs w:val="22"/>
        </w:rPr>
        <w:t>missions</w:t>
      </w:r>
      <w:r w:rsidRPr="00363AAD">
        <w:rPr>
          <w:color w:val="000000"/>
          <w:sz w:val="22"/>
          <w:szCs w:val="22"/>
          <w:shd w:val="clear" w:color="auto" w:fill="FFFFFF"/>
        </w:rPr>
        <w:t>.</w:t>
      </w:r>
      <w:r w:rsidR="003D61EE" w:rsidRPr="00363AAD">
        <w:rPr>
          <w:color w:val="000000"/>
          <w:sz w:val="22"/>
          <w:szCs w:val="22"/>
          <w:shd w:val="clear" w:color="auto" w:fill="FFFFFF"/>
        </w:rPr>
        <w:t xml:space="preserve"> </w:t>
      </w:r>
      <w:r w:rsidRPr="00363AAD">
        <w:rPr>
          <w:color w:val="000000"/>
          <w:sz w:val="22"/>
          <w:szCs w:val="22"/>
          <w:shd w:val="clear" w:color="auto" w:fill="FFFFFF"/>
        </w:rPr>
        <w:t xml:space="preserve">The final amount of </w:t>
      </w:r>
      <w:r w:rsidR="003D61EE" w:rsidRPr="00363AAD">
        <w:rPr>
          <w:color w:val="000000"/>
          <w:sz w:val="22"/>
          <w:szCs w:val="22"/>
          <w:shd w:val="clear" w:color="auto" w:fill="FFFFFF"/>
        </w:rPr>
        <w:t>negative emissions</w:t>
      </w:r>
      <w:r w:rsidRPr="00363AAD">
        <w:rPr>
          <w:color w:val="000000"/>
          <w:sz w:val="22"/>
          <w:szCs w:val="22"/>
          <w:shd w:val="clear" w:color="auto" w:fill="FFFFFF"/>
        </w:rPr>
        <w:t xml:space="preserve"> </w:t>
      </w:r>
      <w:r w:rsidR="003D61EE" w:rsidRPr="00363AAD">
        <w:rPr>
          <w:color w:val="000000"/>
          <w:sz w:val="22"/>
          <w:szCs w:val="22"/>
          <w:shd w:val="clear" w:color="auto" w:fill="FFFFFF"/>
        </w:rPr>
        <w:t>achieved</w:t>
      </w:r>
      <w:r w:rsidRPr="00363AAD">
        <w:rPr>
          <w:color w:val="000000"/>
          <w:sz w:val="22"/>
          <w:szCs w:val="22"/>
          <w:shd w:val="clear" w:color="auto" w:fill="FFFFFF"/>
        </w:rPr>
        <w:t xml:space="preserve"> by the </w:t>
      </w:r>
      <w:proofErr w:type="gramStart"/>
      <w:r w:rsidRPr="00363AAD">
        <w:rPr>
          <w:color w:val="000000"/>
          <w:sz w:val="22"/>
          <w:szCs w:val="22"/>
          <w:shd w:val="clear" w:color="auto" w:fill="FFFFFF"/>
        </w:rPr>
        <w:t>large-deployment</w:t>
      </w:r>
      <w:proofErr w:type="gramEnd"/>
      <w:r w:rsidRPr="00363AAD">
        <w:rPr>
          <w:color w:val="000000"/>
          <w:sz w:val="22"/>
          <w:szCs w:val="22"/>
          <w:shd w:val="clear" w:color="auto" w:fill="FFFFFF"/>
        </w:rPr>
        <w:t xml:space="preserve"> of </w:t>
      </w:r>
      <w:r w:rsidR="003D61EE" w:rsidRPr="00363AAD">
        <w:rPr>
          <w:color w:val="000000"/>
          <w:sz w:val="22"/>
          <w:szCs w:val="22"/>
          <w:shd w:val="clear" w:color="auto" w:fill="FFFFFF"/>
        </w:rPr>
        <w:t xml:space="preserve">CDR engineering options </w:t>
      </w:r>
      <w:r w:rsidR="00123382">
        <w:rPr>
          <w:color w:val="000000"/>
          <w:sz w:val="22"/>
          <w:szCs w:val="22"/>
          <w:shd w:val="clear" w:color="auto" w:fill="FFFFFF"/>
        </w:rPr>
        <w:t>should be computed on a life cycle basis</w:t>
      </w:r>
      <w:r w:rsidRPr="00363AAD">
        <w:rPr>
          <w:color w:val="000000"/>
          <w:sz w:val="22"/>
          <w:szCs w:val="22"/>
          <w:shd w:val="clear" w:color="auto" w:fill="FFFFFF"/>
        </w:rPr>
        <w:t xml:space="preserve"> (i.e., difference between negative and positive emissions</w:t>
      </w:r>
      <w:r w:rsidR="00123382">
        <w:rPr>
          <w:color w:val="000000"/>
          <w:sz w:val="22"/>
          <w:szCs w:val="22"/>
          <w:shd w:val="clear" w:color="auto" w:fill="FFFFFF"/>
        </w:rPr>
        <w:t xml:space="preserve"> considering all the stages in the life cycle of the captured CO</w:t>
      </w:r>
      <w:r w:rsidR="00123382" w:rsidRPr="00D125B9">
        <w:rPr>
          <w:color w:val="000000"/>
          <w:sz w:val="22"/>
          <w:szCs w:val="22"/>
          <w:shd w:val="clear" w:color="auto" w:fill="FFFFFF"/>
          <w:vertAlign w:val="subscript"/>
        </w:rPr>
        <w:t>2</w:t>
      </w:r>
      <w:r w:rsidRPr="00363AAD">
        <w:rPr>
          <w:color w:val="000000"/>
          <w:sz w:val="22"/>
          <w:szCs w:val="22"/>
          <w:shd w:val="clear" w:color="auto" w:fill="FFFFFF"/>
        </w:rPr>
        <w:t>). According to Fajardy, M., et al (2017)</w:t>
      </w:r>
      <w:r w:rsidR="00697C59" w:rsidRPr="007D093C">
        <w:rPr>
          <w:color w:val="000000"/>
          <w:sz w:val="22"/>
          <w:szCs w:val="22"/>
          <w:shd w:val="clear" w:color="auto" w:fill="FFFFFF"/>
        </w:rPr>
        <w:fldChar w:fldCharType="begin" w:fldLock="1"/>
      </w:r>
      <w:r w:rsidR="00D125B9">
        <w:rPr>
          <w:color w:val="000000"/>
          <w:sz w:val="22"/>
          <w:szCs w:val="22"/>
          <w:shd w:val="clear" w:color="auto" w:fill="FFFFFF"/>
        </w:rPr>
        <w:instrText>ADDIN CSL_CITATION {"citationItems":[{"id":"ITEM-1","itemData":{"ISSN":"1754-5706","author":[{"dropping-particle":"","family":"Fajardy","given":"Mathilde","non-dropping-particle":"","parse-names":false,"suffix":""},{"dropping-particle":"","family":"Dowell","given":"Niall","non-dropping-particle":"Mac","parse-names":false,"suffix":""}],"container-title":"Energy &amp; Environmental Science","id":"ITEM-1","issue":"6","issued":{"date-parts":[["2017"]]},"page":"1389-1426","publisher":"The Royal Society of Chemistry","title":"Can BECCS deliver sustainable and resource efficient negative emissions?","type":"article-journal","volume":"10"},"uris":["http://www.mendeley.com/documents/?uuid=55f211e5-4b65-453b-ab7e-62584562f22f"]}],"mendeley":{"formattedCitation":"&lt;sup&gt;24&lt;/sup&gt;","plainTextFormattedCitation":"24","previouslyFormattedCitation":"&lt;sup&gt;24&lt;/sup&gt;"},"properties":{"noteIndex":0},"schema":"https://github.com/citation-style-language/schema/raw/master/csl-citation.json"}</w:instrText>
      </w:r>
      <w:r w:rsidR="00697C59" w:rsidRPr="007D093C">
        <w:rPr>
          <w:color w:val="000000"/>
          <w:sz w:val="22"/>
          <w:szCs w:val="22"/>
          <w:shd w:val="clear" w:color="auto" w:fill="FFFFFF"/>
        </w:rPr>
        <w:fldChar w:fldCharType="separate"/>
      </w:r>
      <w:r w:rsidR="00D125B9" w:rsidRPr="00D125B9">
        <w:rPr>
          <w:noProof/>
          <w:color w:val="000000"/>
          <w:sz w:val="22"/>
          <w:szCs w:val="22"/>
          <w:shd w:val="clear" w:color="auto" w:fill="FFFFFF"/>
          <w:vertAlign w:val="superscript"/>
        </w:rPr>
        <w:t>24</w:t>
      </w:r>
      <w:r w:rsidR="00697C59" w:rsidRPr="007D093C">
        <w:rPr>
          <w:color w:val="000000"/>
          <w:sz w:val="22"/>
          <w:szCs w:val="22"/>
          <w:shd w:val="clear" w:color="auto" w:fill="FFFFFF"/>
        </w:rPr>
        <w:fldChar w:fldCharType="end"/>
      </w:r>
      <w:r w:rsidRPr="007D093C">
        <w:rPr>
          <w:color w:val="000000"/>
          <w:sz w:val="22"/>
          <w:szCs w:val="22"/>
          <w:shd w:val="clear" w:color="auto" w:fill="FFFFFF"/>
        </w:rPr>
        <w:t>,</w:t>
      </w:r>
      <w:r w:rsidR="00697C59" w:rsidRPr="007D093C">
        <w:rPr>
          <w:color w:val="000000"/>
          <w:sz w:val="22"/>
          <w:szCs w:val="22"/>
          <w:shd w:val="clear" w:color="auto" w:fill="FFFFFF"/>
        </w:rPr>
        <w:t xml:space="preserve"> for the case </w:t>
      </w:r>
      <w:r w:rsidR="00697C59" w:rsidRPr="00363AAD">
        <w:rPr>
          <w:color w:val="000000"/>
          <w:sz w:val="22"/>
          <w:szCs w:val="22"/>
          <w:shd w:val="clear" w:color="auto" w:fill="FFFFFF"/>
        </w:rPr>
        <w:t>of BECCS,</w:t>
      </w:r>
      <w:r w:rsidRPr="00363AAD">
        <w:rPr>
          <w:color w:val="000000"/>
          <w:sz w:val="22"/>
          <w:szCs w:val="22"/>
          <w:shd w:val="clear" w:color="auto" w:fill="FFFFFF"/>
        </w:rPr>
        <w:t xml:space="preserve"> the positive emissions along the value chain (e.g., farming</w:t>
      </w:r>
      <w:r w:rsidR="00697C59" w:rsidRPr="00363AAD">
        <w:rPr>
          <w:color w:val="000000"/>
          <w:sz w:val="22"/>
          <w:szCs w:val="22"/>
          <w:shd w:val="clear" w:color="auto" w:fill="FFFFFF"/>
        </w:rPr>
        <w:t xml:space="preserve"> stage</w:t>
      </w:r>
      <w:r w:rsidRPr="00363AAD">
        <w:rPr>
          <w:color w:val="000000"/>
          <w:sz w:val="22"/>
          <w:szCs w:val="22"/>
          <w:shd w:val="clear" w:color="auto" w:fill="FFFFFF"/>
        </w:rPr>
        <w:t>, pelleting</w:t>
      </w:r>
      <w:r w:rsidR="00697C59" w:rsidRPr="00363AAD">
        <w:rPr>
          <w:color w:val="000000"/>
          <w:sz w:val="22"/>
          <w:szCs w:val="22"/>
          <w:shd w:val="clear" w:color="auto" w:fill="FFFFFF"/>
        </w:rPr>
        <w:t xml:space="preserve"> phase or</w:t>
      </w:r>
      <w:r w:rsidRPr="00363AAD">
        <w:rPr>
          <w:color w:val="000000"/>
          <w:sz w:val="22"/>
          <w:szCs w:val="22"/>
          <w:shd w:val="clear" w:color="auto" w:fill="FFFFFF"/>
        </w:rPr>
        <w:t xml:space="preserve"> transportation) may represent 40- 60% of the total CO</w:t>
      </w:r>
      <w:r w:rsidRPr="00363AAD">
        <w:rPr>
          <w:color w:val="000000"/>
          <w:sz w:val="22"/>
          <w:szCs w:val="22"/>
          <w:shd w:val="clear" w:color="auto" w:fill="FFFFFF"/>
          <w:vertAlign w:val="subscript"/>
        </w:rPr>
        <w:t>2</w:t>
      </w:r>
      <w:r w:rsidRPr="00363AAD">
        <w:rPr>
          <w:color w:val="000000"/>
          <w:sz w:val="22"/>
          <w:szCs w:val="22"/>
          <w:shd w:val="clear" w:color="auto" w:fill="FFFFFF"/>
        </w:rPr>
        <w:t xml:space="preserve"> removed during the biomass growth.</w:t>
      </w:r>
    </w:p>
    <w:p w14:paraId="0360EDB4" w14:textId="44252546" w:rsidR="00A10639" w:rsidRPr="00363AAD" w:rsidRDefault="00A10639" w:rsidP="00C23B4D">
      <w:pPr>
        <w:rPr>
          <w:rFonts w:ascii="Calibri" w:hAnsi="Calibri"/>
          <w:highlight w:val="cyan"/>
        </w:rPr>
      </w:pPr>
    </w:p>
    <w:p w14:paraId="1253BEEB" w14:textId="77777777" w:rsidR="00BA265B" w:rsidRPr="00363AAD" w:rsidRDefault="00BA265B" w:rsidP="00BA265B">
      <w:pPr>
        <w:pStyle w:val="Heading1"/>
      </w:pPr>
      <w:r w:rsidRPr="00363AAD">
        <w:lastRenderedPageBreak/>
        <w:t>References</w:t>
      </w:r>
    </w:p>
    <w:p w14:paraId="010E9B4C" w14:textId="740A5D57" w:rsidR="00D125B9" w:rsidRPr="00D125B9" w:rsidRDefault="00BA265B" w:rsidP="00D125B9">
      <w:pPr>
        <w:widowControl w:val="0"/>
        <w:autoSpaceDE w:val="0"/>
        <w:autoSpaceDN w:val="0"/>
        <w:adjustRightInd w:val="0"/>
        <w:ind w:left="640" w:hanging="640"/>
        <w:rPr>
          <w:noProof/>
        </w:rPr>
      </w:pPr>
      <w:r w:rsidRPr="007D093C">
        <w:fldChar w:fldCharType="begin" w:fldLock="1"/>
      </w:r>
      <w:r w:rsidRPr="00363AAD">
        <w:instrText xml:space="preserve">ADDIN Mendeley Bibliography CSL_BIBLIOGRAPHY </w:instrText>
      </w:r>
      <w:r w:rsidRPr="007D093C">
        <w:fldChar w:fldCharType="separate"/>
      </w:r>
      <w:r w:rsidR="00D125B9" w:rsidRPr="00D125B9">
        <w:rPr>
          <w:noProof/>
        </w:rPr>
        <w:t>1.</w:t>
      </w:r>
      <w:r w:rsidR="00D125B9" w:rsidRPr="00D125B9">
        <w:rPr>
          <w:noProof/>
        </w:rPr>
        <w:tab/>
        <w:t xml:space="preserve">Höhne, N., den Elzen, M. &amp; Escalante, D. Regional GHG reduction targets based on effort sharing: a comparison of studies. </w:t>
      </w:r>
      <w:r w:rsidR="00D125B9" w:rsidRPr="00D125B9">
        <w:rPr>
          <w:b/>
          <w:bCs/>
          <w:noProof/>
        </w:rPr>
        <w:t>14,</w:t>
      </w:r>
      <w:r w:rsidR="00D125B9" w:rsidRPr="00D125B9">
        <w:rPr>
          <w:noProof/>
        </w:rPr>
        <w:t xml:space="preserve"> 122–147 (2014).</w:t>
      </w:r>
    </w:p>
    <w:p w14:paraId="28686E8E" w14:textId="77777777" w:rsidR="00D125B9" w:rsidRPr="00D125B9" w:rsidRDefault="00D125B9" w:rsidP="00D125B9">
      <w:pPr>
        <w:widowControl w:val="0"/>
        <w:autoSpaceDE w:val="0"/>
        <w:autoSpaceDN w:val="0"/>
        <w:adjustRightInd w:val="0"/>
        <w:ind w:left="640" w:hanging="640"/>
        <w:rPr>
          <w:noProof/>
        </w:rPr>
      </w:pPr>
      <w:r w:rsidRPr="00D125B9">
        <w:rPr>
          <w:noProof/>
        </w:rPr>
        <w:t>2.</w:t>
      </w:r>
      <w:r w:rsidRPr="00D125B9">
        <w:rPr>
          <w:noProof/>
        </w:rPr>
        <w:tab/>
        <w:t xml:space="preserve">Ringius, L., Torvanger, A. &amp; Holtsmark, B. Can multi-criteria rules fairly distribute climate burdens?: OECD results from three burden sharing rules. </w:t>
      </w:r>
      <w:r w:rsidRPr="00D125B9">
        <w:rPr>
          <w:i/>
          <w:iCs/>
          <w:noProof/>
        </w:rPr>
        <w:t>Energy Policy</w:t>
      </w:r>
      <w:r w:rsidRPr="00D125B9">
        <w:rPr>
          <w:noProof/>
        </w:rPr>
        <w:t xml:space="preserve"> </w:t>
      </w:r>
      <w:r w:rsidRPr="00D125B9">
        <w:rPr>
          <w:b/>
          <w:bCs/>
          <w:noProof/>
        </w:rPr>
        <w:t>26,</w:t>
      </w:r>
      <w:r w:rsidRPr="00D125B9">
        <w:rPr>
          <w:noProof/>
        </w:rPr>
        <w:t xml:space="preserve"> 777–793 (1998).</w:t>
      </w:r>
    </w:p>
    <w:p w14:paraId="4965FD0D" w14:textId="77777777" w:rsidR="00D125B9" w:rsidRPr="00D125B9" w:rsidRDefault="00D125B9" w:rsidP="00D125B9">
      <w:pPr>
        <w:widowControl w:val="0"/>
        <w:autoSpaceDE w:val="0"/>
        <w:autoSpaceDN w:val="0"/>
        <w:adjustRightInd w:val="0"/>
        <w:ind w:left="640" w:hanging="640"/>
        <w:rPr>
          <w:noProof/>
        </w:rPr>
      </w:pPr>
      <w:r w:rsidRPr="00D125B9">
        <w:rPr>
          <w:noProof/>
        </w:rPr>
        <w:t>3.</w:t>
      </w:r>
      <w:r w:rsidRPr="00D125B9">
        <w:rPr>
          <w:noProof/>
        </w:rPr>
        <w:tab/>
        <w:t>Averchenkova, A., Stern, N. &amp; Zenghelis, D. Taming the beasts of ‘burden-sharing’: an analysis of equitable mitigation actions and approaches to 2030 mitigation pledges. (2014).</w:t>
      </w:r>
    </w:p>
    <w:p w14:paraId="68A9BB4B" w14:textId="77777777" w:rsidR="00D125B9" w:rsidRPr="00D125B9" w:rsidRDefault="00D125B9" w:rsidP="00D125B9">
      <w:pPr>
        <w:widowControl w:val="0"/>
        <w:autoSpaceDE w:val="0"/>
        <w:autoSpaceDN w:val="0"/>
        <w:adjustRightInd w:val="0"/>
        <w:ind w:left="640" w:hanging="640"/>
        <w:rPr>
          <w:noProof/>
        </w:rPr>
      </w:pPr>
      <w:r w:rsidRPr="00D125B9">
        <w:rPr>
          <w:noProof/>
        </w:rPr>
        <w:t>4.</w:t>
      </w:r>
      <w:r w:rsidRPr="00D125B9">
        <w:rPr>
          <w:noProof/>
        </w:rPr>
        <w:tab/>
        <w:t xml:space="preserve">van den Berg, N. J. </w:t>
      </w:r>
      <w:r w:rsidRPr="00D125B9">
        <w:rPr>
          <w:i/>
          <w:iCs/>
          <w:noProof/>
        </w:rPr>
        <w:t>et al.</w:t>
      </w:r>
      <w:r w:rsidRPr="00D125B9">
        <w:rPr>
          <w:noProof/>
        </w:rPr>
        <w:t xml:space="preserve"> Implications of various effort-sharing approaches for national carbon budgets and emission pathways. </w:t>
      </w:r>
      <w:r w:rsidRPr="00D125B9">
        <w:rPr>
          <w:i/>
          <w:iCs/>
          <w:noProof/>
        </w:rPr>
        <w:t>Clim. Change</w:t>
      </w:r>
      <w:r w:rsidRPr="00D125B9">
        <w:rPr>
          <w:noProof/>
        </w:rPr>
        <w:t xml:space="preserve"> 1–18 (2019).</w:t>
      </w:r>
    </w:p>
    <w:p w14:paraId="52830D0D" w14:textId="77777777" w:rsidR="00D125B9" w:rsidRPr="00D125B9" w:rsidRDefault="00D125B9" w:rsidP="00D125B9">
      <w:pPr>
        <w:widowControl w:val="0"/>
        <w:autoSpaceDE w:val="0"/>
        <w:autoSpaceDN w:val="0"/>
        <w:adjustRightInd w:val="0"/>
        <w:ind w:left="640" w:hanging="640"/>
        <w:rPr>
          <w:noProof/>
        </w:rPr>
      </w:pPr>
      <w:r w:rsidRPr="00D125B9">
        <w:rPr>
          <w:noProof/>
        </w:rPr>
        <w:t>5.</w:t>
      </w:r>
      <w:r w:rsidRPr="00D125B9">
        <w:rPr>
          <w:noProof/>
        </w:rPr>
        <w:tab/>
        <w:t xml:space="preserve">Den Elzen, M. G. J., Lucas, P. L., Gijsen, A. &amp; den Elzen, M. Exploring European countries’ emission reduction targets, abatement costs and measures needed under the 2007 EU reduction objectives. </w:t>
      </w:r>
      <w:r w:rsidRPr="00D125B9">
        <w:rPr>
          <w:i/>
          <w:iCs/>
          <w:noProof/>
        </w:rPr>
        <w:t>Netherlands Environ. Assess. Agency (MNP), Amsterdam, Netherlands. MNP Rep.</w:t>
      </w:r>
      <w:r w:rsidRPr="00D125B9">
        <w:rPr>
          <w:noProof/>
        </w:rPr>
        <w:t xml:space="preserve"> </w:t>
      </w:r>
      <w:r w:rsidRPr="00D125B9">
        <w:rPr>
          <w:b/>
          <w:bCs/>
          <w:noProof/>
        </w:rPr>
        <w:t>500114009,</w:t>
      </w:r>
      <w:r w:rsidRPr="00D125B9">
        <w:rPr>
          <w:noProof/>
        </w:rPr>
        <w:t xml:space="preserve"> 2007 (2007).</w:t>
      </w:r>
    </w:p>
    <w:p w14:paraId="08989FA4" w14:textId="77777777" w:rsidR="00D125B9" w:rsidRPr="00D125B9" w:rsidRDefault="00D125B9" w:rsidP="00D125B9">
      <w:pPr>
        <w:widowControl w:val="0"/>
        <w:autoSpaceDE w:val="0"/>
        <w:autoSpaceDN w:val="0"/>
        <w:adjustRightInd w:val="0"/>
        <w:ind w:left="640" w:hanging="640"/>
        <w:rPr>
          <w:noProof/>
        </w:rPr>
      </w:pPr>
      <w:r w:rsidRPr="00D125B9">
        <w:rPr>
          <w:noProof/>
        </w:rPr>
        <w:t>6.</w:t>
      </w:r>
      <w:r w:rsidRPr="00D125B9">
        <w:rPr>
          <w:noProof/>
        </w:rPr>
        <w:tab/>
        <w:t xml:space="preserve">Baer, P., Athanasiou, T. &amp; Kartha, S. The right to development in a climate constrained world: the Greenhouse Development Rights framework. </w:t>
      </w:r>
      <w:r w:rsidRPr="00D125B9">
        <w:rPr>
          <w:i/>
          <w:iCs/>
          <w:noProof/>
        </w:rPr>
        <w:t>right to Dev. a Clim. constrained world Greenh. Dev. Rights Fram.</w:t>
      </w:r>
      <w:r w:rsidRPr="00D125B9">
        <w:rPr>
          <w:noProof/>
        </w:rPr>
        <w:t xml:space="preserve"> (2007).</w:t>
      </w:r>
    </w:p>
    <w:p w14:paraId="623109FA" w14:textId="77777777" w:rsidR="00D125B9" w:rsidRPr="00D125B9" w:rsidRDefault="00D125B9" w:rsidP="00D125B9">
      <w:pPr>
        <w:widowControl w:val="0"/>
        <w:autoSpaceDE w:val="0"/>
        <w:autoSpaceDN w:val="0"/>
        <w:adjustRightInd w:val="0"/>
        <w:ind w:left="640" w:hanging="640"/>
        <w:rPr>
          <w:noProof/>
        </w:rPr>
      </w:pPr>
      <w:r w:rsidRPr="00D125B9">
        <w:rPr>
          <w:noProof/>
        </w:rPr>
        <w:t>7.</w:t>
      </w:r>
      <w:r w:rsidRPr="00D125B9">
        <w:rPr>
          <w:noProof/>
        </w:rPr>
        <w:tab/>
        <w:t xml:space="preserve">Baer, P., Athanasiou, T., Kartha, S. &amp; Kemp-Benedict, E. Greenhouse development rights: A proposal for a fair global climate treaty. in </w:t>
      </w:r>
      <w:r w:rsidRPr="00D125B9">
        <w:rPr>
          <w:i/>
          <w:iCs/>
          <w:noProof/>
        </w:rPr>
        <w:t>Environmental Rights</w:t>
      </w:r>
      <w:r w:rsidRPr="00D125B9">
        <w:rPr>
          <w:noProof/>
        </w:rPr>
        <w:t xml:space="preserve"> 75–89 (Routledge, 2017).</w:t>
      </w:r>
    </w:p>
    <w:p w14:paraId="0E58ACE4" w14:textId="77777777" w:rsidR="00D125B9" w:rsidRPr="00D125B9" w:rsidRDefault="00D125B9" w:rsidP="00D125B9">
      <w:pPr>
        <w:widowControl w:val="0"/>
        <w:autoSpaceDE w:val="0"/>
        <w:autoSpaceDN w:val="0"/>
        <w:adjustRightInd w:val="0"/>
        <w:ind w:left="640" w:hanging="640"/>
        <w:rPr>
          <w:noProof/>
        </w:rPr>
      </w:pPr>
      <w:r w:rsidRPr="00D125B9">
        <w:rPr>
          <w:noProof/>
        </w:rPr>
        <w:t>8.</w:t>
      </w:r>
      <w:r w:rsidRPr="00D125B9">
        <w:rPr>
          <w:noProof/>
        </w:rPr>
        <w:tab/>
        <w:t xml:space="preserve">Höhne, N. &amp; Moltmann, S. Distribution of emission allowances under the </w:t>
      </w:r>
      <w:r w:rsidRPr="00D125B9">
        <w:rPr>
          <w:noProof/>
        </w:rPr>
        <w:lastRenderedPageBreak/>
        <w:t xml:space="preserve">Greenhouse Development Rights and other effort sharing approaches. </w:t>
      </w:r>
      <w:r w:rsidRPr="00D125B9">
        <w:rPr>
          <w:i/>
          <w:iCs/>
          <w:noProof/>
        </w:rPr>
        <w:t>Berlin: Heinrich-Böll-Stiftung</w:t>
      </w:r>
      <w:r w:rsidRPr="00D125B9">
        <w:rPr>
          <w:noProof/>
        </w:rPr>
        <w:t xml:space="preserve"> (2008).</w:t>
      </w:r>
    </w:p>
    <w:p w14:paraId="7AED5DF9" w14:textId="77777777" w:rsidR="00D125B9" w:rsidRPr="00D125B9" w:rsidRDefault="00D125B9" w:rsidP="00D125B9">
      <w:pPr>
        <w:widowControl w:val="0"/>
        <w:autoSpaceDE w:val="0"/>
        <w:autoSpaceDN w:val="0"/>
        <w:adjustRightInd w:val="0"/>
        <w:ind w:left="640" w:hanging="640"/>
        <w:rPr>
          <w:noProof/>
        </w:rPr>
      </w:pPr>
      <w:r w:rsidRPr="00D125B9">
        <w:rPr>
          <w:noProof/>
        </w:rPr>
        <w:t>9.</w:t>
      </w:r>
      <w:r w:rsidRPr="00D125B9">
        <w:rPr>
          <w:noProof/>
        </w:rPr>
        <w:tab/>
        <w:t xml:space="preserve">Commission, E. U. Package of Implementation Measures for the EU’s Objectives on Climate Change and Renewable Energy for 2020. </w:t>
      </w:r>
      <w:r w:rsidRPr="00D125B9">
        <w:rPr>
          <w:i/>
          <w:iCs/>
          <w:noProof/>
        </w:rPr>
        <w:t>Comm. Staff Work. Doc.</w:t>
      </w:r>
      <w:r w:rsidRPr="00D125B9">
        <w:rPr>
          <w:noProof/>
        </w:rPr>
        <w:t xml:space="preserve"> (2008).</w:t>
      </w:r>
    </w:p>
    <w:p w14:paraId="7F3B0DAB" w14:textId="77777777" w:rsidR="00D125B9" w:rsidRPr="00D125B9" w:rsidRDefault="00D125B9" w:rsidP="00D125B9">
      <w:pPr>
        <w:widowControl w:val="0"/>
        <w:autoSpaceDE w:val="0"/>
        <w:autoSpaceDN w:val="0"/>
        <w:adjustRightInd w:val="0"/>
        <w:ind w:left="640" w:hanging="640"/>
        <w:rPr>
          <w:noProof/>
        </w:rPr>
      </w:pPr>
      <w:r w:rsidRPr="00D125B9">
        <w:rPr>
          <w:noProof/>
        </w:rPr>
        <w:t>10.</w:t>
      </w:r>
      <w:r w:rsidRPr="00D125B9">
        <w:rPr>
          <w:noProof/>
        </w:rPr>
        <w:tab/>
        <w:t xml:space="preserve">Zartman, I. W., Druckman, D., Jensen, L., Pruitt, D. G. &amp; Young, H. P. Negotiation as a search for justice. </w:t>
      </w:r>
      <w:r w:rsidRPr="00D125B9">
        <w:rPr>
          <w:i/>
          <w:iCs/>
          <w:noProof/>
        </w:rPr>
        <w:t>Int. Negot.</w:t>
      </w:r>
      <w:r w:rsidRPr="00D125B9">
        <w:rPr>
          <w:noProof/>
        </w:rPr>
        <w:t xml:space="preserve"> </w:t>
      </w:r>
      <w:r w:rsidRPr="00D125B9">
        <w:rPr>
          <w:b/>
          <w:bCs/>
          <w:noProof/>
        </w:rPr>
        <w:t>1,</w:t>
      </w:r>
      <w:r w:rsidRPr="00D125B9">
        <w:rPr>
          <w:noProof/>
        </w:rPr>
        <w:t xml:space="preserve"> 79–98 (1996).</w:t>
      </w:r>
    </w:p>
    <w:p w14:paraId="17884ED6" w14:textId="77777777" w:rsidR="00D125B9" w:rsidRPr="00D125B9" w:rsidRDefault="00D125B9" w:rsidP="00D125B9">
      <w:pPr>
        <w:widowControl w:val="0"/>
        <w:autoSpaceDE w:val="0"/>
        <w:autoSpaceDN w:val="0"/>
        <w:adjustRightInd w:val="0"/>
        <w:ind w:left="640" w:hanging="640"/>
        <w:rPr>
          <w:noProof/>
        </w:rPr>
      </w:pPr>
      <w:r w:rsidRPr="00D125B9">
        <w:rPr>
          <w:noProof/>
        </w:rPr>
        <w:t>11.</w:t>
      </w:r>
      <w:r w:rsidRPr="00D125B9">
        <w:rPr>
          <w:noProof/>
        </w:rPr>
        <w:tab/>
        <w:t xml:space="preserve">Ringius, L., Torvanger, A. &amp; Underdal, A. Burden Sharing and Fairness Principles in International Climate Policy. </w:t>
      </w:r>
      <w:r w:rsidRPr="00D125B9">
        <w:rPr>
          <w:i/>
          <w:iCs/>
          <w:noProof/>
        </w:rPr>
        <w:t>Int. Environ. Agreements</w:t>
      </w:r>
      <w:r w:rsidRPr="00D125B9">
        <w:rPr>
          <w:noProof/>
        </w:rPr>
        <w:t xml:space="preserve"> </w:t>
      </w:r>
      <w:r w:rsidRPr="00D125B9">
        <w:rPr>
          <w:b/>
          <w:bCs/>
          <w:noProof/>
        </w:rPr>
        <w:t>2,</w:t>
      </w:r>
      <w:r w:rsidRPr="00D125B9">
        <w:rPr>
          <w:noProof/>
        </w:rPr>
        <w:t xml:space="preserve"> 1–22 (2002).</w:t>
      </w:r>
    </w:p>
    <w:p w14:paraId="63452901" w14:textId="77777777" w:rsidR="00D125B9" w:rsidRPr="00D125B9" w:rsidRDefault="00D125B9" w:rsidP="00D125B9">
      <w:pPr>
        <w:widowControl w:val="0"/>
        <w:autoSpaceDE w:val="0"/>
        <w:autoSpaceDN w:val="0"/>
        <w:adjustRightInd w:val="0"/>
        <w:ind w:left="640" w:hanging="640"/>
        <w:rPr>
          <w:noProof/>
        </w:rPr>
      </w:pPr>
      <w:r w:rsidRPr="00D125B9">
        <w:rPr>
          <w:noProof/>
        </w:rPr>
        <w:t>12.</w:t>
      </w:r>
      <w:r w:rsidRPr="00D125B9">
        <w:rPr>
          <w:noProof/>
        </w:rPr>
        <w:tab/>
        <w:t xml:space="preserve">Riahi, K. </w:t>
      </w:r>
      <w:r w:rsidRPr="00D125B9">
        <w:rPr>
          <w:i/>
          <w:iCs/>
          <w:noProof/>
        </w:rPr>
        <w:t>et al.</w:t>
      </w:r>
      <w:r w:rsidRPr="00D125B9">
        <w:rPr>
          <w:noProof/>
        </w:rPr>
        <w:t xml:space="preserve"> The shared socioeconomic pathways and their energy, land use, and greenhouse gas emissions implications: an overview. </w:t>
      </w:r>
      <w:r w:rsidRPr="00D125B9">
        <w:rPr>
          <w:i/>
          <w:iCs/>
          <w:noProof/>
        </w:rPr>
        <w:t>Glob. Environ. Chang.</w:t>
      </w:r>
      <w:r w:rsidRPr="00D125B9">
        <w:rPr>
          <w:noProof/>
        </w:rPr>
        <w:t xml:space="preserve"> </w:t>
      </w:r>
      <w:r w:rsidRPr="00D125B9">
        <w:rPr>
          <w:b/>
          <w:bCs/>
          <w:noProof/>
        </w:rPr>
        <w:t>42,</w:t>
      </w:r>
      <w:r w:rsidRPr="00D125B9">
        <w:rPr>
          <w:noProof/>
        </w:rPr>
        <w:t xml:space="preserve"> 153–168 (2017).</w:t>
      </w:r>
    </w:p>
    <w:p w14:paraId="6F42ED38" w14:textId="77777777" w:rsidR="00D125B9" w:rsidRPr="00D125B9" w:rsidRDefault="00D125B9" w:rsidP="00D125B9">
      <w:pPr>
        <w:widowControl w:val="0"/>
        <w:autoSpaceDE w:val="0"/>
        <w:autoSpaceDN w:val="0"/>
        <w:adjustRightInd w:val="0"/>
        <w:ind w:left="640" w:hanging="640"/>
        <w:rPr>
          <w:noProof/>
        </w:rPr>
      </w:pPr>
      <w:r w:rsidRPr="00D125B9">
        <w:rPr>
          <w:noProof/>
        </w:rPr>
        <w:t>13.</w:t>
      </w:r>
      <w:r w:rsidRPr="00D125B9">
        <w:rPr>
          <w:noProof/>
        </w:rPr>
        <w:tab/>
        <w:t xml:space="preserve">IPCC. </w:t>
      </w:r>
      <w:r w:rsidRPr="00D125B9">
        <w:rPr>
          <w:i/>
          <w:iCs/>
          <w:noProof/>
        </w:rPr>
        <w:t>Global Warming of 1.5° C: An IPCC Special Report on the Impacts of Global Warming of 1.5° C Above Pre-industrial Levels and Related Global Greenhouse Gas Emission Pathways, in the Context of Strengthening the Global Response to the Threat of Climate Chang</w:t>
      </w:r>
      <w:r w:rsidRPr="00D125B9">
        <w:rPr>
          <w:noProof/>
        </w:rPr>
        <w:t>. (Intergovernmental Panel on Climate Change, 2018).</w:t>
      </w:r>
    </w:p>
    <w:p w14:paraId="75935FB9" w14:textId="77777777" w:rsidR="00D125B9" w:rsidRPr="00D125B9" w:rsidRDefault="00D125B9" w:rsidP="00D125B9">
      <w:pPr>
        <w:widowControl w:val="0"/>
        <w:autoSpaceDE w:val="0"/>
        <w:autoSpaceDN w:val="0"/>
        <w:adjustRightInd w:val="0"/>
        <w:ind w:left="640" w:hanging="640"/>
        <w:rPr>
          <w:noProof/>
        </w:rPr>
      </w:pPr>
      <w:r w:rsidRPr="00D125B9">
        <w:rPr>
          <w:noProof/>
        </w:rPr>
        <w:t>14.</w:t>
      </w:r>
      <w:r w:rsidRPr="00D125B9">
        <w:rPr>
          <w:noProof/>
        </w:rPr>
        <w:tab/>
        <w:t xml:space="preserve">Chontanawat, J., Hunt, L. C. &amp; Pierse, R. Does energy consumption cause economic growth?: Evidence from a systematic study of over 100 countries. </w:t>
      </w:r>
      <w:r w:rsidRPr="00D125B9">
        <w:rPr>
          <w:i/>
          <w:iCs/>
          <w:noProof/>
        </w:rPr>
        <w:t>J. policy Model.</w:t>
      </w:r>
      <w:r w:rsidRPr="00D125B9">
        <w:rPr>
          <w:noProof/>
        </w:rPr>
        <w:t xml:space="preserve"> </w:t>
      </w:r>
      <w:r w:rsidRPr="00D125B9">
        <w:rPr>
          <w:b/>
          <w:bCs/>
          <w:noProof/>
        </w:rPr>
        <w:t>30,</w:t>
      </w:r>
      <w:r w:rsidRPr="00D125B9">
        <w:rPr>
          <w:noProof/>
        </w:rPr>
        <w:t xml:space="preserve"> 209–220 (2008).</w:t>
      </w:r>
    </w:p>
    <w:p w14:paraId="31CC2914" w14:textId="77777777" w:rsidR="00D125B9" w:rsidRPr="00D125B9" w:rsidRDefault="00D125B9" w:rsidP="00D125B9">
      <w:pPr>
        <w:widowControl w:val="0"/>
        <w:autoSpaceDE w:val="0"/>
        <w:autoSpaceDN w:val="0"/>
        <w:adjustRightInd w:val="0"/>
        <w:ind w:left="640" w:hanging="640"/>
        <w:rPr>
          <w:noProof/>
        </w:rPr>
      </w:pPr>
      <w:r w:rsidRPr="00D125B9">
        <w:rPr>
          <w:noProof/>
        </w:rPr>
        <w:t>15.</w:t>
      </w:r>
      <w:r w:rsidRPr="00D125B9">
        <w:rPr>
          <w:noProof/>
        </w:rPr>
        <w:tab/>
        <w:t>World Development Indicators | DataBank.</w:t>
      </w:r>
    </w:p>
    <w:p w14:paraId="0050BB43" w14:textId="77777777" w:rsidR="00D125B9" w:rsidRPr="00D125B9" w:rsidRDefault="00D125B9" w:rsidP="00D125B9">
      <w:pPr>
        <w:widowControl w:val="0"/>
        <w:autoSpaceDE w:val="0"/>
        <w:autoSpaceDN w:val="0"/>
        <w:adjustRightInd w:val="0"/>
        <w:ind w:left="640" w:hanging="640"/>
        <w:rPr>
          <w:noProof/>
        </w:rPr>
      </w:pPr>
      <w:r w:rsidRPr="00D125B9">
        <w:rPr>
          <w:noProof/>
        </w:rPr>
        <w:t>16.</w:t>
      </w:r>
      <w:r w:rsidRPr="00D125B9">
        <w:rPr>
          <w:noProof/>
        </w:rPr>
        <w:tab/>
        <w:t xml:space="preserve">Rose, A. Equity considerations of tradable carbon emission entitlements. </w:t>
      </w:r>
      <w:r w:rsidRPr="00D125B9">
        <w:rPr>
          <w:i/>
          <w:iCs/>
          <w:noProof/>
        </w:rPr>
        <w:lastRenderedPageBreak/>
        <w:t>Combat. Glob. Warm. UNCTAD, Geneva</w:t>
      </w:r>
      <w:r w:rsidRPr="00D125B9">
        <w:rPr>
          <w:noProof/>
        </w:rPr>
        <w:t xml:space="preserve"> (1992).</w:t>
      </w:r>
    </w:p>
    <w:p w14:paraId="342CA865" w14:textId="77777777" w:rsidR="00D125B9" w:rsidRPr="00D125B9" w:rsidRDefault="00D125B9" w:rsidP="00D125B9">
      <w:pPr>
        <w:widowControl w:val="0"/>
        <w:autoSpaceDE w:val="0"/>
        <w:autoSpaceDN w:val="0"/>
        <w:adjustRightInd w:val="0"/>
        <w:ind w:left="640" w:hanging="640"/>
        <w:rPr>
          <w:noProof/>
        </w:rPr>
      </w:pPr>
      <w:r w:rsidRPr="00D125B9">
        <w:rPr>
          <w:noProof/>
        </w:rPr>
        <w:t>17.</w:t>
      </w:r>
      <w:r w:rsidRPr="00D125B9">
        <w:rPr>
          <w:noProof/>
        </w:rPr>
        <w:tab/>
        <w:t xml:space="preserve">McLaren, D. P., Tyfield, D. P., Willis, R., Szerszynski, B. &amp; Markusson, N. O. Beyond ‘Net-Zero’: A case for separate targets for emissions reduction and negative emissions. </w:t>
      </w:r>
      <w:r w:rsidRPr="00D125B9">
        <w:rPr>
          <w:i/>
          <w:iCs/>
          <w:noProof/>
        </w:rPr>
        <w:t>Front. Clim.</w:t>
      </w:r>
      <w:r w:rsidRPr="00D125B9">
        <w:rPr>
          <w:noProof/>
        </w:rPr>
        <w:t xml:space="preserve"> </w:t>
      </w:r>
      <w:r w:rsidRPr="00D125B9">
        <w:rPr>
          <w:b/>
          <w:bCs/>
          <w:noProof/>
        </w:rPr>
        <w:t>1,</w:t>
      </w:r>
      <w:r w:rsidRPr="00D125B9">
        <w:rPr>
          <w:noProof/>
        </w:rPr>
        <w:t xml:space="preserve"> 4 (2019).</w:t>
      </w:r>
    </w:p>
    <w:p w14:paraId="3045073B" w14:textId="77777777" w:rsidR="00D125B9" w:rsidRPr="00D125B9" w:rsidRDefault="00D125B9" w:rsidP="00D125B9">
      <w:pPr>
        <w:widowControl w:val="0"/>
        <w:autoSpaceDE w:val="0"/>
        <w:autoSpaceDN w:val="0"/>
        <w:adjustRightInd w:val="0"/>
        <w:ind w:left="640" w:hanging="640"/>
        <w:rPr>
          <w:noProof/>
        </w:rPr>
      </w:pPr>
      <w:r w:rsidRPr="00D125B9">
        <w:rPr>
          <w:noProof/>
        </w:rPr>
        <w:t>18.</w:t>
      </w:r>
      <w:r w:rsidRPr="00D125B9">
        <w:rPr>
          <w:noProof/>
        </w:rPr>
        <w:tab/>
        <w:t xml:space="preserve">Geden, O., Peters, G. P. &amp; Scott, V. Targeting carbon dioxide removal in the European Union. </w:t>
      </w:r>
      <w:r w:rsidRPr="00D125B9">
        <w:rPr>
          <w:i/>
          <w:iCs/>
          <w:noProof/>
        </w:rPr>
        <w:t>Clim. policy</w:t>
      </w:r>
      <w:r w:rsidRPr="00D125B9">
        <w:rPr>
          <w:noProof/>
        </w:rPr>
        <w:t xml:space="preserve"> </w:t>
      </w:r>
      <w:r w:rsidRPr="00D125B9">
        <w:rPr>
          <w:b/>
          <w:bCs/>
          <w:noProof/>
        </w:rPr>
        <w:t>19,</w:t>
      </w:r>
      <w:r w:rsidRPr="00D125B9">
        <w:rPr>
          <w:noProof/>
        </w:rPr>
        <w:t xml:space="preserve"> 487–494 (2019).</w:t>
      </w:r>
    </w:p>
    <w:p w14:paraId="633330CF" w14:textId="77777777" w:rsidR="00D125B9" w:rsidRPr="00D125B9" w:rsidRDefault="00D125B9" w:rsidP="00D125B9">
      <w:pPr>
        <w:widowControl w:val="0"/>
        <w:autoSpaceDE w:val="0"/>
        <w:autoSpaceDN w:val="0"/>
        <w:adjustRightInd w:val="0"/>
        <w:ind w:left="640" w:hanging="640"/>
        <w:rPr>
          <w:noProof/>
        </w:rPr>
      </w:pPr>
      <w:r w:rsidRPr="00D125B9">
        <w:rPr>
          <w:noProof/>
        </w:rPr>
        <w:t>19.</w:t>
      </w:r>
      <w:r w:rsidRPr="00D125B9">
        <w:rPr>
          <w:noProof/>
        </w:rPr>
        <w:tab/>
        <w:t xml:space="preserve">Peters, G. P. &amp; Geden, O. Catalysing a political shift from low to negative carbon. </w:t>
      </w:r>
      <w:r w:rsidRPr="00D125B9">
        <w:rPr>
          <w:i/>
          <w:iCs/>
          <w:noProof/>
        </w:rPr>
        <w:t>Nat. Clim. Chang.</w:t>
      </w:r>
      <w:r w:rsidRPr="00D125B9">
        <w:rPr>
          <w:noProof/>
        </w:rPr>
        <w:t xml:space="preserve"> </w:t>
      </w:r>
      <w:r w:rsidRPr="00D125B9">
        <w:rPr>
          <w:b/>
          <w:bCs/>
          <w:noProof/>
        </w:rPr>
        <w:t>7,</w:t>
      </w:r>
      <w:r w:rsidRPr="00D125B9">
        <w:rPr>
          <w:noProof/>
        </w:rPr>
        <w:t xml:space="preserve"> 619 (2017).</w:t>
      </w:r>
    </w:p>
    <w:p w14:paraId="3DE44EE4" w14:textId="77777777" w:rsidR="00D125B9" w:rsidRPr="00D125B9" w:rsidRDefault="00D125B9" w:rsidP="00D125B9">
      <w:pPr>
        <w:widowControl w:val="0"/>
        <w:autoSpaceDE w:val="0"/>
        <w:autoSpaceDN w:val="0"/>
        <w:adjustRightInd w:val="0"/>
        <w:ind w:left="640" w:hanging="640"/>
        <w:rPr>
          <w:noProof/>
        </w:rPr>
      </w:pPr>
      <w:r w:rsidRPr="00D125B9">
        <w:rPr>
          <w:noProof/>
        </w:rPr>
        <w:t>20.</w:t>
      </w:r>
      <w:r w:rsidRPr="00D125B9">
        <w:rPr>
          <w:noProof/>
        </w:rPr>
        <w:tab/>
        <w:t xml:space="preserve">Anderson, K. &amp; Peters, G. The trouble with negative emissions. </w:t>
      </w:r>
      <w:r w:rsidRPr="00D125B9">
        <w:rPr>
          <w:i/>
          <w:iCs/>
          <w:noProof/>
        </w:rPr>
        <w:t>Science (80-. ).</w:t>
      </w:r>
      <w:r w:rsidRPr="00D125B9">
        <w:rPr>
          <w:noProof/>
        </w:rPr>
        <w:t xml:space="preserve"> </w:t>
      </w:r>
      <w:r w:rsidRPr="00D125B9">
        <w:rPr>
          <w:b/>
          <w:bCs/>
          <w:noProof/>
        </w:rPr>
        <w:t>354,</w:t>
      </w:r>
      <w:r w:rsidRPr="00D125B9">
        <w:rPr>
          <w:noProof/>
        </w:rPr>
        <w:t xml:space="preserve"> 182–183 (2016).</w:t>
      </w:r>
    </w:p>
    <w:p w14:paraId="7AB3448F" w14:textId="77777777" w:rsidR="00D125B9" w:rsidRPr="00D125B9" w:rsidRDefault="00D125B9" w:rsidP="00D125B9">
      <w:pPr>
        <w:widowControl w:val="0"/>
        <w:autoSpaceDE w:val="0"/>
        <w:autoSpaceDN w:val="0"/>
        <w:adjustRightInd w:val="0"/>
        <w:ind w:left="640" w:hanging="640"/>
        <w:rPr>
          <w:noProof/>
        </w:rPr>
      </w:pPr>
      <w:r w:rsidRPr="00D125B9">
        <w:rPr>
          <w:noProof/>
        </w:rPr>
        <w:t>21.</w:t>
      </w:r>
      <w:r w:rsidRPr="00D125B9">
        <w:rPr>
          <w:noProof/>
        </w:rPr>
        <w:tab/>
        <w:t xml:space="preserve">Kartha, S. </w:t>
      </w:r>
      <w:r w:rsidRPr="00D125B9">
        <w:rPr>
          <w:i/>
          <w:iCs/>
          <w:noProof/>
        </w:rPr>
        <w:t>et al.</w:t>
      </w:r>
      <w:r w:rsidRPr="00D125B9">
        <w:rPr>
          <w:noProof/>
        </w:rPr>
        <w:t xml:space="preserve"> Cascading biases against poorer countries. </w:t>
      </w:r>
      <w:r w:rsidRPr="00D125B9">
        <w:rPr>
          <w:i/>
          <w:iCs/>
          <w:noProof/>
        </w:rPr>
        <w:t>Nat. Clim. Chang.</w:t>
      </w:r>
      <w:r w:rsidRPr="00D125B9">
        <w:rPr>
          <w:noProof/>
        </w:rPr>
        <w:t xml:space="preserve"> </w:t>
      </w:r>
      <w:r w:rsidRPr="00D125B9">
        <w:rPr>
          <w:b/>
          <w:bCs/>
          <w:noProof/>
        </w:rPr>
        <w:t>8,</w:t>
      </w:r>
      <w:r w:rsidRPr="00D125B9">
        <w:rPr>
          <w:noProof/>
        </w:rPr>
        <w:t xml:space="preserve"> 348–349 (2018).</w:t>
      </w:r>
    </w:p>
    <w:p w14:paraId="4A5A29F2" w14:textId="77777777" w:rsidR="00D125B9" w:rsidRPr="00D125B9" w:rsidRDefault="00D125B9" w:rsidP="00D125B9">
      <w:pPr>
        <w:widowControl w:val="0"/>
        <w:autoSpaceDE w:val="0"/>
        <w:autoSpaceDN w:val="0"/>
        <w:adjustRightInd w:val="0"/>
        <w:ind w:left="640" w:hanging="640"/>
        <w:rPr>
          <w:noProof/>
        </w:rPr>
      </w:pPr>
      <w:r w:rsidRPr="00D125B9">
        <w:rPr>
          <w:noProof/>
        </w:rPr>
        <w:t>22.</w:t>
      </w:r>
      <w:r w:rsidRPr="00D125B9">
        <w:rPr>
          <w:noProof/>
        </w:rPr>
        <w:tab/>
        <w:t xml:space="preserve">Fleurbaey, M. </w:t>
      </w:r>
      <w:r w:rsidRPr="00D125B9">
        <w:rPr>
          <w:i/>
          <w:iCs/>
          <w:noProof/>
        </w:rPr>
        <w:t>et al.</w:t>
      </w:r>
      <w:r w:rsidRPr="00D125B9">
        <w:rPr>
          <w:noProof/>
        </w:rPr>
        <w:t xml:space="preserve"> Sustainable development and equity. In: Climate Change 2014: Mitigation of Climate Change. Contribution of Working Group III to the Fifth Assessment Report of the Intergovernmental Panel on Climate Change. in (Cambridge University Press, 2014).</w:t>
      </w:r>
    </w:p>
    <w:p w14:paraId="0007F678" w14:textId="77777777" w:rsidR="00D125B9" w:rsidRPr="00D125B9" w:rsidRDefault="00D125B9" w:rsidP="00D125B9">
      <w:pPr>
        <w:widowControl w:val="0"/>
        <w:autoSpaceDE w:val="0"/>
        <w:autoSpaceDN w:val="0"/>
        <w:adjustRightInd w:val="0"/>
        <w:ind w:left="640" w:hanging="640"/>
        <w:rPr>
          <w:noProof/>
        </w:rPr>
      </w:pPr>
      <w:r w:rsidRPr="00D125B9">
        <w:rPr>
          <w:noProof/>
        </w:rPr>
        <w:t>23.</w:t>
      </w:r>
      <w:r w:rsidRPr="00D125B9">
        <w:rPr>
          <w:noProof/>
        </w:rPr>
        <w:tab/>
        <w:t xml:space="preserve">Pan, X., den Elzen, M., Höhne, N., Teng, F. &amp; Wang, L. Exploring fair and ambitious mitigation contributions under the Paris Agreement goals. </w:t>
      </w:r>
      <w:r w:rsidRPr="00D125B9">
        <w:rPr>
          <w:i/>
          <w:iCs/>
          <w:noProof/>
        </w:rPr>
        <w:t>Environ. Sci. Policy</w:t>
      </w:r>
      <w:r w:rsidRPr="00D125B9">
        <w:rPr>
          <w:noProof/>
        </w:rPr>
        <w:t xml:space="preserve"> </w:t>
      </w:r>
      <w:r w:rsidRPr="00D125B9">
        <w:rPr>
          <w:b/>
          <w:bCs/>
          <w:noProof/>
        </w:rPr>
        <w:t>74,</w:t>
      </w:r>
      <w:r w:rsidRPr="00D125B9">
        <w:rPr>
          <w:noProof/>
        </w:rPr>
        <w:t xml:space="preserve"> 49–56 (2017).</w:t>
      </w:r>
    </w:p>
    <w:p w14:paraId="4C870CFE" w14:textId="77777777" w:rsidR="00D125B9" w:rsidRPr="00D125B9" w:rsidRDefault="00D125B9" w:rsidP="00D125B9">
      <w:pPr>
        <w:widowControl w:val="0"/>
        <w:autoSpaceDE w:val="0"/>
        <w:autoSpaceDN w:val="0"/>
        <w:adjustRightInd w:val="0"/>
        <w:ind w:left="640" w:hanging="640"/>
        <w:rPr>
          <w:noProof/>
        </w:rPr>
      </w:pPr>
      <w:r w:rsidRPr="00D125B9">
        <w:rPr>
          <w:noProof/>
        </w:rPr>
        <w:t>24.</w:t>
      </w:r>
      <w:r w:rsidRPr="00D125B9">
        <w:rPr>
          <w:noProof/>
        </w:rPr>
        <w:tab/>
        <w:t xml:space="preserve">Fajardy, M. &amp; Mac Dowell, N. Can BECCS deliver sustainable and resource efficient negative emissions? </w:t>
      </w:r>
      <w:r w:rsidRPr="00D125B9">
        <w:rPr>
          <w:i/>
          <w:iCs/>
          <w:noProof/>
        </w:rPr>
        <w:t>Energy Environ. Sci.</w:t>
      </w:r>
      <w:r w:rsidRPr="00D125B9">
        <w:rPr>
          <w:noProof/>
        </w:rPr>
        <w:t xml:space="preserve"> </w:t>
      </w:r>
      <w:r w:rsidRPr="00D125B9">
        <w:rPr>
          <w:b/>
          <w:bCs/>
          <w:noProof/>
        </w:rPr>
        <w:t>10,</w:t>
      </w:r>
      <w:r w:rsidRPr="00D125B9">
        <w:rPr>
          <w:noProof/>
        </w:rPr>
        <w:t xml:space="preserve"> 1389–1426 (2017).</w:t>
      </w:r>
    </w:p>
    <w:p w14:paraId="33753A34" w14:textId="77777777" w:rsidR="00BA265B" w:rsidRPr="007D093C" w:rsidRDefault="00BA265B" w:rsidP="00BA265B">
      <w:r w:rsidRPr="007D093C">
        <w:fldChar w:fldCharType="end"/>
      </w:r>
    </w:p>
    <w:p w14:paraId="3346B7B4" w14:textId="77777777" w:rsidR="007E091B" w:rsidRPr="00363AAD" w:rsidRDefault="007E091B" w:rsidP="007E091B">
      <w:pPr>
        <w:pStyle w:val="Normal1"/>
        <w:spacing w:before="120" w:after="120" w:line="480" w:lineRule="auto"/>
        <w:jc w:val="both"/>
        <w:rPr>
          <w:rFonts w:ascii="Arial" w:hAnsi="Arial" w:cs="Arial"/>
          <w:color w:val="auto"/>
          <w:sz w:val="24"/>
          <w:szCs w:val="24"/>
          <w:lang w:val="en-GB" w:eastAsia="en-US"/>
        </w:rPr>
      </w:pPr>
    </w:p>
    <w:sectPr w:rsidR="007E091B" w:rsidRPr="00363AAD">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BF246" w14:textId="77777777" w:rsidR="00B92B47" w:rsidRDefault="00B92B47" w:rsidP="0045223D">
      <w:r>
        <w:separator/>
      </w:r>
    </w:p>
  </w:endnote>
  <w:endnote w:type="continuationSeparator" w:id="0">
    <w:p w14:paraId="1A37A38B" w14:textId="77777777" w:rsidR="00B92B47" w:rsidRDefault="00B92B47" w:rsidP="00452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San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581920"/>
      <w:docPartObj>
        <w:docPartGallery w:val="Page Numbers (Bottom of Page)"/>
        <w:docPartUnique/>
      </w:docPartObj>
    </w:sdtPr>
    <w:sdtEndPr>
      <w:rPr>
        <w:noProof/>
      </w:rPr>
    </w:sdtEndPr>
    <w:sdtContent>
      <w:p w14:paraId="3EFB1DDF" w14:textId="2E08D174" w:rsidR="000876DE" w:rsidRDefault="000876DE">
        <w:pPr>
          <w:pStyle w:val="Footer"/>
          <w:jc w:val="right"/>
        </w:pPr>
        <w:r>
          <w:fldChar w:fldCharType="begin"/>
        </w:r>
        <w:r>
          <w:instrText xml:space="preserve"> PAGE   \* MERGEFORMAT </w:instrText>
        </w:r>
        <w:r>
          <w:fldChar w:fldCharType="separate"/>
        </w:r>
        <w:r w:rsidR="00556EDF">
          <w:rPr>
            <w:noProof/>
          </w:rPr>
          <w:t>23</w:t>
        </w:r>
        <w:r>
          <w:rPr>
            <w:noProof/>
          </w:rPr>
          <w:fldChar w:fldCharType="end"/>
        </w:r>
      </w:p>
    </w:sdtContent>
  </w:sdt>
  <w:p w14:paraId="42B5D6C4" w14:textId="77777777" w:rsidR="000876DE" w:rsidRDefault="000876DE" w:rsidP="004522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7212A" w14:textId="77777777" w:rsidR="00B92B47" w:rsidRDefault="00B92B47" w:rsidP="0045223D">
      <w:r>
        <w:separator/>
      </w:r>
    </w:p>
  </w:footnote>
  <w:footnote w:type="continuationSeparator" w:id="0">
    <w:p w14:paraId="2E6800A7" w14:textId="77777777" w:rsidR="00B92B47" w:rsidRDefault="00B92B47" w:rsidP="004522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26EEE"/>
    <w:multiLevelType w:val="hybridMultilevel"/>
    <w:tmpl w:val="92EC12B6"/>
    <w:lvl w:ilvl="0" w:tplc="91447052">
      <w:numFmt w:val="bullet"/>
      <w:lvlText w:val="-"/>
      <w:lvlJc w:val="left"/>
      <w:pPr>
        <w:ind w:left="720" w:hanging="360"/>
      </w:pPr>
      <w:rPr>
        <w:rFonts w:ascii="Cambria" w:eastAsiaTheme="majorEastAsia" w:hAnsi="Cambria"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E6748"/>
    <w:multiLevelType w:val="hybridMultilevel"/>
    <w:tmpl w:val="FA2E6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91964"/>
    <w:multiLevelType w:val="hybridMultilevel"/>
    <w:tmpl w:val="965A7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F7D4A"/>
    <w:multiLevelType w:val="hybridMultilevel"/>
    <w:tmpl w:val="61A425B6"/>
    <w:lvl w:ilvl="0" w:tplc="7AD0E930">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10D63"/>
    <w:multiLevelType w:val="hybridMultilevel"/>
    <w:tmpl w:val="04DCE298"/>
    <w:lvl w:ilvl="0" w:tplc="A1AEFEE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30978"/>
    <w:multiLevelType w:val="hybridMultilevel"/>
    <w:tmpl w:val="FC561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75796"/>
    <w:multiLevelType w:val="hybridMultilevel"/>
    <w:tmpl w:val="0876F2D6"/>
    <w:lvl w:ilvl="0" w:tplc="B0727454">
      <w:start w:val="1"/>
      <w:numFmt w:val="decimal"/>
      <w:lvlText w:val="%1)"/>
      <w:lvlJc w:val="left"/>
      <w:pPr>
        <w:ind w:left="360" w:hanging="360"/>
      </w:pPr>
      <w:rPr>
        <w:rFonts w:asciiTheme="minorHAnsi" w:eastAsiaTheme="minorHAnsi" w:hAnsiTheme="minorHAnsi" w:cstheme="minorBid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E34DA7"/>
    <w:multiLevelType w:val="hybridMultilevel"/>
    <w:tmpl w:val="7CD69F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7394C"/>
    <w:multiLevelType w:val="hybridMultilevel"/>
    <w:tmpl w:val="9CF85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F1125"/>
    <w:multiLevelType w:val="hybridMultilevel"/>
    <w:tmpl w:val="92F09E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0A0C5D"/>
    <w:multiLevelType w:val="hybridMultilevel"/>
    <w:tmpl w:val="13DA0928"/>
    <w:lvl w:ilvl="0" w:tplc="08090001">
      <w:start w:val="1"/>
      <w:numFmt w:val="bullet"/>
      <w:lvlText w:val=""/>
      <w:lvlJc w:val="left"/>
      <w:pPr>
        <w:ind w:left="720" w:hanging="360"/>
      </w:pPr>
      <w:rPr>
        <w:rFonts w:ascii="Symbol" w:hAnsi="Symbol" w:hint="default"/>
      </w:rPr>
    </w:lvl>
    <w:lvl w:ilvl="1" w:tplc="0C0A0011">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61E68"/>
    <w:multiLevelType w:val="hybridMultilevel"/>
    <w:tmpl w:val="B60A34B0"/>
    <w:lvl w:ilvl="0" w:tplc="A8D4647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F30CC"/>
    <w:multiLevelType w:val="hybridMultilevel"/>
    <w:tmpl w:val="5A10B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20D4"/>
    <w:multiLevelType w:val="hybridMultilevel"/>
    <w:tmpl w:val="5F0E3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8A2826"/>
    <w:multiLevelType w:val="hybridMultilevel"/>
    <w:tmpl w:val="C1D6AC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174834"/>
    <w:multiLevelType w:val="hybridMultilevel"/>
    <w:tmpl w:val="4F7A74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297C45"/>
    <w:multiLevelType w:val="hybridMultilevel"/>
    <w:tmpl w:val="907EA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CC7F0A"/>
    <w:multiLevelType w:val="hybridMultilevel"/>
    <w:tmpl w:val="E578B1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6ED642C"/>
    <w:multiLevelType w:val="hybridMultilevel"/>
    <w:tmpl w:val="957C2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8A3120B"/>
    <w:multiLevelType w:val="hybridMultilevel"/>
    <w:tmpl w:val="D194DA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90C4A63"/>
    <w:multiLevelType w:val="hybridMultilevel"/>
    <w:tmpl w:val="DD24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6B3DFA"/>
    <w:multiLevelType w:val="hybridMultilevel"/>
    <w:tmpl w:val="4F7A74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0412FB"/>
    <w:multiLevelType w:val="hybridMultilevel"/>
    <w:tmpl w:val="F0242E02"/>
    <w:lvl w:ilvl="0" w:tplc="CC92BC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8312D"/>
    <w:multiLevelType w:val="hybridMultilevel"/>
    <w:tmpl w:val="830CC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60746"/>
    <w:multiLevelType w:val="hybridMultilevel"/>
    <w:tmpl w:val="91FC0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8637DC"/>
    <w:multiLevelType w:val="hybridMultilevel"/>
    <w:tmpl w:val="07D60D90"/>
    <w:lvl w:ilvl="0" w:tplc="E3F6076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EA53D8"/>
    <w:multiLevelType w:val="hybridMultilevel"/>
    <w:tmpl w:val="1494E9DC"/>
    <w:lvl w:ilvl="0" w:tplc="08070001">
      <w:start w:val="1"/>
      <w:numFmt w:val="bullet"/>
      <w:lvlText w:val=""/>
      <w:lvlJc w:val="left"/>
      <w:pPr>
        <w:ind w:left="644" w:hanging="360"/>
      </w:pPr>
      <w:rPr>
        <w:rFonts w:ascii="Symbol" w:hAnsi="Symbol" w:hint="default"/>
      </w:rPr>
    </w:lvl>
    <w:lvl w:ilvl="1" w:tplc="08070003">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27" w15:restartNumberingAfterBreak="0">
    <w:nsid w:val="4A626577"/>
    <w:multiLevelType w:val="hybridMultilevel"/>
    <w:tmpl w:val="BACCA9C4"/>
    <w:lvl w:ilvl="0" w:tplc="49F0E564">
      <w:start w:val="6"/>
      <w:numFmt w:val="bullet"/>
      <w:lvlText w:val="-"/>
      <w:lvlJc w:val="left"/>
      <w:pPr>
        <w:ind w:left="720" w:hanging="360"/>
      </w:pPr>
      <w:rPr>
        <w:rFonts w:ascii="OpenSans" w:eastAsiaTheme="minorHAnsi" w:hAnsi="OpenSans" w:cs="Open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3C7A47"/>
    <w:multiLevelType w:val="hybridMultilevel"/>
    <w:tmpl w:val="B1465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E07ED8"/>
    <w:multiLevelType w:val="hybridMultilevel"/>
    <w:tmpl w:val="E898B3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D13C20"/>
    <w:multiLevelType w:val="hybridMultilevel"/>
    <w:tmpl w:val="9220461A"/>
    <w:lvl w:ilvl="0" w:tplc="AC0E3A2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571219"/>
    <w:multiLevelType w:val="hybridMultilevel"/>
    <w:tmpl w:val="E1C27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990BBF"/>
    <w:multiLevelType w:val="hybridMultilevel"/>
    <w:tmpl w:val="7C00A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7854658"/>
    <w:multiLevelType w:val="hybridMultilevel"/>
    <w:tmpl w:val="B694D10A"/>
    <w:lvl w:ilvl="0" w:tplc="5D00205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3A709B"/>
    <w:multiLevelType w:val="hybridMultilevel"/>
    <w:tmpl w:val="EA3EE8F6"/>
    <w:lvl w:ilvl="0" w:tplc="B09E235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96949A3"/>
    <w:multiLevelType w:val="hybridMultilevel"/>
    <w:tmpl w:val="82EC1F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3A625C1"/>
    <w:multiLevelType w:val="hybridMultilevel"/>
    <w:tmpl w:val="13006E88"/>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69E26207"/>
    <w:multiLevelType w:val="hybridMultilevel"/>
    <w:tmpl w:val="33C8F992"/>
    <w:lvl w:ilvl="0" w:tplc="AA16B69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093D11"/>
    <w:multiLevelType w:val="hybridMultilevel"/>
    <w:tmpl w:val="77BCE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891896"/>
    <w:multiLevelType w:val="hybridMultilevel"/>
    <w:tmpl w:val="71649DD4"/>
    <w:lvl w:ilvl="0" w:tplc="A126A21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AF516D"/>
    <w:multiLevelType w:val="hybridMultilevel"/>
    <w:tmpl w:val="247AD0A4"/>
    <w:lvl w:ilvl="0" w:tplc="03F427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C17BDE"/>
    <w:multiLevelType w:val="hybridMultilevel"/>
    <w:tmpl w:val="BCE2D336"/>
    <w:lvl w:ilvl="0" w:tplc="68305830">
      <w:start w:val="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185C71"/>
    <w:multiLevelType w:val="hybridMultilevel"/>
    <w:tmpl w:val="3BC2DA7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51B64EB"/>
    <w:multiLevelType w:val="hybridMultilevel"/>
    <w:tmpl w:val="17B8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BD3E43"/>
    <w:multiLevelType w:val="hybridMultilevel"/>
    <w:tmpl w:val="9FF88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CD1177"/>
    <w:multiLevelType w:val="hybridMultilevel"/>
    <w:tmpl w:val="9038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4668C4"/>
    <w:multiLevelType w:val="hybridMultilevel"/>
    <w:tmpl w:val="7910F6FE"/>
    <w:lvl w:ilvl="0" w:tplc="D1B0F9A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504B02"/>
    <w:multiLevelType w:val="hybridMultilevel"/>
    <w:tmpl w:val="C002A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52536D"/>
    <w:multiLevelType w:val="hybridMultilevel"/>
    <w:tmpl w:val="848A1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E71DAB"/>
    <w:multiLevelType w:val="hybridMultilevel"/>
    <w:tmpl w:val="838C22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22"/>
  </w:num>
  <w:num w:numId="3">
    <w:abstractNumId w:val="38"/>
  </w:num>
  <w:num w:numId="4">
    <w:abstractNumId w:val="8"/>
  </w:num>
  <w:num w:numId="5">
    <w:abstractNumId w:val="7"/>
  </w:num>
  <w:num w:numId="6">
    <w:abstractNumId w:val="44"/>
  </w:num>
  <w:num w:numId="7">
    <w:abstractNumId w:val="6"/>
  </w:num>
  <w:num w:numId="8">
    <w:abstractNumId w:val="17"/>
  </w:num>
  <w:num w:numId="9">
    <w:abstractNumId w:val="10"/>
  </w:num>
  <w:num w:numId="10">
    <w:abstractNumId w:val="34"/>
  </w:num>
  <w:num w:numId="11">
    <w:abstractNumId w:val="4"/>
  </w:num>
  <w:num w:numId="12">
    <w:abstractNumId w:val="11"/>
  </w:num>
  <w:num w:numId="13">
    <w:abstractNumId w:val="15"/>
  </w:num>
  <w:num w:numId="14">
    <w:abstractNumId w:val="21"/>
  </w:num>
  <w:num w:numId="15">
    <w:abstractNumId w:val="27"/>
  </w:num>
  <w:num w:numId="16">
    <w:abstractNumId w:val="3"/>
  </w:num>
  <w:num w:numId="17">
    <w:abstractNumId w:val="30"/>
  </w:num>
  <w:num w:numId="18">
    <w:abstractNumId w:val="12"/>
  </w:num>
  <w:num w:numId="19">
    <w:abstractNumId w:val="43"/>
  </w:num>
  <w:num w:numId="20">
    <w:abstractNumId w:val="20"/>
  </w:num>
  <w:num w:numId="21">
    <w:abstractNumId w:val="47"/>
  </w:num>
  <w:num w:numId="22">
    <w:abstractNumId w:val="14"/>
  </w:num>
  <w:num w:numId="23">
    <w:abstractNumId w:val="29"/>
  </w:num>
  <w:num w:numId="24">
    <w:abstractNumId w:val="37"/>
  </w:num>
  <w:num w:numId="25">
    <w:abstractNumId w:val="9"/>
  </w:num>
  <w:num w:numId="26">
    <w:abstractNumId w:val="46"/>
  </w:num>
  <w:num w:numId="27">
    <w:abstractNumId w:val="23"/>
  </w:num>
  <w:num w:numId="28">
    <w:abstractNumId w:val="32"/>
  </w:num>
  <w:num w:numId="29">
    <w:abstractNumId w:val="48"/>
  </w:num>
  <w:num w:numId="30">
    <w:abstractNumId w:val="2"/>
  </w:num>
  <w:num w:numId="31">
    <w:abstractNumId w:val="0"/>
  </w:num>
  <w:num w:numId="32">
    <w:abstractNumId w:val="49"/>
  </w:num>
  <w:num w:numId="33">
    <w:abstractNumId w:val="13"/>
  </w:num>
  <w:num w:numId="34">
    <w:abstractNumId w:val="40"/>
  </w:num>
  <w:num w:numId="35">
    <w:abstractNumId w:val="33"/>
  </w:num>
  <w:num w:numId="36">
    <w:abstractNumId w:val="26"/>
  </w:num>
  <w:num w:numId="37">
    <w:abstractNumId w:val="45"/>
  </w:num>
  <w:num w:numId="38">
    <w:abstractNumId w:val="35"/>
  </w:num>
  <w:num w:numId="39">
    <w:abstractNumId w:val="42"/>
  </w:num>
  <w:num w:numId="40">
    <w:abstractNumId w:val="28"/>
  </w:num>
  <w:num w:numId="41">
    <w:abstractNumId w:val="19"/>
  </w:num>
  <w:num w:numId="42">
    <w:abstractNumId w:val="16"/>
  </w:num>
  <w:num w:numId="43">
    <w:abstractNumId w:val="41"/>
  </w:num>
  <w:num w:numId="44">
    <w:abstractNumId w:val="39"/>
  </w:num>
  <w:num w:numId="45">
    <w:abstractNumId w:val="24"/>
  </w:num>
  <w:num w:numId="46">
    <w:abstractNumId w:val="18"/>
  </w:num>
  <w:num w:numId="47">
    <w:abstractNumId w:val="36"/>
  </w:num>
  <w:num w:numId="48">
    <w:abstractNumId w:val="31"/>
  </w:num>
  <w:num w:numId="49">
    <w:abstractNumId w:val="1"/>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AkkYmRsYmluamlko6SsGpxcWZ+XkgBYYGtQDQZdbrLQAAAA=="/>
  </w:docVars>
  <w:rsids>
    <w:rsidRoot w:val="008F5496"/>
    <w:rsid w:val="00001004"/>
    <w:rsid w:val="000014D4"/>
    <w:rsid w:val="00005FE2"/>
    <w:rsid w:val="000076AB"/>
    <w:rsid w:val="000119AC"/>
    <w:rsid w:val="00011E01"/>
    <w:rsid w:val="00013967"/>
    <w:rsid w:val="00014AF3"/>
    <w:rsid w:val="00016CFD"/>
    <w:rsid w:val="00020BD6"/>
    <w:rsid w:val="00020D4E"/>
    <w:rsid w:val="000219D5"/>
    <w:rsid w:val="0002259D"/>
    <w:rsid w:val="00024F95"/>
    <w:rsid w:val="00025F67"/>
    <w:rsid w:val="00025FF1"/>
    <w:rsid w:val="000260B6"/>
    <w:rsid w:val="00026A8C"/>
    <w:rsid w:val="000271BD"/>
    <w:rsid w:val="000278DF"/>
    <w:rsid w:val="000306CF"/>
    <w:rsid w:val="00030C63"/>
    <w:rsid w:val="00032B2F"/>
    <w:rsid w:val="00035474"/>
    <w:rsid w:val="0003648E"/>
    <w:rsid w:val="000365B7"/>
    <w:rsid w:val="00037CF3"/>
    <w:rsid w:val="00040028"/>
    <w:rsid w:val="0004059E"/>
    <w:rsid w:val="00040F73"/>
    <w:rsid w:val="000429D6"/>
    <w:rsid w:val="00044EB3"/>
    <w:rsid w:val="00045E15"/>
    <w:rsid w:val="00045F14"/>
    <w:rsid w:val="00050EF3"/>
    <w:rsid w:val="00051876"/>
    <w:rsid w:val="00051D70"/>
    <w:rsid w:val="00056100"/>
    <w:rsid w:val="00062CD7"/>
    <w:rsid w:val="0006391E"/>
    <w:rsid w:val="00065E13"/>
    <w:rsid w:val="000709C3"/>
    <w:rsid w:val="00072C35"/>
    <w:rsid w:val="00074BBB"/>
    <w:rsid w:val="0007523E"/>
    <w:rsid w:val="00075A5F"/>
    <w:rsid w:val="00076DF4"/>
    <w:rsid w:val="000803EC"/>
    <w:rsid w:val="00081AA8"/>
    <w:rsid w:val="00082A7C"/>
    <w:rsid w:val="00083B9A"/>
    <w:rsid w:val="0008403C"/>
    <w:rsid w:val="00085502"/>
    <w:rsid w:val="0008682D"/>
    <w:rsid w:val="000876DE"/>
    <w:rsid w:val="00087F15"/>
    <w:rsid w:val="00090857"/>
    <w:rsid w:val="000916E3"/>
    <w:rsid w:val="00091E71"/>
    <w:rsid w:val="00092AB0"/>
    <w:rsid w:val="00092F63"/>
    <w:rsid w:val="000941D2"/>
    <w:rsid w:val="000A4C83"/>
    <w:rsid w:val="000A6FCA"/>
    <w:rsid w:val="000A788F"/>
    <w:rsid w:val="000A7B57"/>
    <w:rsid w:val="000A7C47"/>
    <w:rsid w:val="000B09DF"/>
    <w:rsid w:val="000B1420"/>
    <w:rsid w:val="000B2092"/>
    <w:rsid w:val="000B287C"/>
    <w:rsid w:val="000B3019"/>
    <w:rsid w:val="000B3049"/>
    <w:rsid w:val="000B5467"/>
    <w:rsid w:val="000B65F4"/>
    <w:rsid w:val="000C0F99"/>
    <w:rsid w:val="000C24AE"/>
    <w:rsid w:val="000C3230"/>
    <w:rsid w:val="000C6474"/>
    <w:rsid w:val="000C684D"/>
    <w:rsid w:val="000D129F"/>
    <w:rsid w:val="000D2354"/>
    <w:rsid w:val="000D23D7"/>
    <w:rsid w:val="000D3349"/>
    <w:rsid w:val="000D3837"/>
    <w:rsid w:val="000D4769"/>
    <w:rsid w:val="000D7C19"/>
    <w:rsid w:val="000E0F88"/>
    <w:rsid w:val="000E1B1C"/>
    <w:rsid w:val="000E7033"/>
    <w:rsid w:val="000E799D"/>
    <w:rsid w:val="000F20FE"/>
    <w:rsid w:val="000F22CB"/>
    <w:rsid w:val="000F5298"/>
    <w:rsid w:val="000F6322"/>
    <w:rsid w:val="000F7A9F"/>
    <w:rsid w:val="00106A02"/>
    <w:rsid w:val="00111B10"/>
    <w:rsid w:val="0011579E"/>
    <w:rsid w:val="00117E4E"/>
    <w:rsid w:val="00123382"/>
    <w:rsid w:val="00124870"/>
    <w:rsid w:val="001248AF"/>
    <w:rsid w:val="0012524F"/>
    <w:rsid w:val="0012766C"/>
    <w:rsid w:val="00130862"/>
    <w:rsid w:val="00131731"/>
    <w:rsid w:val="00131A0F"/>
    <w:rsid w:val="00133028"/>
    <w:rsid w:val="00133061"/>
    <w:rsid w:val="00133A56"/>
    <w:rsid w:val="00134B17"/>
    <w:rsid w:val="00137B57"/>
    <w:rsid w:val="00140195"/>
    <w:rsid w:val="00143624"/>
    <w:rsid w:val="00144189"/>
    <w:rsid w:val="00146831"/>
    <w:rsid w:val="00150EDF"/>
    <w:rsid w:val="001548FE"/>
    <w:rsid w:val="00155760"/>
    <w:rsid w:val="00155837"/>
    <w:rsid w:val="00160FF7"/>
    <w:rsid w:val="0016317E"/>
    <w:rsid w:val="00164FDD"/>
    <w:rsid w:val="00166B66"/>
    <w:rsid w:val="00170BDF"/>
    <w:rsid w:val="00172E1D"/>
    <w:rsid w:val="001734E9"/>
    <w:rsid w:val="00173D54"/>
    <w:rsid w:val="001752E2"/>
    <w:rsid w:val="00175EBF"/>
    <w:rsid w:val="0017788F"/>
    <w:rsid w:val="00177ED9"/>
    <w:rsid w:val="0018319F"/>
    <w:rsid w:val="001856D6"/>
    <w:rsid w:val="00194743"/>
    <w:rsid w:val="0019485C"/>
    <w:rsid w:val="001950A5"/>
    <w:rsid w:val="00195EC3"/>
    <w:rsid w:val="00196CAB"/>
    <w:rsid w:val="001A0651"/>
    <w:rsid w:val="001A15CB"/>
    <w:rsid w:val="001A2159"/>
    <w:rsid w:val="001A4332"/>
    <w:rsid w:val="001A5A28"/>
    <w:rsid w:val="001A5A3D"/>
    <w:rsid w:val="001A5BF2"/>
    <w:rsid w:val="001B307C"/>
    <w:rsid w:val="001B350F"/>
    <w:rsid w:val="001B5B6A"/>
    <w:rsid w:val="001B6A72"/>
    <w:rsid w:val="001B7781"/>
    <w:rsid w:val="001C069C"/>
    <w:rsid w:val="001C1BD2"/>
    <w:rsid w:val="001C2B76"/>
    <w:rsid w:val="001C32DE"/>
    <w:rsid w:val="001C4069"/>
    <w:rsid w:val="001C6891"/>
    <w:rsid w:val="001C6C65"/>
    <w:rsid w:val="001C776E"/>
    <w:rsid w:val="001D1EB7"/>
    <w:rsid w:val="001D2386"/>
    <w:rsid w:val="001D2DC3"/>
    <w:rsid w:val="001D3265"/>
    <w:rsid w:val="001D5469"/>
    <w:rsid w:val="001D58B2"/>
    <w:rsid w:val="001D688A"/>
    <w:rsid w:val="001D7479"/>
    <w:rsid w:val="001E013F"/>
    <w:rsid w:val="001E064F"/>
    <w:rsid w:val="001E2607"/>
    <w:rsid w:val="001E2F22"/>
    <w:rsid w:val="001E38CF"/>
    <w:rsid w:val="001E64EE"/>
    <w:rsid w:val="001E6B70"/>
    <w:rsid w:val="001E7C07"/>
    <w:rsid w:val="001F0709"/>
    <w:rsid w:val="001F1D39"/>
    <w:rsid w:val="001F77D2"/>
    <w:rsid w:val="00200B38"/>
    <w:rsid w:val="00200C9A"/>
    <w:rsid w:val="00200F91"/>
    <w:rsid w:val="00202835"/>
    <w:rsid w:val="002030F5"/>
    <w:rsid w:val="00203802"/>
    <w:rsid w:val="00204720"/>
    <w:rsid w:val="00205C42"/>
    <w:rsid w:val="00206161"/>
    <w:rsid w:val="00206944"/>
    <w:rsid w:val="00207758"/>
    <w:rsid w:val="00207C39"/>
    <w:rsid w:val="00210298"/>
    <w:rsid w:val="0021336B"/>
    <w:rsid w:val="00213828"/>
    <w:rsid w:val="00215683"/>
    <w:rsid w:val="00215B29"/>
    <w:rsid w:val="00216956"/>
    <w:rsid w:val="0021770A"/>
    <w:rsid w:val="002213CB"/>
    <w:rsid w:val="00222585"/>
    <w:rsid w:val="00222FC5"/>
    <w:rsid w:val="002235C9"/>
    <w:rsid w:val="00232F5F"/>
    <w:rsid w:val="00233D00"/>
    <w:rsid w:val="00234305"/>
    <w:rsid w:val="00234789"/>
    <w:rsid w:val="00235979"/>
    <w:rsid w:val="00240E2A"/>
    <w:rsid w:val="00242163"/>
    <w:rsid w:val="002430DA"/>
    <w:rsid w:val="00243EEC"/>
    <w:rsid w:val="0024406F"/>
    <w:rsid w:val="00244F89"/>
    <w:rsid w:val="00245841"/>
    <w:rsid w:val="002460A5"/>
    <w:rsid w:val="00250A88"/>
    <w:rsid w:val="00251682"/>
    <w:rsid w:val="00251C84"/>
    <w:rsid w:val="002535E5"/>
    <w:rsid w:val="00254950"/>
    <w:rsid w:val="00255516"/>
    <w:rsid w:val="00260D88"/>
    <w:rsid w:val="0026140E"/>
    <w:rsid w:val="00261B4C"/>
    <w:rsid w:val="0026376D"/>
    <w:rsid w:val="002637E9"/>
    <w:rsid w:val="002657A9"/>
    <w:rsid w:val="00266205"/>
    <w:rsid w:val="00266A18"/>
    <w:rsid w:val="002708E2"/>
    <w:rsid w:val="00270CBB"/>
    <w:rsid w:val="00270D1A"/>
    <w:rsid w:val="00270DFD"/>
    <w:rsid w:val="0027187E"/>
    <w:rsid w:val="00271DBE"/>
    <w:rsid w:val="00272354"/>
    <w:rsid w:val="00272BD2"/>
    <w:rsid w:val="00275216"/>
    <w:rsid w:val="00275902"/>
    <w:rsid w:val="00275E9F"/>
    <w:rsid w:val="002764CA"/>
    <w:rsid w:val="002767AB"/>
    <w:rsid w:val="00277B61"/>
    <w:rsid w:val="00280C38"/>
    <w:rsid w:val="00280E91"/>
    <w:rsid w:val="0028213B"/>
    <w:rsid w:val="002825CC"/>
    <w:rsid w:val="0028301C"/>
    <w:rsid w:val="00283D59"/>
    <w:rsid w:val="002910DA"/>
    <w:rsid w:val="00294786"/>
    <w:rsid w:val="002966D9"/>
    <w:rsid w:val="002A36B7"/>
    <w:rsid w:val="002A7FF5"/>
    <w:rsid w:val="002B21CB"/>
    <w:rsid w:val="002B42EE"/>
    <w:rsid w:val="002B4385"/>
    <w:rsid w:val="002B4A61"/>
    <w:rsid w:val="002B4BBC"/>
    <w:rsid w:val="002B59E0"/>
    <w:rsid w:val="002B6687"/>
    <w:rsid w:val="002B68E7"/>
    <w:rsid w:val="002B7A0F"/>
    <w:rsid w:val="002C0B6F"/>
    <w:rsid w:val="002C138E"/>
    <w:rsid w:val="002C20E9"/>
    <w:rsid w:val="002C29D3"/>
    <w:rsid w:val="002C39D7"/>
    <w:rsid w:val="002C3B47"/>
    <w:rsid w:val="002C4F0F"/>
    <w:rsid w:val="002C60B1"/>
    <w:rsid w:val="002D0380"/>
    <w:rsid w:val="002D24EC"/>
    <w:rsid w:val="002D4873"/>
    <w:rsid w:val="002D64F8"/>
    <w:rsid w:val="002D6D0C"/>
    <w:rsid w:val="002E4C51"/>
    <w:rsid w:val="002E5F4C"/>
    <w:rsid w:val="002E64BD"/>
    <w:rsid w:val="002F1466"/>
    <w:rsid w:val="002F491F"/>
    <w:rsid w:val="002F639D"/>
    <w:rsid w:val="00302238"/>
    <w:rsid w:val="00304B12"/>
    <w:rsid w:val="00304F61"/>
    <w:rsid w:val="00307358"/>
    <w:rsid w:val="00307C3F"/>
    <w:rsid w:val="003108E2"/>
    <w:rsid w:val="00313314"/>
    <w:rsid w:val="00315AE4"/>
    <w:rsid w:val="00316666"/>
    <w:rsid w:val="003212C9"/>
    <w:rsid w:val="00321C7C"/>
    <w:rsid w:val="003234F9"/>
    <w:rsid w:val="003257C1"/>
    <w:rsid w:val="00333507"/>
    <w:rsid w:val="0033399A"/>
    <w:rsid w:val="00334FA9"/>
    <w:rsid w:val="003364D9"/>
    <w:rsid w:val="00337183"/>
    <w:rsid w:val="0034166A"/>
    <w:rsid w:val="0034576E"/>
    <w:rsid w:val="00346C51"/>
    <w:rsid w:val="003501D8"/>
    <w:rsid w:val="00350548"/>
    <w:rsid w:val="003522BE"/>
    <w:rsid w:val="00352F3E"/>
    <w:rsid w:val="00353917"/>
    <w:rsid w:val="00355507"/>
    <w:rsid w:val="0035774C"/>
    <w:rsid w:val="00360D12"/>
    <w:rsid w:val="00360E6B"/>
    <w:rsid w:val="00362614"/>
    <w:rsid w:val="00362B5E"/>
    <w:rsid w:val="00362FC1"/>
    <w:rsid w:val="00363AAD"/>
    <w:rsid w:val="00363B03"/>
    <w:rsid w:val="00364AD6"/>
    <w:rsid w:val="00365877"/>
    <w:rsid w:val="003669C3"/>
    <w:rsid w:val="0037284D"/>
    <w:rsid w:val="00372957"/>
    <w:rsid w:val="00372F92"/>
    <w:rsid w:val="00373BF6"/>
    <w:rsid w:val="0037407E"/>
    <w:rsid w:val="00374827"/>
    <w:rsid w:val="003763FC"/>
    <w:rsid w:val="00377593"/>
    <w:rsid w:val="00380BD5"/>
    <w:rsid w:val="00380F55"/>
    <w:rsid w:val="00383AFF"/>
    <w:rsid w:val="00384D91"/>
    <w:rsid w:val="00386528"/>
    <w:rsid w:val="003867A2"/>
    <w:rsid w:val="00386BC8"/>
    <w:rsid w:val="003879EB"/>
    <w:rsid w:val="00387D87"/>
    <w:rsid w:val="00390A42"/>
    <w:rsid w:val="00391892"/>
    <w:rsid w:val="00395628"/>
    <w:rsid w:val="003960C2"/>
    <w:rsid w:val="00397636"/>
    <w:rsid w:val="003A0AB9"/>
    <w:rsid w:val="003A3CE2"/>
    <w:rsid w:val="003A4AD3"/>
    <w:rsid w:val="003A538C"/>
    <w:rsid w:val="003A6512"/>
    <w:rsid w:val="003A671D"/>
    <w:rsid w:val="003A6750"/>
    <w:rsid w:val="003A7E3D"/>
    <w:rsid w:val="003B1DE5"/>
    <w:rsid w:val="003B2F40"/>
    <w:rsid w:val="003B3CC9"/>
    <w:rsid w:val="003B49E8"/>
    <w:rsid w:val="003B7FA7"/>
    <w:rsid w:val="003C1435"/>
    <w:rsid w:val="003C1AF1"/>
    <w:rsid w:val="003C238C"/>
    <w:rsid w:val="003C2F67"/>
    <w:rsid w:val="003C5A4E"/>
    <w:rsid w:val="003D0366"/>
    <w:rsid w:val="003D1CAE"/>
    <w:rsid w:val="003D35C0"/>
    <w:rsid w:val="003D4D03"/>
    <w:rsid w:val="003D5AD9"/>
    <w:rsid w:val="003D61EE"/>
    <w:rsid w:val="003D7385"/>
    <w:rsid w:val="003D79B3"/>
    <w:rsid w:val="003D7AD2"/>
    <w:rsid w:val="003D7BC7"/>
    <w:rsid w:val="003E0A97"/>
    <w:rsid w:val="003E2372"/>
    <w:rsid w:val="003E3129"/>
    <w:rsid w:val="003E3928"/>
    <w:rsid w:val="003E3FB0"/>
    <w:rsid w:val="003E4512"/>
    <w:rsid w:val="003E4C86"/>
    <w:rsid w:val="003E663D"/>
    <w:rsid w:val="003E681C"/>
    <w:rsid w:val="003F1348"/>
    <w:rsid w:val="003F41C2"/>
    <w:rsid w:val="003F5C97"/>
    <w:rsid w:val="004001E2"/>
    <w:rsid w:val="00400F24"/>
    <w:rsid w:val="004015C6"/>
    <w:rsid w:val="00401CF5"/>
    <w:rsid w:val="00401F73"/>
    <w:rsid w:val="00403165"/>
    <w:rsid w:val="0040649B"/>
    <w:rsid w:val="00407C4F"/>
    <w:rsid w:val="00412E4C"/>
    <w:rsid w:val="004137AD"/>
    <w:rsid w:val="004148B5"/>
    <w:rsid w:val="004161BB"/>
    <w:rsid w:val="00421D52"/>
    <w:rsid w:val="004224C3"/>
    <w:rsid w:val="00422695"/>
    <w:rsid w:val="00426855"/>
    <w:rsid w:val="00432665"/>
    <w:rsid w:val="00435112"/>
    <w:rsid w:val="00435D37"/>
    <w:rsid w:val="00436839"/>
    <w:rsid w:val="00436AA4"/>
    <w:rsid w:val="00436ACF"/>
    <w:rsid w:val="00440073"/>
    <w:rsid w:val="0044230D"/>
    <w:rsid w:val="00443117"/>
    <w:rsid w:val="00443B1B"/>
    <w:rsid w:val="004448C0"/>
    <w:rsid w:val="00446267"/>
    <w:rsid w:val="0044694D"/>
    <w:rsid w:val="00447D45"/>
    <w:rsid w:val="00447F03"/>
    <w:rsid w:val="0045043F"/>
    <w:rsid w:val="00450CD8"/>
    <w:rsid w:val="004513E7"/>
    <w:rsid w:val="00451E55"/>
    <w:rsid w:val="0045223D"/>
    <w:rsid w:val="00452557"/>
    <w:rsid w:val="00454AB7"/>
    <w:rsid w:val="00454FA4"/>
    <w:rsid w:val="00455542"/>
    <w:rsid w:val="00455F58"/>
    <w:rsid w:val="0045612F"/>
    <w:rsid w:val="00456F44"/>
    <w:rsid w:val="004625E7"/>
    <w:rsid w:val="004650EE"/>
    <w:rsid w:val="00467100"/>
    <w:rsid w:val="004675F8"/>
    <w:rsid w:val="00467FF1"/>
    <w:rsid w:val="004701A3"/>
    <w:rsid w:val="0047099A"/>
    <w:rsid w:val="0047391F"/>
    <w:rsid w:val="0047617A"/>
    <w:rsid w:val="0047709F"/>
    <w:rsid w:val="00482A12"/>
    <w:rsid w:val="00484F1F"/>
    <w:rsid w:val="0048693D"/>
    <w:rsid w:val="00487448"/>
    <w:rsid w:val="00490396"/>
    <w:rsid w:val="00492B16"/>
    <w:rsid w:val="0049358E"/>
    <w:rsid w:val="00493C44"/>
    <w:rsid w:val="00495945"/>
    <w:rsid w:val="004A239E"/>
    <w:rsid w:val="004A4922"/>
    <w:rsid w:val="004A6DCB"/>
    <w:rsid w:val="004B03A1"/>
    <w:rsid w:val="004B0A84"/>
    <w:rsid w:val="004B201F"/>
    <w:rsid w:val="004B2BDE"/>
    <w:rsid w:val="004B6E2C"/>
    <w:rsid w:val="004B71E1"/>
    <w:rsid w:val="004C00A1"/>
    <w:rsid w:val="004C312A"/>
    <w:rsid w:val="004C3DE5"/>
    <w:rsid w:val="004C5C8B"/>
    <w:rsid w:val="004C5D1F"/>
    <w:rsid w:val="004C6CAD"/>
    <w:rsid w:val="004C7E48"/>
    <w:rsid w:val="004D59C5"/>
    <w:rsid w:val="004D7033"/>
    <w:rsid w:val="004E1BC0"/>
    <w:rsid w:val="004E1C30"/>
    <w:rsid w:val="004E2E6F"/>
    <w:rsid w:val="004E4892"/>
    <w:rsid w:val="004E500D"/>
    <w:rsid w:val="004E621E"/>
    <w:rsid w:val="004E65BC"/>
    <w:rsid w:val="004E7ACA"/>
    <w:rsid w:val="004F05DF"/>
    <w:rsid w:val="004F2B2E"/>
    <w:rsid w:val="004F3785"/>
    <w:rsid w:val="004F3FF0"/>
    <w:rsid w:val="004F7618"/>
    <w:rsid w:val="004F770C"/>
    <w:rsid w:val="005011A2"/>
    <w:rsid w:val="00501C68"/>
    <w:rsid w:val="0050392E"/>
    <w:rsid w:val="00503AFC"/>
    <w:rsid w:val="00505668"/>
    <w:rsid w:val="005058DC"/>
    <w:rsid w:val="00506302"/>
    <w:rsid w:val="0050661D"/>
    <w:rsid w:val="00507A22"/>
    <w:rsid w:val="0051131A"/>
    <w:rsid w:val="00511FE2"/>
    <w:rsid w:val="00512C9C"/>
    <w:rsid w:val="0051382D"/>
    <w:rsid w:val="00515151"/>
    <w:rsid w:val="00515ED7"/>
    <w:rsid w:val="005160B1"/>
    <w:rsid w:val="005203F5"/>
    <w:rsid w:val="005209E7"/>
    <w:rsid w:val="00520D2F"/>
    <w:rsid w:val="00526CF2"/>
    <w:rsid w:val="0052756E"/>
    <w:rsid w:val="00530218"/>
    <w:rsid w:val="00530FA6"/>
    <w:rsid w:val="005319A7"/>
    <w:rsid w:val="00533056"/>
    <w:rsid w:val="0053404B"/>
    <w:rsid w:val="00537907"/>
    <w:rsid w:val="00537E7A"/>
    <w:rsid w:val="00540AD8"/>
    <w:rsid w:val="00541AE0"/>
    <w:rsid w:val="00543B15"/>
    <w:rsid w:val="00544763"/>
    <w:rsid w:val="005471E5"/>
    <w:rsid w:val="00550A79"/>
    <w:rsid w:val="00554F94"/>
    <w:rsid w:val="00555088"/>
    <w:rsid w:val="0055522E"/>
    <w:rsid w:val="00555D4F"/>
    <w:rsid w:val="005564E1"/>
    <w:rsid w:val="00556EDF"/>
    <w:rsid w:val="00557488"/>
    <w:rsid w:val="00560373"/>
    <w:rsid w:val="00561671"/>
    <w:rsid w:val="00561CC1"/>
    <w:rsid w:val="005651AD"/>
    <w:rsid w:val="00565966"/>
    <w:rsid w:val="00572877"/>
    <w:rsid w:val="00572B1A"/>
    <w:rsid w:val="0057462E"/>
    <w:rsid w:val="005750DC"/>
    <w:rsid w:val="00575225"/>
    <w:rsid w:val="005765C0"/>
    <w:rsid w:val="0057736D"/>
    <w:rsid w:val="005804B2"/>
    <w:rsid w:val="00581BDF"/>
    <w:rsid w:val="00586D3B"/>
    <w:rsid w:val="00591E5B"/>
    <w:rsid w:val="00592795"/>
    <w:rsid w:val="00594F84"/>
    <w:rsid w:val="0059756A"/>
    <w:rsid w:val="005A36DC"/>
    <w:rsid w:val="005A55C9"/>
    <w:rsid w:val="005A7606"/>
    <w:rsid w:val="005B0343"/>
    <w:rsid w:val="005B1383"/>
    <w:rsid w:val="005B1B5B"/>
    <w:rsid w:val="005B2411"/>
    <w:rsid w:val="005B4C8A"/>
    <w:rsid w:val="005B6098"/>
    <w:rsid w:val="005B61DA"/>
    <w:rsid w:val="005C001A"/>
    <w:rsid w:val="005C026E"/>
    <w:rsid w:val="005C0F0C"/>
    <w:rsid w:val="005C3A50"/>
    <w:rsid w:val="005C44DC"/>
    <w:rsid w:val="005C7971"/>
    <w:rsid w:val="005D05BA"/>
    <w:rsid w:val="005D0ACA"/>
    <w:rsid w:val="005D213E"/>
    <w:rsid w:val="005D39C5"/>
    <w:rsid w:val="005D48AE"/>
    <w:rsid w:val="005D49BC"/>
    <w:rsid w:val="005D5A1C"/>
    <w:rsid w:val="005D7513"/>
    <w:rsid w:val="005E2197"/>
    <w:rsid w:val="005E5D39"/>
    <w:rsid w:val="005F0625"/>
    <w:rsid w:val="005F082F"/>
    <w:rsid w:val="005F2317"/>
    <w:rsid w:val="005F33A8"/>
    <w:rsid w:val="005F7372"/>
    <w:rsid w:val="005F79DF"/>
    <w:rsid w:val="006000C5"/>
    <w:rsid w:val="0060125B"/>
    <w:rsid w:val="00602D0F"/>
    <w:rsid w:val="006032D3"/>
    <w:rsid w:val="006045DC"/>
    <w:rsid w:val="00610257"/>
    <w:rsid w:val="00611819"/>
    <w:rsid w:val="00620FA2"/>
    <w:rsid w:val="00621E9E"/>
    <w:rsid w:val="006223BC"/>
    <w:rsid w:val="0062747A"/>
    <w:rsid w:val="00627C4D"/>
    <w:rsid w:val="00630541"/>
    <w:rsid w:val="00635984"/>
    <w:rsid w:val="00636B5C"/>
    <w:rsid w:val="006379CB"/>
    <w:rsid w:val="00640967"/>
    <w:rsid w:val="006449D0"/>
    <w:rsid w:val="00646E7B"/>
    <w:rsid w:val="0064714F"/>
    <w:rsid w:val="006503B3"/>
    <w:rsid w:val="00651C87"/>
    <w:rsid w:val="006523A1"/>
    <w:rsid w:val="00652D44"/>
    <w:rsid w:val="0065593C"/>
    <w:rsid w:val="00656AAD"/>
    <w:rsid w:val="00661ACB"/>
    <w:rsid w:val="00662F33"/>
    <w:rsid w:val="006630C2"/>
    <w:rsid w:val="00665BE7"/>
    <w:rsid w:val="00667D58"/>
    <w:rsid w:val="00670A8D"/>
    <w:rsid w:val="00673047"/>
    <w:rsid w:val="00674FDF"/>
    <w:rsid w:val="00675F32"/>
    <w:rsid w:val="006826E7"/>
    <w:rsid w:val="00682C80"/>
    <w:rsid w:val="006845F6"/>
    <w:rsid w:val="00685358"/>
    <w:rsid w:val="0068641A"/>
    <w:rsid w:val="00686EC9"/>
    <w:rsid w:val="00694ABB"/>
    <w:rsid w:val="00697006"/>
    <w:rsid w:val="0069740C"/>
    <w:rsid w:val="00697C59"/>
    <w:rsid w:val="00697FC9"/>
    <w:rsid w:val="006A1671"/>
    <w:rsid w:val="006A472E"/>
    <w:rsid w:val="006A4EAA"/>
    <w:rsid w:val="006A53AF"/>
    <w:rsid w:val="006A5FB0"/>
    <w:rsid w:val="006A7708"/>
    <w:rsid w:val="006B1053"/>
    <w:rsid w:val="006B20CC"/>
    <w:rsid w:val="006B214F"/>
    <w:rsid w:val="006B26E5"/>
    <w:rsid w:val="006B489C"/>
    <w:rsid w:val="006B4CE2"/>
    <w:rsid w:val="006B743E"/>
    <w:rsid w:val="006B7EBB"/>
    <w:rsid w:val="006C04DB"/>
    <w:rsid w:val="006C12A6"/>
    <w:rsid w:val="006C3137"/>
    <w:rsid w:val="006C4CA4"/>
    <w:rsid w:val="006D0359"/>
    <w:rsid w:val="006D0CD0"/>
    <w:rsid w:val="006D0D88"/>
    <w:rsid w:val="006D20AB"/>
    <w:rsid w:val="006D5C3B"/>
    <w:rsid w:val="006D77DA"/>
    <w:rsid w:val="006E23F1"/>
    <w:rsid w:val="006E2919"/>
    <w:rsid w:val="006E2B2E"/>
    <w:rsid w:val="006E2C11"/>
    <w:rsid w:val="006E2CFE"/>
    <w:rsid w:val="006E40D8"/>
    <w:rsid w:val="006E4C9B"/>
    <w:rsid w:val="006E549C"/>
    <w:rsid w:val="006E739C"/>
    <w:rsid w:val="006E75CF"/>
    <w:rsid w:val="006F1A9B"/>
    <w:rsid w:val="006F40FB"/>
    <w:rsid w:val="006F6929"/>
    <w:rsid w:val="006F7F79"/>
    <w:rsid w:val="0070167D"/>
    <w:rsid w:val="00703678"/>
    <w:rsid w:val="007052B5"/>
    <w:rsid w:val="007109AD"/>
    <w:rsid w:val="00713CA2"/>
    <w:rsid w:val="00713E02"/>
    <w:rsid w:val="0071456C"/>
    <w:rsid w:val="007206B2"/>
    <w:rsid w:val="00720813"/>
    <w:rsid w:val="0072452C"/>
    <w:rsid w:val="00726645"/>
    <w:rsid w:val="007269BF"/>
    <w:rsid w:val="00727CCC"/>
    <w:rsid w:val="0073054D"/>
    <w:rsid w:val="00733A35"/>
    <w:rsid w:val="00733F29"/>
    <w:rsid w:val="00736B03"/>
    <w:rsid w:val="00740CB9"/>
    <w:rsid w:val="00740E12"/>
    <w:rsid w:val="007411A7"/>
    <w:rsid w:val="007415A7"/>
    <w:rsid w:val="007427C6"/>
    <w:rsid w:val="00745ACB"/>
    <w:rsid w:val="007464C5"/>
    <w:rsid w:val="00754494"/>
    <w:rsid w:val="00754A4F"/>
    <w:rsid w:val="007568D5"/>
    <w:rsid w:val="00761091"/>
    <w:rsid w:val="00761452"/>
    <w:rsid w:val="0076279A"/>
    <w:rsid w:val="00766294"/>
    <w:rsid w:val="00771866"/>
    <w:rsid w:val="007753FA"/>
    <w:rsid w:val="007765CC"/>
    <w:rsid w:val="00781507"/>
    <w:rsid w:val="0078181C"/>
    <w:rsid w:val="007836A6"/>
    <w:rsid w:val="00787DA5"/>
    <w:rsid w:val="00792A5C"/>
    <w:rsid w:val="00793AD8"/>
    <w:rsid w:val="00796454"/>
    <w:rsid w:val="0079745C"/>
    <w:rsid w:val="00797918"/>
    <w:rsid w:val="00797A85"/>
    <w:rsid w:val="007A11AC"/>
    <w:rsid w:val="007A1584"/>
    <w:rsid w:val="007A16E9"/>
    <w:rsid w:val="007A30B9"/>
    <w:rsid w:val="007A519D"/>
    <w:rsid w:val="007A5352"/>
    <w:rsid w:val="007A6378"/>
    <w:rsid w:val="007A64F3"/>
    <w:rsid w:val="007A723F"/>
    <w:rsid w:val="007B07D9"/>
    <w:rsid w:val="007B41A3"/>
    <w:rsid w:val="007B5C05"/>
    <w:rsid w:val="007B5D02"/>
    <w:rsid w:val="007C0D9E"/>
    <w:rsid w:val="007C0E63"/>
    <w:rsid w:val="007C32FA"/>
    <w:rsid w:val="007C33A7"/>
    <w:rsid w:val="007C4AE6"/>
    <w:rsid w:val="007C579D"/>
    <w:rsid w:val="007C7250"/>
    <w:rsid w:val="007C7E84"/>
    <w:rsid w:val="007C7FC8"/>
    <w:rsid w:val="007D093C"/>
    <w:rsid w:val="007D4747"/>
    <w:rsid w:val="007D5A6C"/>
    <w:rsid w:val="007D667C"/>
    <w:rsid w:val="007E091B"/>
    <w:rsid w:val="007E2B6C"/>
    <w:rsid w:val="007E3A37"/>
    <w:rsid w:val="007E3FE2"/>
    <w:rsid w:val="007E4005"/>
    <w:rsid w:val="007E5962"/>
    <w:rsid w:val="007F06F1"/>
    <w:rsid w:val="007F21F3"/>
    <w:rsid w:val="007F33CD"/>
    <w:rsid w:val="00802CD7"/>
    <w:rsid w:val="00810438"/>
    <w:rsid w:val="008119FC"/>
    <w:rsid w:val="00812037"/>
    <w:rsid w:val="008127A7"/>
    <w:rsid w:val="00812E2F"/>
    <w:rsid w:val="00812F65"/>
    <w:rsid w:val="008134CE"/>
    <w:rsid w:val="008137DE"/>
    <w:rsid w:val="00815833"/>
    <w:rsid w:val="00815E8F"/>
    <w:rsid w:val="0081682D"/>
    <w:rsid w:val="00817547"/>
    <w:rsid w:val="00824196"/>
    <w:rsid w:val="00824246"/>
    <w:rsid w:val="00824A5F"/>
    <w:rsid w:val="00825C23"/>
    <w:rsid w:val="00830C32"/>
    <w:rsid w:val="00832896"/>
    <w:rsid w:val="00833181"/>
    <w:rsid w:val="00834C18"/>
    <w:rsid w:val="00834FA3"/>
    <w:rsid w:val="0083543F"/>
    <w:rsid w:val="008363AF"/>
    <w:rsid w:val="0083707E"/>
    <w:rsid w:val="0083790E"/>
    <w:rsid w:val="00837F1C"/>
    <w:rsid w:val="00837F41"/>
    <w:rsid w:val="00840103"/>
    <w:rsid w:val="00843385"/>
    <w:rsid w:val="008446E0"/>
    <w:rsid w:val="0084495A"/>
    <w:rsid w:val="00846151"/>
    <w:rsid w:val="00846E5B"/>
    <w:rsid w:val="00847E75"/>
    <w:rsid w:val="00852781"/>
    <w:rsid w:val="008554B6"/>
    <w:rsid w:val="00855CAF"/>
    <w:rsid w:val="008576B9"/>
    <w:rsid w:val="00860C16"/>
    <w:rsid w:val="008611B0"/>
    <w:rsid w:val="00861FF0"/>
    <w:rsid w:val="00863495"/>
    <w:rsid w:val="00863853"/>
    <w:rsid w:val="00863D85"/>
    <w:rsid w:val="0086448B"/>
    <w:rsid w:val="00865E82"/>
    <w:rsid w:val="00866E18"/>
    <w:rsid w:val="00867660"/>
    <w:rsid w:val="008709D6"/>
    <w:rsid w:val="00870BB7"/>
    <w:rsid w:val="0087442B"/>
    <w:rsid w:val="008762A7"/>
    <w:rsid w:val="008768A0"/>
    <w:rsid w:val="00876902"/>
    <w:rsid w:val="0088032A"/>
    <w:rsid w:val="0088578E"/>
    <w:rsid w:val="00887E5D"/>
    <w:rsid w:val="00891E06"/>
    <w:rsid w:val="00892564"/>
    <w:rsid w:val="0089392C"/>
    <w:rsid w:val="00893AC1"/>
    <w:rsid w:val="00894CC8"/>
    <w:rsid w:val="008A07BD"/>
    <w:rsid w:val="008A0EA6"/>
    <w:rsid w:val="008A2BB5"/>
    <w:rsid w:val="008B1143"/>
    <w:rsid w:val="008B479B"/>
    <w:rsid w:val="008B667F"/>
    <w:rsid w:val="008B761A"/>
    <w:rsid w:val="008C0E91"/>
    <w:rsid w:val="008C1736"/>
    <w:rsid w:val="008C33A7"/>
    <w:rsid w:val="008C44F7"/>
    <w:rsid w:val="008C4650"/>
    <w:rsid w:val="008C7723"/>
    <w:rsid w:val="008D0FEE"/>
    <w:rsid w:val="008D43F9"/>
    <w:rsid w:val="008D52E8"/>
    <w:rsid w:val="008D5372"/>
    <w:rsid w:val="008D6957"/>
    <w:rsid w:val="008D740B"/>
    <w:rsid w:val="008D7F79"/>
    <w:rsid w:val="008E2EDB"/>
    <w:rsid w:val="008E3968"/>
    <w:rsid w:val="008E3C64"/>
    <w:rsid w:val="008E48D2"/>
    <w:rsid w:val="008E5D44"/>
    <w:rsid w:val="008E690F"/>
    <w:rsid w:val="008E6A5A"/>
    <w:rsid w:val="008E70F5"/>
    <w:rsid w:val="008E7894"/>
    <w:rsid w:val="008F4CA0"/>
    <w:rsid w:val="008F51DD"/>
    <w:rsid w:val="008F5496"/>
    <w:rsid w:val="008F68A8"/>
    <w:rsid w:val="009002F1"/>
    <w:rsid w:val="00902761"/>
    <w:rsid w:val="00904A1E"/>
    <w:rsid w:val="00905C25"/>
    <w:rsid w:val="00906720"/>
    <w:rsid w:val="00906A20"/>
    <w:rsid w:val="009103BA"/>
    <w:rsid w:val="0091320C"/>
    <w:rsid w:val="0091461F"/>
    <w:rsid w:val="00917CE8"/>
    <w:rsid w:val="00920515"/>
    <w:rsid w:val="00924FC2"/>
    <w:rsid w:val="009251B2"/>
    <w:rsid w:val="00925E0C"/>
    <w:rsid w:val="0092677F"/>
    <w:rsid w:val="00926A37"/>
    <w:rsid w:val="00930505"/>
    <w:rsid w:val="00930DF1"/>
    <w:rsid w:val="00932082"/>
    <w:rsid w:val="0093393B"/>
    <w:rsid w:val="009339D5"/>
    <w:rsid w:val="00936A94"/>
    <w:rsid w:val="0093719A"/>
    <w:rsid w:val="0094162F"/>
    <w:rsid w:val="00942F73"/>
    <w:rsid w:val="00945C6E"/>
    <w:rsid w:val="009500D1"/>
    <w:rsid w:val="00951B83"/>
    <w:rsid w:val="00952A72"/>
    <w:rsid w:val="009530D3"/>
    <w:rsid w:val="00960329"/>
    <w:rsid w:val="009606D4"/>
    <w:rsid w:val="00963659"/>
    <w:rsid w:val="0096596E"/>
    <w:rsid w:val="00965B98"/>
    <w:rsid w:val="009669AA"/>
    <w:rsid w:val="0097040B"/>
    <w:rsid w:val="00971A4F"/>
    <w:rsid w:val="00972A88"/>
    <w:rsid w:val="00972CF7"/>
    <w:rsid w:val="00973845"/>
    <w:rsid w:val="0097484C"/>
    <w:rsid w:val="00974C30"/>
    <w:rsid w:val="00974F7B"/>
    <w:rsid w:val="009753F2"/>
    <w:rsid w:val="00975836"/>
    <w:rsid w:val="00976B45"/>
    <w:rsid w:val="0098036E"/>
    <w:rsid w:val="00980D06"/>
    <w:rsid w:val="009816C9"/>
    <w:rsid w:val="00982BAB"/>
    <w:rsid w:val="00984175"/>
    <w:rsid w:val="00985CD3"/>
    <w:rsid w:val="00986C10"/>
    <w:rsid w:val="00991F50"/>
    <w:rsid w:val="00992A54"/>
    <w:rsid w:val="009936BC"/>
    <w:rsid w:val="009939B0"/>
    <w:rsid w:val="009941A9"/>
    <w:rsid w:val="00997160"/>
    <w:rsid w:val="009971C6"/>
    <w:rsid w:val="00997BCF"/>
    <w:rsid w:val="009A1440"/>
    <w:rsid w:val="009A2943"/>
    <w:rsid w:val="009A2AE8"/>
    <w:rsid w:val="009A4F6A"/>
    <w:rsid w:val="009A5056"/>
    <w:rsid w:val="009A671A"/>
    <w:rsid w:val="009A7DA6"/>
    <w:rsid w:val="009B0AA8"/>
    <w:rsid w:val="009B2021"/>
    <w:rsid w:val="009B268C"/>
    <w:rsid w:val="009B26DE"/>
    <w:rsid w:val="009B3F6E"/>
    <w:rsid w:val="009B54B2"/>
    <w:rsid w:val="009B61D2"/>
    <w:rsid w:val="009B7118"/>
    <w:rsid w:val="009B77B0"/>
    <w:rsid w:val="009B786F"/>
    <w:rsid w:val="009C0690"/>
    <w:rsid w:val="009C0AB6"/>
    <w:rsid w:val="009C18EB"/>
    <w:rsid w:val="009C1EFB"/>
    <w:rsid w:val="009C2ED3"/>
    <w:rsid w:val="009C34FD"/>
    <w:rsid w:val="009C4B6E"/>
    <w:rsid w:val="009C516D"/>
    <w:rsid w:val="009C52B3"/>
    <w:rsid w:val="009C5D7C"/>
    <w:rsid w:val="009D054B"/>
    <w:rsid w:val="009D0925"/>
    <w:rsid w:val="009D2D23"/>
    <w:rsid w:val="009D36C9"/>
    <w:rsid w:val="009D70D1"/>
    <w:rsid w:val="009D7E95"/>
    <w:rsid w:val="009E0E12"/>
    <w:rsid w:val="009E1EE6"/>
    <w:rsid w:val="009E221F"/>
    <w:rsid w:val="009E3E11"/>
    <w:rsid w:val="009E4461"/>
    <w:rsid w:val="009E6559"/>
    <w:rsid w:val="009E7196"/>
    <w:rsid w:val="009F6171"/>
    <w:rsid w:val="00A02563"/>
    <w:rsid w:val="00A02CE4"/>
    <w:rsid w:val="00A05C45"/>
    <w:rsid w:val="00A0658A"/>
    <w:rsid w:val="00A1029D"/>
    <w:rsid w:val="00A10639"/>
    <w:rsid w:val="00A10D97"/>
    <w:rsid w:val="00A12195"/>
    <w:rsid w:val="00A13F79"/>
    <w:rsid w:val="00A15020"/>
    <w:rsid w:val="00A15F84"/>
    <w:rsid w:val="00A20086"/>
    <w:rsid w:val="00A20E38"/>
    <w:rsid w:val="00A2168D"/>
    <w:rsid w:val="00A2481B"/>
    <w:rsid w:val="00A259B3"/>
    <w:rsid w:val="00A262DF"/>
    <w:rsid w:val="00A27115"/>
    <w:rsid w:val="00A27D86"/>
    <w:rsid w:val="00A30394"/>
    <w:rsid w:val="00A31909"/>
    <w:rsid w:val="00A32773"/>
    <w:rsid w:val="00A32B4C"/>
    <w:rsid w:val="00A3625F"/>
    <w:rsid w:val="00A40492"/>
    <w:rsid w:val="00A414C4"/>
    <w:rsid w:val="00A4166C"/>
    <w:rsid w:val="00A42E13"/>
    <w:rsid w:val="00A46AA1"/>
    <w:rsid w:val="00A47BC7"/>
    <w:rsid w:val="00A5036B"/>
    <w:rsid w:val="00A511B5"/>
    <w:rsid w:val="00A53BDA"/>
    <w:rsid w:val="00A54FE1"/>
    <w:rsid w:val="00A55A78"/>
    <w:rsid w:val="00A55CD2"/>
    <w:rsid w:val="00A55DE2"/>
    <w:rsid w:val="00A64997"/>
    <w:rsid w:val="00A65B6A"/>
    <w:rsid w:val="00A66515"/>
    <w:rsid w:val="00A70738"/>
    <w:rsid w:val="00A73D86"/>
    <w:rsid w:val="00A7457C"/>
    <w:rsid w:val="00A75F70"/>
    <w:rsid w:val="00A80CA3"/>
    <w:rsid w:val="00A81CC0"/>
    <w:rsid w:val="00A82FBE"/>
    <w:rsid w:val="00A84F05"/>
    <w:rsid w:val="00A90922"/>
    <w:rsid w:val="00A910D5"/>
    <w:rsid w:val="00A91881"/>
    <w:rsid w:val="00A920DF"/>
    <w:rsid w:val="00A92B90"/>
    <w:rsid w:val="00A931B8"/>
    <w:rsid w:val="00A9338E"/>
    <w:rsid w:val="00A96C21"/>
    <w:rsid w:val="00A97A85"/>
    <w:rsid w:val="00AA11BF"/>
    <w:rsid w:val="00AA222D"/>
    <w:rsid w:val="00AA2F8C"/>
    <w:rsid w:val="00AA6D05"/>
    <w:rsid w:val="00AA704C"/>
    <w:rsid w:val="00AA7724"/>
    <w:rsid w:val="00AA79A5"/>
    <w:rsid w:val="00AB0078"/>
    <w:rsid w:val="00AB14A1"/>
    <w:rsid w:val="00AB1FA9"/>
    <w:rsid w:val="00AB2886"/>
    <w:rsid w:val="00AB574E"/>
    <w:rsid w:val="00AB647A"/>
    <w:rsid w:val="00AC46AC"/>
    <w:rsid w:val="00AC50A2"/>
    <w:rsid w:val="00AC5D8A"/>
    <w:rsid w:val="00AC7120"/>
    <w:rsid w:val="00AC7136"/>
    <w:rsid w:val="00AC759B"/>
    <w:rsid w:val="00AD13AA"/>
    <w:rsid w:val="00AD2296"/>
    <w:rsid w:val="00AD2ADD"/>
    <w:rsid w:val="00AD30D9"/>
    <w:rsid w:val="00AD3237"/>
    <w:rsid w:val="00AD4073"/>
    <w:rsid w:val="00AD4318"/>
    <w:rsid w:val="00AD547B"/>
    <w:rsid w:val="00AD7282"/>
    <w:rsid w:val="00AD7998"/>
    <w:rsid w:val="00AD7F65"/>
    <w:rsid w:val="00AE1683"/>
    <w:rsid w:val="00AE349D"/>
    <w:rsid w:val="00AE5B0B"/>
    <w:rsid w:val="00AE6162"/>
    <w:rsid w:val="00AE6868"/>
    <w:rsid w:val="00AE6E56"/>
    <w:rsid w:val="00AF094E"/>
    <w:rsid w:val="00AF0FD2"/>
    <w:rsid w:val="00AF1977"/>
    <w:rsid w:val="00AF4E32"/>
    <w:rsid w:val="00AF795D"/>
    <w:rsid w:val="00B00249"/>
    <w:rsid w:val="00B00ABC"/>
    <w:rsid w:val="00B00C8A"/>
    <w:rsid w:val="00B07BC5"/>
    <w:rsid w:val="00B10846"/>
    <w:rsid w:val="00B12034"/>
    <w:rsid w:val="00B13D6F"/>
    <w:rsid w:val="00B15AA3"/>
    <w:rsid w:val="00B205C5"/>
    <w:rsid w:val="00B215B9"/>
    <w:rsid w:val="00B21E9C"/>
    <w:rsid w:val="00B22D6D"/>
    <w:rsid w:val="00B232AF"/>
    <w:rsid w:val="00B24E14"/>
    <w:rsid w:val="00B26820"/>
    <w:rsid w:val="00B26DBE"/>
    <w:rsid w:val="00B30BFE"/>
    <w:rsid w:val="00B30F6C"/>
    <w:rsid w:val="00B33D3C"/>
    <w:rsid w:val="00B3420D"/>
    <w:rsid w:val="00B34277"/>
    <w:rsid w:val="00B34522"/>
    <w:rsid w:val="00B35C43"/>
    <w:rsid w:val="00B36B98"/>
    <w:rsid w:val="00B37180"/>
    <w:rsid w:val="00B4247B"/>
    <w:rsid w:val="00B44760"/>
    <w:rsid w:val="00B46366"/>
    <w:rsid w:val="00B468B5"/>
    <w:rsid w:val="00B508EA"/>
    <w:rsid w:val="00B50FB9"/>
    <w:rsid w:val="00B5136F"/>
    <w:rsid w:val="00B5193A"/>
    <w:rsid w:val="00B53F15"/>
    <w:rsid w:val="00B55A3C"/>
    <w:rsid w:val="00B55DB7"/>
    <w:rsid w:val="00B56055"/>
    <w:rsid w:val="00B57A70"/>
    <w:rsid w:val="00B607DD"/>
    <w:rsid w:val="00B62952"/>
    <w:rsid w:val="00B6440C"/>
    <w:rsid w:val="00B66307"/>
    <w:rsid w:val="00B677A5"/>
    <w:rsid w:val="00B706C4"/>
    <w:rsid w:val="00B707A9"/>
    <w:rsid w:val="00B73034"/>
    <w:rsid w:val="00B73718"/>
    <w:rsid w:val="00B738DF"/>
    <w:rsid w:val="00B80B4D"/>
    <w:rsid w:val="00B80E2A"/>
    <w:rsid w:val="00B81219"/>
    <w:rsid w:val="00B81CFD"/>
    <w:rsid w:val="00B83553"/>
    <w:rsid w:val="00B8646D"/>
    <w:rsid w:val="00B87340"/>
    <w:rsid w:val="00B87BF0"/>
    <w:rsid w:val="00B90204"/>
    <w:rsid w:val="00B91AE6"/>
    <w:rsid w:val="00B92188"/>
    <w:rsid w:val="00B92B47"/>
    <w:rsid w:val="00B92BDD"/>
    <w:rsid w:val="00B930D8"/>
    <w:rsid w:val="00B93B6C"/>
    <w:rsid w:val="00B976C1"/>
    <w:rsid w:val="00BA10C9"/>
    <w:rsid w:val="00BA265B"/>
    <w:rsid w:val="00BA41A0"/>
    <w:rsid w:val="00BA57B7"/>
    <w:rsid w:val="00BA5FAD"/>
    <w:rsid w:val="00BB21E5"/>
    <w:rsid w:val="00BB2626"/>
    <w:rsid w:val="00BB3087"/>
    <w:rsid w:val="00BB54C5"/>
    <w:rsid w:val="00BB6CB6"/>
    <w:rsid w:val="00BB784B"/>
    <w:rsid w:val="00BB7F16"/>
    <w:rsid w:val="00BC0608"/>
    <w:rsid w:val="00BC1C61"/>
    <w:rsid w:val="00BC2175"/>
    <w:rsid w:val="00BC4748"/>
    <w:rsid w:val="00BC684D"/>
    <w:rsid w:val="00BC7D70"/>
    <w:rsid w:val="00BD0DDD"/>
    <w:rsid w:val="00BD1E8C"/>
    <w:rsid w:val="00BD222A"/>
    <w:rsid w:val="00BD3486"/>
    <w:rsid w:val="00BD4335"/>
    <w:rsid w:val="00BD444D"/>
    <w:rsid w:val="00BD53B3"/>
    <w:rsid w:val="00BD56A6"/>
    <w:rsid w:val="00BE1910"/>
    <w:rsid w:val="00BE1CC4"/>
    <w:rsid w:val="00BE2FDC"/>
    <w:rsid w:val="00BE43D8"/>
    <w:rsid w:val="00BE4E1D"/>
    <w:rsid w:val="00BE56C7"/>
    <w:rsid w:val="00BF00CC"/>
    <w:rsid w:val="00BF02F0"/>
    <w:rsid w:val="00BF0A0C"/>
    <w:rsid w:val="00BF1F5B"/>
    <w:rsid w:val="00BF489B"/>
    <w:rsid w:val="00BF4CA4"/>
    <w:rsid w:val="00C01BC2"/>
    <w:rsid w:val="00C025F1"/>
    <w:rsid w:val="00C0306F"/>
    <w:rsid w:val="00C03449"/>
    <w:rsid w:val="00C05178"/>
    <w:rsid w:val="00C06849"/>
    <w:rsid w:val="00C117F5"/>
    <w:rsid w:val="00C11F18"/>
    <w:rsid w:val="00C153D5"/>
    <w:rsid w:val="00C15F1B"/>
    <w:rsid w:val="00C170B5"/>
    <w:rsid w:val="00C2081D"/>
    <w:rsid w:val="00C21926"/>
    <w:rsid w:val="00C21CC8"/>
    <w:rsid w:val="00C23B4D"/>
    <w:rsid w:val="00C24552"/>
    <w:rsid w:val="00C24CC2"/>
    <w:rsid w:val="00C24F10"/>
    <w:rsid w:val="00C25544"/>
    <w:rsid w:val="00C26278"/>
    <w:rsid w:val="00C27C90"/>
    <w:rsid w:val="00C3059A"/>
    <w:rsid w:val="00C30D38"/>
    <w:rsid w:val="00C31FA3"/>
    <w:rsid w:val="00C3262C"/>
    <w:rsid w:val="00C32CFA"/>
    <w:rsid w:val="00C34F40"/>
    <w:rsid w:val="00C35718"/>
    <w:rsid w:val="00C35752"/>
    <w:rsid w:val="00C363B2"/>
    <w:rsid w:val="00C36A27"/>
    <w:rsid w:val="00C373F4"/>
    <w:rsid w:val="00C376F3"/>
    <w:rsid w:val="00C37A7A"/>
    <w:rsid w:val="00C416FA"/>
    <w:rsid w:val="00C41AA7"/>
    <w:rsid w:val="00C43C92"/>
    <w:rsid w:val="00C4653C"/>
    <w:rsid w:val="00C4775D"/>
    <w:rsid w:val="00C515F1"/>
    <w:rsid w:val="00C522A2"/>
    <w:rsid w:val="00C52583"/>
    <w:rsid w:val="00C54D79"/>
    <w:rsid w:val="00C572E5"/>
    <w:rsid w:val="00C60E8B"/>
    <w:rsid w:val="00C70803"/>
    <w:rsid w:val="00C7097F"/>
    <w:rsid w:val="00C76B59"/>
    <w:rsid w:val="00C80675"/>
    <w:rsid w:val="00C81853"/>
    <w:rsid w:val="00C81CA4"/>
    <w:rsid w:val="00C860B9"/>
    <w:rsid w:val="00C8613D"/>
    <w:rsid w:val="00C876DF"/>
    <w:rsid w:val="00C910E7"/>
    <w:rsid w:val="00C9194D"/>
    <w:rsid w:val="00C919CA"/>
    <w:rsid w:val="00C948AB"/>
    <w:rsid w:val="00C96849"/>
    <w:rsid w:val="00C97F9B"/>
    <w:rsid w:val="00CA0182"/>
    <w:rsid w:val="00CA1880"/>
    <w:rsid w:val="00CA28B8"/>
    <w:rsid w:val="00CA4447"/>
    <w:rsid w:val="00CA52D4"/>
    <w:rsid w:val="00CA7A4F"/>
    <w:rsid w:val="00CB220B"/>
    <w:rsid w:val="00CB34A5"/>
    <w:rsid w:val="00CB52A1"/>
    <w:rsid w:val="00CB5464"/>
    <w:rsid w:val="00CB678B"/>
    <w:rsid w:val="00CB69E3"/>
    <w:rsid w:val="00CC40F4"/>
    <w:rsid w:val="00CC5CD6"/>
    <w:rsid w:val="00CC7362"/>
    <w:rsid w:val="00CD1213"/>
    <w:rsid w:val="00CD1B29"/>
    <w:rsid w:val="00CD2EDD"/>
    <w:rsid w:val="00CD3BD6"/>
    <w:rsid w:val="00CD440F"/>
    <w:rsid w:val="00CE0DFA"/>
    <w:rsid w:val="00CE1CEC"/>
    <w:rsid w:val="00CE3C19"/>
    <w:rsid w:val="00CE4299"/>
    <w:rsid w:val="00CE5334"/>
    <w:rsid w:val="00CE55E4"/>
    <w:rsid w:val="00CE7B87"/>
    <w:rsid w:val="00CF2575"/>
    <w:rsid w:val="00CF5BA2"/>
    <w:rsid w:val="00D0126A"/>
    <w:rsid w:val="00D06A7A"/>
    <w:rsid w:val="00D0742E"/>
    <w:rsid w:val="00D10124"/>
    <w:rsid w:val="00D122B8"/>
    <w:rsid w:val="00D125B9"/>
    <w:rsid w:val="00D13079"/>
    <w:rsid w:val="00D142FB"/>
    <w:rsid w:val="00D1492A"/>
    <w:rsid w:val="00D15533"/>
    <w:rsid w:val="00D1590B"/>
    <w:rsid w:val="00D15CD9"/>
    <w:rsid w:val="00D169A8"/>
    <w:rsid w:val="00D17544"/>
    <w:rsid w:val="00D227A8"/>
    <w:rsid w:val="00D22F57"/>
    <w:rsid w:val="00D23A9B"/>
    <w:rsid w:val="00D252E4"/>
    <w:rsid w:val="00D31647"/>
    <w:rsid w:val="00D33504"/>
    <w:rsid w:val="00D33FFF"/>
    <w:rsid w:val="00D344D4"/>
    <w:rsid w:val="00D3504C"/>
    <w:rsid w:val="00D365D1"/>
    <w:rsid w:val="00D37B1D"/>
    <w:rsid w:val="00D40426"/>
    <w:rsid w:val="00D430C6"/>
    <w:rsid w:val="00D51471"/>
    <w:rsid w:val="00D52272"/>
    <w:rsid w:val="00D53564"/>
    <w:rsid w:val="00D565D8"/>
    <w:rsid w:val="00D56B58"/>
    <w:rsid w:val="00D57042"/>
    <w:rsid w:val="00D62815"/>
    <w:rsid w:val="00D62AC0"/>
    <w:rsid w:val="00D62B0C"/>
    <w:rsid w:val="00D67660"/>
    <w:rsid w:val="00D70048"/>
    <w:rsid w:val="00D70110"/>
    <w:rsid w:val="00D74585"/>
    <w:rsid w:val="00D74BAF"/>
    <w:rsid w:val="00D76722"/>
    <w:rsid w:val="00D770D4"/>
    <w:rsid w:val="00D7753A"/>
    <w:rsid w:val="00D83F38"/>
    <w:rsid w:val="00D84369"/>
    <w:rsid w:val="00D85017"/>
    <w:rsid w:val="00D85946"/>
    <w:rsid w:val="00D861A4"/>
    <w:rsid w:val="00D86D1F"/>
    <w:rsid w:val="00D87FFC"/>
    <w:rsid w:val="00D91575"/>
    <w:rsid w:val="00D93E3E"/>
    <w:rsid w:val="00D93E86"/>
    <w:rsid w:val="00D94F76"/>
    <w:rsid w:val="00D95451"/>
    <w:rsid w:val="00D969D4"/>
    <w:rsid w:val="00DA539F"/>
    <w:rsid w:val="00DB08C3"/>
    <w:rsid w:val="00DB419D"/>
    <w:rsid w:val="00DB5FE4"/>
    <w:rsid w:val="00DB768D"/>
    <w:rsid w:val="00DB7DB9"/>
    <w:rsid w:val="00DC00D9"/>
    <w:rsid w:val="00DC0D3A"/>
    <w:rsid w:val="00DC0E58"/>
    <w:rsid w:val="00DC39FA"/>
    <w:rsid w:val="00DC5B40"/>
    <w:rsid w:val="00DD20A1"/>
    <w:rsid w:val="00DD284A"/>
    <w:rsid w:val="00DD39C9"/>
    <w:rsid w:val="00DD3E92"/>
    <w:rsid w:val="00DD4877"/>
    <w:rsid w:val="00DD582C"/>
    <w:rsid w:val="00DD5D55"/>
    <w:rsid w:val="00DD616D"/>
    <w:rsid w:val="00DD6FC7"/>
    <w:rsid w:val="00DD7485"/>
    <w:rsid w:val="00DE01D0"/>
    <w:rsid w:val="00DE1115"/>
    <w:rsid w:val="00DE1319"/>
    <w:rsid w:val="00DE2365"/>
    <w:rsid w:val="00DE265D"/>
    <w:rsid w:val="00DE2A19"/>
    <w:rsid w:val="00DE3C96"/>
    <w:rsid w:val="00DE5C3F"/>
    <w:rsid w:val="00DE7767"/>
    <w:rsid w:val="00DF15F4"/>
    <w:rsid w:val="00DF4075"/>
    <w:rsid w:val="00DF4D33"/>
    <w:rsid w:val="00DF4F72"/>
    <w:rsid w:val="00DF6178"/>
    <w:rsid w:val="00DF74CF"/>
    <w:rsid w:val="00E021F0"/>
    <w:rsid w:val="00E04888"/>
    <w:rsid w:val="00E05E1B"/>
    <w:rsid w:val="00E06B1C"/>
    <w:rsid w:val="00E06CAB"/>
    <w:rsid w:val="00E1132A"/>
    <w:rsid w:val="00E13410"/>
    <w:rsid w:val="00E14113"/>
    <w:rsid w:val="00E157F4"/>
    <w:rsid w:val="00E15AB3"/>
    <w:rsid w:val="00E16C70"/>
    <w:rsid w:val="00E173BE"/>
    <w:rsid w:val="00E23990"/>
    <w:rsid w:val="00E264F3"/>
    <w:rsid w:val="00E309D3"/>
    <w:rsid w:val="00E30C5B"/>
    <w:rsid w:val="00E3381A"/>
    <w:rsid w:val="00E345AA"/>
    <w:rsid w:val="00E371E8"/>
    <w:rsid w:val="00E372FB"/>
    <w:rsid w:val="00E37967"/>
    <w:rsid w:val="00E424C7"/>
    <w:rsid w:val="00E43116"/>
    <w:rsid w:val="00E43683"/>
    <w:rsid w:val="00E43A19"/>
    <w:rsid w:val="00E45AE7"/>
    <w:rsid w:val="00E469A7"/>
    <w:rsid w:val="00E4726D"/>
    <w:rsid w:val="00E507D8"/>
    <w:rsid w:val="00E52E8B"/>
    <w:rsid w:val="00E55D13"/>
    <w:rsid w:val="00E56192"/>
    <w:rsid w:val="00E574B7"/>
    <w:rsid w:val="00E6321F"/>
    <w:rsid w:val="00E65F95"/>
    <w:rsid w:val="00E66D0A"/>
    <w:rsid w:val="00E66E49"/>
    <w:rsid w:val="00E7004F"/>
    <w:rsid w:val="00E70686"/>
    <w:rsid w:val="00E708D2"/>
    <w:rsid w:val="00E71FC6"/>
    <w:rsid w:val="00E73086"/>
    <w:rsid w:val="00E74888"/>
    <w:rsid w:val="00E75110"/>
    <w:rsid w:val="00E81FD4"/>
    <w:rsid w:val="00E829AC"/>
    <w:rsid w:val="00E85640"/>
    <w:rsid w:val="00E9151D"/>
    <w:rsid w:val="00E92035"/>
    <w:rsid w:val="00E94097"/>
    <w:rsid w:val="00E95A63"/>
    <w:rsid w:val="00E95C21"/>
    <w:rsid w:val="00E97042"/>
    <w:rsid w:val="00EA083F"/>
    <w:rsid w:val="00EA0C7D"/>
    <w:rsid w:val="00EA0CE6"/>
    <w:rsid w:val="00EA1514"/>
    <w:rsid w:val="00EA2370"/>
    <w:rsid w:val="00EA24B7"/>
    <w:rsid w:val="00EA30FC"/>
    <w:rsid w:val="00EA4C07"/>
    <w:rsid w:val="00EA5DF3"/>
    <w:rsid w:val="00EA6A31"/>
    <w:rsid w:val="00EA7241"/>
    <w:rsid w:val="00EA7E0B"/>
    <w:rsid w:val="00EB6BEF"/>
    <w:rsid w:val="00EB71E7"/>
    <w:rsid w:val="00EB7ED4"/>
    <w:rsid w:val="00EC12BA"/>
    <w:rsid w:val="00EC1DD1"/>
    <w:rsid w:val="00EC2AD0"/>
    <w:rsid w:val="00EC325D"/>
    <w:rsid w:val="00EC3902"/>
    <w:rsid w:val="00EC3EEF"/>
    <w:rsid w:val="00EC4BB6"/>
    <w:rsid w:val="00EC6F76"/>
    <w:rsid w:val="00ED1464"/>
    <w:rsid w:val="00ED2F46"/>
    <w:rsid w:val="00ED6E1E"/>
    <w:rsid w:val="00EE1CAF"/>
    <w:rsid w:val="00EE4E55"/>
    <w:rsid w:val="00EE609F"/>
    <w:rsid w:val="00EE7156"/>
    <w:rsid w:val="00EE795C"/>
    <w:rsid w:val="00EF10CF"/>
    <w:rsid w:val="00EF1684"/>
    <w:rsid w:val="00EF1D4B"/>
    <w:rsid w:val="00EF2B21"/>
    <w:rsid w:val="00EF485C"/>
    <w:rsid w:val="00EF5224"/>
    <w:rsid w:val="00EF5C89"/>
    <w:rsid w:val="00EF76D9"/>
    <w:rsid w:val="00EF7B57"/>
    <w:rsid w:val="00F02BDD"/>
    <w:rsid w:val="00F04486"/>
    <w:rsid w:val="00F04D2C"/>
    <w:rsid w:val="00F060EC"/>
    <w:rsid w:val="00F10CA0"/>
    <w:rsid w:val="00F110FF"/>
    <w:rsid w:val="00F16150"/>
    <w:rsid w:val="00F1740B"/>
    <w:rsid w:val="00F177D8"/>
    <w:rsid w:val="00F20329"/>
    <w:rsid w:val="00F2509A"/>
    <w:rsid w:val="00F25141"/>
    <w:rsid w:val="00F256CB"/>
    <w:rsid w:val="00F25757"/>
    <w:rsid w:val="00F26B7E"/>
    <w:rsid w:val="00F2768A"/>
    <w:rsid w:val="00F27BB8"/>
    <w:rsid w:val="00F303A5"/>
    <w:rsid w:val="00F309BB"/>
    <w:rsid w:val="00F30E35"/>
    <w:rsid w:val="00F33220"/>
    <w:rsid w:val="00F340A5"/>
    <w:rsid w:val="00F36634"/>
    <w:rsid w:val="00F3695A"/>
    <w:rsid w:val="00F416E8"/>
    <w:rsid w:val="00F41764"/>
    <w:rsid w:val="00F43B7F"/>
    <w:rsid w:val="00F45D47"/>
    <w:rsid w:val="00F51EB2"/>
    <w:rsid w:val="00F53071"/>
    <w:rsid w:val="00F53B00"/>
    <w:rsid w:val="00F56BBF"/>
    <w:rsid w:val="00F574CA"/>
    <w:rsid w:val="00F6145C"/>
    <w:rsid w:val="00F61BED"/>
    <w:rsid w:val="00F71EB3"/>
    <w:rsid w:val="00F8073C"/>
    <w:rsid w:val="00F8106A"/>
    <w:rsid w:val="00F8323E"/>
    <w:rsid w:val="00F83E65"/>
    <w:rsid w:val="00F85235"/>
    <w:rsid w:val="00F90768"/>
    <w:rsid w:val="00F90E55"/>
    <w:rsid w:val="00F91D41"/>
    <w:rsid w:val="00F95FE7"/>
    <w:rsid w:val="00FA19DA"/>
    <w:rsid w:val="00FA3A11"/>
    <w:rsid w:val="00FA3C8A"/>
    <w:rsid w:val="00FA3F4B"/>
    <w:rsid w:val="00FA5114"/>
    <w:rsid w:val="00FA56A7"/>
    <w:rsid w:val="00FA6C55"/>
    <w:rsid w:val="00FB198D"/>
    <w:rsid w:val="00FB26DE"/>
    <w:rsid w:val="00FB2EE2"/>
    <w:rsid w:val="00FB3FC6"/>
    <w:rsid w:val="00FB5F76"/>
    <w:rsid w:val="00FB639A"/>
    <w:rsid w:val="00FC2C54"/>
    <w:rsid w:val="00FD09ED"/>
    <w:rsid w:val="00FD18BC"/>
    <w:rsid w:val="00FD3FEB"/>
    <w:rsid w:val="00FD6E52"/>
    <w:rsid w:val="00FD7531"/>
    <w:rsid w:val="00FD7571"/>
    <w:rsid w:val="00FE1AC6"/>
    <w:rsid w:val="00FE4828"/>
    <w:rsid w:val="00FE66AB"/>
    <w:rsid w:val="00FE7FEC"/>
    <w:rsid w:val="00FF0F77"/>
    <w:rsid w:val="00FF119B"/>
    <w:rsid w:val="00FF189A"/>
    <w:rsid w:val="00FF275D"/>
    <w:rsid w:val="00FF4FE1"/>
    <w:rsid w:val="00FF51A5"/>
    <w:rsid w:val="00FF6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9983095"/>
  <w15:docId w15:val="{FD2B95CC-7B1A-46B5-BBFF-906DF6BB2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23D"/>
    <w:pPr>
      <w:spacing w:before="120" w:after="120" w:line="480" w:lineRule="auto"/>
    </w:pPr>
    <w:rPr>
      <w:rFonts w:ascii="Arial" w:hAnsi="Arial" w:cs="Arial"/>
      <w:sz w:val="24"/>
      <w:szCs w:val="24"/>
    </w:rPr>
  </w:style>
  <w:style w:type="paragraph" w:styleId="Heading1">
    <w:name w:val="heading 1"/>
    <w:basedOn w:val="Normal"/>
    <w:next w:val="Normal"/>
    <w:link w:val="Heading1Char"/>
    <w:uiPriority w:val="9"/>
    <w:qFormat/>
    <w:rsid w:val="008F54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54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F549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49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549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F5496"/>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10"/>
    <w:qFormat/>
    <w:rsid w:val="008F54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496"/>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8F5496"/>
    <w:rPr>
      <w:sz w:val="16"/>
      <w:szCs w:val="16"/>
    </w:rPr>
  </w:style>
  <w:style w:type="paragraph" w:styleId="CommentText">
    <w:name w:val="annotation text"/>
    <w:basedOn w:val="Normal"/>
    <w:link w:val="CommentTextChar"/>
    <w:uiPriority w:val="99"/>
    <w:unhideWhenUsed/>
    <w:rsid w:val="008F5496"/>
    <w:pPr>
      <w:spacing w:line="240" w:lineRule="auto"/>
    </w:pPr>
    <w:rPr>
      <w:sz w:val="20"/>
      <w:szCs w:val="20"/>
    </w:rPr>
  </w:style>
  <w:style w:type="character" w:customStyle="1" w:styleId="CommentTextChar">
    <w:name w:val="Comment Text Char"/>
    <w:basedOn w:val="DefaultParagraphFont"/>
    <w:link w:val="CommentText"/>
    <w:uiPriority w:val="99"/>
    <w:rsid w:val="008F5496"/>
    <w:rPr>
      <w:sz w:val="20"/>
      <w:szCs w:val="20"/>
    </w:rPr>
  </w:style>
  <w:style w:type="paragraph" w:styleId="BalloonText">
    <w:name w:val="Balloon Text"/>
    <w:basedOn w:val="Normal"/>
    <w:link w:val="BalloonTextChar"/>
    <w:uiPriority w:val="99"/>
    <w:semiHidden/>
    <w:unhideWhenUsed/>
    <w:rsid w:val="008F5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496"/>
    <w:rPr>
      <w:rFonts w:ascii="Tahoma" w:hAnsi="Tahoma" w:cs="Tahoma"/>
      <w:sz w:val="16"/>
      <w:szCs w:val="16"/>
    </w:rPr>
  </w:style>
  <w:style w:type="paragraph" w:styleId="ListParagraph">
    <w:name w:val="List Paragraph"/>
    <w:basedOn w:val="Normal"/>
    <w:uiPriority w:val="34"/>
    <w:qFormat/>
    <w:rsid w:val="008F5496"/>
    <w:pPr>
      <w:ind w:left="720"/>
      <w:contextualSpacing/>
    </w:pPr>
  </w:style>
  <w:style w:type="character" w:styleId="PlaceholderText">
    <w:name w:val="Placeholder Text"/>
    <w:basedOn w:val="DefaultParagraphFont"/>
    <w:uiPriority w:val="99"/>
    <w:semiHidden/>
    <w:rsid w:val="008F5496"/>
    <w:rPr>
      <w:color w:val="808080"/>
    </w:rPr>
  </w:style>
  <w:style w:type="character" w:styleId="Hyperlink">
    <w:name w:val="Hyperlink"/>
    <w:basedOn w:val="DefaultParagraphFont"/>
    <w:uiPriority w:val="99"/>
    <w:unhideWhenUsed/>
    <w:rsid w:val="008F5496"/>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F5496"/>
    <w:rPr>
      <w:b/>
      <w:bCs/>
    </w:rPr>
  </w:style>
  <w:style w:type="character" w:customStyle="1" w:styleId="CommentSubjectChar">
    <w:name w:val="Comment Subject Char"/>
    <w:basedOn w:val="CommentTextChar"/>
    <w:link w:val="CommentSubject"/>
    <w:uiPriority w:val="99"/>
    <w:semiHidden/>
    <w:rsid w:val="008F5496"/>
    <w:rPr>
      <w:b/>
      <w:bCs/>
      <w:sz w:val="20"/>
      <w:szCs w:val="20"/>
    </w:rPr>
  </w:style>
  <w:style w:type="paragraph" w:customStyle="1" w:styleId="Default">
    <w:name w:val="Default"/>
    <w:rsid w:val="008F5496"/>
    <w:pPr>
      <w:autoSpaceDE w:val="0"/>
      <w:autoSpaceDN w:val="0"/>
      <w:adjustRightInd w:val="0"/>
      <w:spacing w:after="0" w:line="240" w:lineRule="auto"/>
    </w:pPr>
    <w:rPr>
      <w:rFonts w:ascii="Minion Pro" w:hAnsi="Minion Pro" w:cs="Minion Pro"/>
      <w:color w:val="000000"/>
      <w:sz w:val="24"/>
      <w:szCs w:val="24"/>
    </w:rPr>
  </w:style>
  <w:style w:type="paragraph" w:styleId="Revision">
    <w:name w:val="Revision"/>
    <w:hidden/>
    <w:uiPriority w:val="99"/>
    <w:semiHidden/>
    <w:rsid w:val="008F5496"/>
    <w:pPr>
      <w:spacing w:after="0" w:line="240" w:lineRule="auto"/>
    </w:pPr>
  </w:style>
  <w:style w:type="character" w:customStyle="1" w:styleId="A19">
    <w:name w:val="A19"/>
    <w:uiPriority w:val="99"/>
    <w:rsid w:val="008F5496"/>
    <w:rPr>
      <w:rFonts w:cs="Minion Pro"/>
      <w:color w:val="211D1E"/>
      <w:sz w:val="11"/>
      <w:szCs w:val="11"/>
    </w:rPr>
  </w:style>
  <w:style w:type="character" w:customStyle="1" w:styleId="Mencinsinresolver1">
    <w:name w:val="Mención sin resolver1"/>
    <w:basedOn w:val="DefaultParagraphFont"/>
    <w:uiPriority w:val="99"/>
    <w:semiHidden/>
    <w:unhideWhenUsed/>
    <w:rsid w:val="008F5496"/>
    <w:rPr>
      <w:color w:val="605E5C"/>
      <w:shd w:val="clear" w:color="auto" w:fill="E1DFDD"/>
    </w:rPr>
  </w:style>
  <w:style w:type="character" w:customStyle="1" w:styleId="nlmarticle-title">
    <w:name w:val="nlm_article-title"/>
    <w:basedOn w:val="DefaultParagraphFont"/>
    <w:rsid w:val="008F5496"/>
  </w:style>
  <w:style w:type="character" w:customStyle="1" w:styleId="A7">
    <w:name w:val="A7"/>
    <w:uiPriority w:val="99"/>
    <w:rsid w:val="008F5496"/>
    <w:rPr>
      <w:rFonts w:cs="Minion Pro"/>
      <w:color w:val="221E1F"/>
      <w:sz w:val="11"/>
      <w:szCs w:val="11"/>
    </w:rPr>
  </w:style>
  <w:style w:type="character" w:customStyle="1" w:styleId="A5">
    <w:name w:val="A5"/>
    <w:uiPriority w:val="99"/>
    <w:rsid w:val="008F5496"/>
    <w:rPr>
      <w:rFonts w:cs="Minion Pro"/>
      <w:color w:val="211D1E"/>
      <w:sz w:val="11"/>
      <w:szCs w:val="11"/>
    </w:rPr>
  </w:style>
  <w:style w:type="character" w:styleId="Emphasis">
    <w:name w:val="Emphasis"/>
    <w:basedOn w:val="DefaultParagraphFont"/>
    <w:uiPriority w:val="20"/>
    <w:qFormat/>
    <w:rsid w:val="008F5496"/>
    <w:rPr>
      <w:i/>
      <w:iCs/>
    </w:rPr>
  </w:style>
  <w:style w:type="table" w:styleId="TableGrid">
    <w:name w:val="Table Grid"/>
    <w:basedOn w:val="TableNormal"/>
    <w:uiPriority w:val="39"/>
    <w:unhideWhenUsed/>
    <w:rsid w:val="008F5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8F5496"/>
  </w:style>
  <w:style w:type="paragraph" w:styleId="Header">
    <w:name w:val="header"/>
    <w:basedOn w:val="Normal"/>
    <w:link w:val="HeaderChar"/>
    <w:uiPriority w:val="99"/>
    <w:unhideWhenUsed/>
    <w:rsid w:val="00DD7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7485"/>
  </w:style>
  <w:style w:type="paragraph" w:styleId="Footer">
    <w:name w:val="footer"/>
    <w:basedOn w:val="Normal"/>
    <w:link w:val="FooterChar"/>
    <w:uiPriority w:val="99"/>
    <w:unhideWhenUsed/>
    <w:rsid w:val="00DD7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7485"/>
  </w:style>
  <w:style w:type="character" w:customStyle="1" w:styleId="tl8wme">
    <w:name w:val="tl8wme"/>
    <w:basedOn w:val="DefaultParagraphFont"/>
    <w:rsid w:val="007A30B9"/>
  </w:style>
  <w:style w:type="character" w:styleId="BookTitle">
    <w:name w:val="Book Title"/>
    <w:basedOn w:val="DefaultParagraphFont"/>
    <w:uiPriority w:val="33"/>
    <w:qFormat/>
    <w:rsid w:val="00A15020"/>
    <w:rPr>
      <w:b/>
      <w:bCs/>
      <w:i/>
      <w:iCs/>
      <w:spacing w:val="5"/>
    </w:rPr>
  </w:style>
  <w:style w:type="paragraph" w:customStyle="1" w:styleId="mb-0">
    <w:name w:val="mb-0"/>
    <w:basedOn w:val="Normal"/>
    <w:rsid w:val="0025495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wrap">
    <w:name w:val="nowrap"/>
    <w:basedOn w:val="DefaultParagraphFont"/>
    <w:rsid w:val="00254950"/>
  </w:style>
  <w:style w:type="character" w:customStyle="1" w:styleId="titleheading">
    <w:name w:val="title_heading"/>
    <w:basedOn w:val="DefaultParagraphFont"/>
    <w:rsid w:val="003E3129"/>
  </w:style>
  <w:style w:type="paragraph" w:customStyle="1" w:styleId="Pa5">
    <w:name w:val="Pa5"/>
    <w:basedOn w:val="Default"/>
    <w:next w:val="Default"/>
    <w:uiPriority w:val="99"/>
    <w:rsid w:val="00EB71E7"/>
    <w:pPr>
      <w:spacing w:line="187" w:lineRule="atLeast"/>
    </w:pPr>
    <w:rPr>
      <w:rFonts w:cstheme="minorBidi"/>
      <w:color w:val="auto"/>
    </w:rPr>
  </w:style>
  <w:style w:type="character" w:customStyle="1" w:styleId="A4">
    <w:name w:val="A4"/>
    <w:uiPriority w:val="99"/>
    <w:rsid w:val="00EB71E7"/>
    <w:rPr>
      <w:rFonts w:cs="Minion Pro"/>
      <w:color w:val="000000"/>
      <w:sz w:val="11"/>
      <w:szCs w:val="11"/>
    </w:rPr>
  </w:style>
  <w:style w:type="paragraph" w:styleId="FootnoteText">
    <w:name w:val="footnote text"/>
    <w:basedOn w:val="Normal"/>
    <w:link w:val="FootnoteTextChar"/>
    <w:uiPriority w:val="99"/>
    <w:semiHidden/>
    <w:unhideWhenUsed/>
    <w:rsid w:val="001248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48AF"/>
    <w:rPr>
      <w:sz w:val="20"/>
      <w:szCs w:val="20"/>
    </w:rPr>
  </w:style>
  <w:style w:type="character" w:styleId="FootnoteReference">
    <w:name w:val="footnote reference"/>
    <w:basedOn w:val="DefaultParagraphFont"/>
    <w:uiPriority w:val="99"/>
    <w:semiHidden/>
    <w:unhideWhenUsed/>
    <w:rsid w:val="001248AF"/>
    <w:rPr>
      <w:vertAlign w:val="superscript"/>
    </w:rPr>
  </w:style>
  <w:style w:type="paragraph" w:customStyle="1" w:styleId="Paragraph">
    <w:name w:val="Paragraph"/>
    <w:basedOn w:val="Normal"/>
    <w:rsid w:val="0045223D"/>
    <w:pPr>
      <w:spacing w:after="0" w:line="240" w:lineRule="auto"/>
      <w:ind w:firstLine="720"/>
    </w:pPr>
    <w:rPr>
      <w:rFonts w:ascii="Times New Roman" w:eastAsia="Times New Roman" w:hAnsi="Times New Roman" w:cs="Times New Roman"/>
      <w:lang w:val="en-US"/>
    </w:rPr>
  </w:style>
  <w:style w:type="paragraph" w:customStyle="1" w:styleId="Teaser">
    <w:name w:val="Teaser"/>
    <w:basedOn w:val="Normal"/>
    <w:rsid w:val="0045223D"/>
    <w:pPr>
      <w:spacing w:after="0" w:line="240" w:lineRule="auto"/>
    </w:pPr>
    <w:rPr>
      <w:rFonts w:ascii="Times New Roman" w:eastAsia="Times New Roman" w:hAnsi="Times New Roman" w:cs="Times New Roman"/>
      <w:lang w:val="en-US"/>
    </w:rPr>
  </w:style>
  <w:style w:type="paragraph" w:customStyle="1" w:styleId="Normal1">
    <w:name w:val="Normal1"/>
    <w:qFormat/>
    <w:rsid w:val="0045223D"/>
    <w:pPr>
      <w:spacing w:after="0" w:line="240" w:lineRule="auto"/>
    </w:pPr>
    <w:rPr>
      <w:rFonts w:ascii="Times New Roman" w:eastAsia="Times New Roman" w:hAnsi="Times New Roman" w:cs="Times New Roman"/>
      <w:color w:val="000000"/>
      <w:sz w:val="20"/>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4004">
      <w:bodyDiv w:val="1"/>
      <w:marLeft w:val="0"/>
      <w:marRight w:val="0"/>
      <w:marTop w:val="0"/>
      <w:marBottom w:val="0"/>
      <w:divBdr>
        <w:top w:val="none" w:sz="0" w:space="0" w:color="auto"/>
        <w:left w:val="none" w:sz="0" w:space="0" w:color="auto"/>
        <w:bottom w:val="none" w:sz="0" w:space="0" w:color="auto"/>
        <w:right w:val="none" w:sz="0" w:space="0" w:color="auto"/>
      </w:divBdr>
    </w:div>
    <w:div w:id="82802022">
      <w:bodyDiv w:val="1"/>
      <w:marLeft w:val="0"/>
      <w:marRight w:val="0"/>
      <w:marTop w:val="0"/>
      <w:marBottom w:val="0"/>
      <w:divBdr>
        <w:top w:val="none" w:sz="0" w:space="0" w:color="auto"/>
        <w:left w:val="none" w:sz="0" w:space="0" w:color="auto"/>
        <w:bottom w:val="none" w:sz="0" w:space="0" w:color="auto"/>
        <w:right w:val="none" w:sz="0" w:space="0" w:color="auto"/>
      </w:divBdr>
    </w:div>
    <w:div w:id="85997958">
      <w:bodyDiv w:val="1"/>
      <w:marLeft w:val="0"/>
      <w:marRight w:val="0"/>
      <w:marTop w:val="0"/>
      <w:marBottom w:val="0"/>
      <w:divBdr>
        <w:top w:val="none" w:sz="0" w:space="0" w:color="auto"/>
        <w:left w:val="none" w:sz="0" w:space="0" w:color="auto"/>
        <w:bottom w:val="none" w:sz="0" w:space="0" w:color="auto"/>
        <w:right w:val="none" w:sz="0" w:space="0" w:color="auto"/>
      </w:divBdr>
    </w:div>
    <w:div w:id="141585428">
      <w:bodyDiv w:val="1"/>
      <w:marLeft w:val="0"/>
      <w:marRight w:val="0"/>
      <w:marTop w:val="0"/>
      <w:marBottom w:val="0"/>
      <w:divBdr>
        <w:top w:val="none" w:sz="0" w:space="0" w:color="auto"/>
        <w:left w:val="none" w:sz="0" w:space="0" w:color="auto"/>
        <w:bottom w:val="none" w:sz="0" w:space="0" w:color="auto"/>
        <w:right w:val="none" w:sz="0" w:space="0" w:color="auto"/>
      </w:divBdr>
    </w:div>
    <w:div w:id="254750150">
      <w:bodyDiv w:val="1"/>
      <w:marLeft w:val="0"/>
      <w:marRight w:val="0"/>
      <w:marTop w:val="0"/>
      <w:marBottom w:val="0"/>
      <w:divBdr>
        <w:top w:val="none" w:sz="0" w:space="0" w:color="auto"/>
        <w:left w:val="none" w:sz="0" w:space="0" w:color="auto"/>
        <w:bottom w:val="none" w:sz="0" w:space="0" w:color="auto"/>
        <w:right w:val="none" w:sz="0" w:space="0" w:color="auto"/>
      </w:divBdr>
    </w:div>
    <w:div w:id="300506442">
      <w:bodyDiv w:val="1"/>
      <w:marLeft w:val="0"/>
      <w:marRight w:val="0"/>
      <w:marTop w:val="0"/>
      <w:marBottom w:val="0"/>
      <w:divBdr>
        <w:top w:val="none" w:sz="0" w:space="0" w:color="auto"/>
        <w:left w:val="none" w:sz="0" w:space="0" w:color="auto"/>
        <w:bottom w:val="none" w:sz="0" w:space="0" w:color="auto"/>
        <w:right w:val="none" w:sz="0" w:space="0" w:color="auto"/>
      </w:divBdr>
    </w:div>
    <w:div w:id="312293444">
      <w:bodyDiv w:val="1"/>
      <w:marLeft w:val="0"/>
      <w:marRight w:val="0"/>
      <w:marTop w:val="0"/>
      <w:marBottom w:val="0"/>
      <w:divBdr>
        <w:top w:val="none" w:sz="0" w:space="0" w:color="auto"/>
        <w:left w:val="none" w:sz="0" w:space="0" w:color="auto"/>
        <w:bottom w:val="none" w:sz="0" w:space="0" w:color="auto"/>
        <w:right w:val="none" w:sz="0" w:space="0" w:color="auto"/>
      </w:divBdr>
    </w:div>
    <w:div w:id="331565648">
      <w:bodyDiv w:val="1"/>
      <w:marLeft w:val="0"/>
      <w:marRight w:val="0"/>
      <w:marTop w:val="0"/>
      <w:marBottom w:val="0"/>
      <w:divBdr>
        <w:top w:val="none" w:sz="0" w:space="0" w:color="auto"/>
        <w:left w:val="none" w:sz="0" w:space="0" w:color="auto"/>
        <w:bottom w:val="none" w:sz="0" w:space="0" w:color="auto"/>
        <w:right w:val="none" w:sz="0" w:space="0" w:color="auto"/>
      </w:divBdr>
    </w:div>
    <w:div w:id="350961478">
      <w:bodyDiv w:val="1"/>
      <w:marLeft w:val="0"/>
      <w:marRight w:val="0"/>
      <w:marTop w:val="0"/>
      <w:marBottom w:val="0"/>
      <w:divBdr>
        <w:top w:val="none" w:sz="0" w:space="0" w:color="auto"/>
        <w:left w:val="none" w:sz="0" w:space="0" w:color="auto"/>
        <w:bottom w:val="none" w:sz="0" w:space="0" w:color="auto"/>
        <w:right w:val="none" w:sz="0" w:space="0" w:color="auto"/>
      </w:divBdr>
    </w:div>
    <w:div w:id="459496606">
      <w:bodyDiv w:val="1"/>
      <w:marLeft w:val="0"/>
      <w:marRight w:val="0"/>
      <w:marTop w:val="0"/>
      <w:marBottom w:val="0"/>
      <w:divBdr>
        <w:top w:val="none" w:sz="0" w:space="0" w:color="auto"/>
        <w:left w:val="none" w:sz="0" w:space="0" w:color="auto"/>
        <w:bottom w:val="none" w:sz="0" w:space="0" w:color="auto"/>
        <w:right w:val="none" w:sz="0" w:space="0" w:color="auto"/>
      </w:divBdr>
    </w:div>
    <w:div w:id="706298447">
      <w:bodyDiv w:val="1"/>
      <w:marLeft w:val="0"/>
      <w:marRight w:val="0"/>
      <w:marTop w:val="0"/>
      <w:marBottom w:val="0"/>
      <w:divBdr>
        <w:top w:val="none" w:sz="0" w:space="0" w:color="auto"/>
        <w:left w:val="none" w:sz="0" w:space="0" w:color="auto"/>
        <w:bottom w:val="none" w:sz="0" w:space="0" w:color="auto"/>
        <w:right w:val="none" w:sz="0" w:space="0" w:color="auto"/>
      </w:divBdr>
      <w:divsChild>
        <w:div w:id="1683052144">
          <w:marLeft w:val="0"/>
          <w:marRight w:val="0"/>
          <w:marTop w:val="0"/>
          <w:marBottom w:val="0"/>
          <w:divBdr>
            <w:top w:val="none" w:sz="0" w:space="0" w:color="auto"/>
            <w:left w:val="none" w:sz="0" w:space="0" w:color="auto"/>
            <w:bottom w:val="none" w:sz="0" w:space="0" w:color="auto"/>
            <w:right w:val="none" w:sz="0" w:space="0" w:color="auto"/>
          </w:divBdr>
        </w:div>
      </w:divsChild>
    </w:div>
    <w:div w:id="736440450">
      <w:bodyDiv w:val="1"/>
      <w:marLeft w:val="0"/>
      <w:marRight w:val="0"/>
      <w:marTop w:val="0"/>
      <w:marBottom w:val="0"/>
      <w:divBdr>
        <w:top w:val="none" w:sz="0" w:space="0" w:color="auto"/>
        <w:left w:val="none" w:sz="0" w:space="0" w:color="auto"/>
        <w:bottom w:val="none" w:sz="0" w:space="0" w:color="auto"/>
        <w:right w:val="none" w:sz="0" w:space="0" w:color="auto"/>
      </w:divBdr>
    </w:div>
    <w:div w:id="922566322">
      <w:bodyDiv w:val="1"/>
      <w:marLeft w:val="0"/>
      <w:marRight w:val="0"/>
      <w:marTop w:val="0"/>
      <w:marBottom w:val="0"/>
      <w:divBdr>
        <w:top w:val="none" w:sz="0" w:space="0" w:color="auto"/>
        <w:left w:val="none" w:sz="0" w:space="0" w:color="auto"/>
        <w:bottom w:val="none" w:sz="0" w:space="0" w:color="auto"/>
        <w:right w:val="none" w:sz="0" w:space="0" w:color="auto"/>
      </w:divBdr>
    </w:div>
    <w:div w:id="954601198">
      <w:bodyDiv w:val="1"/>
      <w:marLeft w:val="0"/>
      <w:marRight w:val="0"/>
      <w:marTop w:val="0"/>
      <w:marBottom w:val="0"/>
      <w:divBdr>
        <w:top w:val="none" w:sz="0" w:space="0" w:color="auto"/>
        <w:left w:val="none" w:sz="0" w:space="0" w:color="auto"/>
        <w:bottom w:val="none" w:sz="0" w:space="0" w:color="auto"/>
        <w:right w:val="none" w:sz="0" w:space="0" w:color="auto"/>
      </w:divBdr>
    </w:div>
    <w:div w:id="1152407956">
      <w:bodyDiv w:val="1"/>
      <w:marLeft w:val="0"/>
      <w:marRight w:val="0"/>
      <w:marTop w:val="0"/>
      <w:marBottom w:val="0"/>
      <w:divBdr>
        <w:top w:val="none" w:sz="0" w:space="0" w:color="auto"/>
        <w:left w:val="none" w:sz="0" w:space="0" w:color="auto"/>
        <w:bottom w:val="none" w:sz="0" w:space="0" w:color="auto"/>
        <w:right w:val="none" w:sz="0" w:space="0" w:color="auto"/>
      </w:divBdr>
    </w:div>
    <w:div w:id="1560706266">
      <w:bodyDiv w:val="1"/>
      <w:marLeft w:val="0"/>
      <w:marRight w:val="0"/>
      <w:marTop w:val="0"/>
      <w:marBottom w:val="0"/>
      <w:divBdr>
        <w:top w:val="none" w:sz="0" w:space="0" w:color="auto"/>
        <w:left w:val="none" w:sz="0" w:space="0" w:color="auto"/>
        <w:bottom w:val="none" w:sz="0" w:space="0" w:color="auto"/>
        <w:right w:val="none" w:sz="0" w:space="0" w:color="auto"/>
      </w:divBdr>
    </w:div>
    <w:div w:id="1654598711">
      <w:bodyDiv w:val="1"/>
      <w:marLeft w:val="0"/>
      <w:marRight w:val="0"/>
      <w:marTop w:val="0"/>
      <w:marBottom w:val="0"/>
      <w:divBdr>
        <w:top w:val="none" w:sz="0" w:space="0" w:color="auto"/>
        <w:left w:val="none" w:sz="0" w:space="0" w:color="auto"/>
        <w:bottom w:val="none" w:sz="0" w:space="0" w:color="auto"/>
        <w:right w:val="none" w:sz="0" w:space="0" w:color="auto"/>
      </w:divBdr>
    </w:div>
    <w:div w:id="1687562178">
      <w:bodyDiv w:val="1"/>
      <w:marLeft w:val="0"/>
      <w:marRight w:val="0"/>
      <w:marTop w:val="0"/>
      <w:marBottom w:val="0"/>
      <w:divBdr>
        <w:top w:val="none" w:sz="0" w:space="0" w:color="auto"/>
        <w:left w:val="none" w:sz="0" w:space="0" w:color="auto"/>
        <w:bottom w:val="none" w:sz="0" w:space="0" w:color="auto"/>
        <w:right w:val="none" w:sz="0" w:space="0" w:color="auto"/>
      </w:divBdr>
    </w:div>
    <w:div w:id="1778325589">
      <w:bodyDiv w:val="1"/>
      <w:marLeft w:val="0"/>
      <w:marRight w:val="0"/>
      <w:marTop w:val="0"/>
      <w:marBottom w:val="0"/>
      <w:divBdr>
        <w:top w:val="none" w:sz="0" w:space="0" w:color="auto"/>
        <w:left w:val="none" w:sz="0" w:space="0" w:color="auto"/>
        <w:bottom w:val="none" w:sz="0" w:space="0" w:color="auto"/>
        <w:right w:val="none" w:sz="0" w:space="0" w:color="auto"/>
      </w:divBdr>
    </w:div>
    <w:div w:id="1843814677">
      <w:bodyDiv w:val="1"/>
      <w:marLeft w:val="0"/>
      <w:marRight w:val="0"/>
      <w:marTop w:val="0"/>
      <w:marBottom w:val="0"/>
      <w:divBdr>
        <w:top w:val="none" w:sz="0" w:space="0" w:color="auto"/>
        <w:left w:val="none" w:sz="0" w:space="0" w:color="auto"/>
        <w:bottom w:val="none" w:sz="0" w:space="0" w:color="auto"/>
        <w:right w:val="none" w:sz="0" w:space="0" w:color="auto"/>
      </w:divBdr>
    </w:div>
    <w:div w:id="1859156157">
      <w:bodyDiv w:val="1"/>
      <w:marLeft w:val="0"/>
      <w:marRight w:val="0"/>
      <w:marTop w:val="0"/>
      <w:marBottom w:val="0"/>
      <w:divBdr>
        <w:top w:val="none" w:sz="0" w:space="0" w:color="auto"/>
        <w:left w:val="none" w:sz="0" w:space="0" w:color="auto"/>
        <w:bottom w:val="none" w:sz="0" w:space="0" w:color="auto"/>
        <w:right w:val="none" w:sz="0" w:space="0" w:color="auto"/>
      </w:divBdr>
    </w:div>
    <w:div w:id="2044942680">
      <w:bodyDiv w:val="1"/>
      <w:marLeft w:val="0"/>
      <w:marRight w:val="0"/>
      <w:marTop w:val="0"/>
      <w:marBottom w:val="0"/>
      <w:divBdr>
        <w:top w:val="none" w:sz="0" w:space="0" w:color="auto"/>
        <w:left w:val="none" w:sz="0" w:space="0" w:color="auto"/>
        <w:bottom w:val="none" w:sz="0" w:space="0" w:color="auto"/>
        <w:right w:val="none" w:sz="0" w:space="0" w:color="auto"/>
      </w:divBdr>
      <w:divsChild>
        <w:div w:id="276370747">
          <w:marLeft w:val="0"/>
          <w:marRight w:val="0"/>
          <w:marTop w:val="0"/>
          <w:marBottom w:val="0"/>
          <w:divBdr>
            <w:top w:val="none" w:sz="0" w:space="0" w:color="auto"/>
            <w:left w:val="none" w:sz="0" w:space="0" w:color="auto"/>
            <w:bottom w:val="none" w:sz="0" w:space="0" w:color="auto"/>
            <w:right w:val="none" w:sz="0" w:space="0" w:color="auto"/>
          </w:divBdr>
        </w:div>
        <w:div w:id="918365764">
          <w:marLeft w:val="0"/>
          <w:marRight w:val="0"/>
          <w:marTop w:val="0"/>
          <w:marBottom w:val="0"/>
          <w:divBdr>
            <w:top w:val="none" w:sz="0" w:space="0" w:color="auto"/>
            <w:left w:val="none" w:sz="0" w:space="0" w:color="auto"/>
            <w:bottom w:val="none" w:sz="0" w:space="0" w:color="auto"/>
            <w:right w:val="none" w:sz="0" w:space="0" w:color="auto"/>
          </w:divBdr>
        </w:div>
      </w:divsChild>
    </w:div>
    <w:div w:id="205029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BF9A36E48CE64FB72B6BEC066DFCC3" ma:contentTypeVersion="10" ma:contentTypeDescription="Create a new document." ma:contentTypeScope="" ma:versionID="c7b5e2f1cf6dfb5dd033c2fbe0b0d91e">
  <xsd:schema xmlns:xsd="http://www.w3.org/2001/XMLSchema" xmlns:xs="http://www.w3.org/2001/XMLSchema" xmlns:p="http://schemas.microsoft.com/office/2006/metadata/properties" xmlns:ns2="439c8c06-112b-4c5f-9635-b0cf3c471b70" targetNamespace="http://schemas.microsoft.com/office/2006/metadata/properties" ma:root="true" ma:fieldsID="90ebf3bdd71734ebdb70158aaa263431" ns2:_="">
    <xsd:import namespace="439c8c06-112b-4c5f-9635-b0cf3c471b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c8c06-112b-4c5f-9635-b0cf3c471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8DAAD-B55A-4DA5-A6B2-9D4AE96E6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c8c06-112b-4c5f-9635-b0cf3c471b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894B13-B2F6-4B88-A7EE-F91F08922422}">
  <ds:schemaRefs>
    <ds:schemaRef ds:uri="http://schemas.microsoft.com/sharepoint/v3/contenttype/forms"/>
  </ds:schemaRefs>
</ds:datastoreItem>
</file>

<file path=customXml/itemProps3.xml><?xml version="1.0" encoding="utf-8"?>
<ds:datastoreItem xmlns:ds="http://schemas.openxmlformats.org/officeDocument/2006/customXml" ds:itemID="{ECDBA599-DC12-45F4-8B06-6A2113296DFE}">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39c8c06-112b-4c5f-9635-b0cf3c471b70"/>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CE45151E-680F-45A9-8CC8-869179992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4914</Words>
  <Characters>71123</Characters>
  <Application>Microsoft Office Word</Application>
  <DocSecurity>4</DocSecurity>
  <Lines>592</Lines>
  <Paragraphs>151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75886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dc:creator>
  <cp:keywords/>
  <dc:description/>
  <cp:lastModifiedBy>Katie Jones</cp:lastModifiedBy>
  <cp:revision>2</cp:revision>
  <cp:lastPrinted>2019-07-23T07:50:00Z</cp:lastPrinted>
  <dcterms:created xsi:type="dcterms:W3CDTF">2020-04-28T07:41:00Z</dcterms:created>
  <dcterms:modified xsi:type="dcterms:W3CDTF">2020-04-28T07:41:00Z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ae484d27-fc8d-39d0-a5a1-e05fa3821f12</vt:lpwstr>
  </property>
  <property fmtid="{D5CDD505-2E9C-101B-9397-08002B2CF9AE}" pid="4" name="Mendeley Citation Style_1">
    <vt:lpwstr>http://www.zotero.org/styles/nature-climate-change</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http://www.zotero.org/styles/current-opinion-in-chemical-engineering</vt:lpwstr>
  </property>
  <property fmtid="{D5CDD505-2E9C-101B-9397-08002B2CF9AE}" pid="16" name="Mendeley Recent Style Name 5_1">
    <vt:lpwstr>Current Opinion in Chemical Engineering</vt:lpwstr>
  </property>
  <property fmtid="{D5CDD505-2E9C-101B-9397-08002B2CF9AE}" pid="17" name="Mendeley Recent Style Id 6_1">
    <vt:lpwstr>http://www.zotero.org/styles/elsevier-vancouver</vt:lpwstr>
  </property>
  <property fmtid="{D5CDD505-2E9C-101B-9397-08002B2CF9AE}" pid="18" name="Mendeley Recent Style Name 6_1">
    <vt:lpwstr>Elsevier - Vancouver</vt:lpwstr>
  </property>
  <property fmtid="{D5CDD505-2E9C-101B-9397-08002B2CF9AE}" pid="19" name="Mendeley Recent Style Id 7_1">
    <vt:lpwstr>http://www.zotero.org/styles/journal-of-cleaner-production</vt:lpwstr>
  </property>
  <property fmtid="{D5CDD505-2E9C-101B-9397-08002B2CF9AE}" pid="20" name="Mendeley Recent Style Name 7_1">
    <vt:lpwstr>Journal of Cleaner Production</vt:lpwstr>
  </property>
  <property fmtid="{D5CDD505-2E9C-101B-9397-08002B2CF9AE}" pid="21" name="Mendeley Recent Style Id 8_1">
    <vt:lpwstr>http://www.zotero.org/styles/nature-climate-change</vt:lpwstr>
  </property>
  <property fmtid="{D5CDD505-2E9C-101B-9397-08002B2CF9AE}" pid="22" name="Mendeley Recent Style Name 8_1">
    <vt:lpwstr>Nature Climate Change</vt:lpwstr>
  </property>
  <property fmtid="{D5CDD505-2E9C-101B-9397-08002B2CF9AE}" pid="23" name="Mendeley Recent Style Id 9_1">
    <vt:lpwstr>http://www.zotero.org/styles/pnas</vt:lpwstr>
  </property>
  <property fmtid="{D5CDD505-2E9C-101B-9397-08002B2CF9AE}" pid="24" name="Mendeley Recent Style Name 9_1">
    <vt:lpwstr>Proceedings of the National Academy of Sciences of the United States of America</vt:lpwstr>
  </property>
  <property fmtid="{D5CDD505-2E9C-101B-9397-08002B2CF9AE}" pid="25" name="ContentTypeId">
    <vt:lpwstr>0x010100F0BF9A36E48CE64FB72B6BEC066DFCC3</vt:lpwstr>
  </property>
</Properties>
</file>