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4C0F4" w14:textId="375898D5" w:rsidR="00686F4F" w:rsidRPr="00856876" w:rsidRDefault="00686F4F" w:rsidP="00856876">
      <w:pPr>
        <w:spacing w:line="480" w:lineRule="auto"/>
        <w:rPr>
          <w:b/>
          <w:sz w:val="22"/>
          <w:szCs w:val="22"/>
          <w:lang w:val="en-US"/>
        </w:rPr>
      </w:pPr>
      <w:r w:rsidRPr="00856876">
        <w:rPr>
          <w:b/>
          <w:sz w:val="22"/>
          <w:szCs w:val="22"/>
          <w:lang w:val="en-US"/>
        </w:rPr>
        <w:t xml:space="preserve">Fatty acids in the de novo lipogenesis pathway and </w:t>
      </w:r>
      <w:r w:rsidRPr="00856876">
        <w:rPr>
          <w:b/>
          <w:sz w:val="22"/>
          <w:szCs w:val="22"/>
          <w:lang w:val="en-US" w:eastAsia="ja-JP"/>
        </w:rPr>
        <w:t>i</w:t>
      </w:r>
      <w:r w:rsidRPr="00856876">
        <w:rPr>
          <w:b/>
          <w:sz w:val="22"/>
          <w:szCs w:val="22"/>
          <w:lang w:val="en-US"/>
        </w:rPr>
        <w:t xml:space="preserve">ncidence of type 2 </w:t>
      </w:r>
      <w:r w:rsidRPr="00856876">
        <w:rPr>
          <w:b/>
          <w:sz w:val="22"/>
          <w:szCs w:val="22"/>
          <w:lang w:val="en-US" w:eastAsia="ja-JP"/>
        </w:rPr>
        <w:t>d</w:t>
      </w:r>
      <w:r w:rsidRPr="00856876">
        <w:rPr>
          <w:b/>
          <w:sz w:val="22"/>
          <w:szCs w:val="22"/>
          <w:lang w:val="en-US"/>
        </w:rPr>
        <w:t xml:space="preserve">iabetes: a </w:t>
      </w:r>
      <w:r w:rsidRPr="00856876">
        <w:rPr>
          <w:b/>
          <w:sz w:val="22"/>
          <w:szCs w:val="22"/>
          <w:lang w:val="en-US" w:eastAsia="ja-JP"/>
        </w:rPr>
        <w:t>pooled analysis</w:t>
      </w:r>
      <w:r w:rsidRPr="00856876">
        <w:rPr>
          <w:b/>
          <w:sz w:val="22"/>
          <w:szCs w:val="22"/>
          <w:lang w:val="en-US"/>
        </w:rPr>
        <w:t xml:space="preserve"> of prospective cohort studies</w:t>
      </w:r>
    </w:p>
    <w:p w14:paraId="25AB43A8" w14:textId="77777777" w:rsidR="00686F4F" w:rsidRPr="00856876" w:rsidRDefault="00686F4F" w:rsidP="00856876">
      <w:pPr>
        <w:spacing w:line="480" w:lineRule="auto"/>
        <w:rPr>
          <w:bCs/>
          <w:sz w:val="22"/>
          <w:szCs w:val="22"/>
          <w:lang w:val="en-US"/>
        </w:rPr>
      </w:pPr>
      <w:r w:rsidRPr="00856876">
        <w:rPr>
          <w:bCs/>
          <w:sz w:val="22"/>
          <w:szCs w:val="22"/>
          <w:lang w:val="en-US" w:eastAsia="ja-JP"/>
        </w:rPr>
        <w:t>O</w:t>
      </w:r>
      <w:r w:rsidRPr="00856876">
        <w:rPr>
          <w:bCs/>
          <w:sz w:val="22"/>
          <w:szCs w:val="22"/>
          <w:lang w:val="en-US"/>
        </w:rPr>
        <w:t>n behalf of the Fatty Acids and Outcomes Research Consortium (FORCE)</w:t>
      </w:r>
    </w:p>
    <w:p w14:paraId="768570F3" w14:textId="76A0398B" w:rsidR="008219B7" w:rsidRDefault="00606DF9" w:rsidP="00856876">
      <w:pPr>
        <w:spacing w:line="480" w:lineRule="auto"/>
        <w:rPr>
          <w:bCs/>
          <w:sz w:val="22"/>
          <w:szCs w:val="22"/>
          <w:lang w:eastAsia="ja-JP"/>
        </w:rPr>
      </w:pPr>
      <w:r w:rsidRPr="00856876">
        <w:rPr>
          <w:b/>
          <w:bCs/>
          <w:sz w:val="22"/>
          <w:szCs w:val="22"/>
          <w:lang w:val="en-US" w:eastAsia="ja-JP"/>
        </w:rPr>
        <w:br/>
        <w:t xml:space="preserve">Short title: </w:t>
      </w:r>
      <w:r w:rsidRPr="00856876">
        <w:rPr>
          <w:bCs/>
          <w:sz w:val="22"/>
          <w:szCs w:val="22"/>
          <w:lang w:eastAsia="ja-JP"/>
        </w:rPr>
        <w:t>Fatty acids in the lipogenesis pathway and type 2 diabetes</w:t>
      </w:r>
    </w:p>
    <w:p w14:paraId="43E8ED49" w14:textId="77777777" w:rsidR="006635A6" w:rsidRPr="00856876" w:rsidRDefault="006635A6" w:rsidP="00856876">
      <w:pPr>
        <w:spacing w:line="480" w:lineRule="auto"/>
        <w:rPr>
          <w:bCs/>
          <w:sz w:val="22"/>
          <w:szCs w:val="22"/>
          <w:lang w:eastAsia="ja-JP"/>
        </w:rPr>
      </w:pPr>
    </w:p>
    <w:p w14:paraId="497C87AC" w14:textId="129456D9" w:rsidR="008219B7" w:rsidRPr="00856876" w:rsidRDefault="008219B7" w:rsidP="00856876">
      <w:pPr>
        <w:spacing w:line="480" w:lineRule="auto"/>
        <w:rPr>
          <w:b/>
          <w:bCs/>
          <w:sz w:val="22"/>
          <w:szCs w:val="22"/>
          <w:lang w:val="en-US" w:eastAsia="ja-JP"/>
        </w:rPr>
      </w:pPr>
      <w:r w:rsidRPr="00856876">
        <w:rPr>
          <w:b/>
          <w:sz w:val="22"/>
          <w:szCs w:val="22"/>
          <w:lang w:eastAsia="ja-JP"/>
        </w:rPr>
        <w:t>Authors:</w:t>
      </w:r>
      <w:r w:rsidR="00856876">
        <w:rPr>
          <w:b/>
          <w:sz w:val="22"/>
          <w:szCs w:val="22"/>
          <w:lang w:eastAsia="ja-JP"/>
        </w:rPr>
        <w:t xml:space="preserve"> </w:t>
      </w:r>
      <w:r w:rsidR="00AC4732" w:rsidRPr="00856876">
        <w:rPr>
          <w:color w:val="000000"/>
          <w:sz w:val="22"/>
          <w:szCs w:val="22"/>
        </w:rPr>
        <w:t>Fumiaki Imamura</w:t>
      </w:r>
      <w:r w:rsidR="00AC4732" w:rsidRPr="00856876">
        <w:rPr>
          <w:color w:val="000000"/>
          <w:sz w:val="22"/>
          <w:szCs w:val="22"/>
          <w:vertAlign w:val="superscript"/>
        </w:rPr>
        <w:t>1*</w:t>
      </w:r>
      <w:r w:rsidR="00AC4732" w:rsidRPr="00856876">
        <w:rPr>
          <w:color w:val="000000"/>
          <w:sz w:val="22"/>
          <w:szCs w:val="22"/>
        </w:rPr>
        <w:t>, Amanda M Fretts</w:t>
      </w:r>
      <w:r w:rsidR="00AC4732" w:rsidRPr="00856876">
        <w:rPr>
          <w:color w:val="000000"/>
          <w:sz w:val="22"/>
          <w:szCs w:val="22"/>
          <w:vertAlign w:val="superscript"/>
        </w:rPr>
        <w:t>2</w:t>
      </w:r>
      <w:r w:rsidR="00AC4732" w:rsidRPr="00856876">
        <w:rPr>
          <w:color w:val="000000"/>
          <w:sz w:val="22"/>
          <w:szCs w:val="22"/>
        </w:rPr>
        <w:t>, Matti Marklund</w:t>
      </w:r>
      <w:r w:rsidR="00AC4732" w:rsidRPr="00856876">
        <w:rPr>
          <w:color w:val="000000"/>
          <w:sz w:val="22"/>
          <w:szCs w:val="22"/>
          <w:vertAlign w:val="superscript"/>
        </w:rPr>
        <w:t>3-5</w:t>
      </w:r>
      <w:r w:rsidR="00AC4732" w:rsidRPr="00856876">
        <w:rPr>
          <w:color w:val="000000"/>
          <w:sz w:val="22"/>
          <w:szCs w:val="22"/>
        </w:rPr>
        <w:t>, Andres V Ardisson Korat</w:t>
      </w:r>
      <w:r w:rsidR="00AC4732" w:rsidRPr="00856876">
        <w:rPr>
          <w:color w:val="000000"/>
          <w:sz w:val="22"/>
          <w:szCs w:val="22"/>
          <w:vertAlign w:val="superscript"/>
        </w:rPr>
        <w:t>6,7</w:t>
      </w:r>
      <w:r w:rsidR="00AC4732" w:rsidRPr="00856876">
        <w:rPr>
          <w:color w:val="000000"/>
          <w:sz w:val="22"/>
          <w:szCs w:val="22"/>
        </w:rPr>
        <w:t>, Wei-Sin Yang</w:t>
      </w:r>
      <w:r w:rsidR="00AC4732" w:rsidRPr="00856876">
        <w:rPr>
          <w:color w:val="000000"/>
          <w:sz w:val="22"/>
          <w:szCs w:val="22"/>
          <w:vertAlign w:val="superscript"/>
        </w:rPr>
        <w:t>8</w:t>
      </w:r>
      <w:r w:rsidR="00AC4732" w:rsidRPr="00856876">
        <w:rPr>
          <w:color w:val="000000"/>
          <w:sz w:val="22"/>
          <w:szCs w:val="22"/>
        </w:rPr>
        <w:t>, Maria Lankinen</w:t>
      </w:r>
      <w:r w:rsidR="00AC4732" w:rsidRPr="00856876">
        <w:rPr>
          <w:color w:val="000000"/>
          <w:sz w:val="22"/>
          <w:szCs w:val="22"/>
          <w:vertAlign w:val="superscript"/>
        </w:rPr>
        <w:t>9</w:t>
      </w:r>
      <w:r w:rsidR="00AC4732" w:rsidRPr="00856876">
        <w:rPr>
          <w:color w:val="000000"/>
          <w:sz w:val="22"/>
          <w:szCs w:val="22"/>
        </w:rPr>
        <w:t>, Waqas Qureshi</w:t>
      </w:r>
      <w:r w:rsidR="00AC4732" w:rsidRPr="00856876">
        <w:rPr>
          <w:color w:val="000000"/>
          <w:sz w:val="22"/>
          <w:szCs w:val="22"/>
          <w:vertAlign w:val="superscript"/>
        </w:rPr>
        <w:t>10</w:t>
      </w:r>
      <w:r w:rsidR="00AC4732" w:rsidRPr="00856876">
        <w:rPr>
          <w:color w:val="000000"/>
          <w:sz w:val="22"/>
          <w:szCs w:val="22"/>
        </w:rPr>
        <w:t>, Catherine Helmer</w:t>
      </w:r>
      <w:r w:rsidR="00AC4732" w:rsidRPr="00856876">
        <w:rPr>
          <w:color w:val="000000"/>
          <w:sz w:val="22"/>
          <w:szCs w:val="22"/>
          <w:vertAlign w:val="superscript"/>
        </w:rPr>
        <w:t>11</w:t>
      </w:r>
      <w:r w:rsidR="00AC4732" w:rsidRPr="00856876">
        <w:rPr>
          <w:color w:val="000000"/>
          <w:sz w:val="22"/>
          <w:szCs w:val="22"/>
        </w:rPr>
        <w:t>, Tzu-An Chen</w:t>
      </w:r>
      <w:r w:rsidR="00AC4732" w:rsidRPr="00856876">
        <w:rPr>
          <w:color w:val="000000"/>
          <w:sz w:val="22"/>
          <w:szCs w:val="22"/>
          <w:vertAlign w:val="superscript"/>
        </w:rPr>
        <w:t>12</w:t>
      </w:r>
      <w:r w:rsidR="00AC4732" w:rsidRPr="00856876">
        <w:rPr>
          <w:color w:val="000000"/>
          <w:sz w:val="22"/>
          <w:szCs w:val="22"/>
        </w:rPr>
        <w:t>, Jyrki K Virtanen</w:t>
      </w:r>
      <w:r w:rsidR="00AC4732" w:rsidRPr="00856876">
        <w:rPr>
          <w:color w:val="000000"/>
          <w:sz w:val="22"/>
          <w:szCs w:val="22"/>
          <w:vertAlign w:val="superscript"/>
        </w:rPr>
        <w:t>9</w:t>
      </w:r>
      <w:r w:rsidR="00AC4732" w:rsidRPr="00856876">
        <w:rPr>
          <w:color w:val="000000"/>
          <w:sz w:val="22"/>
          <w:szCs w:val="22"/>
        </w:rPr>
        <w:t>, Kerry Wong</w:t>
      </w:r>
      <w:r w:rsidR="00AC4732" w:rsidRPr="00856876">
        <w:rPr>
          <w:color w:val="000000"/>
          <w:sz w:val="22"/>
          <w:szCs w:val="22"/>
          <w:vertAlign w:val="superscript"/>
        </w:rPr>
        <w:t>13</w:t>
      </w:r>
      <w:r w:rsidR="00AC4732" w:rsidRPr="00856876">
        <w:rPr>
          <w:color w:val="000000"/>
          <w:sz w:val="22"/>
          <w:szCs w:val="22"/>
        </w:rPr>
        <w:t>, Julie K Bassett</w:t>
      </w:r>
      <w:r w:rsidR="00AC4732" w:rsidRPr="00856876">
        <w:rPr>
          <w:color w:val="000000"/>
          <w:sz w:val="22"/>
          <w:szCs w:val="22"/>
          <w:vertAlign w:val="superscript"/>
        </w:rPr>
        <w:t>13</w:t>
      </w:r>
      <w:r w:rsidR="00AC4732" w:rsidRPr="00856876">
        <w:rPr>
          <w:color w:val="000000"/>
          <w:sz w:val="22"/>
          <w:szCs w:val="22"/>
        </w:rPr>
        <w:t>, Rachel Murphy</w:t>
      </w:r>
      <w:r w:rsidR="00AC4732" w:rsidRPr="00856876">
        <w:rPr>
          <w:color w:val="000000"/>
          <w:sz w:val="22"/>
          <w:szCs w:val="22"/>
          <w:vertAlign w:val="superscript"/>
        </w:rPr>
        <w:t>14</w:t>
      </w:r>
      <w:r w:rsidR="00AC4732" w:rsidRPr="00856876">
        <w:rPr>
          <w:color w:val="000000"/>
          <w:sz w:val="22"/>
          <w:szCs w:val="22"/>
        </w:rPr>
        <w:t>, Nathan Tintle</w:t>
      </w:r>
      <w:r w:rsidR="00AC4732" w:rsidRPr="00856876">
        <w:rPr>
          <w:color w:val="000000"/>
          <w:sz w:val="22"/>
          <w:szCs w:val="22"/>
          <w:vertAlign w:val="superscript"/>
        </w:rPr>
        <w:t>15</w:t>
      </w:r>
      <w:r w:rsidR="00AC4732" w:rsidRPr="00856876">
        <w:rPr>
          <w:color w:val="000000"/>
          <w:sz w:val="22"/>
          <w:szCs w:val="22"/>
        </w:rPr>
        <w:t>, Chaoyu Ian Yu</w:t>
      </w:r>
      <w:r w:rsidR="00AC4732" w:rsidRPr="00856876">
        <w:rPr>
          <w:color w:val="000000"/>
          <w:sz w:val="22"/>
          <w:szCs w:val="22"/>
          <w:vertAlign w:val="superscript"/>
        </w:rPr>
        <w:t>16</w:t>
      </w:r>
      <w:r w:rsidR="00AC4732" w:rsidRPr="00856876">
        <w:rPr>
          <w:color w:val="000000"/>
          <w:sz w:val="22"/>
          <w:szCs w:val="22"/>
        </w:rPr>
        <w:t>, Ingeborg A Brouwer</w:t>
      </w:r>
      <w:r w:rsidR="00AC4732" w:rsidRPr="00856876">
        <w:rPr>
          <w:color w:val="000000"/>
          <w:sz w:val="22"/>
          <w:szCs w:val="22"/>
          <w:vertAlign w:val="superscript"/>
        </w:rPr>
        <w:t>17</w:t>
      </w:r>
      <w:r w:rsidR="00AC4732" w:rsidRPr="00856876">
        <w:rPr>
          <w:color w:val="000000"/>
          <w:sz w:val="22"/>
          <w:szCs w:val="22"/>
        </w:rPr>
        <w:t>, Kuo-Liong Chien</w:t>
      </w:r>
      <w:r w:rsidR="00AC4732" w:rsidRPr="00856876">
        <w:rPr>
          <w:color w:val="000000"/>
          <w:sz w:val="22"/>
          <w:szCs w:val="22"/>
          <w:vertAlign w:val="superscript"/>
        </w:rPr>
        <w:t>8</w:t>
      </w:r>
      <w:r w:rsidR="00AC4732" w:rsidRPr="00856876">
        <w:rPr>
          <w:color w:val="000000"/>
          <w:sz w:val="22"/>
          <w:szCs w:val="22"/>
        </w:rPr>
        <w:t>, Yun-yu Chen</w:t>
      </w:r>
      <w:r w:rsidR="00AC4732" w:rsidRPr="00856876">
        <w:rPr>
          <w:color w:val="000000"/>
          <w:sz w:val="22"/>
          <w:szCs w:val="22"/>
          <w:vertAlign w:val="superscript"/>
        </w:rPr>
        <w:t>8</w:t>
      </w:r>
      <w:r w:rsidR="00AC4732" w:rsidRPr="00856876">
        <w:rPr>
          <w:color w:val="000000"/>
          <w:sz w:val="22"/>
          <w:szCs w:val="22"/>
        </w:rPr>
        <w:t>, </w:t>
      </w:r>
      <w:r w:rsidR="00AC4732" w:rsidRPr="00856876">
        <w:rPr>
          <w:color w:val="000000"/>
          <w:sz w:val="22"/>
          <w:szCs w:val="22"/>
          <w:vertAlign w:val="superscript"/>
        </w:rPr>
        <w:t>,18</w:t>
      </w:r>
      <w:r w:rsidR="00AC4732" w:rsidRPr="00856876">
        <w:rPr>
          <w:color w:val="000000"/>
          <w:sz w:val="22"/>
          <w:szCs w:val="22"/>
        </w:rPr>
        <w:t>, Alexis C Wood</w:t>
      </w:r>
      <w:r w:rsidR="00AC4732" w:rsidRPr="00856876">
        <w:rPr>
          <w:color w:val="000000"/>
          <w:sz w:val="22"/>
          <w:szCs w:val="22"/>
          <w:vertAlign w:val="superscript"/>
        </w:rPr>
        <w:t>12</w:t>
      </w:r>
      <w:r w:rsidR="00AC4732" w:rsidRPr="00856876">
        <w:rPr>
          <w:color w:val="000000"/>
          <w:sz w:val="22"/>
          <w:szCs w:val="22"/>
        </w:rPr>
        <w:t>, Liana C del Gobbo</w:t>
      </w:r>
      <w:r w:rsidR="00AC4732" w:rsidRPr="00856876">
        <w:rPr>
          <w:color w:val="000000"/>
          <w:sz w:val="22"/>
          <w:szCs w:val="22"/>
          <w:vertAlign w:val="superscript"/>
        </w:rPr>
        <w:t>19</w:t>
      </w:r>
      <w:r w:rsidR="00AC4732" w:rsidRPr="00856876">
        <w:rPr>
          <w:color w:val="000000"/>
          <w:sz w:val="22"/>
          <w:szCs w:val="22"/>
        </w:rPr>
        <w:t>, Luc Djousse</w:t>
      </w:r>
      <w:r w:rsidR="00AC4732" w:rsidRPr="00856876">
        <w:rPr>
          <w:color w:val="000000"/>
          <w:sz w:val="22"/>
          <w:szCs w:val="22"/>
          <w:vertAlign w:val="superscript"/>
        </w:rPr>
        <w:t>20</w:t>
      </w:r>
      <w:r w:rsidR="00AC4732" w:rsidRPr="00856876">
        <w:rPr>
          <w:color w:val="000000"/>
          <w:sz w:val="22"/>
          <w:szCs w:val="22"/>
        </w:rPr>
        <w:t>, Johanna M Geleijnse</w:t>
      </w:r>
      <w:r w:rsidR="00AC4732" w:rsidRPr="00856876">
        <w:rPr>
          <w:color w:val="000000"/>
          <w:sz w:val="22"/>
          <w:szCs w:val="22"/>
          <w:vertAlign w:val="superscript"/>
        </w:rPr>
        <w:t>21</w:t>
      </w:r>
      <w:r w:rsidR="00AC4732" w:rsidRPr="00856876">
        <w:rPr>
          <w:color w:val="000000"/>
          <w:sz w:val="22"/>
          <w:szCs w:val="22"/>
        </w:rPr>
        <w:t>, Graham G Giles</w:t>
      </w:r>
      <w:r w:rsidR="00AC4732" w:rsidRPr="00856876">
        <w:rPr>
          <w:color w:val="000000"/>
          <w:sz w:val="22"/>
          <w:szCs w:val="22"/>
          <w:vertAlign w:val="superscript"/>
        </w:rPr>
        <w:t>13,22,23</w:t>
      </w:r>
      <w:r w:rsidR="00AC4732" w:rsidRPr="00856876">
        <w:rPr>
          <w:color w:val="000000"/>
          <w:sz w:val="22"/>
          <w:szCs w:val="22"/>
        </w:rPr>
        <w:t>, Janette de Goede</w:t>
      </w:r>
      <w:r w:rsidR="00AC4732" w:rsidRPr="00856876">
        <w:rPr>
          <w:color w:val="000000"/>
          <w:sz w:val="22"/>
          <w:szCs w:val="22"/>
          <w:vertAlign w:val="superscript"/>
        </w:rPr>
        <w:t>21</w:t>
      </w:r>
      <w:r w:rsidR="00AC4732" w:rsidRPr="00856876">
        <w:rPr>
          <w:color w:val="000000"/>
          <w:sz w:val="22"/>
          <w:szCs w:val="22"/>
        </w:rPr>
        <w:t>, Vilmundur Gudnason</w:t>
      </w:r>
      <w:r w:rsidR="00AC4732" w:rsidRPr="00856876">
        <w:rPr>
          <w:color w:val="000000"/>
          <w:sz w:val="22"/>
          <w:szCs w:val="22"/>
          <w:vertAlign w:val="superscript"/>
        </w:rPr>
        <w:t>24</w:t>
      </w:r>
      <w:r w:rsidR="00AC4732" w:rsidRPr="00856876">
        <w:rPr>
          <w:color w:val="000000"/>
          <w:sz w:val="22"/>
          <w:szCs w:val="22"/>
        </w:rPr>
        <w:t>, William S Harris</w:t>
      </w:r>
      <w:r w:rsidR="00AC4732" w:rsidRPr="00856876">
        <w:rPr>
          <w:color w:val="000000"/>
          <w:sz w:val="22"/>
          <w:szCs w:val="22"/>
          <w:vertAlign w:val="superscript"/>
        </w:rPr>
        <w:t>25,26</w:t>
      </w:r>
      <w:r w:rsidR="00AC4732" w:rsidRPr="00856876">
        <w:rPr>
          <w:color w:val="000000"/>
          <w:sz w:val="22"/>
          <w:szCs w:val="22"/>
        </w:rPr>
        <w:t>, Allison Hodge</w:t>
      </w:r>
      <w:r w:rsidR="00AC4732" w:rsidRPr="00856876">
        <w:rPr>
          <w:color w:val="000000"/>
          <w:sz w:val="22"/>
          <w:szCs w:val="22"/>
          <w:vertAlign w:val="superscript"/>
        </w:rPr>
        <w:t>13,22</w:t>
      </w:r>
      <w:r w:rsidR="00AC4732" w:rsidRPr="00856876">
        <w:rPr>
          <w:color w:val="000000"/>
          <w:sz w:val="22"/>
          <w:szCs w:val="22"/>
        </w:rPr>
        <w:t>, Frank Hu</w:t>
      </w:r>
      <w:r w:rsidR="00AC4732" w:rsidRPr="00856876">
        <w:rPr>
          <w:color w:val="000000"/>
          <w:sz w:val="22"/>
          <w:szCs w:val="22"/>
          <w:vertAlign w:val="superscript"/>
        </w:rPr>
        <w:t>6,7</w:t>
      </w:r>
      <w:r w:rsidR="00AC4732" w:rsidRPr="00856876">
        <w:rPr>
          <w:color w:val="000000"/>
          <w:sz w:val="22"/>
          <w:szCs w:val="22"/>
        </w:rPr>
        <w:t>, InterAct Consortium</w:t>
      </w:r>
      <w:r w:rsidR="00AC4732" w:rsidRPr="00856876">
        <w:rPr>
          <w:color w:val="000000"/>
          <w:sz w:val="22"/>
          <w:szCs w:val="22"/>
          <w:vertAlign w:val="superscript"/>
        </w:rPr>
        <w:t>1</w:t>
      </w:r>
      <w:r w:rsidR="00AC4732" w:rsidRPr="00856876">
        <w:rPr>
          <w:color w:val="000000"/>
          <w:sz w:val="22"/>
          <w:szCs w:val="22"/>
        </w:rPr>
        <w:t>, Albert Koulman</w:t>
      </w:r>
      <w:r w:rsidR="00AC4732" w:rsidRPr="00856876">
        <w:rPr>
          <w:color w:val="000000"/>
          <w:sz w:val="22"/>
          <w:szCs w:val="22"/>
          <w:vertAlign w:val="superscript"/>
        </w:rPr>
        <w:t>1,27-29</w:t>
      </w:r>
      <w:r w:rsidR="00AC4732" w:rsidRPr="00856876">
        <w:rPr>
          <w:color w:val="000000"/>
          <w:sz w:val="22"/>
          <w:szCs w:val="22"/>
        </w:rPr>
        <w:t>, Markku Laakso</w:t>
      </w:r>
      <w:r w:rsidR="00AC4732" w:rsidRPr="00856876">
        <w:rPr>
          <w:color w:val="000000"/>
          <w:sz w:val="22"/>
          <w:szCs w:val="22"/>
          <w:vertAlign w:val="superscript"/>
        </w:rPr>
        <w:t>30,31</w:t>
      </w:r>
      <w:r w:rsidR="00AC4732" w:rsidRPr="00856876">
        <w:rPr>
          <w:color w:val="000000"/>
          <w:sz w:val="22"/>
          <w:szCs w:val="22"/>
        </w:rPr>
        <w:t>, Lars Lind</w:t>
      </w:r>
      <w:r w:rsidR="00AC4732" w:rsidRPr="00856876">
        <w:rPr>
          <w:color w:val="000000"/>
          <w:sz w:val="22"/>
          <w:szCs w:val="22"/>
          <w:vertAlign w:val="superscript"/>
        </w:rPr>
        <w:t>32</w:t>
      </w:r>
      <w:r w:rsidR="00AC4732" w:rsidRPr="00856876">
        <w:rPr>
          <w:color w:val="000000"/>
          <w:sz w:val="22"/>
          <w:szCs w:val="22"/>
        </w:rPr>
        <w:t>, Hung-Ju Lin</w:t>
      </w:r>
      <w:r w:rsidR="00AC4732" w:rsidRPr="00856876">
        <w:rPr>
          <w:color w:val="000000"/>
          <w:sz w:val="22"/>
          <w:szCs w:val="22"/>
          <w:vertAlign w:val="superscript"/>
        </w:rPr>
        <w:t>33</w:t>
      </w:r>
      <w:r w:rsidR="00AC4732" w:rsidRPr="00856876">
        <w:rPr>
          <w:color w:val="000000"/>
          <w:sz w:val="22"/>
          <w:szCs w:val="22"/>
        </w:rPr>
        <w:t>, Barbara McKnight</w:t>
      </w:r>
      <w:r w:rsidR="00AC4732" w:rsidRPr="00856876">
        <w:rPr>
          <w:color w:val="000000"/>
          <w:sz w:val="22"/>
          <w:szCs w:val="22"/>
          <w:vertAlign w:val="superscript"/>
        </w:rPr>
        <w:t>16</w:t>
      </w:r>
      <w:r w:rsidR="00AC4732" w:rsidRPr="00856876">
        <w:rPr>
          <w:color w:val="000000"/>
          <w:sz w:val="22"/>
          <w:szCs w:val="22"/>
        </w:rPr>
        <w:t>, Kalina Rajaobelina</w:t>
      </w:r>
      <w:r w:rsidR="00AC4732" w:rsidRPr="00856876">
        <w:rPr>
          <w:color w:val="000000"/>
          <w:sz w:val="22"/>
          <w:szCs w:val="22"/>
          <w:vertAlign w:val="superscript"/>
        </w:rPr>
        <w:t>11</w:t>
      </w:r>
      <w:r w:rsidR="00AC4732" w:rsidRPr="00856876">
        <w:rPr>
          <w:color w:val="000000"/>
          <w:sz w:val="22"/>
          <w:szCs w:val="22"/>
        </w:rPr>
        <w:t>, Ulf Riserus</w:t>
      </w:r>
      <w:r w:rsidR="00AC4732" w:rsidRPr="00856876">
        <w:rPr>
          <w:color w:val="000000"/>
          <w:sz w:val="22"/>
          <w:szCs w:val="22"/>
          <w:vertAlign w:val="superscript"/>
        </w:rPr>
        <w:t>3</w:t>
      </w:r>
      <w:r w:rsidR="00AC4732" w:rsidRPr="00856876">
        <w:rPr>
          <w:color w:val="000000"/>
          <w:sz w:val="22"/>
          <w:szCs w:val="22"/>
        </w:rPr>
        <w:t>, Jennifer G Robinson</w:t>
      </w:r>
      <w:r w:rsidR="00AC4732" w:rsidRPr="00856876">
        <w:rPr>
          <w:color w:val="000000"/>
          <w:sz w:val="22"/>
          <w:szCs w:val="22"/>
          <w:vertAlign w:val="superscript"/>
        </w:rPr>
        <w:t>34</w:t>
      </w:r>
      <w:r w:rsidR="00AC4732" w:rsidRPr="00856876">
        <w:rPr>
          <w:color w:val="000000"/>
          <w:sz w:val="22"/>
          <w:szCs w:val="22"/>
        </w:rPr>
        <w:t>, Cecilia Samieri</w:t>
      </w:r>
      <w:r w:rsidR="00AC4732" w:rsidRPr="00856876">
        <w:rPr>
          <w:color w:val="000000"/>
          <w:sz w:val="22"/>
          <w:szCs w:val="22"/>
          <w:vertAlign w:val="superscript"/>
        </w:rPr>
        <w:t>11</w:t>
      </w:r>
      <w:r w:rsidR="00AC4732" w:rsidRPr="00856876">
        <w:rPr>
          <w:color w:val="000000"/>
          <w:sz w:val="22"/>
          <w:szCs w:val="22"/>
        </w:rPr>
        <w:t>, Mackenzie Senn</w:t>
      </w:r>
      <w:r w:rsidR="00AC4732" w:rsidRPr="00856876">
        <w:rPr>
          <w:color w:val="000000"/>
          <w:sz w:val="22"/>
          <w:szCs w:val="22"/>
          <w:vertAlign w:val="superscript"/>
        </w:rPr>
        <w:t>12</w:t>
      </w:r>
      <w:r w:rsidR="00AC4732" w:rsidRPr="00856876">
        <w:rPr>
          <w:color w:val="000000"/>
          <w:sz w:val="22"/>
          <w:szCs w:val="22"/>
        </w:rPr>
        <w:t>, David S Siscovick</w:t>
      </w:r>
      <w:r w:rsidR="00AC4732" w:rsidRPr="00856876">
        <w:rPr>
          <w:color w:val="000000"/>
          <w:sz w:val="22"/>
          <w:szCs w:val="22"/>
          <w:vertAlign w:val="superscript"/>
        </w:rPr>
        <w:t>35</w:t>
      </w:r>
      <w:r w:rsidR="00AC4732" w:rsidRPr="00856876">
        <w:rPr>
          <w:color w:val="000000"/>
          <w:sz w:val="22"/>
          <w:szCs w:val="22"/>
        </w:rPr>
        <w:t>, Sabita S Soedamah-Muthu</w:t>
      </w:r>
      <w:r w:rsidR="00AC4732" w:rsidRPr="00856876">
        <w:rPr>
          <w:color w:val="000000"/>
          <w:sz w:val="22"/>
          <w:szCs w:val="22"/>
          <w:vertAlign w:val="superscript"/>
        </w:rPr>
        <w:t>21,36,37</w:t>
      </w:r>
      <w:r w:rsidR="00AC4732" w:rsidRPr="00856876">
        <w:rPr>
          <w:color w:val="000000"/>
          <w:sz w:val="22"/>
          <w:szCs w:val="22"/>
        </w:rPr>
        <w:t>, Nona Sotoodehnia</w:t>
      </w:r>
      <w:r w:rsidR="00AC4732" w:rsidRPr="00856876">
        <w:rPr>
          <w:color w:val="000000"/>
          <w:sz w:val="22"/>
          <w:szCs w:val="22"/>
          <w:vertAlign w:val="superscript"/>
        </w:rPr>
        <w:t>38</w:t>
      </w:r>
      <w:r w:rsidR="00AC4732" w:rsidRPr="00856876">
        <w:rPr>
          <w:color w:val="000000"/>
          <w:sz w:val="22"/>
          <w:szCs w:val="22"/>
        </w:rPr>
        <w:t>, Qi Sun</w:t>
      </w:r>
      <w:r w:rsidR="00AC4732" w:rsidRPr="00856876">
        <w:rPr>
          <w:color w:val="000000"/>
          <w:sz w:val="22"/>
          <w:szCs w:val="22"/>
          <w:vertAlign w:val="superscript"/>
        </w:rPr>
        <w:t>6</w:t>
      </w:r>
      <w:r w:rsidR="00AC4732" w:rsidRPr="00856876">
        <w:rPr>
          <w:color w:val="000000"/>
          <w:sz w:val="22"/>
          <w:szCs w:val="22"/>
        </w:rPr>
        <w:t>, </w:t>
      </w:r>
      <w:r w:rsidR="00AC4732" w:rsidRPr="00856876">
        <w:rPr>
          <w:color w:val="000000"/>
          <w:sz w:val="22"/>
          <w:szCs w:val="22"/>
          <w:vertAlign w:val="superscript"/>
        </w:rPr>
        <w:t>,7</w:t>
      </w:r>
      <w:r w:rsidR="00AC4732" w:rsidRPr="00856876">
        <w:rPr>
          <w:color w:val="000000"/>
          <w:sz w:val="22"/>
          <w:szCs w:val="22"/>
        </w:rPr>
        <w:t>, Michael Y Tsai</w:t>
      </w:r>
      <w:r w:rsidR="00AC4732" w:rsidRPr="00856876">
        <w:rPr>
          <w:color w:val="000000"/>
          <w:sz w:val="22"/>
          <w:szCs w:val="22"/>
          <w:vertAlign w:val="superscript"/>
        </w:rPr>
        <w:t>39</w:t>
      </w:r>
      <w:r w:rsidR="00AC4732" w:rsidRPr="00856876">
        <w:rPr>
          <w:color w:val="000000"/>
          <w:sz w:val="22"/>
          <w:szCs w:val="22"/>
        </w:rPr>
        <w:t>, Tomi-Pekka Tuomainen</w:t>
      </w:r>
      <w:r w:rsidR="00AC4732" w:rsidRPr="00856876">
        <w:rPr>
          <w:color w:val="000000"/>
          <w:sz w:val="22"/>
          <w:szCs w:val="22"/>
          <w:vertAlign w:val="superscript"/>
        </w:rPr>
        <w:t>9</w:t>
      </w:r>
      <w:r w:rsidR="00AC4732" w:rsidRPr="00856876">
        <w:rPr>
          <w:color w:val="000000"/>
          <w:sz w:val="22"/>
          <w:szCs w:val="22"/>
        </w:rPr>
        <w:t>, Matti Uusitupa</w:t>
      </w:r>
      <w:r w:rsidR="00AC4732" w:rsidRPr="00856876">
        <w:rPr>
          <w:color w:val="000000"/>
          <w:sz w:val="22"/>
          <w:szCs w:val="22"/>
          <w:vertAlign w:val="superscript"/>
        </w:rPr>
        <w:t>9</w:t>
      </w:r>
      <w:r w:rsidR="00AC4732" w:rsidRPr="00856876">
        <w:rPr>
          <w:color w:val="000000"/>
          <w:sz w:val="22"/>
          <w:szCs w:val="22"/>
        </w:rPr>
        <w:t>, Lynne E Wagenknecht</w:t>
      </w:r>
      <w:r w:rsidR="00AC4732" w:rsidRPr="00856876">
        <w:rPr>
          <w:color w:val="000000"/>
          <w:sz w:val="22"/>
          <w:szCs w:val="22"/>
          <w:vertAlign w:val="superscript"/>
        </w:rPr>
        <w:t>40</w:t>
      </w:r>
      <w:r w:rsidR="00AC4732" w:rsidRPr="00856876">
        <w:rPr>
          <w:color w:val="000000"/>
          <w:sz w:val="22"/>
          <w:szCs w:val="22"/>
        </w:rPr>
        <w:t>, Nick J Wareham</w:t>
      </w:r>
      <w:r w:rsidR="00AC4732" w:rsidRPr="00856876">
        <w:rPr>
          <w:color w:val="000000"/>
          <w:sz w:val="22"/>
          <w:szCs w:val="22"/>
          <w:vertAlign w:val="superscript"/>
        </w:rPr>
        <w:t>1</w:t>
      </w:r>
      <w:r w:rsidR="00AC4732" w:rsidRPr="00856876">
        <w:rPr>
          <w:color w:val="000000"/>
          <w:sz w:val="22"/>
          <w:szCs w:val="22"/>
        </w:rPr>
        <w:t>, Jason HY Wu</w:t>
      </w:r>
      <w:r w:rsidR="00AC4732" w:rsidRPr="00856876">
        <w:rPr>
          <w:color w:val="000000"/>
          <w:sz w:val="22"/>
          <w:szCs w:val="22"/>
          <w:vertAlign w:val="superscript"/>
        </w:rPr>
        <w:t>4</w:t>
      </w:r>
      <w:r w:rsidR="00AC4732" w:rsidRPr="00856876">
        <w:rPr>
          <w:color w:val="000000"/>
          <w:sz w:val="22"/>
          <w:szCs w:val="22"/>
        </w:rPr>
        <w:t>, Renata Micha</w:t>
      </w:r>
      <w:r w:rsidR="00AC4732" w:rsidRPr="00856876">
        <w:rPr>
          <w:color w:val="000000"/>
          <w:sz w:val="22"/>
          <w:szCs w:val="22"/>
          <w:vertAlign w:val="superscript"/>
        </w:rPr>
        <w:t>5</w:t>
      </w:r>
      <w:r w:rsidR="00AC4732" w:rsidRPr="00856876">
        <w:rPr>
          <w:color w:val="000000"/>
          <w:sz w:val="22"/>
          <w:szCs w:val="22"/>
        </w:rPr>
        <w:t>, Rozenn N Lemaitre</w:t>
      </w:r>
      <w:r w:rsidR="00AC4732" w:rsidRPr="00856876">
        <w:rPr>
          <w:color w:val="000000"/>
          <w:sz w:val="22"/>
          <w:szCs w:val="22"/>
          <w:vertAlign w:val="superscript"/>
        </w:rPr>
        <w:t>38</w:t>
      </w:r>
      <w:r w:rsidR="00AC4732" w:rsidRPr="00856876">
        <w:rPr>
          <w:color w:val="000000"/>
          <w:sz w:val="22"/>
          <w:szCs w:val="22"/>
        </w:rPr>
        <w:t>, Dariush Mozaffarian </w:t>
      </w:r>
      <w:r w:rsidR="00AC4732" w:rsidRPr="00856876">
        <w:rPr>
          <w:color w:val="000000"/>
          <w:sz w:val="22"/>
          <w:szCs w:val="22"/>
          <w:vertAlign w:val="superscript"/>
        </w:rPr>
        <w:t>5</w:t>
      </w:r>
      <w:r w:rsidR="00AC4732" w:rsidRPr="00856876">
        <w:rPr>
          <w:color w:val="000000"/>
          <w:sz w:val="22"/>
          <w:szCs w:val="22"/>
        </w:rPr>
        <w:t>, Nita G Forouhi</w:t>
      </w:r>
      <w:r w:rsidR="00AC4732" w:rsidRPr="00856876">
        <w:rPr>
          <w:color w:val="000000"/>
          <w:sz w:val="22"/>
          <w:szCs w:val="22"/>
          <w:vertAlign w:val="superscript"/>
        </w:rPr>
        <w:t>1</w:t>
      </w:r>
    </w:p>
    <w:p w14:paraId="60449163" w14:textId="37CBF70E" w:rsidR="005F7401" w:rsidRPr="00856876" w:rsidRDefault="0078560E" w:rsidP="00856876">
      <w:pPr>
        <w:spacing w:line="480" w:lineRule="auto"/>
        <w:rPr>
          <w:b/>
          <w:bCs/>
          <w:sz w:val="22"/>
          <w:szCs w:val="22"/>
          <w:lang w:val="en-US" w:eastAsia="ja-JP"/>
        </w:rPr>
      </w:pPr>
      <w:hyperlink r:id="rId8" w:history="1">
        <w:r w:rsidR="005F7401" w:rsidRPr="00856876">
          <w:rPr>
            <w:rStyle w:val="Hyperlink"/>
            <w:sz w:val="22"/>
            <w:szCs w:val="22"/>
          </w:rPr>
          <w:t>*fumiaki.imamura@mrc-epid.cam.ac.uk</w:t>
        </w:r>
      </w:hyperlink>
      <w:r w:rsidR="005F7401" w:rsidRPr="00856876">
        <w:rPr>
          <w:sz w:val="22"/>
          <w:szCs w:val="22"/>
        </w:rPr>
        <w:t xml:space="preserve"> </w:t>
      </w:r>
    </w:p>
    <w:p w14:paraId="2309664E" w14:textId="0D93B01B" w:rsidR="00856876" w:rsidRDefault="008219B7" w:rsidP="00856876">
      <w:pPr>
        <w:rPr>
          <w:b/>
          <w:bCs/>
          <w:sz w:val="22"/>
          <w:szCs w:val="22"/>
          <w:lang w:val="en-US" w:eastAsia="ja-JP"/>
        </w:rPr>
      </w:pPr>
      <w:r w:rsidRPr="00856876">
        <w:rPr>
          <w:b/>
          <w:bCs/>
          <w:sz w:val="22"/>
          <w:szCs w:val="22"/>
          <w:lang w:val="en-US" w:eastAsia="ja-JP"/>
        </w:rPr>
        <w:t>Affiliations:</w:t>
      </w:r>
      <w:r w:rsidRPr="00856876">
        <w:rPr>
          <w:b/>
          <w:bCs/>
          <w:sz w:val="22"/>
          <w:szCs w:val="22"/>
          <w:lang w:val="en-US" w:eastAsia="ja-JP"/>
        </w:rPr>
        <w:br/>
      </w:r>
      <w:r w:rsidR="00856876" w:rsidRPr="00856876">
        <w:rPr>
          <w:color w:val="000000"/>
          <w:sz w:val="22"/>
          <w:szCs w:val="22"/>
          <w:vertAlign w:val="superscript"/>
        </w:rPr>
        <w:t>1 </w:t>
      </w:r>
      <w:r w:rsidR="00856876" w:rsidRPr="00856876">
        <w:rPr>
          <w:color w:val="000000"/>
          <w:sz w:val="22"/>
          <w:szCs w:val="22"/>
        </w:rPr>
        <w:t xml:space="preserve">MRC Epidemiology Unit, University of Cambridge, Cambridge, the United Kingdom </w:t>
      </w:r>
      <w:r w:rsidR="00856876" w:rsidRPr="00856876">
        <w:rPr>
          <w:color w:val="000000"/>
          <w:sz w:val="22"/>
          <w:szCs w:val="22"/>
        </w:rPr>
        <w:br/>
      </w:r>
      <w:r w:rsidR="00856876" w:rsidRPr="00856876">
        <w:rPr>
          <w:color w:val="000000"/>
          <w:sz w:val="22"/>
          <w:szCs w:val="22"/>
          <w:vertAlign w:val="superscript"/>
        </w:rPr>
        <w:t>2 </w:t>
      </w:r>
      <w:r w:rsidR="00856876" w:rsidRPr="00856876">
        <w:rPr>
          <w:color w:val="000000"/>
          <w:sz w:val="22"/>
          <w:szCs w:val="22"/>
        </w:rPr>
        <w:t>Cardiovascular Health Research Unit, Department of Epidemiology, University of Washington, Seattle, the United States</w:t>
      </w:r>
      <w:r w:rsidR="00856876" w:rsidRPr="00856876">
        <w:rPr>
          <w:color w:val="000000"/>
          <w:sz w:val="22"/>
          <w:szCs w:val="22"/>
        </w:rPr>
        <w:br/>
      </w:r>
      <w:r w:rsidR="00856876" w:rsidRPr="00856876">
        <w:rPr>
          <w:color w:val="000000"/>
          <w:sz w:val="22"/>
          <w:szCs w:val="22"/>
          <w:vertAlign w:val="superscript"/>
        </w:rPr>
        <w:t>3 </w:t>
      </w:r>
      <w:r w:rsidR="00856876" w:rsidRPr="00856876">
        <w:rPr>
          <w:color w:val="000000"/>
          <w:sz w:val="22"/>
          <w:szCs w:val="22"/>
        </w:rPr>
        <w:t>Department of Public Health and Caring Sciences, Clinical Nutrition and Metabolism, Uppsala University, Uppsala, Sweden</w:t>
      </w:r>
      <w:r w:rsidR="00856876" w:rsidRPr="00856876">
        <w:rPr>
          <w:color w:val="000000"/>
          <w:sz w:val="22"/>
          <w:szCs w:val="22"/>
        </w:rPr>
        <w:br/>
      </w:r>
      <w:r w:rsidR="00856876" w:rsidRPr="00856876">
        <w:rPr>
          <w:color w:val="000000"/>
          <w:sz w:val="22"/>
          <w:szCs w:val="22"/>
          <w:vertAlign w:val="superscript"/>
        </w:rPr>
        <w:t>4 </w:t>
      </w:r>
      <w:r w:rsidR="00856876" w:rsidRPr="00856876">
        <w:rPr>
          <w:color w:val="000000"/>
          <w:sz w:val="22"/>
          <w:szCs w:val="22"/>
        </w:rPr>
        <w:t>The George Institute for Global Health, the Faculty of Medicine, University of New South Wales, Sydney, Australia</w:t>
      </w:r>
      <w:r w:rsidR="00856876" w:rsidRPr="00856876">
        <w:rPr>
          <w:color w:val="000000"/>
          <w:sz w:val="22"/>
          <w:szCs w:val="22"/>
        </w:rPr>
        <w:br/>
      </w:r>
      <w:r w:rsidR="00856876" w:rsidRPr="00856876">
        <w:rPr>
          <w:color w:val="000000"/>
          <w:sz w:val="22"/>
          <w:szCs w:val="22"/>
          <w:vertAlign w:val="superscript"/>
        </w:rPr>
        <w:t>5 </w:t>
      </w:r>
      <w:r w:rsidR="00856876" w:rsidRPr="00856876">
        <w:rPr>
          <w:color w:val="000000"/>
          <w:sz w:val="22"/>
          <w:szCs w:val="22"/>
        </w:rPr>
        <w:t>Friedman School of Nutrition Science and Policy, Tufts University, Boston, the United States</w:t>
      </w:r>
      <w:r w:rsidR="00856876" w:rsidRPr="00856876">
        <w:rPr>
          <w:color w:val="000000"/>
          <w:sz w:val="22"/>
          <w:szCs w:val="22"/>
        </w:rPr>
        <w:br/>
      </w:r>
      <w:r w:rsidR="00856876" w:rsidRPr="00856876">
        <w:rPr>
          <w:color w:val="000000"/>
          <w:sz w:val="22"/>
          <w:szCs w:val="22"/>
          <w:vertAlign w:val="superscript"/>
        </w:rPr>
        <w:t>6 </w:t>
      </w:r>
      <w:r w:rsidR="00856876" w:rsidRPr="00856876">
        <w:rPr>
          <w:color w:val="000000"/>
          <w:sz w:val="22"/>
          <w:szCs w:val="22"/>
        </w:rPr>
        <w:t>Department of Nutrition and Epidemiology, Harvard T.H. Chan School of Public Health, Boston, the United States</w:t>
      </w:r>
      <w:r w:rsidR="00856876" w:rsidRPr="00856876">
        <w:rPr>
          <w:color w:val="000000"/>
          <w:sz w:val="22"/>
          <w:szCs w:val="22"/>
        </w:rPr>
        <w:br/>
      </w:r>
      <w:r w:rsidR="00856876" w:rsidRPr="00856876">
        <w:rPr>
          <w:color w:val="000000"/>
          <w:sz w:val="22"/>
          <w:szCs w:val="22"/>
          <w:vertAlign w:val="superscript"/>
        </w:rPr>
        <w:t>7 </w:t>
      </w:r>
      <w:r w:rsidR="00856876" w:rsidRPr="00856876">
        <w:rPr>
          <w:color w:val="000000"/>
          <w:sz w:val="22"/>
          <w:szCs w:val="22"/>
        </w:rPr>
        <w:t>Channing Division of Network Medicine, Department of Medicine, Brigham and Women</w:t>
      </w:r>
      <w:r w:rsidR="00856876">
        <w:rPr>
          <w:color w:val="000000"/>
          <w:sz w:val="22"/>
          <w:szCs w:val="22"/>
        </w:rPr>
        <w:t>’s</w:t>
      </w:r>
      <w:r w:rsidR="00856876" w:rsidRPr="00856876">
        <w:rPr>
          <w:color w:val="000000"/>
          <w:sz w:val="22"/>
          <w:szCs w:val="22"/>
        </w:rPr>
        <w:t xml:space="preserve"> Hospital and Harvard Medical School, Boston, the United States</w:t>
      </w:r>
      <w:r w:rsidR="00856876" w:rsidRPr="00856876">
        <w:rPr>
          <w:color w:val="000000"/>
          <w:sz w:val="22"/>
          <w:szCs w:val="22"/>
        </w:rPr>
        <w:br/>
      </w:r>
      <w:r w:rsidR="00856876" w:rsidRPr="00856876">
        <w:rPr>
          <w:color w:val="000000"/>
          <w:sz w:val="22"/>
          <w:szCs w:val="22"/>
          <w:vertAlign w:val="superscript"/>
        </w:rPr>
        <w:t>8 </w:t>
      </w:r>
      <w:r w:rsidR="00856876" w:rsidRPr="00856876">
        <w:rPr>
          <w:color w:val="000000"/>
          <w:sz w:val="22"/>
          <w:szCs w:val="22"/>
        </w:rPr>
        <w:t>Institute of Epidemiology and Preventive Medicine, College of Public Health, National Taiwan University, Taipei City, the Republic of China</w:t>
      </w:r>
      <w:r w:rsidR="00856876" w:rsidRPr="00856876">
        <w:rPr>
          <w:color w:val="000000"/>
          <w:sz w:val="22"/>
          <w:szCs w:val="22"/>
        </w:rPr>
        <w:br/>
      </w:r>
      <w:r w:rsidR="00856876" w:rsidRPr="00856876">
        <w:rPr>
          <w:color w:val="000000"/>
          <w:sz w:val="22"/>
          <w:szCs w:val="22"/>
          <w:vertAlign w:val="superscript"/>
        </w:rPr>
        <w:lastRenderedPageBreak/>
        <w:t>9 </w:t>
      </w:r>
      <w:r w:rsidR="00856876" w:rsidRPr="00856876">
        <w:rPr>
          <w:color w:val="000000"/>
          <w:sz w:val="22"/>
          <w:szCs w:val="22"/>
        </w:rPr>
        <w:t>Institute of Public Health and Clinical Nutrition, University of Eastern Finland, Kuopio, Finland</w:t>
      </w:r>
      <w:r w:rsidR="00856876" w:rsidRPr="00856876">
        <w:rPr>
          <w:color w:val="000000"/>
          <w:sz w:val="22"/>
          <w:szCs w:val="22"/>
        </w:rPr>
        <w:br/>
      </w:r>
      <w:r w:rsidR="00856876" w:rsidRPr="00856876">
        <w:rPr>
          <w:color w:val="000000"/>
          <w:sz w:val="22"/>
          <w:szCs w:val="22"/>
          <w:vertAlign w:val="superscript"/>
        </w:rPr>
        <w:t>10 </w:t>
      </w:r>
      <w:r w:rsidR="00856876" w:rsidRPr="00856876">
        <w:rPr>
          <w:color w:val="000000"/>
          <w:sz w:val="22"/>
          <w:szCs w:val="22"/>
        </w:rPr>
        <w:t>Section of Cardiovascular Medicine, Department of Internal Medicine, Wake Forest University School of Medicine, Winston-Salem, the United States</w:t>
      </w:r>
      <w:r w:rsidR="00856876" w:rsidRPr="00856876">
        <w:rPr>
          <w:color w:val="000000"/>
          <w:sz w:val="22"/>
          <w:szCs w:val="22"/>
        </w:rPr>
        <w:br/>
      </w:r>
      <w:r w:rsidR="00856876" w:rsidRPr="00856876">
        <w:rPr>
          <w:color w:val="000000"/>
          <w:sz w:val="22"/>
          <w:szCs w:val="22"/>
          <w:vertAlign w:val="superscript"/>
        </w:rPr>
        <w:t>11 </w:t>
      </w:r>
      <w:r w:rsidR="00856876" w:rsidRPr="00856876">
        <w:rPr>
          <w:color w:val="000000"/>
          <w:sz w:val="22"/>
          <w:szCs w:val="22"/>
        </w:rPr>
        <w:t>INSERM, UMR 1219, Bordeaux Population Health Research Center, University of Bordeaux, Bordeaux, France</w:t>
      </w:r>
      <w:r w:rsidR="00856876" w:rsidRPr="00856876">
        <w:rPr>
          <w:color w:val="000000"/>
          <w:sz w:val="22"/>
          <w:szCs w:val="22"/>
        </w:rPr>
        <w:br/>
      </w:r>
      <w:r w:rsidR="00856876" w:rsidRPr="00856876">
        <w:rPr>
          <w:color w:val="000000"/>
          <w:sz w:val="22"/>
          <w:szCs w:val="22"/>
          <w:vertAlign w:val="superscript"/>
        </w:rPr>
        <w:t>12 </w:t>
      </w:r>
      <w:r w:rsidR="00856876" w:rsidRPr="00856876">
        <w:rPr>
          <w:color w:val="000000"/>
          <w:sz w:val="22"/>
          <w:szCs w:val="22"/>
        </w:rPr>
        <w:t>USDA/ARS Childrenfs Nutrition Research Center, Department of Pediatrics, Baylor College of Medicine, Houston, the United States</w:t>
      </w:r>
      <w:r w:rsidR="00856876" w:rsidRPr="00856876">
        <w:rPr>
          <w:color w:val="000000"/>
          <w:sz w:val="22"/>
          <w:szCs w:val="22"/>
        </w:rPr>
        <w:br/>
      </w:r>
      <w:r w:rsidR="00856876" w:rsidRPr="00856876">
        <w:rPr>
          <w:color w:val="000000"/>
          <w:sz w:val="22"/>
          <w:szCs w:val="22"/>
          <w:vertAlign w:val="superscript"/>
        </w:rPr>
        <w:t>13 </w:t>
      </w:r>
      <w:r w:rsidR="00856876" w:rsidRPr="00856876">
        <w:rPr>
          <w:color w:val="000000"/>
          <w:sz w:val="22"/>
          <w:szCs w:val="22"/>
        </w:rPr>
        <w:t>Cancer Epidemiology Division, Cancer Council Victoria, Melbourne, Australia</w:t>
      </w:r>
      <w:r w:rsidR="00856876" w:rsidRPr="00856876">
        <w:rPr>
          <w:color w:val="000000"/>
          <w:sz w:val="22"/>
          <w:szCs w:val="22"/>
        </w:rPr>
        <w:br/>
      </w:r>
      <w:r w:rsidR="00856876" w:rsidRPr="00856876">
        <w:rPr>
          <w:color w:val="000000"/>
          <w:sz w:val="22"/>
          <w:szCs w:val="22"/>
          <w:vertAlign w:val="superscript"/>
        </w:rPr>
        <w:t>14 </w:t>
      </w:r>
      <w:r w:rsidR="00856876" w:rsidRPr="00856876">
        <w:rPr>
          <w:color w:val="000000"/>
          <w:sz w:val="22"/>
          <w:szCs w:val="22"/>
        </w:rPr>
        <w:t>Centre of Excellence in Cancer Prevention, School of Population &amp; Public Health, Faculty of Medicine, The University of British Columbia, Vancouver, Canada</w:t>
      </w:r>
      <w:r w:rsidR="00856876" w:rsidRPr="00856876">
        <w:rPr>
          <w:color w:val="000000"/>
          <w:sz w:val="22"/>
          <w:szCs w:val="22"/>
        </w:rPr>
        <w:br/>
      </w:r>
      <w:r w:rsidR="00856876" w:rsidRPr="00856876">
        <w:rPr>
          <w:color w:val="000000"/>
          <w:sz w:val="22"/>
          <w:szCs w:val="22"/>
          <w:vertAlign w:val="superscript"/>
        </w:rPr>
        <w:t>15 </w:t>
      </w:r>
      <w:r w:rsidR="00856876" w:rsidRPr="00856876">
        <w:rPr>
          <w:color w:val="000000"/>
          <w:sz w:val="22"/>
          <w:szCs w:val="22"/>
        </w:rPr>
        <w:t>Department of Mathematics and Statistics, Dordt University, Sioux Center, the United States</w:t>
      </w:r>
      <w:r w:rsidR="00856876" w:rsidRPr="00856876">
        <w:rPr>
          <w:color w:val="000000"/>
          <w:sz w:val="22"/>
          <w:szCs w:val="22"/>
        </w:rPr>
        <w:br/>
      </w:r>
      <w:r w:rsidR="00856876" w:rsidRPr="00856876">
        <w:rPr>
          <w:color w:val="000000"/>
          <w:sz w:val="22"/>
          <w:szCs w:val="22"/>
          <w:vertAlign w:val="superscript"/>
        </w:rPr>
        <w:t>16 </w:t>
      </w:r>
      <w:r w:rsidR="00856876" w:rsidRPr="00856876">
        <w:rPr>
          <w:color w:val="000000"/>
          <w:sz w:val="22"/>
          <w:szCs w:val="22"/>
        </w:rPr>
        <w:t>Department of Biostatistics, University of Washington School of Public Health, , Seattle, the United States</w:t>
      </w:r>
      <w:r w:rsidR="00856876" w:rsidRPr="00856876">
        <w:rPr>
          <w:color w:val="000000"/>
          <w:sz w:val="22"/>
          <w:szCs w:val="22"/>
        </w:rPr>
        <w:br/>
      </w:r>
      <w:r w:rsidR="00856876" w:rsidRPr="00856876">
        <w:rPr>
          <w:color w:val="000000"/>
          <w:sz w:val="22"/>
          <w:szCs w:val="22"/>
          <w:vertAlign w:val="superscript"/>
        </w:rPr>
        <w:t>17 </w:t>
      </w:r>
      <w:r w:rsidR="00856876" w:rsidRPr="00856876">
        <w:rPr>
          <w:color w:val="000000"/>
          <w:sz w:val="22"/>
          <w:szCs w:val="22"/>
        </w:rPr>
        <w:t xml:space="preserve">Department of Health Sciences, Faculty of </w:t>
      </w:r>
      <w:r w:rsidR="00856876">
        <w:rPr>
          <w:color w:val="000000"/>
          <w:sz w:val="22"/>
          <w:szCs w:val="22"/>
        </w:rPr>
        <w:t>Science</w:t>
      </w:r>
      <w:r w:rsidR="00856876" w:rsidRPr="00856876">
        <w:rPr>
          <w:color w:val="000000"/>
          <w:sz w:val="22"/>
          <w:szCs w:val="22"/>
        </w:rPr>
        <w:t>, Vrije Universiteit Amsterdam, Amsterdam Public Health Research Institute, Amsterdam, the Netherlands</w:t>
      </w:r>
      <w:r w:rsidR="00856876" w:rsidRPr="00856876">
        <w:rPr>
          <w:color w:val="000000"/>
          <w:sz w:val="22"/>
          <w:szCs w:val="22"/>
        </w:rPr>
        <w:br/>
      </w:r>
      <w:r w:rsidR="00856876" w:rsidRPr="00856876">
        <w:rPr>
          <w:color w:val="000000"/>
          <w:sz w:val="22"/>
          <w:szCs w:val="22"/>
          <w:vertAlign w:val="superscript"/>
        </w:rPr>
        <w:t>18 </w:t>
      </w:r>
      <w:r w:rsidR="00856876" w:rsidRPr="00856876">
        <w:rPr>
          <w:color w:val="000000"/>
          <w:sz w:val="22"/>
          <w:szCs w:val="22"/>
        </w:rPr>
        <w:t>Division of Cardiology, Department of Medicine, Taipei Veterans General Hospital, Taipei City, the Republic of China</w:t>
      </w:r>
      <w:r w:rsidR="00856876" w:rsidRPr="00856876">
        <w:rPr>
          <w:color w:val="000000"/>
          <w:sz w:val="22"/>
          <w:szCs w:val="22"/>
        </w:rPr>
        <w:br/>
      </w:r>
      <w:r w:rsidR="00856876" w:rsidRPr="00856876">
        <w:rPr>
          <w:color w:val="000000"/>
          <w:sz w:val="22"/>
          <w:szCs w:val="22"/>
          <w:vertAlign w:val="superscript"/>
        </w:rPr>
        <w:t>19 </w:t>
      </w:r>
      <w:r w:rsidR="00856876" w:rsidRPr="00856876">
        <w:rPr>
          <w:color w:val="000000"/>
          <w:sz w:val="22"/>
          <w:szCs w:val="22"/>
        </w:rPr>
        <w:t>Department of Medicine, Division of Cardiovascular Medicine, Stanford University School of Medicine, Stanford, the United States</w:t>
      </w:r>
      <w:r w:rsidR="00856876" w:rsidRPr="00856876">
        <w:rPr>
          <w:color w:val="000000"/>
          <w:sz w:val="22"/>
          <w:szCs w:val="22"/>
        </w:rPr>
        <w:br/>
      </w:r>
      <w:r w:rsidR="00856876" w:rsidRPr="00856876">
        <w:rPr>
          <w:color w:val="000000"/>
          <w:sz w:val="22"/>
          <w:szCs w:val="22"/>
          <w:vertAlign w:val="superscript"/>
        </w:rPr>
        <w:t>20 </w:t>
      </w:r>
      <w:r w:rsidR="00856876" w:rsidRPr="00856876">
        <w:rPr>
          <w:color w:val="000000"/>
          <w:sz w:val="22"/>
          <w:szCs w:val="22"/>
        </w:rPr>
        <w:t>Divisions of Aging, Department of Medicine, Brigham and Women's Hospital and Harvard Medical School, Boston, the United States</w:t>
      </w:r>
      <w:r w:rsidR="00856876" w:rsidRPr="00856876">
        <w:rPr>
          <w:color w:val="000000"/>
          <w:sz w:val="22"/>
          <w:szCs w:val="22"/>
        </w:rPr>
        <w:br/>
      </w:r>
      <w:r w:rsidR="00856876" w:rsidRPr="00856876">
        <w:rPr>
          <w:color w:val="000000"/>
          <w:sz w:val="22"/>
          <w:szCs w:val="22"/>
          <w:vertAlign w:val="superscript"/>
        </w:rPr>
        <w:t>21 </w:t>
      </w:r>
      <w:r w:rsidR="00856876" w:rsidRPr="00856876">
        <w:rPr>
          <w:color w:val="000000"/>
          <w:sz w:val="22"/>
          <w:szCs w:val="22"/>
        </w:rPr>
        <w:t>Division of Human Nutrition and Health, Wageningen University, Wageningen, the Netherlands</w:t>
      </w:r>
      <w:r w:rsidR="00856876" w:rsidRPr="00856876">
        <w:rPr>
          <w:color w:val="000000"/>
          <w:sz w:val="22"/>
          <w:szCs w:val="22"/>
        </w:rPr>
        <w:br/>
      </w:r>
      <w:r w:rsidR="00856876" w:rsidRPr="00856876">
        <w:rPr>
          <w:color w:val="000000"/>
          <w:sz w:val="22"/>
          <w:szCs w:val="22"/>
          <w:vertAlign w:val="superscript"/>
        </w:rPr>
        <w:t>22 </w:t>
      </w:r>
      <w:r w:rsidR="00856876" w:rsidRPr="00856876">
        <w:rPr>
          <w:color w:val="000000"/>
          <w:sz w:val="22"/>
          <w:szCs w:val="22"/>
        </w:rPr>
        <w:t>Centre for Epidemiology and Biostatistics, The University of Melbourne, Parkville, Australia</w:t>
      </w:r>
      <w:r w:rsidR="00856876" w:rsidRPr="00856876">
        <w:rPr>
          <w:color w:val="000000"/>
          <w:sz w:val="22"/>
          <w:szCs w:val="22"/>
        </w:rPr>
        <w:br/>
      </w:r>
      <w:r w:rsidR="00856876" w:rsidRPr="00856876">
        <w:rPr>
          <w:color w:val="000000"/>
          <w:sz w:val="22"/>
          <w:szCs w:val="22"/>
          <w:vertAlign w:val="superscript"/>
        </w:rPr>
        <w:t>23 </w:t>
      </w:r>
      <w:r w:rsidR="00856876" w:rsidRPr="00856876">
        <w:rPr>
          <w:color w:val="000000"/>
          <w:sz w:val="22"/>
          <w:szCs w:val="22"/>
        </w:rPr>
        <w:t>Precision Medicine, School of Clinical Sciences at Monash Health, Monash University, Clayton, Australia</w:t>
      </w:r>
      <w:r w:rsidR="00856876" w:rsidRPr="00856876">
        <w:rPr>
          <w:color w:val="000000"/>
          <w:sz w:val="22"/>
          <w:szCs w:val="22"/>
        </w:rPr>
        <w:br/>
      </w:r>
      <w:r w:rsidR="00856876" w:rsidRPr="00856876">
        <w:rPr>
          <w:color w:val="000000"/>
          <w:sz w:val="22"/>
          <w:szCs w:val="22"/>
          <w:vertAlign w:val="superscript"/>
        </w:rPr>
        <w:t>24 </w:t>
      </w:r>
      <w:r w:rsidR="00856876" w:rsidRPr="00856876">
        <w:rPr>
          <w:color w:val="000000"/>
          <w:sz w:val="22"/>
          <w:szCs w:val="22"/>
        </w:rPr>
        <w:t>Icelandic Heart Association Research Institute, Kopavogur, Iceland</w:t>
      </w:r>
      <w:r w:rsidR="00856876" w:rsidRPr="00856876">
        <w:rPr>
          <w:color w:val="000000"/>
          <w:sz w:val="22"/>
          <w:szCs w:val="22"/>
        </w:rPr>
        <w:br/>
      </w:r>
      <w:r w:rsidR="00856876" w:rsidRPr="00856876">
        <w:rPr>
          <w:color w:val="000000"/>
          <w:sz w:val="22"/>
          <w:szCs w:val="22"/>
          <w:vertAlign w:val="superscript"/>
        </w:rPr>
        <w:t>25 </w:t>
      </w:r>
      <w:r w:rsidR="00856876" w:rsidRPr="00856876">
        <w:rPr>
          <w:color w:val="000000"/>
          <w:sz w:val="22"/>
          <w:szCs w:val="22"/>
        </w:rPr>
        <w:t>Department of Internal Medicine, Sanford School of Medicine, University of South Dakota, Sioux Falls, the United States</w:t>
      </w:r>
      <w:r w:rsidR="00856876" w:rsidRPr="00856876">
        <w:rPr>
          <w:color w:val="000000"/>
          <w:sz w:val="22"/>
          <w:szCs w:val="22"/>
        </w:rPr>
        <w:br/>
      </w:r>
      <w:r w:rsidR="00856876" w:rsidRPr="00856876">
        <w:rPr>
          <w:color w:val="000000"/>
          <w:sz w:val="22"/>
          <w:szCs w:val="22"/>
          <w:vertAlign w:val="superscript"/>
        </w:rPr>
        <w:t>26 </w:t>
      </w:r>
      <w:r w:rsidR="00856876" w:rsidRPr="00856876">
        <w:rPr>
          <w:color w:val="000000"/>
          <w:sz w:val="22"/>
          <w:szCs w:val="22"/>
        </w:rPr>
        <w:t>OmegaQuant Analytics LLC, Sioux Falls, the United States</w:t>
      </w:r>
      <w:r w:rsidR="00856876" w:rsidRPr="00856876">
        <w:rPr>
          <w:color w:val="000000"/>
          <w:sz w:val="22"/>
          <w:szCs w:val="22"/>
        </w:rPr>
        <w:br/>
      </w:r>
      <w:r w:rsidR="00856876" w:rsidRPr="00856876">
        <w:rPr>
          <w:color w:val="000000"/>
          <w:sz w:val="22"/>
          <w:szCs w:val="22"/>
          <w:vertAlign w:val="superscript"/>
        </w:rPr>
        <w:t>27 </w:t>
      </w:r>
      <w:r w:rsidR="00856876" w:rsidRPr="00856876">
        <w:rPr>
          <w:color w:val="000000"/>
          <w:sz w:val="22"/>
          <w:szCs w:val="22"/>
        </w:rPr>
        <w:t>National Institute for Health Research Biomedical Research Centres Core Nutritional Biomarker Laboratory, University of Cambridge, Addenbrooke's Hospital, Cambridge, the United Kingdom</w:t>
      </w:r>
      <w:r w:rsidR="00856876" w:rsidRPr="00856876">
        <w:rPr>
          <w:color w:val="000000"/>
          <w:sz w:val="22"/>
          <w:szCs w:val="22"/>
        </w:rPr>
        <w:br/>
      </w:r>
      <w:r w:rsidR="00856876" w:rsidRPr="00856876">
        <w:rPr>
          <w:color w:val="000000"/>
          <w:sz w:val="22"/>
          <w:szCs w:val="22"/>
          <w:vertAlign w:val="superscript"/>
        </w:rPr>
        <w:t>28 </w:t>
      </w:r>
      <w:r w:rsidR="00856876" w:rsidRPr="00856876">
        <w:rPr>
          <w:color w:val="000000"/>
          <w:sz w:val="22"/>
          <w:szCs w:val="22"/>
        </w:rPr>
        <w:t>National Institute for Health Research Biomedical Research Centres Core Metabolomics and Lipidomics Laboratory, University of Cambridge, Addenbrooke's Hospital, Cambridge, the United Kingdom</w:t>
      </w:r>
      <w:r w:rsidR="00856876" w:rsidRPr="00856876">
        <w:rPr>
          <w:color w:val="000000"/>
          <w:sz w:val="22"/>
          <w:szCs w:val="22"/>
        </w:rPr>
        <w:br/>
      </w:r>
      <w:r w:rsidR="00856876" w:rsidRPr="00856876">
        <w:rPr>
          <w:color w:val="000000"/>
          <w:sz w:val="22"/>
          <w:szCs w:val="22"/>
          <w:vertAlign w:val="superscript"/>
        </w:rPr>
        <w:t>29 </w:t>
      </w:r>
      <w:r w:rsidR="00856876" w:rsidRPr="00856876">
        <w:rPr>
          <w:color w:val="000000"/>
          <w:sz w:val="22"/>
          <w:szCs w:val="22"/>
        </w:rPr>
        <w:t>Medical Research Council Elsie Widdowson Laboratory, Cambridge, the United Kingdom</w:t>
      </w:r>
      <w:r w:rsidR="00856876" w:rsidRPr="00856876">
        <w:rPr>
          <w:color w:val="000000"/>
          <w:sz w:val="22"/>
          <w:szCs w:val="22"/>
        </w:rPr>
        <w:br/>
      </w:r>
      <w:r w:rsidR="00856876" w:rsidRPr="00856876">
        <w:rPr>
          <w:color w:val="000000"/>
          <w:sz w:val="22"/>
          <w:szCs w:val="22"/>
          <w:vertAlign w:val="superscript"/>
        </w:rPr>
        <w:t>30 </w:t>
      </w:r>
      <w:r w:rsidR="00856876" w:rsidRPr="00856876">
        <w:rPr>
          <w:color w:val="000000"/>
          <w:sz w:val="22"/>
          <w:szCs w:val="22"/>
        </w:rPr>
        <w:t>Institute of Clinical Medicine, Internal Medicine, University of Eastern Finland, Kuopio, Finland</w:t>
      </w:r>
      <w:r w:rsidR="00856876" w:rsidRPr="00856876">
        <w:rPr>
          <w:color w:val="000000"/>
          <w:sz w:val="22"/>
          <w:szCs w:val="22"/>
        </w:rPr>
        <w:br/>
      </w:r>
      <w:r w:rsidR="00856876" w:rsidRPr="00856876">
        <w:rPr>
          <w:color w:val="000000"/>
          <w:sz w:val="22"/>
          <w:szCs w:val="22"/>
          <w:vertAlign w:val="superscript"/>
        </w:rPr>
        <w:t>31 </w:t>
      </w:r>
      <w:r w:rsidR="00856876" w:rsidRPr="00856876">
        <w:rPr>
          <w:color w:val="000000"/>
          <w:sz w:val="22"/>
          <w:szCs w:val="22"/>
        </w:rPr>
        <w:t>Department of Medicine, Kuopio University Hospital, Kuopio, Finland</w:t>
      </w:r>
      <w:r w:rsidR="00856876" w:rsidRPr="00856876">
        <w:rPr>
          <w:color w:val="000000"/>
          <w:sz w:val="22"/>
          <w:szCs w:val="22"/>
        </w:rPr>
        <w:br/>
      </w:r>
      <w:r w:rsidR="00856876" w:rsidRPr="00856876">
        <w:rPr>
          <w:color w:val="000000"/>
          <w:sz w:val="22"/>
          <w:szCs w:val="22"/>
          <w:vertAlign w:val="superscript"/>
        </w:rPr>
        <w:t>32 </w:t>
      </w:r>
      <w:r w:rsidR="00856876" w:rsidRPr="00856876">
        <w:rPr>
          <w:color w:val="000000"/>
          <w:sz w:val="22"/>
          <w:szCs w:val="22"/>
        </w:rPr>
        <w:t>Department of Medical Sciences, Uppsala University, Uppsala, Sweden</w:t>
      </w:r>
      <w:r w:rsidR="00856876" w:rsidRPr="00856876">
        <w:rPr>
          <w:color w:val="000000"/>
          <w:sz w:val="22"/>
          <w:szCs w:val="22"/>
        </w:rPr>
        <w:br/>
      </w:r>
      <w:r w:rsidR="00856876" w:rsidRPr="00856876">
        <w:rPr>
          <w:color w:val="000000"/>
          <w:sz w:val="22"/>
          <w:szCs w:val="22"/>
          <w:vertAlign w:val="superscript"/>
        </w:rPr>
        <w:t>33 </w:t>
      </w:r>
      <w:r w:rsidR="00856876" w:rsidRPr="00856876">
        <w:rPr>
          <w:color w:val="000000"/>
          <w:sz w:val="22"/>
          <w:szCs w:val="22"/>
        </w:rPr>
        <w:t>Department of Internal Medicine, National Taiwan University Hospital, Taipei City, the Republic of China</w:t>
      </w:r>
      <w:r w:rsidR="00856876" w:rsidRPr="00856876">
        <w:rPr>
          <w:color w:val="000000"/>
          <w:sz w:val="22"/>
          <w:szCs w:val="22"/>
        </w:rPr>
        <w:br/>
      </w:r>
      <w:r w:rsidR="00856876" w:rsidRPr="00856876">
        <w:rPr>
          <w:color w:val="000000"/>
          <w:sz w:val="22"/>
          <w:szCs w:val="22"/>
          <w:vertAlign w:val="superscript"/>
        </w:rPr>
        <w:t>34 </w:t>
      </w:r>
      <w:r w:rsidR="00856876" w:rsidRPr="00856876">
        <w:rPr>
          <w:color w:val="000000"/>
          <w:sz w:val="22"/>
          <w:szCs w:val="22"/>
        </w:rPr>
        <w:t>Preventive Intervention Center, Departments of Epidemiology, the University of Iowa College of Public Health, Iowa City, the United States</w:t>
      </w:r>
      <w:r w:rsidR="00856876" w:rsidRPr="00856876">
        <w:rPr>
          <w:color w:val="000000"/>
          <w:sz w:val="22"/>
          <w:szCs w:val="22"/>
        </w:rPr>
        <w:br/>
      </w:r>
      <w:r w:rsidR="00856876" w:rsidRPr="00856876">
        <w:rPr>
          <w:color w:val="000000"/>
          <w:sz w:val="22"/>
          <w:szCs w:val="22"/>
          <w:vertAlign w:val="superscript"/>
        </w:rPr>
        <w:t>35 </w:t>
      </w:r>
      <w:r w:rsidR="00856876" w:rsidRPr="00856876">
        <w:rPr>
          <w:color w:val="000000"/>
          <w:sz w:val="22"/>
          <w:szCs w:val="22"/>
        </w:rPr>
        <w:t>The New York Academy of Medicine, New York, the United States</w:t>
      </w:r>
      <w:r w:rsidR="00856876" w:rsidRPr="00856876">
        <w:rPr>
          <w:color w:val="000000"/>
          <w:sz w:val="22"/>
          <w:szCs w:val="22"/>
        </w:rPr>
        <w:br/>
      </w:r>
      <w:r w:rsidR="00856876" w:rsidRPr="00856876">
        <w:rPr>
          <w:color w:val="000000"/>
          <w:sz w:val="22"/>
          <w:szCs w:val="22"/>
          <w:vertAlign w:val="superscript"/>
        </w:rPr>
        <w:t>36 </w:t>
      </w:r>
      <w:r w:rsidR="00856876" w:rsidRPr="00856876">
        <w:rPr>
          <w:color w:val="000000"/>
          <w:sz w:val="22"/>
          <w:szCs w:val="22"/>
        </w:rPr>
        <w:t>Center of Research on Psychological and Somatic disorders, Department of Medical and Clinical Psychology, Tilburg University, Tilburg, the Netherlands</w:t>
      </w:r>
      <w:r w:rsidR="00856876" w:rsidRPr="00856876">
        <w:rPr>
          <w:color w:val="000000"/>
          <w:sz w:val="22"/>
          <w:szCs w:val="22"/>
        </w:rPr>
        <w:br/>
      </w:r>
      <w:r w:rsidR="00856876" w:rsidRPr="00856876">
        <w:rPr>
          <w:color w:val="000000"/>
          <w:sz w:val="22"/>
          <w:szCs w:val="22"/>
          <w:vertAlign w:val="superscript"/>
        </w:rPr>
        <w:t>37 </w:t>
      </w:r>
      <w:r w:rsidR="00856876" w:rsidRPr="00856876">
        <w:rPr>
          <w:color w:val="000000"/>
          <w:sz w:val="22"/>
          <w:szCs w:val="22"/>
        </w:rPr>
        <w:t>Institute for Food, Nutrition and Health, University of Reading, Reading, the United Kingdom</w:t>
      </w:r>
      <w:r w:rsidR="00856876" w:rsidRPr="00856876">
        <w:rPr>
          <w:color w:val="000000"/>
          <w:sz w:val="22"/>
          <w:szCs w:val="22"/>
        </w:rPr>
        <w:br/>
      </w:r>
      <w:r w:rsidR="00856876" w:rsidRPr="00856876">
        <w:rPr>
          <w:color w:val="000000"/>
          <w:sz w:val="22"/>
          <w:szCs w:val="22"/>
          <w:vertAlign w:val="superscript"/>
        </w:rPr>
        <w:t>38 </w:t>
      </w:r>
      <w:r w:rsidR="00856876" w:rsidRPr="00856876">
        <w:rPr>
          <w:color w:val="000000"/>
          <w:sz w:val="22"/>
          <w:szCs w:val="22"/>
        </w:rPr>
        <w:t>Cardiovascular Health Research Unit, Department of Medicine, University of Washington, Seattle, the United States</w:t>
      </w:r>
      <w:r w:rsidR="00856876" w:rsidRPr="00856876">
        <w:rPr>
          <w:color w:val="000000"/>
          <w:sz w:val="22"/>
          <w:szCs w:val="22"/>
        </w:rPr>
        <w:br/>
      </w:r>
      <w:r w:rsidR="00856876" w:rsidRPr="00856876">
        <w:rPr>
          <w:color w:val="000000"/>
          <w:sz w:val="22"/>
          <w:szCs w:val="22"/>
          <w:vertAlign w:val="superscript"/>
        </w:rPr>
        <w:t>39 </w:t>
      </w:r>
      <w:r w:rsidR="00856876" w:rsidRPr="00856876">
        <w:rPr>
          <w:color w:val="000000"/>
          <w:sz w:val="22"/>
          <w:szCs w:val="22"/>
        </w:rPr>
        <w:t>Department of Laboratory Medicine and Pathology, University of Minnesota, Minneapolis, the United States</w:t>
      </w:r>
      <w:r w:rsidR="00856876" w:rsidRPr="00856876">
        <w:rPr>
          <w:color w:val="000000"/>
          <w:sz w:val="22"/>
          <w:szCs w:val="22"/>
        </w:rPr>
        <w:br/>
      </w:r>
      <w:r w:rsidR="00856876" w:rsidRPr="00856876">
        <w:rPr>
          <w:color w:val="000000"/>
          <w:sz w:val="22"/>
          <w:szCs w:val="22"/>
          <w:vertAlign w:val="superscript"/>
        </w:rPr>
        <w:t>40 </w:t>
      </w:r>
      <w:r w:rsidR="00856876" w:rsidRPr="00856876">
        <w:rPr>
          <w:color w:val="000000"/>
          <w:sz w:val="22"/>
          <w:szCs w:val="22"/>
        </w:rPr>
        <w:t>Public Health Sciences, Wake Forest School of Medicine, Winston-Salem, the United States</w:t>
      </w:r>
      <w:r w:rsidR="00856876">
        <w:rPr>
          <w:b/>
          <w:bCs/>
          <w:sz w:val="22"/>
          <w:szCs w:val="22"/>
          <w:lang w:val="en-US" w:eastAsia="ja-JP"/>
        </w:rPr>
        <w:br w:type="page"/>
      </w:r>
    </w:p>
    <w:p w14:paraId="56F07A79" w14:textId="53E8BF8D" w:rsidR="00686F4F" w:rsidRPr="00C40A28" w:rsidRDefault="005F7401" w:rsidP="00686F4F">
      <w:pPr>
        <w:spacing w:line="480" w:lineRule="auto"/>
        <w:rPr>
          <w:b/>
          <w:bCs/>
          <w:sz w:val="22"/>
          <w:szCs w:val="22"/>
          <w:lang w:val="en-US" w:eastAsia="ja-JP"/>
        </w:rPr>
      </w:pPr>
      <w:r>
        <w:rPr>
          <w:b/>
          <w:bCs/>
          <w:sz w:val="22"/>
          <w:szCs w:val="22"/>
          <w:lang w:val="en-US" w:eastAsia="ja-JP"/>
        </w:rPr>
        <w:lastRenderedPageBreak/>
        <w:t>Abstract</w:t>
      </w:r>
    </w:p>
    <w:p w14:paraId="610C22BA" w14:textId="0D432D0F" w:rsidR="00686F4F" w:rsidRPr="00C40A28" w:rsidRDefault="00686F4F" w:rsidP="00F2240B">
      <w:pPr>
        <w:spacing w:line="480" w:lineRule="auto"/>
        <w:rPr>
          <w:bCs/>
          <w:sz w:val="22"/>
          <w:szCs w:val="22"/>
          <w:lang w:val="en-US" w:eastAsia="ja-JP"/>
        </w:rPr>
      </w:pPr>
      <w:r w:rsidRPr="00C40A28">
        <w:rPr>
          <w:b/>
          <w:sz w:val="22"/>
          <w:szCs w:val="22"/>
          <w:lang w:val="en-US" w:eastAsia="ja-JP"/>
        </w:rPr>
        <w:t>Background</w:t>
      </w:r>
      <w:r w:rsidRPr="00C40A28">
        <w:rPr>
          <w:sz w:val="22"/>
          <w:szCs w:val="22"/>
          <w:lang w:val="en-US" w:eastAsia="ja-JP"/>
        </w:rPr>
        <w:t xml:space="preserve">: De novo lipogenesis (DNL) </w:t>
      </w:r>
      <w:r w:rsidRPr="00C40A28">
        <w:rPr>
          <w:sz w:val="22"/>
          <w:szCs w:val="22"/>
          <w:lang w:val="en-US"/>
        </w:rPr>
        <w:t xml:space="preserve">is </w:t>
      </w:r>
      <w:r w:rsidRPr="00C40A28">
        <w:rPr>
          <w:sz w:val="22"/>
          <w:szCs w:val="22"/>
          <w:lang w:val="en-US" w:eastAsia="ja-JP"/>
        </w:rPr>
        <w:t xml:space="preserve">the primary metabolic pathway </w:t>
      </w:r>
      <w:r w:rsidR="0042765E" w:rsidRPr="00C40A28">
        <w:rPr>
          <w:sz w:val="22"/>
          <w:szCs w:val="22"/>
          <w:lang w:val="en-US" w:eastAsia="ja-JP"/>
        </w:rPr>
        <w:t>synthesizing fatty acids from carbohydrates, protein, or alcohol</w:t>
      </w:r>
      <w:r w:rsidRPr="00C40A28">
        <w:rPr>
          <w:sz w:val="22"/>
          <w:szCs w:val="22"/>
          <w:lang w:val="en-US" w:eastAsia="ja-JP"/>
        </w:rPr>
        <w:t xml:space="preserve">. </w:t>
      </w:r>
      <w:r w:rsidR="0032568B">
        <w:rPr>
          <w:bCs/>
          <w:sz w:val="22"/>
          <w:szCs w:val="22"/>
          <w:lang w:val="en-US" w:eastAsia="ja-JP"/>
        </w:rPr>
        <w:t>Our aim was</w:t>
      </w:r>
      <w:r w:rsidRPr="00C40A28">
        <w:rPr>
          <w:bCs/>
          <w:sz w:val="22"/>
          <w:szCs w:val="22"/>
          <w:lang w:val="en-US" w:eastAsia="ja-JP"/>
        </w:rPr>
        <w:t xml:space="preserve"> to </w:t>
      </w:r>
      <w:r w:rsidR="0032568B">
        <w:rPr>
          <w:bCs/>
          <w:sz w:val="22"/>
          <w:szCs w:val="22"/>
          <w:lang w:val="en-US" w:eastAsia="ja-JP"/>
        </w:rPr>
        <w:t>examine</w:t>
      </w:r>
      <w:r w:rsidR="0032568B" w:rsidRPr="00C40A28">
        <w:rPr>
          <w:bCs/>
          <w:sz w:val="22"/>
          <w:szCs w:val="22"/>
          <w:lang w:val="en-US" w:eastAsia="ja-JP"/>
        </w:rPr>
        <w:t xml:space="preserve"> </w:t>
      </w:r>
      <w:r w:rsidRPr="00C40A28">
        <w:rPr>
          <w:bCs/>
          <w:sz w:val="22"/>
          <w:szCs w:val="22"/>
          <w:lang w:val="en-US" w:eastAsia="ja-JP"/>
        </w:rPr>
        <w:t xml:space="preserve">associations of </w:t>
      </w:r>
      <w:r w:rsidR="003F5423" w:rsidRPr="00C40A28">
        <w:rPr>
          <w:bCs/>
          <w:sz w:val="22"/>
          <w:szCs w:val="22"/>
          <w:lang w:val="en-US" w:eastAsia="ja-JP"/>
        </w:rPr>
        <w:t xml:space="preserve">in vivo levels of </w:t>
      </w:r>
      <w:r w:rsidRPr="00C40A28">
        <w:rPr>
          <w:bCs/>
          <w:sz w:val="22"/>
          <w:szCs w:val="22"/>
          <w:lang w:val="en-US" w:eastAsia="ja-JP"/>
        </w:rPr>
        <w:t>selected fatty acids (16:0, 16:1n7, 18:0, 18:1n9) in DNL with incidence of type 2 diabetes (T2D).</w:t>
      </w:r>
      <w:r w:rsidRPr="00C40A28">
        <w:rPr>
          <w:bCs/>
          <w:sz w:val="22"/>
          <w:szCs w:val="22"/>
          <w:lang w:val="en-US" w:eastAsia="ja-JP"/>
        </w:rPr>
        <w:br/>
      </w:r>
      <w:r w:rsidRPr="00C40A28">
        <w:rPr>
          <w:b/>
          <w:bCs/>
          <w:sz w:val="22"/>
          <w:szCs w:val="22"/>
          <w:lang w:val="en-US" w:eastAsia="ja-JP"/>
        </w:rPr>
        <w:t>Methods</w:t>
      </w:r>
      <w:r w:rsidR="00F2240B" w:rsidRPr="00C40A28">
        <w:rPr>
          <w:b/>
          <w:bCs/>
          <w:sz w:val="22"/>
          <w:szCs w:val="22"/>
          <w:lang w:val="en-US" w:eastAsia="ja-JP"/>
        </w:rPr>
        <w:t xml:space="preserve"> and Findings</w:t>
      </w:r>
      <w:r w:rsidRPr="00C40A28">
        <w:rPr>
          <w:bCs/>
          <w:sz w:val="22"/>
          <w:szCs w:val="22"/>
          <w:lang w:val="en-US" w:eastAsia="ja-JP"/>
        </w:rPr>
        <w:t xml:space="preserve">: Seventeen cohorts from 12 countries </w:t>
      </w:r>
      <w:r w:rsidRPr="00C40A28">
        <w:rPr>
          <w:sz w:val="22"/>
          <w:szCs w:val="22"/>
          <w:shd w:val="clear" w:color="auto" w:fill="FFFFFF"/>
          <w:lang w:val="en-US"/>
        </w:rPr>
        <w:t xml:space="preserve">(7 from </w:t>
      </w:r>
      <w:r w:rsidR="0032568B">
        <w:rPr>
          <w:sz w:val="22"/>
          <w:szCs w:val="22"/>
          <w:shd w:val="clear" w:color="auto" w:fill="FFFFFF"/>
          <w:lang w:val="en-US"/>
        </w:rPr>
        <w:t xml:space="preserve">Europe, 7 from </w:t>
      </w:r>
      <w:r w:rsidRPr="00C40A28">
        <w:rPr>
          <w:sz w:val="22"/>
          <w:szCs w:val="22"/>
          <w:shd w:val="clear" w:color="auto" w:fill="FFFFFF"/>
          <w:lang w:val="en-US"/>
        </w:rPr>
        <w:t>the United States1 from Australia, 1 from Taiwan</w:t>
      </w:r>
      <w:r w:rsidR="00B82389" w:rsidRPr="00C40A28">
        <w:rPr>
          <w:sz w:val="22"/>
          <w:szCs w:val="22"/>
          <w:shd w:val="clear" w:color="auto" w:fill="FFFFFF"/>
          <w:lang w:val="en-US"/>
        </w:rPr>
        <w:t xml:space="preserve">; </w:t>
      </w:r>
      <w:r w:rsidR="00B82389" w:rsidRPr="00C40A28">
        <w:rPr>
          <w:sz w:val="22"/>
          <w:szCs w:val="22"/>
          <w:shd w:val="clear" w:color="auto" w:fill="FFFFFF"/>
          <w:lang w:val="en-US" w:eastAsia="ja-JP"/>
        </w:rPr>
        <w:t>baseline years=1970-1973 to 2006-2010</w:t>
      </w:r>
      <w:r w:rsidRPr="00C40A28">
        <w:rPr>
          <w:sz w:val="22"/>
          <w:szCs w:val="22"/>
          <w:shd w:val="clear" w:color="auto" w:fill="FFFFFF"/>
          <w:lang w:val="en-US"/>
        </w:rPr>
        <w:t>)</w:t>
      </w:r>
      <w:r w:rsidRPr="00C40A28">
        <w:rPr>
          <w:sz w:val="22"/>
          <w:szCs w:val="22"/>
          <w:shd w:val="clear" w:color="auto" w:fill="FFFFFF"/>
          <w:lang w:val="en-US" w:eastAsia="ja-JP"/>
        </w:rPr>
        <w:t xml:space="preserve"> conducted harmonized individual-level </w:t>
      </w:r>
      <w:r w:rsidR="00812785" w:rsidRPr="00C40A28">
        <w:rPr>
          <w:sz w:val="22"/>
          <w:szCs w:val="22"/>
          <w:shd w:val="clear" w:color="auto" w:fill="FFFFFF"/>
          <w:lang w:val="en-US" w:eastAsia="ja-JP"/>
        </w:rPr>
        <w:t>analyses</w:t>
      </w:r>
      <w:r w:rsidR="0028163A">
        <w:rPr>
          <w:sz w:val="22"/>
          <w:szCs w:val="22"/>
          <w:shd w:val="clear" w:color="auto" w:fill="FFFFFF"/>
          <w:lang w:val="en-US" w:eastAsia="ja-JP"/>
        </w:rPr>
        <w:t xml:space="preserve"> of associations of DNL-related fatty acids with incident T2D</w:t>
      </w:r>
      <w:r w:rsidR="00B84CD0" w:rsidRPr="00C40A28">
        <w:rPr>
          <w:sz w:val="22"/>
          <w:szCs w:val="22"/>
          <w:shd w:val="clear" w:color="auto" w:fill="FFFFFF"/>
          <w:lang w:val="en-US" w:eastAsia="ja-JP"/>
        </w:rPr>
        <w:t xml:space="preserve">. In total, </w:t>
      </w:r>
      <w:r w:rsidR="00CA09AA" w:rsidRPr="00C40A28">
        <w:rPr>
          <w:sz w:val="22"/>
          <w:szCs w:val="22"/>
          <w:shd w:val="clear" w:color="auto" w:fill="FFFFFF"/>
          <w:lang w:val="en-US" w:eastAsia="ja-JP"/>
        </w:rPr>
        <w:t xml:space="preserve">we evaluated </w:t>
      </w:r>
      <w:r w:rsidR="00B84CD0" w:rsidRPr="00C40A28">
        <w:rPr>
          <w:sz w:val="22"/>
          <w:szCs w:val="22"/>
          <w:shd w:val="clear" w:color="auto" w:fill="FFFFFF"/>
          <w:lang w:val="en-US" w:eastAsia="ja-JP"/>
        </w:rPr>
        <w:t xml:space="preserve">65,225 participants </w:t>
      </w:r>
      <w:r w:rsidR="00B82389" w:rsidRPr="00C40A28">
        <w:rPr>
          <w:sz w:val="22"/>
          <w:szCs w:val="22"/>
          <w:shd w:val="clear" w:color="auto" w:fill="FFFFFF"/>
          <w:lang w:val="en-US" w:eastAsia="ja-JP"/>
        </w:rPr>
        <w:t>(mean ages=52.3 to 75.5 years; % women</w:t>
      </w:r>
      <w:r w:rsidR="0028163A" w:rsidRPr="00C40A28">
        <w:rPr>
          <w:bCs/>
          <w:sz w:val="22"/>
          <w:szCs w:val="22"/>
          <w:lang w:val="en-US" w:eastAsia="ja-JP"/>
        </w:rPr>
        <w:t>=20.4% to 62.3%</w:t>
      </w:r>
      <w:r w:rsidR="0028163A">
        <w:rPr>
          <w:bCs/>
          <w:sz w:val="22"/>
          <w:szCs w:val="22"/>
          <w:lang w:val="en-US" w:eastAsia="ja-JP"/>
        </w:rPr>
        <w:t xml:space="preserve"> in twelve cohorts recruiting both sexes</w:t>
      </w:r>
      <w:r w:rsidR="0028163A" w:rsidRPr="00C40A28">
        <w:rPr>
          <w:bCs/>
          <w:sz w:val="22"/>
          <w:szCs w:val="22"/>
          <w:lang w:val="en-US" w:eastAsia="ja-JP"/>
        </w:rPr>
        <w:t>).</w:t>
      </w:r>
      <w:r w:rsidR="00B82389" w:rsidRPr="00C40A28">
        <w:rPr>
          <w:sz w:val="22"/>
          <w:szCs w:val="22"/>
          <w:shd w:val="clear" w:color="auto" w:fill="FFFFFF"/>
          <w:lang w:val="en-US" w:eastAsia="ja-JP"/>
        </w:rPr>
        <w:t xml:space="preserve">) </w:t>
      </w:r>
      <w:r w:rsidR="00B84CD0" w:rsidRPr="00C40A28">
        <w:rPr>
          <w:sz w:val="22"/>
          <w:szCs w:val="22"/>
          <w:shd w:val="clear" w:color="auto" w:fill="FFFFFF"/>
          <w:lang w:val="en-US" w:eastAsia="ja-JP"/>
        </w:rPr>
        <w:t>and 15,383 incident cases of T2D o</w:t>
      </w:r>
      <w:r w:rsidR="003F5423" w:rsidRPr="00C40A28">
        <w:rPr>
          <w:sz w:val="22"/>
          <w:szCs w:val="22"/>
          <w:shd w:val="clear" w:color="auto" w:fill="FFFFFF"/>
          <w:lang w:val="en-US" w:eastAsia="ja-JP"/>
        </w:rPr>
        <w:t xml:space="preserve">ver </w:t>
      </w:r>
      <w:r w:rsidR="0032568B">
        <w:rPr>
          <w:sz w:val="22"/>
          <w:szCs w:val="22"/>
          <w:shd w:val="clear" w:color="auto" w:fill="FFFFFF"/>
          <w:lang w:val="en-US" w:eastAsia="ja-JP"/>
        </w:rPr>
        <w:t xml:space="preserve">the </w:t>
      </w:r>
      <w:r w:rsidR="0032568B" w:rsidRPr="00C40A28">
        <w:rPr>
          <w:sz w:val="22"/>
          <w:szCs w:val="22"/>
          <w:shd w:val="clear" w:color="auto" w:fill="FFFFFF"/>
          <w:lang w:val="en-US" w:eastAsia="ja-JP"/>
        </w:rPr>
        <w:t>9</w:t>
      </w:r>
      <w:r w:rsidR="0032568B">
        <w:rPr>
          <w:sz w:val="22"/>
          <w:szCs w:val="22"/>
          <w:shd w:val="clear" w:color="auto" w:fill="FFFFFF"/>
          <w:lang w:val="en-US" w:eastAsia="ja-JP"/>
        </w:rPr>
        <w:t>-</w:t>
      </w:r>
      <w:r w:rsidR="003F5423" w:rsidRPr="00C40A28">
        <w:rPr>
          <w:sz w:val="22"/>
          <w:szCs w:val="22"/>
          <w:shd w:val="clear" w:color="auto" w:fill="FFFFFF"/>
          <w:lang w:val="en-US" w:eastAsia="ja-JP"/>
        </w:rPr>
        <w:t>year</w:t>
      </w:r>
      <w:r w:rsidR="0032568B">
        <w:rPr>
          <w:sz w:val="22"/>
          <w:szCs w:val="22"/>
          <w:shd w:val="clear" w:color="auto" w:fill="FFFFFF"/>
          <w:lang w:val="en-US" w:eastAsia="ja-JP"/>
        </w:rPr>
        <w:t xml:space="preserve"> </w:t>
      </w:r>
      <w:r w:rsidR="003F5423" w:rsidRPr="00C40A28">
        <w:rPr>
          <w:sz w:val="22"/>
          <w:szCs w:val="22"/>
          <w:shd w:val="clear" w:color="auto" w:fill="FFFFFF"/>
          <w:lang w:val="en-US" w:eastAsia="ja-JP"/>
        </w:rPr>
        <w:t>follow-up</w:t>
      </w:r>
      <w:r w:rsidR="0032568B">
        <w:rPr>
          <w:sz w:val="22"/>
          <w:szCs w:val="22"/>
          <w:shd w:val="clear" w:color="auto" w:fill="FFFFFF"/>
          <w:lang w:val="en-US" w:eastAsia="ja-JP"/>
        </w:rPr>
        <w:t xml:space="preserve"> on averages</w:t>
      </w:r>
      <w:r w:rsidR="003F4671" w:rsidRPr="00C40A28">
        <w:rPr>
          <w:sz w:val="22"/>
          <w:szCs w:val="22"/>
          <w:shd w:val="clear" w:color="auto" w:fill="FFFFFF"/>
          <w:lang w:val="en-US" w:eastAsia="ja-JP"/>
        </w:rPr>
        <w:t>.</w:t>
      </w:r>
      <w:r w:rsidRPr="00C40A28">
        <w:rPr>
          <w:sz w:val="22"/>
          <w:szCs w:val="22"/>
          <w:shd w:val="clear" w:color="auto" w:fill="FFFFFF"/>
          <w:lang w:val="en-US" w:eastAsia="ja-JP"/>
        </w:rPr>
        <w:t xml:space="preserve"> </w:t>
      </w:r>
      <w:r w:rsidR="008854C9" w:rsidRPr="00C40A28">
        <w:rPr>
          <w:sz w:val="22"/>
          <w:szCs w:val="22"/>
          <w:shd w:val="clear" w:color="auto" w:fill="FFFFFF"/>
          <w:lang w:val="en-US" w:eastAsia="ja-JP"/>
        </w:rPr>
        <w:t>C</w:t>
      </w:r>
      <w:r w:rsidR="004D2AC6" w:rsidRPr="00C40A28">
        <w:rPr>
          <w:sz w:val="22"/>
          <w:szCs w:val="22"/>
          <w:shd w:val="clear" w:color="auto" w:fill="FFFFFF"/>
          <w:lang w:val="en-US" w:eastAsia="ja-JP"/>
        </w:rPr>
        <w:t>ohort</w:t>
      </w:r>
      <w:r w:rsidR="0042765E" w:rsidRPr="00C40A28">
        <w:rPr>
          <w:sz w:val="22"/>
          <w:szCs w:val="22"/>
          <w:shd w:val="clear" w:color="auto" w:fill="FFFFFF"/>
          <w:lang w:val="en-US" w:eastAsia="ja-JP"/>
        </w:rPr>
        <w:t xml:space="preserve">-specific </w:t>
      </w:r>
      <w:r w:rsidRPr="00C40A28">
        <w:rPr>
          <w:sz w:val="22"/>
          <w:szCs w:val="22"/>
          <w:shd w:val="clear" w:color="auto" w:fill="FFFFFF"/>
          <w:lang w:val="en-US" w:eastAsia="ja-JP"/>
        </w:rPr>
        <w:t xml:space="preserve">association of each of </w:t>
      </w:r>
      <w:r w:rsidRPr="00C40A28">
        <w:rPr>
          <w:bCs/>
          <w:sz w:val="22"/>
          <w:szCs w:val="22"/>
          <w:lang w:val="en-US" w:eastAsia="ja-JP"/>
        </w:rPr>
        <w:t xml:space="preserve">16:0, 16:1n7, 18:0, and 18:1n9 </w:t>
      </w:r>
      <w:r w:rsidRPr="00C40A28">
        <w:rPr>
          <w:sz w:val="22"/>
          <w:szCs w:val="22"/>
          <w:shd w:val="clear" w:color="auto" w:fill="FFFFFF"/>
          <w:lang w:val="en-US" w:eastAsia="ja-JP"/>
        </w:rPr>
        <w:t>with inciden</w:t>
      </w:r>
      <w:r w:rsidR="00B84CD0" w:rsidRPr="00C40A28">
        <w:rPr>
          <w:sz w:val="22"/>
          <w:szCs w:val="22"/>
          <w:shd w:val="clear" w:color="auto" w:fill="FFFFFF"/>
          <w:lang w:val="en-US" w:eastAsia="ja-JP"/>
        </w:rPr>
        <w:t>t</w:t>
      </w:r>
      <w:r w:rsidRPr="00C40A28">
        <w:rPr>
          <w:sz w:val="22"/>
          <w:szCs w:val="22"/>
          <w:shd w:val="clear" w:color="auto" w:fill="FFFFFF"/>
          <w:lang w:val="en-US" w:eastAsia="ja-JP"/>
        </w:rPr>
        <w:t xml:space="preserve"> T2D </w:t>
      </w:r>
      <w:r w:rsidR="004D2AC6" w:rsidRPr="00C40A28">
        <w:rPr>
          <w:sz w:val="22"/>
          <w:szCs w:val="22"/>
          <w:shd w:val="clear" w:color="auto" w:fill="FFFFFF"/>
          <w:lang w:val="en-US" w:eastAsia="ja-JP"/>
        </w:rPr>
        <w:t xml:space="preserve">was </w:t>
      </w:r>
      <w:r w:rsidR="00B84CD0" w:rsidRPr="00C40A28">
        <w:rPr>
          <w:sz w:val="22"/>
          <w:szCs w:val="22"/>
          <w:shd w:val="clear" w:color="auto" w:fill="FFFFFF"/>
          <w:lang w:val="en-US" w:eastAsia="ja-JP"/>
        </w:rPr>
        <w:t>estimated</w:t>
      </w:r>
      <w:r w:rsidR="0032568B">
        <w:rPr>
          <w:sz w:val="22"/>
          <w:szCs w:val="22"/>
          <w:shd w:val="clear" w:color="auto" w:fill="FFFFFF"/>
          <w:lang w:val="en-US" w:eastAsia="ja-JP"/>
        </w:rPr>
        <w:t>,</w:t>
      </w:r>
      <w:r w:rsidRPr="00C40A28">
        <w:rPr>
          <w:sz w:val="22"/>
          <w:szCs w:val="22"/>
          <w:shd w:val="clear" w:color="auto" w:fill="FFFFFF"/>
          <w:lang w:val="en-US" w:eastAsia="ja-JP"/>
        </w:rPr>
        <w:t xml:space="preserve"> adjust</w:t>
      </w:r>
      <w:r w:rsidR="0032568B">
        <w:rPr>
          <w:sz w:val="22"/>
          <w:szCs w:val="22"/>
          <w:shd w:val="clear" w:color="auto" w:fill="FFFFFF"/>
          <w:lang w:val="en-US" w:eastAsia="ja-JP"/>
        </w:rPr>
        <w:t>ed</w:t>
      </w:r>
      <w:r w:rsidRPr="00C40A28">
        <w:rPr>
          <w:sz w:val="22"/>
          <w:szCs w:val="22"/>
          <w:shd w:val="clear" w:color="auto" w:fill="FFFFFF"/>
          <w:lang w:val="en-US" w:eastAsia="ja-JP"/>
        </w:rPr>
        <w:t xml:space="preserve"> for </w:t>
      </w:r>
      <w:r w:rsidR="000C7F68" w:rsidRPr="00C40A28">
        <w:rPr>
          <w:sz w:val="22"/>
          <w:szCs w:val="22"/>
          <w:shd w:val="clear" w:color="auto" w:fill="FFFFFF"/>
          <w:lang w:val="en-US" w:eastAsia="ja-JP"/>
        </w:rPr>
        <w:t xml:space="preserve">demographic factors, socioeconomic </w:t>
      </w:r>
      <w:r w:rsidR="0032568B">
        <w:rPr>
          <w:sz w:val="22"/>
          <w:szCs w:val="22"/>
          <w:shd w:val="clear" w:color="auto" w:fill="FFFFFF"/>
          <w:lang w:val="en-US" w:eastAsia="ja-JP"/>
        </w:rPr>
        <w:t>characteristics</w:t>
      </w:r>
      <w:r w:rsidR="000C7F68" w:rsidRPr="00C40A28">
        <w:rPr>
          <w:sz w:val="22"/>
          <w:szCs w:val="22"/>
          <w:shd w:val="clear" w:color="auto" w:fill="FFFFFF"/>
          <w:lang w:val="en-US" w:eastAsia="ja-JP"/>
        </w:rPr>
        <w:t>, alcohol, smoking, physical activity, dyslipidemia, hypertension, menopausal status, and</w:t>
      </w:r>
      <w:r w:rsidRPr="00C40A28">
        <w:rPr>
          <w:sz w:val="22"/>
          <w:szCs w:val="22"/>
          <w:shd w:val="clear" w:color="auto" w:fill="FFFFFF"/>
          <w:lang w:val="en-US" w:eastAsia="ja-JP"/>
        </w:rPr>
        <w:t xml:space="preserve"> </w:t>
      </w:r>
      <w:r w:rsidR="0001320E" w:rsidRPr="00C40A28">
        <w:rPr>
          <w:sz w:val="22"/>
          <w:szCs w:val="22"/>
          <w:shd w:val="clear" w:color="auto" w:fill="FFFFFF"/>
          <w:lang w:val="en-US" w:eastAsia="ja-JP"/>
        </w:rPr>
        <w:t>adiposity</w:t>
      </w:r>
      <w:r w:rsidR="0042765E" w:rsidRPr="00C40A28">
        <w:rPr>
          <w:sz w:val="22"/>
          <w:szCs w:val="22"/>
          <w:shd w:val="clear" w:color="auto" w:fill="FFFFFF"/>
          <w:lang w:val="en-US" w:eastAsia="ja-JP"/>
        </w:rPr>
        <w:t xml:space="preserve">. </w:t>
      </w:r>
      <w:r w:rsidR="003F5423" w:rsidRPr="00C40A28">
        <w:rPr>
          <w:sz w:val="22"/>
          <w:szCs w:val="22"/>
          <w:shd w:val="clear" w:color="auto" w:fill="FFFFFF"/>
          <w:lang w:val="en-US" w:eastAsia="ja-JP"/>
        </w:rPr>
        <w:t xml:space="preserve">Cohort-specific associations were </w:t>
      </w:r>
      <w:r w:rsidR="0032568B">
        <w:rPr>
          <w:sz w:val="22"/>
          <w:szCs w:val="22"/>
          <w:shd w:val="clear" w:color="auto" w:fill="FFFFFF"/>
          <w:lang w:val="en-US" w:eastAsia="ja-JP"/>
        </w:rPr>
        <w:t xml:space="preserve">meta-analyzed </w:t>
      </w:r>
      <w:r w:rsidR="003F5423" w:rsidRPr="00C40A28">
        <w:rPr>
          <w:sz w:val="22"/>
          <w:szCs w:val="22"/>
          <w:shd w:val="clear" w:color="auto" w:fill="FFFFFF"/>
          <w:lang w:val="en-US" w:eastAsia="ja-JP"/>
        </w:rPr>
        <w:t xml:space="preserve">with </w:t>
      </w:r>
      <w:r w:rsidR="0032568B">
        <w:rPr>
          <w:sz w:val="22"/>
          <w:szCs w:val="22"/>
          <w:shd w:val="clear" w:color="auto" w:fill="FFFFFF"/>
          <w:lang w:val="en-US" w:eastAsia="ja-JP"/>
        </w:rPr>
        <w:t xml:space="preserve">an </w:t>
      </w:r>
      <w:r w:rsidR="003F5423" w:rsidRPr="00C40A28">
        <w:rPr>
          <w:sz w:val="22"/>
          <w:szCs w:val="22"/>
          <w:shd w:val="clear" w:color="auto" w:fill="FFFFFF"/>
          <w:lang w:val="en-US" w:eastAsia="ja-JP"/>
        </w:rPr>
        <w:t xml:space="preserve">inverse-variance-weighted </w:t>
      </w:r>
      <w:r w:rsidR="0032568B">
        <w:rPr>
          <w:sz w:val="22"/>
          <w:szCs w:val="22"/>
          <w:shd w:val="clear" w:color="auto" w:fill="FFFFFF"/>
          <w:lang w:val="en-US" w:eastAsia="ja-JP"/>
        </w:rPr>
        <w:t>approach</w:t>
      </w:r>
      <w:r w:rsidR="003F5423" w:rsidRPr="00C40A28">
        <w:rPr>
          <w:sz w:val="22"/>
          <w:szCs w:val="22"/>
          <w:shd w:val="clear" w:color="auto" w:fill="FFFFFF"/>
          <w:lang w:val="en-US" w:eastAsia="ja-JP"/>
        </w:rPr>
        <w:t>.</w:t>
      </w:r>
      <w:r w:rsidR="00F2240B" w:rsidRPr="00C40A28">
        <w:rPr>
          <w:b/>
          <w:bCs/>
          <w:sz w:val="22"/>
          <w:szCs w:val="22"/>
          <w:lang w:val="en-US" w:eastAsia="ja-JP"/>
        </w:rPr>
        <w:t xml:space="preserve"> </w:t>
      </w:r>
      <w:r w:rsidR="000C7F68" w:rsidRPr="00C40A28">
        <w:rPr>
          <w:bCs/>
          <w:sz w:val="22"/>
          <w:szCs w:val="22"/>
          <w:lang w:val="en-US" w:eastAsia="ja-JP"/>
        </w:rPr>
        <w:t xml:space="preserve">Each </w:t>
      </w:r>
      <w:r w:rsidR="00E41F3E" w:rsidRPr="00C40A28">
        <w:rPr>
          <w:bCs/>
          <w:sz w:val="22"/>
          <w:szCs w:val="22"/>
          <w:lang w:val="en-US" w:eastAsia="ja-JP"/>
        </w:rPr>
        <w:t>of the f</w:t>
      </w:r>
      <w:r w:rsidRPr="00C40A28">
        <w:rPr>
          <w:bCs/>
          <w:sz w:val="22"/>
          <w:szCs w:val="22"/>
          <w:lang w:val="en-US" w:eastAsia="ja-JP"/>
        </w:rPr>
        <w:t>our fatty acids positiv</w:t>
      </w:r>
      <w:r w:rsidR="00B84CD0" w:rsidRPr="00C40A28">
        <w:rPr>
          <w:bCs/>
          <w:sz w:val="22"/>
          <w:szCs w:val="22"/>
          <w:lang w:val="en-US" w:eastAsia="ja-JP"/>
        </w:rPr>
        <w:t xml:space="preserve">ely </w:t>
      </w:r>
      <w:r w:rsidR="0032568B">
        <w:rPr>
          <w:bCs/>
          <w:sz w:val="22"/>
          <w:szCs w:val="22"/>
          <w:lang w:val="en-US" w:eastAsia="ja-JP"/>
        </w:rPr>
        <w:t>related to</w:t>
      </w:r>
      <w:r w:rsidR="00B84CD0" w:rsidRPr="00C40A28">
        <w:rPr>
          <w:bCs/>
          <w:sz w:val="22"/>
          <w:szCs w:val="22"/>
          <w:lang w:val="en-US" w:eastAsia="ja-JP"/>
        </w:rPr>
        <w:t xml:space="preserve"> incident</w:t>
      </w:r>
      <w:r w:rsidRPr="00C40A28">
        <w:rPr>
          <w:bCs/>
          <w:sz w:val="22"/>
          <w:szCs w:val="22"/>
          <w:lang w:val="en-US" w:eastAsia="ja-JP"/>
        </w:rPr>
        <w:t xml:space="preserve"> T2D. Relative risks (RRs) </w:t>
      </w:r>
      <w:r w:rsidR="00FA0E5B" w:rsidRPr="00C40A28">
        <w:rPr>
          <w:bCs/>
          <w:sz w:val="22"/>
          <w:szCs w:val="22"/>
          <w:lang w:val="en-US" w:eastAsia="ja-JP"/>
        </w:rPr>
        <w:t xml:space="preserve">per cohort-specific range </w:t>
      </w:r>
      <w:r w:rsidR="000D74FE" w:rsidRPr="00C40A28">
        <w:rPr>
          <w:bCs/>
          <w:sz w:val="22"/>
          <w:szCs w:val="22"/>
          <w:lang w:val="en-US" w:eastAsia="ja-JP"/>
        </w:rPr>
        <w:t xml:space="preserve">between midpoints of </w:t>
      </w:r>
      <w:r w:rsidR="008854C9" w:rsidRPr="00C40A28">
        <w:rPr>
          <w:bCs/>
          <w:sz w:val="22"/>
          <w:szCs w:val="22"/>
          <w:lang w:val="en-US" w:eastAsia="ja-JP"/>
        </w:rPr>
        <w:t>the</w:t>
      </w:r>
      <w:r w:rsidR="000D74FE" w:rsidRPr="00C40A28">
        <w:rPr>
          <w:bCs/>
          <w:sz w:val="22"/>
          <w:szCs w:val="22"/>
          <w:lang w:val="en-US" w:eastAsia="ja-JP"/>
        </w:rPr>
        <w:t xml:space="preserve"> top and bottom quintile</w:t>
      </w:r>
      <w:r w:rsidR="00240A1A" w:rsidRPr="00C40A28">
        <w:rPr>
          <w:bCs/>
          <w:sz w:val="22"/>
          <w:szCs w:val="22"/>
          <w:lang w:val="en-US" w:eastAsia="ja-JP"/>
        </w:rPr>
        <w:t>s</w:t>
      </w:r>
      <w:r w:rsidR="00FA0E5B" w:rsidRPr="00C40A28">
        <w:rPr>
          <w:bCs/>
          <w:sz w:val="22"/>
          <w:szCs w:val="22"/>
          <w:lang w:val="en-US" w:eastAsia="ja-JP"/>
        </w:rPr>
        <w:t xml:space="preserve"> of fatty acid concentrations </w:t>
      </w:r>
      <w:r w:rsidRPr="00C40A28">
        <w:rPr>
          <w:bCs/>
          <w:sz w:val="22"/>
          <w:szCs w:val="22"/>
          <w:lang w:val="en-US" w:eastAsia="ja-JP"/>
        </w:rPr>
        <w:t>were 1.53 (1.41-1.66</w:t>
      </w:r>
      <w:r w:rsidR="006D372E" w:rsidRPr="00C40A28">
        <w:rPr>
          <w:bCs/>
          <w:sz w:val="22"/>
          <w:szCs w:val="22"/>
          <w:lang w:val="en-US" w:eastAsia="ja-JP"/>
        </w:rPr>
        <w:t>; p&lt;0.001</w:t>
      </w:r>
      <w:r w:rsidRPr="00C40A28">
        <w:rPr>
          <w:bCs/>
          <w:sz w:val="22"/>
          <w:szCs w:val="22"/>
          <w:lang w:val="en-US" w:eastAsia="ja-JP"/>
        </w:rPr>
        <w:t>)</w:t>
      </w:r>
      <w:r w:rsidR="0001320E" w:rsidRPr="00C40A28">
        <w:rPr>
          <w:bCs/>
          <w:sz w:val="22"/>
          <w:szCs w:val="22"/>
          <w:lang w:val="en-US" w:eastAsia="ja-JP"/>
        </w:rPr>
        <w:t xml:space="preserve"> for </w:t>
      </w:r>
      <w:r w:rsidR="0001320E" w:rsidRPr="00C40A28">
        <w:rPr>
          <w:sz w:val="22"/>
          <w:szCs w:val="22"/>
          <w:shd w:val="clear" w:color="auto" w:fill="FFFFFF"/>
          <w:lang w:val="en-US" w:eastAsia="ja-JP"/>
        </w:rPr>
        <w:t>16:0</w:t>
      </w:r>
      <w:r w:rsidRPr="00C40A28">
        <w:rPr>
          <w:bCs/>
          <w:sz w:val="22"/>
          <w:szCs w:val="22"/>
          <w:lang w:val="en-US" w:eastAsia="ja-JP"/>
        </w:rPr>
        <w:t>, 1.40 (1.33-1.48</w:t>
      </w:r>
      <w:r w:rsidR="006D372E" w:rsidRPr="00C40A28">
        <w:rPr>
          <w:bCs/>
          <w:sz w:val="22"/>
          <w:szCs w:val="22"/>
          <w:lang w:val="en-US" w:eastAsia="ja-JP"/>
        </w:rPr>
        <w:t>; p&lt;0.001</w:t>
      </w:r>
      <w:r w:rsidRPr="00C40A28">
        <w:rPr>
          <w:bCs/>
          <w:sz w:val="22"/>
          <w:szCs w:val="22"/>
          <w:lang w:val="en-US" w:eastAsia="ja-JP"/>
        </w:rPr>
        <w:t>)</w:t>
      </w:r>
      <w:r w:rsidR="0001320E" w:rsidRPr="00C40A28">
        <w:rPr>
          <w:bCs/>
          <w:sz w:val="22"/>
          <w:szCs w:val="22"/>
          <w:lang w:val="en-US" w:eastAsia="ja-JP"/>
        </w:rPr>
        <w:t xml:space="preserve"> for 16:1n-7</w:t>
      </w:r>
      <w:r w:rsidRPr="00C40A28">
        <w:rPr>
          <w:bCs/>
          <w:sz w:val="22"/>
          <w:szCs w:val="22"/>
          <w:lang w:val="en-US" w:eastAsia="ja-JP"/>
        </w:rPr>
        <w:t>, 1.14 (1.05-1.22</w:t>
      </w:r>
      <w:r w:rsidR="006D372E" w:rsidRPr="00C40A28">
        <w:rPr>
          <w:bCs/>
          <w:sz w:val="22"/>
          <w:szCs w:val="22"/>
          <w:lang w:val="en-US" w:eastAsia="ja-JP"/>
        </w:rPr>
        <w:t>; p=0.001</w:t>
      </w:r>
      <w:r w:rsidRPr="00C40A28">
        <w:rPr>
          <w:bCs/>
          <w:sz w:val="22"/>
          <w:szCs w:val="22"/>
          <w:lang w:val="en-US" w:eastAsia="ja-JP"/>
        </w:rPr>
        <w:t>)</w:t>
      </w:r>
      <w:r w:rsidR="0001320E" w:rsidRPr="00C40A28">
        <w:rPr>
          <w:bCs/>
          <w:sz w:val="22"/>
          <w:szCs w:val="22"/>
          <w:lang w:val="en-US" w:eastAsia="ja-JP"/>
        </w:rPr>
        <w:t xml:space="preserve"> for 18:0</w:t>
      </w:r>
      <w:r w:rsidRPr="00C40A28">
        <w:rPr>
          <w:bCs/>
          <w:sz w:val="22"/>
          <w:szCs w:val="22"/>
          <w:lang w:val="en-US" w:eastAsia="ja-JP"/>
        </w:rPr>
        <w:t>, and 1.16 (1.07-1.25</w:t>
      </w:r>
      <w:r w:rsidR="006D372E" w:rsidRPr="00C40A28">
        <w:rPr>
          <w:bCs/>
          <w:sz w:val="22"/>
          <w:szCs w:val="22"/>
          <w:lang w:val="en-US" w:eastAsia="ja-JP"/>
        </w:rPr>
        <w:t>; p&lt;0.001</w:t>
      </w:r>
      <w:r w:rsidRPr="00C40A28">
        <w:rPr>
          <w:bCs/>
          <w:sz w:val="22"/>
          <w:szCs w:val="22"/>
          <w:lang w:val="en-US" w:eastAsia="ja-JP"/>
        </w:rPr>
        <w:t>)</w:t>
      </w:r>
      <w:r w:rsidR="0001320E" w:rsidRPr="00C40A28">
        <w:rPr>
          <w:bCs/>
          <w:sz w:val="22"/>
          <w:szCs w:val="22"/>
          <w:lang w:val="en-US" w:eastAsia="ja-JP"/>
        </w:rPr>
        <w:t xml:space="preserve"> for 18:1n9</w:t>
      </w:r>
      <w:r w:rsidRPr="00C40A28">
        <w:rPr>
          <w:bCs/>
          <w:sz w:val="22"/>
          <w:szCs w:val="22"/>
          <w:lang w:val="en-US" w:eastAsia="ja-JP"/>
        </w:rPr>
        <w:t xml:space="preserve">. </w:t>
      </w:r>
      <w:r w:rsidR="004840D3" w:rsidRPr="00C40A28">
        <w:rPr>
          <w:bCs/>
          <w:sz w:val="22"/>
          <w:szCs w:val="22"/>
          <w:lang w:val="en-US" w:eastAsia="ja-JP"/>
        </w:rPr>
        <w:t>Heterogeneity was seen</w:t>
      </w:r>
      <w:r w:rsidR="00646946" w:rsidRPr="00C40A28">
        <w:rPr>
          <w:bCs/>
          <w:sz w:val="22"/>
          <w:szCs w:val="22"/>
          <w:lang w:val="en-US" w:eastAsia="ja-JP"/>
        </w:rPr>
        <w:t xml:space="preserve"> </w:t>
      </w:r>
      <w:r w:rsidR="00452997" w:rsidRPr="00C40A28">
        <w:rPr>
          <w:bCs/>
          <w:sz w:val="22"/>
          <w:szCs w:val="22"/>
          <w:lang w:val="en-US" w:eastAsia="ja-JP"/>
        </w:rPr>
        <w:t xml:space="preserve">across cohorts </w:t>
      </w:r>
      <w:r w:rsidRPr="00C40A28">
        <w:rPr>
          <w:bCs/>
          <w:sz w:val="22"/>
          <w:szCs w:val="22"/>
          <w:lang w:val="en-US" w:eastAsia="ja-JP"/>
        </w:rPr>
        <w:t>(</w:t>
      </w:r>
      <w:r w:rsidR="00302B14" w:rsidRPr="00C40A28">
        <w:rPr>
          <w:bCs/>
          <w:sz w:val="22"/>
          <w:szCs w:val="22"/>
          <w:lang w:val="en-US" w:eastAsia="ja-JP"/>
        </w:rPr>
        <w:t>I squared</w:t>
      </w:r>
      <w:r w:rsidRPr="00C40A28">
        <w:rPr>
          <w:bCs/>
          <w:sz w:val="22"/>
          <w:szCs w:val="22"/>
          <w:lang w:val="en-US" w:eastAsia="ja-JP"/>
        </w:rPr>
        <w:t>=</w:t>
      </w:r>
      <w:r w:rsidR="004F4465" w:rsidRPr="00C40A28">
        <w:rPr>
          <w:bCs/>
          <w:sz w:val="22"/>
          <w:szCs w:val="22"/>
          <w:lang w:val="en-US" w:eastAsia="ja-JP"/>
        </w:rPr>
        <w:t>51.1%</w:t>
      </w:r>
      <w:r w:rsidR="00FA0E5B" w:rsidRPr="00C40A28">
        <w:rPr>
          <w:bCs/>
          <w:sz w:val="22"/>
          <w:szCs w:val="22"/>
          <w:lang w:val="en-US" w:eastAsia="ja-JP"/>
        </w:rPr>
        <w:t xml:space="preserve"> to </w:t>
      </w:r>
      <w:r w:rsidR="006D372E" w:rsidRPr="00C40A28">
        <w:rPr>
          <w:bCs/>
          <w:sz w:val="22"/>
          <w:szCs w:val="22"/>
          <w:lang w:val="en-US" w:eastAsia="ja-JP"/>
        </w:rPr>
        <w:t>73.1</w:t>
      </w:r>
      <w:r w:rsidRPr="00C40A28">
        <w:rPr>
          <w:bCs/>
          <w:sz w:val="22"/>
          <w:szCs w:val="22"/>
          <w:lang w:val="en-US" w:eastAsia="ja-JP"/>
        </w:rPr>
        <w:t>%</w:t>
      </w:r>
      <w:r w:rsidR="004C5CDF" w:rsidRPr="00C40A28">
        <w:rPr>
          <w:bCs/>
          <w:sz w:val="22"/>
          <w:szCs w:val="22"/>
          <w:lang w:val="en-US" w:eastAsia="ja-JP"/>
        </w:rPr>
        <w:t xml:space="preserve"> for each fatty acid</w:t>
      </w:r>
      <w:r w:rsidRPr="00C40A28">
        <w:rPr>
          <w:bCs/>
          <w:sz w:val="22"/>
          <w:szCs w:val="22"/>
          <w:lang w:val="en-US" w:eastAsia="ja-JP"/>
        </w:rPr>
        <w:t xml:space="preserve">), but not explained by </w:t>
      </w:r>
      <w:r w:rsidR="00646946" w:rsidRPr="00C40A28">
        <w:rPr>
          <w:bCs/>
          <w:sz w:val="22"/>
          <w:szCs w:val="22"/>
          <w:lang w:val="en-US" w:eastAsia="ja-JP"/>
        </w:rPr>
        <w:t>lipid fractions and global</w:t>
      </w:r>
      <w:r w:rsidR="00B379B6" w:rsidRPr="00C40A28">
        <w:rPr>
          <w:bCs/>
          <w:sz w:val="22"/>
          <w:szCs w:val="22"/>
          <w:lang w:val="en-US" w:eastAsia="ja-JP"/>
        </w:rPr>
        <w:t xml:space="preserve"> geographical</w:t>
      </w:r>
      <w:r w:rsidR="00646946" w:rsidRPr="00C40A28">
        <w:rPr>
          <w:bCs/>
          <w:sz w:val="22"/>
          <w:szCs w:val="22"/>
          <w:lang w:val="en-US" w:eastAsia="ja-JP"/>
        </w:rPr>
        <w:t xml:space="preserve"> regions</w:t>
      </w:r>
      <w:r w:rsidRPr="00C40A28">
        <w:rPr>
          <w:bCs/>
          <w:sz w:val="22"/>
          <w:szCs w:val="22"/>
          <w:lang w:val="en-US" w:eastAsia="ja-JP"/>
        </w:rPr>
        <w:t xml:space="preserve">. </w:t>
      </w:r>
      <w:r w:rsidR="0042765E" w:rsidRPr="00C40A28">
        <w:rPr>
          <w:bCs/>
          <w:sz w:val="22"/>
          <w:szCs w:val="22"/>
          <w:lang w:val="en-US" w:eastAsia="ja-JP"/>
        </w:rPr>
        <w:t>F</w:t>
      </w:r>
      <w:r w:rsidR="00086AEF" w:rsidRPr="00C40A28">
        <w:rPr>
          <w:bCs/>
          <w:sz w:val="22"/>
          <w:szCs w:val="22"/>
          <w:lang w:val="en-US" w:eastAsia="ja-JP"/>
        </w:rPr>
        <w:t>urther adjust</w:t>
      </w:r>
      <w:r w:rsidR="0042765E" w:rsidRPr="00C40A28">
        <w:rPr>
          <w:bCs/>
          <w:sz w:val="22"/>
          <w:szCs w:val="22"/>
          <w:lang w:val="en-US" w:eastAsia="ja-JP"/>
        </w:rPr>
        <w:t>ed</w:t>
      </w:r>
      <w:r w:rsidR="00086AEF" w:rsidRPr="00C40A28">
        <w:rPr>
          <w:bCs/>
          <w:sz w:val="22"/>
          <w:szCs w:val="22"/>
          <w:lang w:val="en-US" w:eastAsia="ja-JP"/>
        </w:rPr>
        <w:t xml:space="preserve"> for </w:t>
      </w:r>
      <w:r w:rsidR="00086AEF" w:rsidRPr="00C40A28">
        <w:rPr>
          <w:sz w:val="22"/>
          <w:szCs w:val="22"/>
          <w:shd w:val="clear" w:color="auto" w:fill="FFFFFF"/>
          <w:lang w:val="en-US" w:eastAsia="ja-JP"/>
        </w:rPr>
        <w:t>triglycerides (and 16:0 when appropriate)</w:t>
      </w:r>
      <w:r w:rsidR="000C7F68" w:rsidRPr="00C40A28">
        <w:rPr>
          <w:sz w:val="22"/>
          <w:szCs w:val="22"/>
          <w:shd w:val="clear" w:color="auto" w:fill="FFFFFF"/>
          <w:lang w:val="en-US" w:eastAsia="ja-JP"/>
        </w:rPr>
        <w:t xml:space="preserve"> to evaluate associations independent of overall DNL</w:t>
      </w:r>
      <w:r w:rsidR="00086AEF" w:rsidRPr="00C40A28">
        <w:rPr>
          <w:bCs/>
          <w:sz w:val="22"/>
          <w:szCs w:val="22"/>
          <w:lang w:val="en-US" w:eastAsia="ja-JP"/>
        </w:rPr>
        <w:t>, t</w:t>
      </w:r>
      <w:r w:rsidRPr="00C40A28">
        <w:rPr>
          <w:bCs/>
          <w:sz w:val="22"/>
          <w:szCs w:val="22"/>
          <w:lang w:val="en-US" w:eastAsia="ja-JP"/>
        </w:rPr>
        <w:t>he</w:t>
      </w:r>
      <w:r w:rsidR="0037012F" w:rsidRPr="00C40A28">
        <w:rPr>
          <w:bCs/>
          <w:sz w:val="22"/>
          <w:szCs w:val="22"/>
          <w:lang w:val="en-US" w:eastAsia="ja-JP"/>
        </w:rPr>
        <w:t xml:space="preserve"> </w:t>
      </w:r>
      <w:r w:rsidRPr="00C40A28">
        <w:rPr>
          <w:bCs/>
          <w:sz w:val="22"/>
          <w:szCs w:val="22"/>
          <w:lang w:val="en-US" w:eastAsia="ja-JP"/>
        </w:rPr>
        <w:t xml:space="preserve">associations </w:t>
      </w:r>
      <w:r w:rsidR="0042765E" w:rsidRPr="00C40A28">
        <w:rPr>
          <w:bCs/>
          <w:sz w:val="22"/>
          <w:szCs w:val="22"/>
          <w:lang w:val="en-US" w:eastAsia="ja-JP"/>
        </w:rPr>
        <w:t xml:space="preserve">remained </w:t>
      </w:r>
      <w:r w:rsidRPr="00C40A28">
        <w:rPr>
          <w:bCs/>
          <w:sz w:val="22"/>
          <w:szCs w:val="22"/>
          <w:lang w:val="en-US" w:eastAsia="ja-JP"/>
        </w:rPr>
        <w:t xml:space="preserve">significant </w:t>
      </w:r>
      <w:r w:rsidR="0037012F" w:rsidRPr="00C40A28">
        <w:rPr>
          <w:bCs/>
          <w:sz w:val="22"/>
          <w:szCs w:val="22"/>
          <w:lang w:val="en-US" w:eastAsia="ja-JP"/>
        </w:rPr>
        <w:t>for 16:0</w:t>
      </w:r>
      <w:r w:rsidR="0042765E" w:rsidRPr="00C40A28">
        <w:rPr>
          <w:bCs/>
          <w:sz w:val="22"/>
          <w:szCs w:val="22"/>
          <w:lang w:val="en-US" w:eastAsia="ja-JP"/>
        </w:rPr>
        <w:t>,</w:t>
      </w:r>
      <w:r w:rsidR="0037012F" w:rsidRPr="00C40A28">
        <w:rPr>
          <w:bCs/>
          <w:sz w:val="22"/>
          <w:szCs w:val="22"/>
          <w:lang w:val="en-US" w:eastAsia="ja-JP"/>
        </w:rPr>
        <w:t xml:space="preserve"> 16:1n7</w:t>
      </w:r>
      <w:r w:rsidR="0042765E" w:rsidRPr="00C40A28">
        <w:rPr>
          <w:bCs/>
          <w:sz w:val="22"/>
          <w:szCs w:val="22"/>
          <w:lang w:val="en-US" w:eastAsia="ja-JP"/>
        </w:rPr>
        <w:t>, and 18:0, but</w:t>
      </w:r>
      <w:r w:rsidR="005441AD" w:rsidRPr="00C40A28">
        <w:rPr>
          <w:bCs/>
          <w:sz w:val="22"/>
          <w:szCs w:val="22"/>
          <w:lang w:val="en-US" w:eastAsia="ja-JP"/>
        </w:rPr>
        <w:t xml:space="preserve"> </w:t>
      </w:r>
      <w:r w:rsidR="00794B97" w:rsidRPr="00C40A28">
        <w:rPr>
          <w:bCs/>
          <w:sz w:val="22"/>
          <w:szCs w:val="22"/>
          <w:lang w:val="en-US" w:eastAsia="ja-JP"/>
        </w:rPr>
        <w:t xml:space="preserve">were </w:t>
      </w:r>
      <w:r w:rsidR="0042765E" w:rsidRPr="00C40A28">
        <w:rPr>
          <w:bCs/>
          <w:sz w:val="22"/>
          <w:szCs w:val="22"/>
          <w:lang w:val="en-US" w:eastAsia="ja-JP"/>
        </w:rPr>
        <w:t xml:space="preserve">attenuated </w:t>
      </w:r>
      <w:r w:rsidR="00B379B6" w:rsidRPr="00C40A28">
        <w:rPr>
          <w:bCs/>
          <w:sz w:val="22"/>
          <w:szCs w:val="22"/>
          <w:lang w:val="en-US" w:eastAsia="ja-JP"/>
        </w:rPr>
        <w:t xml:space="preserve">for </w:t>
      </w:r>
      <w:r w:rsidRPr="00C40A28">
        <w:rPr>
          <w:bCs/>
          <w:sz w:val="22"/>
          <w:szCs w:val="22"/>
          <w:lang w:val="en-US" w:eastAsia="ja-JP"/>
        </w:rPr>
        <w:t xml:space="preserve">18:1n9 </w:t>
      </w:r>
      <w:r w:rsidR="00086AEF" w:rsidRPr="00C40A28">
        <w:rPr>
          <w:bCs/>
          <w:sz w:val="22"/>
          <w:szCs w:val="22"/>
          <w:lang w:val="en-US" w:eastAsia="ja-JP"/>
        </w:rPr>
        <w:t>(</w:t>
      </w:r>
      <w:r w:rsidRPr="00C40A28">
        <w:rPr>
          <w:bCs/>
          <w:sz w:val="22"/>
          <w:szCs w:val="22"/>
          <w:lang w:val="en-US" w:eastAsia="ja-JP"/>
        </w:rPr>
        <w:t>RR</w:t>
      </w:r>
      <w:r w:rsidR="00573A62" w:rsidRPr="00C40A28">
        <w:rPr>
          <w:bCs/>
          <w:sz w:val="22"/>
          <w:szCs w:val="22"/>
          <w:lang w:val="en-US" w:eastAsia="ja-JP"/>
        </w:rPr>
        <w:t>=</w:t>
      </w:r>
      <w:r w:rsidRPr="00C40A28">
        <w:rPr>
          <w:bCs/>
          <w:sz w:val="22"/>
          <w:szCs w:val="22"/>
          <w:lang w:val="en-US" w:eastAsia="ja-JP"/>
        </w:rPr>
        <w:t>1.03</w:t>
      </w:r>
      <w:r w:rsidR="00573A62" w:rsidRPr="00C40A28">
        <w:rPr>
          <w:bCs/>
          <w:sz w:val="22"/>
          <w:szCs w:val="22"/>
          <w:lang w:val="en-US" w:eastAsia="ja-JP"/>
        </w:rPr>
        <w:t>, 95% CI=</w:t>
      </w:r>
      <w:r w:rsidRPr="00C40A28">
        <w:rPr>
          <w:bCs/>
          <w:sz w:val="22"/>
          <w:szCs w:val="22"/>
          <w:lang w:val="en-US" w:eastAsia="ja-JP"/>
        </w:rPr>
        <w:t xml:space="preserve">0.94-1.13). </w:t>
      </w:r>
      <w:r w:rsidR="0032568B">
        <w:rPr>
          <w:bCs/>
          <w:sz w:val="22"/>
          <w:szCs w:val="22"/>
          <w:lang w:val="en-US" w:eastAsia="ja-JP"/>
        </w:rPr>
        <w:t xml:space="preserve">These findings had limitations in potential </w:t>
      </w:r>
      <w:r w:rsidR="0028163A">
        <w:rPr>
          <w:bCs/>
          <w:sz w:val="22"/>
          <w:szCs w:val="22"/>
          <w:lang w:val="en-US" w:eastAsia="ja-JP"/>
        </w:rPr>
        <w:t xml:space="preserve">reverse causation and </w:t>
      </w:r>
      <w:r w:rsidR="0017143B" w:rsidRPr="00C40A28">
        <w:rPr>
          <w:bCs/>
          <w:sz w:val="22"/>
          <w:szCs w:val="22"/>
          <w:lang w:val="en-US" w:eastAsia="ja-JP"/>
        </w:rPr>
        <w:t xml:space="preserve">residual confounding by imprecisely measured </w:t>
      </w:r>
      <w:r w:rsidR="0032568B">
        <w:rPr>
          <w:bCs/>
          <w:sz w:val="22"/>
          <w:szCs w:val="22"/>
          <w:lang w:val="en-US" w:eastAsia="ja-JP"/>
        </w:rPr>
        <w:t>or unmeasured factors</w:t>
      </w:r>
      <w:r w:rsidR="0017143B" w:rsidRPr="00C40A28">
        <w:rPr>
          <w:bCs/>
          <w:sz w:val="22"/>
          <w:szCs w:val="22"/>
          <w:lang w:val="en-US" w:eastAsia="ja-JP"/>
        </w:rPr>
        <w:t>.</w:t>
      </w:r>
    </w:p>
    <w:p w14:paraId="2A224E04" w14:textId="532FFC2D" w:rsidR="0028163A" w:rsidRDefault="00DE575D" w:rsidP="0028163A">
      <w:pPr>
        <w:spacing w:line="480" w:lineRule="auto"/>
        <w:rPr>
          <w:bCs/>
          <w:sz w:val="22"/>
          <w:szCs w:val="22"/>
          <w:lang w:val="en-US"/>
        </w:rPr>
      </w:pPr>
      <w:r w:rsidRPr="00C40A28">
        <w:rPr>
          <w:b/>
          <w:bCs/>
          <w:sz w:val="22"/>
          <w:szCs w:val="22"/>
          <w:lang w:val="en-US"/>
        </w:rPr>
        <w:t>Conclusions</w:t>
      </w:r>
      <w:r w:rsidR="00686F4F" w:rsidRPr="00C40A28">
        <w:rPr>
          <w:bCs/>
          <w:sz w:val="22"/>
          <w:szCs w:val="22"/>
          <w:lang w:val="en-US"/>
        </w:rPr>
        <w:t xml:space="preserve">: </w:t>
      </w:r>
      <w:r w:rsidR="0032568B">
        <w:rPr>
          <w:bCs/>
          <w:sz w:val="22"/>
          <w:szCs w:val="22"/>
          <w:lang w:val="en-US"/>
        </w:rPr>
        <w:t>Concentrations</w:t>
      </w:r>
      <w:r w:rsidR="0032568B" w:rsidRPr="00C40A28">
        <w:rPr>
          <w:bCs/>
          <w:sz w:val="22"/>
          <w:szCs w:val="22"/>
          <w:lang w:val="en-US"/>
        </w:rPr>
        <w:t xml:space="preserve"> </w:t>
      </w:r>
      <w:r w:rsidR="000D74FE" w:rsidRPr="00C40A28">
        <w:rPr>
          <w:bCs/>
          <w:sz w:val="22"/>
          <w:szCs w:val="22"/>
          <w:lang w:val="en-US"/>
        </w:rPr>
        <w:t>of fatty acids in the</w:t>
      </w:r>
      <w:r w:rsidR="00686F4F" w:rsidRPr="00C40A28">
        <w:rPr>
          <w:bCs/>
          <w:sz w:val="22"/>
          <w:szCs w:val="22"/>
          <w:lang w:val="en-US"/>
        </w:rPr>
        <w:t xml:space="preserve"> DNL </w:t>
      </w:r>
      <w:r w:rsidR="00111045" w:rsidRPr="00C40A28">
        <w:rPr>
          <w:bCs/>
          <w:sz w:val="22"/>
          <w:szCs w:val="22"/>
          <w:lang w:val="en-US"/>
        </w:rPr>
        <w:t>were</w:t>
      </w:r>
      <w:r w:rsidR="00086AEF" w:rsidRPr="00C40A28">
        <w:rPr>
          <w:bCs/>
          <w:sz w:val="22"/>
          <w:szCs w:val="22"/>
          <w:lang w:val="en-US"/>
        </w:rPr>
        <w:t xml:space="preserve"> </w:t>
      </w:r>
      <w:r w:rsidR="0032568B">
        <w:rPr>
          <w:bCs/>
          <w:sz w:val="22"/>
          <w:szCs w:val="22"/>
          <w:lang w:val="en-US"/>
        </w:rPr>
        <w:t xml:space="preserve">positively </w:t>
      </w:r>
      <w:r w:rsidR="00086AEF" w:rsidRPr="00C40A28">
        <w:rPr>
          <w:bCs/>
          <w:sz w:val="22"/>
          <w:szCs w:val="22"/>
          <w:lang w:val="en-US"/>
        </w:rPr>
        <w:t xml:space="preserve">associated with </w:t>
      </w:r>
      <w:r w:rsidR="0032568B">
        <w:rPr>
          <w:bCs/>
          <w:sz w:val="22"/>
          <w:szCs w:val="22"/>
          <w:lang w:val="en-US"/>
        </w:rPr>
        <w:t>T2D incidence</w:t>
      </w:r>
      <w:r w:rsidR="00111045" w:rsidRPr="00C40A28">
        <w:rPr>
          <w:bCs/>
          <w:sz w:val="22"/>
          <w:szCs w:val="22"/>
          <w:lang w:val="en-US"/>
        </w:rPr>
        <w:t>.</w:t>
      </w:r>
      <w:r w:rsidR="008438FD" w:rsidRPr="00C40A28">
        <w:rPr>
          <w:bCs/>
          <w:sz w:val="22"/>
          <w:szCs w:val="22"/>
          <w:lang w:val="en-US"/>
        </w:rPr>
        <w:t xml:space="preserve"> </w:t>
      </w:r>
      <w:r w:rsidR="00111045" w:rsidRPr="00C40A28">
        <w:rPr>
          <w:bCs/>
          <w:sz w:val="22"/>
          <w:szCs w:val="22"/>
          <w:lang w:val="en-US"/>
        </w:rPr>
        <w:t xml:space="preserve">Our findings </w:t>
      </w:r>
      <w:r w:rsidR="004840D3" w:rsidRPr="00C40A28">
        <w:rPr>
          <w:bCs/>
          <w:sz w:val="22"/>
          <w:szCs w:val="22"/>
          <w:lang w:val="en-US"/>
        </w:rPr>
        <w:t xml:space="preserve">support </w:t>
      </w:r>
      <w:r w:rsidR="00A63BB6">
        <w:rPr>
          <w:bCs/>
          <w:sz w:val="22"/>
          <w:szCs w:val="22"/>
          <w:lang w:val="en-US"/>
        </w:rPr>
        <w:t xml:space="preserve">further work to investigate a possible role of DNL and individual fatty acids in </w:t>
      </w:r>
      <w:r w:rsidR="008438FD" w:rsidRPr="00C40A28">
        <w:rPr>
          <w:bCs/>
          <w:sz w:val="22"/>
          <w:szCs w:val="22"/>
          <w:lang w:val="en-US"/>
        </w:rPr>
        <w:t>the development of T2D.</w:t>
      </w:r>
      <w:r w:rsidR="0028163A">
        <w:rPr>
          <w:bCs/>
          <w:sz w:val="22"/>
          <w:szCs w:val="22"/>
          <w:lang w:val="en-US"/>
        </w:rPr>
        <w:br w:type="page"/>
      </w:r>
    </w:p>
    <w:p w14:paraId="4DE6F637" w14:textId="5BA027C3" w:rsidR="00C30728" w:rsidRPr="00C40A28" w:rsidRDefault="00C30728" w:rsidP="00686F4F">
      <w:pPr>
        <w:spacing w:line="480" w:lineRule="auto"/>
        <w:rPr>
          <w:b/>
          <w:bCs/>
          <w:sz w:val="22"/>
          <w:szCs w:val="22"/>
          <w:lang w:val="en-US" w:eastAsia="ja-JP"/>
        </w:rPr>
      </w:pPr>
      <w:r w:rsidRPr="00C40A28">
        <w:rPr>
          <w:b/>
          <w:bCs/>
          <w:sz w:val="22"/>
          <w:szCs w:val="22"/>
          <w:lang w:val="en-US" w:eastAsia="ja-JP"/>
        </w:rPr>
        <w:lastRenderedPageBreak/>
        <w:t>AUTHOR SUMMARY</w:t>
      </w:r>
    </w:p>
    <w:p w14:paraId="0898A560" w14:textId="77777777" w:rsidR="00C30728" w:rsidRPr="00C40A28" w:rsidRDefault="00C30728" w:rsidP="00C30728">
      <w:pPr>
        <w:spacing w:line="480" w:lineRule="auto"/>
        <w:rPr>
          <w:b/>
          <w:sz w:val="22"/>
          <w:szCs w:val="22"/>
          <w:lang w:val="en-US"/>
        </w:rPr>
      </w:pPr>
      <w:r w:rsidRPr="00C40A28">
        <w:rPr>
          <w:b/>
          <w:sz w:val="22"/>
          <w:szCs w:val="22"/>
          <w:lang w:val="en-US"/>
        </w:rPr>
        <w:t>Why was this study done?</w:t>
      </w:r>
    </w:p>
    <w:p w14:paraId="630D0181" w14:textId="72EA33B2" w:rsidR="00C30728" w:rsidRPr="00C40A28" w:rsidRDefault="00C30728" w:rsidP="00C30728">
      <w:pPr>
        <w:tabs>
          <w:tab w:val="left" w:pos="284"/>
        </w:tabs>
        <w:spacing w:line="480" w:lineRule="auto"/>
        <w:rPr>
          <w:sz w:val="22"/>
          <w:szCs w:val="22"/>
          <w:lang w:val="en-US"/>
        </w:rPr>
      </w:pPr>
      <w:r w:rsidRPr="00C40A28">
        <w:rPr>
          <w:sz w:val="22"/>
          <w:szCs w:val="22"/>
          <w:lang w:val="en-US"/>
        </w:rPr>
        <w:t>•</w:t>
      </w:r>
      <w:r w:rsidRPr="00C40A28">
        <w:rPr>
          <w:sz w:val="22"/>
          <w:szCs w:val="22"/>
          <w:lang w:val="en-US"/>
        </w:rPr>
        <w:tab/>
        <w:t xml:space="preserve">De novo lipogenesis (DNL) is a metabolic pathway involved in the endogenous synthesis of specific fatty acids, such as 16:0, 16:1n7, 18:0, and 18:1n9, and it is linked to the </w:t>
      </w:r>
      <w:r w:rsidR="0032568B">
        <w:rPr>
          <w:sz w:val="22"/>
          <w:szCs w:val="22"/>
          <w:lang w:val="en-US"/>
        </w:rPr>
        <w:t>pathophysiology</w:t>
      </w:r>
      <w:r w:rsidR="0032568B" w:rsidRPr="00C40A28">
        <w:rPr>
          <w:sz w:val="22"/>
          <w:szCs w:val="22"/>
          <w:lang w:val="en-US"/>
        </w:rPr>
        <w:t xml:space="preserve"> </w:t>
      </w:r>
      <w:r w:rsidRPr="00C40A28">
        <w:rPr>
          <w:sz w:val="22"/>
          <w:szCs w:val="22"/>
          <w:lang w:val="en-US"/>
        </w:rPr>
        <w:t xml:space="preserve">of cardiometabolic diseases, including type 2 diabetes (T2D). </w:t>
      </w:r>
    </w:p>
    <w:p w14:paraId="04FFA375" w14:textId="72B90A74" w:rsidR="00C30728" w:rsidRPr="00C40A28" w:rsidRDefault="00C30728" w:rsidP="00C30728">
      <w:pPr>
        <w:tabs>
          <w:tab w:val="left" w:pos="284"/>
        </w:tabs>
        <w:spacing w:line="480" w:lineRule="auto"/>
        <w:rPr>
          <w:sz w:val="22"/>
          <w:szCs w:val="22"/>
          <w:lang w:val="en-US"/>
        </w:rPr>
      </w:pPr>
      <w:r w:rsidRPr="00C40A28">
        <w:rPr>
          <w:sz w:val="22"/>
          <w:szCs w:val="22"/>
          <w:lang w:val="en-US"/>
        </w:rPr>
        <w:t>•</w:t>
      </w:r>
      <w:r w:rsidRPr="00C40A28">
        <w:rPr>
          <w:sz w:val="22"/>
          <w:szCs w:val="22"/>
          <w:lang w:val="en-US"/>
        </w:rPr>
        <w:tab/>
        <w:t xml:space="preserve">Circulating or tissue concentrations of these fatty acids have been investigated for the associations with T2D incidence in epidemiological research. However, published studies reported </w:t>
      </w:r>
      <w:r w:rsidR="00087BD3" w:rsidRPr="00C40A28">
        <w:rPr>
          <w:sz w:val="22"/>
          <w:szCs w:val="22"/>
          <w:lang w:val="en-US" w:eastAsia="ja-JP"/>
        </w:rPr>
        <w:t xml:space="preserve">inconsistent </w:t>
      </w:r>
      <w:r w:rsidRPr="00C40A28">
        <w:rPr>
          <w:sz w:val="22"/>
          <w:szCs w:val="22"/>
          <w:lang w:val="en-US"/>
        </w:rPr>
        <w:t xml:space="preserve">associations inconsistently and were subject to publication bias. </w:t>
      </w:r>
    </w:p>
    <w:p w14:paraId="5E2E8111" w14:textId="30BCC383" w:rsidR="00C30728" w:rsidRPr="00C40A28" w:rsidRDefault="00C30728" w:rsidP="00C30728">
      <w:pPr>
        <w:tabs>
          <w:tab w:val="left" w:pos="284"/>
        </w:tabs>
        <w:spacing w:line="480" w:lineRule="auto"/>
        <w:rPr>
          <w:sz w:val="22"/>
          <w:szCs w:val="22"/>
          <w:lang w:val="en-US"/>
        </w:rPr>
      </w:pPr>
      <w:r w:rsidRPr="00C40A28">
        <w:rPr>
          <w:sz w:val="22"/>
          <w:szCs w:val="22"/>
          <w:lang w:val="en-US"/>
        </w:rPr>
        <w:t>•</w:t>
      </w:r>
      <w:r w:rsidRPr="00C40A28">
        <w:rPr>
          <w:sz w:val="22"/>
          <w:szCs w:val="22"/>
          <w:lang w:val="en-US"/>
        </w:rPr>
        <w:tab/>
        <w:t xml:space="preserve">Summary evidence is not available to date for the associations </w:t>
      </w:r>
      <w:r w:rsidR="0032568B">
        <w:rPr>
          <w:sz w:val="22"/>
          <w:szCs w:val="22"/>
          <w:lang w:val="en-US"/>
        </w:rPr>
        <w:t xml:space="preserve">between </w:t>
      </w:r>
      <w:r w:rsidRPr="00C40A28">
        <w:rPr>
          <w:sz w:val="22"/>
          <w:szCs w:val="22"/>
          <w:lang w:val="en-US"/>
        </w:rPr>
        <w:t xml:space="preserve">these fatty acids </w:t>
      </w:r>
      <w:r w:rsidR="0032568B">
        <w:rPr>
          <w:sz w:val="22"/>
          <w:szCs w:val="22"/>
          <w:lang w:val="en-US"/>
        </w:rPr>
        <w:t xml:space="preserve">and </w:t>
      </w:r>
      <w:r w:rsidRPr="00C40A28">
        <w:rPr>
          <w:sz w:val="22"/>
          <w:szCs w:val="22"/>
          <w:lang w:val="en-US"/>
        </w:rPr>
        <w:t xml:space="preserve">T2D incidence. </w:t>
      </w:r>
      <w:r w:rsidR="0032568B">
        <w:rPr>
          <w:sz w:val="22"/>
          <w:szCs w:val="22"/>
          <w:lang w:val="en-US"/>
        </w:rPr>
        <w:t xml:space="preserve">An integration of </w:t>
      </w:r>
      <w:r w:rsidRPr="00C40A28">
        <w:rPr>
          <w:sz w:val="22"/>
          <w:szCs w:val="22"/>
          <w:lang w:val="en-US"/>
        </w:rPr>
        <w:t xml:space="preserve">available </w:t>
      </w:r>
      <w:r w:rsidR="0032568B">
        <w:rPr>
          <w:sz w:val="22"/>
          <w:szCs w:val="22"/>
          <w:lang w:val="en-US"/>
        </w:rPr>
        <w:t xml:space="preserve">cohort </w:t>
      </w:r>
      <w:r w:rsidRPr="00C40A28">
        <w:rPr>
          <w:sz w:val="22"/>
          <w:szCs w:val="22"/>
          <w:lang w:val="en-US"/>
        </w:rPr>
        <w:t xml:space="preserve">studies would </w:t>
      </w:r>
      <w:r w:rsidR="0032568B">
        <w:rPr>
          <w:sz w:val="22"/>
          <w:szCs w:val="22"/>
          <w:lang w:val="en-US"/>
        </w:rPr>
        <w:t>increase</w:t>
      </w:r>
      <w:r w:rsidR="0032568B" w:rsidRPr="00C40A28">
        <w:rPr>
          <w:sz w:val="22"/>
          <w:szCs w:val="22"/>
          <w:lang w:val="en-US"/>
        </w:rPr>
        <w:t xml:space="preserve"> </w:t>
      </w:r>
      <w:r w:rsidRPr="00C40A28">
        <w:rPr>
          <w:sz w:val="22"/>
          <w:szCs w:val="22"/>
          <w:lang w:val="en-US"/>
        </w:rPr>
        <w:t xml:space="preserve">statistical power and </w:t>
      </w:r>
      <w:r w:rsidR="0032568B">
        <w:rPr>
          <w:sz w:val="22"/>
          <w:szCs w:val="22"/>
          <w:lang w:val="en-US"/>
        </w:rPr>
        <w:t xml:space="preserve">allow assessment of </w:t>
      </w:r>
      <w:r w:rsidRPr="00C40A28">
        <w:rPr>
          <w:sz w:val="22"/>
          <w:szCs w:val="22"/>
          <w:lang w:val="en-US"/>
        </w:rPr>
        <w:t xml:space="preserve">generalizability, </w:t>
      </w:r>
      <w:r w:rsidR="00D36A91">
        <w:rPr>
          <w:sz w:val="22"/>
          <w:szCs w:val="22"/>
          <w:lang w:val="en-US"/>
        </w:rPr>
        <w:t>adopting</w:t>
      </w:r>
      <w:r w:rsidR="00D36A91" w:rsidRPr="00C40A28">
        <w:rPr>
          <w:sz w:val="22"/>
          <w:szCs w:val="22"/>
          <w:lang w:val="en-US"/>
        </w:rPr>
        <w:t xml:space="preserve"> </w:t>
      </w:r>
      <w:r w:rsidRPr="00C40A28">
        <w:rPr>
          <w:sz w:val="22"/>
          <w:szCs w:val="22"/>
          <w:lang w:val="en-US"/>
        </w:rPr>
        <w:t>standardi</w:t>
      </w:r>
      <w:r w:rsidR="00C45631" w:rsidRPr="00C40A28">
        <w:rPr>
          <w:sz w:val="22"/>
          <w:szCs w:val="22"/>
          <w:lang w:val="en-US"/>
        </w:rPr>
        <w:t>z</w:t>
      </w:r>
      <w:r w:rsidRPr="00C40A28">
        <w:rPr>
          <w:sz w:val="22"/>
          <w:szCs w:val="22"/>
          <w:lang w:val="en-US"/>
        </w:rPr>
        <w:t xml:space="preserve">ed analytical </w:t>
      </w:r>
      <w:r w:rsidR="00D36A91">
        <w:rPr>
          <w:sz w:val="22"/>
          <w:szCs w:val="22"/>
          <w:lang w:val="en-US"/>
        </w:rPr>
        <w:t>strategies</w:t>
      </w:r>
      <w:r w:rsidRPr="00C40A28">
        <w:rPr>
          <w:sz w:val="22"/>
          <w:szCs w:val="22"/>
          <w:lang w:val="en-US"/>
        </w:rPr>
        <w:t xml:space="preserve"> and minimi</w:t>
      </w:r>
      <w:r w:rsidRPr="00C40A28">
        <w:rPr>
          <w:sz w:val="22"/>
          <w:szCs w:val="22"/>
          <w:lang w:val="en-US" w:eastAsia="ja-JP"/>
        </w:rPr>
        <w:t>z</w:t>
      </w:r>
      <w:r w:rsidRPr="00C40A28">
        <w:rPr>
          <w:sz w:val="22"/>
          <w:szCs w:val="22"/>
          <w:lang w:val="en-US"/>
        </w:rPr>
        <w:t xml:space="preserve">ing </w:t>
      </w:r>
      <w:r w:rsidR="00D36A91">
        <w:rPr>
          <w:sz w:val="22"/>
          <w:szCs w:val="22"/>
          <w:lang w:val="en-US"/>
        </w:rPr>
        <w:t xml:space="preserve">for the potential </w:t>
      </w:r>
      <w:r w:rsidRPr="00C40A28">
        <w:rPr>
          <w:sz w:val="22"/>
          <w:szCs w:val="22"/>
          <w:lang w:val="en-US"/>
        </w:rPr>
        <w:t>publication bias.</w:t>
      </w:r>
    </w:p>
    <w:p w14:paraId="3F2AE665" w14:textId="77777777" w:rsidR="00C30728" w:rsidRPr="00C40A28" w:rsidRDefault="00C30728" w:rsidP="00C30728">
      <w:pPr>
        <w:tabs>
          <w:tab w:val="left" w:pos="284"/>
        </w:tabs>
        <w:spacing w:line="480" w:lineRule="auto"/>
        <w:rPr>
          <w:sz w:val="22"/>
          <w:szCs w:val="22"/>
          <w:lang w:val="en-US"/>
        </w:rPr>
      </w:pPr>
    </w:p>
    <w:p w14:paraId="6340C6E1" w14:textId="77777777" w:rsidR="00087BD3" w:rsidRPr="00C40A28" w:rsidRDefault="00087BD3" w:rsidP="00087BD3">
      <w:pPr>
        <w:tabs>
          <w:tab w:val="left" w:pos="284"/>
        </w:tabs>
        <w:spacing w:line="480" w:lineRule="auto"/>
        <w:rPr>
          <w:b/>
          <w:sz w:val="22"/>
          <w:szCs w:val="22"/>
          <w:lang w:val="en-US"/>
        </w:rPr>
      </w:pPr>
      <w:r w:rsidRPr="00C40A28">
        <w:rPr>
          <w:b/>
          <w:sz w:val="22"/>
          <w:szCs w:val="22"/>
          <w:lang w:val="en-US"/>
        </w:rPr>
        <w:t>What did the researchers do and find?</w:t>
      </w:r>
    </w:p>
    <w:p w14:paraId="471A813A" w14:textId="2B88EDF3" w:rsidR="00087BD3" w:rsidRPr="00C40A28" w:rsidRDefault="00087BD3" w:rsidP="00087BD3">
      <w:pPr>
        <w:tabs>
          <w:tab w:val="left" w:pos="284"/>
        </w:tabs>
        <w:spacing w:line="480" w:lineRule="auto"/>
        <w:rPr>
          <w:sz w:val="22"/>
          <w:szCs w:val="22"/>
          <w:lang w:val="en-US"/>
        </w:rPr>
      </w:pPr>
      <w:r w:rsidRPr="00C40A28">
        <w:rPr>
          <w:sz w:val="22"/>
          <w:szCs w:val="22"/>
          <w:lang w:val="en-US"/>
        </w:rPr>
        <w:t>•</w:t>
      </w:r>
      <w:r w:rsidRPr="00C40A28">
        <w:rPr>
          <w:sz w:val="22"/>
          <w:szCs w:val="22"/>
          <w:lang w:val="en-US"/>
        </w:rPr>
        <w:tab/>
      </w:r>
      <w:r w:rsidR="00D36A91">
        <w:rPr>
          <w:sz w:val="22"/>
          <w:szCs w:val="22"/>
          <w:lang w:val="en-US"/>
        </w:rPr>
        <w:t xml:space="preserve">As a part of </w:t>
      </w:r>
      <w:r w:rsidR="00D36A91" w:rsidRPr="00C40A28">
        <w:rPr>
          <w:sz w:val="22"/>
          <w:szCs w:val="22"/>
          <w:lang w:val="en-US"/>
        </w:rPr>
        <w:t>the Fatty Acids and Outcomes Research Consortium (FORCE)</w:t>
      </w:r>
      <w:r w:rsidR="00D36A91">
        <w:rPr>
          <w:sz w:val="22"/>
          <w:szCs w:val="22"/>
          <w:lang w:val="en-US"/>
        </w:rPr>
        <w:t xml:space="preserve">, we conducted </w:t>
      </w:r>
      <w:r w:rsidRPr="00C40A28">
        <w:rPr>
          <w:sz w:val="22"/>
          <w:szCs w:val="22"/>
          <w:lang w:val="en-US"/>
        </w:rPr>
        <w:t xml:space="preserve">new </w:t>
      </w:r>
      <w:r w:rsidR="00D36A91">
        <w:rPr>
          <w:sz w:val="22"/>
          <w:szCs w:val="22"/>
          <w:lang w:val="en-US"/>
        </w:rPr>
        <w:t xml:space="preserve">individual </w:t>
      </w:r>
      <w:r w:rsidRPr="00C40A28">
        <w:rPr>
          <w:sz w:val="22"/>
          <w:szCs w:val="22"/>
          <w:lang w:val="en-US"/>
        </w:rPr>
        <w:t>participant</w:t>
      </w:r>
      <w:r w:rsidR="00D36A91">
        <w:rPr>
          <w:sz w:val="22"/>
          <w:szCs w:val="22"/>
          <w:lang w:val="en-US"/>
        </w:rPr>
        <w:t xml:space="preserve"> data</w:t>
      </w:r>
      <w:r w:rsidRPr="00C40A28">
        <w:rPr>
          <w:sz w:val="22"/>
          <w:szCs w:val="22"/>
          <w:lang w:val="en-US"/>
        </w:rPr>
        <w:t xml:space="preserve"> analyses of 17 cohort studies</w:t>
      </w:r>
      <w:r w:rsidR="00D36A91">
        <w:rPr>
          <w:sz w:val="22"/>
          <w:szCs w:val="22"/>
          <w:lang w:val="en-US"/>
        </w:rPr>
        <w:t xml:space="preserve"> of</w:t>
      </w:r>
      <w:r w:rsidRPr="00C40A28">
        <w:rPr>
          <w:sz w:val="22"/>
          <w:szCs w:val="22"/>
          <w:lang w:val="en-US"/>
        </w:rPr>
        <w:t>a total of 65,225 adults free of T2D at baseline, among whom 15,383 developed incident T2D over up to 20 years of follow-up.</w:t>
      </w:r>
    </w:p>
    <w:p w14:paraId="5EDC5F97" w14:textId="256D2918" w:rsidR="00087BD3" w:rsidRPr="00C40A28" w:rsidRDefault="00087BD3" w:rsidP="00087BD3">
      <w:pPr>
        <w:tabs>
          <w:tab w:val="left" w:pos="284"/>
        </w:tabs>
        <w:spacing w:line="480" w:lineRule="auto"/>
        <w:rPr>
          <w:sz w:val="22"/>
          <w:szCs w:val="22"/>
          <w:lang w:val="en-US"/>
        </w:rPr>
      </w:pPr>
      <w:r w:rsidRPr="00C40A28">
        <w:rPr>
          <w:sz w:val="22"/>
          <w:szCs w:val="22"/>
          <w:lang w:val="en-US"/>
        </w:rPr>
        <w:t>•</w:t>
      </w:r>
      <w:r w:rsidRPr="00C40A28">
        <w:rPr>
          <w:sz w:val="22"/>
          <w:szCs w:val="22"/>
          <w:lang w:val="en-US"/>
        </w:rPr>
        <w:tab/>
      </w:r>
      <w:r w:rsidR="00D36A91">
        <w:rPr>
          <w:sz w:val="22"/>
          <w:szCs w:val="22"/>
          <w:lang w:val="en-US"/>
        </w:rPr>
        <w:t xml:space="preserve">The cohort </w:t>
      </w:r>
      <w:r w:rsidRPr="00C40A28">
        <w:rPr>
          <w:sz w:val="22"/>
          <w:szCs w:val="22"/>
          <w:lang w:val="en-US"/>
        </w:rPr>
        <w:t xml:space="preserve">studies </w:t>
      </w:r>
      <w:r w:rsidR="00D36A91">
        <w:rPr>
          <w:sz w:val="22"/>
          <w:szCs w:val="22"/>
          <w:lang w:val="en-US"/>
        </w:rPr>
        <w:t xml:space="preserve">analysed the </w:t>
      </w:r>
      <w:r w:rsidRPr="00C40A28">
        <w:rPr>
          <w:sz w:val="22"/>
          <w:szCs w:val="22"/>
          <w:lang w:val="en-US"/>
        </w:rPr>
        <w:t>associations between fatty acids (16:0, 16:1n7, 18:0, and 18:1n9) and the risk of developing T2D</w:t>
      </w:r>
      <w:r w:rsidR="00D36A91">
        <w:rPr>
          <w:sz w:val="22"/>
          <w:szCs w:val="22"/>
          <w:lang w:val="en-US"/>
        </w:rPr>
        <w:t xml:space="preserve"> with standardized analytic strategy</w:t>
      </w:r>
      <w:r w:rsidRPr="00C40A28">
        <w:rPr>
          <w:sz w:val="22"/>
          <w:szCs w:val="22"/>
          <w:lang w:val="en-US"/>
        </w:rPr>
        <w:t>.</w:t>
      </w:r>
    </w:p>
    <w:p w14:paraId="474C15AC" w14:textId="6D8F8DD5" w:rsidR="00087BD3" w:rsidRPr="00C40A28" w:rsidRDefault="00087BD3" w:rsidP="00087BD3">
      <w:pPr>
        <w:tabs>
          <w:tab w:val="left" w:pos="284"/>
        </w:tabs>
        <w:spacing w:line="480" w:lineRule="auto"/>
        <w:rPr>
          <w:sz w:val="22"/>
          <w:szCs w:val="22"/>
          <w:lang w:val="en-US"/>
        </w:rPr>
      </w:pPr>
      <w:r w:rsidRPr="00C40A28">
        <w:rPr>
          <w:sz w:val="22"/>
          <w:szCs w:val="22"/>
          <w:lang w:val="en-US"/>
        </w:rPr>
        <w:t>•</w:t>
      </w:r>
      <w:r w:rsidRPr="00C40A28">
        <w:rPr>
          <w:sz w:val="22"/>
          <w:szCs w:val="22"/>
          <w:lang w:val="en-US"/>
        </w:rPr>
        <w:tab/>
        <w:t xml:space="preserve">In pooled analyses each of the fatty acids was positively associated with a higher risk of developing T2D. The associations were independent of major risk factors for T2D, </w:t>
      </w:r>
      <w:r w:rsidR="00D36A91">
        <w:rPr>
          <w:sz w:val="22"/>
          <w:szCs w:val="22"/>
          <w:lang w:val="en-US"/>
        </w:rPr>
        <w:t>such as</w:t>
      </w:r>
      <w:r w:rsidR="00D36A91" w:rsidRPr="00C40A28">
        <w:rPr>
          <w:sz w:val="22"/>
          <w:szCs w:val="22"/>
          <w:lang w:val="en-US"/>
        </w:rPr>
        <w:t xml:space="preserve"> </w:t>
      </w:r>
      <w:r w:rsidRPr="00C40A28">
        <w:rPr>
          <w:sz w:val="22"/>
          <w:szCs w:val="22"/>
          <w:lang w:val="en-US"/>
        </w:rPr>
        <w:t xml:space="preserve">age, sex, race/ethnicity, socioeconomic </w:t>
      </w:r>
      <w:r w:rsidR="00D36A91">
        <w:rPr>
          <w:sz w:val="22"/>
          <w:szCs w:val="22"/>
          <w:lang w:val="en-US"/>
        </w:rPr>
        <w:t>characteristics</w:t>
      </w:r>
      <w:r w:rsidRPr="00C40A28">
        <w:rPr>
          <w:sz w:val="22"/>
          <w:szCs w:val="22"/>
          <w:lang w:val="en-US"/>
        </w:rPr>
        <w:t xml:space="preserve">, </w:t>
      </w:r>
      <w:r w:rsidR="00D36A91">
        <w:rPr>
          <w:sz w:val="22"/>
          <w:szCs w:val="22"/>
          <w:lang w:val="en-US"/>
        </w:rPr>
        <w:t xml:space="preserve">smoking status, </w:t>
      </w:r>
      <w:r w:rsidRPr="00C40A28">
        <w:rPr>
          <w:sz w:val="22"/>
          <w:szCs w:val="22"/>
          <w:lang w:val="en-US"/>
        </w:rPr>
        <w:t xml:space="preserve">physical activity, and obesity. </w:t>
      </w:r>
    </w:p>
    <w:p w14:paraId="4CE83DF3" w14:textId="77777777" w:rsidR="00087BD3" w:rsidRPr="00C40A28" w:rsidRDefault="00087BD3" w:rsidP="00087BD3">
      <w:pPr>
        <w:tabs>
          <w:tab w:val="left" w:pos="284"/>
        </w:tabs>
        <w:spacing w:line="480" w:lineRule="auto"/>
        <w:rPr>
          <w:sz w:val="22"/>
          <w:szCs w:val="22"/>
          <w:lang w:val="en-US"/>
        </w:rPr>
      </w:pPr>
    </w:p>
    <w:p w14:paraId="049D84A6" w14:textId="77777777" w:rsidR="00087BD3" w:rsidRPr="00C40A28" w:rsidRDefault="00087BD3" w:rsidP="00087BD3">
      <w:pPr>
        <w:tabs>
          <w:tab w:val="left" w:pos="284"/>
        </w:tabs>
        <w:spacing w:line="480" w:lineRule="auto"/>
        <w:rPr>
          <w:b/>
          <w:sz w:val="22"/>
          <w:szCs w:val="22"/>
          <w:lang w:val="en-US"/>
        </w:rPr>
      </w:pPr>
      <w:r w:rsidRPr="00C40A28">
        <w:rPr>
          <w:b/>
          <w:sz w:val="22"/>
          <w:szCs w:val="22"/>
          <w:lang w:val="en-US"/>
        </w:rPr>
        <w:t>What do these findings mean?</w:t>
      </w:r>
    </w:p>
    <w:p w14:paraId="29F680F7" w14:textId="19FE484F" w:rsidR="00087BD3" w:rsidRPr="00C40A28" w:rsidRDefault="002C594F" w:rsidP="00087BD3">
      <w:pPr>
        <w:tabs>
          <w:tab w:val="left" w:pos="284"/>
        </w:tabs>
        <w:spacing w:line="480" w:lineRule="auto"/>
        <w:rPr>
          <w:sz w:val="22"/>
          <w:szCs w:val="22"/>
          <w:lang w:val="en-US"/>
        </w:rPr>
      </w:pPr>
      <w:r w:rsidRPr="00C40A28">
        <w:rPr>
          <w:sz w:val="22"/>
          <w:szCs w:val="22"/>
          <w:lang w:val="en-US"/>
        </w:rPr>
        <w:lastRenderedPageBreak/>
        <w:t>•</w:t>
      </w:r>
      <w:r w:rsidRPr="00C40A28">
        <w:rPr>
          <w:sz w:val="22"/>
          <w:szCs w:val="22"/>
          <w:lang w:val="en-US"/>
        </w:rPr>
        <w:tab/>
        <w:t xml:space="preserve">The findings provide the </w:t>
      </w:r>
      <w:r>
        <w:rPr>
          <w:sz w:val="22"/>
          <w:szCs w:val="22"/>
          <w:lang w:val="en-US"/>
        </w:rPr>
        <w:t xml:space="preserve">first summary </w:t>
      </w:r>
      <w:r w:rsidRPr="00C40A28">
        <w:rPr>
          <w:sz w:val="22"/>
          <w:szCs w:val="22"/>
          <w:lang w:val="en-US"/>
        </w:rPr>
        <w:t xml:space="preserve">evidence to date for the </w:t>
      </w:r>
      <w:r>
        <w:rPr>
          <w:sz w:val="22"/>
          <w:szCs w:val="22"/>
          <w:lang w:val="en-US"/>
        </w:rPr>
        <w:t xml:space="preserve">positive </w:t>
      </w:r>
      <w:r w:rsidRPr="00C40A28">
        <w:rPr>
          <w:sz w:val="22"/>
          <w:szCs w:val="22"/>
          <w:lang w:val="en-US"/>
        </w:rPr>
        <w:t xml:space="preserve">relationships of </w:t>
      </w:r>
      <w:r>
        <w:rPr>
          <w:sz w:val="22"/>
          <w:szCs w:val="22"/>
          <w:lang w:val="en-US"/>
        </w:rPr>
        <w:t xml:space="preserve">concentrations of </w:t>
      </w:r>
      <w:r w:rsidRPr="00C40A28">
        <w:rPr>
          <w:sz w:val="22"/>
          <w:szCs w:val="22"/>
          <w:lang w:val="en-US"/>
        </w:rPr>
        <w:t xml:space="preserve">the DNL-related fatty acids with </w:t>
      </w:r>
      <w:r>
        <w:rPr>
          <w:sz w:val="22"/>
          <w:szCs w:val="22"/>
          <w:lang w:val="en-US"/>
        </w:rPr>
        <w:t xml:space="preserve">a risk of </w:t>
      </w:r>
      <w:r w:rsidRPr="00C40A28">
        <w:rPr>
          <w:sz w:val="22"/>
          <w:szCs w:val="22"/>
          <w:lang w:val="en-US"/>
        </w:rPr>
        <w:t xml:space="preserve">T2D, indicating the strong relevance of DNL and its determinants to the development of T2D. </w:t>
      </w:r>
    </w:p>
    <w:p w14:paraId="70BE4118" w14:textId="77777777" w:rsidR="00087BD3" w:rsidRPr="00C40A28" w:rsidRDefault="00087BD3" w:rsidP="00087BD3">
      <w:pPr>
        <w:tabs>
          <w:tab w:val="left" w:pos="284"/>
        </w:tabs>
        <w:spacing w:line="480" w:lineRule="auto"/>
        <w:rPr>
          <w:sz w:val="22"/>
          <w:szCs w:val="22"/>
          <w:lang w:val="en-US"/>
        </w:rPr>
      </w:pPr>
      <w:r w:rsidRPr="00C40A28">
        <w:rPr>
          <w:sz w:val="22"/>
          <w:szCs w:val="22"/>
          <w:lang w:val="en-US"/>
        </w:rPr>
        <w:t>•</w:t>
      </w:r>
      <w:r w:rsidRPr="00C40A28">
        <w:rPr>
          <w:sz w:val="22"/>
          <w:szCs w:val="22"/>
          <w:lang w:val="en-US"/>
        </w:rPr>
        <w:tab/>
        <w:t xml:space="preserve">These fatty acids potentially reflect the status of DNL activity, which may be stimulated or suppressed by a combination of carbohydrate intake, alcohol intake, PUFA intake, and other lifestyle and clinical factors. Therefore, the current findings indicate the need for investigation into determinants and consequences of elevated concentrations of these fatty acids. </w:t>
      </w:r>
    </w:p>
    <w:p w14:paraId="5FC9A00E" w14:textId="77777777" w:rsidR="00087BD3" w:rsidRPr="00C40A28" w:rsidRDefault="00087BD3" w:rsidP="00087BD3">
      <w:pPr>
        <w:tabs>
          <w:tab w:val="left" w:pos="284"/>
        </w:tabs>
        <w:spacing w:line="480" w:lineRule="auto"/>
        <w:rPr>
          <w:sz w:val="22"/>
          <w:szCs w:val="22"/>
          <w:lang w:val="en-US"/>
        </w:rPr>
      </w:pPr>
      <w:r w:rsidRPr="00C40A28">
        <w:rPr>
          <w:sz w:val="22"/>
          <w:szCs w:val="22"/>
          <w:lang w:val="en-US"/>
        </w:rPr>
        <w:t>•</w:t>
      </w:r>
      <w:r w:rsidRPr="00C40A28">
        <w:rPr>
          <w:sz w:val="22"/>
          <w:szCs w:val="22"/>
          <w:lang w:val="en-US"/>
        </w:rPr>
        <w:tab/>
        <w:t xml:space="preserve">Despite several advantages of our individual-level data analysis in this pooling project, the results cannot establish whether elevated concentrations of these fatty acids </w:t>
      </w:r>
      <w:r w:rsidRPr="00C40A28">
        <w:rPr>
          <w:sz w:val="22"/>
          <w:szCs w:val="22"/>
          <w:lang w:val="en-US" w:eastAsia="ja-JP"/>
        </w:rPr>
        <w:t>caused</w:t>
      </w:r>
      <w:r w:rsidRPr="00C40A28">
        <w:rPr>
          <w:sz w:val="22"/>
          <w:szCs w:val="22"/>
          <w:lang w:val="en-US"/>
        </w:rPr>
        <w:t xml:space="preserve"> the development of T2D or whether underlying peripheral or hepatic insulin resistance, for example, may elevate both the fatty acid concentrations and the risk of T2D independently. </w:t>
      </w:r>
      <w:r w:rsidRPr="00C40A28">
        <w:rPr>
          <w:sz w:val="22"/>
          <w:szCs w:val="22"/>
          <w:lang w:val="en-US"/>
        </w:rPr>
        <w:br w:type="page"/>
      </w:r>
    </w:p>
    <w:p w14:paraId="32CE5AD9" w14:textId="77777777" w:rsidR="00686F4F" w:rsidRPr="00C40A28" w:rsidRDefault="00686F4F" w:rsidP="003E5256">
      <w:pPr>
        <w:ind w:right="66"/>
        <w:rPr>
          <w:b/>
          <w:sz w:val="22"/>
          <w:szCs w:val="22"/>
          <w:lang w:val="en-US"/>
        </w:rPr>
        <w:sectPr w:rsidR="00686F4F" w:rsidRPr="00C40A28" w:rsidSect="00686F4F">
          <w:headerReference w:type="default" r:id="rId9"/>
          <w:pgSz w:w="12240" w:h="15840"/>
          <w:pgMar w:top="1440" w:right="1440" w:bottom="1440" w:left="1440" w:header="720" w:footer="272" w:gutter="0"/>
          <w:lnNumType w:countBy="1" w:restart="continuous"/>
          <w:cols w:space="720"/>
          <w:docGrid w:linePitch="360"/>
        </w:sectPr>
      </w:pPr>
    </w:p>
    <w:p w14:paraId="0000739B" w14:textId="0C974425" w:rsidR="005D1454" w:rsidRPr="00C40A28" w:rsidRDefault="005F7401" w:rsidP="004D778D">
      <w:pPr>
        <w:pStyle w:val="BodyTextIndent"/>
        <w:spacing w:line="480" w:lineRule="auto"/>
        <w:ind w:left="0" w:firstLine="0"/>
        <w:rPr>
          <w:rFonts w:ascii="Times New Roman" w:hAnsi="Times New Roman"/>
          <w:b w:val="0"/>
          <w:bCs/>
          <w:sz w:val="22"/>
          <w:szCs w:val="22"/>
          <w:lang w:val="en-US" w:eastAsia="ja-JP"/>
        </w:rPr>
      </w:pPr>
      <w:r>
        <w:rPr>
          <w:rFonts w:ascii="Times New Roman" w:hAnsi="Times New Roman"/>
          <w:bCs/>
          <w:sz w:val="22"/>
          <w:szCs w:val="22"/>
          <w:lang w:val="en-US"/>
        </w:rPr>
        <w:lastRenderedPageBreak/>
        <w:t>Introduction</w:t>
      </w:r>
    </w:p>
    <w:p w14:paraId="45F388BF" w14:textId="05A281DC" w:rsidR="004D778D" w:rsidRPr="00C40A28" w:rsidRDefault="004D778D" w:rsidP="00121801">
      <w:pPr>
        <w:spacing w:line="480" w:lineRule="auto"/>
        <w:ind w:firstLine="720"/>
        <w:rPr>
          <w:sz w:val="22"/>
          <w:szCs w:val="22"/>
          <w:lang w:val="en-US" w:eastAsia="ja-JP"/>
        </w:rPr>
      </w:pPr>
      <w:r w:rsidRPr="00C40A28">
        <w:rPr>
          <w:sz w:val="22"/>
          <w:szCs w:val="22"/>
          <w:lang w:val="en-US" w:eastAsia="ja-JP"/>
        </w:rPr>
        <w:t xml:space="preserve">De novo lipogenesis (DNL) </w:t>
      </w:r>
      <w:r w:rsidRPr="00C40A28">
        <w:rPr>
          <w:sz w:val="22"/>
          <w:szCs w:val="22"/>
          <w:lang w:val="en-US"/>
        </w:rPr>
        <w:t xml:space="preserve">is a </w:t>
      </w:r>
      <w:r w:rsidRPr="00C40A28">
        <w:rPr>
          <w:sz w:val="22"/>
          <w:szCs w:val="22"/>
          <w:lang w:val="en-US" w:eastAsia="ja-JP"/>
        </w:rPr>
        <w:t xml:space="preserve">metabolic pathway </w:t>
      </w:r>
      <w:r w:rsidRPr="00C40A28">
        <w:rPr>
          <w:sz w:val="22"/>
          <w:szCs w:val="22"/>
          <w:lang w:val="en-US"/>
        </w:rPr>
        <w:t xml:space="preserve">for </w:t>
      </w:r>
      <w:r w:rsidR="00BE1DCD" w:rsidRPr="00C40A28">
        <w:rPr>
          <w:sz w:val="22"/>
          <w:szCs w:val="22"/>
          <w:lang w:val="en-US"/>
        </w:rPr>
        <w:t>the</w:t>
      </w:r>
      <w:r w:rsidRPr="00C40A28">
        <w:rPr>
          <w:sz w:val="22"/>
          <w:szCs w:val="22"/>
          <w:lang w:val="en-US"/>
        </w:rPr>
        <w:t xml:space="preserve"> </w:t>
      </w:r>
      <w:r w:rsidR="00794B97" w:rsidRPr="00C40A28">
        <w:rPr>
          <w:sz w:val="22"/>
          <w:szCs w:val="22"/>
          <w:lang w:val="en-US"/>
        </w:rPr>
        <w:t>endogenous</w:t>
      </w:r>
      <w:r w:rsidRPr="00C40A28">
        <w:rPr>
          <w:sz w:val="22"/>
          <w:szCs w:val="22"/>
          <w:lang w:val="en-US"/>
        </w:rPr>
        <w:t xml:space="preserve"> synthesis</w:t>
      </w:r>
      <w:r w:rsidRPr="00C40A28">
        <w:rPr>
          <w:sz w:val="22"/>
          <w:szCs w:val="22"/>
          <w:lang w:val="en-US" w:eastAsia="ja-JP"/>
        </w:rPr>
        <w:t xml:space="preserve"> of triglycerides and other lipids</w:t>
      </w:r>
      <w:r w:rsidR="00794B97" w:rsidRPr="00C40A28">
        <w:rPr>
          <w:sz w:val="22"/>
          <w:szCs w:val="22"/>
          <w:lang w:val="en-US" w:eastAsia="ja-JP"/>
        </w:rPr>
        <w:t xml:space="preserve"> from dietary starch, sugar, and protein</w:t>
      </w:r>
      <w:r w:rsidR="002C594F">
        <w:rPr>
          <w:sz w:val="22"/>
          <w:szCs w:val="22"/>
          <w:lang w:val="en-US" w:eastAsia="ja-JP"/>
        </w:rPr>
        <w:t xml:space="preserve"> </w:t>
      </w:r>
      <w:r w:rsidRPr="00C40A28">
        <w:rPr>
          <w:sz w:val="22"/>
          <w:szCs w:val="22"/>
          <w:lang w:val="en-US" w:eastAsia="ja-JP"/>
        </w:rPr>
        <w:fldChar w:fldCharType="begin" w:fldLock="1"/>
      </w:r>
      <w:r w:rsidR="00FF480D" w:rsidRPr="00C40A28">
        <w:rPr>
          <w:sz w:val="22"/>
          <w:szCs w:val="22"/>
          <w:lang w:val="en-US" w:eastAsia="ja-JP"/>
        </w:rPr>
        <w:instrText>ADDIN CSL_CITATION {"citationItems":[{"id":"ITEM-1","itemData":{"DOI":"10.1016/j.metabol.2014.04.003","ISSN":"00260495","PMID":"24814684","abstract":"BACKGROUND: De novo lipogenesis (DNL) is a complex and highly regulated metabolic pathway. In normal conditions DNL converts excess carbohydrate into fatty acids that are then esterified to storage triacylglycerols (TGs). These TGs could later provide energy via β-oxidation. In human body this pathway is primarily active in liver and adipose tissue. However, it is considered to be a minor contributor to the serum lipid homeostasis. Deregulations in the lipogenic pathway are associated with diverse pathological conditions. SCOPE OF REVIEW: The present review focuses on our current understanding of the lipogenic pathway with special reference to the causes and consequences of aberrant DNL. MAJOR CONCLUSIONS: The deregulation of DNL in the major lipogenic tissues of the human body is often observed in various metabolic anomalies - including obesity, non-alcoholic fatty liver disease and metabolic syndrome. In addition to that de novo lipogenesis is reported to be exacerbated in cancer tissues, virus infected cells etc. These observations suggest that inhibitors of the DNL pathway might serve as therapeutically significant compounds. The effectiveness of these inhibitors in treatment of cancer and obesity has been suggested by previous works. GENERAL SIGNIFICANCE: De novo lipogenesis - which is an intricate and highly regulated pathway - can lead to adverse metabolic consequences when deregulated. Therapeutic targeting of this pathway may open a new window of opportunity for combating various lipogenesis-driven pathological conditions - including obesity, cancer and certain viral infections.","author":[{"dropping-particle":"","family":"Ameer","given":"Fatima","non-dropping-particle":"","parse-names":false,"suffix":""},{"dropping-particle":"","family":"Scandiuzzi","given":"Lisa","non-dropping-particle":"","parse-names":false,"suffix":""},{"dropping-particle":"","family":"Hasnain","given":"Shahida","non-dropping-particle":"","parse-names":false,"suffix":""},{"dropping-particle":"","family":"Kalbacher","given":"Hubert","non-dropping-particle":"","parse-names":false,"suffix":""},{"dropping-particle":"","family":"Zaidi","given":"Nousheen","non-dropping-particle":"","parse-names":false,"suffix":""}],"container-title":"Metabolism","id":"ITEM-1","issue":"7","issued":{"date-parts":[["2014","7","12"]]},"page":"895-902","title":"De novo lipogenesis in health and disease","type":"article-journal","volume":"63"},"uris":["http://www.mendeley.com/documents/?uuid=f6e3a5b1-ee63-49e2-9ded-9f185804b433"]},{"id":"ITEM-2","itemData":{"DOI":"10.1016/j.tem.2010.09.002","ISSN":"1879-3061","PMID":"20889351","abstract":"De novo lipogenesis, the production of fats from simple precursors, is often dismissed as irrelevant to the pathobiology of obesity caused by positive energy balance due to typical high fat diets. However, emerging data implicate de novo lipogenesis in the generation of metabolic signals that alter disease risk. Exploiting this signaling pathway represents lipoexpediency. Lipoexpediency is the concept of directing fats toward benefit even in the setting of lipid overload, and represents a strategy to complement efforts aimed at improving energy balance. Optimizing lipid signals initiated by key lipogenic enzymes such as fatty acid synthase might limit morbidity in people who are unlikely to abandon the lifestyle of the sedentary gourmand.","author":[{"dropping-particle":"","family":"Lodhi","given":"Irfan J","non-dropping-particle":"","parse-names":false,"suffix":""},{"dropping-particle":"","family":"Wei","given":"Xiaochao","non-dropping-particle":"","parse-names":false,"suffix":""},{"dropping-particle":"","family":"Semenkovich","given":"Clay F","non-dropping-particle":"","parse-names":false,"suffix":""}],"container-title":"Trends Endocrinol Metab","id":"ITEM-2","issue":"1","issued":{"date-parts":[["2011","1"]]},"page":"1-8","title":"Lipoexpediency: de novo lipogenesis as a metabolic signal transmitter.","type":"article-journal","volume":"22"},"uris":["http://www.mendeley.com/documents/?uuid=8745cfe0-c29c-4f90-b89b-632124954e93"]}],"mendeley":{"formattedCitation":"[1,2]","plainTextFormattedCitation":"[1,2]","previouslyFormattedCitation":"[1,2]"},"properties":{"noteIndex":0},"schema":"https://github.com/citation-style-language/schema/raw/master/csl-citation.json"}</w:instrText>
      </w:r>
      <w:r w:rsidRPr="00C40A28">
        <w:rPr>
          <w:sz w:val="22"/>
          <w:szCs w:val="22"/>
          <w:lang w:val="en-US" w:eastAsia="ja-JP"/>
        </w:rPr>
        <w:fldChar w:fldCharType="separate"/>
      </w:r>
      <w:r w:rsidR="002C7635" w:rsidRPr="00C40A28">
        <w:rPr>
          <w:noProof/>
          <w:sz w:val="22"/>
          <w:szCs w:val="22"/>
          <w:lang w:val="en-US" w:eastAsia="ja-JP"/>
        </w:rPr>
        <w:t>[1,2]</w:t>
      </w:r>
      <w:r w:rsidRPr="00C40A28">
        <w:rPr>
          <w:sz w:val="22"/>
          <w:szCs w:val="22"/>
          <w:lang w:val="en-US" w:eastAsia="ja-JP"/>
        </w:rPr>
        <w:fldChar w:fldCharType="end"/>
      </w:r>
      <w:r w:rsidR="002C594F">
        <w:rPr>
          <w:sz w:val="22"/>
          <w:szCs w:val="22"/>
          <w:lang w:val="en-US" w:eastAsia="ja-JP"/>
        </w:rPr>
        <w:t>.</w:t>
      </w:r>
      <w:r w:rsidRPr="00C40A28">
        <w:rPr>
          <w:sz w:val="22"/>
          <w:szCs w:val="22"/>
          <w:lang w:val="en-US" w:eastAsia="ja-JP"/>
        </w:rPr>
        <w:t xml:space="preserve"> </w:t>
      </w:r>
      <w:r w:rsidR="00515316" w:rsidRPr="00C40A28">
        <w:rPr>
          <w:sz w:val="22"/>
          <w:szCs w:val="22"/>
          <w:lang w:val="en-US"/>
        </w:rPr>
        <w:t>P</w:t>
      </w:r>
      <w:r w:rsidRPr="00C40A28">
        <w:rPr>
          <w:sz w:val="22"/>
          <w:szCs w:val="22"/>
          <w:lang w:val="en-US"/>
        </w:rPr>
        <w:t>almitic acid (16:0)</w:t>
      </w:r>
      <w:r w:rsidR="009D4D58" w:rsidRPr="00C40A28">
        <w:rPr>
          <w:sz w:val="22"/>
          <w:szCs w:val="22"/>
          <w:lang w:val="en-US" w:eastAsia="ja-JP"/>
        </w:rPr>
        <w:t xml:space="preserve"> is</w:t>
      </w:r>
      <w:r w:rsidR="00515316" w:rsidRPr="00C40A28">
        <w:rPr>
          <w:sz w:val="22"/>
          <w:szCs w:val="22"/>
          <w:lang w:val="en-US"/>
        </w:rPr>
        <w:t xml:space="preserve"> the major fatty acid product of DNL and can be </w:t>
      </w:r>
      <w:r w:rsidR="009D4D58" w:rsidRPr="00C40A28">
        <w:rPr>
          <w:sz w:val="22"/>
          <w:szCs w:val="22"/>
          <w:lang w:val="en-US"/>
        </w:rPr>
        <w:t xml:space="preserve">elongated to stearic acid (18:0) </w:t>
      </w:r>
      <w:r w:rsidR="006B328E" w:rsidRPr="00C40A28">
        <w:rPr>
          <w:sz w:val="22"/>
          <w:szCs w:val="22"/>
          <w:lang w:val="en-US"/>
        </w:rPr>
        <w:t xml:space="preserve">and </w:t>
      </w:r>
      <w:r w:rsidR="00515316" w:rsidRPr="00C40A28">
        <w:rPr>
          <w:sz w:val="22"/>
          <w:szCs w:val="22"/>
          <w:lang w:val="en-US"/>
        </w:rPr>
        <w:t xml:space="preserve">desaturated to form </w:t>
      </w:r>
      <w:r w:rsidRPr="00C40A28">
        <w:rPr>
          <w:sz w:val="22"/>
          <w:szCs w:val="22"/>
          <w:lang w:val="en-US"/>
        </w:rPr>
        <w:t>palmitoleic acid (</w:t>
      </w:r>
      <w:r w:rsidR="005C5753" w:rsidRPr="00C40A28">
        <w:rPr>
          <w:sz w:val="22"/>
          <w:szCs w:val="22"/>
          <w:lang w:val="en-US"/>
        </w:rPr>
        <w:t>16:1n7</w:t>
      </w:r>
      <w:r w:rsidRPr="00C40A28">
        <w:rPr>
          <w:sz w:val="22"/>
          <w:szCs w:val="22"/>
          <w:lang w:val="en-US"/>
        </w:rPr>
        <w:t>) and</w:t>
      </w:r>
      <w:r w:rsidR="006B328E" w:rsidRPr="00C40A28">
        <w:rPr>
          <w:sz w:val="22"/>
          <w:szCs w:val="22"/>
          <w:lang w:val="en-US"/>
        </w:rPr>
        <w:t xml:space="preserve"> from stearic acid</w:t>
      </w:r>
      <w:r w:rsidR="00144214" w:rsidRPr="00C40A28">
        <w:rPr>
          <w:sz w:val="22"/>
          <w:szCs w:val="22"/>
          <w:lang w:val="en-US" w:eastAsia="ja-JP"/>
        </w:rPr>
        <w:t xml:space="preserve"> to</w:t>
      </w:r>
      <w:r w:rsidR="00144214" w:rsidRPr="00C40A28">
        <w:rPr>
          <w:sz w:val="22"/>
          <w:szCs w:val="22"/>
          <w:lang w:val="en-US"/>
        </w:rPr>
        <w:t xml:space="preserve"> </w:t>
      </w:r>
      <w:r w:rsidRPr="00C40A28">
        <w:rPr>
          <w:sz w:val="22"/>
          <w:szCs w:val="22"/>
          <w:lang w:val="en-US"/>
        </w:rPr>
        <w:t>oleic acid (</w:t>
      </w:r>
      <w:r w:rsidR="005C5753" w:rsidRPr="00C40A28">
        <w:rPr>
          <w:sz w:val="22"/>
          <w:szCs w:val="22"/>
          <w:lang w:val="en-US"/>
        </w:rPr>
        <w:t>18:1n9</w:t>
      </w:r>
      <w:r w:rsidRPr="00C40A28">
        <w:rPr>
          <w:sz w:val="22"/>
          <w:szCs w:val="22"/>
          <w:lang w:val="en-US"/>
        </w:rPr>
        <w:t xml:space="preserve">). </w:t>
      </w:r>
      <w:r w:rsidRPr="00C40A28">
        <w:rPr>
          <w:sz w:val="22"/>
          <w:szCs w:val="22"/>
          <w:lang w:val="en-US" w:eastAsia="ja-JP"/>
        </w:rPr>
        <w:t xml:space="preserve">Tissue levels of these fatty acids </w:t>
      </w:r>
      <w:r w:rsidR="00D36A91">
        <w:rPr>
          <w:sz w:val="22"/>
          <w:szCs w:val="22"/>
          <w:lang w:val="en-US" w:eastAsia="ja-JP"/>
        </w:rPr>
        <w:t>have been previously reported to</w:t>
      </w:r>
      <w:r w:rsidRPr="00C40A28">
        <w:rPr>
          <w:sz w:val="22"/>
          <w:szCs w:val="22"/>
          <w:lang w:val="en-US" w:eastAsia="ja-JP"/>
        </w:rPr>
        <w:t xml:space="preserve"> </w:t>
      </w:r>
      <w:r w:rsidR="00D36A91">
        <w:rPr>
          <w:sz w:val="22"/>
          <w:szCs w:val="22"/>
          <w:lang w:val="en-US" w:eastAsia="ja-JP"/>
        </w:rPr>
        <w:t xml:space="preserve">show associations </w:t>
      </w:r>
      <w:r w:rsidR="006C03C1" w:rsidRPr="00C40A28">
        <w:rPr>
          <w:sz w:val="22"/>
          <w:szCs w:val="22"/>
          <w:lang w:val="en-US" w:eastAsia="ja-JP"/>
        </w:rPr>
        <w:t xml:space="preserve">with insulin resistance and </w:t>
      </w:r>
      <w:r w:rsidR="00D36A91">
        <w:rPr>
          <w:sz w:val="22"/>
          <w:szCs w:val="22"/>
          <w:lang w:val="en-US" w:eastAsia="ja-JP"/>
        </w:rPr>
        <w:t>be</w:t>
      </w:r>
      <w:r w:rsidR="00D36A91" w:rsidRPr="00C40A28">
        <w:rPr>
          <w:sz w:val="22"/>
          <w:szCs w:val="22"/>
          <w:lang w:val="en-US" w:eastAsia="ja-JP"/>
        </w:rPr>
        <w:t xml:space="preserve"> </w:t>
      </w:r>
      <w:r w:rsidRPr="00C40A28">
        <w:rPr>
          <w:sz w:val="22"/>
          <w:szCs w:val="22"/>
          <w:lang w:val="en-US" w:eastAsia="ja-JP"/>
        </w:rPr>
        <w:t xml:space="preserve">higher among adults with </w:t>
      </w:r>
      <w:r w:rsidR="00237D66" w:rsidRPr="00C40A28">
        <w:rPr>
          <w:sz w:val="22"/>
          <w:szCs w:val="22"/>
          <w:lang w:val="en-US" w:eastAsia="ja-JP"/>
        </w:rPr>
        <w:t xml:space="preserve">type 2 </w:t>
      </w:r>
      <w:r w:rsidRPr="00C40A28">
        <w:rPr>
          <w:sz w:val="22"/>
          <w:szCs w:val="22"/>
          <w:lang w:val="en-US" w:eastAsia="ja-JP"/>
        </w:rPr>
        <w:t xml:space="preserve">diabetes </w:t>
      </w:r>
      <w:r w:rsidR="00237D66" w:rsidRPr="00C40A28">
        <w:rPr>
          <w:sz w:val="22"/>
          <w:szCs w:val="22"/>
          <w:lang w:val="en-US" w:eastAsia="ja-JP"/>
        </w:rPr>
        <w:t xml:space="preserve">(T2D) </w:t>
      </w:r>
      <w:r w:rsidR="00FF509E" w:rsidRPr="00C40A28">
        <w:rPr>
          <w:sz w:val="22"/>
          <w:szCs w:val="22"/>
          <w:lang w:val="en-US" w:eastAsia="ja-JP"/>
        </w:rPr>
        <w:t>than</w:t>
      </w:r>
      <w:r w:rsidRPr="00C40A28">
        <w:rPr>
          <w:sz w:val="22"/>
          <w:szCs w:val="22"/>
          <w:lang w:val="en-US" w:eastAsia="ja-JP"/>
        </w:rPr>
        <w:t xml:space="preserve"> healthy adults</w:t>
      </w:r>
      <w:r w:rsidR="002C594F">
        <w:rPr>
          <w:sz w:val="22"/>
          <w:szCs w:val="22"/>
          <w:lang w:val="en-US" w:eastAsia="ja-JP"/>
        </w:rPr>
        <w:t xml:space="preserve"> </w:t>
      </w:r>
      <w:r w:rsidRPr="00C40A28">
        <w:rPr>
          <w:sz w:val="22"/>
          <w:szCs w:val="22"/>
          <w:lang w:val="en-US" w:eastAsia="ja-JP"/>
        </w:rPr>
        <w:fldChar w:fldCharType="begin" w:fldLock="1"/>
      </w:r>
      <w:r w:rsidR="00B21F42" w:rsidRPr="00C40A28">
        <w:rPr>
          <w:sz w:val="22"/>
          <w:szCs w:val="22"/>
          <w:lang w:val="en-US" w:eastAsia="ja-JP"/>
        </w:rPr>
        <w:instrText>ADDIN CSL_CITATION {"citationItems":[{"id":"ITEM-1","itemData":{"DOI":"10.1056/NEJM199301283280404","ISSN":"0028-4793","PMID":"8418404","abstract":"BACKGROUND: Insulin resistance and hyperinsulinemia are features of obesity, non-insulin-dependent diabetes mellitus, and other disorders. Skeletal muscle is a major site of insulin action, and insulin sensitivity may be related to the fatty-acid composition of the phospholipids within the muscle membranes involved in the action of insulin. METHODS: We determined the relation between the fatty-acid composition of skeletal-muscle phospholipids and insulin sensitivity in two groups of subjects. In one study, we obtained samples of the rectus abdominis muscle from 27 patients undergoing coronary artery surgery; fasting serum insulin levels provided an index of insulin sensitivity. In the second study, a biopsy of the vastus lateralis muscle was performed in 13 normal men, and insulin sensitivity was assessed by euglycemic-clamp studies. RESULTS: In the patients undergoing surgery, the fasting serum insulin concentration (a measure of insulin resistance) was negatively correlated with the percentage of individual long-chain polyunsaturated fatty acids in the phospholipid fraction of muscle, particularly arachidonic acid (r = -0.63, P &lt; 0.001); the total percentage of C20-22 polyunsaturated fatty acids (r = -0.68, P &lt; 0.001); the average degree of fatty-acid unsaturation (r = -0.61, P &lt; 0.001); and the ratio of the percentage of C20:4 n-6 fatty acids to the percentage of C20:3 n-6 fatty acids (r = -0.55, P &lt; 0.01), an index of fatty-acid desaturase activity. In the normal men, insulin sensitivity was positively correlated with the percentage of arachidonic acid in muscle (r = 0.76, P &lt; 0.01), the total percentage of C20-22 polyunsaturated fatty acids (r = 0.76, P &lt; 0.01), the average degree of fatty-acid unsaturation (r = 0.62, P &lt; 0.05), and the ratio of C20:4 n-6 to C20:3 n-6 (rho = 0.76, P = 0.007). CONCLUSIONS: Decreased insulin sensitivity is associated with decreased concentrations of polyunsaturated fatty acids in skeletal-muscle phospholipids, raising the possibility that changes in the fatty-acid composition of muscles modulate the action of insulin.","author":[{"dropping-particle":"","family":"Borkman","given":"M","non-dropping-particle":"","parse-names":false,"suffix":""},{"dropping-particle":"","family":"Storlien","given":"L H","non-dropping-particle":"","parse-names":false,"suffix":""},{"dropping-particle":"","family":"Pan","given":"D A","non-dropping-particle":"","parse-names":false,"suffix":""},{"dropping-particle":"","family":"Jenkins","given":"A B","non-dropping-particle":"","parse-names":false,"suffix":""},{"dropping-particle":"","family":"Chisholm","given":"D J","non-dropping-particle":"","parse-names":false,"suffix":""},{"dropping-particle":"V","family":"Campbell","given":"L","non-dropping-particle":"","parse-names":false,"suffix":""}],"container-title":"New Engl J Med","id":"ITEM-1","issue":"4","issued":{"date-parts":[["1993","1","28"]]},"page":"238-44","title":"The relation between insulin sensitivity and the fatty-acid composition of skeletal-muscle phospholipids.","type":"article-journal","volume":"328"},"uris":["http://www.mendeley.com/documents/?uuid=b864ade6-a086-4488-bac8-b128ad66b934"]}],"mendeley":{"formattedCitation":"[3]","plainTextFormattedCitation":"[3]","previouslyFormattedCitation":"[3]"},"properties":{"noteIndex":0},"schema":"https://github.com/citation-style-language/schema/raw/master/csl-citation.json"}</w:instrText>
      </w:r>
      <w:r w:rsidRPr="00C40A28">
        <w:rPr>
          <w:sz w:val="22"/>
          <w:szCs w:val="22"/>
          <w:lang w:val="en-US" w:eastAsia="ja-JP"/>
        </w:rPr>
        <w:fldChar w:fldCharType="separate"/>
      </w:r>
      <w:r w:rsidR="002C7635" w:rsidRPr="00C40A28">
        <w:rPr>
          <w:noProof/>
          <w:sz w:val="22"/>
          <w:szCs w:val="22"/>
          <w:lang w:val="en-US" w:eastAsia="ja-JP"/>
        </w:rPr>
        <w:t>[3]</w:t>
      </w:r>
      <w:r w:rsidRPr="00C40A28">
        <w:rPr>
          <w:sz w:val="22"/>
          <w:szCs w:val="22"/>
          <w:lang w:val="en-US" w:eastAsia="ja-JP"/>
        </w:rPr>
        <w:fldChar w:fldCharType="end"/>
      </w:r>
      <w:r w:rsidR="002C594F">
        <w:rPr>
          <w:sz w:val="22"/>
          <w:szCs w:val="22"/>
          <w:lang w:val="en-US" w:eastAsia="ja-JP"/>
        </w:rPr>
        <w:t>.</w:t>
      </w:r>
      <w:r w:rsidRPr="00C40A28">
        <w:rPr>
          <w:sz w:val="22"/>
          <w:szCs w:val="22"/>
          <w:lang w:val="en-US" w:eastAsia="ja-JP"/>
        </w:rPr>
        <w:t xml:space="preserve"> </w:t>
      </w:r>
    </w:p>
    <w:p w14:paraId="4E531B6B" w14:textId="50E516A8" w:rsidR="004D778D" w:rsidRPr="00C40A28" w:rsidRDefault="00BE1DCD" w:rsidP="00121801">
      <w:pPr>
        <w:spacing w:line="480" w:lineRule="auto"/>
        <w:ind w:firstLine="720"/>
        <w:rPr>
          <w:sz w:val="22"/>
          <w:szCs w:val="22"/>
          <w:lang w:val="en-US" w:eastAsia="ja-JP"/>
        </w:rPr>
      </w:pPr>
      <w:r w:rsidRPr="00C40A28">
        <w:rPr>
          <w:sz w:val="22"/>
          <w:szCs w:val="22"/>
          <w:lang w:val="en-US" w:eastAsia="ja-JP"/>
        </w:rPr>
        <w:t>Experimental studies</w:t>
      </w:r>
      <w:r w:rsidR="004D778D" w:rsidRPr="00C40A28">
        <w:rPr>
          <w:sz w:val="22"/>
          <w:szCs w:val="22"/>
          <w:lang w:val="en-US" w:eastAsia="ja-JP"/>
        </w:rPr>
        <w:t xml:space="preserve"> have supported causal detrimental effects of 16:0 on inflammatory response</w:t>
      </w:r>
      <w:r w:rsidR="006B328E" w:rsidRPr="00C40A28">
        <w:rPr>
          <w:sz w:val="22"/>
          <w:szCs w:val="22"/>
          <w:lang w:val="en-US" w:eastAsia="ja-JP"/>
        </w:rPr>
        <w:t>s</w:t>
      </w:r>
      <w:r w:rsidR="004D778D" w:rsidRPr="00C40A28">
        <w:rPr>
          <w:sz w:val="22"/>
          <w:szCs w:val="22"/>
          <w:lang w:val="en-US" w:eastAsia="ja-JP"/>
        </w:rPr>
        <w:t xml:space="preserve"> and pancreatic function, whereas protective effects of </w:t>
      </w:r>
      <w:r w:rsidR="00356D37" w:rsidRPr="00C40A28">
        <w:rPr>
          <w:sz w:val="22"/>
          <w:szCs w:val="22"/>
          <w:lang w:val="en-US" w:eastAsia="ja-JP"/>
        </w:rPr>
        <w:t xml:space="preserve">16:1n7 and </w:t>
      </w:r>
      <w:r w:rsidR="004D778D" w:rsidRPr="00C40A28">
        <w:rPr>
          <w:sz w:val="22"/>
          <w:szCs w:val="22"/>
          <w:lang w:val="en-US" w:eastAsia="ja-JP"/>
        </w:rPr>
        <w:t>18:1n9 on pancreatic function have been suggested</w:t>
      </w:r>
      <w:r w:rsidR="002C594F">
        <w:rPr>
          <w:sz w:val="22"/>
          <w:szCs w:val="22"/>
          <w:lang w:val="en-US" w:eastAsia="ja-JP"/>
        </w:rPr>
        <w:t xml:space="preserve"> </w:t>
      </w:r>
      <w:r w:rsidR="004D778D" w:rsidRPr="00C40A28">
        <w:rPr>
          <w:sz w:val="22"/>
          <w:szCs w:val="22"/>
          <w:lang w:val="en-US" w:eastAsia="ja-JP"/>
        </w:rPr>
        <w:fldChar w:fldCharType="begin" w:fldLock="1"/>
      </w:r>
      <w:r w:rsidR="007E35F3" w:rsidRPr="00C40A28">
        <w:rPr>
          <w:sz w:val="22"/>
          <w:szCs w:val="22"/>
          <w:lang w:val="en-US" w:eastAsia="ja-JP"/>
        </w:rPr>
        <w:instrText>ADDIN CSL_CITATION {"citationItems":[{"id":"ITEM-1","itemData":{"ISBN":"0012-1797 (Print)","PMID":"11147797","abstract":"Glucotoxicity and lipotoxicity contribute to the impaired beta-cell function observed in type 2 diabetes. Here we examine the effect of saturated and unsaturated fatty acids at different glucose concentrations on beta-cell proliferation and apoptosis. Adult rat pancreatic islets were cultured onto plates coated with extracellular matrix derived from bovine corneal endothelial cells. Exposure of islets to saturated fatty acid (0.5 mmol/l palmitic acid) in medium containing 5.5, 11.1, or 33.3 mmol/l glucose for 4 days resulted in a five- to ninefold increase of beta-cell DNA fragmentation. In contrast, monounsaturated palmitoleic acid alone (0.5 mmol/l) or in combination with palmitic acid (0.25 or 0.5 mmol/l each) did not affect DNA fragmentation. Increasing concentrations of glucose promoted beta-cell proliferation that was dramatically reduced by palmitic acid. Palmitoleic acid enhanced the proliferation activity in medium containing 5.5 mmol/l glucose but had no additional effect at higher glucose concentrations (11.1 and 33.3 mmol/l). The cell-permeable ceramide analog C2-ceramide mimicked both the palmitic acid-induced beta-cell apoptosis and decrease in proliferation. Moreover, the ceramide synthetase inhibitor fumonisin B1 blocked the deleterious effects of palmitic acid on beta-cell viability. Additionally, palmitic acid but not palmitoleic acid decreased the expression of the mitochondrial adenine nucleotide translocator and induced release of cytochrome c from the mitochondria into the cytosol. Finally, palmitoleic acid improved beta-cell-secretory function that was reduced by palmitic acid. Taken together, these results suggest that the lipotoxic effect of the saturated palmitic acid involves an increased apoptosis rate coupled with reduced proliferation capacity of beta-cells and impaired insulin secretion. The deleterious effect of palmitate on beta-cell turnover is mediated via formation of ceramide and activation of the apoptotic mitochondrial pathway. In contrast, the monounsaturated palmitoleic acid does not affect beta-cell apoptosis, yet it promotes beta-cell proliferation at low glucose concentrations, counteracting the negative effects of palmitic acid as well as improving beta-cell function.","author":[{"dropping-particle":"","family":"Maedler","given":"K","non-dropping-particle":"","parse-names":false,"suffix":""},{"dropping-particle":"","family":"Spinas","given":"G A","non-dropping-particle":"","parse-names":false,"suffix":""},{"dropping-particle":"","family":"Dyntar","given":"D","non-dropping-particle":"","parse-names":false,"suffix":""},{"dropping-particle":"","family":"Moritz","given":"W","non-dropping-particle":"","parse-names":false,"suffix":""},{"dropping-particle":"","family":"Kaiser","given":"N","non-dropping-particle":"","parse-names":false,"suffix":""},{"dropping-particle":"","family":"Donath","given":"M Y","non-dropping-particle":"","parse-names":false,"suffix":""}],"container-title":"Diabetes","id":"ITEM-1","issue":"1","issued":{"date-parts":[["2001"]]},"page":"69-76","title":"Distinct effects of saturated and monounsaturated fatty acids on beta-cell turnover and function","type":"article-journal","volume":"50"},"uris":["http://www.mendeley.com/documents/?uuid=24ad355b-0a4e-41d4-baaa-dc149b40ea07"]},{"id":"ITEM-2","itemData":{"DOI":"10.2337/diabetes.52.3.726","ISBN":"0012-1797 (Print)","ISSN":"0012-1797","PMID":"12606514","abstract":"Glucotoxicity and lipotoxicity contribute to the impaired beta-cell function observed in type 2 diabetes. Here we examine the effect of saturated and monounsaturated fatty acids at different glucose concentrations on human beta-cell turnover and secretory function. Exposure of cultured human islets to saturated fatty acid and/or to an elevated glucose concentration for 4 days increased beta-cell DNA fragmentation and decreased beta-cell proliferation. In contrast, the monounsaturated palmitoleic acid or oleic acid did not affect DNA fragmentation and induced beta-cell proliferation. Moreover, each monounsaturated fatty acid prevented the deleterious effects of both palmitic acid and high glucose concentration. The cell-permeable ceramide analogue C(2)-ceramide mimicked both the palmitic acid-induced beta-cell apoptosis and decrease in proliferation. Furthermore, the ceramide synthetase inhibitor fumonisin B1 blocked the deleterious effects of palmitic acid on beta-cell turnover. In addition, palmitic acid decreased Bcl-2 expression and induced release of cytochrome c from the mitochondria into the cytosol, which was prevented by fumonisin B1 and by oleic acid. Finally, each monounsaturated fatty acid improved beta-cell secretory function that was reduced by palmitic acid and by high glucose. Thus, in human islets, the saturated palmitic acid and elevated glucose concentration induce beta-cell apoptosis, decrease beta-cell proliferation, and impair beta-cell function, which can be prevented by monounsaturated fatty acids. The deleterious effect of palmitic acid is mediated via formation of ceramide and activation of the apoptotic mitochondrial pathway, whereas Bcl-2 may contribute to the protective effect of monounsaturated fatty acids.","author":[{"dropping-particle":"","family":"Maedler","given":"K","non-dropping-particle":"","parse-names":false,"suffix":""},{"dropping-particle":"","family":"Oberholzer","given":"J","non-dropping-particle":"","parse-names":false,"suffix":""},{"dropping-particle":"","family":"Bucher","given":"P","non-dropping-particle":"","parse-names":false,"suffix":""},{"dropping-particle":"","family":"Spinas","given":"G A","non-dropping-particle":"","parse-names":false,"suffix":""},{"dropping-particle":"","family":"Donath","given":"M Y","non-dropping-particle":"","parse-names":false,"suffix":""}],"container-title":"Diabetes","id":"ITEM-2","issue":"3","issued":{"date-parts":[["2003","3","1"]]},"page":"726-733","title":"Monounsaturated Fatty Acids Prevent the Deleterious Effects of Palmitate and High Glucose on Human Pancreatic -Cell Turnover and Function","type":"article-journal","volume":"52"},"uris":["http://www.mendeley.com/documents/?uuid=bfa629b0-8df8-47aa-b8a7-8cfae84d9b7b"]},{"id":"ITEM-3","itemData":{"DOI":"10.1172/JCI28898.TLRs","author":[{"dropping-particle":"","family":"Shi","given":"Hang","non-dropping-particle":"","parse-names":false,"suffix":""},{"dropping-particle":"V","family":"Kokoeva","given":"Maia","non-dropping-particle":"","parse-names":false,"suffix":""},{"dropping-particle":"","family":"Inouye","given":"Karen","non-dropping-particle":"","parse-names":false,"suffix":""},{"dropping-particle":"","family":"Tzameli","given":"Iphigenia","non-dropping-particle":"","parse-names":false,"suffix":""},{"dropping-particle":"","family":"Yin","given":"Huali","non-dropping-particle":"","parse-names":false,"suffix":""},{"dropping-particle":"","family":"Flier","given":"Jeffrey S","non-dropping-particle":"","parse-names":false,"suffix":""}],"container-title":"J Clin Invest","id":"ITEM-3","issue":"11","issued":{"date-parts":[["2006"]]},"page":"3015-3025","title":"TLR4 links innate immunity and fatty acid – induced insulin resistance","type":"article-journal","volume":"116"},"uris":["http://www.mendeley.com/documents/?uuid=207b2398-e83e-4b7b-9389-6ff8795a36bd"]},{"id":"ITEM-4","itemData":{"ISBN":"0012-1797 (Print)","PMID":"11473037","abstract":"Studies in Zucker diabetic fatty rats have led to the concept that chronically elevated free fatty acid (FFA) levels can cause apoptosis of triglyceride-laden pancreatic beta-cells as a result of the formation of ceramides, which induce nitric oxide (NO)-dependent cell death. This \"lipotoxicity\" hypothesis could explain development of type 2 diabetes in obesity. The present study examines whether prolonged exposure to FFA affects survival of isolated normal rat beta-cells and whether the outcome is related to the occurrence of triglyceride accumulation. A dose-dependent cytotoxicity was detected at 5-100 nmol/l of unbound oleate and palmitate, with necrosis occurring within 48 h and an additional apoptosis during the subsequent 6 days of culture. At equimolar concentrations, the cytotoxicity of palmitate was higher than that of oleate but lower than that of its nonmetabolized analog bromopalmitate. FFA cytotoxicity was not suppressed by etomoxir (an inhibitor of mitochondrial carnitine palmitoyltransferase I) or by antioxidants; it was not associated with inducible NO synthase expression or NO formation. An inverse correlation was observed between the percentage of dead beta-cells on day 8 and their cellular triglyceride content on day 2. For equimolar concentrations of the tested FFA, oleate caused the lowest beta-cell toxicity and the highest cytoplasmic triglyceride accumulation. On the other hand, oleate exerted the highest toxicity in islet non-beta-cells, where no FFA-induced triglyceride accumulation was detected. In conditions without triglyceride accumulation, the lower FFA concentrations caused primarily apoptosis, both in islet beta-cells and non-beta-cells. It is concluded that FFAs can cause death of normal rat islet cells through an NO-independent mechanism. The ability of normal beta-cells to form and accumulate cytoplasmic triglycerides might serve as a cytoprotective mechanism against FFA-induced apoptosis by preventing a cellular rise in toxic free fatty acyl moieties. It is conceivable that this potential is lost or insufficient in cells with a prolonged triglyceride accumulation as may occur in vivo.","author":[{"dropping-particle":"","family":"Cnop","given":"M","non-dropping-particle":"","parse-names":false,"suffix":""},{"dropping-particle":"","family":"Hannaert","given":"J C","non-dropping-particle":"","parse-names":false,"suffix":""},{"dropping-particle":"","family":"Hoorens","given":"A","non-dropping-particle":"","parse-names":false,"suffix":""},{"dropping-particle":"","family":"Eizirik","given":"D L","non-dropping-particle":"","parse-names":false,"suffix":""},{"dropping-particle":"","family":"Pipeleers","given":"D G","non-dropping-particle":"","parse-names":false,"suffix":""}],"container-title":"Diabetes","id":"ITEM-4","issue":"8","issued":{"date-parts":[["2001"]]},"page":"1771-1777","title":"Inverse relationship between cytotoxicity of free fatty acids in pancreatic islet cells and cellular triglyceride accumulation","type":"article-journal","volume":"50"},"uris":["http://www.mendeley.com/documents/?uuid=bf500d20-aa81-4c18-841c-b0d24ac632cb"]}],"mendeley":{"formattedCitation":"[4–7]","plainTextFormattedCitation":"[4–7]","previouslyFormattedCitation":"[4–7]"},"properties":{"noteIndex":0},"schema":"https://github.com/citation-style-language/schema/raw/master/csl-citation.json"}</w:instrText>
      </w:r>
      <w:r w:rsidR="004D778D" w:rsidRPr="00C40A28">
        <w:rPr>
          <w:sz w:val="22"/>
          <w:szCs w:val="22"/>
          <w:lang w:val="en-US" w:eastAsia="ja-JP"/>
        </w:rPr>
        <w:fldChar w:fldCharType="separate"/>
      </w:r>
      <w:r w:rsidR="00FF480D" w:rsidRPr="00C40A28">
        <w:rPr>
          <w:noProof/>
          <w:sz w:val="22"/>
          <w:szCs w:val="22"/>
          <w:lang w:val="en-US" w:eastAsia="ja-JP"/>
        </w:rPr>
        <w:t>[4–7]</w:t>
      </w:r>
      <w:r w:rsidR="004D778D" w:rsidRPr="00C40A28">
        <w:rPr>
          <w:sz w:val="22"/>
          <w:szCs w:val="22"/>
          <w:lang w:val="en-US" w:eastAsia="ja-JP"/>
        </w:rPr>
        <w:fldChar w:fldCharType="end"/>
      </w:r>
      <w:r w:rsidR="002C594F">
        <w:rPr>
          <w:sz w:val="22"/>
          <w:szCs w:val="22"/>
          <w:lang w:val="en-US" w:eastAsia="ja-JP"/>
        </w:rPr>
        <w:t>.</w:t>
      </w:r>
      <w:r w:rsidR="006A430C">
        <w:rPr>
          <w:sz w:val="22"/>
          <w:szCs w:val="22"/>
          <w:lang w:val="en-US" w:eastAsia="ja-JP"/>
        </w:rPr>
        <w:t xml:space="preserve"> </w:t>
      </w:r>
      <w:r w:rsidR="004D778D" w:rsidRPr="00C40A28">
        <w:rPr>
          <w:sz w:val="22"/>
          <w:szCs w:val="22"/>
          <w:lang w:val="en-US" w:eastAsia="ja-JP"/>
        </w:rPr>
        <w:t xml:space="preserve">In addition, greater DNL </w:t>
      </w:r>
      <w:r w:rsidRPr="00C40A28">
        <w:rPr>
          <w:sz w:val="22"/>
          <w:szCs w:val="22"/>
          <w:lang w:val="en-US" w:eastAsia="ja-JP"/>
        </w:rPr>
        <w:t>activity</w:t>
      </w:r>
      <w:r w:rsidR="004D778D" w:rsidRPr="00C40A28">
        <w:rPr>
          <w:sz w:val="22"/>
          <w:szCs w:val="22"/>
          <w:lang w:val="en-US" w:eastAsia="ja-JP"/>
        </w:rPr>
        <w:t xml:space="preserve"> </w:t>
      </w:r>
      <w:r w:rsidR="006C03C1" w:rsidRPr="00C40A28">
        <w:rPr>
          <w:sz w:val="22"/>
          <w:szCs w:val="22"/>
          <w:lang w:val="en-US" w:eastAsia="ja-JP"/>
        </w:rPr>
        <w:t>has been reported</w:t>
      </w:r>
      <w:r w:rsidR="004D778D" w:rsidRPr="00C40A28">
        <w:rPr>
          <w:sz w:val="22"/>
          <w:szCs w:val="22"/>
          <w:lang w:val="en-US" w:eastAsia="ja-JP"/>
        </w:rPr>
        <w:t xml:space="preserve"> to </w:t>
      </w:r>
      <w:r w:rsidRPr="00C40A28">
        <w:rPr>
          <w:sz w:val="22"/>
          <w:szCs w:val="22"/>
          <w:lang w:val="en-US" w:eastAsia="ja-JP"/>
        </w:rPr>
        <w:t>be driven by</w:t>
      </w:r>
      <w:r w:rsidR="004D778D" w:rsidRPr="00C40A28">
        <w:rPr>
          <w:sz w:val="22"/>
          <w:szCs w:val="22"/>
          <w:lang w:val="en-US" w:eastAsia="ja-JP"/>
        </w:rPr>
        <w:t xml:space="preserve"> </w:t>
      </w:r>
      <w:r w:rsidR="006C03C1" w:rsidRPr="00C40A28">
        <w:rPr>
          <w:sz w:val="22"/>
          <w:szCs w:val="22"/>
          <w:lang w:val="en-US" w:eastAsia="ja-JP"/>
        </w:rPr>
        <w:t xml:space="preserve">lifestyle habits </w:t>
      </w:r>
      <w:r w:rsidR="00D31E82" w:rsidRPr="00C40A28">
        <w:rPr>
          <w:sz w:val="22"/>
          <w:szCs w:val="22"/>
          <w:lang w:val="en-US" w:eastAsia="ja-JP"/>
        </w:rPr>
        <w:t xml:space="preserve">such as </w:t>
      </w:r>
      <w:r w:rsidR="00820575" w:rsidRPr="00C40A28">
        <w:rPr>
          <w:sz w:val="22"/>
          <w:szCs w:val="22"/>
          <w:lang w:val="en-US" w:eastAsia="ja-JP"/>
        </w:rPr>
        <w:t xml:space="preserve">excessive </w:t>
      </w:r>
      <w:r w:rsidR="006C03C1" w:rsidRPr="00C40A28">
        <w:rPr>
          <w:sz w:val="22"/>
          <w:szCs w:val="22"/>
          <w:lang w:val="en-US" w:eastAsia="ja-JP"/>
        </w:rPr>
        <w:t xml:space="preserve">consumption of carbohydrates </w:t>
      </w:r>
      <w:r w:rsidR="00820575" w:rsidRPr="00C40A28">
        <w:rPr>
          <w:sz w:val="22"/>
          <w:szCs w:val="22"/>
          <w:lang w:val="en-US" w:eastAsia="ja-JP"/>
        </w:rPr>
        <w:t xml:space="preserve">or alcohol and lower physical activity </w:t>
      </w:r>
      <w:r w:rsidR="00D31E82" w:rsidRPr="00C40A28">
        <w:rPr>
          <w:sz w:val="22"/>
          <w:szCs w:val="22"/>
          <w:lang w:val="en-US" w:eastAsia="ja-JP"/>
        </w:rPr>
        <w:fldChar w:fldCharType="begin" w:fldLock="1"/>
      </w:r>
      <w:r w:rsidR="004C640A" w:rsidRPr="00C40A28">
        <w:rPr>
          <w:sz w:val="22"/>
          <w:szCs w:val="22"/>
          <w:lang w:val="en-US" w:eastAsia="ja-JP"/>
        </w:rPr>
        <w:instrText>ADDIN CSL_CITATION {"citationItems":[{"id":"ITEM-1","itemData":{"DOI":"10.3945/ajcn.111.012054.1","PMID":"21697077","abstract":"The Minnesota Code (MC) and Novacode (Nova) are the most widely used electrocardiographic (ECG) classification systems. The comparative strengths of their classifications for Q- and ST-T-wave abnormalities in predicting coronary heart disease (CHD) events and total mortality have not been evaluated separately by gender. We studied standard 12-lead electrocardiograms at rest from 4,988 participants in the Cardiovascular Health Study. Average age at baseline was 73 years, 60% of participants were women 85% were white, and 22% had a history of cardiovascular disease or presence of ECG myocardial infarction by MC or Nova. Starting in 1989 with an average 17-year follow-up, 65% of participants died and 33% had incident CHD in a cohort free of cardiovascular disease at baseline. Of these, electrocardiograms with major Q-wave or major ST-T abnormalities by MC or Nova predicted increased risk for CHD events and total mortality with no significant differences in predictability between men and women. The study also found that women had fewer major Q-wave changes but more major ST-T abnormalities than men. However, there were no gender differences in predicting CHD events and total mortality. In conclusion, ECG classification systems for myocardial infarction/ischemia abnormalities by MC or Nova are valuable and useful for men and women in clinical trials and epidemiologic studies.","author":[{"dropping-particle":"","family":"Wu","given":"Jason H Y","non-dropping-particle":"","parse-names":false,"suffix":""},{"dropping-particle":"","family":"Lemaitre","given":"Rozenn N","non-dropping-particle":"","parse-names":false,"suffix":""},{"dropping-particle":"","family":"Imamura","given":"Fumiaki","non-dropping-particle":"","parse-names":false,"suffix":""},{"dropping-particle":"","family":"King","given":"Irena B","non-dropping-particle":"","parse-names":false,"suffix":""},{"dropping-particle":"","family":"Song","given":"Xiaoling","non-dropping-particle":"","parse-names":false,"suffix":""},{"dropping-particle":"","family":"Spiegelman","given":"Donna","non-dropping-particle":"","parse-names":false,"suffix":""},{"dropping-particle":"","family":"Siscovick","given":"David S","non-dropping-particle":"","parse-names":false,"suffix":""},{"dropping-particle":"","family":"Mozaffarian","given":"Dariush","non-dropping-particle":"","parse-names":false,"suffix":""}],"container-title":"Am J Clin Nutr","id":"ITEM-1","issue":"2","issued":{"date-parts":[["2011"]]},"page":"431-438","title":"Fatty acids in the de novo lipogenesis pathway and risk of coronary heart disease: the Cardiovascular Health Study.","type":"article-journal","volume":"94"},"uris":["http://www.mendeley.com/documents/?uuid=777a70b3-2b5e-4ebc-8cfa-40bf65c2bf6e"]},{"id":"ITEM-2","itemData":{"ISSN":"0002-9165","PMID":"16469979","abstract":"BACKGROUND: The utility of fatty acids (FAs) as biomarkers of total fat intake is unknown. OBJECTIVE: We compared FA changes in red cells (RCs), plasma phospholipids (PLs), and cholesterol esters (CEs) in response to a low-fat diet (LFD) and a moderate-fat diet (MFD) and assessed whether individual or combination of FAs predict LFD. DESIGN: Postmenopausal women (n = 66) were randomly assigned to receive an LFD (17% of energy from fat) or an MFD (34% of energy from fat) for 6 wk. All foods were provided. FAs in diets and blood were determined by gas-liquid chromatography. FA changes between baseline and end of study were compared across diets by using t tests. FA predictors of an LFD were selected by logistic regression. RESULTS: Many FAs in RCs, PLs, and CEs responded differently to the 2 diets. Changes from baseline with an LFD for palmitic acid (16:0) (3-11% increase), behenic (22:0) and lignoceric (24:0) acids (3-20% decrease, in RCs and PLs only), cis-monounsaturated FA (MUFA) (25-35% increase), linoleic acid (18:2n-6) (11-13% decrease), trans octadecanoic acids (trans 18:1) (7-20% decrease), and n-6 highly unsaturated FA (HUFA) (2-8% increase) were significantly different from changes with an MFD. Individually, 18:2n-6 and trans 18:1 were strong predictors of an LFD [receiver operating characteristic (ROC) curves: 0.92-0.80). A logistic regression model with trans 18:1, 18:2n-6, and vaccenic acid (18:1n-7) predicted an LFD with high specificity and sensitivity (ROC curves: 0.99). CONCLUSIONS: Saturated FA, cisMUFA, n-6 HUFA, and exogenous FAs greatly differed in their response to the LFD and MFD. Parallel responses were observed in RCs, PLs, and CEs. A model with a combination of FAs almost perfectly differentiated the consumption of 34% fat from that of 17% fat.","author":[{"dropping-particle":"","family":"King","given":"Irena B","non-dropping-particle":"","parse-names":false,"suffix":""},{"dropping-particle":"","family":"Lemaitre","given":"Rozenn N","non-dropping-particle":"","parse-names":false,"suffix":""},{"dropping-particle":"","family":"Kestin","given":"Mark","non-dropping-particle":"","parse-names":false,"suffix":""}],"container-title":"Am J Clin Nutr","id":"ITEM-2","issue":"2","issued":{"date-parts":[["2006","2"]]},"note":"        From Duplicate 1 (                   Effect of a low-fat diet on fatty acid composition in red cells, plasma phospholipids, and cholesterol esters: investigation of a biomarker of total fat intake.                 - King, Irena B; Lemaitre, Rozenn N; Kestin, Mark )\n                \n        From Duplicate 2 (                           Effect of a low-fat diet on fatty acid composition in red cells, plasma phospholipids, and cholesterol esters: investigation of a biomarker of total fat intake                         - King, Irena B; Lemaitre, Rozenn N; Kestin, Mark )\n                \n        \n        \n        \n        \n      ","page":"227-36","title":"Effect of a low-fat diet on fatty acid composition in red cells, plasma phospholipids, and cholesterol esters: investigation of a biomarker of total fat intake.","type":"article-journal","volume":"83"},"uris":["http://www.mendeley.com/documents/?uuid=e5817317-4189-4b45-bc52-e5e372cd76d7"]},{"id":"ITEM-3","itemData":{"DOI":"10.1038/nrgastro.2015.35","ISSN":"1759-5045","author":[{"dropping-particle":"","family":"Louvet","given":"Alexandre","non-dropping-particle":"","parse-names":false,"suffix":""},{"dropping-particle":"","family":"Mathurin","given":"Philippe","non-dropping-particle":"","parse-names":false,"suffix":""}],"container-title":"Nat Rev Gastroenterol Hepatol","id":"ITEM-3","issue":"4","issued":{"date-parts":[["2015","4","17"]]},"page":"231-242","title":"Alcoholic liver disease: mechanisms of injury and targeted treatment","type":"article-journal","volume":"12"},"uris":["http://www.mendeley.com/documents/?uuid=1633e88c-39b3-4378-a529-438f901ae227"]}],"mendeley":{"formattedCitation":"[8–10]","plainTextFormattedCitation":"[8–10]","previouslyFormattedCitation":"[8–10]"},"properties":{"noteIndex":0},"schema":"https://github.com/citation-style-language/schema/raw/master/csl-citation.json"}</w:instrText>
      </w:r>
      <w:r w:rsidR="00D31E82" w:rsidRPr="00C40A28">
        <w:rPr>
          <w:sz w:val="22"/>
          <w:szCs w:val="22"/>
          <w:lang w:val="en-US" w:eastAsia="ja-JP"/>
        </w:rPr>
        <w:fldChar w:fldCharType="separate"/>
      </w:r>
      <w:r w:rsidR="002E24E3" w:rsidRPr="00C40A28">
        <w:rPr>
          <w:noProof/>
          <w:sz w:val="22"/>
          <w:szCs w:val="22"/>
          <w:lang w:val="en-US" w:eastAsia="ja-JP"/>
        </w:rPr>
        <w:t>[8–10]</w:t>
      </w:r>
      <w:r w:rsidR="00D31E82" w:rsidRPr="00C40A28">
        <w:rPr>
          <w:sz w:val="22"/>
          <w:szCs w:val="22"/>
          <w:lang w:val="en-US" w:eastAsia="ja-JP"/>
        </w:rPr>
        <w:fldChar w:fldCharType="end"/>
      </w:r>
      <w:r w:rsidRPr="00C40A28">
        <w:rPr>
          <w:sz w:val="22"/>
          <w:szCs w:val="22"/>
          <w:lang w:val="en-US" w:eastAsia="ja-JP"/>
        </w:rPr>
        <w:t>, although the</w:t>
      </w:r>
      <w:r w:rsidR="004D778D" w:rsidRPr="00C40A28">
        <w:rPr>
          <w:sz w:val="22"/>
          <w:szCs w:val="22"/>
          <w:lang w:val="en-US" w:eastAsia="ja-JP"/>
        </w:rPr>
        <w:t xml:space="preserve"> relative contributions of </w:t>
      </w:r>
      <w:r w:rsidR="00FF480D" w:rsidRPr="00C40A28">
        <w:rPr>
          <w:sz w:val="22"/>
          <w:szCs w:val="22"/>
          <w:lang w:val="en-US" w:eastAsia="ja-JP"/>
        </w:rPr>
        <w:t xml:space="preserve">different lifestyle </w:t>
      </w:r>
      <w:r w:rsidR="00D31E82" w:rsidRPr="00C40A28">
        <w:rPr>
          <w:sz w:val="22"/>
          <w:szCs w:val="22"/>
          <w:lang w:val="en-US" w:eastAsia="ja-JP"/>
        </w:rPr>
        <w:t xml:space="preserve">habits </w:t>
      </w:r>
      <w:r w:rsidR="00FF480D" w:rsidRPr="00C40A28">
        <w:rPr>
          <w:sz w:val="22"/>
          <w:szCs w:val="22"/>
          <w:lang w:val="en-US" w:eastAsia="ja-JP"/>
        </w:rPr>
        <w:t xml:space="preserve">influencing </w:t>
      </w:r>
      <w:r w:rsidR="004D778D" w:rsidRPr="00C40A28">
        <w:rPr>
          <w:sz w:val="22"/>
          <w:szCs w:val="22"/>
          <w:lang w:val="en-US" w:eastAsia="ja-JP"/>
        </w:rPr>
        <w:t>DNL</w:t>
      </w:r>
      <w:r w:rsidRPr="00C40A28">
        <w:rPr>
          <w:sz w:val="22"/>
          <w:szCs w:val="22"/>
          <w:lang w:val="en-US" w:eastAsia="ja-JP"/>
        </w:rPr>
        <w:t xml:space="preserve"> remain undefined.</w:t>
      </w:r>
      <w:r w:rsidR="004D778D" w:rsidRPr="00C40A28">
        <w:rPr>
          <w:sz w:val="22"/>
          <w:szCs w:val="22"/>
          <w:lang w:val="en-US" w:eastAsia="ja-JP"/>
        </w:rPr>
        <w:t xml:space="preserve"> </w:t>
      </w:r>
      <w:r w:rsidR="004C5CDF" w:rsidRPr="00C40A28">
        <w:rPr>
          <w:sz w:val="22"/>
          <w:szCs w:val="22"/>
          <w:lang w:val="en-US" w:eastAsia="ja-JP"/>
        </w:rPr>
        <w:t>Investigation into</w:t>
      </w:r>
      <w:r w:rsidRPr="00C40A28">
        <w:rPr>
          <w:sz w:val="22"/>
          <w:szCs w:val="22"/>
          <w:lang w:val="en-US" w:eastAsia="ja-JP"/>
        </w:rPr>
        <w:t xml:space="preserve"> how </w:t>
      </w:r>
      <w:r w:rsidR="004D778D" w:rsidRPr="00C40A28">
        <w:rPr>
          <w:sz w:val="22"/>
          <w:szCs w:val="22"/>
          <w:lang w:val="en-US" w:eastAsia="ja-JP"/>
        </w:rPr>
        <w:t xml:space="preserve">fatty acids </w:t>
      </w:r>
      <w:r w:rsidR="00FF509E" w:rsidRPr="00C40A28">
        <w:rPr>
          <w:sz w:val="22"/>
          <w:szCs w:val="22"/>
          <w:lang w:val="en-US" w:eastAsia="ja-JP"/>
        </w:rPr>
        <w:t xml:space="preserve">in the DNL </w:t>
      </w:r>
      <w:r w:rsidR="00DD6E78" w:rsidRPr="00C40A28">
        <w:rPr>
          <w:sz w:val="22"/>
          <w:szCs w:val="22"/>
          <w:lang w:val="en-US" w:eastAsia="ja-JP"/>
        </w:rPr>
        <w:t xml:space="preserve">pathway </w:t>
      </w:r>
      <w:r w:rsidRPr="00C40A28">
        <w:rPr>
          <w:sz w:val="22"/>
          <w:szCs w:val="22"/>
          <w:lang w:val="en-US" w:eastAsia="ja-JP"/>
        </w:rPr>
        <w:t xml:space="preserve">relate to </w:t>
      </w:r>
      <w:r w:rsidR="004D778D" w:rsidRPr="00C40A28">
        <w:rPr>
          <w:sz w:val="22"/>
          <w:szCs w:val="22"/>
          <w:lang w:val="en-US" w:eastAsia="ja-JP"/>
        </w:rPr>
        <w:t xml:space="preserve">incident T2D may provide </w:t>
      </w:r>
      <w:r w:rsidRPr="00C40A28">
        <w:rPr>
          <w:sz w:val="22"/>
          <w:szCs w:val="22"/>
          <w:lang w:val="en-US" w:eastAsia="ja-JP"/>
        </w:rPr>
        <w:t>important</w:t>
      </w:r>
      <w:r w:rsidR="004D778D" w:rsidRPr="00C40A28">
        <w:rPr>
          <w:sz w:val="22"/>
          <w:szCs w:val="22"/>
          <w:lang w:val="en-US" w:eastAsia="ja-JP"/>
        </w:rPr>
        <w:t xml:space="preserve"> etiological knowledge and </w:t>
      </w:r>
      <w:r w:rsidR="00FF480D" w:rsidRPr="00C40A28">
        <w:rPr>
          <w:sz w:val="22"/>
          <w:szCs w:val="22"/>
          <w:lang w:val="en-US" w:eastAsia="ja-JP"/>
        </w:rPr>
        <w:t xml:space="preserve">stimulate future work on </w:t>
      </w:r>
      <w:r w:rsidR="004D778D" w:rsidRPr="00C40A28">
        <w:rPr>
          <w:sz w:val="22"/>
          <w:szCs w:val="22"/>
          <w:lang w:val="en-US" w:eastAsia="ja-JP"/>
        </w:rPr>
        <w:t>modifiable risk factors</w:t>
      </w:r>
      <w:r w:rsidR="006B328E" w:rsidRPr="00C40A28">
        <w:rPr>
          <w:sz w:val="22"/>
          <w:szCs w:val="22"/>
          <w:lang w:val="en-US" w:eastAsia="ja-JP"/>
        </w:rPr>
        <w:t xml:space="preserve"> and preventive treatments</w:t>
      </w:r>
      <w:r w:rsidR="004D778D" w:rsidRPr="00C40A28">
        <w:rPr>
          <w:sz w:val="22"/>
          <w:szCs w:val="22"/>
          <w:lang w:val="en-US" w:eastAsia="ja-JP"/>
        </w:rPr>
        <w:t>.</w:t>
      </w:r>
    </w:p>
    <w:p w14:paraId="63A46797" w14:textId="5F8A7A40" w:rsidR="00121801" w:rsidRPr="00C40A28" w:rsidRDefault="006B328E" w:rsidP="00237D66">
      <w:pPr>
        <w:spacing w:line="480" w:lineRule="auto"/>
        <w:ind w:firstLine="720"/>
        <w:rPr>
          <w:sz w:val="22"/>
          <w:szCs w:val="22"/>
          <w:lang w:val="en-US"/>
        </w:rPr>
      </w:pPr>
      <w:r w:rsidRPr="00C40A28">
        <w:rPr>
          <w:snapToGrid w:val="0"/>
          <w:sz w:val="22"/>
          <w:szCs w:val="22"/>
          <w:lang w:val="en-US" w:eastAsia="ja-JP"/>
        </w:rPr>
        <w:t>Individual</w:t>
      </w:r>
      <w:r w:rsidR="004D778D" w:rsidRPr="00C40A28">
        <w:rPr>
          <w:snapToGrid w:val="0"/>
          <w:sz w:val="22"/>
          <w:szCs w:val="22"/>
          <w:lang w:val="en-US" w:eastAsia="ja-JP"/>
        </w:rPr>
        <w:t xml:space="preserve"> studies </w:t>
      </w:r>
      <w:r w:rsidR="009F1966" w:rsidRPr="00C40A28">
        <w:rPr>
          <w:snapToGrid w:val="0"/>
          <w:sz w:val="22"/>
          <w:szCs w:val="22"/>
          <w:lang w:val="en-US" w:eastAsia="ja-JP"/>
        </w:rPr>
        <w:t>have</w:t>
      </w:r>
      <w:r w:rsidR="004D778D" w:rsidRPr="00C40A28">
        <w:rPr>
          <w:snapToGrid w:val="0"/>
          <w:sz w:val="22"/>
          <w:szCs w:val="22"/>
          <w:lang w:val="en-US" w:eastAsia="ja-JP"/>
        </w:rPr>
        <w:t xml:space="preserve"> examined </w:t>
      </w:r>
      <w:r w:rsidR="009F1966" w:rsidRPr="00C40A28">
        <w:rPr>
          <w:snapToGrid w:val="0"/>
          <w:sz w:val="22"/>
          <w:szCs w:val="22"/>
          <w:lang w:val="en-US" w:eastAsia="ja-JP"/>
        </w:rPr>
        <w:t xml:space="preserve">the associations </w:t>
      </w:r>
      <w:r w:rsidR="00D36A91">
        <w:rPr>
          <w:snapToGrid w:val="0"/>
          <w:sz w:val="22"/>
          <w:szCs w:val="22"/>
          <w:lang w:val="en-US" w:eastAsia="ja-JP"/>
        </w:rPr>
        <w:t>between</w:t>
      </w:r>
      <w:r w:rsidR="00D36A91" w:rsidRPr="00C40A28">
        <w:rPr>
          <w:snapToGrid w:val="0"/>
          <w:sz w:val="22"/>
          <w:szCs w:val="22"/>
          <w:lang w:val="en-US" w:eastAsia="ja-JP"/>
        </w:rPr>
        <w:t xml:space="preserve"> </w:t>
      </w:r>
      <w:r w:rsidR="004D778D" w:rsidRPr="00C40A28">
        <w:rPr>
          <w:snapToGrid w:val="0"/>
          <w:sz w:val="22"/>
          <w:szCs w:val="22"/>
          <w:lang w:val="en-US" w:eastAsia="ja-JP"/>
        </w:rPr>
        <w:t>circulating DNL-</w:t>
      </w:r>
      <w:r w:rsidR="00812785" w:rsidRPr="00C40A28">
        <w:rPr>
          <w:snapToGrid w:val="0"/>
          <w:sz w:val="22"/>
          <w:szCs w:val="22"/>
          <w:lang w:val="en-US" w:eastAsia="ja-JP"/>
        </w:rPr>
        <w:t xml:space="preserve">related </w:t>
      </w:r>
      <w:r w:rsidR="004D778D" w:rsidRPr="00C40A28">
        <w:rPr>
          <w:snapToGrid w:val="0"/>
          <w:sz w:val="22"/>
          <w:szCs w:val="22"/>
          <w:lang w:val="en-US" w:eastAsia="ja-JP"/>
        </w:rPr>
        <w:t xml:space="preserve">fatty acids </w:t>
      </w:r>
      <w:r w:rsidR="00D36A91">
        <w:rPr>
          <w:snapToGrid w:val="0"/>
          <w:sz w:val="22"/>
          <w:szCs w:val="22"/>
          <w:lang w:val="en-US" w:eastAsia="ja-JP"/>
        </w:rPr>
        <w:t xml:space="preserve">and </w:t>
      </w:r>
      <w:r w:rsidR="004D778D" w:rsidRPr="00C40A28">
        <w:rPr>
          <w:snapToGrid w:val="0"/>
          <w:sz w:val="22"/>
          <w:szCs w:val="22"/>
          <w:lang w:val="en-US" w:eastAsia="ja-JP"/>
        </w:rPr>
        <w:t>incident T2D</w:t>
      </w:r>
      <w:r w:rsidR="004A18A6" w:rsidRPr="00C40A28">
        <w:rPr>
          <w:snapToGrid w:val="0"/>
          <w:sz w:val="22"/>
          <w:szCs w:val="22"/>
          <w:lang w:val="en-US" w:eastAsia="ja-JP"/>
        </w:rPr>
        <w:t>, showing mixed associations</w:t>
      </w:r>
      <w:r w:rsidR="002C594F">
        <w:rPr>
          <w:snapToGrid w:val="0"/>
          <w:sz w:val="22"/>
          <w:szCs w:val="22"/>
          <w:lang w:val="en-US" w:eastAsia="ja-JP"/>
        </w:rPr>
        <w:t xml:space="preserve"> </w:t>
      </w:r>
      <w:r w:rsidR="007946B2" w:rsidRPr="00C40A28">
        <w:rPr>
          <w:snapToGrid w:val="0"/>
          <w:sz w:val="22"/>
          <w:szCs w:val="22"/>
          <w:lang w:val="en-US" w:eastAsia="ja-JP"/>
        </w:rPr>
        <w:fldChar w:fldCharType="begin" w:fldLock="1"/>
      </w:r>
      <w:r w:rsidR="004C640A" w:rsidRPr="00C40A28">
        <w:rPr>
          <w:snapToGrid w:val="0"/>
          <w:sz w:val="22"/>
          <w:szCs w:val="22"/>
          <w:lang w:val="en-US" w:eastAsia="ja-JP"/>
        </w:rPr>
        <w:instrText>ADDIN CSL_CITATION {"citationItems":[{"id":"ITEM-1","itemData":{"DOI":"http://dx.doi.org/10.1016/j.numecd.2007.04.005","ISBN":"0939-4753","abstract":"Background and aims The respective roles of dietary fatty acids in the pathogenesis of diabetes are as yet unclear. Erythrocyte membrane fatty acid (EMFA) composition may provide an estimate of dietary fatty acid intake. This study investigates the relation between EMFA composition and development of Type 2 diabetes mellitus. Methods and results In a nested case-referent design we studied 159 individuals tested as non-diabetic at baseline who after a mean observation time of 5.4 ± 2.6 years were diagnosed with Type 2 diabetes mellitus and 291 sex- and age-matched referents. Higher proportions of pentadecanoic acid (15:0) and heptadecanoic acid (17:0) were associated with a lower risk of diabetes. In accordance with earlier findings, higher proportions of palmitoleic (16:1 n-7), dihomo-γ-linolenic (20:3 n-6) and adrenic (22:4 n-6) acids were associated with increased risk, whereas linoleic (18:2 n-6) and clupanodonic (22:5 n-3) acids were inversely associated with diabetes. After adjustment for BMI, HbA1c, alcohol intake, smoking and physical activity the only significant predictors were 15:0 and 17:0 as protective factors and 22:4 n6 as risk factor. Conclusion In accordance with previous studies, our results indicate that EMFA-patterns predict development of Type 2 diabetes mellitus. The inverse association with two saturated fatty acids, previously shown to reflect consumption of dairy products, is a new finding.","author":[{"dropping-particle":"","family":"Krachler","given":"Benno","non-dropping-particle":"","parse-names":false,"suffix":""},{"dropping-particle":"","family":"Norberg","given":"Margareta","non-dropping-particle":"","parse-names":false,"suffix":""},{"dropping-particle":"","family":"Eriksson","given":"Jan W","non-dropping-particle":"","parse-names":false,"suffix":""},{"dropping-particle":"","family":"Hallmans","given":"Göran","non-dropping-particle":"","parse-names":false,"suffix":""},{"dropping-particle":"","family":"Johansson","given":"Ingegerd","non-dropping-particle":"","parse-names":false,"suffix":""},{"dropping-particle":"","family":"Vessby","given":"Bengt","non-dropping-particle":"","parse-names":false,"suffix":""},{"dropping-particle":"","family":"Weinehall","given":"Lars","non-dropping-particle":"","parse-names":false,"suffix":""},{"dropping-particle":"","family":"Lindahl","given":"Bernt","non-dropping-particle":"","parse-names":false,"suffix":""}],"container-title":"Nutr Metab Cardiovasc Dis","id":"ITEM-1","issue":"7","issued":{"date-parts":[["2008"]]},"page":"503-510","title":"Fatty acid profile of the erythrocyte membrane preceding development of Type 2 diabetes mellitus","type":"article-journal","volume":"18"},"uris":["http://www.mendeley.com/documents/?uuid=23f8116f-2b05-4ea3-8864-695d8812c3dd"]},{"id":"ITEM-2","itemData":{"author":[{"dropping-particle":"","family":"Patel","given":"Pinal S","non-dropping-particle":"","parse-names":false,"suffix":""},{"dropping-particle":"","family":"Sharp","given":"Stephen J","non-dropping-particle":"","parse-names":false,"suffix":""},{"dropping-particle":"","family":"Jansen","given":"Eugene","non-dropping-particle":"","parse-names":false,"suffix":""},{"dropping-particle":"","family":"Luben","given":"Robert N","non-dropping-particle":"","parse-names":false,"suffix":""},{"dropping-particle":"","family":"Khaw","given":"Kay-Tee","non-dropping-particle":"","parse-names":false,"suffix":""},{"dropping-particle":"","family":"Wareham","given":"Nicholas J","non-dropping-particle":"","parse-names":false,"suffix":""},{"dropping-particle":"","family":"Forouhi","given":"Nita G","non-dropping-particle":"","parse-names":false,"suffix":""}],"container-title":"Am J Clin Nutr","id":"ITEM-2","issue":"5","issued":{"date-parts":[["2010"]]},"note":"10.3945/ajcn.2010.29182","page":"1214-1222","title":"Fatty acids measured in plasma and erythrocyte-membrane phospholipids and derived by food-frequency questionnaire and the risk of new-onset type 2 diabetes: a pilot study in the European Prospective Investigation into Cancer and Nutrition (EPIC)–Norfolk","type":"article-journal","volume":"92"},"uris":["http://www.mendeley.com/documents/?uuid=7802030b-b89c-448c-9439-1ea8c42e4b25"]},{"id":"ITEM-3","itemData":{"DOI":"10.3945/ajcn.110.005447","ISSN":"1938-3207","PMID":"20980488","abstract":"BACKGROUND: The long-term role of fatty acids (FAs) in the cause of diabetes remains largely unclear. OBJECTIVE: We aimed to investigate erythrocyte membrane FAs, desaturase activity, and dietary FAs in relation to the incidence of type 2 diabetes. DESIGN: We applied a nested case-cohort design (n = 2724, including 673 incident diabetes cases) within the European Prospective Investigation into Cancer and Nutrition (EPIC)-Potsdam Study, which involves 27,548 middle-aged subjects. Thirty erythrocyte membrane FAs (percentage of total FAs) and FA intake (percentage of total fat) were measured at baseline, and physician-confirmed incident diabetes was assessed during a mean follow-up of 7.0 y. We evaluated Δ</w:instrText>
      </w:r>
      <w:r w:rsidR="004C640A" w:rsidRPr="00C40A28">
        <w:rPr>
          <w:rFonts w:ascii="Cambria Math" w:hAnsi="Cambria Math" w:cs="Cambria Math"/>
          <w:snapToGrid w:val="0"/>
          <w:sz w:val="22"/>
          <w:szCs w:val="22"/>
          <w:lang w:val="en-US" w:eastAsia="ja-JP"/>
        </w:rPr>
        <w:instrText>⁵</w:instrText>
      </w:r>
      <w:r w:rsidR="004C640A" w:rsidRPr="00C40A28">
        <w:rPr>
          <w:snapToGrid w:val="0"/>
          <w:sz w:val="22"/>
          <w:szCs w:val="22"/>
          <w:lang w:val="en-US" w:eastAsia="ja-JP"/>
        </w:rPr>
        <w:instrText xml:space="preserve"> desaturase (D5D) and Δ</w:instrText>
      </w:r>
      <w:r w:rsidR="004C640A" w:rsidRPr="00C40A28">
        <w:rPr>
          <w:rFonts w:ascii="Cambria Math" w:hAnsi="Cambria Math" w:cs="Cambria Math"/>
          <w:snapToGrid w:val="0"/>
          <w:sz w:val="22"/>
          <w:szCs w:val="22"/>
          <w:lang w:val="en-US" w:eastAsia="ja-JP"/>
        </w:rPr>
        <w:instrText>⁶</w:instrText>
      </w:r>
      <w:r w:rsidR="004C640A" w:rsidRPr="00C40A28">
        <w:rPr>
          <w:snapToGrid w:val="0"/>
          <w:sz w:val="22"/>
          <w:szCs w:val="22"/>
          <w:lang w:val="en-US" w:eastAsia="ja-JP"/>
        </w:rPr>
        <w:instrText xml:space="preserve"> desaturase (D6D) activity by using FA product-to-precursor ratios (traditional approach) and by investigating variants in FADS1 and FADS2 genes that encode these desaturases (Mendelian randomization approach). RESULTS: As a main finding, erythrocyte 16:1n-7 and 18:3n-6 and FA ratios, which reflect stearoyl coenzyme A desaturase (SCD) and D6D activity, were directly related to diabetes risk in multivariable-adjusted models [relative risks (95% CIs) comparing extreme quintiles: 16:1n-7, 2.11 (1.46, 3.05); 18:3n-6, 2.00 (1.38, 2.88); SCD, 2.61 (1.75, 3.89); and D6D, 2.46 (1.67, 3.63)], whereas the FA ratio that reflects D5D activity was inversely associated with risk [0.46 (0.31, 0.70)]. The Mendelian randomization approach corroborated the direct relation for D6D activity and tended to support the inverse relation for D5D activity. Proportions of dietary FAs showed only modest to low correlations with erythrocyte FAs and were not significantly associated with risk. CONCLUSION: The FA profile of erythrocyte membrane phospholipids and activity of desaturase enzymes are strongly linked to the incidence of type 2 diabetes.","author":[{"dropping-particle":"","family":"Kröger","given":"Janine","non-dropping-particle":"","parse-names":false,"suffix":""},{"dropping-particle":"","family":"Zietemann","given":"Vera","non-dropping-particle":"","parse-names":false,"suffix":""},{"dropping-particle":"","family":"Enzenbach","given":"Cornelia","non-dropping-particle":"","parse-names":false,"suffix":""},{"dropping-particle":"","family":"Weikert","given":"Cornelia","non-dropping-particle":"","parse-names":false,"suffix":""},{"dropping-particle":"","family":"Jansen","given":"Eugène Hjm","non-dropping-particle":"","parse-names":false,"suffix":""},{"dropping-particle":"","family":"Döring","given":"Frank","non-dropping-particle":"","parse-names":false,"suffix":""},{"dropping-particle":"","family":"Joost","given":"Hans-Georg","non-dropping-particle":"","parse-names":false,"suffix":""},{"dropping-particle":"","family":"Boeing","given":"Heiner","non-dropping-particle":"","parse-names":false,"suffix":""},{"dropping-particle":"","family":"Schulze","given":"Matthias B","non-dropping-particle":"","parse-names":false,"suffix":""}],"container-title":"Am J Clin Nutr","id":"ITEM-3","issue":"1","issued":{"date-parts":[["2011","1"]]},"note":"From Duplicate 1 ( \n\n\nErythrocyte membrane phospholipid fatty acids, desaturase activity, and dietary fatty acids in relation to risk of type 2 diabetes in the European Prospective Investigation into Cancer and Nutrition (EPIC) - Potsdam Study\n\n\n- Kröger, Janine; Zietemann, Vera; Enzenbach, Cornelia; Weikert, Cornelia; Jansen, Eugène H J M; Döring, Frank; Joost, Hans-Georg; Boeing, Heiner; Schulze, Matthias B )\n\n","page":"127-42","title":"Erythrocyte membrane phospholipid fatty acids, desaturase activity, and dietary fatty acids in relation to risk of type 2 diabetes in the European Prospective Investigation into Cancer and Nutrition (EPIC)-Potsdam Study.","type":"article-journal","volume":"93"},"uris":["http://www.mendeley.com/documents/?uuid=2becb0cd-15e0-49bf-9139-7b12b6fe428c"]},{"id":"ITEM-4","itemData":{"DOI":"10.1093/ajcn/86.1.189","ISBN":"0002-9165","ISSN":"00029165","PMID":"17616780","abstract":"BACKGROUND: Dietary fatty acids may be associated with diabetes but are difficult to measure accurately. OBJECTIVE: We aimed to investigate the associations of fatty acids in plasma and diet with diabetes incidence. DESIGN: This was a prospective case-cohort study of 3737 adults aged 36-72 y. Fatty acid intake (/kJ) and plasma phospholipid fatty acids (%) were measured at baseline, and diabetes incidence was assessed by self-report 4 y later. Logistic regression excluding (model 1) and including (model 2) body mass index and waist-hip ratio was used to calculate odds ratios (ORs) for plasma phospholipid and dietary fatty acids. RESULTS: In plasma phospholipid, positive associations with diabetes were seen for stearic acid [OR model 1, highest versus lowest quintile: 4.14 (95% CI: 2.65, 6.49), P for trend &lt; 0.0001] and total saturated fatty acids [OR model 1: 3.76 (2.43, 5.81), P for trend &lt; 0.0001], whereas an inverse association was seen for linoleic acid [OR model 1: 0.22 (0.14, 0.36), P for trend &lt; 0.0001]. Dietary linoleic [OR model 1: 1.77 (1.19, 2.64), P for trend = 0.002], palmitic [OR model 1: 1.65 (1.12, 2.43), P for trend = 0.012], and stearic [OR model 1: 1.46 (1.00, 2.14), P for trend = 0.030] acids were positively associated with diabetes incidence before adjustment for body size. Within each quintile of linoleic acid intake, cases had lower baseline plasma phospholipid linoleic acid proportions than did controls. CONCLUSIONS: Dietary saturated fat intake is inversely associated with diabetes risk. More research is required to determine whether linoleic acid is an appropriate dietary substitute.","author":[{"dropping-particle":"","family":"Hodge","given":"Allison M.","non-dropping-particle":"","parse-names":false,"suffix":""},{"dropping-particle":"","family":"English","given":"Dallas R.","non-dropping-particle":"","parse-names":false,"suffix":""},{"dropping-particle":"","family":"O'Dea","given":"Kerin","non-dropping-particle":"","parse-names":false,"suffix":""},{"dropping-particle":"","family":"Sinclair","given":"Andrew J.","non-dropping-particle":"","parse-names":false,"suffix":""},{"dropping-particle":"","family":"Makrides","given":"Maria","non-dropping-particle":"","parse-names":false,"suffix":""},{"dropping-particle":"","family":"Gibson","given":"Robert A.","non-dropping-particle":"","parse-names":false,"suffix":""},{"dropping-particle":"","family":"Giles","given":"Graham G.","non-dropping-particle":"","parse-names":false,"suffix":""}],"container-title":"Am J Clin Nutr","id":"ITEM-4","issue":"1","issued":{"date-parts":[["2007"]]},"page":"189-97.","title":"Plasma phospholipid and dietary fatty acids as predictors of type 2 diabetes: interpreting the role of linoleic acid","type":"article-journal","volume":"86"},"uris":["http://www.mendeley.com/documents/?uuid=69ad24b4-dab9-40df-96db-2e03da5d0804"]},{"id":"ITEM-5","itemData":{"ISSN":"0002-9165","PMID":"12816776","abstract":"BACKGROUND: The results of some epidemiologic studies conducted by using questionnaires suggest that dietary fat composition influences diabetes risk. Confirmation of this finding with use of a biomarker is warranted. OBJECTIVE: We prospectively investigated the relation of plasma cholesterol ester (CE) and phospholipid (PL) fatty acid composition with the incidence of diabetes mellitus. DESIGN: In 2909 adults aged 45-64 y, plasma fatty acid composition was quantified by using gas-liquid chromatography and was expressed as a percentage of total fatty acids. Incident diabetes (n = 252) was identified during 9 y of follow-up. RESULTS: After adjustment for age, sex, baseline body mass index, waist-to-hip ratio, alcohol intake, cigarette smoking, physical activity, education, and parental history of diabetes, diabetes incidence was significantly and positively associated with the proportions of total saturated fatty acids in plasma CE and PL. The rate ratios of incident diabetes across quintiles of saturated fatty acids were 1.00, 1.36, 1.16, 1.60, and 2.08 (P = 0.0013) in CE and 1.00, 1.75, 1.87, 2.40, and 3.37 (P &lt; 0.0001) in PL. In CE, the incidence of diabetes was also positively associated with the proportions of palmitic (16:0), palmitoleic (16:1n-7), and dihomo-gamma-linolenic (20:3n-6) acids and inversely associated with the proportion of linoleic acid (18:2n-6). In PL, incident diabetes was positively associated with the proportions of 16:0 and stearic acid (18:0). CONCLUSIONS: The proportional saturated fatty acid composition of plasma is positively associated with the development of diabetes. Our findings with the use of this biomarker suggest indirectly that the dietary fat profile, particularly that of saturated fat, may contribute to the etiology of diabetes.","author":[{"dropping-particle":"","family":"Wang","given":"Lu","non-dropping-particle":"","parse-names":false,"suffix":""},{"dropping-particle":"","family":"Folsom","given":"Aaron R","non-dropping-particle":"","parse-names":false,"suffix":""},{"dropping-particle":"","family":"Zheng","given":"Zhi-Jie J","non-dropping-particle":"","parse-names":false,"suffix":""},{"dropping-particle":"","family":"Pankow","given":"James S","non-dropping-particle":"","parse-names":false,"suffix":""},{"dropping-particle":"","family":"Eckfeldt","given":"John H","non-dropping-particle":"","parse-names":false,"suffix":""}],"container-title":"Am J Clin Nutr","id":"ITEM-5","issue":"1","issued":{"date-parts":[["2003","7"]]},"note":"From Duplicate 1 ( \n\n\n\n\n\n\n\n\n\n\n\n\n\n\n\n\n\n\n\n\n\n\n\n\n\n\n\n\n\n\n\n\n\n\n\n\n\n\n\n\n\n\n\n\n\n\n\n\n\n\n\n\n\n\n\n\n\n\n\nPlasma fatty acid composition and incidence of diabetes in middle-aged adults: the Atherosclerosis Risk in Communities (ARIC) Study\n\n\n\n\n\n\n\n\n\n\n\n\n\n\n\n\n\n\n\n\n\n\n\n\n\n\n\n\n\n\n\n\n\n\n\n\n\n\n\n\n\n\n\n\n\n\n\n\n\n\n\n\n\n\n\n\n\n\n\n- Wang, L; Folsom, A R; Zheng, Z J; Pankow, J S; Eckfeldt, J H )\n\n\n\n\n\n\n\n\n\n\n\n\n\n\n\n","page":"91-8.","title":"Plasma fatty acid composition and incidence of diabetes in middle-aged adults: the Atherosclerosis Risk in Communities (ARIC) Study","type":"article-journal","volume":"78"},"uris":["http://www.mendeley.com/documents/?uuid=22b62d1d-0f47-4d78-aa4d-4e500d22b470"]},{"id":"ITEM-6","itemData":{"DOI":"10.1371/journal.pone.0147894","ISSN":"1932-6203","author":[{"dropping-particle":"","family":"Harris","given":"William S.","non-dropping-particle":"","parse-names":false,"suffix":""},{"dropping-particle":"","family":"Luo","given":"Juhua","non-dropping-particle":"","parse-names":false,"suffix":""},{"dropping-particle":"V.","family":"Pottala","given":"James","non-dropping-particle":"","parse-names":false,"suffix":""},{"dropping-particle":"","family":"Margolis","given":"Karen L.","non-dropping-particle":"","parse-names":false,"suffix":""},{"dropping-particle":"","family":"Espeland","given":"Mark A.","non-dropping-particle":"","parse-names":false,"suffix":""},{"dropping-particle":"","family":"Robinson","given":"Jennifer G.","non-dropping-particle":"","parse-names":false,"suffix":""}],"container-title":"PLoS One","editor":[{"dropping-particle":"","family":"Herder","given":"Christian","non-dropping-particle":"","parse-names":false,"suffix":""}],"id":"ITEM-6","issue":"2","issued":{"date-parts":[["2016","2","16"]]},"page":"e0147894","title":"Red Blood Cell Fatty Acids and Incident Diabetes Mellitus in the Women’s Health Initiative Memory Study","type":"article-journal","volume":"11"},"uris":["http://www.mendeley.com/documents/?uuid=cf216016-32ba-46be-88e4-ec739d051fd0"]},{"id":"ITEM-7","itemData":{"DOI":"10.1016/S2213-8587(14)70146-9","ISSN":"22138587","PMID":"25107467","abstract":"BACKGROUND: Conflicting evidence exists regarding the association between saturated fatty acids (SFAs) and type 2 diabetes. In this longitudinal case-cohort study, we aimed to investigate the prospective associations between objectively measured individual plasma phospholipid SFAs and incident type 2 diabetes in EPIC-InterAct participants. METHODS: The EPIC-InterAct case-cohort study includes 12 403 people with incident type 2 diabetes and a representative subcohort of 16 154 individuals who were selected from a cohort of 340 234 European participants with 3·99 million person-years of follow-up (the EPIC study). Incident type 2 diabetes was ascertained until Dec 31, 2007, by a review of several sources of evidence. Gas chromatography was used to measure the distribution of fatty acids in plasma phospholipids (mol%); samples from people with type 2 diabetes and subcohort participants were processed in a random order by centre, and laboratory staff were masked to participant characteristics. We estimated country-specific hazard ratios (HRs) for associations per SD of each SFA with incident type 2 diabetes using Prentice-weighted Cox regression, which is weighted for case-cohort sampling, and pooled our findings using random-effects meta-analysis. FINDINGS: SFAs accounted for 46% of total plasma phospholipid fatty acids. In adjusted analyses, different individual SFAs were associated with incident type 2 diabetes in opposing directions. Even-chain SFAs that were measured (14:0 [myristic acid], 16:0 [palmitic acid], and 18:0 [stearic acid]) were positively associated with incident type 2 diabetes (HR [95% CI] per SD difference: myristic acid 1·15 [95% CI 1·09-1·22], palmitic acid 1·26 [1·15-1·37], and stearic acid 1·06 [1·00-1·13]). By contrast, measured odd-chain SFAs (15:0 [pentadecanoic acid] and 17:0 [heptadecanoic acid]) were inversely associated with incident type 2 diabetes (HR [95% CI] per 1 SD difference: 0·79 [0·73-0·85] for pentadecanoic acid and 0·67 [0·63-0·71] for heptadecanoic acid), as were measured longer-chain SFAs (20:0 [arachidic acid], 22:0 [behenic acid], 23:0 [tricosanoic acid], and 24:0 [lignoceric acid]), with HRs ranging from 0·72 to 0·81 (95% CIs ranging between 0·61 and 0·92). Our findings were robust to a range of sensitivity analyses. INTERPRETATION: Different individual plasma phospholipid SFAs were associated with incident type 2 diabetes in opposite directions, which suggests that SFAs are not homogeneous in their effects. O…","author":[{"dropping-particle":"","family":"Forouhi","given":"Nita G","non-dropping-particle":"","parse-names":false,"suffix":""},{"dropping-particle":"","family":"Koulman","given":"Albert","non-dropping-particle":"","parse-names":false,"suffix":""},{"dropping-particle":"","family":"Sharp","given":"Stephen J","non-dropping-particle":"","parse-names":false,"suffix":""},{"dropping-particle":"","family":"Imamura","given":"Fumiaki","non-dropping-particle":"","parse-names":false,"suffix":""},{"dropping-particle":"","family":"Kröger","given":"Janine","non-dropping-particle":"","parse-names":false,"suffix":""},{"dropping-particle":"","family":"Schulze","given":"Matthias B","non-dropping-particle":"","parse-names":false,"suffix":""},{"dropping-particle":"","family":"Crowe","given":"Francesca L","non-dropping-particle":"","parse-names":false,"suffix":""},{"dropping-particle":"","family":"Huerta","given":"José María","non-dropping-particle":"","parse-names":false,"suffix":""},{"dropping-particle":"","family":"Guevara","given":"Marcela","non-dropping-particle":"","parse-names":false,"suffix":""},{"dropping-particle":"","family":"Beulens","given":"Joline Wj","non-dropping-particle":"","parse-names":false,"suffix":""},{"dropping-particle":"","family":"Woudenbergh","given":"Geertruida J","non-dropping-particle":"van","parse-names":false,"suffix":""},{"dropping-particle":"","family":"Wang","given":"Laura","non-dropping-particle":"","parse-names":false,"suffix":""},{"dropping-particle":"","family":"Summerhill","given":"Keith","non-dropping-particle":"","parse-names":false,"suffix":""},{"dropping-particle":"","family":"Griffin","given":"Julian L","non-dropping-particle":"","parse-names":false,"suffix":""},{"dropping-particle":"","family":"Feskens","given":"Edith Jm","non-dropping-particle":"","parse-names":false,"suffix":""},{"dropping-particle":"","family":"Amiano","given":"Pilar","non-dropping-particle":"","parse-names":false,"suffix":""},{"dropping-particle":"","family":"Boeing","given":"Heiner","non-dropping-particle":"","parse-names":false,"suffix":""},{"dropping-particle":"","family":"Clavel-Chapelon","given":"Françoise","non-dropping-particle":"","parse-names":false,"suffix":""},{"dropping-particle":"","family":"Dartois","given":"Laureen","non-dropping-particle":"","parse-names":false,"suffix":""},{"dropping-particle":"","family":"Fagherazzi","given":"Guy","non-dropping-particle":"","parse-names":false,"suffix":""},{"dropping-particle":"","family":"Franks","given":"Paul W","non-dropping-particle":"","parse-names":false,"suffix":""},{"dropping-particle":"","family":"Gonzalez","given":"Carlos","non-dropping-particle":"","parse-names":false,"suffix":""},{"dropping-particle":"","family":"Jakobsen","given":"Marianne Uhre","non-dropping-particle":"","parse-names":false,"suffix":""},{"dropping-particle":"","family":"Kaaks","given":"Rudolf","non-dropping-particle":"","parse-names":false,"suffix":""},{"dropping-particle":"","family":"Key","given":"Timothy J","non-dropping-particle":"","parse-names":false,"suffix":""},{"dropping-particle":"","family":"Khaw","given":"Kay-Tee","non-dropping-particle":"","parse-names":false,"suffix":""},{"dropping-particle":"","family":"Kühn","given":"Tilman","non-dropping-particle":"","parse-names":false,"suffix":""},{"dropping-particle":"","family":"Mattiello","given":"Amalia","non-dropping-particle":"","parse-names":false,"suffix":""},{"dropping-particle":"","family":"Nilsson","given":"Peter M","non-dropping-particle":"","parse-names":false,"suffix":""},{"dropping-particle":"","family":"Overvad","given":"Kim","non-dropping-particle":"","parse-names":false,"suffix":""},{"dropping-particle":"","family":"Pala","given":"Valeria","non-dropping-particle":"","parse-names":false,"suffix":""},{"dropping-particle":"","family":"Palli","given":"Domenico","non-dropping-particle":"","parse-names":false,"suffix":""},{"dropping-particle":"","family":"Quirós","given":"J Ramón","non-dropping-particle":"","parse-names":false,"suffix":""},{"dropping-particle":"","family":"Rolandsson","given":"Olov","non-dropping-particle":"","parse-names":false,"suffix":""},{"dropping-particle":"","family":"Roswall","given":"Nina","non-dropping-particle":"","parse-names":false,"suffix":""},{"dropping-particle":"","family":"Sacerdote","given":"Carlotta","non-dropping-particle":"","parse-names":false,"suffix":""},{"dropping-particle":"","family":"Sánchez","given":"María-José","non-dropping-particle":"","parse-names":false,"suffix":""},{"dropping-particle":"","family":"Slimani","given":"Nadia","non-dropping-particle":"","parse-names":false,"suffix":""},{"dropping-particle":"","family":"Spijkerman","given":"Annemieke MW","non-dropping-particle":"","parse-names":false,"suffix":""},{"dropping-particle":"","family":"Tjonneland","given":"Anne","non-dropping-particle":"","parse-names":false,"suffix":""},{"dropping-particle":"","family":"Tormo","given":"Maria-José","non-dropping-particle":"","parse-names":false,"suffix":""},{"dropping-particle":"","family":"Tumino","given":"Rosario","non-dropping-particle":"","parse-names":false,"suffix":""},{"dropping-particle":"","family":"A","given":"Daphne L","non-dropping-particle":"van der","parse-names":false,"suffix":""},{"dropping-particle":"","family":"Schouw","given":"Yvonne T","non-dropping-particle":"van der","parse-names":false,"suffix":""},{"dropping-particle":"","family":"Langenberg","given":"Claudia","non-dropping-particle":"","parse-names":false,"suffix":""},{"dropping-particle":"","family":"Riboli","given":"Elio","non-dropping-particle":"","parse-names":false,"suffix":""},{"dropping-particle":"","family":"Wareham","given":"Nicholas J","non-dropping-particle":"","parse-names":false,"suffix":""}],"container-title":"Lancet Diab Endocrinol","id":"ITEM-7","issue":"10","issued":{"date-parts":[["2014","10","5"]]},"page":"810-818","title":"Differences in the prospective association between individual plasma phospholipid saturated fatty acids and incident type 2 diabetes: the EPIC-InterAct case-cohort study","type":"article-journal","volume":"2"},"uris":["http://www.mendeley.com/documents/?uuid=e68046fe-e6e0-4efd-b343-0eacca76fce6"]},{"id":"ITEM-8","itemData":{"DOI":"10.1007/s00125-015-3730-5","ISBN":"0012501537305","ISSN":"0012-186X","author":[{"dropping-particle":"","family":"Lankinen","given":"Maria a.","non-dropping-particle":"","parse-names":false,"suffix":""},{"dropping-particle":"","family":"Stančáková","given":"Alena","non-dropping-particle":"","parse-names":false,"suffix":""},{"dropping-particle":"","family":"Uusitupa","given":"Matti","non-dropping-particle":"","parse-names":false,"suffix":""},{"dropping-particle":"","family":"Ågren","given":"Jyrki","non-dropping-particle":"","parse-names":false,"suffix":""},{"dropping-particle":"","family":"Pihlajamäki","given":"Jussi","non-dropping-particle":"","parse-names":false,"suffix":""},{"dropping-particle":"","family":"Kuusisto","given":"Johanna","non-dropping-particle":"","parse-names":false,"suffix":""},{"dropping-particle":"","family":"Schwab","given":"Ursula","non-dropping-particle":"","parse-names":false,"suffix":""},{"dropping-particle":"","family":"Laakso","given":"Markku","non-dropping-particle":"","parse-names":false,"suffix":""}],"container-title":"Diabetologia","id":"ITEM-8","issue":"11","issued":{"date-parts":[["2015","11","16"]]},"page":"2533-2544","title":"Plasma fatty acids as predictors of glycaemia and type 2 diabetes","type":"article-journal","volume":"58"},"uris":["http://www.mendeley.com/documents/?uuid=099c7637-1b4d-439d-ae07-8fe1af625361"]}],"mendeley":{"formattedCitation":"[11–18]","plainTextFormattedCitation":"[11–18]","previouslyFormattedCitation":"[11–18]"},"properties":{"noteIndex":0},"schema":"https://github.com/citation-style-language/schema/raw/master/csl-citation.json"}</w:instrText>
      </w:r>
      <w:r w:rsidR="007946B2" w:rsidRPr="00C40A28">
        <w:rPr>
          <w:snapToGrid w:val="0"/>
          <w:sz w:val="22"/>
          <w:szCs w:val="22"/>
          <w:lang w:val="en-US" w:eastAsia="ja-JP"/>
        </w:rPr>
        <w:fldChar w:fldCharType="separate"/>
      </w:r>
      <w:r w:rsidR="002E24E3" w:rsidRPr="00C40A28">
        <w:rPr>
          <w:noProof/>
          <w:snapToGrid w:val="0"/>
          <w:sz w:val="22"/>
          <w:szCs w:val="22"/>
          <w:lang w:val="en-US" w:eastAsia="ja-JP"/>
        </w:rPr>
        <w:t>[11–18]</w:t>
      </w:r>
      <w:r w:rsidR="007946B2" w:rsidRPr="00C40A28">
        <w:rPr>
          <w:snapToGrid w:val="0"/>
          <w:sz w:val="22"/>
          <w:szCs w:val="22"/>
          <w:lang w:val="en-US" w:eastAsia="ja-JP"/>
        </w:rPr>
        <w:fldChar w:fldCharType="end"/>
      </w:r>
      <w:r w:rsidR="002C594F">
        <w:rPr>
          <w:snapToGrid w:val="0"/>
          <w:sz w:val="22"/>
          <w:szCs w:val="22"/>
          <w:lang w:val="en-US" w:eastAsia="ja-JP"/>
        </w:rPr>
        <w:t>.</w:t>
      </w:r>
      <w:r w:rsidR="006A430C">
        <w:rPr>
          <w:snapToGrid w:val="0"/>
          <w:sz w:val="22"/>
          <w:szCs w:val="22"/>
          <w:lang w:val="en-US" w:eastAsia="ja-JP"/>
        </w:rPr>
        <w:t xml:space="preserve"> </w:t>
      </w:r>
      <w:r w:rsidR="004A18A6" w:rsidRPr="00C40A28">
        <w:rPr>
          <w:snapToGrid w:val="0"/>
          <w:sz w:val="22"/>
          <w:szCs w:val="22"/>
          <w:lang w:val="en-US" w:eastAsia="ja-JP"/>
        </w:rPr>
        <w:t xml:space="preserve">For instance, </w:t>
      </w:r>
      <w:r w:rsidR="00C43AE2" w:rsidRPr="00C40A28">
        <w:rPr>
          <w:snapToGrid w:val="0"/>
          <w:sz w:val="22"/>
          <w:szCs w:val="22"/>
          <w:lang w:val="en-US" w:eastAsia="ja-JP"/>
        </w:rPr>
        <w:t xml:space="preserve">higher </w:t>
      </w:r>
      <w:r w:rsidR="004A18A6" w:rsidRPr="00C40A28">
        <w:rPr>
          <w:snapToGrid w:val="0"/>
          <w:sz w:val="22"/>
          <w:szCs w:val="22"/>
          <w:lang w:val="en-US" w:eastAsia="ja-JP"/>
        </w:rPr>
        <w:t>c</w:t>
      </w:r>
      <w:r w:rsidR="007946B2" w:rsidRPr="00C40A28">
        <w:rPr>
          <w:snapToGrid w:val="0"/>
          <w:sz w:val="22"/>
          <w:szCs w:val="22"/>
          <w:lang w:val="en-US" w:eastAsia="ja-JP"/>
        </w:rPr>
        <w:t xml:space="preserve">oncentrations of </w:t>
      </w:r>
      <w:r w:rsidR="00F45CD0" w:rsidRPr="00C40A28">
        <w:rPr>
          <w:snapToGrid w:val="0"/>
          <w:sz w:val="22"/>
          <w:szCs w:val="22"/>
          <w:lang w:val="en-US" w:eastAsia="ja-JP"/>
        </w:rPr>
        <w:t>16:0</w:t>
      </w:r>
      <w:r w:rsidR="007946B2" w:rsidRPr="00C40A28">
        <w:rPr>
          <w:snapToGrid w:val="0"/>
          <w:sz w:val="22"/>
          <w:szCs w:val="22"/>
          <w:lang w:val="en-US" w:eastAsia="ja-JP"/>
        </w:rPr>
        <w:t xml:space="preserve"> were </w:t>
      </w:r>
      <w:r w:rsidR="00A24338" w:rsidRPr="00C40A28">
        <w:rPr>
          <w:snapToGrid w:val="0"/>
          <w:sz w:val="22"/>
          <w:szCs w:val="22"/>
          <w:lang w:val="en-US" w:eastAsia="ja-JP"/>
        </w:rPr>
        <w:t xml:space="preserve">associated with </w:t>
      </w:r>
      <w:r w:rsidR="00C43AE2" w:rsidRPr="00C40A28">
        <w:rPr>
          <w:snapToGrid w:val="0"/>
          <w:sz w:val="22"/>
          <w:szCs w:val="22"/>
          <w:lang w:val="en-US" w:eastAsia="ja-JP"/>
        </w:rPr>
        <w:t xml:space="preserve">a higher </w:t>
      </w:r>
      <w:r w:rsidR="00A24338" w:rsidRPr="00C40A28">
        <w:rPr>
          <w:snapToGrid w:val="0"/>
          <w:sz w:val="22"/>
          <w:szCs w:val="22"/>
          <w:lang w:val="en-US" w:eastAsia="ja-JP"/>
        </w:rPr>
        <w:t>inciden</w:t>
      </w:r>
      <w:r w:rsidR="00C43AE2" w:rsidRPr="00C40A28">
        <w:rPr>
          <w:snapToGrid w:val="0"/>
          <w:sz w:val="22"/>
          <w:szCs w:val="22"/>
          <w:lang w:val="en-US" w:eastAsia="ja-JP"/>
        </w:rPr>
        <w:t>ce of</w:t>
      </w:r>
      <w:r w:rsidR="00A24338" w:rsidRPr="00C40A28">
        <w:rPr>
          <w:snapToGrid w:val="0"/>
          <w:sz w:val="22"/>
          <w:szCs w:val="22"/>
          <w:lang w:val="en-US" w:eastAsia="ja-JP"/>
        </w:rPr>
        <w:t xml:space="preserve"> </w:t>
      </w:r>
      <w:r w:rsidR="007946B2" w:rsidRPr="00C40A28">
        <w:rPr>
          <w:snapToGrid w:val="0"/>
          <w:sz w:val="22"/>
          <w:szCs w:val="22"/>
          <w:lang w:val="en-US" w:eastAsia="ja-JP"/>
        </w:rPr>
        <w:t xml:space="preserve">T2D in </w:t>
      </w:r>
      <w:r w:rsidR="004840D3" w:rsidRPr="00C40A28">
        <w:rPr>
          <w:snapToGrid w:val="0"/>
          <w:sz w:val="22"/>
          <w:szCs w:val="22"/>
          <w:lang w:val="en-US" w:eastAsia="ja-JP"/>
        </w:rPr>
        <w:t xml:space="preserve">several </w:t>
      </w:r>
      <w:r w:rsidR="007946B2" w:rsidRPr="00C40A28">
        <w:rPr>
          <w:snapToGrid w:val="0"/>
          <w:sz w:val="22"/>
          <w:szCs w:val="22"/>
          <w:lang w:val="en-US" w:eastAsia="ja-JP"/>
        </w:rPr>
        <w:t xml:space="preserve">studies, but not in </w:t>
      </w:r>
      <w:r w:rsidR="004840D3" w:rsidRPr="00C40A28">
        <w:rPr>
          <w:snapToGrid w:val="0"/>
          <w:sz w:val="22"/>
          <w:szCs w:val="22"/>
          <w:lang w:val="en-US" w:eastAsia="ja-JP"/>
        </w:rPr>
        <w:t xml:space="preserve">others </w:t>
      </w:r>
      <w:r w:rsidR="004840D3" w:rsidRPr="00C40A28">
        <w:rPr>
          <w:snapToGrid w:val="0"/>
          <w:sz w:val="22"/>
          <w:szCs w:val="22"/>
          <w:lang w:val="en-US" w:eastAsia="ja-JP"/>
        </w:rPr>
        <w:fldChar w:fldCharType="begin" w:fldLock="1"/>
      </w:r>
      <w:r w:rsidR="005F00D8" w:rsidRPr="00C40A28">
        <w:rPr>
          <w:snapToGrid w:val="0"/>
          <w:sz w:val="22"/>
          <w:szCs w:val="22"/>
          <w:lang w:val="en-US" w:eastAsia="ja-JP"/>
        </w:rPr>
        <w:instrText>ADDIN CSL_CITATION {"citationItems":[{"id":"ITEM-1","itemData":{"DOI":"10.1093/ajcn/86.1.189","ISBN":"0002-9165","ISSN":"00029165","PMID":"17616780","abstract":"BACKGROUND: Dietary fatty acids may be associated with diabetes but are difficult to measure accurately. OBJECTIVE: We aimed to investigate the associations of fatty acids in plasma and diet with diabetes incidence. DESIGN: This was a prospective case-cohort study of 3737 adults aged 36-72 y. Fatty acid intake (/kJ) and plasma phospholipid fatty acids (%) were measured at baseline, and diabetes incidence was assessed by self-report 4 y later. Logistic regression excluding (model 1) and including (model 2) body mass index and waist-hip ratio was used to calculate odds ratios (ORs) for plasma phospholipid and dietary fatty acids. RESULTS: In plasma phospholipid, positive associations with diabetes were seen for stearic acid [OR model 1, highest versus lowest quintile: 4.14 (95% CI: 2.65, 6.49), P for trend &lt; 0.0001] and total saturated fatty acids [OR model 1: 3.76 (2.43, 5.81), P for trend &lt; 0.0001], whereas an inverse association was seen for linoleic acid [OR model 1: 0.22 (0.14, 0.36), P for trend &lt; 0.0001]. Dietary linoleic [OR model 1: 1.77 (1.19, 2.64), P for trend = 0.002], palmitic [OR model 1: 1.65 (1.12, 2.43), P for trend = 0.012], and stearic [OR model 1: 1.46 (1.00, 2.14), P for trend = 0.030] acids were positively associated with diabetes incidence before adjustment for body size. Within each quintile of linoleic acid intake, cases had lower baseline plasma phospholipid linoleic acid proportions than did controls. CONCLUSIONS: Dietary saturated fat intake is inversely associated with diabetes risk. More research is required to determine whether linoleic acid is an appropriate dietary substitute.","author":[{"dropping-particle":"","family":"Hodge","given":"Allison M.","non-dropping-particle":"","parse-names":false,"suffix":""},{"dropping-particle":"","family":"English","given":"Dallas R.","non-dropping-particle":"","parse-names":false,"suffix":""},{"dropping-particle":"","family":"O'Dea","given":"Kerin","non-dropping-particle":"","parse-names":false,"suffix":""},{"dropping-particle":"","family":"Sinclair","given":"Andrew J.","non-dropping-particle":"","parse-names":false,"suffix":""},{"dropping-particle":"","family":"Makrides","given":"Maria","non-dropping-particle":"","parse-names":false,"suffix":""},{"dropping-particle":"","family":"Gibson","given":"Robert A.","non-dropping-particle":"","parse-names":false,"suffix":""},{"dropping-particle":"","family":"Giles","given":"Graham G.","non-dropping-particle":"","parse-names":false,"suffix":""}],"container-title":"Am J Clin Nutr","id":"ITEM-1","issue":"1","issued":{"date-parts":[["2007"]]},"page":"189-97.","title":"Plasma phospholipid and dietary fatty acids as predictors of type 2 diabetes: interpreting the role of linoleic acid","type":"article-journal","volume":"86"},"uris":["http://www.mendeley.com/documents/?uuid=69ad24b4-dab9-40df-96db-2e03da5d0804"]},{"id":"ITEM-2","itemData":{"DOI":"10.1007/s00125-015-3730-5","ISBN":"0012501537305","ISSN":"0012-186X","author":[{"dropping-particle":"","family":"Lankinen","given":"Maria a.","non-dropping-particle":"","parse-names":false,"suffix":""},{"dropping-particle":"","family":"Stančáková","given":"Alena","non-dropping-particle":"","parse-names":false,"suffix":""},{"dropping-particle":"","family":"Uusitupa","given":"Matti","non-dropping-particle":"","parse-names":false,"suffix":""},{"dropping-particle":"","family":"Ågren","given":"Jyrki","non-dropping-particle":"","parse-names":false,"suffix":""},{"dropping-particle":"","family":"Pihlajamäki","given":"Jussi","non-dropping-particle":"","parse-names":false,"suffix":""},{"dropping-particle":"","family":"Kuusisto","given":"Johanna","non-dropping-particle":"","parse-names":false,"suffix":""},{"dropping-particle":"","family":"Schwab","given":"Ursula","non-dropping-particle":"","parse-names":false,"suffix":""},{"dropping-particle":"","family":"Laakso","given":"Markku","non-dropping-particle":"","parse-names":false,"suffix":""}],"container-title":"Diabetologia","id":"ITEM-2","issue":"11","issued":{"date-parts":[["2015","11","16"]]},"page":"2533-2544","title":"Plasma fatty acids as predictors of glycaemia and type 2 diabetes","type":"article-journal","volume":"58"},"uris":["http://www.mendeley.com/documents/?uuid=099c7637-1b4d-439d-ae07-8fe1af625361"]}],"mendeley":{"formattedCitation":"[14,18]","plainTextFormattedCitation":"[14,18]","previouslyFormattedCitation":"[14,18]"},"properties":{"noteIndex":0},"schema":"https://github.com/citation-style-language/schema/raw/master/csl-citation.json"}</w:instrText>
      </w:r>
      <w:r w:rsidR="004840D3" w:rsidRPr="00C40A28">
        <w:rPr>
          <w:snapToGrid w:val="0"/>
          <w:sz w:val="22"/>
          <w:szCs w:val="22"/>
          <w:lang w:val="en-US" w:eastAsia="ja-JP"/>
        </w:rPr>
        <w:fldChar w:fldCharType="separate"/>
      </w:r>
      <w:r w:rsidR="004840D3" w:rsidRPr="00C40A28">
        <w:rPr>
          <w:noProof/>
          <w:snapToGrid w:val="0"/>
          <w:sz w:val="22"/>
          <w:szCs w:val="22"/>
          <w:lang w:val="en-US" w:eastAsia="ja-JP"/>
        </w:rPr>
        <w:t>[14,18]</w:t>
      </w:r>
      <w:r w:rsidR="004840D3" w:rsidRPr="00C40A28">
        <w:rPr>
          <w:snapToGrid w:val="0"/>
          <w:sz w:val="22"/>
          <w:szCs w:val="22"/>
          <w:lang w:val="en-US" w:eastAsia="ja-JP"/>
        </w:rPr>
        <w:fldChar w:fldCharType="end"/>
      </w:r>
      <w:r w:rsidR="007946B2" w:rsidRPr="00C40A28">
        <w:rPr>
          <w:snapToGrid w:val="0"/>
          <w:sz w:val="22"/>
          <w:szCs w:val="22"/>
          <w:lang w:val="en-US" w:eastAsia="ja-JP"/>
        </w:rPr>
        <w:t xml:space="preserve">. </w:t>
      </w:r>
      <w:r w:rsidR="00A24338" w:rsidRPr="00C40A28">
        <w:rPr>
          <w:snapToGrid w:val="0"/>
          <w:sz w:val="22"/>
          <w:szCs w:val="22"/>
          <w:lang w:val="en-US" w:eastAsia="ja-JP"/>
        </w:rPr>
        <w:t>Similarly inconsistent findings were observed for 16:1n7, 18:0, and 18:1</w:t>
      </w:r>
      <w:r w:rsidR="00C26868" w:rsidRPr="00C40A28">
        <w:rPr>
          <w:snapToGrid w:val="0"/>
          <w:sz w:val="22"/>
          <w:szCs w:val="22"/>
          <w:lang w:val="en-US" w:eastAsia="ja-JP"/>
        </w:rPr>
        <w:t>n9</w:t>
      </w:r>
      <w:r w:rsidR="00A24338" w:rsidRPr="00C40A28">
        <w:rPr>
          <w:snapToGrid w:val="0"/>
          <w:sz w:val="22"/>
          <w:szCs w:val="22"/>
          <w:lang w:val="en-US" w:eastAsia="ja-JP"/>
        </w:rPr>
        <w:t xml:space="preserve">. </w:t>
      </w:r>
      <w:r w:rsidR="00237D66" w:rsidRPr="00C40A28">
        <w:rPr>
          <w:snapToGrid w:val="0"/>
          <w:sz w:val="22"/>
          <w:szCs w:val="22"/>
          <w:lang w:val="en-US" w:eastAsia="ja-JP"/>
        </w:rPr>
        <w:t xml:space="preserve">To our knowledge, </w:t>
      </w:r>
      <w:r w:rsidR="009F1966" w:rsidRPr="00C40A28">
        <w:rPr>
          <w:snapToGrid w:val="0"/>
          <w:sz w:val="22"/>
          <w:szCs w:val="22"/>
          <w:lang w:val="en-US" w:eastAsia="ja-JP"/>
        </w:rPr>
        <w:t xml:space="preserve">no prior studies have </w:t>
      </w:r>
      <w:r w:rsidR="00136017" w:rsidRPr="00C40A28">
        <w:rPr>
          <w:snapToGrid w:val="0"/>
          <w:sz w:val="22"/>
          <w:szCs w:val="22"/>
          <w:lang w:val="en-US" w:eastAsia="ja-JP"/>
        </w:rPr>
        <w:t>comprehensively</w:t>
      </w:r>
      <w:r w:rsidR="009F1966" w:rsidRPr="00C40A28">
        <w:rPr>
          <w:snapToGrid w:val="0"/>
          <w:sz w:val="22"/>
          <w:szCs w:val="22"/>
          <w:lang w:val="en-US" w:eastAsia="ja-JP"/>
        </w:rPr>
        <w:t xml:space="preserve"> brought together </w:t>
      </w:r>
      <w:r w:rsidR="00136017" w:rsidRPr="00C40A28">
        <w:rPr>
          <w:snapToGrid w:val="0"/>
          <w:sz w:val="22"/>
          <w:szCs w:val="22"/>
          <w:lang w:val="en-US" w:eastAsia="ja-JP"/>
        </w:rPr>
        <w:t>available</w:t>
      </w:r>
      <w:r w:rsidR="00237D66" w:rsidRPr="00C40A28">
        <w:rPr>
          <w:snapToGrid w:val="0"/>
          <w:sz w:val="22"/>
          <w:szCs w:val="22"/>
          <w:lang w:val="en-US" w:eastAsia="ja-JP"/>
        </w:rPr>
        <w:t xml:space="preserve"> </w:t>
      </w:r>
      <w:r w:rsidR="009F1966" w:rsidRPr="00C40A28">
        <w:rPr>
          <w:snapToGrid w:val="0"/>
          <w:sz w:val="22"/>
          <w:szCs w:val="22"/>
          <w:lang w:val="en-US" w:eastAsia="ja-JP"/>
        </w:rPr>
        <w:t xml:space="preserve">evidence relating these fatty acids to </w:t>
      </w:r>
      <w:r w:rsidR="00C26868" w:rsidRPr="00C40A28">
        <w:rPr>
          <w:snapToGrid w:val="0"/>
          <w:sz w:val="22"/>
          <w:szCs w:val="22"/>
          <w:lang w:val="en-US" w:eastAsia="ja-JP"/>
        </w:rPr>
        <w:t xml:space="preserve">incidence of </w:t>
      </w:r>
      <w:r w:rsidR="009F1966" w:rsidRPr="00C40A28">
        <w:rPr>
          <w:snapToGrid w:val="0"/>
          <w:sz w:val="22"/>
          <w:szCs w:val="22"/>
          <w:lang w:val="en-US" w:eastAsia="ja-JP"/>
        </w:rPr>
        <w:t>T2D</w:t>
      </w:r>
      <w:r w:rsidR="004840D3" w:rsidRPr="00C40A28">
        <w:rPr>
          <w:snapToGrid w:val="0"/>
          <w:sz w:val="22"/>
          <w:szCs w:val="22"/>
          <w:lang w:val="en-US" w:eastAsia="ja-JP"/>
        </w:rPr>
        <w:t xml:space="preserve"> or </w:t>
      </w:r>
      <w:r w:rsidR="009F1966" w:rsidRPr="00C40A28">
        <w:rPr>
          <w:snapToGrid w:val="0"/>
          <w:sz w:val="22"/>
          <w:szCs w:val="22"/>
          <w:lang w:val="en-US" w:eastAsia="ja-JP"/>
        </w:rPr>
        <w:t>investigated potential factors underlying the heterogeneous findings</w:t>
      </w:r>
      <w:r w:rsidR="00356D37" w:rsidRPr="00C40A28">
        <w:rPr>
          <w:snapToGrid w:val="0"/>
          <w:sz w:val="22"/>
          <w:szCs w:val="22"/>
          <w:lang w:val="en-US" w:eastAsia="ja-JP"/>
        </w:rPr>
        <w:t xml:space="preserve">. </w:t>
      </w:r>
      <w:r w:rsidR="009F1966" w:rsidRPr="00C40A28">
        <w:rPr>
          <w:snapToGrid w:val="0"/>
          <w:sz w:val="22"/>
          <w:szCs w:val="22"/>
          <w:lang w:val="en-US" w:eastAsia="ja-JP"/>
        </w:rPr>
        <w:t>Varied findings to date</w:t>
      </w:r>
      <w:r w:rsidR="00356D37" w:rsidRPr="00C40A28">
        <w:rPr>
          <w:snapToGrid w:val="0"/>
          <w:sz w:val="22"/>
          <w:szCs w:val="22"/>
          <w:lang w:val="en-US" w:eastAsia="ja-JP"/>
        </w:rPr>
        <w:t xml:space="preserve"> </w:t>
      </w:r>
      <w:r w:rsidRPr="00C40A28">
        <w:rPr>
          <w:snapToGrid w:val="0"/>
          <w:sz w:val="22"/>
          <w:szCs w:val="22"/>
          <w:lang w:val="en-US" w:eastAsia="ja-JP"/>
        </w:rPr>
        <w:t xml:space="preserve">could </w:t>
      </w:r>
      <w:r w:rsidR="002369A6" w:rsidRPr="00C40A28">
        <w:rPr>
          <w:snapToGrid w:val="0"/>
          <w:sz w:val="22"/>
          <w:szCs w:val="22"/>
          <w:lang w:val="en-US" w:eastAsia="ja-JP"/>
        </w:rPr>
        <w:t xml:space="preserve">reflect </w:t>
      </w:r>
      <w:r w:rsidR="004D778D" w:rsidRPr="00C40A28">
        <w:rPr>
          <w:snapToGrid w:val="0"/>
          <w:sz w:val="22"/>
          <w:szCs w:val="22"/>
          <w:lang w:val="en-US" w:eastAsia="ja-JP"/>
        </w:rPr>
        <w:t xml:space="preserve">unstable results from </w:t>
      </w:r>
      <w:r w:rsidR="00356D37" w:rsidRPr="00C40A28">
        <w:rPr>
          <w:snapToGrid w:val="0"/>
          <w:sz w:val="22"/>
          <w:szCs w:val="22"/>
          <w:lang w:val="en-US" w:eastAsia="ja-JP"/>
        </w:rPr>
        <w:t xml:space="preserve">some </w:t>
      </w:r>
      <w:r w:rsidR="009C2026" w:rsidRPr="00C40A28">
        <w:rPr>
          <w:snapToGrid w:val="0"/>
          <w:sz w:val="22"/>
          <w:szCs w:val="22"/>
          <w:lang w:val="en-US" w:eastAsia="ja-JP"/>
        </w:rPr>
        <w:t xml:space="preserve">relatively </w:t>
      </w:r>
      <w:r w:rsidR="004D778D" w:rsidRPr="00C40A28">
        <w:rPr>
          <w:snapToGrid w:val="0"/>
          <w:sz w:val="22"/>
          <w:szCs w:val="22"/>
          <w:lang w:val="en-US" w:eastAsia="ja-JP"/>
        </w:rPr>
        <w:t>small-scale studies (</w:t>
      </w:r>
      <w:r w:rsidR="004A18A6" w:rsidRPr="00C40A28">
        <w:rPr>
          <w:snapToGrid w:val="0"/>
          <w:sz w:val="22"/>
          <w:szCs w:val="22"/>
          <w:lang w:val="en-US" w:eastAsia="ja-JP"/>
        </w:rPr>
        <w:t xml:space="preserve">e.g. </w:t>
      </w:r>
      <w:r w:rsidR="004D778D" w:rsidRPr="00C40A28">
        <w:rPr>
          <w:snapToGrid w:val="0"/>
          <w:sz w:val="22"/>
          <w:szCs w:val="22"/>
          <w:lang w:val="en-US" w:eastAsia="ja-JP"/>
        </w:rPr>
        <w:t>N cases&lt;</w:t>
      </w:r>
      <w:r w:rsidR="009D4D58" w:rsidRPr="00C40A28">
        <w:rPr>
          <w:snapToGrid w:val="0"/>
          <w:sz w:val="22"/>
          <w:szCs w:val="22"/>
          <w:lang w:val="en-US" w:eastAsia="ja-JP"/>
        </w:rPr>
        <w:t>200</w:t>
      </w:r>
      <w:r w:rsidR="00A24338" w:rsidRPr="00C40A28">
        <w:rPr>
          <w:snapToGrid w:val="0"/>
          <w:sz w:val="22"/>
          <w:szCs w:val="22"/>
          <w:lang w:val="en-US" w:eastAsia="ja-JP"/>
        </w:rPr>
        <w:t xml:space="preserve"> in many cohorts</w:t>
      </w:r>
      <w:r w:rsidR="004D778D" w:rsidRPr="00C40A28">
        <w:rPr>
          <w:snapToGrid w:val="0"/>
          <w:sz w:val="22"/>
          <w:szCs w:val="22"/>
          <w:lang w:val="en-US" w:eastAsia="ja-JP"/>
        </w:rPr>
        <w:t>)</w:t>
      </w:r>
      <w:r w:rsidR="002369A6" w:rsidRPr="00C40A28">
        <w:rPr>
          <w:snapToGrid w:val="0"/>
          <w:sz w:val="22"/>
          <w:szCs w:val="22"/>
          <w:lang w:val="en-US" w:eastAsia="ja-JP"/>
        </w:rPr>
        <w:t xml:space="preserve">, different </w:t>
      </w:r>
      <w:r w:rsidR="004D778D" w:rsidRPr="00C40A28">
        <w:rPr>
          <w:snapToGrid w:val="0"/>
          <w:sz w:val="22"/>
          <w:szCs w:val="22"/>
          <w:lang w:val="en-US" w:eastAsia="ja-JP"/>
        </w:rPr>
        <w:t>lipid fractions evaluated across studies</w:t>
      </w:r>
      <w:r w:rsidR="002369A6" w:rsidRPr="00C40A28">
        <w:rPr>
          <w:snapToGrid w:val="0"/>
          <w:sz w:val="22"/>
          <w:szCs w:val="22"/>
          <w:lang w:val="en-US" w:eastAsia="ja-JP"/>
        </w:rPr>
        <w:t>,</w:t>
      </w:r>
      <w:r w:rsidR="004D778D" w:rsidRPr="00C40A28">
        <w:rPr>
          <w:snapToGrid w:val="0"/>
          <w:sz w:val="22"/>
          <w:szCs w:val="22"/>
          <w:lang w:val="en-US" w:eastAsia="ja-JP"/>
        </w:rPr>
        <w:t xml:space="preserve"> and differences in demographics and </w:t>
      </w:r>
      <w:r w:rsidR="002369A6" w:rsidRPr="00C40A28">
        <w:rPr>
          <w:snapToGrid w:val="0"/>
          <w:sz w:val="22"/>
          <w:szCs w:val="22"/>
          <w:lang w:val="en-US" w:eastAsia="ja-JP"/>
        </w:rPr>
        <w:t>analytic approaches</w:t>
      </w:r>
      <w:r w:rsidR="004D778D" w:rsidRPr="00C40A28">
        <w:rPr>
          <w:snapToGrid w:val="0"/>
          <w:sz w:val="22"/>
          <w:szCs w:val="22"/>
          <w:lang w:val="en-US" w:eastAsia="ja-JP"/>
        </w:rPr>
        <w:t>.</w:t>
      </w:r>
      <w:r w:rsidR="00BA2B42" w:rsidRPr="00C40A28">
        <w:rPr>
          <w:snapToGrid w:val="0"/>
          <w:sz w:val="22"/>
          <w:szCs w:val="22"/>
          <w:lang w:val="en-US" w:eastAsia="ja-JP"/>
        </w:rPr>
        <w:t xml:space="preserve"> </w:t>
      </w:r>
      <w:r w:rsidR="00463A4C" w:rsidRPr="00C40A28">
        <w:rPr>
          <w:snapToGrid w:val="0"/>
          <w:sz w:val="22"/>
          <w:szCs w:val="22"/>
          <w:lang w:val="en-US" w:eastAsia="ja-JP"/>
        </w:rPr>
        <w:t>Also</w:t>
      </w:r>
      <w:r w:rsidR="00BA2B42" w:rsidRPr="00C40A28">
        <w:rPr>
          <w:snapToGrid w:val="0"/>
          <w:sz w:val="22"/>
          <w:szCs w:val="22"/>
          <w:lang w:val="en-US" w:eastAsia="ja-JP"/>
        </w:rPr>
        <w:t xml:space="preserve">, </w:t>
      </w:r>
      <w:r w:rsidR="00463A4C" w:rsidRPr="00C40A28">
        <w:rPr>
          <w:snapToGrid w:val="0"/>
          <w:sz w:val="22"/>
          <w:szCs w:val="22"/>
          <w:lang w:val="en-US" w:eastAsia="ja-JP"/>
        </w:rPr>
        <w:t xml:space="preserve">there is little evidence </w:t>
      </w:r>
      <w:r w:rsidR="00BA2B42" w:rsidRPr="00C40A28">
        <w:rPr>
          <w:snapToGrid w:val="0"/>
          <w:sz w:val="22"/>
          <w:szCs w:val="22"/>
          <w:lang w:val="en-US" w:eastAsia="ja-JP"/>
        </w:rPr>
        <w:t xml:space="preserve">whether the fatty acids in the DNL pathway may have a </w:t>
      </w:r>
      <w:r w:rsidR="006966ED" w:rsidRPr="00C40A28">
        <w:rPr>
          <w:snapToGrid w:val="0"/>
          <w:sz w:val="22"/>
          <w:szCs w:val="22"/>
          <w:lang w:val="en-US" w:eastAsia="ja-JP"/>
        </w:rPr>
        <w:t xml:space="preserve">pathophysiological </w:t>
      </w:r>
      <w:r w:rsidR="00BA2B42" w:rsidRPr="00C40A28">
        <w:rPr>
          <w:snapToGrid w:val="0"/>
          <w:sz w:val="22"/>
          <w:szCs w:val="22"/>
          <w:lang w:val="en-US" w:eastAsia="ja-JP"/>
        </w:rPr>
        <w:t>role independent of the overall DNL activity</w:t>
      </w:r>
      <w:r w:rsidR="00463A4C" w:rsidRPr="00C40A28">
        <w:rPr>
          <w:snapToGrid w:val="0"/>
          <w:sz w:val="22"/>
          <w:szCs w:val="22"/>
          <w:lang w:val="en-US" w:eastAsia="ja-JP"/>
        </w:rPr>
        <w:t xml:space="preserve"> or </w:t>
      </w:r>
      <w:r w:rsidR="00BA2B42" w:rsidRPr="00C40A28">
        <w:rPr>
          <w:snapToGrid w:val="0"/>
          <w:sz w:val="22"/>
          <w:szCs w:val="22"/>
          <w:lang w:val="en-US" w:eastAsia="ja-JP"/>
        </w:rPr>
        <w:t>triglycerides, one of the end</w:t>
      </w:r>
      <w:r w:rsidR="00463A4C" w:rsidRPr="00C40A28">
        <w:rPr>
          <w:snapToGrid w:val="0"/>
          <w:sz w:val="22"/>
          <w:szCs w:val="22"/>
          <w:lang w:val="en-US" w:eastAsia="ja-JP"/>
        </w:rPr>
        <w:t>-</w:t>
      </w:r>
      <w:r w:rsidR="00BA2B42" w:rsidRPr="00C40A28">
        <w:rPr>
          <w:snapToGrid w:val="0"/>
          <w:sz w:val="22"/>
          <w:szCs w:val="22"/>
          <w:lang w:val="en-US" w:eastAsia="ja-JP"/>
        </w:rPr>
        <w:t>products of the DNL</w:t>
      </w:r>
      <w:r w:rsidR="00463A4C" w:rsidRPr="00C40A28">
        <w:rPr>
          <w:snapToGrid w:val="0"/>
          <w:sz w:val="22"/>
          <w:szCs w:val="22"/>
          <w:lang w:val="en-US" w:eastAsia="ja-JP"/>
        </w:rPr>
        <w:t>.</w:t>
      </w:r>
      <w:r w:rsidR="002369A6" w:rsidRPr="00C40A28">
        <w:rPr>
          <w:snapToGrid w:val="0"/>
          <w:sz w:val="22"/>
          <w:szCs w:val="22"/>
          <w:lang w:val="en-US" w:eastAsia="ja-JP"/>
        </w:rPr>
        <w:t xml:space="preserve"> </w:t>
      </w:r>
      <w:r w:rsidR="006966ED" w:rsidRPr="00C40A28">
        <w:rPr>
          <w:snapToGrid w:val="0"/>
          <w:sz w:val="22"/>
          <w:szCs w:val="22"/>
          <w:lang w:val="en-US" w:eastAsia="ja-JP"/>
        </w:rPr>
        <w:t xml:space="preserve">Therefore, </w:t>
      </w:r>
      <w:r w:rsidR="006966ED" w:rsidRPr="00C40A28">
        <w:rPr>
          <w:sz w:val="22"/>
          <w:szCs w:val="22"/>
          <w:lang w:val="en-US" w:eastAsia="ja-JP"/>
        </w:rPr>
        <w:t>to</w:t>
      </w:r>
      <w:r w:rsidR="006966ED" w:rsidRPr="00C40A28">
        <w:rPr>
          <w:sz w:val="22"/>
          <w:szCs w:val="22"/>
          <w:lang w:val="en-US"/>
        </w:rPr>
        <w:t xml:space="preserve"> </w:t>
      </w:r>
      <w:r w:rsidR="00356D37" w:rsidRPr="00C40A28">
        <w:rPr>
          <w:sz w:val="22"/>
          <w:szCs w:val="22"/>
          <w:lang w:val="en-US"/>
        </w:rPr>
        <w:t xml:space="preserve">better </w:t>
      </w:r>
      <w:r w:rsidR="00240A1A" w:rsidRPr="00C40A28">
        <w:rPr>
          <w:sz w:val="22"/>
          <w:szCs w:val="22"/>
          <w:lang w:val="en-US"/>
        </w:rPr>
        <w:t xml:space="preserve">characterize </w:t>
      </w:r>
      <w:r w:rsidR="00356D37" w:rsidRPr="00C40A28">
        <w:rPr>
          <w:sz w:val="22"/>
          <w:szCs w:val="22"/>
          <w:lang w:val="en-US"/>
        </w:rPr>
        <w:t>the</w:t>
      </w:r>
      <w:r w:rsidR="00CB2A0F" w:rsidRPr="00C40A28">
        <w:rPr>
          <w:sz w:val="22"/>
          <w:szCs w:val="22"/>
          <w:lang w:val="en-US"/>
        </w:rPr>
        <w:t xml:space="preserve"> prospective</w:t>
      </w:r>
      <w:r w:rsidR="00356D37" w:rsidRPr="00C40A28">
        <w:rPr>
          <w:sz w:val="22"/>
          <w:szCs w:val="22"/>
          <w:lang w:val="en-US"/>
        </w:rPr>
        <w:t xml:space="preserve"> associations of fatty acids </w:t>
      </w:r>
      <w:r w:rsidR="00464AE4" w:rsidRPr="00C40A28">
        <w:rPr>
          <w:sz w:val="22"/>
          <w:szCs w:val="22"/>
          <w:lang w:val="en-US"/>
        </w:rPr>
        <w:t xml:space="preserve">in the DNL </w:t>
      </w:r>
      <w:r w:rsidR="00464AE4" w:rsidRPr="00C40A28">
        <w:rPr>
          <w:sz w:val="22"/>
          <w:szCs w:val="22"/>
          <w:lang w:val="en-US"/>
        </w:rPr>
        <w:lastRenderedPageBreak/>
        <w:t xml:space="preserve">pathway </w:t>
      </w:r>
      <w:r w:rsidR="00356D37" w:rsidRPr="00C40A28">
        <w:rPr>
          <w:sz w:val="22"/>
          <w:szCs w:val="22"/>
          <w:lang w:val="en-US"/>
        </w:rPr>
        <w:t>with incidence of T2D</w:t>
      </w:r>
      <w:r w:rsidR="00356D37" w:rsidRPr="00C40A28">
        <w:rPr>
          <w:sz w:val="22"/>
          <w:szCs w:val="22"/>
          <w:lang w:val="en-US" w:eastAsia="ja-JP"/>
        </w:rPr>
        <w:t>,</w:t>
      </w:r>
      <w:r w:rsidR="00356D37" w:rsidRPr="00C40A28">
        <w:rPr>
          <w:sz w:val="22"/>
          <w:szCs w:val="22"/>
          <w:lang w:val="en-US"/>
        </w:rPr>
        <w:t xml:space="preserve"> we conducted </w:t>
      </w:r>
      <w:r w:rsidRPr="00C40A28">
        <w:rPr>
          <w:sz w:val="22"/>
          <w:szCs w:val="22"/>
          <w:lang w:val="en-US"/>
        </w:rPr>
        <w:t>de novo</w:t>
      </w:r>
      <w:r w:rsidR="004A18A6" w:rsidRPr="00C40A28">
        <w:rPr>
          <w:sz w:val="22"/>
          <w:szCs w:val="22"/>
          <w:lang w:val="en-US"/>
        </w:rPr>
        <w:t xml:space="preserve"> </w:t>
      </w:r>
      <w:r w:rsidR="008C4ECF" w:rsidRPr="00C40A28">
        <w:rPr>
          <w:sz w:val="22"/>
          <w:szCs w:val="22"/>
          <w:lang w:val="en-US"/>
        </w:rPr>
        <w:t xml:space="preserve">pooled </w:t>
      </w:r>
      <w:r w:rsidRPr="00C40A28">
        <w:rPr>
          <w:sz w:val="22"/>
          <w:szCs w:val="22"/>
          <w:lang w:val="en-US"/>
        </w:rPr>
        <w:t>individual-level</w:t>
      </w:r>
      <w:r w:rsidR="008C4ECF" w:rsidRPr="00C40A28">
        <w:rPr>
          <w:sz w:val="22"/>
          <w:szCs w:val="22"/>
          <w:lang w:val="en-US"/>
        </w:rPr>
        <w:t xml:space="preserve"> </w:t>
      </w:r>
      <w:r w:rsidR="00356D37" w:rsidRPr="00C40A28">
        <w:rPr>
          <w:sz w:val="22"/>
          <w:szCs w:val="22"/>
          <w:lang w:val="en-US"/>
        </w:rPr>
        <w:t xml:space="preserve">analysis </w:t>
      </w:r>
      <w:r w:rsidR="00C26868" w:rsidRPr="00C40A28">
        <w:rPr>
          <w:sz w:val="22"/>
          <w:szCs w:val="22"/>
          <w:lang w:val="en-US"/>
        </w:rPr>
        <w:t xml:space="preserve">using harmonized methods across </w:t>
      </w:r>
      <w:r w:rsidR="004840D3" w:rsidRPr="00C40A28">
        <w:rPr>
          <w:sz w:val="22"/>
          <w:szCs w:val="22"/>
          <w:lang w:val="en-US"/>
        </w:rPr>
        <w:t xml:space="preserve">17 </w:t>
      </w:r>
      <w:r w:rsidR="00C26868" w:rsidRPr="00C40A28">
        <w:rPr>
          <w:sz w:val="22"/>
          <w:szCs w:val="22"/>
          <w:lang w:val="en-US"/>
        </w:rPr>
        <w:t xml:space="preserve">studies </w:t>
      </w:r>
      <w:r w:rsidR="004A18A6" w:rsidRPr="00C40A28">
        <w:rPr>
          <w:sz w:val="22"/>
          <w:szCs w:val="22"/>
          <w:lang w:val="en-US"/>
        </w:rPr>
        <w:t xml:space="preserve">in </w:t>
      </w:r>
      <w:r w:rsidR="00D31E82" w:rsidRPr="00C40A28">
        <w:rPr>
          <w:sz w:val="22"/>
          <w:szCs w:val="22"/>
          <w:lang w:val="en-US" w:eastAsia="ja-JP"/>
        </w:rPr>
        <w:t>the</w:t>
      </w:r>
      <w:r w:rsidR="00D31E82" w:rsidRPr="00C40A28">
        <w:rPr>
          <w:sz w:val="22"/>
          <w:szCs w:val="22"/>
          <w:lang w:val="en-US"/>
        </w:rPr>
        <w:t xml:space="preserve"> </w:t>
      </w:r>
      <w:r w:rsidR="004A18A6" w:rsidRPr="00C40A28">
        <w:rPr>
          <w:sz w:val="22"/>
          <w:szCs w:val="22"/>
          <w:lang w:val="en-US"/>
        </w:rPr>
        <w:t xml:space="preserve">global </w:t>
      </w:r>
      <w:r w:rsidR="00464AE4" w:rsidRPr="00C40A28">
        <w:rPr>
          <w:sz w:val="22"/>
          <w:szCs w:val="22"/>
          <w:lang w:val="en-US" w:eastAsia="ja-JP"/>
        </w:rPr>
        <w:t>Fatty Acids and Outcomes Research Consortium (</w:t>
      </w:r>
      <w:r w:rsidR="00356D37" w:rsidRPr="00C40A28">
        <w:rPr>
          <w:sz w:val="22"/>
          <w:szCs w:val="22"/>
          <w:lang w:val="en-US"/>
        </w:rPr>
        <w:t>FORCE</w:t>
      </w:r>
      <w:r w:rsidR="00464AE4" w:rsidRPr="00C40A28">
        <w:rPr>
          <w:sz w:val="22"/>
          <w:szCs w:val="22"/>
          <w:lang w:val="en-US"/>
        </w:rPr>
        <w:t>)</w:t>
      </w:r>
      <w:r w:rsidR="00356D37" w:rsidRPr="00C40A28">
        <w:rPr>
          <w:sz w:val="22"/>
          <w:szCs w:val="22"/>
          <w:lang w:val="en-US"/>
        </w:rPr>
        <w:t>.</w:t>
      </w:r>
      <w:r w:rsidR="00121801" w:rsidRPr="00C40A28">
        <w:rPr>
          <w:sz w:val="22"/>
          <w:szCs w:val="22"/>
          <w:lang w:val="en-US"/>
        </w:rPr>
        <w:br w:type="page"/>
      </w:r>
    </w:p>
    <w:p w14:paraId="1525362F" w14:textId="1A48CB6E" w:rsidR="006068ED" w:rsidRPr="00C40A28" w:rsidRDefault="005F7401" w:rsidP="00924442">
      <w:pPr>
        <w:spacing w:line="480" w:lineRule="auto"/>
        <w:rPr>
          <w:sz w:val="22"/>
          <w:szCs w:val="22"/>
          <w:lang w:val="en-US"/>
        </w:rPr>
      </w:pPr>
      <w:r>
        <w:rPr>
          <w:b/>
          <w:bCs/>
          <w:sz w:val="22"/>
          <w:szCs w:val="22"/>
          <w:lang w:val="en-US" w:eastAsia="ja-JP"/>
        </w:rPr>
        <w:lastRenderedPageBreak/>
        <w:t>Methods</w:t>
      </w:r>
      <w:r w:rsidR="00D90865" w:rsidRPr="00C40A28">
        <w:rPr>
          <w:bCs/>
          <w:sz w:val="22"/>
          <w:szCs w:val="22"/>
          <w:lang w:val="en-US"/>
        </w:rPr>
        <w:br/>
      </w:r>
      <w:r w:rsidR="006068ED" w:rsidRPr="00C40A28">
        <w:rPr>
          <w:bCs/>
          <w:i/>
          <w:sz w:val="22"/>
          <w:szCs w:val="22"/>
          <w:lang w:val="en-US" w:eastAsia="ja-JP"/>
        </w:rPr>
        <w:t>Cohorts and study variables</w:t>
      </w:r>
    </w:p>
    <w:p w14:paraId="0ADA74EF" w14:textId="3F09D758" w:rsidR="006E5407" w:rsidRPr="00C40A28" w:rsidRDefault="004C2B9B" w:rsidP="004D778D">
      <w:pPr>
        <w:pStyle w:val="BodyTextIndent"/>
        <w:spacing w:line="480" w:lineRule="auto"/>
        <w:ind w:left="0" w:firstLine="720"/>
        <w:rPr>
          <w:rFonts w:ascii="Times New Roman" w:hAnsi="Times New Roman"/>
          <w:b w:val="0"/>
          <w:bCs/>
          <w:sz w:val="22"/>
          <w:szCs w:val="22"/>
          <w:lang w:val="en-US" w:eastAsia="ja-JP"/>
        </w:rPr>
      </w:pPr>
      <w:r w:rsidRPr="00C40A28">
        <w:rPr>
          <w:rFonts w:ascii="Times New Roman" w:hAnsi="Times New Roman"/>
          <w:b w:val="0"/>
          <w:bCs/>
          <w:sz w:val="22"/>
          <w:szCs w:val="22"/>
          <w:lang w:val="en-US" w:eastAsia="ja-JP"/>
        </w:rPr>
        <w:t xml:space="preserve">FORCE was </w:t>
      </w:r>
      <w:r w:rsidR="0033190F">
        <w:rPr>
          <w:rFonts w:ascii="Times New Roman" w:hAnsi="Times New Roman"/>
          <w:b w:val="0"/>
          <w:bCs/>
          <w:sz w:val="22"/>
          <w:szCs w:val="22"/>
          <w:lang w:val="en-US" w:eastAsia="ja-JP"/>
        </w:rPr>
        <w:t xml:space="preserve">initially </w:t>
      </w:r>
      <w:r w:rsidRPr="00C40A28">
        <w:rPr>
          <w:rFonts w:ascii="Times New Roman" w:hAnsi="Times New Roman"/>
          <w:b w:val="0"/>
          <w:bCs/>
          <w:sz w:val="22"/>
          <w:szCs w:val="22"/>
          <w:lang w:val="en-US" w:eastAsia="ja-JP"/>
        </w:rPr>
        <w:t xml:space="preserve">formed </w:t>
      </w:r>
      <w:r w:rsidR="0033190F">
        <w:rPr>
          <w:rFonts w:ascii="Times New Roman" w:hAnsi="Times New Roman"/>
          <w:b w:val="0"/>
          <w:bCs/>
          <w:sz w:val="22"/>
          <w:szCs w:val="22"/>
          <w:lang w:val="en-US" w:eastAsia="ja-JP"/>
        </w:rPr>
        <w:t xml:space="preserve">from </w:t>
      </w:r>
      <w:r w:rsidR="002A43E6" w:rsidRPr="00C40A28">
        <w:rPr>
          <w:rFonts w:ascii="Times New Roman" w:hAnsi="Times New Roman"/>
          <w:b w:val="0"/>
          <w:bCs/>
          <w:sz w:val="22"/>
          <w:szCs w:val="22"/>
          <w:lang w:val="en-US" w:eastAsia="ja-JP"/>
        </w:rPr>
        <w:t>the Cohorts for Heart and Aging Research in Genomic Epidemiology consortium</w:t>
      </w:r>
      <w:r w:rsidR="0033190F">
        <w:rPr>
          <w:rFonts w:ascii="Times New Roman" w:hAnsi="Times New Roman"/>
          <w:b w:val="0"/>
          <w:bCs/>
          <w:sz w:val="22"/>
          <w:szCs w:val="22"/>
          <w:lang w:val="en-US" w:eastAsia="ja-JP"/>
        </w:rPr>
        <w:t>. FORCE</w:t>
      </w:r>
      <w:r w:rsidR="002A43E6" w:rsidRPr="00C40A28">
        <w:rPr>
          <w:rFonts w:ascii="Times New Roman" w:hAnsi="Times New Roman"/>
          <w:b w:val="0"/>
          <w:bCs/>
          <w:sz w:val="22"/>
          <w:szCs w:val="22"/>
          <w:lang w:val="en-US" w:eastAsia="ja-JP"/>
        </w:rPr>
        <w:t xml:space="preserve"> </w:t>
      </w:r>
      <w:r w:rsidR="0033190F">
        <w:rPr>
          <w:rFonts w:ascii="Times New Roman" w:hAnsi="Times New Roman"/>
          <w:b w:val="0"/>
          <w:bCs/>
          <w:sz w:val="22"/>
          <w:szCs w:val="22"/>
          <w:lang w:val="en-US" w:eastAsia="ja-JP"/>
        </w:rPr>
        <w:t>is an ongoing consortium project to study</w:t>
      </w:r>
      <w:r w:rsidR="0033190F" w:rsidRPr="00C40A28">
        <w:rPr>
          <w:rFonts w:ascii="Times New Roman" w:hAnsi="Times New Roman"/>
          <w:b w:val="0"/>
          <w:bCs/>
          <w:sz w:val="22"/>
          <w:szCs w:val="22"/>
          <w:lang w:val="en-US" w:eastAsia="ja-JP"/>
        </w:rPr>
        <w:t xml:space="preserve"> </w:t>
      </w:r>
      <w:r w:rsidR="002A43E6" w:rsidRPr="00C40A28">
        <w:rPr>
          <w:rFonts w:ascii="Times New Roman" w:hAnsi="Times New Roman"/>
          <w:b w:val="0"/>
          <w:bCs/>
          <w:sz w:val="22"/>
          <w:szCs w:val="22"/>
          <w:lang w:val="en-US" w:eastAsia="ja-JP"/>
        </w:rPr>
        <w:t xml:space="preserve">relationships </w:t>
      </w:r>
      <w:r w:rsidR="0033190F">
        <w:rPr>
          <w:rFonts w:ascii="Times New Roman" w:hAnsi="Times New Roman"/>
          <w:b w:val="0"/>
          <w:bCs/>
          <w:sz w:val="22"/>
          <w:szCs w:val="22"/>
          <w:lang w:val="en-US" w:eastAsia="ja-JP"/>
        </w:rPr>
        <w:t>of</w:t>
      </w:r>
      <w:r w:rsidR="0033190F" w:rsidRPr="00C40A28">
        <w:rPr>
          <w:rFonts w:ascii="Times New Roman" w:hAnsi="Times New Roman"/>
          <w:b w:val="0"/>
          <w:bCs/>
          <w:sz w:val="22"/>
          <w:szCs w:val="22"/>
          <w:lang w:val="en-US" w:eastAsia="ja-JP"/>
        </w:rPr>
        <w:t xml:space="preserve"> </w:t>
      </w:r>
      <w:r w:rsidR="002A43E6" w:rsidRPr="00C40A28">
        <w:rPr>
          <w:rFonts w:ascii="Times New Roman" w:hAnsi="Times New Roman"/>
          <w:b w:val="0"/>
          <w:bCs/>
          <w:sz w:val="22"/>
          <w:szCs w:val="22"/>
          <w:lang w:val="en-US" w:eastAsia="ja-JP"/>
        </w:rPr>
        <w:t xml:space="preserve">fatty acid biomarkers </w:t>
      </w:r>
      <w:r w:rsidR="0033190F">
        <w:rPr>
          <w:rFonts w:ascii="Times New Roman" w:hAnsi="Times New Roman"/>
          <w:b w:val="0"/>
          <w:bCs/>
          <w:sz w:val="22"/>
          <w:szCs w:val="22"/>
          <w:lang w:val="en-US" w:eastAsia="ja-JP"/>
        </w:rPr>
        <w:t xml:space="preserve">with </w:t>
      </w:r>
      <w:r w:rsidR="002A43E6" w:rsidRPr="00C40A28">
        <w:rPr>
          <w:rFonts w:ascii="Times New Roman" w:hAnsi="Times New Roman"/>
          <w:b w:val="0"/>
          <w:bCs/>
          <w:sz w:val="22"/>
          <w:szCs w:val="22"/>
          <w:lang w:val="en-US" w:eastAsia="ja-JP"/>
        </w:rPr>
        <w:t>health outcomes (</w:t>
      </w:r>
      <w:r w:rsidR="00D44BE2" w:rsidRPr="00C40A28">
        <w:rPr>
          <w:rFonts w:ascii="Times New Roman" w:hAnsi="Times New Roman"/>
          <w:b w:val="0"/>
          <w:bCs/>
          <w:sz w:val="22"/>
          <w:szCs w:val="22"/>
          <w:lang w:val="en-US" w:eastAsia="ja-JP"/>
        </w:rPr>
        <w:t>http://force.n</w:t>
      </w:r>
      <w:r w:rsidR="00ED2693" w:rsidRPr="00C40A28">
        <w:rPr>
          <w:rFonts w:ascii="Times New Roman" w:hAnsi="Times New Roman"/>
          <w:b w:val="0"/>
          <w:bCs/>
          <w:sz w:val="22"/>
          <w:szCs w:val="22"/>
          <w:lang w:val="en-US" w:eastAsia="ja-JP"/>
        </w:rPr>
        <w:t>utrition.tufts.edu/</w:t>
      </w:r>
      <w:r w:rsidR="002A43E6" w:rsidRPr="00C40A28">
        <w:rPr>
          <w:rFonts w:ascii="Times New Roman" w:hAnsi="Times New Roman"/>
          <w:b w:val="0"/>
          <w:bCs/>
          <w:sz w:val="22"/>
          <w:szCs w:val="22"/>
          <w:lang w:val="en-US" w:eastAsia="ja-JP"/>
        </w:rPr>
        <w:t>)</w:t>
      </w:r>
      <w:r w:rsidR="00D44BE2" w:rsidRPr="00C40A28">
        <w:rPr>
          <w:rFonts w:ascii="Times New Roman" w:hAnsi="Times New Roman"/>
          <w:b w:val="0"/>
          <w:bCs/>
          <w:sz w:val="22"/>
          <w:szCs w:val="22"/>
          <w:lang w:val="en-US" w:eastAsia="ja-JP"/>
        </w:rPr>
        <w:t xml:space="preserve"> </w:t>
      </w:r>
      <w:r w:rsidR="009D4D58" w:rsidRPr="00C40A28">
        <w:rPr>
          <w:rFonts w:ascii="Times New Roman" w:hAnsi="Times New Roman"/>
          <w:b w:val="0"/>
          <w:bCs/>
          <w:sz w:val="22"/>
          <w:szCs w:val="22"/>
          <w:lang w:val="en-US" w:eastAsia="ja-JP"/>
        </w:rPr>
        <w:fldChar w:fldCharType="begin" w:fldLock="1"/>
      </w:r>
      <w:r w:rsidR="004C640A" w:rsidRPr="00C40A28">
        <w:rPr>
          <w:rFonts w:ascii="Times New Roman" w:hAnsi="Times New Roman"/>
          <w:b w:val="0"/>
          <w:bCs/>
          <w:sz w:val="22"/>
          <w:szCs w:val="22"/>
          <w:lang w:val="en-US" w:eastAsia="ja-JP"/>
        </w:rPr>
        <w:instrText>ADDIN CSL_CITATION {"citationItems":[{"id":"ITEM-1","itemData":{"DOI":"10.1001/jamainternmed.2016.2925","ISSN":"2168-6106","PMID":"27357102","abstract":"Importance: The role of ω-3 polyunsaturated fatty acids for primary prevention of coronary heart disease (CHD) remains controversial. Most prior longitudinal studies evaluated self-reported consumption rather than biomarkers. Objective: To evaluate biomarkers of seafood-derived eicosapentaenoic acid (EPA; 20:5ω-3), docosapentaenoic acid (DPA; 22:5ω-3), and docosahexaenoic acid (DHA; 22:6ω-3) and plant-derived α-linolenic acid (ALA; 18:3ω-3) for incident CHD. Data Sources: A global consortium of 19 studies identified by November 2014. Study Selection: Available prospective (cohort, nested case-control) or retrospective studies with circulating or tissue ω-3 biomarkers and ascertained CHD. Data Extraction and Synthesis: Each study conducted standardized, individual-level analysis using harmonized models, exposures, outcomes, and covariates. Findings were centrally pooled using random-effects meta-analysis. Heterogeneity was examined by age, sex, race, diabetes, statins, aspirin, ω-6 levels, and FADS desaturase genes. Main Outcomes and Measures: Incident total CHD, fatal CHD, and nonfatal myocardial infarction (MI). Results: The 19 studies comprised 16 countries, 45 637 unique individuals, and 7973 total CHD, 2781 fatal CHD, and 7157 nonfatal MI events, with ω-3 measures in total plasma, phospholipids, cholesterol esters, and adipose tissue. Median age at baseline was 59 years (range, 18-97 years), and 28 660 (62.8%) were male. In continuous (per 1-SD increase) multivariable-adjusted analyses, the ω-3 biomarkers ALA, DPA, and DHA were associated with a lower risk of fatal CHD, with relative risks (RRs) of 0.91 (95% CI, 0.84-0.98) for ALA, 0.90 (95% CI, 0.85-0.96) for DPA, and 0.90 (95% CI, 0.84-0.96) for DHA. Although DPA was associated with a lower risk of total CHD (RR, 0.94; 95% CI, 0.90-0.99), ALA (RR, 1.00; 95% CI, 0.95-1.05), EPA (RR, 0.94; 95% CI, 0.87-1.02), and DHA (RR, 0.95; 95% CI, 0.91-1.00) were not. Significant associations with nonfatal MI were not evident. Associations appeared generally stronger in phospholipids and total plasma. Restricted cubic splines did not identify evidence of nonlinearity in dose responses. Conclusions and Relevance: On the basis of available studies of free-living populations globally, biomarker concentrations of seafood and plant-derived ω-3 fatty acids are associated with a modestly lower incidence of fatal CHD.","author":[{"dropping-particle":"","family":"Gobbo","given":"Liana C.","non-dropping-particle":"Del","parse-names":false,"suffix":""},{"dropping-particle":"","family":"Imamura","given":"Fumiaki","non-dropping-particle":"","parse-names":false,"suffix":""},{"dropping-particle":"","family":"Aslibekyan","given":"Stella","non-dropping-particle":"","parse-names":false,"suffix":""},{"dropping-particle":"","family":"Marklund","given":"Matti","non-dropping-particle":"","parse-names":false,"suffix":""},{"dropping-particle":"","family":"Virtanen","given":"Jyrki K.","non-dropping-particle":"","parse-names":false,"suffix":""},{"dropping-particle":"","family":"Wennberg","given":"Maria","non-dropping-particle":"","parse-names":false,"suffix":""},{"dropping-particle":"","family":"Yakoob","given":"Mohammad Y.","non-dropping-particle":"","parse-names":false,"suffix":""},{"dropping-particle":"","family":"Chiuve","given":"Stephanie E.","non-dropping-particle":"","parse-names":false,"suffix":""},{"dropping-particle":"","family":"Cruz","given":"Luicito","non-dropping-particle":"dela","parse-names":false,"suffix":""},{"dropping-particle":"","family":"Frazier-Wood","given":"Alexis C.","non-dropping-particle":"","parse-names":false,"suffix":""},{"dropping-particle":"","family":"Fretts","given":"Amanda M.","non-dropping-particle":"","parse-names":false,"suffix":""},{"dropping-particle":"","family":"Guallar","given":"Eliseo","non-dropping-particle":"","parse-names":false,"suffix":""},{"dropping-particle":"","family":"Matsumoto","given":"Chisa","non-dropping-particle":"","parse-names":false,"suffix":""},{"dropping-particle":"","family":"Prem","given":"Kiesha","non-dropping-particle":"","parse-names":false,"suffix":""},{"dropping-particle":"","family":"Tanaka","given":"Tosh","non-dropping-particle":"","parse-names":false,"suffix":""},{"dropping-particle":"","family":"Wu","given":"Jason H. Y.","non-dropping-particle":"","parse-names":false,"suffix":""},{"dropping-particle":"","family":"Zhou","given":"Xia","non-dropping-particle":"","parse-names":false,"suffix":""},{"dropping-particle":"","family":"Helmer","given":"Catherine","non-dropping-particle":"","parse-names":false,"suffix":""},{"dropping-particle":"","family":"Ingelsson","given":"Erik","non-dropping-particle":"","parse-names":false,"suffix":""},{"dropping-particle":"","family":"Yuan","given":"Jian-Min","non-dropping-particle":"","parse-names":false,"suffix":""},{"dropping-particle":"","family":"Barberger-Gateau","given":"Pascale","non-dropping-particle":"","parse-names":false,"suffix":""},{"dropping-particle":"","family":"Campos","given":"Hannia","non-dropping-particle":"","parse-names":false,"suffix":""},{"dropping-particle":"","family":"Chaves","given":"Paulo H. M.","non-dropping-particle":"","parse-names":false,"suffix":""},{"dropping-particle":"","family":"Djoussé","given":"Luc","non-dropping-particle":"","parse-names":false,"suffix":""},{"dropping-particle":"","family":"Giles","given":"Graham G.","non-dropping-particle":"","parse-names":false,"suffix":""},{"dropping-particle":"","family":"Gómez-Aracena","given":"Jose","non-dropping-particle":"","parse-names":false,"suffix":""},{"dropping-particle":"","family":"Hodge","given":"Allison M.","non-dropping-particle":"","parse-names":false,"suffix":""},{"dropping-particle":"","family":"Hu","given":"Frank B.","non-dropping-particle":"","parse-names":false,"suffix":""},{"dropping-particle":"","family":"Jansson","given":"Jan-Håkan","non-dropping-particle":"","parse-names":false,"suffix":""},{"dropping-particle":"","family":"Johansson","given":"Ingegerd","non-dropping-particle":"","parse-names":false,"suffix":""},{"dropping-particle":"","family":"Khaw","given":"Kay-Tee","non-dropping-particle":"","parse-names":false,"suffix":""},{"dropping-particle":"","family":"Koh","given":"Woon-Puay","non-dropping-particle":"","parse-names":false,"suffix":""},{"dropping-particle":"","family":"Lemaitre","given":"Rozenn N.","non-dropping-particle":"","parse-names":false,"suffix":""},{"dropping-particle":"","family":"Lind","given":"Lars","non-dropping-particle":"","parse-names":false,"suffix":""},{"dropping-particle":"","family":"Luben","given":"Robert N.","non-dropping-particle":"","parse-names":false,"suffix":""},{"dropping-particle":"","family":"Rimm","given":"Eric B.","non-dropping-particle":"","parse-names":false,"suffix":""},{"dropping-particle":"","family":"Risérus","given":"Ulf","non-dropping-particle":"","parse-names":false,"suffix":""},{"dropping-particle":"","family":"Samieri","given":"Cecilia","non-dropping-particle":"","parse-names":false,"suffix":""},{"dropping-particle":"","family":"Franks","given":"Paul W.","non-dropping-particle":"","parse-names":false,"suffix":""},{"dropping-particle":"","family":"Siscovick","given":"David S.","non-dropping-particle":"","parse-names":false,"suffix":""},{"dropping-particle":"","family":"Stampfer","given":"Meir","non-dropping-particle":"","parse-names":false,"suffix":""},{"dropping-particle":"","family":"Steffen","given":"Lyn M.","non-dropping-particle":"","parse-names":false,"suffix":""},{"dropping-particle":"","family":"Steffen","given":"Brian T.","non-dropping-particle":"","parse-names":false,"suffix":""},{"dropping-particle":"","family":"Tsai","given":"Michael Y.","non-dropping-particle":"","parse-names":false,"suffix":""},{"dropping-particle":"","family":"Dam","given":"Rob M.","non-dropping-particle":"van","parse-names":false,"suffix":""},{"dropping-particle":"","family":"Voutilainen","given":"Sari","non-dropping-particle":"","parse-names":false,"suffix":""},{"dropping-particle":"","family":"Willett","given":"Walter C.","non-dropping-particle":"","parse-names":false,"suffix":""},{"dropping-particle":"","family":"Woodward","given":"Mark","non-dropping-particle":"","parse-names":false,"suffix":""},{"dropping-particle":"","family":"Mozaffarian","given":"Dariush","non-dropping-particle":"","parse-names":false,"suffix":""}],"container-title":"JAMA Intern Med","id":"ITEM-1","issue":"8","issued":{"date-parts":[["2016","8","1"]]},"page":"1155","title":"ω-3 Polyunsaturated Fatty Acid Biomarkers and Coronary Heart Disease","type":"article-journal","volume":"176"},"uris":["http://www.mendeley.com/documents/?uuid=bfea1dd1-793b-4559-8fc1-9ec3b1aad902"]},{"id":"ITEM-2","itemData":{"DOI":"10.1016/S2213-8587(17)30307-8","ISSN":"22138587","author":[{"dropping-particle":"","family":"Wu","given":"Jason H Y","non-dropping-particle":"","parse-names":false,"suffix":""},{"dropping-particle":"","family":"Marklund","given":"Matti","non-dropping-particle":"","parse-names":false,"suffix":""},{"dropping-particle":"","family":"Imamura","given":"Fumiaki","non-dropping-particle":"","parse-names":false,"suffix":""},{"dropping-particle":"","family":"Tintle","given":"Nathan","non-dropping-particle":"","parse-names":false,"suffix":""},{"dropping-particle":"V","family":"Ardisson Korat","given":"Andres","non-dropping-particle":"","parse-names":false,"suffix":""},{"dropping-particle":"","family":"Goede","given":"Janette","non-dropping-particle":"de","parse-names":false,"suffix":""},{"dropping-particle":"","family":"Zhou","given":"Xia","non-dropping-particle":"","parse-names":false,"suffix":""},{"dropping-particle":"","family":"Yang","given":"Wei-Sin","non-dropping-particle":"","parse-names":false,"suffix":""},{"dropping-particle":"","family":"Oliveira Otto","given":"Marcia C","non-dropping-particle":"de","parse-names":false,"suffix":""},{"dropping-particle":"","family":"Kröger","given":"Janine","non-dropping-particle":"","parse-names":false,"suffix":""},{"dropping-particle":"","family":"Qureshi","given":"Waqas","non-dropping-particle":"","parse-names":false,"suffix":""},{"dropping-particle":"","family":"Virtanen","given":"Jyrki K","non-dropping-particle":"","parse-names":false,"suffix":""},{"dropping-particle":"","family":"Bassett","given":"Julie K","non-dropping-particle":"","parse-names":false,"suffix":""},{"dropping-particle":"","family":"Frazier-Wood","given":"Alexis C","non-dropping-particle":"","parse-names":false,"suffix":""},{"dropping-particle":"","family":"Lankinen","given":"Maria","non-dropping-particle":"","parse-names":false,"suffix":""},{"dropping-particle":"","family":"Murphy","given":"Rachel A","non-dropping-particle":"","parse-names":false,"suffix":""},{"dropping-particle":"","family":"Rajaobelina","given":"Kalina","non-dropping-particle":"","parse-names":false,"suffix":""},{"dropping-particle":"","family":"Gobbo","given":"Liana C","non-dropping-particle":"Del","parse-names":false,"suffix":""},{"dropping-particle":"","family":"Forouhi","given":"Nita G","non-dropping-particle":"","parse-names":false,"suffix":""},{"dropping-particle":"","family":"Luben","given":"Robert","non-dropping-particle":"","parse-names":false,"suffix":""},{"dropping-particle":"","family":"Khaw","given":"Kay-Tee","non-dropping-particle":"","parse-names":false,"suffix":""},{"dropping-particle":"","family":"Wareham","given":"Nick","non-dropping-particle":"","parse-names":false,"suffix":""},{"dropping-particle":"","family":"Kalsbeek","given":"Anya","non-dropping-particle":"","parse-names":false,"suffix":""},{"dropping-particle":"","family":"Veenstra","given":"Jenna","non-dropping-particle":"","parse-names":false,"suffix":""},{"dropping-particle":"","family":"Luo","given":"Juhua","non-dropping-particle":"","parse-names":false,"suffix":""},{"dropping-particle":"","family":"Hu","given":"Frank B","non-dropping-particle":"","parse-names":false,"suffix":""},{"dropping-particle":"","family":"Lin","given":"Hung-Ju","non-dropping-particle":"","parse-names":false,"suffix":""},{"dropping-particle":"","family":"Siscovick","given":"David S","non-dropping-particle":"","parse-names":false,"suffix":""},{"dropping-particle":"","family":"Boeing","given":"Heiner","non-dropping-particle":"","parse-names":false,"suffix":""},{"dropping-particle":"","family":"Chen","given":"Tzu-An","non-dropping-particle":"","parse-names":false,"suffix":""},{"dropping-particle":"","family":"Steffen","given":"Brian","non-dropping-particle":"","parse-names":false,"suffix":""},{"dropping-particle":"","family":"Steffen","given":"Lyn M","non-dropping-particle":"","parse-names":false,"suffix":""},{"dropping-particle":"","family":"Hodge","given":"Allison","non-dropping-particle":"","parse-names":false,"suffix":""},{"dropping-particle":"","family":"Eriksdottir","given":"Gudny","non-dropping-particle":"","parse-names":false,"suffix":""},{"dropping-particle":"V","family":"Smith","given":"Albert","non-dropping-particle":"","parse-names":false,"suffix":""},{"dropping-particle":"","family":"Gudnason","given":"Vilmunder","non-dropping-particle":"","parse-names":false,"suffix":""},{"dropping-particle":"","family":"Harris","given":"Tamara B","non-dropping-particle":"","parse-names":false,"suffix":""},{"dropping-particle":"","family":"Brouwer","given":"Ingeborg A","non-dropping-particle":"","parse-names":false,"suffix":""},{"dropping-particle":"","family":"Berr","given":"Claudine","non-dropping-particle":"","parse-names":false,"suffix":""},{"dropping-particle":"","family":"Helmer","given":"Catherine","non-dropping-particle":"","parse-names":false,"suffix":""},{"dropping-particle":"","family":"Samieri","given":"Cecilia","non-dropping-particle":"","parse-names":false,"suffix":""},{"dropping-particle":"","family":"Laakso","given":"Markku","non-dropping-particle":"","parse-names":false,"suffix":""},{"dropping-particle":"","family":"Tsai","given":"Michael Y","non-dropping-particle":"","parse-names":false,"suffix":""},{"dropping-particle":"","family":"Giles","given":"Graham G","non-dropping-particle":"","parse-names":false,"suffix":""},{"dropping-particle":"","family":"Nurmi","given":"Tarja","non-dropping-particle":"","parse-names":false,"suffix":""},{"dropping-particle":"","family":"Wagenknecht","given":"Lynne","non-dropping-particle":"","parse-names":false,"suffix":""},{"dropping-particle":"","family":"Schulze","given":"Matthias B","non-dropping-particle":"","parse-names":false,"suffix":""},{"dropping-particle":"","family":"Lemaitre","given":"Rozenn N","non-dropping-particle":"","parse-names":false,"suffix":""},{"dropping-particle":"","family":"Chien","given":"Kuo-Liong","non-dropping-particle":"","parse-names":false,"suffix":""},{"dropping-particle":"","family":"Soedamah-Muthu","given":"Sabita S","non-dropping-particle":"","parse-names":false,"suffix":""},{"dropping-particle":"","family":"Geleijnse","given":"Johanna M","non-dropping-particle":"","parse-names":false,"suffix":""},{"dropping-particle":"","family":"Sun","given":"Qi","non-dropping-particle":"","parse-names":false,"suffix":""},{"dropping-particle":"","family":"Harris","given":"William S","non-dropping-particle":"","parse-names":false,"suffix":""},{"dropping-particle":"","family":"Lind","given":"Lars","non-dropping-particle":"","parse-names":false,"suffix":""},{"dropping-particle":"","family":"Ärnlöv","given":"Johan","non-dropping-particle":"","parse-names":false,"suffix":""},{"dropping-particle":"","family":"Riserus","given":"Ulf","non-dropping-particle":"","parse-names":false,"suffix":""},{"dropping-particle":"","family":"Micha","given":"Renata","non-dropping-particle":"","parse-names":false,"suffix":""},{"dropping-particle":"","family":"Mozaffarian","given":"Dariush","non-dropping-particle":"","parse-names":false,"suffix":""}],"container-title":"Lancet Diabetes Endocrinol","id":"ITEM-2","issue":"12","issued":{"date-parts":[["2017","12"]]},"page":"965-974","title":"Omega-6 fatty acid biomarkers and incident type 2 diabetes: pooled analysis of individual-level data for 39 740 adults from 20 prospective cohort studies","type":"article-journal","volume":"5"},"uris":["http://www.mendeley.com/documents/?uuid=88ea0ca5-cbd4-4f1a-ac39-d54206897fbb"]},{"id":"ITEM-3","itemData":{"PMID":"30303968","abstract":"Background: We aimed to investigate prospective associations of circulating or adipose tissue odd-chain fatty acids 15:0 and 17:0 and trans-palmitoleic acid, t16:1n-7, as potential biomarkers of dairy fat intake, with incident type 2 diabetes (T2D). Methods and Findings: Sixteen prospective cohorts from 12 countries (7 from the United States, 7 from Europe, 1 from Australia, 1 from Taiwan) performed new harmonized individual-level analysis for the prospective associations according to a standardized plan. In total, 63,682 participants with a broad range of baseline ages and BMIs and 15,180 incident cases of T2D over the average of nine years of follow-up were evaluated. Study-specific results were pooled using inverse variance weighted meta-analysis. Prespecified interactions by age, sex, body-mass index (BMI), and race/ethnicity were explored in each cohort and meta-analysed. Potential heterogeneity by cohort-specific characteristics (regions, lipid compartments used for fatty acid assays) was assessed with meta-regression. After adjustment for potential confounders including measures of adiposity (BMI, waist circumference) and lipogenesis (levels of palmitate, triglycerides), higher levels of 15:0, 17:0, and t16:1n-7 were associated with lower incidence of T2D. In the most adjusted model, the hazard ratio (95% CI) for incident T2D per cohort-specific 10th to 90th percentile range of 15:0 was 0.80 (0.73-0.87); of 17:0, 0.65 (0.59-0.72); of t16:1n7, 0.82 (0.70-0.96); and of their sum, 0.71 (0.63-0.79). In exploratory analyses, similar associations for 15:0, 17:0, and the sum of all three fatty acids was present in both genders but stronger in women than in men (pinteraction&lt;0.001). While studying associations with biomarkers has several advantages, as limitations, the biomarkers do not distinguish between different food sources of dairy fat (e.g., cheese, yogurt, milk); and residual confounding by unmeasured or imprecisely measured confounders may exist. Conclusion: In a large meta-analysis that pooled the findings from sixteen prospective cohort studies, higher levels of 15:0, 17:0 and t16:1n-7 were associated with a lower risk of T2D.","author":[{"dropping-particle":"","family":"Imamura","given":"Fumiaki","non-dropping-particle":"","parse-names":false,"suffix":""},{"dropping-particle":"","family":"Fretts","given":"Amanda","non-dropping-particle":"","parse-names":false,"suffix":""},{"dropping-particle":"","family":"Marklund","given":"Matti","non-dropping-particle":"","parse-names":false,"suffix":""},{"dropping-particle":"V","family":"Ardisson Korat","given":"Andres","non-dropping-particle":"","parse-names":false,"suffix":""},{"dropping-particle":"","family":"Yang","given":"Wei-Sin","non-dropping-particle":"","parse-names":false,"suffix":""},{"dropping-particle":"","family":"Lankinen","given":"Maria","non-dropping-particle":"","parse-names":false,"suffix":""},{"dropping-particle":"","family":"Qureshi","given":"Waqas","non-dropping-particle":"","parse-names":false,"suffix":""},{"dropping-particle":"","family":"Helmer","given":"Catherine","non-dropping-particle":"","parse-names":false,"suffix":""},{"dropping-particle":"","family":"Chen","given":"Tzu-An","non-dropping-particle":"","parse-names":false,"suffix":""},{"dropping-particle":"","family":"Wong","given":"Kerry","non-dropping-particle":"","parse-names":false,"suffix":""},{"dropping-particle":"","family":"Bassett","given":"Julie K","non-dropping-particle":"","parse-names":false,"suffix":""},{"dropping-particle":"","family":"Murphy","given":"Rachel","non-dropping-particle":"","parse-names":false,"suffix":""},{"dropping-particle":"","family":"Tintle","given":"Nathan","non-dropping-particle":"","parse-names":false,"suffix":""},{"dropping-particle":"","family":"Yu","given":"Chaoyu Ian","non-dropping-particle":"","parse-names":false,"suffix":""},{"dropping-particle":"","family":"Brouwer","given":"Ingeborg A","non-dropping-particle":"","parse-names":false,"suffix":""},{"dropping-particle":"","family":"Chien","given":"Kuo-Liong","non-dropping-particle":"","parse-names":false,"suffix":""},{"dropping-particle":"","family":"Frazier-Wood","given":"Alexis C","non-dropping-particle":"","parse-names":false,"suffix":""},{"dropping-particle":"del","family":"Gobbo","given":"Liana C","non-dropping-particle":"","parse-names":false,"suffix":""},{"dropping-particle":"","family":"Djoussé","given":"Luc","non-dropping-particle":"","parse-names":false,"suffix":""},{"dropping-particle":"","family":"Geleijnse","given":"Johanna M","non-dropping-particle":"","parse-names":false,"suffix":""},{"dropping-particle":"","family":"Giles","given":"Graham G","non-dropping-particle":"","parse-names":false,"suffix":""},{"dropping-particle":"de","family":"Goede","given":"Janette","non-dropping-particle":"","parse-names":false,"suffix":""},{"dropping-particle":"","family":"Gudnason","given":"Vilmundur","non-dropping-particle":"","parse-names":false,"suffix":""},{"dropping-particle":"","family":"Harris","given":"William S","non-dropping-particle":"","parse-names":false,"suffix":""},{"dropping-particle":"","family":"Hodge","given":"Allison","non-dropping-particle":"","parse-names":false,"suffix":""},{"dropping-particle":"","family":"Hu","given":"Frank","non-dropping-particle":"","parse-names":false,"suffix":""},{"dropping-particle":"","family":"The InterAct Consortium","given":"","non-dropping-particle":"","parse-names":false,"suffix":""},{"dropping-particle":"","family":"Koulman","given":"Albert","non-dropping-particle":"","parse-names":false,"suffix":""},{"dropping-particle":"","family":"Laakso","given":"Markku","non-dropping-particle":"","parse-names":false,"suffix":""},{"dropping-particle":"","family":"Lind","given":"Lars","non-dropping-particle":"","parse-names":false,"suffix":""},{"dropping-particle":"","family":"Lin","given":"Hung-Ju","non-dropping-particle":"","parse-names":false,"suffix":""},{"dropping-particle":"","family":"McKnight","given":"Barbara","non-dropping-particle":"","parse-names":false,"suffix":""},{"dropping-particle":"","family":"Rajaobelina","given":"Kalina","non-dropping-particle":"","parse-names":false,"suffix":""},{"dropping-particle":"","family":"Risérus","given":"Ulf","non-dropping-particle":"","parse-names":false,"suffix":""},{"dropping-particle":"","family":"Robinson","given":"Jennifer G","non-dropping-particle":"","parse-names":false,"suffix":""},{"dropping-particle":"","family":"Samieri","given":"Cécilia","non-dropping-particle":"","parse-names":false,"suffix":""},{"dropping-particle":"","family":"Siscovick","given":"David S","non-dropping-particle":"","parse-names":false,"suffix":""},{"dropping-particle":"","family":"Soedamah-Muthu","given":"Sabita S","non-dropping-particle":"","parse-names":false,"suffix":""},{"dropping-particle":"","family":"Nona Sotoodehnia","given":"","non-dropping-particle":"","parse-names":false,"suffix":""},{"dropping-particle":"","family":"Sun","given":"Qi","non-dropping-particle":"","parse-names":false,"suffix":""},{"dropping-particle":"","family":"Tsai","given":"Michael Y","non-dropping-particle":"","parse-names":false,"suffix":""},{"dropping-particle":"","family":"Uusitupa","given":"Matti","non-dropping-particle":"","parse-names":false,"suffix":""},{"dropping-particle":"","family":"Wagenknecht","given":"Lynne E","non-dropping-particle":"","parse-names":false,"suffix":""},{"dropping-particle":"","family":"Wareham","given":"Nick J","non-dropping-particle":"","parse-names":false,"suffix":""},{"dropping-particle":"","family":"Wu","given":"Jason HY","non-dropping-particle":"","parse-names":false,"suffix":""},{"dropping-particle":"","family":"Micha","given":"Renata","non-dropping-particle":"","parse-names":false,"suffix":""},{"dropping-particle":"","family":"Forouhi","given":"Nita G","non-dropping-particle":"","parse-names":false,"suffix":""},{"dropping-particle":"","family":"Lemaitre","given":"Rozenn N","non-dropping-particle":"","parse-names":false,"suffix":""},{"dropping-particle":"","family":"Mozaffarian","given":"Dariush","non-dropping-particle":"","parse-names":false,"suffix":""}],"container-title":"PLoS Med","id":"ITEM-3","issue":"10","issued":{"date-parts":[["2018"]]},"page":"e1002670","title":"Fatty acid biomarkers of dairy fat consumption and incidence of type 2 diabetes: a pooled analysis of prospective cohort studies","type":"article-journal","volume":"15"},"uris":["http://www.mendeley.com/documents/?uuid=d800b8af-2565-4018-a483-b13cfb9083a9"]}],"mendeley":{"formattedCitation":"[19–21]","plainTextFormattedCitation":"[19–21]","previouslyFormattedCitation":"[19–21]"},"properties":{"noteIndex":0},"schema":"https://github.com/citation-style-language/schema/raw/master/csl-citation.json"}</w:instrText>
      </w:r>
      <w:r w:rsidR="009D4D58" w:rsidRPr="00C40A28">
        <w:rPr>
          <w:rFonts w:ascii="Times New Roman" w:hAnsi="Times New Roman"/>
          <w:b w:val="0"/>
          <w:bCs/>
          <w:sz w:val="22"/>
          <w:szCs w:val="22"/>
          <w:lang w:val="en-US" w:eastAsia="ja-JP"/>
        </w:rPr>
        <w:fldChar w:fldCharType="separate"/>
      </w:r>
      <w:r w:rsidR="002E24E3" w:rsidRPr="00C40A28">
        <w:rPr>
          <w:rFonts w:ascii="Times New Roman" w:hAnsi="Times New Roman"/>
          <w:b w:val="0"/>
          <w:bCs/>
          <w:noProof/>
          <w:sz w:val="22"/>
          <w:szCs w:val="22"/>
          <w:lang w:val="en-US" w:eastAsia="ja-JP"/>
        </w:rPr>
        <w:t>[19–21]</w:t>
      </w:r>
      <w:r w:rsidR="009D4D58" w:rsidRPr="00C40A28">
        <w:rPr>
          <w:rFonts w:ascii="Times New Roman" w:hAnsi="Times New Roman"/>
          <w:b w:val="0"/>
          <w:bCs/>
          <w:sz w:val="22"/>
          <w:szCs w:val="22"/>
          <w:lang w:val="en-US" w:eastAsia="ja-JP"/>
        </w:rPr>
        <w:fldChar w:fldCharType="end"/>
      </w:r>
      <w:r w:rsidR="002A43E6" w:rsidRPr="00C40A28">
        <w:rPr>
          <w:rFonts w:ascii="Times New Roman" w:hAnsi="Times New Roman"/>
          <w:b w:val="0"/>
          <w:bCs/>
          <w:sz w:val="22"/>
          <w:szCs w:val="22"/>
          <w:lang w:val="en-US" w:eastAsia="ja-JP"/>
        </w:rPr>
        <w:t xml:space="preserve">. </w:t>
      </w:r>
      <w:r w:rsidR="0033190F">
        <w:rPr>
          <w:rFonts w:ascii="Times New Roman" w:hAnsi="Times New Roman"/>
          <w:b w:val="0"/>
          <w:bCs/>
          <w:sz w:val="22"/>
          <w:szCs w:val="22"/>
          <w:lang w:val="en-US" w:eastAsia="ja-JP"/>
        </w:rPr>
        <w:t>T</w:t>
      </w:r>
      <w:r w:rsidR="002A43E6" w:rsidRPr="00C40A28">
        <w:rPr>
          <w:rFonts w:ascii="Times New Roman" w:hAnsi="Times New Roman"/>
          <w:b w:val="0"/>
          <w:bCs/>
          <w:sz w:val="22"/>
          <w:szCs w:val="22"/>
          <w:lang w:val="en-US" w:eastAsia="ja-JP"/>
        </w:rPr>
        <w:t>he current project included 1</w:t>
      </w:r>
      <w:r w:rsidR="004D778D" w:rsidRPr="00C40A28">
        <w:rPr>
          <w:rFonts w:ascii="Times New Roman" w:hAnsi="Times New Roman"/>
          <w:b w:val="0"/>
          <w:bCs/>
          <w:sz w:val="22"/>
          <w:szCs w:val="22"/>
          <w:lang w:val="en-US" w:eastAsia="ja-JP"/>
        </w:rPr>
        <w:t>7</w:t>
      </w:r>
      <w:r w:rsidR="002A43E6" w:rsidRPr="00C40A28">
        <w:rPr>
          <w:rFonts w:ascii="Times New Roman" w:hAnsi="Times New Roman"/>
          <w:b w:val="0"/>
          <w:bCs/>
          <w:sz w:val="22"/>
          <w:szCs w:val="22"/>
          <w:lang w:val="en-US" w:eastAsia="ja-JP"/>
        </w:rPr>
        <w:t xml:space="preserve"> prospective studies (cohorts</w:t>
      </w:r>
      <w:r w:rsidR="0033190F">
        <w:rPr>
          <w:rFonts w:ascii="Times New Roman" w:hAnsi="Times New Roman"/>
          <w:b w:val="0"/>
          <w:bCs/>
          <w:sz w:val="22"/>
          <w:szCs w:val="22"/>
          <w:lang w:val="en-US" w:eastAsia="ja-JP"/>
        </w:rPr>
        <w:t xml:space="preserve"> and</w:t>
      </w:r>
      <w:r w:rsidR="0033190F" w:rsidRPr="00C40A28">
        <w:rPr>
          <w:rFonts w:ascii="Times New Roman" w:hAnsi="Times New Roman"/>
          <w:b w:val="0"/>
          <w:bCs/>
          <w:sz w:val="22"/>
          <w:szCs w:val="22"/>
          <w:lang w:val="en-US" w:eastAsia="ja-JP"/>
        </w:rPr>
        <w:t xml:space="preserve"> </w:t>
      </w:r>
      <w:r w:rsidR="002A43E6" w:rsidRPr="00C40A28">
        <w:rPr>
          <w:rFonts w:ascii="Times New Roman" w:hAnsi="Times New Roman"/>
          <w:b w:val="0"/>
          <w:bCs/>
          <w:sz w:val="22"/>
          <w:szCs w:val="22"/>
          <w:lang w:val="en-US" w:eastAsia="ja-JP"/>
        </w:rPr>
        <w:t xml:space="preserve">nested case-control </w:t>
      </w:r>
      <w:r w:rsidR="0033190F">
        <w:rPr>
          <w:rFonts w:ascii="Times New Roman" w:hAnsi="Times New Roman"/>
          <w:b w:val="0"/>
          <w:bCs/>
          <w:sz w:val="22"/>
          <w:szCs w:val="22"/>
          <w:lang w:val="en-US" w:eastAsia="ja-JP"/>
        </w:rPr>
        <w:t xml:space="preserve">or case-cohort </w:t>
      </w:r>
      <w:r w:rsidR="002A43E6" w:rsidRPr="00C40A28">
        <w:rPr>
          <w:rFonts w:ascii="Times New Roman" w:hAnsi="Times New Roman"/>
          <w:b w:val="0"/>
          <w:bCs/>
          <w:sz w:val="22"/>
          <w:szCs w:val="22"/>
          <w:lang w:val="en-US" w:eastAsia="ja-JP"/>
        </w:rPr>
        <w:t>studies)</w:t>
      </w:r>
      <w:r w:rsidR="0033190F">
        <w:rPr>
          <w:rFonts w:ascii="Times New Roman" w:hAnsi="Times New Roman"/>
          <w:b w:val="0"/>
          <w:bCs/>
          <w:sz w:val="22"/>
          <w:szCs w:val="22"/>
          <w:lang w:val="en-US" w:eastAsia="ja-JP"/>
        </w:rPr>
        <w:t>. These studies</w:t>
      </w:r>
      <w:r w:rsidR="002A43E6" w:rsidRPr="00C40A28">
        <w:rPr>
          <w:rFonts w:ascii="Times New Roman" w:hAnsi="Times New Roman"/>
          <w:b w:val="0"/>
          <w:bCs/>
          <w:sz w:val="22"/>
          <w:szCs w:val="22"/>
          <w:lang w:val="en-US" w:eastAsia="ja-JP"/>
        </w:rPr>
        <w:t xml:space="preserve"> </w:t>
      </w:r>
      <w:r w:rsidR="007A7E80">
        <w:rPr>
          <w:rFonts w:ascii="Times New Roman" w:hAnsi="Times New Roman"/>
          <w:b w:val="0"/>
          <w:bCs/>
          <w:sz w:val="22"/>
          <w:szCs w:val="22"/>
          <w:lang w:val="en-US" w:eastAsia="ja-JP"/>
        </w:rPr>
        <w:t xml:space="preserve">agreed to participate after confirming </w:t>
      </w:r>
      <w:r w:rsidR="002A43E6" w:rsidRPr="00C40A28">
        <w:rPr>
          <w:rFonts w:ascii="Times New Roman" w:hAnsi="Times New Roman"/>
          <w:b w:val="0"/>
          <w:bCs/>
          <w:sz w:val="22"/>
          <w:szCs w:val="22"/>
          <w:lang w:val="en-US" w:eastAsia="ja-JP"/>
        </w:rPr>
        <w:t>the inclusion criteria</w:t>
      </w:r>
      <w:r w:rsidR="006B328E" w:rsidRPr="00C40A28">
        <w:rPr>
          <w:rFonts w:ascii="Times New Roman" w:hAnsi="Times New Roman"/>
          <w:b w:val="0"/>
          <w:bCs/>
          <w:sz w:val="22"/>
          <w:szCs w:val="22"/>
          <w:lang w:val="en-US" w:eastAsia="ja-JP"/>
        </w:rPr>
        <w:t xml:space="preserve"> </w:t>
      </w:r>
      <w:r w:rsidR="007A7E80">
        <w:rPr>
          <w:rFonts w:ascii="Times New Roman" w:hAnsi="Times New Roman"/>
          <w:b w:val="0"/>
          <w:bCs/>
          <w:sz w:val="22"/>
          <w:szCs w:val="22"/>
          <w:lang w:val="en-US" w:eastAsia="ja-JP"/>
        </w:rPr>
        <w:t>met</w:t>
      </w:r>
      <w:r w:rsidR="002A43E6" w:rsidRPr="00C40A28">
        <w:rPr>
          <w:rFonts w:ascii="Times New Roman" w:hAnsi="Times New Roman"/>
          <w:b w:val="0"/>
          <w:bCs/>
          <w:sz w:val="22"/>
          <w:szCs w:val="22"/>
          <w:lang w:val="en-US" w:eastAsia="ja-JP"/>
        </w:rPr>
        <w:t xml:space="preserve">: recruitment of adults aged 18 years or over and </w:t>
      </w:r>
      <w:r w:rsidR="007A7E80">
        <w:rPr>
          <w:rFonts w:ascii="Times New Roman" w:hAnsi="Times New Roman"/>
          <w:b w:val="0"/>
          <w:bCs/>
          <w:sz w:val="22"/>
          <w:szCs w:val="22"/>
          <w:lang w:val="en-US" w:eastAsia="ja-JP"/>
        </w:rPr>
        <w:t>without</w:t>
      </w:r>
      <w:r w:rsidR="002A43E6" w:rsidRPr="00C40A28">
        <w:rPr>
          <w:rFonts w:ascii="Times New Roman" w:hAnsi="Times New Roman"/>
          <w:b w:val="0"/>
          <w:bCs/>
          <w:sz w:val="22"/>
          <w:szCs w:val="22"/>
          <w:lang w:val="en-US" w:eastAsia="ja-JP"/>
        </w:rPr>
        <w:t xml:space="preserve"> </w:t>
      </w:r>
      <w:r w:rsidR="007A7E80">
        <w:rPr>
          <w:rFonts w:ascii="Times New Roman" w:hAnsi="Times New Roman"/>
          <w:b w:val="0"/>
          <w:bCs/>
          <w:sz w:val="22"/>
          <w:szCs w:val="22"/>
          <w:lang w:val="en-US" w:eastAsia="ja-JP"/>
        </w:rPr>
        <w:t xml:space="preserve">prevalent </w:t>
      </w:r>
      <w:r w:rsidR="002A43E6" w:rsidRPr="00C40A28">
        <w:rPr>
          <w:rFonts w:ascii="Times New Roman" w:hAnsi="Times New Roman"/>
          <w:b w:val="0"/>
          <w:bCs/>
          <w:sz w:val="22"/>
          <w:szCs w:val="22"/>
          <w:lang w:val="en-US" w:eastAsia="ja-JP"/>
        </w:rPr>
        <w:t xml:space="preserve">diabetes at the time of fatty acid assessment; </w:t>
      </w:r>
      <w:r w:rsidR="007A7E80">
        <w:rPr>
          <w:rFonts w:ascii="Times New Roman" w:hAnsi="Times New Roman"/>
          <w:b w:val="0"/>
          <w:bCs/>
          <w:sz w:val="22"/>
          <w:szCs w:val="22"/>
          <w:lang w:val="en-US" w:eastAsia="ja-JP"/>
        </w:rPr>
        <w:t>available data</w:t>
      </w:r>
      <w:r w:rsidR="007A7E80" w:rsidRPr="00C40A28">
        <w:rPr>
          <w:rFonts w:ascii="Times New Roman" w:hAnsi="Times New Roman"/>
          <w:b w:val="0"/>
          <w:bCs/>
          <w:sz w:val="22"/>
          <w:szCs w:val="22"/>
          <w:lang w:val="en-US" w:eastAsia="ja-JP"/>
        </w:rPr>
        <w:t xml:space="preserve"> </w:t>
      </w:r>
      <w:r w:rsidR="002A43E6" w:rsidRPr="00C40A28">
        <w:rPr>
          <w:rFonts w:ascii="Times New Roman" w:hAnsi="Times New Roman"/>
          <w:b w:val="0"/>
          <w:bCs/>
          <w:sz w:val="22"/>
          <w:szCs w:val="22"/>
          <w:lang w:val="en-US" w:eastAsia="ja-JP"/>
        </w:rPr>
        <w:t xml:space="preserve">of circulating or </w:t>
      </w:r>
      <w:r w:rsidR="0092772F" w:rsidRPr="00C40A28">
        <w:rPr>
          <w:rFonts w:ascii="Times New Roman" w:hAnsi="Times New Roman"/>
          <w:b w:val="0"/>
          <w:bCs/>
          <w:sz w:val="22"/>
          <w:szCs w:val="22"/>
          <w:lang w:val="en-US" w:eastAsia="ja-JP"/>
        </w:rPr>
        <w:t>adipose</w:t>
      </w:r>
      <w:r w:rsidR="002A43E6" w:rsidRPr="00C40A28">
        <w:rPr>
          <w:rFonts w:ascii="Times New Roman" w:hAnsi="Times New Roman"/>
          <w:b w:val="0"/>
          <w:bCs/>
          <w:sz w:val="22"/>
          <w:szCs w:val="22"/>
          <w:lang w:val="en-US" w:eastAsia="ja-JP"/>
        </w:rPr>
        <w:t xml:space="preserve"> </w:t>
      </w:r>
      <w:r w:rsidR="00ED2693" w:rsidRPr="00C40A28">
        <w:rPr>
          <w:rFonts w:ascii="Times New Roman" w:hAnsi="Times New Roman"/>
          <w:b w:val="0"/>
          <w:bCs/>
          <w:sz w:val="22"/>
          <w:szCs w:val="22"/>
          <w:lang w:val="en-US" w:eastAsia="ja-JP"/>
        </w:rPr>
        <w:t xml:space="preserve">16:0, </w:t>
      </w:r>
      <w:r w:rsidR="0018750B" w:rsidRPr="00C40A28">
        <w:rPr>
          <w:rFonts w:ascii="Times New Roman" w:hAnsi="Times New Roman"/>
          <w:b w:val="0"/>
          <w:bCs/>
          <w:sz w:val="22"/>
          <w:szCs w:val="22"/>
          <w:lang w:val="en-US" w:eastAsia="ja-JP"/>
        </w:rPr>
        <w:t xml:space="preserve">16:1n7, </w:t>
      </w:r>
      <w:r w:rsidR="00ED2693" w:rsidRPr="00C40A28">
        <w:rPr>
          <w:rFonts w:ascii="Times New Roman" w:hAnsi="Times New Roman"/>
          <w:b w:val="0"/>
          <w:bCs/>
          <w:sz w:val="22"/>
          <w:szCs w:val="22"/>
          <w:lang w:val="en-US" w:eastAsia="ja-JP"/>
        </w:rPr>
        <w:t>18:0, and 18:1n9</w:t>
      </w:r>
      <w:r w:rsidR="002A43E6" w:rsidRPr="00C40A28">
        <w:rPr>
          <w:rFonts w:ascii="Times New Roman" w:hAnsi="Times New Roman"/>
          <w:b w:val="0"/>
          <w:bCs/>
          <w:sz w:val="22"/>
          <w:szCs w:val="22"/>
          <w:lang w:val="en-US" w:eastAsia="ja-JP"/>
        </w:rPr>
        <w:t xml:space="preserve">; and </w:t>
      </w:r>
      <w:r w:rsidR="00464AE4" w:rsidRPr="00C40A28">
        <w:rPr>
          <w:rFonts w:ascii="Times New Roman" w:hAnsi="Times New Roman"/>
          <w:b w:val="0"/>
          <w:bCs/>
          <w:sz w:val="22"/>
          <w:szCs w:val="22"/>
          <w:lang w:val="en-US" w:eastAsia="ja-JP"/>
        </w:rPr>
        <w:t>ascertainment of</w:t>
      </w:r>
      <w:r w:rsidR="002A43E6" w:rsidRPr="00C40A28">
        <w:rPr>
          <w:rFonts w:ascii="Times New Roman" w:hAnsi="Times New Roman"/>
          <w:b w:val="0"/>
          <w:bCs/>
          <w:sz w:val="22"/>
          <w:szCs w:val="22"/>
          <w:lang w:val="en-US" w:eastAsia="ja-JP"/>
        </w:rPr>
        <w:t xml:space="preserve"> incident T2D</w:t>
      </w:r>
      <w:r w:rsidR="00C3253D" w:rsidRPr="00C40A28">
        <w:rPr>
          <w:rFonts w:ascii="Times New Roman" w:hAnsi="Times New Roman"/>
          <w:b w:val="0"/>
          <w:bCs/>
          <w:sz w:val="22"/>
          <w:szCs w:val="22"/>
          <w:lang w:val="en-US" w:eastAsia="ja-JP"/>
        </w:rPr>
        <w:t xml:space="preserve"> </w:t>
      </w:r>
      <w:r w:rsidR="00C3253D" w:rsidRPr="00C40A28">
        <w:rPr>
          <w:rFonts w:ascii="Times New Roman" w:hAnsi="Times New Roman"/>
          <w:b w:val="0"/>
          <w:sz w:val="22"/>
          <w:szCs w:val="22"/>
          <w:lang w:val="en-US" w:eastAsia="ja-JP"/>
        </w:rPr>
        <w:t>(</w:t>
      </w:r>
      <w:r w:rsidR="00CB2A0F" w:rsidRPr="00C40A28">
        <w:rPr>
          <w:rFonts w:ascii="Times New Roman" w:hAnsi="Times New Roman"/>
          <w:b w:val="0"/>
          <w:sz w:val="22"/>
          <w:szCs w:val="22"/>
          <w:lang w:val="en-US" w:eastAsia="ja-JP"/>
        </w:rPr>
        <w:t xml:space="preserve">S1 </w:t>
      </w:r>
      <w:r w:rsidR="00C3253D" w:rsidRPr="00C40A28">
        <w:rPr>
          <w:rFonts w:ascii="Times New Roman" w:hAnsi="Times New Roman"/>
          <w:b w:val="0"/>
          <w:sz w:val="22"/>
          <w:szCs w:val="22"/>
          <w:lang w:val="en-US" w:eastAsia="ja-JP"/>
        </w:rPr>
        <w:t>Text)</w:t>
      </w:r>
      <w:r w:rsidR="002A43E6" w:rsidRPr="00C40A28">
        <w:rPr>
          <w:rFonts w:ascii="Times New Roman" w:hAnsi="Times New Roman"/>
          <w:b w:val="0"/>
          <w:bCs/>
          <w:sz w:val="22"/>
          <w:szCs w:val="22"/>
          <w:lang w:val="en-US" w:eastAsia="ja-JP"/>
        </w:rPr>
        <w:t xml:space="preserve">. Other cohorts </w:t>
      </w:r>
      <w:r w:rsidR="007A7E80">
        <w:rPr>
          <w:rFonts w:ascii="Times New Roman" w:hAnsi="Times New Roman"/>
          <w:b w:val="0"/>
          <w:bCs/>
          <w:sz w:val="22"/>
          <w:szCs w:val="22"/>
          <w:lang w:val="en-US" w:eastAsia="ja-JP"/>
        </w:rPr>
        <w:t>participated</w:t>
      </w:r>
      <w:r w:rsidR="007A7E80" w:rsidRPr="00C40A28">
        <w:rPr>
          <w:rFonts w:ascii="Times New Roman" w:hAnsi="Times New Roman"/>
          <w:b w:val="0"/>
          <w:bCs/>
          <w:sz w:val="22"/>
          <w:szCs w:val="22"/>
          <w:lang w:val="en-US" w:eastAsia="ja-JP"/>
        </w:rPr>
        <w:t xml:space="preserve"> </w:t>
      </w:r>
      <w:r w:rsidR="002A43E6" w:rsidRPr="00C40A28">
        <w:rPr>
          <w:rFonts w:ascii="Times New Roman" w:hAnsi="Times New Roman"/>
          <w:b w:val="0"/>
          <w:bCs/>
          <w:sz w:val="22"/>
          <w:szCs w:val="22"/>
          <w:lang w:val="en-US" w:eastAsia="ja-JP"/>
        </w:rPr>
        <w:t>in FORCE</w:t>
      </w:r>
      <w:r w:rsidR="00D44BE2" w:rsidRPr="00C40A28">
        <w:rPr>
          <w:rFonts w:ascii="Times New Roman" w:hAnsi="Times New Roman"/>
          <w:b w:val="0"/>
          <w:bCs/>
          <w:sz w:val="22"/>
          <w:szCs w:val="22"/>
          <w:lang w:val="en-US" w:eastAsia="ja-JP"/>
        </w:rPr>
        <w:t xml:space="preserve"> </w:t>
      </w:r>
      <w:r w:rsidR="007A7E80">
        <w:rPr>
          <w:rFonts w:ascii="Times New Roman" w:hAnsi="Times New Roman"/>
          <w:b w:val="0"/>
          <w:bCs/>
          <w:sz w:val="22"/>
          <w:szCs w:val="22"/>
          <w:lang w:val="en-US" w:eastAsia="ja-JP"/>
        </w:rPr>
        <w:t xml:space="preserve">for other projects </w:t>
      </w:r>
      <w:r w:rsidR="00D93967" w:rsidRPr="00C40A28">
        <w:rPr>
          <w:rFonts w:ascii="Times New Roman" w:hAnsi="Times New Roman"/>
          <w:b w:val="0"/>
          <w:bCs/>
          <w:sz w:val="22"/>
          <w:szCs w:val="22"/>
          <w:lang w:val="en-US" w:eastAsia="ja-JP"/>
        </w:rPr>
        <w:fldChar w:fldCharType="begin" w:fldLock="1"/>
      </w:r>
      <w:r w:rsidR="004C640A" w:rsidRPr="00C40A28">
        <w:rPr>
          <w:rFonts w:ascii="Times New Roman" w:hAnsi="Times New Roman"/>
          <w:b w:val="0"/>
          <w:bCs/>
          <w:sz w:val="22"/>
          <w:szCs w:val="22"/>
          <w:lang w:val="en-US" w:eastAsia="ja-JP"/>
        </w:rPr>
        <w:instrText>ADDIN CSL_CITATION {"citationItems":[{"id":"ITEM-1","itemData":{"DOI":"10.1001/jamainternmed.2016.2925","ISSN":"2168-6106","PMID":"27357102","abstract":"Importance: The role of ω-3 polyunsaturated fatty acids for primary prevention of coronary heart disease (CHD) remains controversial. Most prior longitudinal studies evaluated self-reported consumption rather than biomarkers. Objective: To evaluate biomarkers of seafood-derived eicosapentaenoic acid (EPA; 20:5ω-3), docosapentaenoic acid (DPA; 22:5ω-3), and docosahexaenoic acid (DHA; 22:6ω-3) and plant-derived α-linolenic acid (ALA; 18:3ω-3) for incident CHD. Data Sources: A global consortium of 19 studies identified by November 2014. Study Selection: Available prospective (cohort, nested case-control) or retrospective studies with circulating or tissue ω-3 biomarkers and ascertained CHD. Data Extraction and Synthesis: Each study conducted standardized, individual-level analysis using harmonized models, exposures, outcomes, and covariates. Findings were centrally pooled using random-effects meta-analysis. Heterogeneity was examined by age, sex, race, diabetes, statins, aspirin, ω-6 levels, and FADS desaturase genes. Main Outcomes and Measures: Incident total CHD, fatal CHD, and nonfatal myocardial infarction (MI). Results: The 19 studies comprised 16 countries, 45 637 unique individuals, and 7973 total CHD, 2781 fatal CHD, and 7157 nonfatal MI events, with ω-3 measures in total plasma, phospholipids, cholesterol esters, and adipose tissue. Median age at baseline was 59 years (range, 18-97 years), and 28 660 (62.8%) were male. In continuous (per 1-SD increase) multivariable-adjusted analyses, the ω-3 biomarkers ALA, DPA, and DHA were associated with a lower risk of fatal CHD, with relative risks (RRs) of 0.91 (95% CI, 0.84-0.98) for ALA, 0.90 (95% CI, 0.85-0.96) for DPA, and 0.90 (95% CI, 0.84-0.96) for DHA. Although DPA was associated with a lower risk of total CHD (RR, 0.94; 95% CI, 0.90-0.99), ALA (RR, 1.00; 95% CI, 0.95-1.05), EPA (RR, 0.94; 95% CI, 0.87-1.02), and DHA (RR, 0.95; 95% CI, 0.91-1.00) were not. Significant associations with nonfatal MI were not evident. Associations appeared generally stronger in phospholipids and total plasma. Restricted cubic splines did not identify evidence of nonlinearity in dose responses. Conclusions and Relevance: On the basis of available studies of free-living populations globally, biomarker concentrations of seafood and plant-derived ω-3 fatty acids are associated with a modestly lower incidence of fatal CHD.","author":[{"dropping-particle":"","family":"Gobbo","given":"Liana C.","non-dropping-particle":"Del","parse-names":false,"suffix":""},{"dropping-particle":"","family":"Imamura","given":"Fumiaki","non-dropping-particle":"","parse-names":false,"suffix":""},{"dropping-particle":"","family":"Aslibekyan","given":"Stella","non-dropping-particle":"","parse-names":false,"suffix":""},{"dropping-particle":"","family":"Marklund","given":"Matti","non-dropping-particle":"","parse-names":false,"suffix":""},{"dropping-particle":"","family":"Virtanen","given":"Jyrki K.","non-dropping-particle":"","parse-names":false,"suffix":""},{"dropping-particle":"","family":"Wennberg","given":"Maria","non-dropping-particle":"","parse-names":false,"suffix":""},{"dropping-particle":"","family":"Yakoob","given":"Mohammad Y.","non-dropping-particle":"","parse-names":false,"suffix":""},{"dropping-particle":"","family":"Chiuve","given":"Stephanie E.","non-dropping-particle":"","parse-names":false,"suffix":""},{"dropping-particle":"","family":"Cruz","given":"Luicito","non-dropping-particle":"dela","parse-names":false,"suffix":""},{"dropping-particle":"","family":"Frazier-Wood","given":"Alexis C.","non-dropping-particle":"","parse-names":false,"suffix":""},{"dropping-particle":"","family":"Fretts","given":"Amanda M.","non-dropping-particle":"","parse-names":false,"suffix":""},{"dropping-particle":"","family":"Guallar","given":"Eliseo","non-dropping-particle":"","parse-names":false,"suffix":""},{"dropping-particle":"","family":"Matsumoto","given":"Chisa","non-dropping-particle":"","parse-names":false,"suffix":""},{"dropping-particle":"","family":"Prem","given":"Kiesha","non-dropping-particle":"","parse-names":false,"suffix":""},{"dropping-particle":"","family":"Tanaka","given":"Tosh","non-dropping-particle":"","parse-names":false,"suffix":""},{"dropping-particle":"","family":"Wu","given":"Jason H. Y.","non-dropping-particle":"","parse-names":false,"suffix":""},{"dropping-particle":"","family":"Zhou","given":"Xia","non-dropping-particle":"","parse-names":false,"suffix":""},{"dropping-particle":"","family":"Helmer","given":"Catherine","non-dropping-particle":"","parse-names":false,"suffix":""},{"dropping-particle":"","family":"Ingelsson","given":"Erik","non-dropping-particle":"","parse-names":false,"suffix":""},{"dropping-particle":"","family":"Yuan","given":"Jian-Min","non-dropping-particle":"","parse-names":false,"suffix":""},{"dropping-particle":"","family":"Barberger-Gateau","given":"Pascale","non-dropping-particle":"","parse-names":false,"suffix":""},{"dropping-particle":"","family":"Campos","given":"Hannia","non-dropping-particle":"","parse-names":false,"suffix":""},{"dropping-particle":"","family":"Chaves","given":"Paulo H. M.","non-dropping-particle":"","parse-names":false,"suffix":""},{"dropping-particle":"","family":"Djoussé","given":"Luc","non-dropping-particle":"","parse-names":false,"suffix":""},{"dropping-particle":"","family":"Giles","given":"Graham G.","non-dropping-particle":"","parse-names":false,"suffix":""},{"dropping-particle":"","family":"Gómez-Aracena","given":"Jose","non-dropping-particle":"","parse-names":false,"suffix":""},{"dropping-particle":"","family":"Hodge","given":"Allison M.","non-dropping-particle":"","parse-names":false,"suffix":""},{"dropping-particle":"","family":"Hu","given":"Frank B.","non-dropping-particle":"","parse-names":false,"suffix":""},{"dropping-particle":"","family":"Jansson","given":"Jan-Håkan","non-dropping-particle":"","parse-names":false,"suffix":""},{"dropping-particle":"","family":"Johansson","given":"Ingegerd","non-dropping-particle":"","parse-names":false,"suffix":""},{"dropping-particle":"","family":"Khaw","given":"Kay-Tee","non-dropping-particle":"","parse-names":false,"suffix":""},{"dropping-particle":"","family":"Koh","given":"Woon-Puay","non-dropping-particle":"","parse-names":false,"suffix":""},{"dropping-particle":"","family":"Lemaitre","given":"Rozenn N.","non-dropping-particle":"","parse-names":false,"suffix":""},{"dropping-particle":"","family":"Lind","given":"Lars","non-dropping-particle":"","parse-names":false,"suffix":""},{"dropping-particle":"","family":"Luben","given":"Robert N.","non-dropping-particle":"","parse-names":false,"suffix":""},{"dropping-particle":"","family":"Rimm","given":"Eric B.","non-dropping-particle":"","parse-names":false,"suffix":""},{"dropping-particle":"","family":"Risérus","given":"Ulf","non-dropping-particle":"","parse-names":false,"suffix":""},{"dropping-particle":"","family":"Samieri","given":"Cecilia","non-dropping-particle":"","parse-names":false,"suffix":""},{"dropping-particle":"","family":"Franks","given":"Paul W.","non-dropping-particle":"","parse-names":false,"suffix":""},{"dropping-particle":"","family":"Siscovick","given":"David S.","non-dropping-particle":"","parse-names":false,"suffix":""},{"dropping-particle":"","family":"Stampfer","given":"Meir","non-dropping-particle":"","parse-names":false,"suffix":""},{"dropping-particle":"","family":"Steffen","given":"Lyn M.","non-dropping-particle":"","parse-names":false,"suffix":""},{"dropping-particle":"","family":"Steffen","given":"Brian T.","non-dropping-particle":"","parse-names":false,"suffix":""},{"dropping-particle":"","family":"Tsai","given":"Michael Y.","non-dropping-particle":"","parse-names":false,"suffix":""},{"dropping-particle":"","family":"Dam","given":"Rob M.","non-dropping-particle":"van","parse-names":false,"suffix":""},{"dropping-particle":"","family":"Voutilainen","given":"Sari","non-dropping-particle":"","parse-names":false,"suffix":""},{"dropping-particle":"","family":"Willett","given":"Walter C.","non-dropping-particle":"","parse-names":false,"suffix":""},{"dropping-particle":"","family":"Woodward","given":"Mark","non-dropping-particle":"","parse-names":false,"suffix":""},{"dropping-particle":"","family":"Mozaffarian","given":"Dariush","non-dropping-particle":"","parse-names":false,"suffix":""}],"container-title":"JAMA Intern Med","id":"ITEM-1","issue":"8","issued":{"date-parts":[["2016","8","1"]]},"page":"1155","title":"ω-3 Polyunsaturated Fatty Acid Biomarkers and Coronary Heart Disease","type":"article-journal","volume":"176"},"uris":["http://www.mendeley.com/documents/?uuid=bfea1dd1-793b-4559-8fc1-9ec3b1aad902"]},{"id":"ITEM-2","itemData":{"DOI":"10.1016/S2213-8587(17)30307-8","ISSN":"22138587","author":[{"dropping-particle":"","family":"Wu","given":"Jason H Y","non-dropping-particle":"","parse-names":false,"suffix":""},{"dropping-particle":"","family":"Marklund","given":"Matti","non-dropping-particle":"","parse-names":false,"suffix":""},{"dropping-particle":"","family":"Imamura","given":"Fumiaki","non-dropping-particle":"","parse-names":false,"suffix":""},{"dropping-particle":"","family":"Tintle","given":"Nathan","non-dropping-particle":"","parse-names":false,"suffix":""},{"dropping-particle":"V","family":"Ardisson Korat","given":"Andres","non-dropping-particle":"","parse-names":false,"suffix":""},{"dropping-particle":"","family":"Goede","given":"Janette","non-dropping-particle":"de","parse-names":false,"suffix":""},{"dropping-particle":"","family":"Zhou","given":"Xia","non-dropping-particle":"","parse-names":false,"suffix":""},{"dropping-particle":"","family":"Yang","given":"Wei-Sin","non-dropping-particle":"","parse-names":false,"suffix":""},{"dropping-particle":"","family":"Oliveira Otto","given":"Marcia C","non-dropping-particle":"de","parse-names":false,"suffix":""},{"dropping-particle":"","family":"Kröger","given":"Janine","non-dropping-particle":"","parse-names":false,"suffix":""},{"dropping-particle":"","family":"Qureshi","given":"Waqas","non-dropping-particle":"","parse-names":false,"suffix":""},{"dropping-particle":"","family":"Virtanen","given":"Jyrki K","non-dropping-particle":"","parse-names":false,"suffix":""},{"dropping-particle":"","family":"Bassett","given":"Julie K","non-dropping-particle":"","parse-names":false,"suffix":""},{"dropping-particle":"","family":"Frazier-Wood","given":"Alexis C","non-dropping-particle":"","parse-names":false,"suffix":""},{"dropping-particle":"","family":"Lankinen","given":"Maria","non-dropping-particle":"","parse-names":false,"suffix":""},{"dropping-particle":"","family":"Murphy","given":"Rachel A","non-dropping-particle":"","parse-names":false,"suffix":""},{"dropping-particle":"","family":"Rajaobelina","given":"Kalina","non-dropping-particle":"","parse-names":false,"suffix":""},{"dropping-particle":"","family":"Gobbo","given":"Liana C","non-dropping-particle":"Del","parse-names":false,"suffix":""},{"dropping-particle":"","family":"Forouhi","given":"Nita G","non-dropping-particle":"","parse-names":false,"suffix":""},{"dropping-particle":"","family":"Luben","given":"Robert","non-dropping-particle":"","parse-names":false,"suffix":""},{"dropping-particle":"","family":"Khaw","given":"Kay-Tee","non-dropping-particle":"","parse-names":false,"suffix":""},{"dropping-particle":"","family":"Wareham","given":"Nick","non-dropping-particle":"","parse-names":false,"suffix":""},{"dropping-particle":"","family":"Kalsbeek","given":"Anya","non-dropping-particle":"","parse-names":false,"suffix":""},{"dropping-particle":"","family":"Veenstra","given":"Jenna","non-dropping-particle":"","parse-names":false,"suffix":""},{"dropping-particle":"","family":"Luo","given":"Juhua","non-dropping-particle":"","parse-names":false,"suffix":""},{"dropping-particle":"","family":"Hu","given":"Frank B","non-dropping-particle":"","parse-names":false,"suffix":""},{"dropping-particle":"","family":"Lin","given":"Hung-Ju","non-dropping-particle":"","parse-names":false,"suffix":""},{"dropping-particle":"","family":"Siscovick","given":"David S","non-dropping-particle":"","parse-names":false,"suffix":""},{"dropping-particle":"","family":"Boeing","given":"Heiner","non-dropping-particle":"","parse-names":false,"suffix":""},{"dropping-particle":"","family":"Chen","given":"Tzu-An","non-dropping-particle":"","parse-names":false,"suffix":""},{"dropping-particle":"","family":"Steffen","given":"Brian","non-dropping-particle":"","parse-names":false,"suffix":""},{"dropping-particle":"","family":"Steffen","given":"Lyn M","non-dropping-particle":"","parse-names":false,"suffix":""},{"dropping-particle":"","family":"Hodge","given":"Allison","non-dropping-particle":"","parse-names":false,"suffix":""},{"dropping-particle":"","family":"Eriksdottir","given":"Gudny","non-dropping-particle":"","parse-names":false,"suffix":""},{"dropping-particle":"V","family":"Smith","given":"Albert","non-dropping-particle":"","parse-names":false,"suffix":""},{"dropping-particle":"","family":"Gudnason","given":"Vilmunder","non-dropping-particle":"","parse-names":false,"suffix":""},{"dropping-particle":"","family":"Harris","given":"Tamara B","non-dropping-particle":"","parse-names":false,"suffix":""},{"dropping-particle":"","family":"Brouwer","given":"Ingeborg A","non-dropping-particle":"","parse-names":false,"suffix":""},{"dropping-particle":"","family":"Berr","given":"Claudine","non-dropping-particle":"","parse-names":false,"suffix":""},{"dropping-particle":"","family":"Helmer","given":"Catherine","non-dropping-particle":"","parse-names":false,"suffix":""},{"dropping-particle":"","family":"Samieri","given":"Cecilia","non-dropping-particle":"","parse-names":false,"suffix":""},{"dropping-particle":"","family":"Laakso","given":"Markku","non-dropping-particle":"","parse-names":false,"suffix":""},{"dropping-particle":"","family":"Tsai","given":"Michael Y","non-dropping-particle":"","parse-names":false,"suffix":""},{"dropping-particle":"","family":"Giles","given":"Graham G","non-dropping-particle":"","parse-names":false,"suffix":""},{"dropping-particle":"","family":"Nurmi","given":"Tarja","non-dropping-particle":"","parse-names":false,"suffix":""},{"dropping-particle":"","family":"Wagenknecht","given":"Lynne","non-dropping-particle":"","parse-names":false,"suffix":""},{"dropping-particle":"","family":"Schulze","given":"Matthias B","non-dropping-particle":"","parse-names":false,"suffix":""},{"dropping-particle":"","family":"Lemaitre","given":"Rozenn N","non-dropping-particle":"","parse-names":false,"suffix":""},{"dropping-particle":"","family":"Chien","given":"Kuo-Liong","non-dropping-particle":"","parse-names":false,"suffix":""},{"dropping-particle":"","family":"Soedamah-Muthu","given":"Sabita S","non-dropping-particle":"","parse-names":false,"suffix":""},{"dropping-particle":"","family":"Geleijnse","given":"Johanna M","non-dropping-particle":"","parse-names":false,"suffix":""},{"dropping-particle":"","family":"Sun","given":"Qi","non-dropping-particle":"","parse-names":false,"suffix":""},{"dropping-particle":"","family":"Harris","given":"William S","non-dropping-particle":"","parse-names":false,"suffix":""},{"dropping-particle":"","family":"Lind","given":"Lars","non-dropping-particle":"","parse-names":false,"suffix":""},{"dropping-particle":"","family":"Ärnlöv","given":"Johan","non-dropping-particle":"","parse-names":false,"suffix":""},{"dropping-particle":"","family":"Riserus","given":"Ulf","non-dropping-particle":"","parse-names":false,"suffix":""},{"dropping-particle":"","family":"Micha","given":"Renata","non-dropping-particle":"","parse-names":false,"suffix":""},{"dropping-particle":"","family":"Mozaffarian","given":"Dariush","non-dropping-particle":"","parse-names":false,"suffix":""}],"container-title":"Lancet Diabetes Endocrinol","id":"ITEM-2","issue":"12","issued":{"date-parts":[["2017","12"]]},"page":"965-974","title":"Omega-6 fatty acid biomarkers and incident type 2 diabetes: pooled analysis of individual-level data for 39 740 adults from 20 prospective cohort studies","type":"article-journal","volume":"5"},"uris":["http://www.mendeley.com/documents/?uuid=88ea0ca5-cbd4-4f1a-ac39-d54206897fbb"]},{"id":"ITEM-3","itemData":{"PMID":"30303968","abstract":"Background: We aimed to investigate prospective associations of circulating or adipose tissue odd-chain fatty acids 15:0 and 17:0 and trans-palmitoleic acid, t16:1n-7, as potential biomarkers of dairy fat intake, with incident type 2 diabetes (T2D). Methods and Findings: Sixteen prospective cohorts from 12 countries (7 from the United States, 7 from Europe, 1 from Australia, 1 from Taiwan) performed new harmonized individual-level analysis for the prospective associations according to a standardized plan. In total, 63,682 participants with a broad range of baseline ages and BMIs and 15,180 incident cases of T2D over the average of nine years of follow-up were evaluated. Study-specific results were pooled using inverse variance weighted meta-analysis. Prespecified interactions by age, sex, body-mass index (BMI), and race/ethnicity were explored in each cohort and meta-analysed. Potential heterogeneity by cohort-specific characteristics (regions, lipid compartments used for fatty acid assays) was assessed with meta-regression. After adjustment for potential confounders including measures of adiposity (BMI, waist circumference) and lipogenesis (levels of palmitate, triglycerides), higher levels of 15:0, 17:0, and t16:1n-7 were associated with lower incidence of T2D. In the most adjusted model, the hazard ratio (95% CI) for incident T2D per cohort-specific 10th to 90th percentile range of 15:0 was 0.80 (0.73-0.87); of 17:0, 0.65 (0.59-0.72); of t16:1n7, 0.82 (0.70-0.96); and of their sum, 0.71 (0.63-0.79). In exploratory analyses, similar associations for 15:0, 17:0, and the sum of all three fatty acids was present in both genders but stronger in women than in men (pinteraction&lt;0.001). While studying associations with biomarkers has several advantages, as limitations, the biomarkers do not distinguish between different food sources of dairy fat (e.g., cheese, yogurt, milk); and residual confounding by unmeasured or imprecisely measured confounders may exist. Conclusion: In a large meta-analysis that pooled the findings from sixteen prospective cohort studies, higher levels of 15:0, 17:0 and t16:1n-7 were associated with a lower risk of T2D.","author":[{"dropping-particle":"","family":"Imamura","given":"Fumiaki","non-dropping-particle":"","parse-names":false,"suffix":""},{"dropping-particle":"","family":"Fretts","given":"Amanda","non-dropping-particle":"","parse-names":false,"suffix":""},{"dropping-particle":"","family":"Marklund","given":"Matti","non-dropping-particle":"","parse-names":false,"suffix":""},{"dropping-particle":"V","family":"Ardisson Korat","given":"Andres","non-dropping-particle":"","parse-names":false,"suffix":""},{"dropping-particle":"","family":"Yang","given":"Wei-Sin","non-dropping-particle":"","parse-names":false,"suffix":""},{"dropping-particle":"","family":"Lankinen","given":"Maria","non-dropping-particle":"","parse-names":false,"suffix":""},{"dropping-particle":"","family":"Qureshi","given":"Waqas","non-dropping-particle":"","parse-names":false,"suffix":""},{"dropping-particle":"","family":"Helmer","given":"Catherine","non-dropping-particle":"","parse-names":false,"suffix":""},{"dropping-particle":"","family":"Chen","given":"Tzu-An","non-dropping-particle":"","parse-names":false,"suffix":""},{"dropping-particle":"","family":"Wong","given":"Kerry","non-dropping-particle":"","parse-names":false,"suffix":""},{"dropping-particle":"","family":"Bassett","given":"Julie K","non-dropping-particle":"","parse-names":false,"suffix":""},{"dropping-particle":"","family":"Murphy","given":"Rachel","non-dropping-particle":"","parse-names":false,"suffix":""},{"dropping-particle":"","family":"Tintle","given":"Nathan","non-dropping-particle":"","parse-names":false,"suffix":""},{"dropping-particle":"","family":"Yu","given":"Chaoyu Ian","non-dropping-particle":"","parse-names":false,"suffix":""},{"dropping-particle":"","family":"Brouwer","given":"Ingeborg A","non-dropping-particle":"","parse-names":false,"suffix":""},{"dropping-particle":"","family":"Chien","given":"Kuo-Liong","non-dropping-particle":"","parse-names":false,"suffix":""},{"dropping-particle":"","family":"Frazier-Wood","given":"Alexis C","non-dropping-particle":"","parse-names":false,"suffix":""},{"dropping-particle":"del","family":"Gobbo","given":"Liana C","non-dropping-particle":"","parse-names":false,"suffix":""},{"dropping-particle":"","family":"Djoussé","given":"Luc","non-dropping-particle":"","parse-names":false,"suffix":""},{"dropping-particle":"","family":"Geleijnse","given":"Johanna M","non-dropping-particle":"","parse-names":false,"suffix":""},{"dropping-particle":"","family":"Giles","given":"Graham G","non-dropping-particle":"","parse-names":false,"suffix":""},{"dropping-particle":"de","family":"Goede","given":"Janette","non-dropping-particle":"","parse-names":false,"suffix":""},{"dropping-particle":"","family":"Gudnason","given":"Vilmundur","non-dropping-particle":"","parse-names":false,"suffix":""},{"dropping-particle":"","family":"Harris","given":"William S","non-dropping-particle":"","parse-names":false,"suffix":""},{"dropping-particle":"","family":"Hodge","given":"Allison","non-dropping-particle":"","parse-names":false,"suffix":""},{"dropping-particle":"","family":"Hu","given":"Frank","non-dropping-particle":"","parse-names":false,"suffix":""},{"dropping-particle":"","family":"The InterAct Consortium","given":"","non-dropping-particle":"","parse-names":false,"suffix":""},{"dropping-particle":"","family":"Koulman","given":"Albert","non-dropping-particle":"","parse-names":false,"suffix":""},{"dropping-particle":"","family":"Laakso","given":"Markku","non-dropping-particle":"","parse-names":false,"suffix":""},{"dropping-particle":"","family":"Lind","given":"Lars","non-dropping-particle":"","parse-names":false,"suffix":""},{"dropping-particle":"","family":"Lin","given":"Hung-Ju","non-dropping-particle":"","parse-names":false,"suffix":""},{"dropping-particle":"","family":"McKnight","given":"Barbara","non-dropping-particle":"","parse-names":false,"suffix":""},{"dropping-particle":"","family":"Rajaobelina","given":"Kalina","non-dropping-particle":"","parse-names":false,"suffix":""},{"dropping-particle":"","family":"Risérus","given":"Ulf","non-dropping-particle":"","parse-names":false,"suffix":""},{"dropping-particle":"","family":"Robinson","given":"Jennifer G","non-dropping-particle":"","parse-names":false,"suffix":""},{"dropping-particle":"","family":"Samieri","given":"Cécilia","non-dropping-particle":"","parse-names":false,"suffix":""},{"dropping-particle":"","family":"Siscovick","given":"David S","non-dropping-particle":"","parse-names":false,"suffix":""},{"dropping-particle":"","family":"Soedamah-Muthu","given":"Sabita S","non-dropping-particle":"","parse-names":false,"suffix":""},{"dropping-particle":"","family":"Nona Sotoodehnia","given":"","non-dropping-particle":"","parse-names":false,"suffix":""},{"dropping-particle":"","family":"Sun","given":"Qi","non-dropping-particle":"","parse-names":false,"suffix":""},{"dropping-particle":"","family":"Tsai","given":"Michael Y","non-dropping-particle":"","parse-names":false,"suffix":""},{"dropping-particle":"","family":"Uusitupa","given":"Matti","non-dropping-particle":"","parse-names":false,"suffix":""},{"dropping-particle":"","family":"Wagenknecht","given":"Lynne E","non-dropping-particle":"","parse-names":false,"suffix":""},{"dropping-particle":"","family":"Wareham","given":"Nick J","non-dropping-particle":"","parse-names":false,"suffix":""},{"dropping-particle":"","family":"Wu","given":"Jason HY","non-dropping-particle":"","parse-names":false,"suffix":""},{"dropping-particle":"","family":"Micha","given":"Renata","non-dropping-particle":"","parse-names":false,"suffix":""},{"dropping-particle":"","family":"Forouhi","given":"Nita G","non-dropping-particle":"","parse-names":false,"suffix":""},{"dropping-particle":"","family":"Lemaitre","given":"Rozenn N","non-dropping-particle":"","parse-names":false,"suffix":""},{"dropping-particle":"","family":"Mozaffarian","given":"Dariush","non-dropping-particle":"","parse-names":false,"suffix":""}],"container-title":"PLoS Med","id":"ITEM-3","issue":"10","issued":{"date-parts":[["2018"]]},"page":"e1002670","title":"Fatty acid biomarkers of dairy fat consumption and incidence of type 2 diabetes: a pooled analysis of prospective cohort studies","type":"article-journal","volume":"15"},"uris":["http://www.mendeley.com/documents/?uuid=d800b8af-2565-4018-a483-b13cfb9083a9"]}],"mendeley":{"formattedCitation":"[19–21]","plainTextFormattedCitation":"[19–21]","previouslyFormattedCitation":"[19–21]"},"properties":{"noteIndex":0},"schema":"https://github.com/citation-style-language/schema/raw/master/csl-citation.json"}</w:instrText>
      </w:r>
      <w:r w:rsidR="00D93967" w:rsidRPr="00C40A28">
        <w:rPr>
          <w:rFonts w:ascii="Times New Roman" w:hAnsi="Times New Roman"/>
          <w:b w:val="0"/>
          <w:bCs/>
          <w:sz w:val="22"/>
          <w:szCs w:val="22"/>
          <w:lang w:val="en-US" w:eastAsia="ja-JP"/>
        </w:rPr>
        <w:fldChar w:fldCharType="separate"/>
      </w:r>
      <w:r w:rsidR="002E24E3" w:rsidRPr="00C40A28">
        <w:rPr>
          <w:rFonts w:ascii="Times New Roman" w:hAnsi="Times New Roman"/>
          <w:b w:val="0"/>
          <w:bCs/>
          <w:noProof/>
          <w:sz w:val="22"/>
          <w:szCs w:val="22"/>
          <w:lang w:val="en-US" w:eastAsia="ja-JP"/>
        </w:rPr>
        <w:t>[19–21]</w:t>
      </w:r>
      <w:r w:rsidR="00D93967" w:rsidRPr="00C40A28">
        <w:rPr>
          <w:rFonts w:ascii="Times New Roman" w:hAnsi="Times New Roman"/>
          <w:b w:val="0"/>
          <w:bCs/>
          <w:sz w:val="22"/>
          <w:szCs w:val="22"/>
          <w:lang w:val="en-US" w:eastAsia="ja-JP"/>
        </w:rPr>
        <w:fldChar w:fldCharType="end"/>
      </w:r>
      <w:r w:rsidR="002A43E6" w:rsidRPr="00C40A28">
        <w:rPr>
          <w:rFonts w:ascii="Times New Roman" w:hAnsi="Times New Roman"/>
          <w:b w:val="0"/>
          <w:bCs/>
          <w:sz w:val="22"/>
          <w:szCs w:val="22"/>
          <w:lang w:val="en-US" w:eastAsia="ja-JP"/>
        </w:rPr>
        <w:t xml:space="preserve"> </w:t>
      </w:r>
      <w:r w:rsidR="007A7E80">
        <w:rPr>
          <w:rFonts w:ascii="Times New Roman" w:hAnsi="Times New Roman"/>
          <w:b w:val="0"/>
          <w:bCs/>
          <w:sz w:val="22"/>
          <w:szCs w:val="22"/>
          <w:lang w:val="en-US" w:eastAsia="ja-JP"/>
        </w:rPr>
        <w:t xml:space="preserve">but </w:t>
      </w:r>
      <w:r w:rsidR="002A43E6" w:rsidRPr="00C40A28">
        <w:rPr>
          <w:rFonts w:ascii="Times New Roman" w:hAnsi="Times New Roman"/>
          <w:b w:val="0"/>
          <w:bCs/>
          <w:sz w:val="22"/>
          <w:szCs w:val="22"/>
          <w:lang w:val="en-US" w:eastAsia="ja-JP"/>
        </w:rPr>
        <w:t xml:space="preserve">did not contribute to this study because incident T2D were not </w:t>
      </w:r>
      <w:r w:rsidR="007A7E80">
        <w:rPr>
          <w:rFonts w:ascii="Times New Roman" w:hAnsi="Times New Roman"/>
          <w:b w:val="0"/>
          <w:bCs/>
          <w:sz w:val="22"/>
          <w:szCs w:val="22"/>
          <w:lang w:val="en-US" w:eastAsia="ja-JP"/>
        </w:rPr>
        <w:t>ascertained</w:t>
      </w:r>
      <w:r w:rsidR="002A43E6" w:rsidRPr="00C40A28">
        <w:rPr>
          <w:rFonts w:ascii="Times New Roman" w:hAnsi="Times New Roman"/>
          <w:b w:val="0"/>
          <w:bCs/>
          <w:sz w:val="22"/>
          <w:szCs w:val="22"/>
          <w:lang w:val="en-US" w:eastAsia="ja-JP"/>
        </w:rPr>
        <w:t>.</w:t>
      </w:r>
      <w:r w:rsidR="001711C8" w:rsidRPr="00C40A28">
        <w:rPr>
          <w:rFonts w:ascii="Times New Roman" w:hAnsi="Times New Roman"/>
          <w:b w:val="0"/>
          <w:bCs/>
          <w:sz w:val="22"/>
          <w:szCs w:val="22"/>
          <w:lang w:val="en-US" w:eastAsia="ja-JP"/>
        </w:rPr>
        <w:t xml:space="preserve"> All cohorts </w:t>
      </w:r>
      <w:r w:rsidR="004840D3" w:rsidRPr="00C40A28">
        <w:rPr>
          <w:rFonts w:ascii="Times New Roman" w:hAnsi="Times New Roman"/>
          <w:b w:val="0"/>
          <w:bCs/>
          <w:sz w:val="22"/>
          <w:szCs w:val="22"/>
          <w:lang w:val="en-US" w:eastAsia="ja-JP"/>
        </w:rPr>
        <w:t xml:space="preserve">had </w:t>
      </w:r>
      <w:r w:rsidR="001711C8" w:rsidRPr="00C40A28">
        <w:rPr>
          <w:rFonts w:ascii="Times New Roman" w:hAnsi="Times New Roman"/>
          <w:b w:val="0"/>
          <w:bCs/>
          <w:sz w:val="22"/>
          <w:szCs w:val="22"/>
          <w:lang w:val="en-US" w:eastAsia="ja-JP"/>
        </w:rPr>
        <w:t xml:space="preserve">obtained </w:t>
      </w:r>
      <w:r w:rsidR="007A7E80">
        <w:rPr>
          <w:rFonts w:ascii="Times New Roman" w:hAnsi="Times New Roman"/>
          <w:b w:val="0"/>
          <w:bCs/>
          <w:sz w:val="22"/>
          <w:szCs w:val="22"/>
          <w:lang w:val="en-US" w:eastAsia="ja-JP"/>
        </w:rPr>
        <w:t xml:space="preserve">approval from each </w:t>
      </w:r>
      <w:r w:rsidR="001711C8" w:rsidRPr="00C40A28">
        <w:rPr>
          <w:rFonts w:ascii="Times New Roman" w:hAnsi="Times New Roman"/>
          <w:b w:val="0"/>
          <w:bCs/>
          <w:sz w:val="22"/>
          <w:szCs w:val="22"/>
          <w:lang w:val="en-US" w:eastAsia="ja-JP"/>
        </w:rPr>
        <w:t xml:space="preserve">institutional review board and </w:t>
      </w:r>
      <w:r w:rsidR="0028163A">
        <w:rPr>
          <w:rFonts w:ascii="Times New Roman" w:hAnsi="Times New Roman"/>
          <w:b w:val="0"/>
          <w:bCs/>
          <w:sz w:val="22"/>
          <w:szCs w:val="22"/>
          <w:lang w:val="en-US" w:eastAsia="ja-JP"/>
        </w:rPr>
        <w:t xml:space="preserve">written </w:t>
      </w:r>
      <w:r w:rsidR="001711C8" w:rsidRPr="00C40A28">
        <w:rPr>
          <w:rFonts w:ascii="Times New Roman" w:hAnsi="Times New Roman"/>
          <w:b w:val="0"/>
          <w:bCs/>
          <w:sz w:val="22"/>
          <w:szCs w:val="22"/>
          <w:lang w:val="en-US" w:eastAsia="ja-JP"/>
        </w:rPr>
        <w:t>informed consent from participants.</w:t>
      </w:r>
      <w:r w:rsidR="001D7E40">
        <w:rPr>
          <w:rFonts w:ascii="Times New Roman" w:hAnsi="Times New Roman"/>
          <w:b w:val="0"/>
          <w:bCs/>
          <w:sz w:val="22"/>
          <w:szCs w:val="22"/>
          <w:lang w:val="en-US" w:eastAsia="ja-JP"/>
        </w:rPr>
        <w:t xml:space="preserve"> This study is reported as per the Preferred Reporting Items for Systematic Reviews and Meta-Analyses (PRISMA) guideline (S1 Checklist).</w:t>
      </w:r>
    </w:p>
    <w:p w14:paraId="5F1C1AE9" w14:textId="62936166" w:rsidR="006E5407" w:rsidRPr="00C40A28" w:rsidRDefault="003067D5" w:rsidP="006E5407">
      <w:pPr>
        <w:pStyle w:val="BodyTextIndent"/>
        <w:spacing w:line="480" w:lineRule="auto"/>
        <w:ind w:left="0" w:firstLine="720"/>
        <w:rPr>
          <w:rFonts w:ascii="Times New Roman" w:hAnsi="Times New Roman"/>
          <w:b w:val="0"/>
          <w:bCs/>
          <w:sz w:val="22"/>
          <w:szCs w:val="22"/>
          <w:lang w:val="en-US" w:eastAsia="ja-JP"/>
        </w:rPr>
      </w:pPr>
      <w:r w:rsidRPr="00C40A28">
        <w:rPr>
          <w:rFonts w:ascii="Times New Roman" w:hAnsi="Times New Roman"/>
          <w:b w:val="0"/>
          <w:sz w:val="22"/>
          <w:szCs w:val="22"/>
          <w:lang w:val="en-US"/>
        </w:rPr>
        <w:t>A standardized analysis protocol was developed</w:t>
      </w:r>
      <w:r w:rsidR="00A73588" w:rsidRPr="00C40A28">
        <w:rPr>
          <w:rFonts w:ascii="Times New Roman" w:hAnsi="Times New Roman"/>
          <w:b w:val="0"/>
          <w:sz w:val="22"/>
          <w:szCs w:val="22"/>
          <w:lang w:val="en-US"/>
        </w:rPr>
        <w:t xml:space="preserve">, approved </w:t>
      </w:r>
      <w:r w:rsidR="00BB1ECC" w:rsidRPr="00C40A28">
        <w:rPr>
          <w:rFonts w:ascii="Times New Roman" w:hAnsi="Times New Roman"/>
          <w:b w:val="0"/>
          <w:sz w:val="22"/>
          <w:szCs w:val="22"/>
          <w:lang w:val="en-US"/>
        </w:rPr>
        <w:t xml:space="preserve">by </w:t>
      </w:r>
      <w:r w:rsidR="00A73588" w:rsidRPr="00C40A28">
        <w:rPr>
          <w:rFonts w:ascii="Times New Roman" w:hAnsi="Times New Roman"/>
          <w:b w:val="0"/>
          <w:sz w:val="22"/>
          <w:szCs w:val="22"/>
          <w:lang w:val="en-US"/>
        </w:rPr>
        <w:t xml:space="preserve">the </w:t>
      </w:r>
      <w:r w:rsidR="00BB1ECC" w:rsidRPr="00C40A28">
        <w:rPr>
          <w:rFonts w:ascii="Times New Roman" w:hAnsi="Times New Roman"/>
          <w:b w:val="0"/>
          <w:sz w:val="22"/>
          <w:szCs w:val="22"/>
          <w:lang w:val="en-US"/>
        </w:rPr>
        <w:t xml:space="preserve">FORCE </w:t>
      </w:r>
      <w:r w:rsidR="006B328E" w:rsidRPr="00C40A28">
        <w:rPr>
          <w:rFonts w:ascii="Times New Roman" w:hAnsi="Times New Roman"/>
          <w:b w:val="0"/>
          <w:sz w:val="22"/>
          <w:szCs w:val="22"/>
          <w:lang w:val="en-US"/>
        </w:rPr>
        <w:t>investigators</w:t>
      </w:r>
      <w:r w:rsidR="00A73588" w:rsidRPr="00C40A28">
        <w:rPr>
          <w:rFonts w:ascii="Times New Roman" w:hAnsi="Times New Roman"/>
          <w:b w:val="0"/>
          <w:sz w:val="22"/>
          <w:szCs w:val="22"/>
          <w:lang w:val="en-US"/>
        </w:rPr>
        <w:t>,</w:t>
      </w:r>
      <w:r w:rsidRPr="00C40A28">
        <w:rPr>
          <w:rFonts w:ascii="Times New Roman" w:hAnsi="Times New Roman"/>
          <w:b w:val="0"/>
          <w:sz w:val="22"/>
          <w:szCs w:val="22"/>
          <w:lang w:val="en-US"/>
        </w:rPr>
        <w:t xml:space="preserve"> and provided to each participating cohort</w:t>
      </w:r>
      <w:r w:rsidR="00CB2A0F" w:rsidRPr="00C40A28">
        <w:rPr>
          <w:rFonts w:ascii="Times New Roman" w:hAnsi="Times New Roman"/>
          <w:b w:val="0"/>
          <w:sz w:val="22"/>
          <w:szCs w:val="22"/>
          <w:lang w:val="en-US" w:eastAsia="ja-JP"/>
        </w:rPr>
        <w:t xml:space="preserve"> (S2 Text)</w:t>
      </w:r>
      <w:r w:rsidRPr="00C40A28">
        <w:rPr>
          <w:rFonts w:ascii="Times New Roman" w:hAnsi="Times New Roman"/>
          <w:b w:val="0"/>
          <w:sz w:val="22"/>
          <w:szCs w:val="22"/>
          <w:lang w:val="en-US"/>
        </w:rPr>
        <w:t xml:space="preserve">. </w:t>
      </w:r>
      <w:r w:rsidR="00A73588" w:rsidRPr="00C40A28">
        <w:rPr>
          <w:rFonts w:ascii="Times New Roman" w:hAnsi="Times New Roman"/>
          <w:b w:val="0"/>
          <w:sz w:val="22"/>
          <w:szCs w:val="22"/>
          <w:lang w:val="en-US" w:eastAsia="ja-JP"/>
        </w:rPr>
        <w:t>The protocol</w:t>
      </w:r>
      <w:r w:rsidR="001B67C7" w:rsidRPr="00C40A28">
        <w:rPr>
          <w:rFonts w:ascii="Times New Roman" w:hAnsi="Times New Roman"/>
          <w:b w:val="0"/>
          <w:sz w:val="22"/>
          <w:szCs w:val="22"/>
          <w:lang w:val="en-US" w:eastAsia="ja-JP"/>
        </w:rPr>
        <w:t xml:space="preserve"> </w:t>
      </w:r>
      <w:r w:rsidR="00136017" w:rsidRPr="00C40A28">
        <w:rPr>
          <w:rFonts w:ascii="Times New Roman" w:hAnsi="Times New Roman"/>
          <w:b w:val="0"/>
          <w:sz w:val="22"/>
          <w:szCs w:val="22"/>
          <w:lang w:val="en-US" w:eastAsia="ja-JP"/>
        </w:rPr>
        <w:t>pre-</w:t>
      </w:r>
      <w:r w:rsidR="00BB1ECC" w:rsidRPr="00C40A28">
        <w:rPr>
          <w:rFonts w:ascii="Times New Roman" w:hAnsi="Times New Roman"/>
          <w:b w:val="0"/>
          <w:sz w:val="22"/>
          <w:szCs w:val="22"/>
          <w:lang w:val="en-US"/>
        </w:rPr>
        <w:t xml:space="preserve">specified </w:t>
      </w:r>
      <w:r w:rsidR="00A73588" w:rsidRPr="00C40A28">
        <w:rPr>
          <w:rFonts w:ascii="Times New Roman" w:hAnsi="Times New Roman"/>
          <w:b w:val="0"/>
          <w:sz w:val="22"/>
          <w:szCs w:val="22"/>
          <w:lang w:val="en-US"/>
        </w:rPr>
        <w:t xml:space="preserve">the </w:t>
      </w:r>
      <w:r w:rsidRPr="00C40A28">
        <w:rPr>
          <w:rFonts w:ascii="Times New Roman" w:hAnsi="Times New Roman"/>
          <w:b w:val="0"/>
          <w:sz w:val="22"/>
          <w:szCs w:val="22"/>
          <w:lang w:val="en-US"/>
        </w:rPr>
        <w:t>inclusion criteria</w:t>
      </w:r>
      <w:r w:rsidR="003154D3" w:rsidRPr="00C40A28">
        <w:rPr>
          <w:rFonts w:ascii="Times New Roman" w:hAnsi="Times New Roman"/>
          <w:b w:val="0"/>
          <w:sz w:val="22"/>
          <w:szCs w:val="22"/>
          <w:lang w:val="en-US"/>
        </w:rPr>
        <w:t xml:space="preserve"> </w:t>
      </w:r>
      <w:r w:rsidR="00A73588" w:rsidRPr="00C40A28">
        <w:rPr>
          <w:rFonts w:ascii="Times New Roman" w:hAnsi="Times New Roman"/>
          <w:b w:val="0"/>
          <w:sz w:val="22"/>
          <w:szCs w:val="22"/>
          <w:lang w:val="en-US"/>
        </w:rPr>
        <w:t>mentioned above</w:t>
      </w:r>
      <w:r w:rsidRPr="00C40A28">
        <w:rPr>
          <w:rFonts w:ascii="Times New Roman" w:hAnsi="Times New Roman"/>
          <w:b w:val="0"/>
          <w:sz w:val="22"/>
          <w:szCs w:val="22"/>
          <w:lang w:val="en-US"/>
        </w:rPr>
        <w:t xml:space="preserve">, </w:t>
      </w:r>
      <w:r w:rsidR="00136017" w:rsidRPr="00C40A28">
        <w:rPr>
          <w:rFonts w:ascii="Times New Roman" w:hAnsi="Times New Roman"/>
          <w:b w:val="0"/>
          <w:sz w:val="22"/>
          <w:szCs w:val="22"/>
          <w:lang w:val="en-US"/>
        </w:rPr>
        <w:t>as well as the exposures (DNL-</w:t>
      </w:r>
      <w:r w:rsidR="00880B78" w:rsidRPr="00C40A28">
        <w:rPr>
          <w:rFonts w:ascii="Times New Roman" w:hAnsi="Times New Roman"/>
          <w:b w:val="0"/>
          <w:sz w:val="22"/>
          <w:szCs w:val="22"/>
          <w:lang w:val="en-US"/>
        </w:rPr>
        <w:t>related</w:t>
      </w:r>
      <w:r w:rsidR="00136017" w:rsidRPr="00C40A28">
        <w:rPr>
          <w:rFonts w:ascii="Times New Roman" w:hAnsi="Times New Roman"/>
          <w:b w:val="0"/>
          <w:sz w:val="22"/>
          <w:szCs w:val="22"/>
          <w:lang w:val="en-US"/>
        </w:rPr>
        <w:t xml:space="preserve"> fatty acids)</w:t>
      </w:r>
      <w:r w:rsidRPr="00C40A28">
        <w:rPr>
          <w:rFonts w:ascii="Times New Roman" w:hAnsi="Times New Roman"/>
          <w:b w:val="0"/>
          <w:sz w:val="22"/>
          <w:szCs w:val="22"/>
          <w:lang w:val="en-US"/>
        </w:rPr>
        <w:t xml:space="preserve">, </w:t>
      </w:r>
      <w:r w:rsidR="004840D3" w:rsidRPr="00C40A28">
        <w:rPr>
          <w:rFonts w:ascii="Times New Roman" w:hAnsi="Times New Roman"/>
          <w:b w:val="0"/>
          <w:sz w:val="22"/>
          <w:szCs w:val="22"/>
          <w:lang w:val="en-US"/>
        </w:rPr>
        <w:t xml:space="preserve">standardized </w:t>
      </w:r>
      <w:r w:rsidRPr="00C40A28">
        <w:rPr>
          <w:rFonts w:ascii="Times New Roman" w:hAnsi="Times New Roman"/>
          <w:b w:val="0"/>
          <w:sz w:val="22"/>
          <w:szCs w:val="22"/>
          <w:lang w:val="en-US"/>
        </w:rPr>
        <w:t xml:space="preserve">covariates, effect modifiers, </w:t>
      </w:r>
      <w:r w:rsidR="00A73588" w:rsidRPr="00C40A28">
        <w:rPr>
          <w:rFonts w:ascii="Times New Roman" w:hAnsi="Times New Roman"/>
          <w:b w:val="0"/>
          <w:sz w:val="22"/>
          <w:szCs w:val="22"/>
          <w:lang w:val="en-US"/>
        </w:rPr>
        <w:t>incident T2D</w:t>
      </w:r>
      <w:r w:rsidR="005E729E" w:rsidRPr="00C40A28">
        <w:rPr>
          <w:rFonts w:ascii="Times New Roman" w:hAnsi="Times New Roman"/>
          <w:b w:val="0"/>
          <w:sz w:val="22"/>
          <w:szCs w:val="22"/>
          <w:lang w:val="en-US" w:eastAsia="ja-JP"/>
        </w:rPr>
        <w:t xml:space="preserve">, and </w:t>
      </w:r>
      <w:r w:rsidR="00A73588" w:rsidRPr="00C40A28">
        <w:rPr>
          <w:rFonts w:ascii="Times New Roman" w:hAnsi="Times New Roman"/>
          <w:b w:val="0"/>
          <w:sz w:val="22"/>
          <w:szCs w:val="22"/>
          <w:lang w:val="en-US" w:eastAsia="ja-JP"/>
        </w:rPr>
        <w:t>statistical methods</w:t>
      </w:r>
      <w:r w:rsidR="00240CA9" w:rsidRPr="00C40A28">
        <w:rPr>
          <w:rFonts w:ascii="Times New Roman" w:hAnsi="Times New Roman"/>
          <w:b w:val="0"/>
          <w:sz w:val="22"/>
          <w:szCs w:val="22"/>
          <w:lang w:val="en-US" w:eastAsia="ja-JP"/>
        </w:rPr>
        <w:t>.</w:t>
      </w:r>
      <w:r w:rsidR="009F2A85" w:rsidRPr="00C40A28">
        <w:rPr>
          <w:rFonts w:ascii="Times New Roman" w:hAnsi="Times New Roman"/>
          <w:b w:val="0"/>
          <w:sz w:val="22"/>
          <w:szCs w:val="22"/>
          <w:lang w:val="en-US"/>
        </w:rPr>
        <w:t xml:space="preserve"> </w:t>
      </w:r>
      <w:r w:rsidR="00DD35F1" w:rsidRPr="00C40A28">
        <w:rPr>
          <w:rFonts w:ascii="Times New Roman" w:hAnsi="Times New Roman"/>
          <w:b w:val="0"/>
          <w:sz w:val="22"/>
          <w:szCs w:val="22"/>
          <w:lang w:val="en-US"/>
        </w:rPr>
        <w:t>Following this protocol</w:t>
      </w:r>
      <w:r w:rsidR="007A7E80">
        <w:rPr>
          <w:rFonts w:ascii="Times New Roman" w:hAnsi="Times New Roman"/>
          <w:b w:val="0"/>
          <w:sz w:val="22"/>
          <w:szCs w:val="22"/>
          <w:lang w:val="en-US"/>
        </w:rPr>
        <w:t xml:space="preserve"> we developed centrally</w:t>
      </w:r>
      <w:r w:rsidR="00DD35F1" w:rsidRPr="00C40A28">
        <w:rPr>
          <w:rFonts w:ascii="Times New Roman" w:hAnsi="Times New Roman"/>
          <w:b w:val="0"/>
          <w:sz w:val="22"/>
          <w:szCs w:val="22"/>
          <w:lang w:val="en-US"/>
        </w:rPr>
        <w:t xml:space="preserve">, </w:t>
      </w:r>
      <w:r w:rsidRPr="00C40A28">
        <w:rPr>
          <w:rFonts w:ascii="Times New Roman" w:hAnsi="Times New Roman"/>
          <w:b w:val="0"/>
          <w:sz w:val="22"/>
          <w:szCs w:val="22"/>
          <w:lang w:val="en-US"/>
        </w:rPr>
        <w:t xml:space="preserve">each cohort performed </w:t>
      </w:r>
      <w:r w:rsidR="00517F08" w:rsidRPr="00C40A28">
        <w:rPr>
          <w:rFonts w:ascii="Times New Roman" w:hAnsi="Times New Roman"/>
          <w:b w:val="0"/>
          <w:sz w:val="22"/>
          <w:szCs w:val="22"/>
          <w:lang w:val="en-US"/>
        </w:rPr>
        <w:t xml:space="preserve">new </w:t>
      </w:r>
      <w:r w:rsidRPr="00C40A28">
        <w:rPr>
          <w:rFonts w:ascii="Times New Roman" w:hAnsi="Times New Roman"/>
          <w:b w:val="0"/>
          <w:sz w:val="22"/>
          <w:szCs w:val="22"/>
          <w:lang w:val="en-US"/>
        </w:rPr>
        <w:t>individual</w:t>
      </w:r>
      <w:r w:rsidR="007A7E80">
        <w:rPr>
          <w:rFonts w:ascii="Times New Roman" w:hAnsi="Times New Roman"/>
          <w:b w:val="0"/>
          <w:sz w:val="22"/>
          <w:szCs w:val="22"/>
          <w:lang w:val="en-US"/>
        </w:rPr>
        <w:t xml:space="preserve"> participant data </w:t>
      </w:r>
      <w:r w:rsidR="00A73588" w:rsidRPr="00C40A28">
        <w:rPr>
          <w:rFonts w:ascii="Times New Roman" w:hAnsi="Times New Roman"/>
          <w:b w:val="0"/>
          <w:sz w:val="22"/>
          <w:szCs w:val="22"/>
          <w:lang w:val="en-US"/>
        </w:rPr>
        <w:t>analysis</w:t>
      </w:r>
      <w:r w:rsidR="00240CA9" w:rsidRPr="00C40A28">
        <w:rPr>
          <w:rFonts w:ascii="Times New Roman" w:hAnsi="Times New Roman"/>
          <w:b w:val="0"/>
          <w:sz w:val="22"/>
          <w:szCs w:val="22"/>
          <w:lang w:val="en-US" w:eastAsia="ja-JP"/>
        </w:rPr>
        <w:t>.</w:t>
      </w:r>
      <w:r w:rsidRPr="00C40A28">
        <w:rPr>
          <w:rFonts w:ascii="Times New Roman" w:hAnsi="Times New Roman"/>
          <w:b w:val="0"/>
          <w:sz w:val="22"/>
          <w:szCs w:val="22"/>
          <w:lang w:val="en-US"/>
        </w:rPr>
        <w:t xml:space="preserve"> </w:t>
      </w:r>
      <w:r w:rsidR="007A7E80">
        <w:rPr>
          <w:rFonts w:ascii="Times New Roman" w:hAnsi="Times New Roman"/>
          <w:b w:val="0"/>
          <w:sz w:val="22"/>
          <w:szCs w:val="22"/>
          <w:lang w:val="en-US" w:eastAsia="ja-JP"/>
        </w:rPr>
        <w:t>Cohort</w:t>
      </w:r>
      <w:r w:rsidR="006D355E" w:rsidRPr="00C40A28">
        <w:rPr>
          <w:rFonts w:ascii="Times New Roman" w:hAnsi="Times New Roman"/>
          <w:b w:val="0"/>
          <w:sz w:val="22"/>
          <w:szCs w:val="22"/>
          <w:lang w:val="en-US" w:eastAsia="ja-JP"/>
        </w:rPr>
        <w:t>-specific</w:t>
      </w:r>
      <w:r w:rsidRPr="00C40A28">
        <w:rPr>
          <w:rFonts w:ascii="Times New Roman" w:hAnsi="Times New Roman"/>
          <w:b w:val="0"/>
          <w:sz w:val="22"/>
          <w:szCs w:val="22"/>
          <w:lang w:val="en-US"/>
        </w:rPr>
        <w:t xml:space="preserve"> </w:t>
      </w:r>
      <w:r w:rsidR="006D355E" w:rsidRPr="00C40A28">
        <w:rPr>
          <w:rFonts w:ascii="Times New Roman" w:hAnsi="Times New Roman"/>
          <w:b w:val="0"/>
          <w:sz w:val="22"/>
          <w:szCs w:val="22"/>
          <w:lang w:val="en-US" w:eastAsia="ja-JP"/>
        </w:rPr>
        <w:t xml:space="preserve">results </w:t>
      </w:r>
      <w:r w:rsidR="00240CA9" w:rsidRPr="00C40A28">
        <w:rPr>
          <w:rFonts w:ascii="Times New Roman" w:hAnsi="Times New Roman"/>
          <w:b w:val="0"/>
          <w:sz w:val="22"/>
          <w:szCs w:val="22"/>
          <w:lang w:val="en-US" w:eastAsia="ja-JP"/>
        </w:rPr>
        <w:t xml:space="preserve">were </w:t>
      </w:r>
      <w:r w:rsidR="007A7E80">
        <w:rPr>
          <w:rFonts w:ascii="Times New Roman" w:hAnsi="Times New Roman"/>
          <w:b w:val="0"/>
          <w:sz w:val="22"/>
          <w:szCs w:val="22"/>
          <w:lang w:val="en-US" w:eastAsia="ja-JP"/>
        </w:rPr>
        <w:t>recorded</w:t>
      </w:r>
      <w:r w:rsidR="007A7E80" w:rsidRPr="00C40A28">
        <w:rPr>
          <w:rFonts w:ascii="Times New Roman" w:hAnsi="Times New Roman"/>
          <w:b w:val="0"/>
          <w:sz w:val="22"/>
          <w:szCs w:val="22"/>
          <w:lang w:val="en-US" w:eastAsia="ja-JP"/>
        </w:rPr>
        <w:t xml:space="preserve"> </w:t>
      </w:r>
      <w:r w:rsidR="007A7E80">
        <w:rPr>
          <w:rFonts w:ascii="Times New Roman" w:hAnsi="Times New Roman"/>
          <w:b w:val="0"/>
          <w:sz w:val="22"/>
          <w:szCs w:val="22"/>
          <w:lang w:val="en-US" w:eastAsia="ja-JP"/>
        </w:rPr>
        <w:t>in</w:t>
      </w:r>
      <w:r w:rsidR="007A7E80" w:rsidRPr="00C40A28">
        <w:rPr>
          <w:rFonts w:ascii="Times New Roman" w:hAnsi="Times New Roman"/>
          <w:b w:val="0"/>
          <w:sz w:val="22"/>
          <w:szCs w:val="22"/>
          <w:lang w:val="en-US" w:eastAsia="ja-JP"/>
        </w:rPr>
        <w:t xml:space="preserve"> </w:t>
      </w:r>
      <w:r w:rsidR="00240CA9" w:rsidRPr="00C40A28">
        <w:rPr>
          <w:rFonts w:ascii="Times New Roman" w:hAnsi="Times New Roman"/>
          <w:b w:val="0"/>
          <w:sz w:val="22"/>
          <w:szCs w:val="22"/>
          <w:lang w:val="en-US" w:eastAsia="ja-JP"/>
        </w:rPr>
        <w:t xml:space="preserve">a </w:t>
      </w:r>
      <w:r w:rsidRPr="00C40A28">
        <w:rPr>
          <w:rFonts w:ascii="Times New Roman" w:hAnsi="Times New Roman"/>
          <w:b w:val="0"/>
          <w:sz w:val="22"/>
          <w:szCs w:val="22"/>
          <w:lang w:val="en-US"/>
        </w:rPr>
        <w:t>standardized electronic</w:t>
      </w:r>
      <w:r w:rsidR="00240CA9" w:rsidRPr="00C40A28">
        <w:rPr>
          <w:rFonts w:ascii="Times New Roman" w:hAnsi="Times New Roman"/>
          <w:b w:val="0"/>
          <w:sz w:val="22"/>
          <w:szCs w:val="22"/>
          <w:lang w:val="en-US"/>
        </w:rPr>
        <w:t xml:space="preserve"> form</w:t>
      </w:r>
      <w:r w:rsidR="007A7E80">
        <w:rPr>
          <w:rFonts w:ascii="Times New Roman" w:hAnsi="Times New Roman"/>
          <w:b w:val="0"/>
          <w:sz w:val="22"/>
          <w:szCs w:val="22"/>
          <w:lang w:val="en-US" w:eastAsia="ja-JP"/>
        </w:rPr>
        <w:t xml:space="preserve"> and centrally</w:t>
      </w:r>
      <w:r w:rsidR="007A7E80" w:rsidRPr="00C40A28">
        <w:rPr>
          <w:rFonts w:ascii="Times New Roman" w:hAnsi="Times New Roman"/>
          <w:b w:val="0"/>
          <w:sz w:val="22"/>
          <w:szCs w:val="22"/>
          <w:lang w:val="en-US" w:eastAsia="ja-JP"/>
        </w:rPr>
        <w:t xml:space="preserve"> </w:t>
      </w:r>
      <w:r w:rsidR="00240CA9" w:rsidRPr="00C40A28">
        <w:rPr>
          <w:rFonts w:ascii="Times New Roman" w:hAnsi="Times New Roman"/>
          <w:b w:val="0"/>
          <w:sz w:val="22"/>
          <w:szCs w:val="22"/>
          <w:lang w:val="en-US" w:eastAsia="ja-JP"/>
        </w:rPr>
        <w:t xml:space="preserve">compiled </w:t>
      </w:r>
      <w:r w:rsidR="002C1908" w:rsidRPr="00C40A28">
        <w:rPr>
          <w:rFonts w:ascii="Times New Roman" w:hAnsi="Times New Roman"/>
          <w:b w:val="0"/>
          <w:sz w:val="22"/>
          <w:szCs w:val="22"/>
          <w:lang w:val="en-US" w:eastAsia="ja-JP"/>
        </w:rPr>
        <w:t xml:space="preserve">and </w:t>
      </w:r>
      <w:r w:rsidR="007A7E80">
        <w:rPr>
          <w:rFonts w:ascii="Times New Roman" w:hAnsi="Times New Roman"/>
          <w:b w:val="0"/>
          <w:sz w:val="22"/>
          <w:szCs w:val="22"/>
          <w:lang w:val="en-US" w:eastAsia="ja-JP"/>
        </w:rPr>
        <w:t>meta-analyzed</w:t>
      </w:r>
      <w:r w:rsidRPr="00C40A28">
        <w:rPr>
          <w:rFonts w:ascii="Times New Roman" w:hAnsi="Times New Roman"/>
          <w:b w:val="0"/>
          <w:sz w:val="22"/>
          <w:szCs w:val="22"/>
          <w:lang w:val="en-US"/>
        </w:rPr>
        <w:t>.</w:t>
      </w:r>
      <w:r w:rsidR="001603A1" w:rsidRPr="00C40A28">
        <w:rPr>
          <w:rFonts w:ascii="Times New Roman" w:hAnsi="Times New Roman"/>
          <w:b w:val="0"/>
          <w:sz w:val="22"/>
          <w:szCs w:val="22"/>
          <w:lang w:val="en-US"/>
        </w:rPr>
        <w:t xml:space="preserve"> </w:t>
      </w:r>
      <w:r w:rsidR="00025EF9" w:rsidRPr="00C40A28">
        <w:rPr>
          <w:rFonts w:ascii="Times New Roman" w:hAnsi="Times New Roman"/>
          <w:b w:val="0"/>
          <w:sz w:val="22"/>
          <w:szCs w:val="22"/>
          <w:lang w:val="en-US"/>
        </w:rPr>
        <w:t>The data underlying the results presented in the study are available for researchers who meet criteria of each participating cohort.</w:t>
      </w:r>
    </w:p>
    <w:p w14:paraId="73494BD3" w14:textId="78955694" w:rsidR="006E5407" w:rsidRPr="00C40A28" w:rsidRDefault="007A7E80" w:rsidP="006E5407">
      <w:pPr>
        <w:pStyle w:val="BodyTextIndent"/>
        <w:spacing w:line="480" w:lineRule="auto"/>
        <w:ind w:left="0" w:firstLine="720"/>
        <w:rPr>
          <w:rFonts w:ascii="Times New Roman" w:hAnsi="Times New Roman"/>
          <w:b w:val="0"/>
          <w:bCs/>
          <w:sz w:val="22"/>
          <w:szCs w:val="22"/>
          <w:lang w:val="en-US" w:eastAsia="ja-JP"/>
        </w:rPr>
      </w:pPr>
      <w:r>
        <w:rPr>
          <w:rFonts w:ascii="Times New Roman" w:hAnsi="Times New Roman"/>
          <w:b w:val="0"/>
          <w:bCs/>
          <w:sz w:val="22"/>
          <w:szCs w:val="22"/>
          <w:lang w:val="en-US" w:eastAsia="ja-JP"/>
        </w:rPr>
        <w:t>S1 Text include information on</w:t>
      </w:r>
      <w:r w:rsidRPr="00C40A28">
        <w:rPr>
          <w:rFonts w:ascii="Times New Roman" w:hAnsi="Times New Roman"/>
          <w:b w:val="0"/>
          <w:bCs/>
          <w:sz w:val="22"/>
          <w:szCs w:val="22"/>
          <w:lang w:val="en-US" w:eastAsia="ja-JP"/>
        </w:rPr>
        <w:t xml:space="preserve"> </w:t>
      </w:r>
      <w:r w:rsidR="003E0306" w:rsidRPr="00C40A28">
        <w:rPr>
          <w:rFonts w:ascii="Times New Roman" w:hAnsi="Times New Roman"/>
          <w:b w:val="0"/>
          <w:bCs/>
          <w:sz w:val="22"/>
          <w:szCs w:val="22"/>
          <w:lang w:val="en-US" w:eastAsia="ja-JP"/>
        </w:rPr>
        <w:t>participating cohorts</w:t>
      </w:r>
      <w:r w:rsidR="00DD35F1" w:rsidRPr="00C40A28">
        <w:rPr>
          <w:rFonts w:ascii="Times New Roman" w:hAnsi="Times New Roman"/>
          <w:b w:val="0"/>
          <w:bCs/>
          <w:sz w:val="22"/>
          <w:szCs w:val="22"/>
          <w:lang w:val="en-US" w:eastAsia="ja-JP"/>
        </w:rPr>
        <w:t>,</w:t>
      </w:r>
      <w:r w:rsidR="003E0306" w:rsidRPr="00C40A28">
        <w:rPr>
          <w:rFonts w:ascii="Times New Roman" w:hAnsi="Times New Roman"/>
          <w:b w:val="0"/>
          <w:bCs/>
          <w:sz w:val="22"/>
          <w:szCs w:val="22"/>
          <w:lang w:val="en-US" w:eastAsia="ja-JP"/>
        </w:rPr>
        <w:t xml:space="preserve"> study participants, </w:t>
      </w:r>
      <w:r>
        <w:rPr>
          <w:rFonts w:ascii="Times New Roman" w:hAnsi="Times New Roman"/>
          <w:b w:val="0"/>
          <w:bCs/>
          <w:sz w:val="22"/>
          <w:szCs w:val="22"/>
          <w:lang w:val="en-US" w:eastAsia="ja-JP"/>
        </w:rPr>
        <w:t xml:space="preserve">and methods for </w:t>
      </w:r>
      <w:r w:rsidR="003E0306" w:rsidRPr="00C40A28">
        <w:rPr>
          <w:rFonts w:ascii="Times New Roman" w:hAnsi="Times New Roman"/>
          <w:b w:val="0"/>
          <w:bCs/>
          <w:sz w:val="22"/>
          <w:szCs w:val="22"/>
          <w:lang w:val="en-US" w:eastAsia="ja-JP"/>
        </w:rPr>
        <w:t xml:space="preserve">fatty acid </w:t>
      </w:r>
      <w:r>
        <w:rPr>
          <w:rFonts w:ascii="Times New Roman" w:hAnsi="Times New Roman"/>
          <w:b w:val="0"/>
          <w:bCs/>
          <w:sz w:val="22"/>
          <w:szCs w:val="22"/>
          <w:lang w:val="en-US" w:eastAsia="ja-JP"/>
        </w:rPr>
        <w:t>measurement and</w:t>
      </w:r>
      <w:r w:rsidR="00267E04" w:rsidRPr="00C40A28">
        <w:rPr>
          <w:rFonts w:ascii="Times New Roman" w:hAnsi="Times New Roman"/>
          <w:b w:val="0"/>
          <w:bCs/>
          <w:sz w:val="22"/>
          <w:szCs w:val="22"/>
          <w:lang w:val="en-US" w:eastAsia="ja-JP"/>
        </w:rPr>
        <w:t xml:space="preserve"> </w:t>
      </w:r>
      <w:r w:rsidR="003E0306" w:rsidRPr="00C40A28">
        <w:rPr>
          <w:rFonts w:ascii="Times New Roman" w:hAnsi="Times New Roman"/>
          <w:b w:val="0"/>
          <w:bCs/>
          <w:sz w:val="22"/>
          <w:szCs w:val="22"/>
          <w:lang w:val="en-US" w:eastAsia="ja-JP"/>
        </w:rPr>
        <w:t xml:space="preserve">ascertainment of incident T2D. Briefly, </w:t>
      </w:r>
      <w:r w:rsidR="00B95DBF">
        <w:rPr>
          <w:rFonts w:ascii="Times New Roman" w:hAnsi="Times New Roman"/>
          <w:b w:val="0"/>
          <w:bCs/>
          <w:sz w:val="22"/>
          <w:szCs w:val="22"/>
          <w:lang w:val="en-US" w:eastAsia="ja-JP"/>
        </w:rPr>
        <w:t>e</w:t>
      </w:r>
      <w:r>
        <w:rPr>
          <w:rFonts w:ascii="Times New Roman" w:hAnsi="Times New Roman"/>
          <w:b w:val="0"/>
          <w:bCs/>
          <w:sz w:val="22"/>
          <w:szCs w:val="22"/>
          <w:lang w:val="en-US" w:eastAsia="ja-JP"/>
        </w:rPr>
        <w:t>ach cohort isolated fatty acid</w:t>
      </w:r>
      <w:r w:rsidR="00B95DBF">
        <w:rPr>
          <w:rFonts w:ascii="Times New Roman" w:hAnsi="Times New Roman"/>
          <w:b w:val="0"/>
          <w:bCs/>
          <w:sz w:val="22"/>
          <w:szCs w:val="22"/>
          <w:lang w:val="en-US" w:eastAsia="ja-JP"/>
        </w:rPr>
        <w:t xml:space="preserve"> molecules </w:t>
      </w:r>
      <w:r>
        <w:rPr>
          <w:rFonts w:ascii="Times New Roman" w:hAnsi="Times New Roman"/>
          <w:b w:val="0"/>
          <w:bCs/>
          <w:sz w:val="22"/>
          <w:szCs w:val="22"/>
          <w:lang w:val="en-US" w:eastAsia="ja-JP"/>
        </w:rPr>
        <w:t xml:space="preserve">from </w:t>
      </w:r>
      <w:r w:rsidR="004C2B9B" w:rsidRPr="00C40A28">
        <w:rPr>
          <w:rFonts w:ascii="Times New Roman" w:hAnsi="Times New Roman"/>
          <w:b w:val="0"/>
          <w:bCs/>
          <w:sz w:val="22"/>
          <w:szCs w:val="22"/>
          <w:lang w:val="en-US" w:eastAsia="ja-JP"/>
        </w:rPr>
        <w:t>one or more lipid compartments including erythrocyte phospholipids, plasma phospholipids, plasma cholesteryl</w:t>
      </w:r>
      <w:r w:rsidR="002C1908" w:rsidRPr="00C40A28">
        <w:rPr>
          <w:rFonts w:ascii="Times New Roman" w:hAnsi="Times New Roman"/>
          <w:b w:val="0"/>
          <w:bCs/>
          <w:sz w:val="22"/>
          <w:szCs w:val="22"/>
          <w:lang w:val="en-US" w:eastAsia="ja-JP"/>
        </w:rPr>
        <w:t>-</w:t>
      </w:r>
      <w:r w:rsidR="004C2B9B" w:rsidRPr="00C40A28">
        <w:rPr>
          <w:rFonts w:ascii="Times New Roman" w:hAnsi="Times New Roman"/>
          <w:b w:val="0"/>
          <w:bCs/>
          <w:sz w:val="22"/>
          <w:szCs w:val="22"/>
          <w:lang w:val="en-US" w:eastAsia="ja-JP"/>
        </w:rPr>
        <w:t xml:space="preserve">esters, plasma triglycerides, </w:t>
      </w:r>
      <w:r w:rsidR="00A22C4D" w:rsidRPr="00C40A28">
        <w:rPr>
          <w:rFonts w:ascii="Times New Roman" w:hAnsi="Times New Roman"/>
          <w:b w:val="0"/>
          <w:bCs/>
          <w:sz w:val="22"/>
          <w:szCs w:val="22"/>
          <w:lang w:val="en-US" w:eastAsia="ja-JP"/>
        </w:rPr>
        <w:t>total plasma</w:t>
      </w:r>
      <w:r w:rsidR="00A73588" w:rsidRPr="00C40A28">
        <w:rPr>
          <w:rFonts w:ascii="Times New Roman" w:hAnsi="Times New Roman"/>
          <w:b w:val="0"/>
          <w:bCs/>
          <w:sz w:val="22"/>
          <w:szCs w:val="22"/>
          <w:lang w:val="en-US" w:eastAsia="ja-JP"/>
        </w:rPr>
        <w:t xml:space="preserve"> or serum</w:t>
      </w:r>
      <w:r w:rsidR="00A22C4D" w:rsidRPr="00C40A28">
        <w:rPr>
          <w:rFonts w:ascii="Times New Roman" w:hAnsi="Times New Roman"/>
          <w:b w:val="0"/>
          <w:bCs/>
          <w:sz w:val="22"/>
          <w:szCs w:val="22"/>
          <w:lang w:val="en-US" w:eastAsia="ja-JP"/>
        </w:rPr>
        <w:t xml:space="preserve">, or adipose tissue. </w:t>
      </w:r>
      <w:r w:rsidR="00B95DBF">
        <w:rPr>
          <w:rFonts w:ascii="Times New Roman" w:hAnsi="Times New Roman"/>
          <w:b w:val="0"/>
          <w:bCs/>
          <w:sz w:val="22"/>
          <w:szCs w:val="22"/>
          <w:lang w:val="en-US" w:eastAsia="ja-JP"/>
        </w:rPr>
        <w:t xml:space="preserve">Then, in vivo </w:t>
      </w:r>
      <w:r w:rsidR="00B95DBF" w:rsidRPr="00C40A28">
        <w:rPr>
          <w:rFonts w:ascii="Times New Roman" w:hAnsi="Times New Roman"/>
          <w:b w:val="0"/>
          <w:bCs/>
          <w:sz w:val="22"/>
          <w:szCs w:val="22"/>
          <w:lang w:val="en-US" w:eastAsia="ja-JP"/>
        </w:rPr>
        <w:t xml:space="preserve">fatty acid concentrations were </w:t>
      </w:r>
      <w:r w:rsidR="00B95DBF">
        <w:rPr>
          <w:rFonts w:ascii="Times New Roman" w:hAnsi="Times New Roman"/>
          <w:b w:val="0"/>
          <w:bCs/>
          <w:sz w:val="22"/>
          <w:szCs w:val="22"/>
          <w:lang w:val="en-US" w:eastAsia="ja-JP"/>
        </w:rPr>
        <w:t xml:space="preserve">measured </w:t>
      </w:r>
      <w:r w:rsidR="00B95DBF" w:rsidRPr="00C40A28">
        <w:rPr>
          <w:rFonts w:ascii="Times New Roman" w:hAnsi="Times New Roman"/>
          <w:b w:val="0"/>
          <w:bCs/>
          <w:sz w:val="22"/>
          <w:szCs w:val="22"/>
          <w:lang w:val="en-US" w:eastAsia="ja-JP"/>
        </w:rPr>
        <w:t>with gas chromatography</w:t>
      </w:r>
      <w:r w:rsidR="00B95DBF">
        <w:rPr>
          <w:rFonts w:ascii="Times New Roman" w:hAnsi="Times New Roman"/>
          <w:b w:val="0"/>
          <w:bCs/>
          <w:sz w:val="22"/>
          <w:szCs w:val="22"/>
          <w:lang w:val="en-US" w:eastAsia="ja-JP"/>
        </w:rPr>
        <w:t xml:space="preserve">. </w:t>
      </w:r>
      <w:r w:rsidR="00B95DBF" w:rsidRPr="00C40A28">
        <w:rPr>
          <w:rFonts w:ascii="Times New Roman" w:hAnsi="Times New Roman"/>
          <w:b w:val="0"/>
          <w:bCs/>
          <w:sz w:val="22"/>
          <w:szCs w:val="22"/>
          <w:lang w:val="en-US" w:eastAsia="ja-JP"/>
        </w:rPr>
        <w:t xml:space="preserve"> </w:t>
      </w:r>
      <w:r w:rsidR="00B95DBF">
        <w:rPr>
          <w:rFonts w:ascii="Times New Roman" w:hAnsi="Times New Roman"/>
          <w:b w:val="0"/>
          <w:bCs/>
          <w:sz w:val="22"/>
          <w:szCs w:val="22"/>
          <w:lang w:val="en-US" w:eastAsia="ja-JP"/>
        </w:rPr>
        <w:t>C</w:t>
      </w:r>
      <w:r w:rsidR="00B95DBF" w:rsidRPr="00C40A28">
        <w:rPr>
          <w:rFonts w:ascii="Times New Roman" w:hAnsi="Times New Roman"/>
          <w:b w:val="0"/>
          <w:bCs/>
          <w:sz w:val="22"/>
          <w:szCs w:val="22"/>
          <w:lang w:val="en-US" w:eastAsia="ja-JP"/>
        </w:rPr>
        <w:t xml:space="preserve">oncentrations </w:t>
      </w:r>
      <w:r w:rsidR="00B95DBF">
        <w:rPr>
          <w:rFonts w:ascii="Times New Roman" w:hAnsi="Times New Roman"/>
          <w:b w:val="0"/>
          <w:bCs/>
          <w:sz w:val="22"/>
          <w:szCs w:val="22"/>
          <w:lang w:val="en-US" w:eastAsia="ja-JP"/>
        </w:rPr>
        <w:t>of each fatty acid</w:t>
      </w:r>
      <w:r w:rsidR="00AE7A62" w:rsidRPr="00C40A28">
        <w:rPr>
          <w:rFonts w:ascii="Times New Roman" w:hAnsi="Times New Roman"/>
          <w:b w:val="0"/>
          <w:bCs/>
          <w:sz w:val="22"/>
          <w:szCs w:val="22"/>
          <w:lang w:val="en-US" w:eastAsia="ja-JP"/>
        </w:rPr>
        <w:t xml:space="preserve"> </w:t>
      </w:r>
      <w:r w:rsidR="00A22C4D" w:rsidRPr="00C40A28">
        <w:rPr>
          <w:rFonts w:ascii="Times New Roman" w:hAnsi="Times New Roman"/>
          <w:b w:val="0"/>
          <w:bCs/>
          <w:sz w:val="22"/>
          <w:szCs w:val="22"/>
          <w:lang w:val="en-US" w:eastAsia="ja-JP"/>
        </w:rPr>
        <w:t xml:space="preserve">were </w:t>
      </w:r>
      <w:r w:rsidR="00B95DBF">
        <w:rPr>
          <w:rFonts w:ascii="Times New Roman" w:hAnsi="Times New Roman"/>
          <w:b w:val="0"/>
          <w:bCs/>
          <w:sz w:val="22"/>
          <w:szCs w:val="22"/>
          <w:lang w:val="en-US" w:eastAsia="ja-JP"/>
        </w:rPr>
        <w:t>quantified</w:t>
      </w:r>
      <w:r w:rsidR="00B95DBF" w:rsidRPr="00C40A28">
        <w:rPr>
          <w:rFonts w:ascii="Times New Roman" w:hAnsi="Times New Roman"/>
          <w:b w:val="0"/>
          <w:bCs/>
          <w:sz w:val="22"/>
          <w:szCs w:val="22"/>
          <w:lang w:val="en-US" w:eastAsia="ja-JP"/>
        </w:rPr>
        <w:t xml:space="preserve"> </w:t>
      </w:r>
      <w:r w:rsidR="00A22C4D" w:rsidRPr="00C40A28">
        <w:rPr>
          <w:rFonts w:ascii="Times New Roman" w:hAnsi="Times New Roman"/>
          <w:b w:val="0"/>
          <w:bCs/>
          <w:sz w:val="22"/>
          <w:szCs w:val="22"/>
          <w:lang w:val="en-US" w:eastAsia="ja-JP"/>
        </w:rPr>
        <w:t xml:space="preserve">as </w:t>
      </w:r>
      <w:r w:rsidR="00D858F8" w:rsidRPr="00C40A28">
        <w:rPr>
          <w:rFonts w:ascii="Times New Roman" w:hAnsi="Times New Roman"/>
          <w:b w:val="0"/>
          <w:bCs/>
          <w:sz w:val="22"/>
          <w:szCs w:val="22"/>
          <w:lang w:val="en-US" w:eastAsia="ja-JP"/>
        </w:rPr>
        <w:t xml:space="preserve">a </w:t>
      </w:r>
      <w:r w:rsidR="00A22C4D" w:rsidRPr="00C40A28">
        <w:rPr>
          <w:rFonts w:ascii="Times New Roman" w:hAnsi="Times New Roman"/>
          <w:b w:val="0"/>
          <w:bCs/>
          <w:sz w:val="22"/>
          <w:szCs w:val="22"/>
          <w:lang w:val="en-US" w:eastAsia="ja-JP"/>
        </w:rPr>
        <w:t xml:space="preserve">percent of total fatty acids in </w:t>
      </w:r>
      <w:r w:rsidR="00D45173" w:rsidRPr="00C40A28">
        <w:rPr>
          <w:rFonts w:ascii="Times New Roman" w:hAnsi="Times New Roman"/>
          <w:b w:val="0"/>
          <w:bCs/>
          <w:sz w:val="22"/>
          <w:szCs w:val="22"/>
          <w:lang w:val="en-US" w:eastAsia="ja-JP"/>
        </w:rPr>
        <w:t xml:space="preserve">the </w:t>
      </w:r>
      <w:r w:rsidR="00C931EB" w:rsidRPr="00C40A28">
        <w:rPr>
          <w:rFonts w:ascii="Times New Roman" w:hAnsi="Times New Roman"/>
          <w:b w:val="0"/>
          <w:bCs/>
          <w:sz w:val="22"/>
          <w:szCs w:val="22"/>
          <w:lang w:val="en-US" w:eastAsia="ja-JP"/>
        </w:rPr>
        <w:t xml:space="preserve">lipid </w:t>
      </w:r>
      <w:r w:rsidR="00A22C4D" w:rsidRPr="00C40A28">
        <w:rPr>
          <w:rFonts w:ascii="Times New Roman" w:hAnsi="Times New Roman"/>
          <w:b w:val="0"/>
          <w:bCs/>
          <w:sz w:val="22"/>
          <w:szCs w:val="22"/>
          <w:lang w:val="en-US" w:eastAsia="ja-JP"/>
        </w:rPr>
        <w:t>fraction.</w:t>
      </w:r>
      <w:r w:rsidR="005448A4" w:rsidRPr="00C40A28">
        <w:rPr>
          <w:rFonts w:ascii="Times New Roman" w:hAnsi="Times New Roman"/>
          <w:b w:val="0"/>
          <w:bCs/>
          <w:sz w:val="22"/>
          <w:szCs w:val="22"/>
          <w:lang w:val="en-US" w:eastAsia="ja-JP"/>
        </w:rPr>
        <w:t xml:space="preserve"> </w:t>
      </w:r>
    </w:p>
    <w:p w14:paraId="60DD0AA3" w14:textId="6990E947" w:rsidR="00A22C4D" w:rsidRPr="00C40A28" w:rsidRDefault="00B95DBF" w:rsidP="006E5407">
      <w:pPr>
        <w:pStyle w:val="BodyTextIndent"/>
        <w:spacing w:line="480" w:lineRule="auto"/>
        <w:ind w:left="0" w:firstLine="720"/>
        <w:rPr>
          <w:rFonts w:ascii="Times New Roman" w:hAnsi="Times New Roman"/>
          <w:b w:val="0"/>
          <w:bCs/>
          <w:sz w:val="22"/>
          <w:szCs w:val="22"/>
          <w:lang w:val="en-US" w:eastAsia="ja-JP"/>
        </w:rPr>
      </w:pPr>
      <w:r>
        <w:rPr>
          <w:rFonts w:ascii="Times New Roman" w:hAnsi="Times New Roman"/>
          <w:b w:val="0"/>
          <w:sz w:val="22"/>
          <w:szCs w:val="22"/>
          <w:lang w:val="en-US" w:eastAsia="ja-JP"/>
        </w:rPr>
        <w:lastRenderedPageBreak/>
        <w:t>I</w:t>
      </w:r>
      <w:r w:rsidR="00DD35F1" w:rsidRPr="00C40A28">
        <w:rPr>
          <w:rFonts w:ascii="Times New Roman" w:hAnsi="Times New Roman"/>
          <w:b w:val="0"/>
          <w:sz w:val="22"/>
          <w:szCs w:val="22"/>
          <w:lang w:val="en-US" w:eastAsia="ja-JP"/>
        </w:rPr>
        <w:t>n</w:t>
      </w:r>
      <w:r w:rsidR="00A22C4D" w:rsidRPr="00C40A28">
        <w:rPr>
          <w:rFonts w:ascii="Times New Roman" w:hAnsi="Times New Roman"/>
          <w:b w:val="0"/>
          <w:sz w:val="22"/>
          <w:szCs w:val="22"/>
          <w:lang w:val="en-US" w:eastAsia="ja-JP"/>
        </w:rPr>
        <w:t>ciden</w:t>
      </w:r>
      <w:r w:rsidR="00DD35F1" w:rsidRPr="00C40A28">
        <w:rPr>
          <w:rFonts w:ascii="Times New Roman" w:hAnsi="Times New Roman"/>
          <w:b w:val="0"/>
          <w:sz w:val="22"/>
          <w:szCs w:val="22"/>
          <w:lang w:val="en-US" w:eastAsia="ja-JP"/>
        </w:rPr>
        <w:t>t</w:t>
      </w:r>
      <w:r w:rsidR="00A22C4D" w:rsidRPr="00C40A28">
        <w:rPr>
          <w:rFonts w:ascii="Times New Roman" w:hAnsi="Times New Roman"/>
          <w:b w:val="0"/>
          <w:sz w:val="22"/>
          <w:szCs w:val="22"/>
          <w:lang w:val="en-US" w:eastAsia="ja-JP"/>
        </w:rPr>
        <w:t xml:space="preserve"> </w:t>
      </w:r>
      <w:r w:rsidR="00A22C4D" w:rsidRPr="00C40A28">
        <w:rPr>
          <w:rFonts w:ascii="Times New Roman" w:hAnsi="Times New Roman"/>
          <w:b w:val="0"/>
          <w:sz w:val="22"/>
          <w:szCs w:val="22"/>
          <w:lang w:val="en-US"/>
        </w:rPr>
        <w:t xml:space="preserve">T2D was </w:t>
      </w:r>
      <w:r w:rsidR="00A22C4D" w:rsidRPr="00C40A28">
        <w:rPr>
          <w:rFonts w:ascii="Times New Roman" w:hAnsi="Times New Roman"/>
          <w:b w:val="0"/>
          <w:sz w:val="22"/>
          <w:szCs w:val="22"/>
          <w:lang w:val="en-US" w:eastAsia="ja-JP"/>
        </w:rPr>
        <w:t>ascertained</w:t>
      </w:r>
      <w:r w:rsidR="00DD35F1" w:rsidRPr="00C40A28">
        <w:rPr>
          <w:rFonts w:ascii="Times New Roman" w:hAnsi="Times New Roman"/>
          <w:b w:val="0"/>
          <w:sz w:val="22"/>
          <w:szCs w:val="22"/>
          <w:lang w:val="en-US" w:eastAsia="ja-JP"/>
        </w:rPr>
        <w:t xml:space="preserve"> on </w:t>
      </w:r>
      <w:r>
        <w:rPr>
          <w:rFonts w:ascii="Times New Roman" w:hAnsi="Times New Roman"/>
          <w:b w:val="0"/>
          <w:sz w:val="22"/>
          <w:szCs w:val="22"/>
          <w:lang w:val="en-US" w:eastAsia="ja-JP"/>
        </w:rPr>
        <w:t xml:space="preserve">the basis of </w:t>
      </w:r>
      <w:r w:rsidR="00A22C4D" w:rsidRPr="00C40A28">
        <w:rPr>
          <w:rFonts w:ascii="Times New Roman" w:hAnsi="Times New Roman"/>
          <w:b w:val="0"/>
          <w:sz w:val="22"/>
          <w:szCs w:val="22"/>
          <w:lang w:val="en-US" w:eastAsia="ja-JP"/>
        </w:rPr>
        <w:t>one or more criteria</w:t>
      </w:r>
      <w:r w:rsidR="00E437A3" w:rsidRPr="00C40A28">
        <w:rPr>
          <w:rFonts w:ascii="Times New Roman" w:hAnsi="Times New Roman"/>
          <w:b w:val="0"/>
          <w:sz w:val="22"/>
          <w:szCs w:val="22"/>
          <w:lang w:val="en-US" w:eastAsia="ja-JP"/>
        </w:rPr>
        <w:t xml:space="preserve"> </w:t>
      </w:r>
      <w:r w:rsidR="00DD35F1" w:rsidRPr="00C40A28">
        <w:rPr>
          <w:rFonts w:ascii="Times New Roman" w:hAnsi="Times New Roman"/>
          <w:b w:val="0"/>
          <w:sz w:val="22"/>
          <w:szCs w:val="22"/>
          <w:lang w:val="en-US" w:eastAsia="ja-JP"/>
        </w:rPr>
        <w:t>including</w:t>
      </w:r>
      <w:r w:rsidR="00A22C4D" w:rsidRPr="00C40A28">
        <w:rPr>
          <w:rFonts w:ascii="Times New Roman" w:hAnsi="Times New Roman"/>
          <w:b w:val="0"/>
          <w:sz w:val="22"/>
          <w:szCs w:val="22"/>
          <w:lang w:val="en-US" w:eastAsia="ja-JP"/>
        </w:rPr>
        <w:t xml:space="preserve"> </w:t>
      </w:r>
      <w:r w:rsidR="00A22C4D" w:rsidRPr="00C40A28">
        <w:rPr>
          <w:rFonts w:ascii="Times New Roman" w:hAnsi="Times New Roman"/>
          <w:b w:val="0"/>
          <w:sz w:val="22"/>
          <w:szCs w:val="22"/>
          <w:lang w:val="en-US"/>
        </w:rPr>
        <w:t>fasting glucose ≥7</w:t>
      </w:r>
      <w:r w:rsidR="00D44BE2" w:rsidRPr="00C40A28">
        <w:rPr>
          <w:rFonts w:ascii="Times New Roman" w:hAnsi="Times New Roman"/>
          <w:b w:val="0"/>
          <w:sz w:val="22"/>
          <w:szCs w:val="22"/>
          <w:lang w:val="en-US"/>
        </w:rPr>
        <w:t>.</w:t>
      </w:r>
      <w:r w:rsidR="00230C6F" w:rsidRPr="00C40A28">
        <w:rPr>
          <w:rFonts w:ascii="Times New Roman" w:hAnsi="Times New Roman"/>
          <w:b w:val="0"/>
          <w:sz w:val="22"/>
          <w:szCs w:val="22"/>
          <w:lang w:val="en-US"/>
        </w:rPr>
        <w:t>0</w:t>
      </w:r>
      <w:r w:rsidR="00A22C4D" w:rsidRPr="00C40A28">
        <w:rPr>
          <w:rFonts w:ascii="Times New Roman" w:hAnsi="Times New Roman"/>
          <w:b w:val="0"/>
          <w:sz w:val="22"/>
          <w:szCs w:val="22"/>
          <w:lang w:val="en-US"/>
        </w:rPr>
        <w:t xml:space="preserve"> mmol/L</w:t>
      </w:r>
      <w:r w:rsidR="00A22C4D" w:rsidRPr="00C40A28">
        <w:rPr>
          <w:rFonts w:ascii="Times New Roman" w:hAnsi="Times New Roman"/>
          <w:b w:val="0"/>
          <w:sz w:val="22"/>
          <w:szCs w:val="22"/>
          <w:lang w:val="en-US" w:eastAsia="ja-JP"/>
        </w:rPr>
        <w:t>;</w:t>
      </w:r>
      <w:r w:rsidR="00A22C4D" w:rsidRPr="00C40A28">
        <w:rPr>
          <w:rFonts w:ascii="Times New Roman" w:hAnsi="Times New Roman"/>
          <w:b w:val="0"/>
          <w:sz w:val="22"/>
          <w:szCs w:val="22"/>
          <w:lang w:val="en-US"/>
        </w:rPr>
        <w:t xml:space="preserve"> glucose 11</w:t>
      </w:r>
      <w:r w:rsidR="00D44BE2" w:rsidRPr="00C40A28">
        <w:rPr>
          <w:rFonts w:ascii="Times New Roman" w:hAnsi="Times New Roman"/>
          <w:b w:val="0"/>
          <w:sz w:val="22"/>
          <w:szCs w:val="22"/>
          <w:lang w:val="en-US"/>
        </w:rPr>
        <w:t>.</w:t>
      </w:r>
      <w:r w:rsidR="00230C6F" w:rsidRPr="00C40A28">
        <w:rPr>
          <w:rFonts w:ascii="Times New Roman" w:hAnsi="Times New Roman"/>
          <w:b w:val="0"/>
          <w:sz w:val="22"/>
          <w:szCs w:val="22"/>
          <w:lang w:val="en-US"/>
        </w:rPr>
        <w:t>1</w:t>
      </w:r>
      <w:r w:rsidR="00A22C4D" w:rsidRPr="00C40A28">
        <w:rPr>
          <w:rFonts w:ascii="Times New Roman" w:hAnsi="Times New Roman"/>
          <w:b w:val="0"/>
          <w:sz w:val="22"/>
          <w:szCs w:val="22"/>
          <w:lang w:val="en-US"/>
        </w:rPr>
        <w:t xml:space="preserve"> mmol/L</w:t>
      </w:r>
      <w:r>
        <w:rPr>
          <w:rFonts w:ascii="Times New Roman" w:hAnsi="Times New Roman"/>
          <w:b w:val="0"/>
          <w:sz w:val="22"/>
          <w:szCs w:val="22"/>
          <w:lang w:val="en-US"/>
        </w:rPr>
        <w:t xml:space="preserve"> from 2-hour oral glucose tolerance test</w:t>
      </w:r>
      <w:r w:rsidR="00A22C4D" w:rsidRPr="00C40A28">
        <w:rPr>
          <w:rFonts w:ascii="Times New Roman" w:hAnsi="Times New Roman"/>
          <w:b w:val="0"/>
          <w:sz w:val="22"/>
          <w:szCs w:val="22"/>
          <w:lang w:val="en-US" w:eastAsia="ja-JP"/>
        </w:rPr>
        <w:t>;</w:t>
      </w:r>
      <w:r w:rsidR="00A22C4D" w:rsidRPr="00C40A28">
        <w:rPr>
          <w:rFonts w:ascii="Times New Roman" w:hAnsi="Times New Roman"/>
          <w:b w:val="0"/>
          <w:sz w:val="22"/>
          <w:szCs w:val="22"/>
          <w:lang w:val="en-US"/>
        </w:rPr>
        <w:t xml:space="preserve"> new use of oral </w:t>
      </w:r>
      <w:r>
        <w:rPr>
          <w:rFonts w:ascii="Times New Roman" w:hAnsi="Times New Roman"/>
          <w:b w:val="0"/>
          <w:sz w:val="22"/>
          <w:szCs w:val="22"/>
          <w:lang w:val="en-US"/>
        </w:rPr>
        <w:t>antidiabetic</w:t>
      </w:r>
      <w:r w:rsidRPr="00C40A28">
        <w:rPr>
          <w:rFonts w:ascii="Times New Roman" w:hAnsi="Times New Roman"/>
          <w:b w:val="0"/>
          <w:sz w:val="22"/>
          <w:szCs w:val="22"/>
          <w:lang w:val="en-US"/>
        </w:rPr>
        <w:t xml:space="preserve"> </w:t>
      </w:r>
      <w:r w:rsidR="00A22C4D" w:rsidRPr="00C40A28">
        <w:rPr>
          <w:rFonts w:ascii="Times New Roman" w:hAnsi="Times New Roman"/>
          <w:b w:val="0"/>
          <w:sz w:val="22"/>
          <w:szCs w:val="22"/>
          <w:lang w:val="en-US"/>
        </w:rPr>
        <w:t>medication</w:t>
      </w:r>
      <w:r w:rsidR="00A22C4D" w:rsidRPr="00C40A28">
        <w:rPr>
          <w:rFonts w:ascii="Times New Roman" w:hAnsi="Times New Roman"/>
          <w:b w:val="0"/>
          <w:sz w:val="22"/>
          <w:szCs w:val="22"/>
          <w:lang w:val="en-US" w:eastAsia="ja-JP"/>
        </w:rPr>
        <w:t>;</w:t>
      </w:r>
      <w:r w:rsidR="00A22C4D" w:rsidRPr="00C40A28">
        <w:rPr>
          <w:rFonts w:ascii="Times New Roman" w:hAnsi="Times New Roman"/>
          <w:b w:val="0"/>
          <w:sz w:val="22"/>
          <w:szCs w:val="22"/>
          <w:lang w:val="en-US"/>
        </w:rPr>
        <w:t xml:space="preserve"> </w:t>
      </w:r>
      <w:r w:rsidR="002D48A9" w:rsidRPr="00C40A28">
        <w:rPr>
          <w:rFonts w:ascii="Times New Roman" w:hAnsi="Times New Roman"/>
          <w:b w:val="0"/>
          <w:sz w:val="22"/>
          <w:szCs w:val="22"/>
          <w:lang w:val="en-US" w:eastAsia="ja-JP"/>
        </w:rPr>
        <w:t xml:space="preserve">or </w:t>
      </w:r>
      <w:r w:rsidR="00A22C4D" w:rsidRPr="00C40A28">
        <w:rPr>
          <w:rFonts w:ascii="Times New Roman" w:hAnsi="Times New Roman"/>
          <w:b w:val="0"/>
          <w:sz w:val="22"/>
          <w:szCs w:val="22"/>
          <w:lang w:val="en-US"/>
        </w:rPr>
        <w:t xml:space="preserve">concentration </w:t>
      </w:r>
      <w:r>
        <w:rPr>
          <w:rFonts w:ascii="Times New Roman" w:hAnsi="Times New Roman"/>
          <w:b w:val="0"/>
          <w:sz w:val="22"/>
          <w:szCs w:val="22"/>
          <w:lang w:val="en-US"/>
        </w:rPr>
        <w:t xml:space="preserve">of HbA1c </w:t>
      </w:r>
      <w:r w:rsidR="00A22C4D" w:rsidRPr="00C40A28">
        <w:rPr>
          <w:rFonts w:ascii="Times New Roman" w:hAnsi="Times New Roman"/>
          <w:b w:val="0"/>
          <w:sz w:val="22"/>
          <w:szCs w:val="22"/>
          <w:lang w:val="en-US"/>
        </w:rPr>
        <w:t>≥6.5%</w:t>
      </w:r>
      <w:r>
        <w:rPr>
          <w:rFonts w:ascii="Times New Roman" w:hAnsi="Times New Roman"/>
          <w:b w:val="0"/>
          <w:sz w:val="22"/>
          <w:szCs w:val="22"/>
          <w:lang w:val="en-US"/>
        </w:rPr>
        <w:t xml:space="preserve"> </w:t>
      </w:r>
      <w:r w:rsidRPr="00C40A28">
        <w:rPr>
          <w:rFonts w:ascii="Times New Roman" w:hAnsi="Times New Roman"/>
          <w:b w:val="0"/>
          <w:sz w:val="22"/>
          <w:szCs w:val="22"/>
          <w:lang w:val="en-US" w:eastAsia="ja-JP"/>
        </w:rPr>
        <w:t>(S1 Text)</w:t>
      </w:r>
      <w:r w:rsidR="00A22C4D" w:rsidRPr="00C40A28">
        <w:rPr>
          <w:rFonts w:ascii="Times New Roman" w:hAnsi="Times New Roman"/>
          <w:b w:val="0"/>
          <w:sz w:val="22"/>
          <w:szCs w:val="22"/>
          <w:lang w:val="en-US"/>
        </w:rPr>
        <w:t xml:space="preserve">. </w:t>
      </w:r>
      <w:r>
        <w:rPr>
          <w:rFonts w:ascii="Times New Roman" w:hAnsi="Times New Roman"/>
          <w:b w:val="0"/>
          <w:sz w:val="22"/>
          <w:szCs w:val="22"/>
          <w:lang w:val="en-US"/>
        </w:rPr>
        <w:t>T</w:t>
      </w:r>
      <w:r w:rsidRPr="00C40A28">
        <w:rPr>
          <w:rFonts w:ascii="Times New Roman" w:hAnsi="Times New Roman"/>
          <w:b w:val="0"/>
          <w:sz w:val="22"/>
          <w:szCs w:val="22"/>
          <w:lang w:val="en-US"/>
        </w:rPr>
        <w:t xml:space="preserve">he </w:t>
      </w:r>
      <w:r w:rsidR="007A225F" w:rsidRPr="00C40A28">
        <w:rPr>
          <w:rFonts w:ascii="Times New Roman" w:hAnsi="Times New Roman"/>
          <w:b w:val="0"/>
          <w:sz w:val="22"/>
          <w:szCs w:val="22"/>
          <w:lang w:val="en-US"/>
        </w:rPr>
        <w:t>Melbourne Collaborative Cohort Study</w:t>
      </w:r>
      <w:r w:rsidR="00502699" w:rsidRPr="00C40A28">
        <w:rPr>
          <w:rFonts w:ascii="Times New Roman" w:hAnsi="Times New Roman"/>
          <w:b w:val="0"/>
          <w:sz w:val="22"/>
          <w:szCs w:val="22"/>
          <w:lang w:val="en-US"/>
        </w:rPr>
        <w:t xml:space="preserve"> (MCCS)</w:t>
      </w:r>
      <w:r w:rsidR="00D44BE2" w:rsidRPr="00C40A28">
        <w:rPr>
          <w:rFonts w:ascii="Times New Roman" w:hAnsi="Times New Roman"/>
          <w:b w:val="0"/>
          <w:sz w:val="22"/>
          <w:szCs w:val="22"/>
          <w:lang w:val="en-US" w:eastAsia="ja-JP"/>
        </w:rPr>
        <w:t xml:space="preserve"> </w:t>
      </w:r>
      <w:r w:rsidR="00E50816" w:rsidRPr="00C40A28">
        <w:rPr>
          <w:rFonts w:ascii="Times New Roman" w:hAnsi="Times New Roman"/>
          <w:b w:val="0"/>
          <w:sz w:val="22"/>
          <w:szCs w:val="22"/>
          <w:lang w:val="en-US"/>
        </w:rPr>
        <w:fldChar w:fldCharType="begin" w:fldLock="1"/>
      </w:r>
      <w:r w:rsidR="004C640A" w:rsidRPr="00C40A28">
        <w:rPr>
          <w:rFonts w:ascii="Times New Roman" w:hAnsi="Times New Roman"/>
          <w:b w:val="0"/>
          <w:sz w:val="22"/>
          <w:szCs w:val="22"/>
          <w:lang w:val="en-US"/>
        </w:rPr>
        <w:instrText>ADDIN CSL_CITATION {"citationItems":[{"id":"ITEM-1","itemData":{"DOI":"10.1093/ajcn/86.1.189","ISBN":"0002-9165","ISSN":"00029165","PMID":"17616780","abstract":"BACKGROUND: Dietary fatty acids may be associated with diabetes but are difficult to measure accurately. OBJECTIVE: We aimed to investigate the associations of fatty acids in plasma and diet with diabetes incidence. DESIGN: This was a prospective case-cohort study of 3737 adults aged 36-72 y. Fatty acid intake (/kJ) and plasma phospholipid fatty acids (%) were measured at baseline, and diabetes incidence was assessed by self-report 4 y later. Logistic regression excluding (model 1) and including (model 2) body mass index and waist-hip ratio was used to calculate odds ratios (ORs) for plasma phospholipid and dietary fatty acids. RESULTS: In plasma phospholipid, positive associations with diabetes were seen for stearic acid [OR model 1, highest versus lowest quintile: 4.14 (95% CI: 2.65, 6.49), P for trend &lt; 0.0001] and total saturated fatty acids [OR model 1: 3.76 (2.43, 5.81), P for trend &lt; 0.0001], whereas an inverse association was seen for linoleic acid [OR model 1: 0.22 (0.14, 0.36), P for trend &lt; 0.0001]. Dietary linoleic [OR model 1: 1.77 (1.19, 2.64), P for trend = 0.002], palmitic [OR model 1: 1.65 (1.12, 2.43), P for trend = 0.012], and stearic [OR model 1: 1.46 (1.00, 2.14), P for trend = 0.030] acids were positively associated with diabetes incidence before adjustment for body size. Within each quintile of linoleic acid intake, cases had lower baseline plasma phospholipid linoleic acid proportions than did controls. CONCLUSIONS: Dietary saturated fat intake is inversely associated with diabetes risk. More research is required to determine whether linoleic acid is an appropriate dietary substitute.","author":[{"dropping-particle":"","family":"Hodge","given":"Allison M.","non-dropping-particle":"","parse-names":false,"suffix":""},{"dropping-particle":"","family":"English","given":"Dallas R.","non-dropping-particle":"","parse-names":false,"suffix":""},{"dropping-particle":"","family":"O'Dea","given":"Kerin","non-dropping-particle":"","parse-names":false,"suffix":""},{"dropping-particle":"","family":"Sinclair","given":"Andrew J.","non-dropping-particle":"","parse-names":false,"suffix":""},{"dropping-particle":"","family":"Makrides","given":"Maria","non-dropping-particle":"","parse-names":false,"suffix":""},{"dropping-particle":"","family":"Gibson","given":"Robert A.","non-dropping-particle":"","parse-names":false,"suffix":""},{"dropping-particle":"","family":"Giles","given":"Graham G.","non-dropping-particle":"","parse-names":false,"suffix":""}],"container-title":"Am J Clin Nutr","id":"ITEM-1","issue":"1","issued":{"date-parts":[["2007"]]},"page":"189-97.","title":"Plasma phospholipid and dietary fatty acids as predictors of type 2 diabetes: interpreting the role of linoleic acid","type":"article-journal","volume":"86"},"uris":["http://www.mendeley.com/documents/?uuid=69ad24b4-dab9-40df-96db-2e03da5d0804"]}],"mendeley":{"formattedCitation":"[14]","plainTextFormattedCitation":"[14]","previouslyFormattedCitation":"[14]"},"properties":{"noteIndex":0},"schema":"https://github.com/citation-style-language/schema/raw/master/csl-citation.json"}</w:instrText>
      </w:r>
      <w:r w:rsidR="00E50816" w:rsidRPr="00C40A28">
        <w:rPr>
          <w:rFonts w:ascii="Times New Roman" w:hAnsi="Times New Roman"/>
          <w:b w:val="0"/>
          <w:sz w:val="22"/>
          <w:szCs w:val="22"/>
          <w:lang w:val="en-US"/>
        </w:rPr>
        <w:fldChar w:fldCharType="separate"/>
      </w:r>
      <w:r w:rsidR="002E24E3" w:rsidRPr="00C40A28">
        <w:rPr>
          <w:rFonts w:ascii="Times New Roman" w:hAnsi="Times New Roman"/>
          <w:b w:val="0"/>
          <w:noProof/>
          <w:sz w:val="22"/>
          <w:szCs w:val="22"/>
          <w:lang w:val="en-US"/>
        </w:rPr>
        <w:t>[14]</w:t>
      </w:r>
      <w:r w:rsidR="00E50816" w:rsidRPr="00C40A28">
        <w:rPr>
          <w:rFonts w:ascii="Times New Roman" w:hAnsi="Times New Roman"/>
          <w:b w:val="0"/>
          <w:sz w:val="22"/>
          <w:szCs w:val="22"/>
          <w:lang w:val="en-US"/>
        </w:rPr>
        <w:fldChar w:fldCharType="end"/>
      </w:r>
      <w:r w:rsidR="00E42248" w:rsidRPr="00C40A28">
        <w:rPr>
          <w:rFonts w:ascii="Times New Roman" w:hAnsi="Times New Roman"/>
          <w:b w:val="0"/>
          <w:sz w:val="22"/>
          <w:szCs w:val="22"/>
          <w:lang w:val="en-US"/>
        </w:rPr>
        <w:t xml:space="preserve"> and Alpha Omega Cohort</w:t>
      </w:r>
      <w:r w:rsidR="00502699" w:rsidRPr="00C40A28">
        <w:rPr>
          <w:rFonts w:ascii="Times New Roman" w:hAnsi="Times New Roman"/>
          <w:b w:val="0"/>
          <w:sz w:val="22"/>
          <w:szCs w:val="22"/>
          <w:lang w:val="en-US"/>
        </w:rPr>
        <w:t xml:space="preserve"> (AOC)</w:t>
      </w:r>
      <w:r w:rsidR="00D44BE2" w:rsidRPr="00C40A28">
        <w:rPr>
          <w:rFonts w:ascii="Times New Roman" w:hAnsi="Times New Roman"/>
          <w:b w:val="0"/>
          <w:sz w:val="22"/>
          <w:szCs w:val="22"/>
          <w:lang w:val="en-US" w:eastAsia="ja-JP"/>
        </w:rPr>
        <w:t xml:space="preserve"> </w:t>
      </w:r>
      <w:r w:rsidRPr="00C40A28">
        <w:rPr>
          <w:rFonts w:ascii="Times New Roman" w:hAnsi="Times New Roman"/>
          <w:b w:val="0"/>
          <w:sz w:val="22"/>
          <w:szCs w:val="22"/>
          <w:lang w:val="en-US"/>
        </w:rPr>
        <w:fldChar w:fldCharType="begin" w:fldLock="1"/>
      </w:r>
      <w:r w:rsidRPr="00C40A28">
        <w:rPr>
          <w:rFonts w:ascii="Times New Roman" w:hAnsi="Times New Roman"/>
          <w:b w:val="0"/>
          <w:sz w:val="22"/>
          <w:szCs w:val="22"/>
          <w:lang w:val="en-US"/>
        </w:rPr>
        <w:instrText>ADDIN CSL_CITATION {"citationItems":[{"id":"ITEM-1","itemData":{"DOI":"10.1056/NEJMoa1003603","ISSN":"1533-4406","PMID":"20929341","abstract":"BACKGROUND Results from prospective cohort studies and randomized, controlled trials have provided evidence of a protective effect of n-3 fatty acids against cardiovascular diseases. We examined the effect of the marine n-3 fatty acids eicosapentaenoic acid (EPA) and docosahexaenoic acid (DHA) and of the plant-derived alpha-linolenic acid (ALA) on the rate of cardiovascular events among patients who have had a myocardial infarction. METHODS In a multicenter, double-blind, placebo-controlled trial, we randomly assigned 4837 patients, 60 through 80 years of age (78% men), who had had a myocardial infarction and were receiving state-of-the-art antihypertensive, antithrombotic, and lipid-modifying therapy to receive for 40 months one of four trial margarines: a margarine supplemented with a combination of EPA and DHA (with a targeted additional daily intake of 400 mg of EPA-DHA), a margarine supplemented with ALA (with a targeted additional daily intake of 2 g of ALA), a margarine supplemented with EPA-DHA and ALA, or a placebo margarine. The primary end point was the rate of major cardiovascular events, which comprised fatal and nonfatal cardiovascular events and cardiac interventions. Data were analyzed according to the intention-to-treat principle, with the use of Cox proportional-hazards models. RESULTS The patients consumed, on average, 18.8 g of margarine per day, which resulted in additional intakes of 226 mg of EPA combined with 150 mg of DHA, 1.9 g of ALA, or both, in the active-treatment groups. During the follow-up period, a major cardiovascular event occurred in 671 patients (13.9%). Neither EPA-DHA nor ALA reduced this primary end point (hazard ratio with EPA-DHA, 1.01; 95% confidence interval [CI], 0.87 to 1.17; P=0.93; hazard ratio with ALA, 0.91; 95% CI, 0.78 to 1.05; P=0.20). In the prespecified subgroup of women, ALA, as compared with placebo and EPA-DHA alone, was associated with a reduction in the rate of major cardiovascular events that approached significance (hazard ratio, 0.73; 95% CI, 0.51 to 1.03; P=0.07). The rate of adverse events did not differ significantly among the study groups. CONCLUSIONS Low-dose supplementation with EPA-DHA or ALA did not significantly reduce the rate of major cardiovascular events among patients who had had a myocardial infarction and who were receiving state-of-the-art antihypertensive, antithrombotic, and lipid-modifying therapy. (Funded by the Netherlands Heart Foundation and others; ClinicalTrials.go…","author":[{"dropping-particle":"","family":"Kromhout","given":"Daan","non-dropping-particle":"","parse-names":false,"suffix":""},{"dropping-particle":"","family":"Giltay","given":"Erik J","non-dropping-particle":"","parse-names":false,"suffix":""},{"dropping-particle":"","family":"Geleijnse","given":"Johanna M","non-dropping-particle":"","parse-names":false,"suffix":""},{"dropping-particle":"","family":"Alpha Omega Trial Group","given":"","non-dropping-particle":"","parse-names":false,"suffix":""}],"container-title":"The New England journal of medicine","id":"ITEM-1","issue":"21","issued":{"date-parts":[["2010","11","18"]]},"page":"2015-26","title":"n-3 fatty acids and cardiovascular events after myocardial infarction.","type":"article-journal","volume":"363"},"uris":["http://www.mendeley.com/documents/?uuid=8dc94e8e-c18f-437e-b2da-4459885e754d"]}],"mendeley":{"formattedCitation":"[22]","plainTextFormattedCitation":"[22]","previouslyFormattedCitation":"[22]"},"properties":{"noteIndex":0},"schema":"https://github.com/citation-style-language/schema/raw/master/csl-citation.json"}</w:instrText>
      </w:r>
      <w:r w:rsidRPr="00C40A28">
        <w:rPr>
          <w:rFonts w:ascii="Times New Roman" w:hAnsi="Times New Roman"/>
          <w:b w:val="0"/>
          <w:sz w:val="22"/>
          <w:szCs w:val="22"/>
          <w:lang w:val="en-US"/>
        </w:rPr>
        <w:fldChar w:fldCharType="separate"/>
      </w:r>
      <w:r w:rsidRPr="00C40A28">
        <w:rPr>
          <w:rFonts w:ascii="Times New Roman" w:hAnsi="Times New Roman"/>
          <w:b w:val="0"/>
          <w:noProof/>
          <w:sz w:val="22"/>
          <w:szCs w:val="22"/>
          <w:lang w:val="en-US"/>
        </w:rPr>
        <w:t>[22]</w:t>
      </w:r>
      <w:r w:rsidRPr="00C40A28">
        <w:rPr>
          <w:rFonts w:ascii="Times New Roman" w:hAnsi="Times New Roman"/>
          <w:b w:val="0"/>
          <w:sz w:val="22"/>
          <w:szCs w:val="22"/>
          <w:lang w:val="en-US"/>
        </w:rPr>
        <w:fldChar w:fldCharType="end"/>
      </w:r>
      <w:r>
        <w:rPr>
          <w:rFonts w:ascii="Times New Roman" w:hAnsi="Times New Roman"/>
          <w:b w:val="0"/>
          <w:sz w:val="22"/>
          <w:szCs w:val="22"/>
          <w:lang w:val="en-US"/>
        </w:rPr>
        <w:t xml:space="preserve"> ascertained</w:t>
      </w:r>
      <w:r w:rsidRPr="00C40A28">
        <w:rPr>
          <w:rFonts w:ascii="Times New Roman" w:hAnsi="Times New Roman"/>
          <w:b w:val="0"/>
          <w:sz w:val="22"/>
          <w:szCs w:val="22"/>
          <w:lang w:val="en-US"/>
        </w:rPr>
        <w:t xml:space="preserve"> </w:t>
      </w:r>
      <w:r w:rsidR="00A22C4D" w:rsidRPr="00C40A28">
        <w:rPr>
          <w:rFonts w:ascii="Times New Roman" w:hAnsi="Times New Roman"/>
          <w:b w:val="0"/>
          <w:sz w:val="22"/>
          <w:szCs w:val="22"/>
          <w:lang w:val="en-US"/>
        </w:rPr>
        <w:t xml:space="preserve">incident T2D </w:t>
      </w:r>
      <w:r>
        <w:rPr>
          <w:rFonts w:ascii="Times New Roman" w:hAnsi="Times New Roman"/>
          <w:b w:val="0"/>
          <w:sz w:val="22"/>
          <w:szCs w:val="22"/>
          <w:lang w:val="en-US"/>
        </w:rPr>
        <w:t>based on</w:t>
      </w:r>
      <w:r w:rsidR="00A22C4D" w:rsidRPr="00C40A28">
        <w:rPr>
          <w:rFonts w:ascii="Times New Roman" w:hAnsi="Times New Roman"/>
          <w:b w:val="0"/>
          <w:sz w:val="22"/>
          <w:szCs w:val="22"/>
          <w:lang w:val="en-US"/>
        </w:rPr>
        <w:t xml:space="preserve"> self-reported physician diagnosis</w:t>
      </w:r>
      <w:r w:rsidR="00E42248" w:rsidRPr="00C40A28">
        <w:rPr>
          <w:rFonts w:ascii="Times New Roman" w:hAnsi="Times New Roman"/>
          <w:b w:val="0"/>
          <w:sz w:val="22"/>
          <w:szCs w:val="22"/>
          <w:lang w:val="en-US"/>
        </w:rPr>
        <w:t>, use of anti-diabetic medication, or both</w:t>
      </w:r>
      <w:r w:rsidR="00A22C4D" w:rsidRPr="00C40A28">
        <w:rPr>
          <w:rFonts w:ascii="Times New Roman" w:hAnsi="Times New Roman"/>
          <w:b w:val="0"/>
          <w:sz w:val="22"/>
          <w:szCs w:val="22"/>
          <w:lang w:val="en-US"/>
        </w:rPr>
        <w:t xml:space="preserve">. </w:t>
      </w:r>
      <w:r w:rsidR="00267E04" w:rsidRPr="00C40A28">
        <w:rPr>
          <w:rFonts w:ascii="Times New Roman" w:hAnsi="Times New Roman"/>
          <w:b w:val="0"/>
          <w:sz w:val="22"/>
          <w:szCs w:val="22"/>
          <w:lang w:val="en-US"/>
        </w:rPr>
        <w:t xml:space="preserve">The </w:t>
      </w:r>
      <w:r w:rsidR="00BB1ECC" w:rsidRPr="00C40A28">
        <w:rPr>
          <w:rFonts w:ascii="Times New Roman" w:hAnsi="Times New Roman"/>
          <w:b w:val="0"/>
          <w:sz w:val="22"/>
          <w:szCs w:val="22"/>
          <w:lang w:val="en-US"/>
        </w:rPr>
        <w:t>EPIC-</w:t>
      </w:r>
      <w:r w:rsidR="007A225F" w:rsidRPr="00C40A28">
        <w:rPr>
          <w:rFonts w:ascii="Times New Roman" w:hAnsi="Times New Roman"/>
          <w:b w:val="0"/>
          <w:sz w:val="22"/>
          <w:szCs w:val="22"/>
          <w:lang w:val="en-US"/>
        </w:rPr>
        <w:t>InterAct</w:t>
      </w:r>
      <w:r w:rsidR="00CD00FF" w:rsidRPr="00C40A28">
        <w:rPr>
          <w:rFonts w:ascii="Times New Roman" w:hAnsi="Times New Roman"/>
          <w:b w:val="0"/>
          <w:sz w:val="22"/>
          <w:szCs w:val="22"/>
          <w:lang w:val="en-US" w:eastAsia="ja-JP"/>
        </w:rPr>
        <w:t xml:space="preserve"> </w:t>
      </w:r>
      <w:r w:rsidR="00267E04" w:rsidRPr="00C40A28">
        <w:rPr>
          <w:rFonts w:ascii="Times New Roman" w:hAnsi="Times New Roman"/>
          <w:b w:val="0"/>
          <w:sz w:val="22"/>
          <w:szCs w:val="22"/>
          <w:lang w:val="en-US" w:eastAsia="ja-JP"/>
        </w:rPr>
        <w:t>study</w:t>
      </w:r>
      <w:r w:rsidR="00CD00FF" w:rsidRPr="00C40A28">
        <w:rPr>
          <w:rFonts w:ascii="Times New Roman" w:hAnsi="Times New Roman"/>
          <w:b w:val="0"/>
          <w:sz w:val="22"/>
          <w:szCs w:val="22"/>
          <w:lang w:val="en-US" w:eastAsia="ja-JP"/>
        </w:rPr>
        <w:t xml:space="preserve"> </w:t>
      </w:r>
      <w:r>
        <w:rPr>
          <w:rFonts w:ascii="Times New Roman" w:hAnsi="Times New Roman"/>
          <w:b w:val="0"/>
          <w:sz w:val="22"/>
          <w:szCs w:val="22"/>
          <w:lang w:val="en-US"/>
        </w:rPr>
        <w:t>ascertained</w:t>
      </w:r>
      <w:r w:rsidRPr="00C40A28">
        <w:rPr>
          <w:rFonts w:ascii="Times New Roman" w:hAnsi="Times New Roman"/>
          <w:b w:val="0"/>
          <w:sz w:val="22"/>
          <w:szCs w:val="22"/>
          <w:lang w:val="en-US"/>
        </w:rPr>
        <w:t xml:space="preserve"> </w:t>
      </w:r>
      <w:r w:rsidR="007A225F" w:rsidRPr="00C40A28">
        <w:rPr>
          <w:rFonts w:ascii="Times New Roman" w:hAnsi="Times New Roman"/>
          <w:b w:val="0"/>
          <w:sz w:val="22"/>
          <w:szCs w:val="22"/>
          <w:lang w:val="en-US" w:eastAsia="ja-JP"/>
        </w:rPr>
        <w:t xml:space="preserve">incident T2D </w:t>
      </w:r>
      <w:r w:rsidR="00E50816" w:rsidRPr="00C40A28">
        <w:rPr>
          <w:rFonts w:ascii="Times New Roman" w:hAnsi="Times New Roman"/>
          <w:b w:val="0"/>
          <w:sz w:val="22"/>
          <w:szCs w:val="22"/>
          <w:lang w:val="en-US" w:eastAsia="ja-JP"/>
        </w:rPr>
        <w:t>by adjudicating</w:t>
      </w:r>
      <w:r w:rsidR="00F06EFE" w:rsidRPr="00C40A28">
        <w:rPr>
          <w:rFonts w:ascii="Times New Roman" w:hAnsi="Times New Roman"/>
          <w:b w:val="0"/>
          <w:sz w:val="22"/>
          <w:szCs w:val="22"/>
          <w:lang w:val="en-US" w:eastAsia="ja-JP"/>
        </w:rPr>
        <w:t xml:space="preserve"> self-reported T2D </w:t>
      </w:r>
      <w:r>
        <w:rPr>
          <w:rFonts w:ascii="Times New Roman" w:hAnsi="Times New Roman"/>
          <w:b w:val="0"/>
          <w:sz w:val="22"/>
          <w:szCs w:val="22"/>
          <w:lang w:val="en-US" w:eastAsia="ja-JP"/>
        </w:rPr>
        <w:t xml:space="preserve">diagnosis </w:t>
      </w:r>
      <w:r w:rsidR="00F06EFE" w:rsidRPr="00C40A28">
        <w:rPr>
          <w:rFonts w:ascii="Times New Roman" w:hAnsi="Times New Roman"/>
          <w:b w:val="0"/>
          <w:sz w:val="22"/>
          <w:szCs w:val="22"/>
          <w:lang w:val="en-US" w:eastAsia="ja-JP"/>
        </w:rPr>
        <w:t xml:space="preserve">or </w:t>
      </w:r>
      <w:r w:rsidR="00891F77" w:rsidRPr="00C40A28">
        <w:rPr>
          <w:rFonts w:ascii="Times New Roman" w:hAnsi="Times New Roman"/>
          <w:b w:val="0"/>
          <w:sz w:val="22"/>
          <w:szCs w:val="22"/>
          <w:lang w:val="en-US" w:eastAsia="ja-JP"/>
        </w:rPr>
        <w:t xml:space="preserve">verifying diagnosis in </w:t>
      </w:r>
      <w:r w:rsidR="00F06EFE" w:rsidRPr="00C40A28">
        <w:rPr>
          <w:rFonts w:ascii="Times New Roman" w:hAnsi="Times New Roman"/>
          <w:b w:val="0"/>
          <w:sz w:val="22"/>
          <w:szCs w:val="22"/>
          <w:lang w:val="en-US" w:eastAsia="ja-JP"/>
        </w:rPr>
        <w:t>disease registr</w:t>
      </w:r>
      <w:r w:rsidR="004840D3" w:rsidRPr="00C40A28">
        <w:rPr>
          <w:rFonts w:ascii="Times New Roman" w:hAnsi="Times New Roman"/>
          <w:b w:val="0"/>
          <w:sz w:val="22"/>
          <w:szCs w:val="22"/>
          <w:lang w:val="en-US" w:eastAsia="ja-JP"/>
        </w:rPr>
        <w:t>ies</w:t>
      </w:r>
      <w:r w:rsidR="00D44BE2" w:rsidRPr="00C40A28">
        <w:rPr>
          <w:rFonts w:ascii="Times New Roman" w:hAnsi="Times New Roman"/>
          <w:b w:val="0"/>
          <w:sz w:val="22"/>
          <w:szCs w:val="22"/>
          <w:lang w:val="en-US" w:eastAsia="ja-JP"/>
        </w:rPr>
        <w:t xml:space="preserve"> </w:t>
      </w:r>
      <w:r w:rsidR="004444AD" w:rsidRPr="00C40A28">
        <w:rPr>
          <w:rFonts w:ascii="Times New Roman" w:hAnsi="Times New Roman"/>
          <w:b w:val="0"/>
          <w:sz w:val="22"/>
          <w:szCs w:val="22"/>
          <w:lang w:val="en-US" w:eastAsia="ja-JP"/>
        </w:rPr>
        <w:fldChar w:fldCharType="begin" w:fldLock="1"/>
      </w:r>
      <w:r w:rsidR="004C640A" w:rsidRPr="00C40A28">
        <w:rPr>
          <w:rFonts w:ascii="Times New Roman" w:hAnsi="Times New Roman"/>
          <w:b w:val="0"/>
          <w:sz w:val="22"/>
          <w:szCs w:val="22"/>
          <w:lang w:val="en-US" w:eastAsia="ja-JP"/>
        </w:rPr>
        <w:instrText>ADDIN CSL_CITATION {"citationItems":[{"id":"ITEM-1","itemData":{"DOI":"10.1016/S2213-8587(14)70146-9","ISSN":"22138587","PMID":"25107467","abstract":"BACKGROUND: Conflicting evidence exists regarding the association between saturated fatty acids (SFAs) and type 2 diabetes. In this longitudinal case-cohort study, we aimed to investigate the prospective associations between objectively measured individual plasma phospholipid SFAs and incident type 2 diabetes in EPIC-InterAct participants. METHODS: The EPIC-InterAct case-cohort study includes 12 403 people with incident type 2 diabetes and a representative subcohort of 16 154 individuals who were selected from a cohort of 340 234 European participants with 3·99 million person-years of follow-up (the EPIC study). Incident type 2 diabetes was ascertained until Dec 31, 2007, by a review of several sources of evidence. Gas chromatography was used to measure the distribution of fatty acids in plasma phospholipids (mol%); samples from people with type 2 diabetes and subcohort participants were processed in a random order by centre, and laboratory staff were masked to participant characteristics. We estimated country-specific hazard ratios (HRs) for associations per SD of each SFA with incident type 2 diabetes using Prentice-weighted Cox regression, which is weighted for case-cohort sampling, and pooled our findings using random-effects meta-analysis. FINDINGS: SFAs accounted for 46% of total plasma phospholipid fatty acids. In adjusted analyses, different individual SFAs were associated with incident type 2 diabetes in opposing directions. Even-chain SFAs that were measured (14:0 [myristic acid], 16:0 [palmitic acid], and 18:0 [stearic acid]) were positively associated with incident type 2 diabetes (HR [95% CI] per SD difference: myristic acid 1·15 [95% CI 1·09-1·22], palmitic acid 1·26 [1·15-1·37], and stearic acid 1·06 [1·00-1·13]). By contrast, measured odd-chain SFAs (15:0 [pentadecanoic acid] and 17:0 [heptadecanoic acid]) were inversely associated with incident type 2 diabetes (HR [95% CI] per 1 SD difference: 0·79 [0·73-0·85] for pentadecanoic acid and 0·67 [0·63-0·71] for heptadecanoic acid), as were measured longer-chain SFAs (20:0 [arachidic acid], 22:0 [behenic acid], 23:0 [tricosanoic acid], and 24:0 [lignoceric acid]), with HRs ranging from 0·72 to 0·81 (95% CIs ranging between 0·61 and 0·92). Our findings were robust to a range of sensitivity analyses. INTERPRETATION: Different individual plasma phospholipid SFAs were associated with incident type 2 diabetes in opposite directions, which suggests that SFAs are not homogeneous in their effects. O…","author":[{"dropping-particle":"","family":"Forouhi","given":"Nita G","non-dropping-particle":"","parse-names":false,"suffix":""},{"dropping-particle":"","family":"Koulman","given":"Albert","non-dropping-particle":"","parse-names":false,"suffix":""},{"dropping-particle":"","family":"Sharp","given":"Stephen J","non-dropping-particle":"","parse-names":false,"suffix":""},{"dropping-particle":"","family":"Imamura","given":"Fumiaki","non-dropping-particle":"","parse-names":false,"suffix":""},{"dropping-particle":"","family":"Kröger","given":"Janine","non-dropping-particle":"","parse-names":false,"suffix":""},{"dropping-particle":"","family":"Schulze","given":"Matthias B","non-dropping-particle":"","parse-names":false,"suffix":""},{"dropping-particle":"","family":"Crowe","given":"Francesca L","non-dropping-particle":"","parse-names":false,"suffix":""},{"dropping-particle":"","family":"Huerta","given":"José María","non-dropping-particle":"","parse-names":false,"suffix":""},{"dropping-particle":"","family":"Guevara","given":"Marcela","non-dropping-particle":"","parse-names":false,"suffix":""},{"dropping-particle":"","family":"Beulens","given":"Joline Wj","non-dropping-particle":"","parse-names":false,"suffix":""},{"dropping-particle":"","family":"Woudenbergh","given":"Geertruida J","non-dropping-particle":"van","parse-names":false,"suffix":""},{"dropping-particle":"","family":"Wang","given":"Laura","non-dropping-particle":"","parse-names":false,"suffix":""},{"dropping-particle":"","family":"Summerhill","given":"Keith","non-dropping-particle":"","parse-names":false,"suffix":""},{"dropping-particle":"","family":"Griffin","given":"Julian L","non-dropping-particle":"","parse-names":false,"suffix":""},{"dropping-particle":"","family":"Feskens","given":"Edith Jm","non-dropping-particle":"","parse-names":false,"suffix":""},{"dropping-particle":"","family":"Amiano","given":"Pilar","non-dropping-particle":"","parse-names":false,"suffix":""},{"dropping-particle":"","family":"Boeing","given":"Heiner","non-dropping-particle":"","parse-names":false,"suffix":""},{"dropping-particle":"","family":"Clavel-Chapelon","given":"Françoise","non-dropping-particle":"","parse-names":false,"suffix":""},{"dropping-particle":"","family":"Dartois","given":"Laureen","non-dropping-particle":"","parse-names":false,"suffix":""},{"dropping-particle":"","family":"Fagherazzi","given":"Guy","non-dropping-particle":"","parse-names":false,"suffix":""},{"dropping-particle":"","family":"Franks","given":"Paul W","non-dropping-particle":"","parse-names":false,"suffix":""},{"dropping-particle":"","family":"Gonzalez","given":"Carlos","non-dropping-particle":"","parse-names":false,"suffix":""},{"dropping-particle":"","family":"Jakobsen","given":"Marianne Uhre","non-dropping-particle":"","parse-names":false,"suffix":""},{"dropping-particle":"","family":"Kaaks","given":"Rudolf","non-dropping-particle":"","parse-names":false,"suffix":""},{"dropping-particle":"","family":"Key","given":"Timothy J","non-dropping-particle":"","parse-names":false,"suffix":""},{"dropping-particle":"","family":"Khaw","given":"Kay-Tee","non-dropping-particle":"","parse-names":false,"suffix":""},{"dropping-particle":"","family":"Kühn","given":"Tilman","non-dropping-particle":"","parse-names":false,"suffix":""},{"dropping-particle":"","family":"Mattiello","given":"Amalia","non-dropping-particle":"","parse-names":false,"suffix":""},{"dropping-particle":"","family":"Nilsson","given":"Peter M","non-dropping-particle":"","parse-names":false,"suffix":""},{"dropping-particle":"","family":"Overvad","given":"Kim","non-dropping-particle":"","parse-names":false,"suffix":""},{"dropping-particle":"","family":"Pala","given":"Valeria","non-dropping-particle":"","parse-names":false,"suffix":""},{"dropping-particle":"","family":"Palli","given":"Domenico","non-dropping-particle":"","parse-names":false,"suffix":""},{"dropping-particle":"","family":"Quirós","given":"J Ramón","non-dropping-particle":"","parse-names":false,"suffix":""},{"dropping-particle":"","family":"Rolandsson","given":"Olov","non-dropping-particle":"","parse-names":false,"suffix":""},{"dropping-particle":"","family":"Roswall","given":"Nina","non-dropping-particle":"","parse-names":false,"suffix":""},{"dropping-particle":"","family":"Sacerdote","given":"Carlotta","non-dropping-particle":"","parse-names":false,"suffix":""},{"dropping-particle":"","family":"Sánchez","given":"María-José","non-dropping-particle":"","parse-names":false,"suffix":""},{"dropping-particle":"","family":"Slimani","given":"Nadia","non-dropping-particle":"","parse-names":false,"suffix":""},{"dropping-particle":"","family":"Spijkerman","given":"Annemieke MW","non-dropping-particle":"","parse-names":false,"suffix":""},{"dropping-particle":"","family":"Tjonneland","given":"Anne","non-dropping-particle":"","parse-names":false,"suffix":""},{"dropping-particle":"","family":"Tormo","given":"Maria-José","non-dropping-particle":"","parse-names":false,"suffix":""},{"dropping-particle":"","family":"Tumino","given":"Rosario","non-dropping-particle":"","parse-names":false,"suffix":""},{"dropping-particle":"","family":"A","given":"Daphne L","non-dropping-particle":"van der","parse-names":false,"suffix":""},{"dropping-particle":"","family":"Schouw","given":"Yvonne T","non-dropping-particle":"van der","parse-names":false,"suffix":""},{"dropping-particle":"","family":"Langenberg","given":"Claudia","non-dropping-particle":"","parse-names":false,"suffix":""},{"dropping-particle":"","family":"Riboli","given":"Elio","non-dropping-particle":"","parse-names":false,"suffix":""},{"dropping-particle":"","family":"Wareham","given":"Nicholas J","non-dropping-particle":"","parse-names":false,"suffix":""}],"container-title":"Lancet Diab Endocrinol","id":"ITEM-1","issue":"10","issued":{"date-parts":[["2014","10","5"]]},"page":"810-818","title":"Differences in the prospective association between individual plasma phospholipid saturated fatty acids and incident type 2 diabetes: the EPIC-InterAct case-cohort study","type":"article-journal","volume":"2"},"uris":["http://www.mendeley.com/documents/?uuid=e68046fe-e6e0-4efd-b343-0eacca76fce6"]}],"mendeley":{"formattedCitation":"[17]","plainTextFormattedCitation":"[17]","previouslyFormattedCitation":"[17]"},"properties":{"noteIndex":0},"schema":"https://github.com/citation-style-language/schema/raw/master/csl-citation.json"}</w:instrText>
      </w:r>
      <w:r w:rsidR="004444AD" w:rsidRPr="00C40A28">
        <w:rPr>
          <w:rFonts w:ascii="Times New Roman" w:hAnsi="Times New Roman"/>
          <w:b w:val="0"/>
          <w:sz w:val="22"/>
          <w:szCs w:val="22"/>
          <w:lang w:val="en-US" w:eastAsia="ja-JP"/>
        </w:rPr>
        <w:fldChar w:fldCharType="separate"/>
      </w:r>
      <w:r w:rsidR="002E24E3" w:rsidRPr="00C40A28">
        <w:rPr>
          <w:rFonts w:ascii="Times New Roman" w:hAnsi="Times New Roman"/>
          <w:b w:val="0"/>
          <w:noProof/>
          <w:sz w:val="22"/>
          <w:szCs w:val="22"/>
          <w:lang w:val="en-US" w:eastAsia="ja-JP"/>
        </w:rPr>
        <w:t>[17]</w:t>
      </w:r>
      <w:r w:rsidR="004444AD" w:rsidRPr="00C40A28">
        <w:rPr>
          <w:rFonts w:ascii="Times New Roman" w:hAnsi="Times New Roman"/>
          <w:b w:val="0"/>
          <w:sz w:val="22"/>
          <w:szCs w:val="22"/>
          <w:lang w:val="en-US" w:eastAsia="ja-JP"/>
        </w:rPr>
        <w:fldChar w:fldCharType="end"/>
      </w:r>
      <w:r w:rsidR="00D44BE2" w:rsidRPr="00C40A28">
        <w:rPr>
          <w:rFonts w:ascii="Times New Roman" w:hAnsi="Times New Roman"/>
          <w:b w:val="0"/>
          <w:sz w:val="22"/>
          <w:szCs w:val="22"/>
          <w:lang w:val="en-US" w:eastAsia="ja-JP"/>
        </w:rPr>
        <w:t>.</w:t>
      </w:r>
      <w:r w:rsidR="00F06EFE" w:rsidRPr="00C40A28">
        <w:rPr>
          <w:rFonts w:ascii="Times New Roman" w:hAnsi="Times New Roman"/>
          <w:b w:val="0"/>
          <w:sz w:val="22"/>
          <w:szCs w:val="22"/>
          <w:lang w:val="en-US" w:eastAsia="ja-JP"/>
        </w:rPr>
        <w:t xml:space="preserve"> </w:t>
      </w:r>
    </w:p>
    <w:p w14:paraId="1AEDEEC0" w14:textId="77777777" w:rsidR="00240CA9" w:rsidRPr="00C40A28" w:rsidRDefault="00240CA9" w:rsidP="001D0C06">
      <w:pPr>
        <w:pStyle w:val="BodyTextIndent"/>
        <w:spacing w:line="480" w:lineRule="auto"/>
        <w:ind w:left="0" w:firstLine="0"/>
        <w:rPr>
          <w:rFonts w:ascii="Times New Roman" w:hAnsi="Times New Roman"/>
          <w:b w:val="0"/>
          <w:bCs/>
          <w:sz w:val="22"/>
          <w:szCs w:val="22"/>
          <w:lang w:val="en-US" w:eastAsia="ja-JP"/>
        </w:rPr>
      </w:pPr>
    </w:p>
    <w:p w14:paraId="34ED05EE" w14:textId="77777777" w:rsidR="006068ED" w:rsidRPr="00C40A28" w:rsidRDefault="006068ED" w:rsidP="001D0C06">
      <w:pPr>
        <w:pStyle w:val="BodyTextIndent"/>
        <w:spacing w:line="480" w:lineRule="auto"/>
        <w:ind w:left="0" w:firstLine="0"/>
        <w:rPr>
          <w:rFonts w:ascii="Times New Roman" w:hAnsi="Times New Roman"/>
          <w:b w:val="0"/>
          <w:bCs/>
          <w:i/>
          <w:sz w:val="22"/>
          <w:szCs w:val="22"/>
          <w:lang w:val="en-US" w:eastAsia="ja-JP"/>
        </w:rPr>
      </w:pPr>
      <w:r w:rsidRPr="00C40A28">
        <w:rPr>
          <w:rFonts w:ascii="Times New Roman" w:hAnsi="Times New Roman"/>
          <w:b w:val="0"/>
          <w:bCs/>
          <w:i/>
          <w:sz w:val="22"/>
          <w:szCs w:val="22"/>
          <w:lang w:val="en-US" w:eastAsia="ja-JP"/>
        </w:rPr>
        <w:t>Statistical analysis in individual studies</w:t>
      </w:r>
    </w:p>
    <w:p w14:paraId="2F9A0319" w14:textId="4190B875" w:rsidR="006E5407" w:rsidRPr="00C40A28" w:rsidRDefault="00A63BB6" w:rsidP="006E5407">
      <w:pPr>
        <w:pStyle w:val="BodyTextIndent"/>
        <w:spacing w:line="480" w:lineRule="auto"/>
        <w:ind w:left="0" w:firstLine="720"/>
        <w:rPr>
          <w:rFonts w:ascii="Times New Roman" w:hAnsi="Times New Roman"/>
          <w:b w:val="0"/>
          <w:bCs/>
          <w:sz w:val="22"/>
          <w:szCs w:val="22"/>
          <w:lang w:val="en-US" w:eastAsia="ja-JP"/>
        </w:rPr>
      </w:pPr>
      <w:r>
        <w:rPr>
          <w:rFonts w:ascii="Times New Roman" w:hAnsi="Times New Roman"/>
          <w:b w:val="0"/>
          <w:bCs/>
          <w:sz w:val="22"/>
          <w:szCs w:val="22"/>
          <w:lang w:val="en-US" w:eastAsia="ja-JP"/>
        </w:rPr>
        <w:t>Individual-participant data</w:t>
      </w:r>
      <w:r w:rsidRPr="00C40A28">
        <w:rPr>
          <w:rFonts w:ascii="Times New Roman" w:hAnsi="Times New Roman"/>
          <w:b w:val="0"/>
          <w:bCs/>
          <w:sz w:val="22"/>
          <w:szCs w:val="22"/>
          <w:lang w:val="en-US" w:eastAsia="ja-JP"/>
        </w:rPr>
        <w:t xml:space="preserve"> </w:t>
      </w:r>
      <w:r w:rsidR="004444AD" w:rsidRPr="00C40A28">
        <w:rPr>
          <w:rFonts w:ascii="Times New Roman" w:hAnsi="Times New Roman"/>
          <w:b w:val="0"/>
          <w:bCs/>
          <w:sz w:val="22"/>
          <w:szCs w:val="22"/>
          <w:lang w:val="en-US" w:eastAsia="ja-JP"/>
        </w:rPr>
        <w:t>analyses were pre</w:t>
      </w:r>
      <w:r w:rsidR="00093977" w:rsidRPr="00C40A28">
        <w:rPr>
          <w:rFonts w:ascii="Times New Roman" w:hAnsi="Times New Roman"/>
          <w:b w:val="0"/>
          <w:bCs/>
          <w:sz w:val="22"/>
          <w:szCs w:val="22"/>
          <w:lang w:val="en-US" w:eastAsia="ja-JP"/>
        </w:rPr>
        <w:t>-</w:t>
      </w:r>
      <w:r w:rsidR="004444AD" w:rsidRPr="00C40A28">
        <w:rPr>
          <w:rFonts w:ascii="Times New Roman" w:hAnsi="Times New Roman"/>
          <w:b w:val="0"/>
          <w:bCs/>
          <w:sz w:val="22"/>
          <w:szCs w:val="22"/>
          <w:lang w:val="en-US" w:eastAsia="ja-JP"/>
        </w:rPr>
        <w:t>specified</w:t>
      </w:r>
      <w:r w:rsidR="0028163A">
        <w:rPr>
          <w:rFonts w:ascii="Times New Roman" w:hAnsi="Times New Roman"/>
          <w:b w:val="0"/>
          <w:bCs/>
          <w:sz w:val="22"/>
          <w:szCs w:val="22"/>
          <w:lang w:val="en-US" w:eastAsia="ja-JP"/>
        </w:rPr>
        <w:t xml:space="preserve"> and documented in the protocol</w:t>
      </w:r>
      <w:r w:rsidR="00267E04" w:rsidRPr="00C40A28">
        <w:rPr>
          <w:rFonts w:ascii="Times New Roman" w:hAnsi="Times New Roman"/>
          <w:b w:val="0"/>
          <w:bCs/>
          <w:sz w:val="22"/>
          <w:szCs w:val="22"/>
          <w:lang w:val="en-US" w:eastAsia="ja-JP"/>
        </w:rPr>
        <w:t xml:space="preserve">, with the </w:t>
      </w:r>
      <w:r w:rsidR="00D72E59" w:rsidRPr="00C40A28">
        <w:rPr>
          <w:rFonts w:ascii="Times New Roman" w:hAnsi="Times New Roman"/>
          <w:b w:val="0"/>
          <w:bCs/>
          <w:sz w:val="22"/>
          <w:szCs w:val="22"/>
          <w:lang w:val="en-US" w:eastAsia="ja-JP"/>
        </w:rPr>
        <w:t xml:space="preserve">primary exposure variables </w:t>
      </w:r>
      <w:r w:rsidR="00267E04" w:rsidRPr="00C40A28">
        <w:rPr>
          <w:rFonts w:ascii="Times New Roman" w:hAnsi="Times New Roman"/>
          <w:b w:val="0"/>
          <w:bCs/>
          <w:sz w:val="22"/>
          <w:szCs w:val="22"/>
          <w:lang w:val="en-US" w:eastAsia="ja-JP"/>
        </w:rPr>
        <w:t>being</w:t>
      </w:r>
      <w:r w:rsidR="002C1908" w:rsidRPr="00C40A28">
        <w:rPr>
          <w:rFonts w:ascii="Times New Roman" w:hAnsi="Times New Roman"/>
          <w:b w:val="0"/>
          <w:bCs/>
          <w:sz w:val="22"/>
          <w:szCs w:val="22"/>
          <w:lang w:val="en-US" w:eastAsia="ja-JP"/>
        </w:rPr>
        <w:t xml:space="preserve"> </w:t>
      </w:r>
      <w:r w:rsidR="00D72E59" w:rsidRPr="00C40A28">
        <w:rPr>
          <w:rFonts w:ascii="Times New Roman" w:hAnsi="Times New Roman"/>
          <w:b w:val="0"/>
          <w:bCs/>
          <w:sz w:val="22"/>
          <w:szCs w:val="22"/>
          <w:lang w:val="en-US" w:eastAsia="ja-JP"/>
        </w:rPr>
        <w:t>1</w:t>
      </w:r>
      <w:r w:rsidR="00ED2693" w:rsidRPr="00C40A28">
        <w:rPr>
          <w:rFonts w:ascii="Times New Roman" w:hAnsi="Times New Roman"/>
          <w:b w:val="0"/>
          <w:bCs/>
          <w:sz w:val="22"/>
          <w:szCs w:val="22"/>
          <w:lang w:val="en-US" w:eastAsia="ja-JP"/>
        </w:rPr>
        <w:t>6</w:t>
      </w:r>
      <w:r w:rsidR="00D72E59" w:rsidRPr="00C40A28">
        <w:rPr>
          <w:rFonts w:ascii="Times New Roman" w:hAnsi="Times New Roman"/>
          <w:b w:val="0"/>
          <w:bCs/>
          <w:sz w:val="22"/>
          <w:szCs w:val="22"/>
          <w:lang w:val="en-US" w:eastAsia="ja-JP"/>
        </w:rPr>
        <w:t>:0,</w:t>
      </w:r>
      <w:r w:rsidR="009B7DAD" w:rsidRPr="00C40A28">
        <w:rPr>
          <w:rFonts w:ascii="Times New Roman" w:hAnsi="Times New Roman"/>
          <w:b w:val="0"/>
          <w:bCs/>
          <w:sz w:val="22"/>
          <w:szCs w:val="22"/>
          <w:lang w:val="en-US" w:eastAsia="ja-JP"/>
        </w:rPr>
        <w:t xml:space="preserve"> </w:t>
      </w:r>
      <w:r w:rsidR="00D72E59" w:rsidRPr="00C40A28">
        <w:rPr>
          <w:rFonts w:ascii="Times New Roman" w:hAnsi="Times New Roman"/>
          <w:b w:val="0"/>
          <w:bCs/>
          <w:sz w:val="22"/>
          <w:szCs w:val="22"/>
          <w:lang w:val="en-US" w:eastAsia="ja-JP"/>
        </w:rPr>
        <w:t>1</w:t>
      </w:r>
      <w:r w:rsidR="00ED2693" w:rsidRPr="00C40A28">
        <w:rPr>
          <w:rFonts w:ascii="Times New Roman" w:hAnsi="Times New Roman"/>
          <w:b w:val="0"/>
          <w:bCs/>
          <w:sz w:val="22"/>
          <w:szCs w:val="22"/>
          <w:lang w:val="en-US" w:eastAsia="ja-JP"/>
        </w:rPr>
        <w:t>6</w:t>
      </w:r>
      <w:r w:rsidR="00D72E59" w:rsidRPr="00C40A28">
        <w:rPr>
          <w:rFonts w:ascii="Times New Roman" w:hAnsi="Times New Roman"/>
          <w:b w:val="0"/>
          <w:bCs/>
          <w:sz w:val="22"/>
          <w:szCs w:val="22"/>
          <w:lang w:val="en-US" w:eastAsia="ja-JP"/>
        </w:rPr>
        <w:t>:</w:t>
      </w:r>
      <w:r w:rsidR="0018750B" w:rsidRPr="00C40A28">
        <w:rPr>
          <w:rFonts w:ascii="Times New Roman" w:hAnsi="Times New Roman"/>
          <w:b w:val="0"/>
          <w:bCs/>
          <w:sz w:val="22"/>
          <w:szCs w:val="22"/>
          <w:lang w:val="en-US" w:eastAsia="ja-JP"/>
        </w:rPr>
        <w:t xml:space="preserve">1n7, </w:t>
      </w:r>
      <w:r w:rsidR="00D72E59" w:rsidRPr="00C40A28">
        <w:rPr>
          <w:rFonts w:ascii="Times New Roman" w:hAnsi="Times New Roman"/>
          <w:b w:val="0"/>
          <w:bCs/>
          <w:sz w:val="22"/>
          <w:szCs w:val="22"/>
          <w:lang w:val="en-US" w:eastAsia="ja-JP"/>
        </w:rPr>
        <w:t>1</w:t>
      </w:r>
      <w:r w:rsidR="00ED2693" w:rsidRPr="00C40A28">
        <w:rPr>
          <w:rFonts w:ascii="Times New Roman" w:hAnsi="Times New Roman"/>
          <w:b w:val="0"/>
          <w:bCs/>
          <w:sz w:val="22"/>
          <w:szCs w:val="22"/>
          <w:lang w:val="en-US" w:eastAsia="ja-JP"/>
        </w:rPr>
        <w:t>8</w:t>
      </w:r>
      <w:r w:rsidR="00D72E59" w:rsidRPr="00C40A28">
        <w:rPr>
          <w:rFonts w:ascii="Times New Roman" w:hAnsi="Times New Roman"/>
          <w:b w:val="0"/>
          <w:bCs/>
          <w:sz w:val="22"/>
          <w:szCs w:val="22"/>
          <w:lang w:val="en-US" w:eastAsia="ja-JP"/>
        </w:rPr>
        <w:t xml:space="preserve">:0, and </w:t>
      </w:r>
      <w:r w:rsidR="00ED2693" w:rsidRPr="00C40A28">
        <w:rPr>
          <w:rFonts w:ascii="Times New Roman" w:hAnsi="Times New Roman"/>
          <w:b w:val="0"/>
          <w:bCs/>
          <w:sz w:val="22"/>
          <w:szCs w:val="22"/>
          <w:lang w:val="en-US" w:eastAsia="ja-JP"/>
        </w:rPr>
        <w:t>18:1n9</w:t>
      </w:r>
      <w:r w:rsidR="00D72E59" w:rsidRPr="00C40A28">
        <w:rPr>
          <w:rFonts w:ascii="Times New Roman" w:hAnsi="Times New Roman"/>
          <w:b w:val="0"/>
          <w:bCs/>
          <w:sz w:val="22"/>
          <w:szCs w:val="22"/>
          <w:lang w:val="en-US" w:eastAsia="ja-JP"/>
        </w:rPr>
        <w:t xml:space="preserve">. </w:t>
      </w:r>
      <w:r w:rsidR="00B95DBF">
        <w:rPr>
          <w:rFonts w:ascii="Times New Roman" w:hAnsi="Times New Roman"/>
          <w:b w:val="0"/>
          <w:bCs/>
          <w:sz w:val="22"/>
          <w:szCs w:val="22"/>
          <w:lang w:val="en-US" w:eastAsia="ja-JP"/>
        </w:rPr>
        <w:t xml:space="preserve">We examined </w:t>
      </w:r>
      <w:r w:rsidR="00D72E59" w:rsidRPr="00C40A28">
        <w:rPr>
          <w:rFonts w:ascii="Times New Roman" w:hAnsi="Times New Roman"/>
          <w:b w:val="0"/>
          <w:bCs/>
          <w:sz w:val="22"/>
          <w:szCs w:val="22"/>
          <w:lang w:val="en-US" w:eastAsia="ja-JP"/>
        </w:rPr>
        <w:t xml:space="preserve">Pearson correlation coefficients between these fatty acids </w:t>
      </w:r>
      <w:r w:rsidR="00D45173" w:rsidRPr="00C40A28">
        <w:rPr>
          <w:rFonts w:ascii="Times New Roman" w:hAnsi="Times New Roman"/>
          <w:b w:val="0"/>
          <w:bCs/>
          <w:sz w:val="22"/>
          <w:szCs w:val="22"/>
          <w:lang w:val="en-US" w:eastAsia="ja-JP"/>
        </w:rPr>
        <w:t>within</w:t>
      </w:r>
      <w:r w:rsidR="00567831" w:rsidRPr="00C40A28">
        <w:rPr>
          <w:rFonts w:ascii="Times New Roman" w:hAnsi="Times New Roman"/>
          <w:b w:val="0"/>
          <w:bCs/>
          <w:sz w:val="22"/>
          <w:szCs w:val="22"/>
          <w:lang w:val="en-US" w:eastAsia="ja-JP"/>
        </w:rPr>
        <w:t xml:space="preserve"> </w:t>
      </w:r>
      <w:r w:rsidR="00240A1A" w:rsidRPr="00C40A28">
        <w:rPr>
          <w:rFonts w:ascii="Times New Roman" w:hAnsi="Times New Roman"/>
          <w:b w:val="0"/>
          <w:bCs/>
          <w:sz w:val="22"/>
          <w:szCs w:val="22"/>
          <w:lang w:val="en-US" w:eastAsia="ja-JP"/>
        </w:rPr>
        <w:t xml:space="preserve">each </w:t>
      </w:r>
      <w:r w:rsidR="00567831" w:rsidRPr="00C40A28">
        <w:rPr>
          <w:rFonts w:ascii="Times New Roman" w:hAnsi="Times New Roman"/>
          <w:b w:val="0"/>
          <w:bCs/>
          <w:sz w:val="22"/>
          <w:szCs w:val="22"/>
          <w:lang w:val="en-US" w:eastAsia="ja-JP"/>
        </w:rPr>
        <w:t>lipid fraction</w:t>
      </w:r>
      <w:r w:rsidR="00D72E59" w:rsidRPr="00C40A28">
        <w:rPr>
          <w:rFonts w:ascii="Times New Roman" w:hAnsi="Times New Roman"/>
          <w:b w:val="0"/>
          <w:bCs/>
          <w:sz w:val="22"/>
          <w:szCs w:val="22"/>
          <w:lang w:val="en-US" w:eastAsia="ja-JP"/>
        </w:rPr>
        <w:t xml:space="preserve">. </w:t>
      </w:r>
      <w:r w:rsidR="00B95DBF">
        <w:rPr>
          <w:rFonts w:ascii="Times New Roman" w:hAnsi="Times New Roman"/>
          <w:b w:val="0"/>
          <w:bCs/>
          <w:sz w:val="22"/>
          <w:szCs w:val="22"/>
          <w:lang w:val="en-US" w:eastAsia="ja-JP"/>
        </w:rPr>
        <w:t xml:space="preserve">To assess </w:t>
      </w:r>
      <w:r w:rsidR="00D72E59" w:rsidRPr="00C40A28">
        <w:rPr>
          <w:rFonts w:ascii="Times New Roman" w:hAnsi="Times New Roman"/>
          <w:b w:val="0"/>
          <w:bCs/>
          <w:sz w:val="22"/>
          <w:szCs w:val="22"/>
          <w:lang w:val="en-US" w:eastAsia="ja-JP"/>
        </w:rPr>
        <w:t>associations</w:t>
      </w:r>
      <w:r w:rsidR="00B95DBF">
        <w:rPr>
          <w:rFonts w:ascii="Times New Roman" w:hAnsi="Times New Roman"/>
          <w:b w:val="0"/>
          <w:bCs/>
          <w:sz w:val="22"/>
          <w:szCs w:val="22"/>
          <w:lang w:val="en-US" w:eastAsia="ja-JP"/>
        </w:rPr>
        <w:t xml:space="preserve"> of interest</w:t>
      </w:r>
      <w:r w:rsidR="00D72E59" w:rsidRPr="00C40A28">
        <w:rPr>
          <w:rFonts w:ascii="Times New Roman" w:hAnsi="Times New Roman"/>
          <w:b w:val="0"/>
          <w:bCs/>
          <w:sz w:val="22"/>
          <w:szCs w:val="22"/>
          <w:lang w:val="en-US" w:eastAsia="ja-JP"/>
        </w:rPr>
        <w:t xml:space="preserve">, </w:t>
      </w:r>
      <w:r w:rsidR="004444AD" w:rsidRPr="00C40A28">
        <w:rPr>
          <w:rFonts w:ascii="Times New Roman" w:hAnsi="Times New Roman"/>
          <w:b w:val="0"/>
          <w:bCs/>
          <w:sz w:val="22"/>
          <w:szCs w:val="22"/>
          <w:lang w:val="en-US" w:eastAsia="ja-JP"/>
        </w:rPr>
        <w:t xml:space="preserve">Cox </w:t>
      </w:r>
      <w:r w:rsidR="00B95DBF">
        <w:rPr>
          <w:rFonts w:ascii="Times New Roman" w:hAnsi="Times New Roman"/>
          <w:b w:val="0"/>
          <w:bCs/>
          <w:sz w:val="22"/>
          <w:szCs w:val="22"/>
          <w:lang w:val="en-US" w:eastAsia="ja-JP"/>
        </w:rPr>
        <w:t xml:space="preserve">proportional hazard </w:t>
      </w:r>
      <w:r w:rsidR="00093977" w:rsidRPr="00C40A28">
        <w:rPr>
          <w:rFonts w:ascii="Times New Roman" w:hAnsi="Times New Roman"/>
          <w:b w:val="0"/>
          <w:bCs/>
          <w:sz w:val="22"/>
          <w:szCs w:val="22"/>
          <w:lang w:val="en-US" w:eastAsia="ja-JP"/>
        </w:rPr>
        <w:t xml:space="preserve">regression </w:t>
      </w:r>
      <w:r w:rsidR="00B95DBF">
        <w:rPr>
          <w:rFonts w:ascii="Times New Roman" w:hAnsi="Times New Roman"/>
          <w:b w:val="0"/>
          <w:bCs/>
          <w:sz w:val="22"/>
          <w:szCs w:val="22"/>
          <w:lang w:val="en-US" w:eastAsia="ja-JP"/>
        </w:rPr>
        <w:t xml:space="preserve">was modelled </w:t>
      </w:r>
      <w:r w:rsidR="00296C35" w:rsidRPr="00C40A28">
        <w:rPr>
          <w:rFonts w:ascii="Times New Roman" w:hAnsi="Times New Roman"/>
          <w:b w:val="0"/>
          <w:bCs/>
          <w:sz w:val="22"/>
          <w:szCs w:val="22"/>
          <w:lang w:val="en-US" w:eastAsia="ja-JP"/>
        </w:rPr>
        <w:t xml:space="preserve">to </w:t>
      </w:r>
      <w:r w:rsidR="00240A1A" w:rsidRPr="00C40A28">
        <w:rPr>
          <w:rFonts w:ascii="Times New Roman" w:hAnsi="Times New Roman"/>
          <w:b w:val="0"/>
          <w:bCs/>
          <w:sz w:val="22"/>
          <w:szCs w:val="22"/>
          <w:lang w:val="en-US" w:eastAsia="ja-JP"/>
        </w:rPr>
        <w:t xml:space="preserve">time-to-event </w:t>
      </w:r>
      <w:r w:rsidR="00296C35" w:rsidRPr="00C40A28">
        <w:rPr>
          <w:rFonts w:ascii="Times New Roman" w:hAnsi="Times New Roman"/>
          <w:b w:val="0"/>
          <w:bCs/>
          <w:sz w:val="22"/>
          <w:szCs w:val="22"/>
          <w:lang w:val="en-US" w:eastAsia="ja-JP"/>
        </w:rPr>
        <w:t>data</w:t>
      </w:r>
      <w:r w:rsidR="00240A1A" w:rsidRPr="00C40A28">
        <w:rPr>
          <w:rFonts w:ascii="Times New Roman" w:hAnsi="Times New Roman"/>
          <w:b w:val="0"/>
          <w:bCs/>
          <w:sz w:val="22"/>
          <w:szCs w:val="22"/>
          <w:lang w:val="en-US" w:eastAsia="ja-JP"/>
        </w:rPr>
        <w:t xml:space="preserve">, with sampling weights applied </w:t>
      </w:r>
      <w:r w:rsidR="002C1908" w:rsidRPr="00C40A28">
        <w:rPr>
          <w:rFonts w:ascii="Times New Roman" w:hAnsi="Times New Roman"/>
          <w:b w:val="0"/>
          <w:bCs/>
          <w:sz w:val="22"/>
          <w:szCs w:val="22"/>
          <w:lang w:val="en-US" w:eastAsia="ja-JP"/>
        </w:rPr>
        <w:t xml:space="preserve">in EPIC-InterAct with a </w:t>
      </w:r>
      <w:r w:rsidR="00240A1A" w:rsidRPr="00C40A28">
        <w:rPr>
          <w:rFonts w:ascii="Times New Roman" w:hAnsi="Times New Roman"/>
          <w:b w:val="0"/>
          <w:bCs/>
          <w:sz w:val="22"/>
          <w:szCs w:val="22"/>
          <w:lang w:val="en-US" w:eastAsia="ja-JP"/>
        </w:rPr>
        <w:t xml:space="preserve">case-cohort </w:t>
      </w:r>
      <w:r w:rsidR="002C1908" w:rsidRPr="00C40A28">
        <w:rPr>
          <w:rFonts w:ascii="Times New Roman" w:hAnsi="Times New Roman"/>
          <w:b w:val="0"/>
          <w:bCs/>
          <w:sz w:val="22"/>
          <w:szCs w:val="22"/>
          <w:lang w:val="en-US" w:eastAsia="ja-JP"/>
        </w:rPr>
        <w:t xml:space="preserve">design </w:t>
      </w:r>
      <w:r w:rsidR="00240A1A" w:rsidRPr="00C40A28">
        <w:rPr>
          <w:rFonts w:ascii="Times New Roman" w:hAnsi="Times New Roman"/>
          <w:b w:val="0"/>
          <w:sz w:val="22"/>
          <w:szCs w:val="22"/>
          <w:lang w:val="en-US" w:eastAsia="ja-JP"/>
        </w:rPr>
        <w:fldChar w:fldCharType="begin" w:fldLock="1"/>
      </w:r>
      <w:r w:rsidR="004C640A" w:rsidRPr="00C40A28">
        <w:rPr>
          <w:rFonts w:ascii="Times New Roman" w:hAnsi="Times New Roman"/>
          <w:b w:val="0"/>
          <w:sz w:val="22"/>
          <w:szCs w:val="22"/>
          <w:lang w:val="en-US" w:eastAsia="ja-JP"/>
        </w:rPr>
        <w:instrText>ADDIN CSL_CITATION {"citationItems":[{"id":"ITEM-1","itemData":{"DOI":"10.1016/S2213-8587(14)70146-9","ISSN":"22138587","PMID":"25107467","abstract":"BACKGROUND: Conflicting evidence exists regarding the association between saturated fatty acids (SFAs) and type 2 diabetes. In this longitudinal case-cohort study, we aimed to investigate the prospective associations between objectively measured individual plasma phospholipid SFAs and incident type 2 diabetes in EPIC-InterAct participants. METHODS: The EPIC-InterAct case-cohort study includes 12 403 people with incident type 2 diabetes and a representative subcohort of 16 154 individuals who were selected from a cohort of 340 234 European participants with 3·99 million person-years of follow-up (the EPIC study). Incident type 2 diabetes was ascertained until Dec 31, 2007, by a review of several sources of evidence. Gas chromatography was used to measure the distribution of fatty acids in plasma phospholipids (mol%); samples from people with type 2 diabetes and subcohort participants were processed in a random order by centre, and laboratory staff were masked to participant characteristics. We estimated country-specific hazard ratios (HRs) for associations per SD of each SFA with incident type 2 diabetes using Prentice-weighted Cox regression, which is weighted for case-cohort sampling, and pooled our findings using random-effects meta-analysis. FINDINGS: SFAs accounted for 46% of total plasma phospholipid fatty acids. In adjusted analyses, different individual SFAs were associated with incident type 2 diabetes in opposing directions. Even-chain SFAs that were measured (14:0 [myristic acid], 16:0 [palmitic acid], and 18:0 [stearic acid]) were positively associated with incident type 2 diabetes (HR [95% CI] per SD difference: myristic acid 1·15 [95% CI 1·09-1·22], palmitic acid 1·26 [1·15-1·37], and stearic acid 1·06 [1·00-1·13]). By contrast, measured odd-chain SFAs (15:0 [pentadecanoic acid] and 17:0 [heptadecanoic acid]) were inversely associated with incident type 2 diabetes (HR [95% CI] per 1 SD difference: 0·79 [0·73-0·85] for pentadecanoic acid and 0·67 [0·63-0·71] for heptadecanoic acid), as were measured longer-chain SFAs (20:0 [arachidic acid], 22:0 [behenic acid], 23:0 [tricosanoic acid], and 24:0 [lignoceric acid]), with HRs ranging from 0·72 to 0·81 (95% CIs ranging between 0·61 and 0·92). Our findings were robust to a range of sensitivity analyses. INTERPRETATION: Different individual plasma phospholipid SFAs were associated with incident type 2 diabetes in opposite directions, which suggests that SFAs are not homogeneous in their effects. O…","author":[{"dropping-particle":"","family":"Forouhi","given":"Nita G","non-dropping-particle":"","parse-names":false,"suffix":""},{"dropping-particle":"","family":"Koulman","given":"Albert","non-dropping-particle":"","parse-names":false,"suffix":""},{"dropping-particle":"","family":"Sharp","given":"Stephen J","non-dropping-particle":"","parse-names":false,"suffix":""},{"dropping-particle":"","family":"Imamura","given":"Fumiaki","non-dropping-particle":"","parse-names":false,"suffix":""},{"dropping-particle":"","family":"Kröger","given":"Janine","non-dropping-particle":"","parse-names":false,"suffix":""},{"dropping-particle":"","family":"Schulze","given":"Matthias B","non-dropping-particle":"","parse-names":false,"suffix":""},{"dropping-particle":"","family":"Crowe","given":"Francesca L","non-dropping-particle":"","parse-names":false,"suffix":""},{"dropping-particle":"","family":"Huerta","given":"José María","non-dropping-particle":"","parse-names":false,"suffix":""},{"dropping-particle":"","family":"Guevara","given":"Marcela","non-dropping-particle":"","parse-names":false,"suffix":""},{"dropping-particle":"","family":"Beulens","given":"Joline Wj","non-dropping-particle":"","parse-names":false,"suffix":""},{"dropping-particle":"","family":"Woudenbergh","given":"Geertruida J","non-dropping-particle":"van","parse-names":false,"suffix":""},{"dropping-particle":"","family":"Wang","given":"Laura","non-dropping-particle":"","parse-names":false,"suffix":""},{"dropping-particle":"","family":"Summerhill","given":"Keith","non-dropping-particle":"","parse-names":false,"suffix":""},{"dropping-particle":"","family":"Griffin","given":"Julian L","non-dropping-particle":"","parse-names":false,"suffix":""},{"dropping-particle":"","family":"Feskens","given":"Edith Jm","non-dropping-particle":"","parse-names":false,"suffix":""},{"dropping-particle":"","family":"Amiano","given":"Pilar","non-dropping-particle":"","parse-names":false,"suffix":""},{"dropping-particle":"","family":"Boeing","given":"Heiner","non-dropping-particle":"","parse-names":false,"suffix":""},{"dropping-particle":"","family":"Clavel-Chapelon","given":"Françoise","non-dropping-particle":"","parse-names":false,"suffix":""},{"dropping-particle":"","family":"Dartois","given":"Laureen","non-dropping-particle":"","parse-names":false,"suffix":""},{"dropping-particle":"","family":"Fagherazzi","given":"Guy","non-dropping-particle":"","parse-names":false,"suffix":""},{"dropping-particle":"","family":"Franks","given":"Paul W","non-dropping-particle":"","parse-names":false,"suffix":""},{"dropping-particle":"","family":"Gonzalez","given":"Carlos","non-dropping-particle":"","parse-names":false,"suffix":""},{"dropping-particle":"","family":"Jakobsen","given":"Marianne Uhre","non-dropping-particle":"","parse-names":false,"suffix":""},{"dropping-particle":"","family":"Kaaks","given":"Rudolf","non-dropping-particle":"","parse-names":false,"suffix":""},{"dropping-particle":"","family":"Key","given":"Timothy J","non-dropping-particle":"","parse-names":false,"suffix":""},{"dropping-particle":"","family":"Khaw","given":"Kay-Tee","non-dropping-particle":"","parse-names":false,"suffix":""},{"dropping-particle":"","family":"Kühn","given":"Tilman","non-dropping-particle":"","parse-names":false,"suffix":""},{"dropping-particle":"","family":"Mattiello","given":"Amalia","non-dropping-particle":"","parse-names":false,"suffix":""},{"dropping-particle":"","family":"Nilsson","given":"Peter M","non-dropping-particle":"","parse-names":false,"suffix":""},{"dropping-particle":"","family":"Overvad","given":"Kim","non-dropping-particle":"","parse-names":false,"suffix":""},{"dropping-particle":"","family":"Pala","given":"Valeria","non-dropping-particle":"","parse-names":false,"suffix":""},{"dropping-particle":"","family":"Palli","given":"Domenico","non-dropping-particle":"","parse-names":false,"suffix":""},{"dropping-particle":"","family":"Quirós","given":"J Ramón","non-dropping-particle":"","parse-names":false,"suffix":""},{"dropping-particle":"","family":"Rolandsson","given":"Olov","non-dropping-particle":"","parse-names":false,"suffix":""},{"dropping-particle":"","family":"Roswall","given":"Nina","non-dropping-particle":"","parse-names":false,"suffix":""},{"dropping-particle":"","family":"Sacerdote","given":"Carlotta","non-dropping-particle":"","parse-names":false,"suffix":""},{"dropping-particle":"","family":"Sánchez","given":"María-José","non-dropping-particle":"","parse-names":false,"suffix":""},{"dropping-particle":"","family":"Slimani","given":"Nadia","non-dropping-particle":"","parse-names":false,"suffix":""},{"dropping-particle":"","family":"Spijkerman","given":"Annemieke MW","non-dropping-particle":"","parse-names":false,"suffix":""},{"dropping-particle":"","family":"Tjonneland","given":"Anne","non-dropping-particle":"","parse-names":false,"suffix":""},{"dropping-particle":"","family":"Tormo","given":"Maria-José","non-dropping-particle":"","parse-names":false,"suffix":""},{"dropping-particle":"","family":"Tumino","given":"Rosario","non-dropping-particle":"","parse-names":false,"suffix":""},{"dropping-particle":"","family":"A","given":"Daphne L","non-dropping-particle":"van der","parse-names":false,"suffix":""},{"dropping-particle":"","family":"Schouw","given":"Yvonne T","non-dropping-particle":"van der","parse-names":false,"suffix":""},{"dropping-particle":"","family":"Langenberg","given":"Claudia","non-dropping-particle":"","parse-names":false,"suffix":""},{"dropping-particle":"","family":"Riboli","given":"Elio","non-dropping-particle":"","parse-names":false,"suffix":""},{"dropping-particle":"","family":"Wareham","given":"Nicholas J","non-dropping-particle":"","parse-names":false,"suffix":""}],"container-title":"Lancet Diab Endocrinol","id":"ITEM-1","issue":"10","issued":{"date-parts":[["2014","10","5"]]},"page":"810-818","title":"Differences in the prospective association between individual plasma phospholipid saturated fatty acids and incident type 2 diabetes: the EPIC-InterAct case-cohort study","type":"article-journal","volume":"2"},"uris":["http://www.mendeley.com/documents/?uuid=e68046fe-e6e0-4efd-b343-0eacca76fce6"]}],"mendeley":{"formattedCitation":"[17]","plainTextFormattedCitation":"[17]","previouslyFormattedCitation":"[17]"},"properties":{"noteIndex":0},"schema":"https://github.com/citation-style-language/schema/raw/master/csl-citation.json"}</w:instrText>
      </w:r>
      <w:r w:rsidR="00240A1A" w:rsidRPr="00C40A28">
        <w:rPr>
          <w:rFonts w:ascii="Times New Roman" w:hAnsi="Times New Roman"/>
          <w:b w:val="0"/>
          <w:sz w:val="22"/>
          <w:szCs w:val="22"/>
          <w:lang w:val="en-US" w:eastAsia="ja-JP"/>
        </w:rPr>
        <w:fldChar w:fldCharType="separate"/>
      </w:r>
      <w:r w:rsidR="00240A1A" w:rsidRPr="00C40A28">
        <w:rPr>
          <w:rFonts w:ascii="Times New Roman" w:hAnsi="Times New Roman"/>
          <w:b w:val="0"/>
          <w:noProof/>
          <w:sz w:val="22"/>
          <w:szCs w:val="22"/>
          <w:lang w:val="en-US" w:eastAsia="ja-JP"/>
        </w:rPr>
        <w:t>[17]</w:t>
      </w:r>
      <w:r w:rsidR="00240A1A" w:rsidRPr="00C40A28">
        <w:rPr>
          <w:rFonts w:ascii="Times New Roman" w:hAnsi="Times New Roman"/>
          <w:b w:val="0"/>
          <w:sz w:val="22"/>
          <w:szCs w:val="22"/>
          <w:lang w:val="en-US" w:eastAsia="ja-JP"/>
        </w:rPr>
        <w:fldChar w:fldCharType="end"/>
      </w:r>
      <w:r w:rsidR="00240A1A" w:rsidRPr="00C40A28">
        <w:rPr>
          <w:rFonts w:ascii="Times New Roman" w:hAnsi="Times New Roman"/>
          <w:b w:val="0"/>
          <w:sz w:val="22"/>
          <w:szCs w:val="22"/>
          <w:lang w:val="en-US" w:eastAsia="ja-JP"/>
        </w:rPr>
        <w:t xml:space="preserve">. </w:t>
      </w:r>
      <w:r w:rsidR="00363BC2">
        <w:rPr>
          <w:rFonts w:ascii="Times New Roman" w:hAnsi="Times New Roman"/>
          <w:b w:val="0"/>
          <w:sz w:val="22"/>
          <w:szCs w:val="22"/>
          <w:lang w:val="en-US" w:eastAsia="ja-JP"/>
        </w:rPr>
        <w:t>Each cohort calculated f</w:t>
      </w:r>
      <w:r w:rsidR="00363BC2" w:rsidRPr="00C40A28">
        <w:rPr>
          <w:rFonts w:ascii="Times New Roman" w:eastAsia="Times New Roman" w:hAnsi="Times New Roman"/>
          <w:b w:val="0"/>
          <w:bCs/>
          <w:sz w:val="22"/>
          <w:szCs w:val="22"/>
          <w:lang w:val="en-US" w:eastAsia="ar-SA"/>
        </w:rPr>
        <w:t>ollow</w:t>
      </w:r>
      <w:r w:rsidR="004840D3" w:rsidRPr="00C40A28">
        <w:rPr>
          <w:rFonts w:ascii="Times New Roman" w:eastAsia="Times New Roman" w:hAnsi="Times New Roman"/>
          <w:b w:val="0"/>
          <w:bCs/>
          <w:sz w:val="22"/>
          <w:szCs w:val="22"/>
          <w:lang w:val="en-US" w:eastAsia="ar-SA"/>
        </w:rPr>
        <w:t xml:space="preserve">-up time from time of fatty acid measurement to </w:t>
      </w:r>
      <w:r w:rsidR="00363BC2">
        <w:rPr>
          <w:rFonts w:ascii="Times New Roman" w:eastAsia="Times New Roman" w:hAnsi="Times New Roman"/>
          <w:b w:val="0"/>
          <w:bCs/>
          <w:sz w:val="22"/>
          <w:szCs w:val="22"/>
          <w:lang w:val="en-US" w:eastAsia="ar-SA"/>
        </w:rPr>
        <w:t xml:space="preserve">either </w:t>
      </w:r>
      <w:r w:rsidR="004840D3" w:rsidRPr="00C40A28">
        <w:rPr>
          <w:rFonts w:ascii="Times New Roman" w:eastAsia="Times New Roman" w:hAnsi="Times New Roman"/>
          <w:b w:val="0"/>
          <w:bCs/>
          <w:sz w:val="22"/>
          <w:szCs w:val="22"/>
          <w:lang w:val="en-US" w:eastAsia="ar-SA"/>
        </w:rPr>
        <w:t xml:space="preserve">date of incident </w:t>
      </w:r>
      <w:r w:rsidR="004840D3" w:rsidRPr="00C40A28">
        <w:rPr>
          <w:rFonts w:ascii="Times New Roman" w:eastAsiaTheme="minorEastAsia" w:hAnsi="Times New Roman"/>
          <w:b w:val="0"/>
          <w:bCs/>
          <w:sz w:val="22"/>
          <w:szCs w:val="22"/>
          <w:lang w:val="en-US" w:eastAsia="ja-JP"/>
        </w:rPr>
        <w:t>T2D</w:t>
      </w:r>
      <w:r w:rsidR="004840D3" w:rsidRPr="00C40A28">
        <w:rPr>
          <w:rFonts w:ascii="Times New Roman" w:eastAsia="Times New Roman" w:hAnsi="Times New Roman"/>
          <w:b w:val="0"/>
          <w:bCs/>
          <w:sz w:val="22"/>
          <w:szCs w:val="22"/>
          <w:lang w:val="en-US" w:eastAsia="ar-SA"/>
        </w:rPr>
        <w:t>, death from any cause, or loss to follow-up</w:t>
      </w:r>
      <w:r w:rsidR="004840D3" w:rsidRPr="00C40A28">
        <w:rPr>
          <w:rFonts w:ascii="Times New Roman" w:eastAsiaTheme="minorEastAsia" w:hAnsi="Times New Roman"/>
          <w:b w:val="0"/>
          <w:bCs/>
          <w:sz w:val="22"/>
          <w:szCs w:val="22"/>
          <w:lang w:val="en-US" w:eastAsia="ja-JP"/>
        </w:rPr>
        <w:t xml:space="preserve">, or censoring at end of follow-up, whichever available and </w:t>
      </w:r>
      <w:r w:rsidR="00891F77" w:rsidRPr="00C40A28">
        <w:rPr>
          <w:rFonts w:ascii="Times New Roman" w:eastAsiaTheme="minorEastAsia" w:hAnsi="Times New Roman"/>
          <w:b w:val="0"/>
          <w:bCs/>
          <w:sz w:val="22"/>
          <w:szCs w:val="22"/>
          <w:lang w:val="en-US" w:eastAsia="ja-JP"/>
        </w:rPr>
        <w:t>occurred</w:t>
      </w:r>
      <w:r w:rsidR="004840D3" w:rsidRPr="00C40A28">
        <w:rPr>
          <w:rFonts w:ascii="Times New Roman" w:eastAsiaTheme="minorEastAsia" w:hAnsi="Times New Roman"/>
          <w:b w:val="0"/>
          <w:bCs/>
          <w:sz w:val="22"/>
          <w:szCs w:val="22"/>
          <w:lang w:val="en-US" w:eastAsia="ja-JP"/>
        </w:rPr>
        <w:t xml:space="preserve"> first</w:t>
      </w:r>
      <w:r w:rsidR="004840D3" w:rsidRPr="00C40A28">
        <w:rPr>
          <w:rFonts w:ascii="Times New Roman" w:hAnsi="Times New Roman"/>
          <w:b w:val="0"/>
          <w:sz w:val="22"/>
          <w:szCs w:val="22"/>
          <w:lang w:val="en-US"/>
        </w:rPr>
        <w:t>.</w:t>
      </w:r>
      <w:r w:rsidR="00542AEF" w:rsidRPr="00C40A28">
        <w:rPr>
          <w:rFonts w:ascii="Times New Roman" w:hAnsi="Times New Roman"/>
          <w:b w:val="0"/>
          <w:bCs/>
          <w:sz w:val="22"/>
          <w:szCs w:val="22"/>
          <w:lang w:val="en-US" w:eastAsia="ja-JP"/>
        </w:rPr>
        <w:t xml:space="preserve"> In </w:t>
      </w:r>
      <w:r w:rsidR="00542AEF" w:rsidRPr="00C40A28">
        <w:rPr>
          <w:rFonts w:ascii="Times New Roman" w:hAnsi="Times New Roman"/>
          <w:b w:val="0"/>
          <w:sz w:val="22"/>
          <w:szCs w:val="22"/>
          <w:lang w:val="en-US"/>
        </w:rPr>
        <w:t xml:space="preserve">the </w:t>
      </w:r>
      <w:r w:rsidR="002C1908" w:rsidRPr="00C40A28">
        <w:rPr>
          <w:rFonts w:ascii="Times New Roman" w:hAnsi="Times New Roman"/>
          <w:b w:val="0"/>
          <w:sz w:val="22"/>
          <w:szCs w:val="22"/>
          <w:lang w:val="en-US"/>
        </w:rPr>
        <w:t>two cohorts</w:t>
      </w:r>
      <w:r w:rsidR="00502699" w:rsidRPr="00C40A28">
        <w:rPr>
          <w:rFonts w:ascii="Times New Roman" w:hAnsi="Times New Roman"/>
          <w:b w:val="0"/>
          <w:sz w:val="22"/>
          <w:szCs w:val="22"/>
          <w:lang w:val="en-US"/>
        </w:rPr>
        <w:t xml:space="preserve"> (AOC and MCCS)</w:t>
      </w:r>
      <w:r w:rsidR="002C1908" w:rsidRPr="00C40A28">
        <w:rPr>
          <w:rFonts w:ascii="Times New Roman" w:hAnsi="Times New Roman"/>
          <w:b w:val="0"/>
          <w:sz w:val="22"/>
          <w:szCs w:val="22"/>
          <w:lang w:val="en-US"/>
        </w:rPr>
        <w:t xml:space="preserve"> without </w:t>
      </w:r>
      <w:r w:rsidR="00363BC2">
        <w:rPr>
          <w:rFonts w:ascii="Times New Roman" w:hAnsi="Times New Roman"/>
          <w:b w:val="0"/>
          <w:sz w:val="22"/>
          <w:szCs w:val="22"/>
          <w:lang w:val="en-US"/>
        </w:rPr>
        <w:t>individuals’ person-time</w:t>
      </w:r>
      <w:r w:rsidR="002C1908" w:rsidRPr="00C40A28">
        <w:rPr>
          <w:rFonts w:ascii="Times New Roman" w:hAnsi="Times New Roman"/>
          <w:b w:val="0"/>
          <w:sz w:val="22"/>
          <w:szCs w:val="22"/>
          <w:lang w:val="en-US"/>
        </w:rPr>
        <w:t xml:space="preserve"> data</w:t>
      </w:r>
      <w:r w:rsidR="00D44BE2" w:rsidRPr="00C40A28">
        <w:rPr>
          <w:rFonts w:ascii="Times New Roman" w:hAnsi="Times New Roman"/>
          <w:b w:val="0"/>
          <w:sz w:val="22"/>
          <w:szCs w:val="22"/>
          <w:lang w:val="en-US" w:eastAsia="ja-JP"/>
        </w:rPr>
        <w:t xml:space="preserve"> </w:t>
      </w:r>
      <w:r w:rsidR="004C640A" w:rsidRPr="00C40A28">
        <w:rPr>
          <w:rFonts w:ascii="Times New Roman" w:hAnsi="Times New Roman"/>
          <w:b w:val="0"/>
          <w:sz w:val="22"/>
          <w:szCs w:val="22"/>
          <w:lang w:val="en-US"/>
        </w:rPr>
        <w:fldChar w:fldCharType="begin" w:fldLock="1"/>
      </w:r>
      <w:r w:rsidR="002D72A1" w:rsidRPr="00C40A28">
        <w:rPr>
          <w:rFonts w:ascii="Times New Roman" w:hAnsi="Times New Roman"/>
          <w:b w:val="0"/>
          <w:sz w:val="22"/>
          <w:szCs w:val="22"/>
          <w:lang w:val="en-US"/>
        </w:rPr>
        <w:instrText>ADDIN CSL_CITATION {"citationItems":[{"id":"ITEM-1","itemData":{"DOI":"10.1093/ajcn/86.1.189","ISBN":"0002-9165","ISSN":"00029165","PMID":"17616780","abstract":"BACKGROUND: Dietary fatty acids may be associated with diabetes but are difficult to measure accurately. OBJECTIVE: We aimed to investigate the associations of fatty acids in plasma and diet with diabetes incidence. DESIGN: This was a prospective case-cohort study of 3737 adults aged 36-72 y. Fatty acid intake (/kJ) and plasma phospholipid fatty acids (%) were measured at baseline, and diabetes incidence was assessed by self-report 4 y later. Logistic regression excluding (model 1) and including (model 2) body mass index and waist-hip ratio was used to calculate odds ratios (ORs) for plasma phospholipid and dietary fatty acids. RESULTS: In plasma phospholipid, positive associations with diabetes were seen for stearic acid [OR model 1, highest versus lowest quintile: 4.14 (95% CI: 2.65, 6.49), P for trend &lt; 0.0001] and total saturated fatty acids [OR model 1: 3.76 (2.43, 5.81), P for trend &lt; 0.0001], whereas an inverse association was seen for linoleic acid [OR model 1: 0.22 (0.14, 0.36), P for trend &lt; 0.0001]. Dietary linoleic [OR model 1: 1.77 (1.19, 2.64), P for trend = 0.002], palmitic [OR model 1: 1.65 (1.12, 2.43), P for trend = 0.012], and stearic [OR model 1: 1.46 (1.00, 2.14), P for trend = 0.030] acids were positively associated with diabetes incidence before adjustment for body size. Within each quintile of linoleic acid intake, cases had lower baseline plasma phospholipid linoleic acid proportions than did controls. CONCLUSIONS: Dietary saturated fat intake is inversely associated with diabetes risk. More research is required to determine whether linoleic acid is an appropriate dietary substitute.","author":[{"dropping-particle":"","family":"Hodge","given":"Allison M.","non-dropping-particle":"","parse-names":false,"suffix":""},{"dropping-particle":"","family":"English","given":"Dallas R.","non-dropping-particle":"","parse-names":false,"suffix":""},{"dropping-particle":"","family":"O'Dea","given":"Kerin","non-dropping-particle":"","parse-names":false,"suffix":""},{"dropping-particle":"","family":"Sinclair","given":"Andrew J.","non-dropping-particle":"","parse-names":false,"suffix":""},{"dropping-particle":"","family":"Makrides","given":"Maria","non-dropping-particle":"","parse-names":false,"suffix":""},{"dropping-particle":"","family":"Gibson","given":"Robert A.","non-dropping-particle":"","parse-names":false,"suffix":""},{"dropping-particle":"","family":"Giles","given":"Graham G.","non-dropping-particle":"","parse-names":false,"suffix":""}],"container-title":"Am J Clin Nutr","id":"ITEM-1","issue":"1","issued":{"date-parts":[["2007"]]},"page":"189-97.","title":"Plasma phospholipid and dietary fatty acids as predictors of type 2 diabetes: interpreting the role of linoleic acid","type":"article-journal","volume":"86"},"uris":["http://www.mendeley.com/documents/?uuid=69ad24b4-dab9-40df-96db-2e03da5d0804"]},{"id":"ITEM-2","itemData":{"DOI":"10.1056/NEJMoa1003603","ISSN":"1533-4406","PMID":"20929341","abstract":"BACKGROUND Results from prospective cohort studies and randomized, controlled trials have provided evidence of a protective effect of n-3 fatty acids against cardiovascular diseases. We examined the effect of the marine n-3 fatty acids eicosapentaenoic acid (EPA) and docosahexaenoic acid (DHA) and of the plant-derived alpha-linolenic acid (ALA) on the rate of cardiovascular events among patients who have had a myocardial infarction. METHODS In a multicenter, double-blind, placebo-controlled trial, we randomly assigned 4837 patients, 60 through 80 years of age (78% men), who had had a myocardial infarction and were receiving state-of-the-art antihypertensive, antithrombotic, and lipid-modifying therapy to receive for 40 months one of four trial margarines: a margarine supplemented with a combination of EPA and DHA (with a targeted additional daily intake of 400 mg of EPA-DHA), a margarine supplemented with ALA (with a targeted additional daily intake of 2 g of ALA), a margarine supplemented with EPA-DHA and ALA, or a placebo margarine. The primary end point was the rate of major cardiovascular events, which comprised fatal and nonfatal cardiovascular events and cardiac interventions. Data were analyzed according to the intention-to-treat principle, with the use of Cox proportional-hazards models. RESULTS The patients consumed, on average, 18.8 g of margarine per day, which resulted in additional intakes of 226 mg of EPA combined with 150 mg of DHA, 1.9 g of ALA, or both, in the active-treatment groups. During the follow-up period, a major cardiovascular event occurred in 671 patients (13.9%). Neither EPA-DHA nor ALA reduced this primary end point (hazard ratio with EPA-DHA, 1.01; 95% confidence interval [CI], 0.87 to 1.17; P=0.93; hazard ratio with ALA, 0.91; 95% CI, 0.78 to 1.05; P=0.20). In the prespecified subgroup of women, ALA, as compared with placebo and EPA-DHA alone, was associated with a reduction in the rate of major cardiovascular events that approached significance (hazard ratio, 0.73; 95% CI, 0.51 to 1.03; P=0.07). The rate of adverse events did not differ significantly among the study groups. CONCLUSIONS Low-dose supplementation with EPA-DHA or ALA did not significantly reduce the rate of major cardiovascular events among patients who had had a myocardial infarction and who were receiving state-of-the-art antihypertensive, antithrombotic, and lipid-modifying therapy. (Funded by the Netherlands Heart Foundation and others; ClinicalTrials.go…","author":[{"dropping-particle":"","family":"Kromhout","given":"Daan","non-dropping-particle":"","parse-names":false,"suffix":""},{"dropping-particle":"","family":"Giltay","given":"Erik J","non-dropping-particle":"","parse-names":false,"suffix":""},{"dropping-particle":"","family":"Geleijnse","given":"Johanna M","non-dropping-particle":"","parse-names":false,"suffix":""},{"dropping-particle":"","family":"Alpha Omega Trial Group","given":"","non-dropping-particle":"","parse-names":false,"suffix":""}],"container-title":"The New England journal of medicine","id":"ITEM-2","issue":"21","issued":{"date-parts":[["2010","11","18"]]},"page":"2015-26","title":"n-3 fatty acids and cardiovascular events after myocardial infarction.","type":"article-journal","volume":"363"},"uris":["http://www.mendeley.com/documents/?uuid=8dc94e8e-c18f-437e-b2da-4459885e754d"]}],"mendeley":{"formattedCitation":"[14,22]","plainTextFormattedCitation":"[14,22]","previouslyFormattedCitation":"[14,22]"},"properties":{"noteIndex":0},"schema":"https://github.com/citation-style-language/schema/raw/master/csl-citation.json"}</w:instrText>
      </w:r>
      <w:r w:rsidR="004C640A" w:rsidRPr="00C40A28">
        <w:rPr>
          <w:rFonts w:ascii="Times New Roman" w:hAnsi="Times New Roman"/>
          <w:b w:val="0"/>
          <w:sz w:val="22"/>
          <w:szCs w:val="22"/>
          <w:lang w:val="en-US"/>
        </w:rPr>
        <w:fldChar w:fldCharType="separate"/>
      </w:r>
      <w:r w:rsidR="004C640A" w:rsidRPr="00C40A28">
        <w:rPr>
          <w:rFonts w:ascii="Times New Roman" w:hAnsi="Times New Roman"/>
          <w:b w:val="0"/>
          <w:noProof/>
          <w:sz w:val="22"/>
          <w:szCs w:val="22"/>
          <w:lang w:val="en-US"/>
        </w:rPr>
        <w:t>[14,22]</w:t>
      </w:r>
      <w:r w:rsidR="004C640A" w:rsidRPr="00C40A28">
        <w:rPr>
          <w:rFonts w:ascii="Times New Roman" w:hAnsi="Times New Roman"/>
          <w:b w:val="0"/>
          <w:sz w:val="22"/>
          <w:szCs w:val="22"/>
          <w:lang w:val="en-US"/>
        </w:rPr>
        <w:fldChar w:fldCharType="end"/>
      </w:r>
      <w:r w:rsidR="00542AEF" w:rsidRPr="00C40A28">
        <w:rPr>
          <w:rFonts w:ascii="Times New Roman" w:hAnsi="Times New Roman"/>
          <w:b w:val="0"/>
          <w:sz w:val="22"/>
          <w:szCs w:val="22"/>
          <w:lang w:val="en-US"/>
        </w:rPr>
        <w:t xml:space="preserve">, </w:t>
      </w:r>
      <w:r w:rsidR="00093977" w:rsidRPr="00C40A28">
        <w:rPr>
          <w:rFonts w:ascii="Times New Roman" w:hAnsi="Times New Roman"/>
          <w:b w:val="0"/>
          <w:bCs/>
          <w:sz w:val="22"/>
          <w:szCs w:val="22"/>
          <w:lang w:val="en-US" w:eastAsia="ja-JP"/>
        </w:rPr>
        <w:t xml:space="preserve">logistic regression </w:t>
      </w:r>
      <w:r w:rsidR="00BA215F" w:rsidRPr="00C40A28">
        <w:rPr>
          <w:rFonts w:ascii="Times New Roman" w:hAnsi="Times New Roman"/>
          <w:b w:val="0"/>
          <w:bCs/>
          <w:sz w:val="22"/>
          <w:szCs w:val="22"/>
          <w:lang w:val="en-US" w:eastAsia="ja-JP"/>
        </w:rPr>
        <w:t xml:space="preserve">was </w:t>
      </w:r>
      <w:r w:rsidR="00542AEF" w:rsidRPr="00C40A28">
        <w:rPr>
          <w:rFonts w:ascii="Times New Roman" w:hAnsi="Times New Roman"/>
          <w:b w:val="0"/>
          <w:bCs/>
          <w:sz w:val="22"/>
          <w:szCs w:val="22"/>
          <w:lang w:val="en-US" w:eastAsia="ja-JP"/>
        </w:rPr>
        <w:t>used</w:t>
      </w:r>
      <w:r w:rsidR="009D734B" w:rsidRPr="00C40A28">
        <w:rPr>
          <w:rFonts w:ascii="Times New Roman" w:hAnsi="Times New Roman"/>
          <w:b w:val="0"/>
          <w:bCs/>
          <w:sz w:val="22"/>
          <w:szCs w:val="22"/>
          <w:lang w:val="en-US" w:eastAsia="ja-JP"/>
        </w:rPr>
        <w:t xml:space="preserve"> as the </w:t>
      </w:r>
      <w:r w:rsidR="00E46E5B" w:rsidRPr="00C40A28">
        <w:rPr>
          <w:rFonts w:ascii="Times New Roman" w:hAnsi="Times New Roman"/>
          <w:b w:val="0"/>
          <w:bCs/>
          <w:sz w:val="22"/>
          <w:szCs w:val="22"/>
          <w:lang w:val="en-US" w:eastAsia="ja-JP"/>
        </w:rPr>
        <w:t>most efficient</w:t>
      </w:r>
      <w:r w:rsidR="009D734B" w:rsidRPr="00C40A28">
        <w:rPr>
          <w:rFonts w:ascii="Times New Roman" w:hAnsi="Times New Roman"/>
          <w:b w:val="0"/>
          <w:bCs/>
          <w:sz w:val="22"/>
          <w:szCs w:val="22"/>
          <w:lang w:val="en-US" w:eastAsia="ja-JP"/>
        </w:rPr>
        <w:t xml:space="preserve"> </w:t>
      </w:r>
      <w:r w:rsidR="00E46E5B" w:rsidRPr="00C40A28">
        <w:rPr>
          <w:rFonts w:ascii="Times New Roman" w:hAnsi="Times New Roman"/>
          <w:b w:val="0"/>
          <w:bCs/>
          <w:sz w:val="22"/>
          <w:szCs w:val="22"/>
          <w:lang w:val="en-US" w:eastAsia="ja-JP"/>
        </w:rPr>
        <w:t>approach to obtain</w:t>
      </w:r>
      <w:r w:rsidR="00672CAF" w:rsidRPr="00C40A28">
        <w:rPr>
          <w:rFonts w:ascii="Times New Roman" w:hAnsi="Times New Roman"/>
          <w:b w:val="0"/>
          <w:bCs/>
          <w:sz w:val="22"/>
          <w:szCs w:val="22"/>
          <w:lang w:val="en-US" w:eastAsia="ja-JP"/>
        </w:rPr>
        <w:t>ing</w:t>
      </w:r>
      <w:r w:rsidR="00E46E5B" w:rsidRPr="00C40A28">
        <w:rPr>
          <w:rFonts w:ascii="Times New Roman" w:hAnsi="Times New Roman"/>
          <w:b w:val="0"/>
          <w:bCs/>
          <w:sz w:val="22"/>
          <w:szCs w:val="22"/>
          <w:lang w:val="en-US" w:eastAsia="ja-JP"/>
        </w:rPr>
        <w:t xml:space="preserve"> estimates </w:t>
      </w:r>
      <w:r w:rsidR="00672CAF" w:rsidRPr="00C40A28">
        <w:rPr>
          <w:rFonts w:ascii="Times New Roman" w:hAnsi="Times New Roman"/>
          <w:b w:val="0"/>
          <w:bCs/>
          <w:sz w:val="22"/>
          <w:szCs w:val="22"/>
          <w:lang w:val="en-US" w:eastAsia="ja-JP"/>
        </w:rPr>
        <w:t xml:space="preserve">of interest </w:t>
      </w:r>
      <w:r w:rsidR="00E46E5B" w:rsidRPr="00C40A28">
        <w:rPr>
          <w:rFonts w:ascii="Times New Roman" w:hAnsi="Times New Roman"/>
          <w:b w:val="0"/>
          <w:bCs/>
          <w:sz w:val="22"/>
          <w:szCs w:val="22"/>
          <w:lang w:val="en-US" w:eastAsia="ja-JP"/>
        </w:rPr>
        <w:t xml:space="preserve">from the two </w:t>
      </w:r>
      <w:r w:rsidR="009D734B" w:rsidRPr="00C40A28">
        <w:rPr>
          <w:rFonts w:ascii="Times New Roman" w:hAnsi="Times New Roman"/>
          <w:b w:val="0"/>
          <w:bCs/>
          <w:sz w:val="22"/>
          <w:szCs w:val="22"/>
          <w:lang w:val="en-US" w:eastAsia="ja-JP"/>
        </w:rPr>
        <w:t>cohorts</w:t>
      </w:r>
      <w:r w:rsidR="00093977" w:rsidRPr="00C40A28">
        <w:rPr>
          <w:rFonts w:ascii="Times New Roman" w:hAnsi="Times New Roman"/>
          <w:b w:val="0"/>
          <w:bCs/>
          <w:sz w:val="22"/>
          <w:szCs w:val="22"/>
          <w:lang w:val="en-US" w:eastAsia="ja-JP"/>
        </w:rPr>
        <w:t>.</w:t>
      </w:r>
      <w:r w:rsidR="009F2A85" w:rsidRPr="00C40A28">
        <w:rPr>
          <w:rFonts w:ascii="Times New Roman" w:hAnsi="Times New Roman"/>
          <w:b w:val="0"/>
          <w:bCs/>
          <w:sz w:val="22"/>
          <w:szCs w:val="22"/>
          <w:lang w:val="en-US" w:eastAsia="ja-JP"/>
        </w:rPr>
        <w:t xml:space="preserve"> </w:t>
      </w:r>
      <w:r w:rsidR="00443B2D" w:rsidRPr="00C40A28">
        <w:rPr>
          <w:rFonts w:ascii="Times New Roman" w:hAnsi="Times New Roman"/>
          <w:b w:val="0"/>
          <w:bCs/>
          <w:sz w:val="22"/>
          <w:szCs w:val="22"/>
          <w:lang w:val="en-US" w:eastAsia="ja-JP"/>
        </w:rPr>
        <w:t>The fatty acid variables</w:t>
      </w:r>
      <w:r w:rsidR="00DD35F1" w:rsidRPr="00C40A28">
        <w:rPr>
          <w:rFonts w:ascii="Times New Roman" w:hAnsi="Times New Roman"/>
          <w:b w:val="0"/>
          <w:bCs/>
          <w:sz w:val="22"/>
          <w:szCs w:val="22"/>
          <w:lang w:val="en-US" w:eastAsia="ja-JP"/>
        </w:rPr>
        <w:t xml:space="preserve"> were evaluated </w:t>
      </w:r>
      <w:r w:rsidR="00C251A3" w:rsidRPr="00C40A28">
        <w:rPr>
          <w:rFonts w:ascii="Times New Roman" w:hAnsi="Times New Roman"/>
          <w:b w:val="0"/>
          <w:bCs/>
          <w:sz w:val="22"/>
          <w:szCs w:val="22"/>
          <w:lang w:val="en-US" w:eastAsia="ja-JP"/>
        </w:rPr>
        <w:t xml:space="preserve">as a continuous </w:t>
      </w:r>
      <w:r w:rsidR="00E07255" w:rsidRPr="00C40A28">
        <w:rPr>
          <w:rFonts w:ascii="Times New Roman" w:hAnsi="Times New Roman"/>
          <w:b w:val="0"/>
          <w:bCs/>
          <w:sz w:val="22"/>
          <w:szCs w:val="22"/>
          <w:lang w:val="en-US" w:eastAsia="ja-JP"/>
        </w:rPr>
        <w:t xml:space="preserve">linear </w:t>
      </w:r>
      <w:r w:rsidR="00C251A3" w:rsidRPr="00C40A28">
        <w:rPr>
          <w:rFonts w:ascii="Times New Roman" w:hAnsi="Times New Roman"/>
          <w:b w:val="0"/>
          <w:bCs/>
          <w:sz w:val="22"/>
          <w:szCs w:val="22"/>
          <w:lang w:val="en-US" w:eastAsia="ja-JP"/>
        </w:rPr>
        <w:t>variable</w:t>
      </w:r>
      <w:r w:rsidR="00C4154F" w:rsidRPr="00C40A28">
        <w:rPr>
          <w:rFonts w:ascii="Times New Roman" w:hAnsi="Times New Roman"/>
          <w:b w:val="0"/>
          <w:bCs/>
          <w:sz w:val="22"/>
          <w:szCs w:val="22"/>
          <w:lang w:val="en-US" w:eastAsia="ja-JP"/>
        </w:rPr>
        <w:t xml:space="preserve"> </w:t>
      </w:r>
      <w:r w:rsidR="00E07255" w:rsidRPr="00C40A28">
        <w:rPr>
          <w:rFonts w:ascii="Times New Roman" w:hAnsi="Times New Roman"/>
          <w:b w:val="0"/>
          <w:bCs/>
          <w:sz w:val="22"/>
          <w:szCs w:val="22"/>
          <w:lang w:val="en-US" w:eastAsia="ja-JP"/>
        </w:rPr>
        <w:t xml:space="preserve">in </w:t>
      </w:r>
      <w:r w:rsidR="00443B2D" w:rsidRPr="00C40A28">
        <w:rPr>
          <w:rFonts w:ascii="Times New Roman" w:hAnsi="Times New Roman"/>
          <w:b w:val="0"/>
          <w:bCs/>
          <w:sz w:val="22"/>
          <w:szCs w:val="22"/>
          <w:lang w:val="en-US" w:eastAsia="ja-JP"/>
        </w:rPr>
        <w:t>a unit</w:t>
      </w:r>
      <w:r w:rsidR="00E07255" w:rsidRPr="00C40A28">
        <w:rPr>
          <w:rFonts w:ascii="Times New Roman" w:hAnsi="Times New Roman"/>
          <w:b w:val="0"/>
          <w:bCs/>
          <w:sz w:val="22"/>
          <w:szCs w:val="22"/>
          <w:lang w:val="en-US" w:eastAsia="ja-JP"/>
        </w:rPr>
        <w:t xml:space="preserve"> of</w:t>
      </w:r>
      <w:r w:rsidR="00DD35F1" w:rsidRPr="00C40A28">
        <w:rPr>
          <w:rFonts w:ascii="Times New Roman" w:hAnsi="Times New Roman"/>
          <w:b w:val="0"/>
          <w:bCs/>
          <w:sz w:val="22"/>
          <w:szCs w:val="22"/>
          <w:lang w:val="en-US" w:eastAsia="ja-JP"/>
        </w:rPr>
        <w:t xml:space="preserve"> the</w:t>
      </w:r>
      <w:r w:rsidR="00C4154F" w:rsidRPr="00C40A28">
        <w:rPr>
          <w:rFonts w:ascii="Times New Roman" w:hAnsi="Times New Roman"/>
          <w:b w:val="0"/>
          <w:bCs/>
          <w:sz w:val="22"/>
          <w:szCs w:val="22"/>
          <w:lang w:val="en-US" w:eastAsia="ja-JP"/>
        </w:rPr>
        <w:t xml:space="preserve"> study-specific </w:t>
      </w:r>
      <w:r w:rsidR="004840D3" w:rsidRPr="00C40A28">
        <w:rPr>
          <w:rFonts w:ascii="Times New Roman" w:hAnsi="Times New Roman"/>
          <w:b w:val="0"/>
          <w:bCs/>
          <w:sz w:val="22"/>
          <w:szCs w:val="22"/>
          <w:lang w:val="en-US" w:eastAsia="ja-JP"/>
        </w:rPr>
        <w:t xml:space="preserve">interquintile </w:t>
      </w:r>
      <w:r w:rsidR="00240A1A" w:rsidRPr="00C40A28">
        <w:rPr>
          <w:rFonts w:ascii="Times New Roman" w:hAnsi="Times New Roman"/>
          <w:b w:val="0"/>
          <w:bCs/>
          <w:sz w:val="22"/>
          <w:szCs w:val="22"/>
          <w:lang w:val="en-US" w:eastAsia="ja-JP"/>
        </w:rPr>
        <w:t xml:space="preserve">range </w:t>
      </w:r>
      <w:r w:rsidR="004840D3" w:rsidRPr="00C40A28">
        <w:rPr>
          <w:rFonts w:ascii="Times New Roman" w:hAnsi="Times New Roman"/>
          <w:b w:val="0"/>
          <w:bCs/>
          <w:sz w:val="22"/>
          <w:szCs w:val="22"/>
          <w:lang w:val="en-US" w:eastAsia="ja-JP"/>
        </w:rPr>
        <w:t>(</w:t>
      </w:r>
      <w:r w:rsidR="00240A1A" w:rsidRPr="00C40A28">
        <w:rPr>
          <w:rFonts w:ascii="Times New Roman" w:hAnsi="Times New Roman"/>
          <w:b w:val="0"/>
          <w:bCs/>
          <w:sz w:val="22"/>
          <w:szCs w:val="22"/>
          <w:lang w:val="en-US" w:eastAsia="ja-JP"/>
        </w:rPr>
        <w:t xml:space="preserve">the </w:t>
      </w:r>
      <w:r w:rsidR="004840D3" w:rsidRPr="00C40A28">
        <w:rPr>
          <w:rFonts w:ascii="Times New Roman" w:hAnsi="Times New Roman"/>
          <w:b w:val="0"/>
          <w:bCs/>
          <w:sz w:val="22"/>
          <w:szCs w:val="22"/>
          <w:lang w:val="en-US" w:eastAsia="ja-JP"/>
        </w:rPr>
        <w:t xml:space="preserve">difference between the </w:t>
      </w:r>
      <w:r w:rsidR="00240A1A" w:rsidRPr="00C40A28">
        <w:rPr>
          <w:rFonts w:ascii="Times New Roman" w:hAnsi="Times New Roman"/>
          <w:b w:val="0"/>
          <w:bCs/>
          <w:sz w:val="22"/>
          <w:szCs w:val="22"/>
          <w:lang w:val="en-US" w:eastAsia="ja-JP"/>
        </w:rPr>
        <w:t>midpoints of the top and bottom quintiles</w:t>
      </w:r>
      <w:r w:rsidR="004840D3" w:rsidRPr="00C40A28">
        <w:rPr>
          <w:rFonts w:ascii="Times New Roman" w:hAnsi="Times New Roman"/>
          <w:b w:val="0"/>
          <w:bCs/>
          <w:sz w:val="22"/>
          <w:szCs w:val="22"/>
          <w:lang w:val="en-US" w:eastAsia="ja-JP"/>
        </w:rPr>
        <w:t>)</w:t>
      </w:r>
      <w:r w:rsidR="00240A1A" w:rsidRPr="00C40A28">
        <w:rPr>
          <w:rFonts w:ascii="Times New Roman" w:hAnsi="Times New Roman"/>
          <w:b w:val="0"/>
          <w:bCs/>
          <w:sz w:val="22"/>
          <w:szCs w:val="22"/>
          <w:lang w:val="en-US" w:eastAsia="ja-JP"/>
        </w:rPr>
        <w:t xml:space="preserve"> </w:t>
      </w:r>
      <w:r w:rsidR="00C251A3" w:rsidRPr="00C40A28">
        <w:rPr>
          <w:rFonts w:ascii="Times New Roman" w:hAnsi="Times New Roman"/>
          <w:b w:val="0"/>
          <w:bCs/>
          <w:sz w:val="22"/>
          <w:szCs w:val="22"/>
          <w:lang w:val="en-US" w:eastAsia="ja-JP"/>
        </w:rPr>
        <w:t xml:space="preserve">and, in a separate model, as categorical </w:t>
      </w:r>
      <w:r w:rsidR="004840D3" w:rsidRPr="00C40A28">
        <w:rPr>
          <w:rFonts w:ascii="Times New Roman" w:hAnsi="Times New Roman"/>
          <w:b w:val="0"/>
          <w:bCs/>
          <w:sz w:val="22"/>
          <w:szCs w:val="22"/>
          <w:lang w:val="en-US" w:eastAsia="ja-JP"/>
        </w:rPr>
        <w:t xml:space="preserve">indicator </w:t>
      </w:r>
      <w:r w:rsidR="00C251A3" w:rsidRPr="00C40A28">
        <w:rPr>
          <w:rFonts w:ascii="Times New Roman" w:hAnsi="Times New Roman"/>
          <w:b w:val="0"/>
          <w:bCs/>
          <w:sz w:val="22"/>
          <w:szCs w:val="22"/>
          <w:lang w:val="en-US" w:eastAsia="ja-JP"/>
        </w:rPr>
        <w:t>variable</w:t>
      </w:r>
      <w:r w:rsidR="004840D3" w:rsidRPr="00C40A28">
        <w:rPr>
          <w:rFonts w:ascii="Times New Roman" w:hAnsi="Times New Roman"/>
          <w:b w:val="0"/>
          <w:bCs/>
          <w:sz w:val="22"/>
          <w:szCs w:val="22"/>
          <w:lang w:val="en-US" w:eastAsia="ja-JP"/>
        </w:rPr>
        <w:t>s</w:t>
      </w:r>
      <w:r w:rsidR="00C251A3" w:rsidRPr="00C40A28">
        <w:rPr>
          <w:rFonts w:ascii="Times New Roman" w:hAnsi="Times New Roman"/>
          <w:b w:val="0"/>
          <w:bCs/>
          <w:sz w:val="22"/>
          <w:szCs w:val="22"/>
          <w:lang w:val="en-US" w:eastAsia="ja-JP"/>
        </w:rPr>
        <w:t xml:space="preserve"> (quintile categories</w:t>
      </w:r>
      <w:r w:rsidR="004840D3" w:rsidRPr="00C40A28">
        <w:rPr>
          <w:rFonts w:ascii="Times New Roman" w:hAnsi="Times New Roman"/>
          <w:b w:val="0"/>
          <w:bCs/>
          <w:sz w:val="22"/>
          <w:szCs w:val="22"/>
          <w:lang w:val="en-US" w:eastAsia="ja-JP"/>
        </w:rPr>
        <w:t>, with the lowest quintile as the reference</w:t>
      </w:r>
      <w:r w:rsidR="00C251A3" w:rsidRPr="00C40A28">
        <w:rPr>
          <w:rFonts w:ascii="Times New Roman" w:hAnsi="Times New Roman"/>
          <w:b w:val="0"/>
          <w:bCs/>
          <w:sz w:val="22"/>
          <w:szCs w:val="22"/>
          <w:lang w:val="en-US" w:eastAsia="ja-JP"/>
        </w:rPr>
        <w:t>)</w:t>
      </w:r>
      <w:r w:rsidR="00EC14FE" w:rsidRPr="00C40A28">
        <w:rPr>
          <w:rFonts w:ascii="Times New Roman" w:hAnsi="Times New Roman"/>
          <w:b w:val="0"/>
          <w:bCs/>
          <w:sz w:val="22"/>
          <w:szCs w:val="22"/>
          <w:lang w:val="en-US" w:eastAsia="ja-JP"/>
        </w:rPr>
        <w:t>.</w:t>
      </w:r>
      <w:r w:rsidR="00E46E5B" w:rsidRPr="00C40A28">
        <w:rPr>
          <w:rFonts w:ascii="Times New Roman" w:hAnsi="Times New Roman"/>
          <w:b w:val="0"/>
          <w:bCs/>
          <w:sz w:val="22"/>
          <w:szCs w:val="22"/>
          <w:lang w:val="en-US" w:eastAsia="ja-JP"/>
        </w:rPr>
        <w:t xml:space="preserve"> </w:t>
      </w:r>
      <w:r w:rsidR="00C30728" w:rsidRPr="00C40A28">
        <w:rPr>
          <w:rFonts w:ascii="Times New Roman" w:hAnsi="Times New Roman"/>
          <w:b w:val="0"/>
          <w:bCs/>
          <w:sz w:val="22"/>
          <w:szCs w:val="22"/>
          <w:lang w:val="en-US" w:eastAsia="ja-JP"/>
        </w:rPr>
        <w:t>We used an interquintile range and quintile categories in continuous and categorical approaches, respectively, because two approaches allowed estimation of the associations over the same exposure range and improvement of comparability between the two approaches</w:t>
      </w:r>
      <w:r w:rsidR="00C251A3" w:rsidRPr="00C40A28">
        <w:rPr>
          <w:rFonts w:ascii="Times New Roman" w:hAnsi="Times New Roman"/>
          <w:b w:val="0"/>
          <w:bCs/>
          <w:sz w:val="22"/>
          <w:szCs w:val="22"/>
          <w:lang w:val="en-US" w:eastAsia="ja-JP"/>
        </w:rPr>
        <w:t>.</w:t>
      </w:r>
    </w:p>
    <w:p w14:paraId="3E899BD7" w14:textId="64F30B73" w:rsidR="00EC6AF6" w:rsidRPr="00C40A28" w:rsidRDefault="0014625C" w:rsidP="006E5407">
      <w:pPr>
        <w:pStyle w:val="BodyTextIndent"/>
        <w:spacing w:line="480" w:lineRule="auto"/>
        <w:ind w:left="0" w:firstLine="720"/>
        <w:rPr>
          <w:rFonts w:ascii="Times New Roman" w:hAnsi="Times New Roman"/>
          <w:b w:val="0"/>
          <w:bCs/>
          <w:sz w:val="22"/>
          <w:szCs w:val="22"/>
          <w:lang w:val="en-US" w:eastAsia="ja-JP"/>
        </w:rPr>
      </w:pPr>
      <w:r w:rsidRPr="00C40A28">
        <w:rPr>
          <w:rFonts w:ascii="Times New Roman" w:hAnsi="Times New Roman"/>
          <w:b w:val="0"/>
          <w:bCs/>
          <w:sz w:val="22"/>
          <w:szCs w:val="22"/>
          <w:lang w:val="en-US" w:eastAsia="ja-JP"/>
        </w:rPr>
        <w:t>C</w:t>
      </w:r>
      <w:r w:rsidR="009F20CE" w:rsidRPr="00C40A28">
        <w:rPr>
          <w:rFonts w:ascii="Times New Roman" w:hAnsi="Times New Roman"/>
          <w:b w:val="0"/>
          <w:bCs/>
          <w:sz w:val="22"/>
          <w:szCs w:val="22"/>
          <w:lang w:val="en-US" w:eastAsia="ja-JP"/>
        </w:rPr>
        <w:t xml:space="preserve">ovariates </w:t>
      </w:r>
      <w:r w:rsidR="002C1908" w:rsidRPr="00C40A28">
        <w:rPr>
          <w:rFonts w:ascii="Times New Roman" w:hAnsi="Times New Roman"/>
          <w:b w:val="0"/>
          <w:bCs/>
          <w:sz w:val="22"/>
          <w:szCs w:val="22"/>
          <w:lang w:val="en-US" w:eastAsia="ja-JP"/>
        </w:rPr>
        <w:t>for statistical adjustment</w:t>
      </w:r>
      <w:r w:rsidRPr="00C40A28">
        <w:rPr>
          <w:rFonts w:ascii="Times New Roman" w:hAnsi="Times New Roman"/>
          <w:b w:val="0"/>
          <w:bCs/>
          <w:sz w:val="22"/>
          <w:szCs w:val="22"/>
          <w:lang w:val="en-US" w:eastAsia="ja-JP"/>
        </w:rPr>
        <w:t xml:space="preserve"> </w:t>
      </w:r>
      <w:r w:rsidR="009F20CE" w:rsidRPr="00C40A28">
        <w:rPr>
          <w:rFonts w:ascii="Times New Roman" w:hAnsi="Times New Roman"/>
          <w:b w:val="0"/>
          <w:bCs/>
          <w:sz w:val="22"/>
          <w:szCs w:val="22"/>
          <w:lang w:val="en-US" w:eastAsia="ja-JP"/>
        </w:rPr>
        <w:t xml:space="preserve">were </w:t>
      </w:r>
      <w:r w:rsidRPr="00C40A28">
        <w:rPr>
          <w:rFonts w:ascii="Times New Roman" w:hAnsi="Times New Roman"/>
          <w:b w:val="0"/>
          <w:bCs/>
          <w:sz w:val="22"/>
          <w:szCs w:val="22"/>
          <w:lang w:val="en-US" w:eastAsia="ja-JP"/>
        </w:rPr>
        <w:t>pre-</w:t>
      </w:r>
      <w:r w:rsidR="009F20CE" w:rsidRPr="00C40A28">
        <w:rPr>
          <w:rFonts w:ascii="Times New Roman" w:hAnsi="Times New Roman"/>
          <w:b w:val="0"/>
          <w:bCs/>
          <w:sz w:val="22"/>
          <w:szCs w:val="22"/>
          <w:lang w:val="en-US" w:eastAsia="ja-JP"/>
        </w:rPr>
        <w:t>specified</w:t>
      </w:r>
      <w:r w:rsidR="006B328E" w:rsidRPr="00C40A28">
        <w:rPr>
          <w:rFonts w:ascii="Times New Roman" w:hAnsi="Times New Roman"/>
          <w:b w:val="0"/>
          <w:bCs/>
          <w:sz w:val="22"/>
          <w:szCs w:val="22"/>
          <w:lang w:val="en-US" w:eastAsia="ja-JP"/>
        </w:rPr>
        <w:t>, including their categorization (e.g., continuous, quintiles, etc.)</w:t>
      </w:r>
      <w:r w:rsidR="00D36385" w:rsidRPr="00C40A28">
        <w:rPr>
          <w:rFonts w:ascii="Times New Roman" w:hAnsi="Times New Roman"/>
          <w:b w:val="0"/>
          <w:bCs/>
          <w:sz w:val="22"/>
          <w:szCs w:val="22"/>
          <w:lang w:val="en-US" w:eastAsia="ja-JP"/>
        </w:rPr>
        <w:t>.</w:t>
      </w:r>
      <w:r w:rsidR="009F20CE" w:rsidRPr="00C40A28">
        <w:rPr>
          <w:rFonts w:ascii="Times New Roman" w:hAnsi="Times New Roman"/>
          <w:b w:val="0"/>
          <w:bCs/>
          <w:sz w:val="22"/>
          <w:szCs w:val="22"/>
          <w:lang w:val="en-US" w:eastAsia="ja-JP"/>
        </w:rPr>
        <w:t xml:space="preserve"> </w:t>
      </w:r>
      <w:r w:rsidR="00363BC2">
        <w:rPr>
          <w:rFonts w:ascii="Times New Roman" w:hAnsi="Times New Roman"/>
          <w:b w:val="0"/>
          <w:bCs/>
          <w:sz w:val="22"/>
          <w:szCs w:val="22"/>
          <w:lang w:val="en-US" w:eastAsia="ja-JP"/>
        </w:rPr>
        <w:t xml:space="preserve">Each participating study pre-specified the use of </w:t>
      </w:r>
      <w:r w:rsidR="00824A66" w:rsidRPr="00C40A28">
        <w:rPr>
          <w:rFonts w:ascii="Times New Roman" w:hAnsi="Times New Roman"/>
          <w:b w:val="0"/>
          <w:bCs/>
          <w:sz w:val="22"/>
          <w:szCs w:val="22"/>
          <w:lang w:val="en-US" w:eastAsia="ja-JP"/>
        </w:rPr>
        <w:t xml:space="preserve">some </w:t>
      </w:r>
      <w:r w:rsidR="00363BC2">
        <w:rPr>
          <w:rFonts w:ascii="Times New Roman" w:hAnsi="Times New Roman"/>
          <w:b w:val="0"/>
          <w:bCs/>
          <w:sz w:val="22"/>
          <w:szCs w:val="22"/>
          <w:lang w:val="en-US" w:eastAsia="ja-JP"/>
        </w:rPr>
        <w:t xml:space="preserve">study-specific </w:t>
      </w:r>
      <w:r w:rsidR="00D36385" w:rsidRPr="00C40A28">
        <w:rPr>
          <w:rFonts w:ascii="Times New Roman" w:hAnsi="Times New Roman"/>
          <w:b w:val="0"/>
          <w:bCs/>
          <w:sz w:val="22"/>
          <w:szCs w:val="22"/>
          <w:lang w:val="en-US" w:eastAsia="ja-JP"/>
        </w:rPr>
        <w:t xml:space="preserve">covariates (e.g. </w:t>
      </w:r>
      <w:r w:rsidR="005966C4" w:rsidRPr="00C40A28">
        <w:rPr>
          <w:rFonts w:ascii="Times New Roman" w:hAnsi="Times New Roman"/>
          <w:b w:val="0"/>
          <w:bCs/>
          <w:sz w:val="22"/>
          <w:szCs w:val="22"/>
          <w:lang w:val="en-US" w:eastAsia="ja-JP"/>
        </w:rPr>
        <w:t xml:space="preserve">the </w:t>
      </w:r>
      <w:r w:rsidR="00D36385" w:rsidRPr="00C40A28">
        <w:rPr>
          <w:rFonts w:ascii="Times New Roman" w:hAnsi="Times New Roman"/>
          <w:b w:val="0"/>
          <w:bCs/>
          <w:sz w:val="22"/>
          <w:szCs w:val="22"/>
          <w:lang w:val="en-US" w:eastAsia="ja-JP"/>
        </w:rPr>
        <w:t xml:space="preserve">number of categories for education status), depending on availability. The primary </w:t>
      </w:r>
      <w:r w:rsidR="00D36385" w:rsidRPr="00C40A28">
        <w:rPr>
          <w:rFonts w:ascii="Times New Roman" w:hAnsi="Times New Roman"/>
          <w:b w:val="0"/>
          <w:bCs/>
          <w:sz w:val="22"/>
          <w:szCs w:val="22"/>
          <w:lang w:val="en-US" w:eastAsia="ja-JP"/>
        </w:rPr>
        <w:lastRenderedPageBreak/>
        <w:t xml:space="preserve">model </w:t>
      </w:r>
      <w:r w:rsidR="009F20CE" w:rsidRPr="00C40A28">
        <w:rPr>
          <w:rFonts w:ascii="Times New Roman" w:hAnsi="Times New Roman"/>
          <w:b w:val="0"/>
          <w:bCs/>
          <w:sz w:val="22"/>
          <w:szCs w:val="22"/>
          <w:lang w:val="en-US" w:eastAsia="ja-JP"/>
        </w:rPr>
        <w:t>include</w:t>
      </w:r>
      <w:r w:rsidR="00D36385" w:rsidRPr="00C40A28">
        <w:rPr>
          <w:rFonts w:ascii="Times New Roman" w:hAnsi="Times New Roman"/>
          <w:b w:val="0"/>
          <w:bCs/>
          <w:sz w:val="22"/>
          <w:szCs w:val="22"/>
          <w:lang w:val="en-US" w:eastAsia="ja-JP"/>
        </w:rPr>
        <w:t>d</w:t>
      </w:r>
      <w:r w:rsidR="009F20CE" w:rsidRPr="00C40A28">
        <w:rPr>
          <w:rFonts w:ascii="Times New Roman" w:hAnsi="Times New Roman"/>
          <w:b w:val="0"/>
          <w:bCs/>
          <w:sz w:val="22"/>
          <w:szCs w:val="22"/>
          <w:lang w:val="en-US" w:eastAsia="ja-JP"/>
        </w:rPr>
        <w:t xml:space="preserve"> </w:t>
      </w:r>
      <w:r w:rsidR="00363BC2" w:rsidRPr="00C40A28">
        <w:rPr>
          <w:rFonts w:ascii="Times New Roman" w:hAnsi="Times New Roman"/>
          <w:b w:val="0"/>
          <w:sz w:val="22"/>
          <w:szCs w:val="22"/>
          <w:lang w:val="en-US"/>
        </w:rPr>
        <w:t xml:space="preserve">field site, </w:t>
      </w:r>
      <w:r w:rsidRPr="00C40A28">
        <w:rPr>
          <w:rFonts w:ascii="Times New Roman" w:hAnsi="Times New Roman"/>
          <w:b w:val="0"/>
          <w:sz w:val="22"/>
          <w:szCs w:val="22"/>
          <w:lang w:val="en-US"/>
        </w:rPr>
        <w:t>age, sex, race</w:t>
      </w:r>
      <w:r w:rsidR="00363BC2">
        <w:rPr>
          <w:rFonts w:ascii="Times New Roman" w:hAnsi="Times New Roman"/>
          <w:b w:val="0"/>
          <w:sz w:val="22"/>
          <w:szCs w:val="22"/>
          <w:lang w:val="en-US"/>
        </w:rPr>
        <w:t>/ethnicity</w:t>
      </w:r>
      <w:r w:rsidRPr="00C40A28">
        <w:rPr>
          <w:rFonts w:ascii="Times New Roman" w:hAnsi="Times New Roman"/>
          <w:b w:val="0"/>
          <w:sz w:val="22"/>
          <w:szCs w:val="22"/>
          <w:lang w:val="en-US"/>
        </w:rPr>
        <w:t xml:space="preserve">, </w:t>
      </w:r>
      <w:r w:rsidR="00363BC2">
        <w:rPr>
          <w:rFonts w:ascii="Times New Roman" w:hAnsi="Times New Roman"/>
          <w:b w:val="0"/>
          <w:sz w:val="22"/>
          <w:szCs w:val="22"/>
          <w:lang w:val="en-US"/>
        </w:rPr>
        <w:t xml:space="preserve">occupation, </w:t>
      </w:r>
      <w:r w:rsidRPr="00C40A28">
        <w:rPr>
          <w:rFonts w:ascii="Times New Roman" w:hAnsi="Times New Roman"/>
          <w:b w:val="0"/>
          <w:sz w:val="22"/>
          <w:szCs w:val="22"/>
          <w:lang w:val="en-US"/>
        </w:rPr>
        <w:t xml:space="preserve">education, </w:t>
      </w:r>
      <w:r w:rsidR="00363BC2">
        <w:rPr>
          <w:rFonts w:ascii="Times New Roman" w:hAnsi="Times New Roman"/>
          <w:b w:val="0"/>
          <w:sz w:val="22"/>
          <w:szCs w:val="22"/>
          <w:lang w:val="en-US"/>
        </w:rPr>
        <w:t xml:space="preserve">smoking status, </w:t>
      </w:r>
      <w:r w:rsidRPr="00C40A28">
        <w:rPr>
          <w:rFonts w:ascii="Times New Roman" w:hAnsi="Times New Roman"/>
          <w:b w:val="0"/>
          <w:sz w:val="22"/>
          <w:szCs w:val="22"/>
          <w:lang w:val="en-US"/>
        </w:rPr>
        <w:t>physical activity</w:t>
      </w:r>
      <w:r w:rsidR="00542AEF" w:rsidRPr="00C40A28">
        <w:rPr>
          <w:rFonts w:ascii="Times New Roman" w:hAnsi="Times New Roman"/>
          <w:b w:val="0"/>
          <w:sz w:val="22"/>
          <w:szCs w:val="22"/>
          <w:lang w:val="en-US"/>
        </w:rPr>
        <w:t xml:space="preserve">, </w:t>
      </w:r>
      <w:r w:rsidRPr="00C40A28">
        <w:rPr>
          <w:rFonts w:ascii="Times New Roman" w:hAnsi="Times New Roman"/>
          <w:b w:val="0"/>
          <w:sz w:val="22"/>
          <w:szCs w:val="22"/>
          <w:lang w:val="en-US"/>
        </w:rPr>
        <w:t xml:space="preserve">alcohol </w:t>
      </w:r>
      <w:r w:rsidR="00363BC2">
        <w:rPr>
          <w:rFonts w:ascii="Times New Roman" w:hAnsi="Times New Roman"/>
          <w:b w:val="0"/>
          <w:sz w:val="22"/>
          <w:szCs w:val="22"/>
          <w:lang w:val="en-US"/>
        </w:rPr>
        <w:t>consumption</w:t>
      </w:r>
      <w:r w:rsidRPr="00C40A28">
        <w:rPr>
          <w:rFonts w:ascii="Times New Roman" w:hAnsi="Times New Roman"/>
          <w:b w:val="0"/>
          <w:sz w:val="22"/>
          <w:szCs w:val="22"/>
          <w:lang w:val="en-US"/>
        </w:rPr>
        <w:t>, prevalent hypertension (self-reported</w:t>
      </w:r>
      <w:r w:rsidR="00363BC2">
        <w:rPr>
          <w:rFonts w:ascii="Times New Roman" w:hAnsi="Times New Roman"/>
          <w:b w:val="0"/>
          <w:sz w:val="22"/>
          <w:szCs w:val="22"/>
          <w:lang w:val="en-US"/>
        </w:rPr>
        <w:t xml:space="preserve"> or treated</w:t>
      </w:r>
      <w:r w:rsidRPr="00C40A28">
        <w:rPr>
          <w:rFonts w:ascii="Times New Roman" w:hAnsi="Times New Roman"/>
          <w:b w:val="0"/>
          <w:sz w:val="22"/>
          <w:szCs w:val="22"/>
          <w:lang w:val="en-US"/>
        </w:rPr>
        <w:t xml:space="preserve">), prevalent </w:t>
      </w:r>
      <w:r w:rsidR="00353F5D" w:rsidRPr="00C40A28">
        <w:rPr>
          <w:rFonts w:ascii="Times New Roman" w:hAnsi="Times New Roman"/>
          <w:b w:val="0"/>
          <w:sz w:val="22"/>
          <w:szCs w:val="22"/>
          <w:lang w:val="en-US"/>
        </w:rPr>
        <w:t>dyslipid</w:t>
      </w:r>
      <w:r w:rsidR="003A2F15" w:rsidRPr="00C40A28">
        <w:rPr>
          <w:rFonts w:ascii="Times New Roman" w:hAnsi="Times New Roman"/>
          <w:b w:val="0"/>
          <w:sz w:val="22"/>
          <w:szCs w:val="22"/>
          <w:lang w:val="en-US"/>
        </w:rPr>
        <w:t>emia</w:t>
      </w:r>
      <w:r w:rsidR="00D8344E" w:rsidRPr="00C40A28">
        <w:rPr>
          <w:rFonts w:ascii="Times New Roman" w:hAnsi="Times New Roman"/>
          <w:b w:val="0"/>
          <w:sz w:val="22"/>
          <w:szCs w:val="22"/>
          <w:lang w:val="en-US"/>
        </w:rPr>
        <w:t xml:space="preserve"> (</w:t>
      </w:r>
      <w:r w:rsidRPr="00C40A28">
        <w:rPr>
          <w:rFonts w:ascii="Times New Roman" w:hAnsi="Times New Roman"/>
          <w:b w:val="0"/>
          <w:sz w:val="22"/>
          <w:szCs w:val="22"/>
          <w:lang w:val="en-US"/>
        </w:rPr>
        <w:t>self-reported</w:t>
      </w:r>
      <w:r w:rsidR="00363BC2">
        <w:rPr>
          <w:rFonts w:ascii="Times New Roman" w:hAnsi="Times New Roman"/>
          <w:b w:val="0"/>
          <w:sz w:val="22"/>
          <w:szCs w:val="22"/>
          <w:lang w:val="en-US"/>
        </w:rPr>
        <w:t xml:space="preserve"> or treated</w:t>
      </w:r>
      <w:r w:rsidRPr="00C40A28">
        <w:rPr>
          <w:rFonts w:ascii="Times New Roman" w:hAnsi="Times New Roman"/>
          <w:b w:val="0"/>
          <w:sz w:val="22"/>
          <w:szCs w:val="22"/>
          <w:lang w:val="en-US"/>
        </w:rPr>
        <w:t>), prevalent heart disease, and self-reported health status</w:t>
      </w:r>
      <w:r w:rsidRPr="00C40A28">
        <w:rPr>
          <w:rFonts w:ascii="Times New Roman" w:hAnsi="Times New Roman"/>
          <w:b w:val="0"/>
          <w:sz w:val="22"/>
          <w:szCs w:val="22"/>
          <w:lang w:val="en-US" w:eastAsia="ja-JP"/>
        </w:rPr>
        <w:t xml:space="preserve">. </w:t>
      </w:r>
      <w:r w:rsidR="0018750B" w:rsidRPr="00C40A28">
        <w:rPr>
          <w:rFonts w:ascii="Times New Roman" w:hAnsi="Times New Roman"/>
          <w:b w:val="0"/>
          <w:sz w:val="22"/>
          <w:szCs w:val="22"/>
          <w:lang w:val="en-US" w:eastAsia="ja-JP"/>
        </w:rPr>
        <w:t xml:space="preserve">The second model further adjusted </w:t>
      </w:r>
      <w:r w:rsidR="00526E1D" w:rsidRPr="00C40A28">
        <w:rPr>
          <w:rFonts w:ascii="Times New Roman" w:hAnsi="Times New Roman"/>
          <w:b w:val="0"/>
          <w:sz w:val="22"/>
          <w:szCs w:val="22"/>
          <w:lang w:val="en-US" w:eastAsia="ja-JP"/>
        </w:rPr>
        <w:t xml:space="preserve">for </w:t>
      </w:r>
      <w:r w:rsidR="005448A4" w:rsidRPr="00C40A28">
        <w:rPr>
          <w:rFonts w:ascii="Times New Roman" w:hAnsi="Times New Roman"/>
          <w:b w:val="0"/>
          <w:sz w:val="22"/>
          <w:szCs w:val="22"/>
          <w:lang w:val="en-US" w:eastAsia="ja-JP"/>
        </w:rPr>
        <w:t>a</w:t>
      </w:r>
      <w:r w:rsidRPr="00C40A28">
        <w:rPr>
          <w:rFonts w:ascii="Times New Roman" w:hAnsi="Times New Roman"/>
          <w:b w:val="0"/>
          <w:sz w:val="22"/>
          <w:szCs w:val="22"/>
          <w:lang w:val="en-US" w:eastAsia="ja-JP"/>
        </w:rPr>
        <w:t>diposity measures (</w:t>
      </w:r>
      <w:r w:rsidR="00BA215F" w:rsidRPr="00C40A28">
        <w:rPr>
          <w:rFonts w:ascii="Times New Roman" w:hAnsi="Times New Roman"/>
          <w:b w:val="0"/>
          <w:sz w:val="22"/>
          <w:szCs w:val="22"/>
          <w:lang w:val="en-US" w:eastAsia="ja-JP"/>
        </w:rPr>
        <w:t>body-mass index [</w:t>
      </w:r>
      <w:r w:rsidRPr="00C40A28">
        <w:rPr>
          <w:rFonts w:ascii="Times New Roman" w:hAnsi="Times New Roman"/>
          <w:b w:val="0"/>
          <w:sz w:val="22"/>
          <w:szCs w:val="22"/>
          <w:lang w:val="en-US" w:eastAsia="ja-JP"/>
        </w:rPr>
        <w:t>BMI</w:t>
      </w:r>
      <w:r w:rsidR="00BA215F" w:rsidRPr="00C40A28">
        <w:rPr>
          <w:rFonts w:ascii="Times New Roman" w:hAnsi="Times New Roman"/>
          <w:b w:val="0"/>
          <w:sz w:val="22"/>
          <w:szCs w:val="22"/>
          <w:lang w:val="en-US" w:eastAsia="ja-JP"/>
        </w:rPr>
        <w:t>]</w:t>
      </w:r>
      <w:r w:rsidRPr="00C40A28">
        <w:rPr>
          <w:rFonts w:ascii="Times New Roman" w:hAnsi="Times New Roman"/>
          <w:b w:val="0"/>
          <w:sz w:val="22"/>
          <w:szCs w:val="22"/>
          <w:lang w:val="en-US" w:eastAsia="ja-JP"/>
        </w:rPr>
        <w:t xml:space="preserve"> and waist circumference)</w:t>
      </w:r>
      <w:r w:rsidR="0018750B" w:rsidRPr="00C40A28">
        <w:rPr>
          <w:rFonts w:ascii="Times New Roman" w:hAnsi="Times New Roman"/>
          <w:b w:val="0"/>
          <w:sz w:val="22"/>
          <w:szCs w:val="22"/>
          <w:lang w:val="en-US" w:eastAsia="ja-JP"/>
        </w:rPr>
        <w:t xml:space="preserve">. </w:t>
      </w:r>
      <w:r w:rsidR="00EC6AF6" w:rsidRPr="00C40A28">
        <w:rPr>
          <w:rFonts w:ascii="Times New Roman" w:hAnsi="Times New Roman"/>
          <w:b w:val="0"/>
          <w:sz w:val="22"/>
          <w:szCs w:val="22"/>
          <w:lang w:val="en-US" w:eastAsia="ja-JP"/>
        </w:rPr>
        <w:t xml:space="preserve">For </w:t>
      </w:r>
      <w:r w:rsidR="004D2AC6" w:rsidRPr="00C40A28">
        <w:rPr>
          <w:rFonts w:ascii="Times New Roman" w:hAnsi="Times New Roman"/>
          <w:b w:val="0"/>
          <w:sz w:val="22"/>
          <w:szCs w:val="22"/>
          <w:lang w:val="en-US" w:eastAsia="ja-JP"/>
        </w:rPr>
        <w:t xml:space="preserve">the </w:t>
      </w:r>
      <w:r w:rsidR="00EC6AF6" w:rsidRPr="00C40A28">
        <w:rPr>
          <w:rFonts w:ascii="Times New Roman" w:hAnsi="Times New Roman"/>
          <w:b w:val="0"/>
          <w:sz w:val="22"/>
          <w:szCs w:val="22"/>
          <w:lang w:val="en-US" w:eastAsia="ja-JP"/>
        </w:rPr>
        <w:t xml:space="preserve">mechanistic investigation, </w:t>
      </w:r>
      <w:r w:rsidR="00567831" w:rsidRPr="00C40A28">
        <w:rPr>
          <w:rFonts w:ascii="Times New Roman" w:hAnsi="Times New Roman"/>
          <w:b w:val="0"/>
          <w:sz w:val="22"/>
          <w:szCs w:val="22"/>
          <w:lang w:val="en-US" w:eastAsia="ja-JP"/>
        </w:rPr>
        <w:t>the third model</w:t>
      </w:r>
      <w:r w:rsidR="00EC6AF6" w:rsidRPr="00C40A28">
        <w:rPr>
          <w:rFonts w:ascii="Times New Roman" w:hAnsi="Times New Roman"/>
          <w:b w:val="0"/>
          <w:sz w:val="22"/>
          <w:szCs w:val="22"/>
          <w:lang w:val="en-US" w:eastAsia="ja-JP"/>
        </w:rPr>
        <w:t xml:space="preserve"> </w:t>
      </w:r>
      <w:r w:rsidR="00567831" w:rsidRPr="00C40A28">
        <w:rPr>
          <w:rFonts w:ascii="Times New Roman" w:hAnsi="Times New Roman"/>
          <w:b w:val="0"/>
          <w:sz w:val="22"/>
          <w:szCs w:val="22"/>
          <w:lang w:val="en-US" w:eastAsia="ja-JP"/>
        </w:rPr>
        <w:t xml:space="preserve">further </w:t>
      </w:r>
      <w:r w:rsidR="0018750B" w:rsidRPr="00C40A28">
        <w:rPr>
          <w:rFonts w:ascii="Times New Roman" w:hAnsi="Times New Roman"/>
          <w:b w:val="0"/>
          <w:sz w:val="22"/>
          <w:szCs w:val="22"/>
          <w:lang w:val="en-US" w:eastAsia="ja-JP"/>
        </w:rPr>
        <w:t>adjusted for cir</w:t>
      </w:r>
      <w:r w:rsidR="009B7DAD" w:rsidRPr="00C40A28">
        <w:rPr>
          <w:rFonts w:ascii="Times New Roman" w:hAnsi="Times New Roman"/>
          <w:b w:val="0"/>
          <w:sz w:val="22"/>
          <w:szCs w:val="22"/>
          <w:lang w:val="en-US" w:eastAsia="ja-JP"/>
        </w:rPr>
        <w:t xml:space="preserve">culating 16:0 (for analysis of </w:t>
      </w:r>
      <w:r w:rsidR="0018750B" w:rsidRPr="00C40A28">
        <w:rPr>
          <w:rFonts w:ascii="Times New Roman" w:hAnsi="Times New Roman"/>
          <w:b w:val="0"/>
          <w:sz w:val="22"/>
          <w:szCs w:val="22"/>
          <w:lang w:val="en-US" w:eastAsia="ja-JP"/>
        </w:rPr>
        <w:t>16:1n7, 18:0, and 18:1n9) and triglycerides</w:t>
      </w:r>
      <w:r w:rsidR="00443B2D" w:rsidRPr="00C40A28">
        <w:rPr>
          <w:rFonts w:ascii="Times New Roman" w:hAnsi="Times New Roman"/>
          <w:b w:val="0"/>
          <w:sz w:val="22"/>
          <w:szCs w:val="22"/>
          <w:lang w:val="en-US" w:eastAsia="ja-JP"/>
        </w:rPr>
        <w:t xml:space="preserve"> to assess </w:t>
      </w:r>
      <w:r w:rsidR="00EC6AF6" w:rsidRPr="00C40A28">
        <w:rPr>
          <w:rFonts w:ascii="Times New Roman" w:hAnsi="Times New Roman"/>
          <w:b w:val="0"/>
          <w:sz w:val="22"/>
          <w:szCs w:val="22"/>
          <w:lang w:val="en-US" w:eastAsia="ja-JP"/>
        </w:rPr>
        <w:t>whether associations of</w:t>
      </w:r>
      <w:r w:rsidR="00443B2D" w:rsidRPr="00C40A28">
        <w:rPr>
          <w:rFonts w:ascii="Times New Roman" w:hAnsi="Times New Roman"/>
          <w:b w:val="0"/>
          <w:sz w:val="22"/>
          <w:szCs w:val="22"/>
          <w:lang w:val="en-US" w:eastAsia="ja-JP"/>
        </w:rPr>
        <w:t xml:space="preserve"> </w:t>
      </w:r>
      <w:r w:rsidR="0018750B" w:rsidRPr="00C40A28">
        <w:rPr>
          <w:rFonts w:ascii="Times New Roman" w:hAnsi="Times New Roman"/>
          <w:b w:val="0"/>
          <w:sz w:val="22"/>
          <w:szCs w:val="22"/>
          <w:lang w:val="en-US" w:eastAsia="ja-JP"/>
        </w:rPr>
        <w:t xml:space="preserve">16:1n7, 18:0, and 18:1n9 with incident </w:t>
      </w:r>
      <w:r w:rsidR="00EC6AF6" w:rsidRPr="00C40A28">
        <w:rPr>
          <w:rFonts w:ascii="Times New Roman" w:hAnsi="Times New Roman"/>
          <w:b w:val="0"/>
          <w:sz w:val="22"/>
          <w:szCs w:val="22"/>
          <w:lang w:val="en-US" w:eastAsia="ja-JP"/>
        </w:rPr>
        <w:t xml:space="preserve">T2D would be </w:t>
      </w:r>
      <w:r w:rsidR="0018750B" w:rsidRPr="00C40A28">
        <w:rPr>
          <w:rFonts w:ascii="Times New Roman" w:hAnsi="Times New Roman"/>
          <w:b w:val="0"/>
          <w:sz w:val="22"/>
          <w:szCs w:val="22"/>
          <w:lang w:val="en-US" w:eastAsia="ja-JP"/>
        </w:rPr>
        <w:t xml:space="preserve">independent of 16:0 </w:t>
      </w:r>
      <w:r w:rsidR="00EC6AF6" w:rsidRPr="00C40A28">
        <w:rPr>
          <w:rFonts w:ascii="Times New Roman" w:hAnsi="Times New Roman"/>
          <w:b w:val="0"/>
          <w:sz w:val="22"/>
          <w:szCs w:val="22"/>
          <w:lang w:val="en-US" w:eastAsia="ja-JP"/>
        </w:rPr>
        <w:t>a</w:t>
      </w:r>
      <w:r w:rsidR="0018750B" w:rsidRPr="00C40A28">
        <w:rPr>
          <w:rFonts w:ascii="Times New Roman" w:hAnsi="Times New Roman"/>
          <w:b w:val="0"/>
          <w:sz w:val="22"/>
          <w:szCs w:val="22"/>
          <w:lang w:val="en-US" w:eastAsia="ja-JP"/>
        </w:rPr>
        <w:t>nd triglycerides</w:t>
      </w:r>
      <w:r w:rsidR="00EC6AF6" w:rsidRPr="00C40A28">
        <w:rPr>
          <w:rFonts w:ascii="Times New Roman" w:hAnsi="Times New Roman"/>
          <w:b w:val="0"/>
          <w:sz w:val="22"/>
          <w:szCs w:val="22"/>
          <w:lang w:val="en-US" w:eastAsia="ja-JP"/>
        </w:rPr>
        <w:t xml:space="preserve">; and </w:t>
      </w:r>
      <w:r w:rsidR="00293225" w:rsidRPr="00C40A28">
        <w:rPr>
          <w:rFonts w:ascii="Times New Roman" w:hAnsi="Times New Roman"/>
          <w:b w:val="0"/>
          <w:sz w:val="22"/>
          <w:szCs w:val="22"/>
          <w:lang w:val="en-US" w:eastAsia="ja-JP"/>
        </w:rPr>
        <w:t xml:space="preserve">for analysis </w:t>
      </w:r>
      <w:r w:rsidR="00EC6AF6" w:rsidRPr="00C40A28">
        <w:rPr>
          <w:rFonts w:ascii="Times New Roman" w:hAnsi="Times New Roman"/>
          <w:b w:val="0"/>
          <w:sz w:val="22"/>
          <w:szCs w:val="22"/>
          <w:lang w:val="en-US" w:eastAsia="ja-JP"/>
        </w:rPr>
        <w:t xml:space="preserve">of 16:0, </w:t>
      </w:r>
      <w:r w:rsidR="00033B22" w:rsidRPr="00C40A28">
        <w:rPr>
          <w:rFonts w:ascii="Times New Roman" w:hAnsi="Times New Roman"/>
          <w:b w:val="0"/>
          <w:sz w:val="22"/>
          <w:szCs w:val="22"/>
          <w:lang w:val="en-US" w:eastAsia="ja-JP"/>
        </w:rPr>
        <w:t xml:space="preserve">of </w:t>
      </w:r>
      <w:r w:rsidR="00EC6AF6" w:rsidRPr="00C40A28">
        <w:rPr>
          <w:rFonts w:ascii="Times New Roman" w:hAnsi="Times New Roman"/>
          <w:b w:val="0"/>
          <w:sz w:val="22"/>
          <w:szCs w:val="22"/>
          <w:lang w:val="en-US" w:eastAsia="ja-JP"/>
        </w:rPr>
        <w:t>triglycerides</w:t>
      </w:r>
      <w:r w:rsidRPr="00C40A28">
        <w:rPr>
          <w:rFonts w:ascii="Times New Roman" w:hAnsi="Times New Roman"/>
          <w:b w:val="0"/>
          <w:sz w:val="22"/>
          <w:szCs w:val="22"/>
          <w:lang w:val="en-US" w:eastAsia="ja-JP"/>
        </w:rPr>
        <w:t>.</w:t>
      </w:r>
      <w:r w:rsidR="004E7AE7" w:rsidRPr="00C40A28">
        <w:rPr>
          <w:rFonts w:ascii="Times New Roman" w:hAnsi="Times New Roman"/>
          <w:b w:val="0"/>
          <w:bCs/>
          <w:sz w:val="22"/>
          <w:szCs w:val="22"/>
          <w:lang w:val="en-US" w:eastAsia="ja-JP"/>
        </w:rPr>
        <w:t xml:space="preserve"> </w:t>
      </w:r>
    </w:p>
    <w:p w14:paraId="45D4252C" w14:textId="5B0B2EC4" w:rsidR="00240CA9" w:rsidRPr="00C40A28" w:rsidRDefault="001552C4" w:rsidP="006E5407">
      <w:pPr>
        <w:pStyle w:val="BodyTextIndent"/>
        <w:spacing w:line="480" w:lineRule="auto"/>
        <w:ind w:left="0" w:firstLine="720"/>
        <w:rPr>
          <w:rFonts w:ascii="Times New Roman" w:hAnsi="Times New Roman"/>
          <w:b w:val="0"/>
          <w:bCs/>
          <w:sz w:val="22"/>
          <w:szCs w:val="22"/>
          <w:lang w:val="en-US" w:eastAsia="ja-JP"/>
        </w:rPr>
      </w:pPr>
      <w:r w:rsidRPr="00C40A28">
        <w:rPr>
          <w:rFonts w:ascii="Times New Roman" w:hAnsi="Times New Roman"/>
          <w:b w:val="0"/>
          <w:bCs/>
          <w:sz w:val="22"/>
          <w:szCs w:val="22"/>
          <w:lang w:val="en-US" w:eastAsia="ja-JP"/>
        </w:rPr>
        <w:t>W</w:t>
      </w:r>
      <w:r w:rsidR="004E7AE7" w:rsidRPr="00C40A28">
        <w:rPr>
          <w:rFonts w:ascii="Times New Roman" w:hAnsi="Times New Roman"/>
          <w:b w:val="0"/>
          <w:bCs/>
          <w:sz w:val="22"/>
          <w:szCs w:val="22"/>
          <w:lang w:val="en-US" w:eastAsia="ja-JP"/>
        </w:rPr>
        <w:t xml:space="preserve">e </w:t>
      </w:r>
      <w:r w:rsidR="00363BC2">
        <w:rPr>
          <w:rFonts w:ascii="Times New Roman" w:hAnsi="Times New Roman"/>
          <w:b w:val="0"/>
          <w:bCs/>
          <w:sz w:val="22"/>
          <w:szCs w:val="22"/>
          <w:lang w:val="en-US" w:eastAsia="ja-JP"/>
        </w:rPr>
        <w:t xml:space="preserve">assessed </w:t>
      </w:r>
      <w:r w:rsidR="004E7AE7" w:rsidRPr="00C40A28">
        <w:rPr>
          <w:rFonts w:ascii="Times New Roman" w:hAnsi="Times New Roman"/>
          <w:b w:val="0"/>
          <w:bCs/>
          <w:sz w:val="22"/>
          <w:szCs w:val="22"/>
          <w:lang w:val="en-US" w:eastAsia="ja-JP"/>
        </w:rPr>
        <w:t xml:space="preserve">study-specific measures of </w:t>
      </w:r>
      <w:r w:rsidR="00567831" w:rsidRPr="00C40A28">
        <w:rPr>
          <w:rFonts w:ascii="Times New Roman" w:hAnsi="Times New Roman"/>
          <w:b w:val="0"/>
          <w:bCs/>
          <w:sz w:val="22"/>
          <w:szCs w:val="22"/>
          <w:lang w:val="en-US" w:eastAsia="ja-JP"/>
        </w:rPr>
        <w:t>interaction</w:t>
      </w:r>
      <w:r w:rsidR="004E7AE7" w:rsidRPr="00C40A28">
        <w:rPr>
          <w:rFonts w:ascii="Times New Roman" w:hAnsi="Times New Roman"/>
          <w:b w:val="0"/>
          <w:bCs/>
          <w:sz w:val="22"/>
          <w:szCs w:val="22"/>
          <w:lang w:val="en-US" w:eastAsia="ja-JP"/>
        </w:rPr>
        <w:t xml:space="preserve"> by age, sex, BMI, and race/ethnic</w:t>
      </w:r>
      <w:r w:rsidR="006B328E" w:rsidRPr="00C40A28">
        <w:rPr>
          <w:rFonts w:ascii="Times New Roman" w:hAnsi="Times New Roman"/>
          <w:b w:val="0"/>
          <w:bCs/>
          <w:sz w:val="22"/>
          <w:szCs w:val="22"/>
          <w:lang w:val="en-US" w:eastAsia="ja-JP"/>
        </w:rPr>
        <w:t xml:space="preserve">ity </w:t>
      </w:r>
      <w:r w:rsidRPr="00C40A28">
        <w:rPr>
          <w:rFonts w:ascii="Times New Roman" w:hAnsi="Times New Roman"/>
          <w:b w:val="0"/>
          <w:bCs/>
          <w:sz w:val="22"/>
          <w:szCs w:val="22"/>
          <w:lang w:val="en-US" w:eastAsia="ja-JP"/>
        </w:rPr>
        <w:t xml:space="preserve">using the second model that adjusted for potential confounders including the adiposity measures. </w:t>
      </w:r>
      <w:r w:rsidR="006B328E" w:rsidRPr="00C40A28">
        <w:rPr>
          <w:rFonts w:ascii="Times New Roman" w:hAnsi="Times New Roman"/>
          <w:b w:val="0"/>
          <w:bCs/>
          <w:sz w:val="22"/>
          <w:szCs w:val="22"/>
          <w:lang w:val="en-US" w:eastAsia="ja-JP"/>
        </w:rPr>
        <w:t xml:space="preserve">Each </w:t>
      </w:r>
      <w:r w:rsidR="00311ED8" w:rsidRPr="00C40A28">
        <w:rPr>
          <w:rFonts w:ascii="Times New Roman" w:hAnsi="Times New Roman"/>
          <w:b w:val="0"/>
          <w:bCs/>
          <w:sz w:val="22"/>
          <w:szCs w:val="22"/>
          <w:lang w:val="en-US" w:eastAsia="ja-JP"/>
        </w:rPr>
        <w:t xml:space="preserve">fatty acid, </w:t>
      </w:r>
      <w:r w:rsidR="00FF22AB" w:rsidRPr="00C40A28">
        <w:rPr>
          <w:rFonts w:ascii="Times New Roman" w:hAnsi="Times New Roman"/>
          <w:b w:val="0"/>
          <w:bCs/>
          <w:sz w:val="22"/>
          <w:szCs w:val="22"/>
          <w:lang w:val="en-US" w:eastAsia="ja-JP"/>
        </w:rPr>
        <w:t xml:space="preserve">these </w:t>
      </w:r>
      <w:r w:rsidR="00311ED8" w:rsidRPr="00C40A28">
        <w:rPr>
          <w:rFonts w:ascii="Times New Roman" w:hAnsi="Times New Roman"/>
          <w:b w:val="0"/>
          <w:bCs/>
          <w:sz w:val="22"/>
          <w:szCs w:val="22"/>
          <w:lang w:val="en-US" w:eastAsia="ja-JP"/>
        </w:rPr>
        <w:t xml:space="preserve">pre-specified </w:t>
      </w:r>
      <w:r w:rsidR="00660475" w:rsidRPr="00C40A28">
        <w:rPr>
          <w:rFonts w:ascii="Times New Roman" w:hAnsi="Times New Roman"/>
          <w:b w:val="0"/>
          <w:bCs/>
          <w:sz w:val="22"/>
          <w:szCs w:val="22"/>
          <w:lang w:val="en-US" w:eastAsia="ja-JP"/>
        </w:rPr>
        <w:t>potential effect modifiers</w:t>
      </w:r>
      <w:r w:rsidR="00311ED8" w:rsidRPr="00C40A28">
        <w:rPr>
          <w:rFonts w:ascii="Times New Roman" w:hAnsi="Times New Roman"/>
          <w:b w:val="0"/>
          <w:bCs/>
          <w:sz w:val="22"/>
          <w:szCs w:val="22"/>
          <w:lang w:val="en-US" w:eastAsia="ja-JP"/>
        </w:rPr>
        <w:t>, and their relevant cross-product terms</w:t>
      </w:r>
      <w:r w:rsidR="00FF22AB" w:rsidRPr="00C40A28">
        <w:rPr>
          <w:rFonts w:ascii="Times New Roman" w:hAnsi="Times New Roman"/>
          <w:b w:val="0"/>
          <w:bCs/>
          <w:sz w:val="22"/>
          <w:szCs w:val="22"/>
          <w:lang w:val="en-US" w:eastAsia="ja-JP"/>
        </w:rPr>
        <w:t xml:space="preserve"> </w:t>
      </w:r>
      <w:r w:rsidR="00033B22" w:rsidRPr="00C40A28">
        <w:rPr>
          <w:rFonts w:ascii="Times New Roman" w:hAnsi="Times New Roman"/>
          <w:b w:val="0"/>
          <w:bCs/>
          <w:sz w:val="22"/>
          <w:szCs w:val="22"/>
          <w:lang w:val="en-US" w:eastAsia="ja-JP"/>
        </w:rPr>
        <w:t xml:space="preserve">and variance-covariance measures </w:t>
      </w:r>
      <w:r w:rsidR="00FF22AB" w:rsidRPr="00C40A28">
        <w:rPr>
          <w:rFonts w:ascii="Times New Roman" w:hAnsi="Times New Roman"/>
          <w:b w:val="0"/>
          <w:bCs/>
          <w:sz w:val="22"/>
          <w:szCs w:val="22"/>
          <w:lang w:val="en-US" w:eastAsia="ja-JP"/>
        </w:rPr>
        <w:t xml:space="preserve">were </w:t>
      </w:r>
      <w:r w:rsidR="005A0551" w:rsidRPr="00C40A28">
        <w:rPr>
          <w:rFonts w:ascii="Times New Roman" w:hAnsi="Times New Roman"/>
          <w:b w:val="0"/>
          <w:bCs/>
          <w:sz w:val="22"/>
          <w:szCs w:val="22"/>
          <w:lang w:val="en-US" w:eastAsia="ja-JP"/>
        </w:rPr>
        <w:t>analyzed</w:t>
      </w:r>
      <w:r w:rsidR="00FF22AB" w:rsidRPr="00C40A28">
        <w:rPr>
          <w:rFonts w:ascii="Times New Roman" w:hAnsi="Times New Roman"/>
          <w:b w:val="0"/>
          <w:bCs/>
          <w:sz w:val="22"/>
          <w:szCs w:val="22"/>
          <w:lang w:val="en-US" w:eastAsia="ja-JP"/>
        </w:rPr>
        <w:t xml:space="preserve"> to evaluate the </w:t>
      </w:r>
      <w:r w:rsidR="00033B22" w:rsidRPr="00C40A28">
        <w:rPr>
          <w:rFonts w:ascii="Times New Roman" w:hAnsi="Times New Roman"/>
          <w:b w:val="0"/>
          <w:bCs/>
          <w:sz w:val="22"/>
          <w:szCs w:val="22"/>
          <w:lang w:val="en-US" w:eastAsia="ja-JP"/>
        </w:rPr>
        <w:t xml:space="preserve">potential interaction within each </w:t>
      </w:r>
      <w:r w:rsidR="00960EB4" w:rsidRPr="00C40A28">
        <w:rPr>
          <w:rFonts w:ascii="Times New Roman" w:hAnsi="Times New Roman"/>
          <w:b w:val="0"/>
          <w:bCs/>
          <w:sz w:val="22"/>
          <w:szCs w:val="22"/>
          <w:lang w:val="en-US" w:eastAsia="ja-JP"/>
        </w:rPr>
        <w:t>cohort</w:t>
      </w:r>
      <w:r w:rsidR="00033B22" w:rsidRPr="00C40A28">
        <w:rPr>
          <w:rFonts w:ascii="Times New Roman" w:hAnsi="Times New Roman"/>
          <w:b w:val="0"/>
          <w:bCs/>
          <w:sz w:val="22"/>
          <w:szCs w:val="22"/>
          <w:lang w:val="en-US" w:eastAsia="ja-JP"/>
        </w:rPr>
        <w:t>.</w:t>
      </w:r>
      <w:r w:rsidR="004E7AE7" w:rsidRPr="00C40A28">
        <w:rPr>
          <w:rFonts w:ascii="Times New Roman" w:hAnsi="Times New Roman"/>
          <w:b w:val="0"/>
          <w:bCs/>
          <w:sz w:val="22"/>
          <w:szCs w:val="22"/>
          <w:lang w:val="en-US" w:eastAsia="ja-JP"/>
        </w:rPr>
        <w:t xml:space="preserve"> </w:t>
      </w:r>
    </w:p>
    <w:p w14:paraId="76A2DBED" w14:textId="77777777" w:rsidR="006E6FD6" w:rsidRPr="00C40A28" w:rsidRDefault="006E6FD6" w:rsidP="001D0C06">
      <w:pPr>
        <w:pStyle w:val="BodyTextIndent"/>
        <w:spacing w:line="480" w:lineRule="auto"/>
        <w:ind w:left="0" w:firstLine="0"/>
        <w:rPr>
          <w:rFonts w:ascii="Times New Roman" w:hAnsi="Times New Roman"/>
          <w:b w:val="0"/>
          <w:bCs/>
          <w:sz w:val="22"/>
          <w:szCs w:val="22"/>
          <w:lang w:val="en-US" w:eastAsia="ja-JP"/>
        </w:rPr>
      </w:pPr>
    </w:p>
    <w:p w14:paraId="60DC1638" w14:textId="41D3444F" w:rsidR="00BA215F" w:rsidRPr="00C40A28" w:rsidRDefault="00033B22" w:rsidP="001D0C06">
      <w:pPr>
        <w:pStyle w:val="BodyTextIndent"/>
        <w:spacing w:line="480" w:lineRule="auto"/>
        <w:ind w:left="0" w:firstLine="0"/>
        <w:rPr>
          <w:rFonts w:ascii="Times New Roman" w:hAnsi="Times New Roman"/>
          <w:b w:val="0"/>
          <w:bCs/>
          <w:i/>
          <w:sz w:val="22"/>
          <w:szCs w:val="22"/>
          <w:lang w:val="en-US" w:eastAsia="ja-JP"/>
        </w:rPr>
      </w:pPr>
      <w:r w:rsidRPr="00C40A28">
        <w:rPr>
          <w:rFonts w:ascii="Times New Roman" w:hAnsi="Times New Roman"/>
          <w:b w:val="0"/>
          <w:bCs/>
          <w:i/>
          <w:sz w:val="22"/>
          <w:szCs w:val="22"/>
          <w:lang w:val="en-US" w:eastAsia="ja-JP"/>
        </w:rPr>
        <w:t>Pooled</w:t>
      </w:r>
      <w:r w:rsidR="006068ED" w:rsidRPr="00C40A28">
        <w:rPr>
          <w:rFonts w:ascii="Times New Roman" w:hAnsi="Times New Roman"/>
          <w:b w:val="0"/>
          <w:bCs/>
          <w:i/>
          <w:sz w:val="22"/>
          <w:szCs w:val="22"/>
          <w:lang w:val="en-US" w:eastAsia="ja-JP"/>
        </w:rPr>
        <w:t>-analys</w:t>
      </w:r>
      <w:r w:rsidR="009B2830" w:rsidRPr="00C40A28">
        <w:rPr>
          <w:rFonts w:ascii="Times New Roman" w:hAnsi="Times New Roman"/>
          <w:b w:val="0"/>
          <w:bCs/>
          <w:i/>
          <w:sz w:val="22"/>
          <w:szCs w:val="22"/>
          <w:lang w:val="en-US" w:eastAsia="ja-JP"/>
        </w:rPr>
        <w:t>e</w:t>
      </w:r>
      <w:r w:rsidR="006068ED" w:rsidRPr="00C40A28">
        <w:rPr>
          <w:rFonts w:ascii="Times New Roman" w:hAnsi="Times New Roman"/>
          <w:b w:val="0"/>
          <w:bCs/>
          <w:i/>
          <w:sz w:val="22"/>
          <w:szCs w:val="22"/>
          <w:lang w:val="en-US" w:eastAsia="ja-JP"/>
        </w:rPr>
        <w:t>s</w:t>
      </w:r>
    </w:p>
    <w:p w14:paraId="493EEEB7" w14:textId="47D77AAD" w:rsidR="006E5407" w:rsidRPr="00C40A28" w:rsidRDefault="00BA215F" w:rsidP="006E5407">
      <w:pPr>
        <w:pStyle w:val="BodyTextIndent"/>
        <w:spacing w:line="480" w:lineRule="auto"/>
        <w:ind w:left="0" w:firstLine="720"/>
        <w:rPr>
          <w:rFonts w:ascii="Times New Roman" w:hAnsi="Times New Roman"/>
          <w:b w:val="0"/>
          <w:bCs/>
          <w:sz w:val="22"/>
          <w:szCs w:val="22"/>
          <w:lang w:val="en-US" w:eastAsia="ja-JP"/>
        </w:rPr>
      </w:pPr>
      <w:r w:rsidRPr="00C40A28">
        <w:rPr>
          <w:rFonts w:ascii="Times New Roman" w:hAnsi="Times New Roman"/>
          <w:b w:val="0"/>
          <w:bCs/>
          <w:sz w:val="22"/>
          <w:szCs w:val="22"/>
          <w:lang w:val="en-US" w:eastAsia="ja-JP"/>
        </w:rPr>
        <w:t>Study-specific regression coefficients</w:t>
      </w:r>
      <w:r w:rsidR="002C1908" w:rsidRPr="00C40A28">
        <w:rPr>
          <w:rFonts w:ascii="Times New Roman" w:hAnsi="Times New Roman"/>
          <w:b w:val="0"/>
          <w:bCs/>
          <w:sz w:val="22"/>
          <w:szCs w:val="22"/>
          <w:lang w:val="en-US" w:eastAsia="ja-JP"/>
        </w:rPr>
        <w:t xml:space="preserve">, either log hazard </w:t>
      </w:r>
      <w:r w:rsidR="002170BC" w:rsidRPr="00C40A28">
        <w:rPr>
          <w:rFonts w:ascii="Times New Roman" w:hAnsi="Times New Roman"/>
          <w:b w:val="0"/>
          <w:bCs/>
          <w:sz w:val="22"/>
          <w:szCs w:val="22"/>
          <w:lang w:val="en-US" w:eastAsia="ja-JP"/>
        </w:rPr>
        <w:t xml:space="preserve">ratios </w:t>
      </w:r>
      <w:r w:rsidR="002C1908" w:rsidRPr="00C40A28">
        <w:rPr>
          <w:rFonts w:ascii="Times New Roman" w:hAnsi="Times New Roman"/>
          <w:b w:val="0"/>
          <w:bCs/>
          <w:sz w:val="22"/>
          <w:szCs w:val="22"/>
          <w:lang w:val="en-US" w:eastAsia="ja-JP"/>
        </w:rPr>
        <w:t xml:space="preserve">or </w:t>
      </w:r>
      <w:r w:rsidR="002170BC" w:rsidRPr="00C40A28">
        <w:rPr>
          <w:rFonts w:ascii="Times New Roman" w:hAnsi="Times New Roman"/>
          <w:b w:val="0"/>
          <w:bCs/>
          <w:sz w:val="22"/>
          <w:szCs w:val="22"/>
          <w:lang w:val="en-US" w:eastAsia="ja-JP"/>
        </w:rPr>
        <w:t xml:space="preserve">log </w:t>
      </w:r>
      <w:r w:rsidR="002C1908" w:rsidRPr="00C40A28">
        <w:rPr>
          <w:rFonts w:ascii="Times New Roman" w:hAnsi="Times New Roman"/>
          <w:b w:val="0"/>
          <w:bCs/>
          <w:sz w:val="22"/>
          <w:szCs w:val="22"/>
          <w:lang w:val="en-US" w:eastAsia="ja-JP"/>
        </w:rPr>
        <w:t>odds ratios,</w:t>
      </w:r>
      <w:r w:rsidRPr="00C40A28">
        <w:rPr>
          <w:rFonts w:ascii="Times New Roman" w:hAnsi="Times New Roman"/>
          <w:b w:val="0"/>
          <w:bCs/>
          <w:sz w:val="22"/>
          <w:szCs w:val="22"/>
          <w:lang w:val="en-US" w:eastAsia="ja-JP"/>
        </w:rPr>
        <w:t xml:space="preserve"> and standard errors were </w:t>
      </w:r>
      <w:r w:rsidR="00363BC2">
        <w:rPr>
          <w:rFonts w:ascii="Times New Roman" w:hAnsi="Times New Roman"/>
          <w:b w:val="0"/>
          <w:bCs/>
          <w:sz w:val="22"/>
          <w:szCs w:val="22"/>
          <w:lang w:val="en-US" w:eastAsia="ja-JP"/>
        </w:rPr>
        <w:t>meta-analyzed with an</w:t>
      </w:r>
      <w:r w:rsidR="00363BC2" w:rsidRPr="00C40A28">
        <w:rPr>
          <w:rFonts w:ascii="Times New Roman" w:hAnsi="Times New Roman"/>
          <w:b w:val="0"/>
          <w:bCs/>
          <w:sz w:val="22"/>
          <w:szCs w:val="22"/>
          <w:lang w:val="en-US" w:eastAsia="ja-JP"/>
        </w:rPr>
        <w:t xml:space="preserve"> </w:t>
      </w:r>
      <w:r w:rsidR="00DD35F1" w:rsidRPr="00C40A28">
        <w:rPr>
          <w:rFonts w:ascii="Times New Roman" w:hAnsi="Times New Roman"/>
          <w:b w:val="0"/>
          <w:bCs/>
          <w:sz w:val="22"/>
          <w:szCs w:val="22"/>
          <w:lang w:val="en-US" w:eastAsia="ja-JP"/>
        </w:rPr>
        <w:t>inverse</w:t>
      </w:r>
      <w:r w:rsidRPr="00C40A28">
        <w:rPr>
          <w:rFonts w:ascii="Times New Roman" w:hAnsi="Times New Roman"/>
          <w:b w:val="0"/>
          <w:bCs/>
          <w:sz w:val="22"/>
          <w:szCs w:val="22"/>
          <w:lang w:val="en-US" w:eastAsia="ja-JP"/>
        </w:rPr>
        <w:t>-</w:t>
      </w:r>
      <w:r w:rsidR="00DD35F1" w:rsidRPr="00C40A28">
        <w:rPr>
          <w:rFonts w:ascii="Times New Roman" w:hAnsi="Times New Roman"/>
          <w:b w:val="0"/>
          <w:bCs/>
          <w:sz w:val="22"/>
          <w:szCs w:val="22"/>
          <w:lang w:val="en-US" w:eastAsia="ja-JP"/>
        </w:rPr>
        <w:t>variance weighted</w:t>
      </w:r>
      <w:r w:rsidRPr="00C40A28">
        <w:rPr>
          <w:rFonts w:ascii="Times New Roman" w:hAnsi="Times New Roman"/>
          <w:b w:val="0"/>
          <w:bCs/>
          <w:sz w:val="22"/>
          <w:szCs w:val="22"/>
          <w:lang w:val="en-US" w:eastAsia="ja-JP"/>
        </w:rPr>
        <w:t xml:space="preserve"> </w:t>
      </w:r>
      <w:r w:rsidR="00363BC2">
        <w:rPr>
          <w:rFonts w:ascii="Times New Roman" w:hAnsi="Times New Roman"/>
          <w:b w:val="0"/>
          <w:bCs/>
          <w:sz w:val="22"/>
          <w:szCs w:val="22"/>
          <w:lang w:val="en-US" w:eastAsia="ja-JP"/>
        </w:rPr>
        <w:t>method</w:t>
      </w:r>
      <w:r w:rsidR="00FA3037" w:rsidRPr="00C40A28">
        <w:rPr>
          <w:rFonts w:ascii="Times New Roman" w:hAnsi="Times New Roman"/>
          <w:b w:val="0"/>
          <w:bCs/>
          <w:sz w:val="22"/>
          <w:szCs w:val="22"/>
          <w:lang w:val="en-US" w:eastAsia="ja-JP"/>
        </w:rPr>
        <w:t xml:space="preserve"> to estimate summary </w:t>
      </w:r>
      <w:r w:rsidR="002C1908" w:rsidRPr="00C40A28">
        <w:rPr>
          <w:rFonts w:ascii="Times New Roman" w:hAnsi="Times New Roman"/>
          <w:b w:val="0"/>
          <w:bCs/>
          <w:sz w:val="22"/>
          <w:szCs w:val="22"/>
          <w:lang w:val="en-US" w:eastAsia="ja-JP"/>
        </w:rPr>
        <w:t>relative risks (</w:t>
      </w:r>
      <w:r w:rsidR="00FA3037" w:rsidRPr="00C40A28">
        <w:rPr>
          <w:rFonts w:ascii="Times New Roman" w:hAnsi="Times New Roman"/>
          <w:b w:val="0"/>
          <w:bCs/>
          <w:sz w:val="22"/>
          <w:szCs w:val="22"/>
          <w:lang w:val="en-US" w:eastAsia="ja-JP"/>
        </w:rPr>
        <w:t>RR</w:t>
      </w:r>
      <w:r w:rsidR="006E6FD6" w:rsidRPr="00C40A28">
        <w:rPr>
          <w:rFonts w:ascii="Times New Roman" w:hAnsi="Times New Roman"/>
          <w:b w:val="0"/>
          <w:bCs/>
          <w:sz w:val="22"/>
          <w:szCs w:val="22"/>
          <w:lang w:val="en-US" w:eastAsia="ja-JP"/>
        </w:rPr>
        <w:t>s</w:t>
      </w:r>
      <w:r w:rsidR="00FA3037" w:rsidRPr="00C40A28">
        <w:rPr>
          <w:rFonts w:ascii="Times New Roman" w:hAnsi="Times New Roman"/>
          <w:b w:val="0"/>
          <w:bCs/>
          <w:sz w:val="22"/>
          <w:szCs w:val="22"/>
          <w:lang w:val="en-US" w:eastAsia="ja-JP"/>
        </w:rPr>
        <w:t>)</w:t>
      </w:r>
      <w:r w:rsidR="006E6FD6" w:rsidRPr="00C40A28">
        <w:rPr>
          <w:rFonts w:ascii="Times New Roman" w:hAnsi="Times New Roman"/>
          <w:b w:val="0"/>
          <w:bCs/>
          <w:sz w:val="22"/>
          <w:szCs w:val="22"/>
          <w:lang w:val="en-US" w:eastAsia="ja-JP"/>
        </w:rPr>
        <w:t xml:space="preserve"> </w:t>
      </w:r>
      <w:r w:rsidR="00FC40B3" w:rsidRPr="00C40A28">
        <w:rPr>
          <w:rFonts w:ascii="Times New Roman" w:hAnsi="Times New Roman"/>
          <w:b w:val="0"/>
          <w:bCs/>
          <w:sz w:val="22"/>
          <w:szCs w:val="22"/>
          <w:lang w:val="en-US" w:eastAsia="ja-JP"/>
        </w:rPr>
        <w:t>and confidence intervals (CI</w:t>
      </w:r>
      <w:r w:rsidR="004951E3" w:rsidRPr="00C40A28">
        <w:rPr>
          <w:rFonts w:ascii="Times New Roman" w:hAnsi="Times New Roman"/>
          <w:b w:val="0"/>
          <w:bCs/>
          <w:sz w:val="22"/>
          <w:szCs w:val="22"/>
          <w:lang w:val="en-US" w:eastAsia="ja-JP"/>
        </w:rPr>
        <w:t>s</w:t>
      </w:r>
      <w:r w:rsidR="00FC40B3" w:rsidRPr="00C40A28">
        <w:rPr>
          <w:rFonts w:ascii="Times New Roman" w:hAnsi="Times New Roman"/>
          <w:b w:val="0"/>
          <w:bCs/>
          <w:sz w:val="22"/>
          <w:szCs w:val="22"/>
          <w:lang w:val="en-US" w:eastAsia="ja-JP"/>
        </w:rPr>
        <w:t>)</w:t>
      </w:r>
      <w:r w:rsidR="00FA3037" w:rsidRPr="00C40A28">
        <w:rPr>
          <w:rFonts w:ascii="Times New Roman" w:hAnsi="Times New Roman"/>
          <w:b w:val="0"/>
          <w:bCs/>
          <w:sz w:val="22"/>
          <w:szCs w:val="22"/>
          <w:lang w:val="en-US" w:eastAsia="ja-JP"/>
        </w:rPr>
        <w:t xml:space="preserve">. </w:t>
      </w:r>
      <w:r w:rsidR="00363BC2">
        <w:rPr>
          <w:rFonts w:ascii="Times New Roman" w:hAnsi="Times New Roman"/>
          <w:b w:val="0"/>
          <w:bCs/>
          <w:sz w:val="22"/>
          <w:szCs w:val="22"/>
          <w:lang w:val="en-US" w:eastAsia="ja-JP"/>
        </w:rPr>
        <w:t>H</w:t>
      </w:r>
      <w:r w:rsidR="00276920" w:rsidRPr="00C40A28">
        <w:rPr>
          <w:rFonts w:ascii="Times New Roman" w:hAnsi="Times New Roman"/>
          <w:b w:val="0"/>
          <w:bCs/>
          <w:sz w:val="22"/>
          <w:szCs w:val="22"/>
          <w:lang w:val="en-US" w:eastAsia="ja-JP"/>
        </w:rPr>
        <w:t>eterogeneity</w:t>
      </w:r>
      <w:r w:rsidR="009446DA" w:rsidRPr="00C40A28">
        <w:rPr>
          <w:rFonts w:ascii="Times New Roman" w:hAnsi="Times New Roman"/>
          <w:b w:val="0"/>
          <w:bCs/>
          <w:sz w:val="22"/>
          <w:szCs w:val="22"/>
          <w:lang w:val="en-US" w:eastAsia="ja-JP"/>
        </w:rPr>
        <w:t xml:space="preserve"> </w:t>
      </w:r>
      <w:r w:rsidR="00363BC2">
        <w:rPr>
          <w:rFonts w:ascii="Times New Roman" w:hAnsi="Times New Roman"/>
          <w:b w:val="0"/>
          <w:bCs/>
          <w:sz w:val="22"/>
          <w:szCs w:val="22"/>
          <w:lang w:val="en-US" w:eastAsia="ja-JP"/>
        </w:rPr>
        <w:t xml:space="preserve">in results between studies </w:t>
      </w:r>
      <w:r w:rsidR="009446DA" w:rsidRPr="00C40A28">
        <w:rPr>
          <w:rFonts w:ascii="Times New Roman" w:hAnsi="Times New Roman"/>
          <w:b w:val="0"/>
          <w:bCs/>
          <w:sz w:val="22"/>
          <w:szCs w:val="22"/>
          <w:lang w:val="en-US" w:eastAsia="ja-JP"/>
        </w:rPr>
        <w:t xml:space="preserve">was </w:t>
      </w:r>
      <w:r w:rsidR="00363BC2">
        <w:rPr>
          <w:rFonts w:ascii="Times New Roman" w:hAnsi="Times New Roman"/>
          <w:b w:val="0"/>
          <w:bCs/>
          <w:sz w:val="22"/>
          <w:szCs w:val="22"/>
          <w:lang w:val="en-US" w:eastAsia="ja-JP"/>
        </w:rPr>
        <w:t>quantified</w:t>
      </w:r>
      <w:r w:rsidR="00363BC2" w:rsidRPr="00C40A28">
        <w:rPr>
          <w:rFonts w:ascii="Times New Roman" w:hAnsi="Times New Roman"/>
          <w:b w:val="0"/>
          <w:bCs/>
          <w:sz w:val="22"/>
          <w:szCs w:val="22"/>
          <w:lang w:val="en-US" w:eastAsia="ja-JP"/>
        </w:rPr>
        <w:t xml:space="preserve"> </w:t>
      </w:r>
      <w:r w:rsidR="009446DA" w:rsidRPr="00C40A28">
        <w:rPr>
          <w:rFonts w:ascii="Times New Roman" w:hAnsi="Times New Roman"/>
          <w:b w:val="0"/>
          <w:bCs/>
          <w:sz w:val="22"/>
          <w:szCs w:val="22"/>
          <w:lang w:val="en-US" w:eastAsia="ja-JP"/>
        </w:rPr>
        <w:t xml:space="preserve">as </w:t>
      </w:r>
      <w:r w:rsidR="00302B14" w:rsidRPr="00C40A28">
        <w:rPr>
          <w:rFonts w:ascii="Times New Roman" w:hAnsi="Times New Roman"/>
          <w:b w:val="0"/>
          <w:bCs/>
          <w:sz w:val="22"/>
          <w:szCs w:val="22"/>
          <w:lang w:val="en-US" w:eastAsia="ja-JP"/>
        </w:rPr>
        <w:t>I squared</w:t>
      </w:r>
      <w:r w:rsidR="00990545" w:rsidRPr="00C40A28">
        <w:rPr>
          <w:rFonts w:ascii="Times New Roman" w:hAnsi="Times New Roman"/>
          <w:b w:val="0"/>
          <w:bCs/>
          <w:sz w:val="22"/>
          <w:szCs w:val="22"/>
          <w:vertAlign w:val="superscript"/>
          <w:lang w:val="en-US" w:eastAsia="ja-JP"/>
        </w:rPr>
        <w:t xml:space="preserve"> </w:t>
      </w:r>
      <w:r w:rsidR="00D36385" w:rsidRPr="00C40A28">
        <w:rPr>
          <w:rFonts w:ascii="Times New Roman" w:hAnsi="Times New Roman"/>
          <w:b w:val="0"/>
          <w:bCs/>
          <w:sz w:val="22"/>
          <w:szCs w:val="22"/>
          <w:lang w:val="en-US" w:eastAsia="ja-JP"/>
        </w:rPr>
        <w:fldChar w:fldCharType="begin" w:fldLock="1"/>
      </w:r>
      <w:r w:rsidR="004C640A" w:rsidRPr="00C40A28">
        <w:rPr>
          <w:rFonts w:ascii="Times New Roman" w:hAnsi="Times New Roman"/>
          <w:b w:val="0"/>
          <w:bCs/>
          <w:sz w:val="22"/>
          <w:szCs w:val="22"/>
          <w:lang w:val="en-US" w:eastAsia="ja-JP"/>
        </w:rPr>
        <w:instrText>ADDIN CSL_CITATION {"citationItems":[{"id":"ITEM-1","itemData":{"DOI":"10.1002/sim.1186","ISBN":"0277-6715 (Print) 0277-6715 (Linking)","PMID":"12111919","abstract":"The extent of heterogeneity in a meta-analysis partly determines the difficulty in drawing overall conclusions. This extent may be measured by estimating a between-study variance, but interpretation is then specific to a particular treatment effect metric. A test for the existence of heterogeneity exists, but depends on the number of studies in the meta-analysis. We develop measures of the impact of heterogeneity on a meta-analysis, from mathematical criteria, that are independent of the number of studies and the treatment effect metric. We derive and propose three suitable statistics: H is the square root of the chi2 heterogeneity statistic divided by its degrees of freedom; R is the ratio of the standard error of the underlying mean from a random effects meta-analysis to the standard error of a fixed effect meta-analytic estimate, and I2 is a transformation of (H) that describes the proportion of total variation in study estimates that is due to heterogeneity. We discuss interpretation, interval estimates and other properties of these measures and examine them in five example data sets showing different amounts of heterogeneity. We conclude that H and I2, which can usually be calculated for published meta-analyses, are particularly useful summaries of the impact of heterogeneity. One or both should be presented in published meta-analyses in preference to the test for heterogeneity.","author":[{"dropping-particle":"","family":"Higgins","given":"J P","non-dropping-particle":"","parse-names":false,"suffix":""},{"dropping-particle":"","family":"Thompson","given":"S G","non-dropping-particle":"","parse-names":false,"suffix":""}],"container-title":"Stat Med","id":"ITEM-1","issue":"11","issued":{"date-parts":[["2002"]]},"page":"1539-1558","title":"Quantifying heterogeneity in a meta-analysis","type":"article-journal","volume":"21"},"uris":["http://www.mendeley.com/documents/?uuid=4976e357-6f08-4b00-8045-7ae47ff112b0"]}],"mendeley":{"formattedCitation":"[23]","plainTextFormattedCitation":"[23]","previouslyFormattedCitation":"[23]"},"properties":{"noteIndex":0},"schema":"https://github.com/citation-style-language/schema/raw/master/csl-citation.json"}</w:instrText>
      </w:r>
      <w:r w:rsidR="00D36385" w:rsidRPr="00C40A28">
        <w:rPr>
          <w:rFonts w:ascii="Times New Roman" w:hAnsi="Times New Roman"/>
          <w:b w:val="0"/>
          <w:bCs/>
          <w:sz w:val="22"/>
          <w:szCs w:val="22"/>
          <w:lang w:val="en-US" w:eastAsia="ja-JP"/>
        </w:rPr>
        <w:fldChar w:fldCharType="separate"/>
      </w:r>
      <w:r w:rsidR="002E24E3" w:rsidRPr="00C40A28">
        <w:rPr>
          <w:rFonts w:ascii="Times New Roman" w:hAnsi="Times New Roman"/>
          <w:b w:val="0"/>
          <w:bCs/>
          <w:noProof/>
          <w:sz w:val="22"/>
          <w:szCs w:val="22"/>
          <w:lang w:val="en-US" w:eastAsia="ja-JP"/>
        </w:rPr>
        <w:t>[23]</w:t>
      </w:r>
      <w:r w:rsidR="00D36385" w:rsidRPr="00C40A28">
        <w:rPr>
          <w:rFonts w:ascii="Times New Roman" w:hAnsi="Times New Roman"/>
          <w:b w:val="0"/>
          <w:bCs/>
          <w:sz w:val="22"/>
          <w:szCs w:val="22"/>
          <w:lang w:val="en-US" w:eastAsia="ja-JP"/>
        </w:rPr>
        <w:fldChar w:fldCharType="end"/>
      </w:r>
      <w:r w:rsidR="00D46468" w:rsidRPr="00C40A28">
        <w:rPr>
          <w:rFonts w:ascii="Times New Roman" w:hAnsi="Times New Roman"/>
          <w:b w:val="0"/>
          <w:bCs/>
          <w:sz w:val="22"/>
          <w:szCs w:val="22"/>
          <w:lang w:val="en-US" w:eastAsia="ja-JP"/>
        </w:rPr>
        <w:t>.</w:t>
      </w:r>
      <w:r w:rsidR="009446DA" w:rsidRPr="00C40A28">
        <w:rPr>
          <w:rFonts w:ascii="Times New Roman" w:hAnsi="Times New Roman"/>
          <w:b w:val="0"/>
          <w:bCs/>
          <w:sz w:val="22"/>
          <w:szCs w:val="22"/>
          <w:lang w:val="en-US" w:eastAsia="ja-JP"/>
        </w:rPr>
        <w:t xml:space="preserve"> </w:t>
      </w:r>
      <w:r w:rsidR="00033B22" w:rsidRPr="00C40A28">
        <w:rPr>
          <w:rFonts w:ascii="Times New Roman" w:hAnsi="Times New Roman"/>
          <w:b w:val="0"/>
          <w:bCs/>
          <w:sz w:val="22"/>
          <w:szCs w:val="22"/>
          <w:lang w:val="en-US" w:eastAsia="ja-JP"/>
        </w:rPr>
        <w:t>A</w:t>
      </w:r>
      <w:r w:rsidR="00F915E6" w:rsidRPr="00C40A28">
        <w:rPr>
          <w:rFonts w:ascii="Times New Roman" w:hAnsi="Times New Roman"/>
          <w:b w:val="0"/>
          <w:bCs/>
          <w:sz w:val="22"/>
          <w:szCs w:val="22"/>
          <w:lang w:val="en-US" w:eastAsia="ja-JP"/>
        </w:rPr>
        <w:t xml:space="preserve"> few cohorts </w:t>
      </w:r>
      <w:r w:rsidR="00033B22" w:rsidRPr="00C40A28">
        <w:rPr>
          <w:rFonts w:ascii="Times New Roman" w:hAnsi="Times New Roman"/>
          <w:b w:val="0"/>
          <w:bCs/>
          <w:sz w:val="22"/>
          <w:szCs w:val="22"/>
          <w:lang w:val="en-US" w:eastAsia="ja-JP"/>
        </w:rPr>
        <w:t xml:space="preserve">included </w:t>
      </w:r>
      <w:r w:rsidR="002170BC" w:rsidRPr="00C40A28">
        <w:rPr>
          <w:rFonts w:ascii="Times New Roman" w:hAnsi="Times New Roman"/>
          <w:b w:val="0"/>
          <w:bCs/>
          <w:sz w:val="22"/>
          <w:szCs w:val="22"/>
          <w:lang w:val="en-US" w:eastAsia="ja-JP"/>
        </w:rPr>
        <w:t>fatty acid</w:t>
      </w:r>
      <w:r w:rsidR="00033B22" w:rsidRPr="00C40A28">
        <w:rPr>
          <w:rFonts w:ascii="Times New Roman" w:hAnsi="Times New Roman"/>
          <w:b w:val="0"/>
          <w:bCs/>
          <w:sz w:val="22"/>
          <w:szCs w:val="22"/>
          <w:lang w:val="en-US" w:eastAsia="ja-JP"/>
        </w:rPr>
        <w:t xml:space="preserve"> measures in</w:t>
      </w:r>
      <w:r w:rsidR="002170BC" w:rsidRPr="00C40A28">
        <w:rPr>
          <w:rFonts w:ascii="Times New Roman" w:hAnsi="Times New Roman"/>
          <w:b w:val="0"/>
          <w:bCs/>
          <w:sz w:val="22"/>
          <w:szCs w:val="22"/>
          <w:lang w:val="en-US" w:eastAsia="ja-JP"/>
        </w:rPr>
        <w:t xml:space="preserve"> </w:t>
      </w:r>
      <w:r w:rsidR="00F915E6" w:rsidRPr="00C40A28">
        <w:rPr>
          <w:rFonts w:ascii="Times New Roman" w:hAnsi="Times New Roman"/>
          <w:b w:val="0"/>
          <w:bCs/>
          <w:sz w:val="22"/>
          <w:szCs w:val="22"/>
          <w:lang w:val="en-US" w:eastAsia="ja-JP"/>
        </w:rPr>
        <w:t>more than one lipid fraction. T</w:t>
      </w:r>
      <w:r w:rsidR="00E35C28" w:rsidRPr="00C40A28">
        <w:rPr>
          <w:rFonts w:ascii="Times New Roman" w:hAnsi="Times New Roman"/>
          <w:b w:val="0"/>
          <w:bCs/>
          <w:sz w:val="22"/>
          <w:szCs w:val="22"/>
          <w:lang w:val="en-US" w:eastAsia="ja-JP"/>
        </w:rPr>
        <w:t>o avoid</w:t>
      </w:r>
      <w:r w:rsidR="00E65C83" w:rsidRPr="00C40A28">
        <w:rPr>
          <w:rFonts w:ascii="Times New Roman" w:hAnsi="Times New Roman"/>
          <w:b w:val="0"/>
          <w:bCs/>
          <w:sz w:val="22"/>
          <w:szCs w:val="22"/>
          <w:lang w:val="en-US" w:eastAsia="ja-JP"/>
        </w:rPr>
        <w:t xml:space="preserve"> </w:t>
      </w:r>
      <w:r w:rsidR="00D46468" w:rsidRPr="00C40A28">
        <w:rPr>
          <w:rFonts w:ascii="Times New Roman" w:hAnsi="Times New Roman"/>
          <w:b w:val="0"/>
          <w:bCs/>
          <w:sz w:val="22"/>
          <w:szCs w:val="22"/>
          <w:lang w:val="en-US" w:eastAsia="ja-JP"/>
        </w:rPr>
        <w:t>double-count</w:t>
      </w:r>
      <w:r w:rsidR="00E35C28" w:rsidRPr="00C40A28">
        <w:rPr>
          <w:rFonts w:ascii="Times New Roman" w:hAnsi="Times New Roman"/>
          <w:b w:val="0"/>
          <w:bCs/>
          <w:sz w:val="22"/>
          <w:szCs w:val="22"/>
          <w:lang w:val="en-US" w:eastAsia="ja-JP"/>
        </w:rPr>
        <w:t>ing</w:t>
      </w:r>
      <w:r w:rsidR="00E65C83" w:rsidRPr="00C40A28">
        <w:rPr>
          <w:rFonts w:ascii="Times New Roman" w:hAnsi="Times New Roman"/>
          <w:b w:val="0"/>
          <w:bCs/>
          <w:sz w:val="22"/>
          <w:szCs w:val="22"/>
          <w:lang w:val="en-US" w:eastAsia="ja-JP"/>
        </w:rPr>
        <w:t xml:space="preserve"> estimates from </w:t>
      </w:r>
      <w:r w:rsidR="00F915E6" w:rsidRPr="00C40A28">
        <w:rPr>
          <w:rFonts w:ascii="Times New Roman" w:hAnsi="Times New Roman"/>
          <w:b w:val="0"/>
          <w:bCs/>
          <w:sz w:val="22"/>
          <w:szCs w:val="22"/>
          <w:lang w:val="en-US" w:eastAsia="ja-JP"/>
        </w:rPr>
        <w:t>such cohorts</w:t>
      </w:r>
      <w:r w:rsidR="00E65C83" w:rsidRPr="00C40A28">
        <w:rPr>
          <w:rFonts w:ascii="Times New Roman" w:hAnsi="Times New Roman"/>
          <w:b w:val="0"/>
          <w:bCs/>
          <w:sz w:val="22"/>
          <w:szCs w:val="22"/>
          <w:lang w:val="en-US" w:eastAsia="ja-JP"/>
        </w:rPr>
        <w:t>,</w:t>
      </w:r>
      <w:r w:rsidR="00A80B8D" w:rsidRPr="00C40A28">
        <w:rPr>
          <w:rFonts w:ascii="Times New Roman" w:hAnsi="Times New Roman"/>
          <w:b w:val="0"/>
          <w:bCs/>
          <w:sz w:val="22"/>
          <w:szCs w:val="22"/>
          <w:lang w:val="en-US" w:eastAsia="ja-JP"/>
        </w:rPr>
        <w:t xml:space="preserve"> w</w:t>
      </w:r>
      <w:r w:rsidR="00881EAD" w:rsidRPr="00C40A28">
        <w:rPr>
          <w:rFonts w:ascii="Times New Roman" w:hAnsi="Times New Roman"/>
          <w:b w:val="0"/>
          <w:bCs/>
          <w:sz w:val="22"/>
          <w:szCs w:val="22"/>
          <w:lang w:val="en-US" w:eastAsia="ja-JP"/>
        </w:rPr>
        <w:t xml:space="preserve">e </w:t>
      </w:r>
      <w:r w:rsidR="00311ED8" w:rsidRPr="00C40A28">
        <w:rPr>
          <w:rFonts w:ascii="Times New Roman" w:hAnsi="Times New Roman"/>
          <w:b w:val="0"/>
          <w:bCs/>
          <w:sz w:val="22"/>
          <w:szCs w:val="22"/>
          <w:lang w:val="en-US" w:eastAsia="ja-JP"/>
        </w:rPr>
        <w:t xml:space="preserve">pre-specified </w:t>
      </w:r>
      <w:r w:rsidR="00033B22" w:rsidRPr="00C40A28">
        <w:rPr>
          <w:rFonts w:ascii="Times New Roman" w:hAnsi="Times New Roman"/>
          <w:b w:val="0"/>
          <w:bCs/>
          <w:sz w:val="22"/>
          <w:szCs w:val="22"/>
          <w:lang w:eastAsia="ja-JP"/>
        </w:rPr>
        <w:t xml:space="preserve">primary </w:t>
      </w:r>
      <w:r w:rsidR="00311ED8" w:rsidRPr="00C40A28">
        <w:rPr>
          <w:rFonts w:ascii="Times New Roman" w:hAnsi="Times New Roman"/>
          <w:b w:val="0"/>
          <w:bCs/>
          <w:sz w:val="22"/>
          <w:szCs w:val="22"/>
          <w:lang w:val="en-US" w:eastAsia="ja-JP"/>
        </w:rPr>
        <w:t>use of</w:t>
      </w:r>
      <w:r w:rsidR="00826FBB" w:rsidRPr="00C40A28">
        <w:rPr>
          <w:rFonts w:ascii="Times New Roman" w:hAnsi="Times New Roman"/>
          <w:b w:val="0"/>
          <w:bCs/>
          <w:sz w:val="22"/>
          <w:szCs w:val="22"/>
          <w:lang w:val="en-US" w:eastAsia="ja-JP"/>
        </w:rPr>
        <w:t xml:space="preserve"> </w:t>
      </w:r>
      <w:r w:rsidR="00881EAD" w:rsidRPr="00C40A28">
        <w:rPr>
          <w:rFonts w:ascii="Times New Roman" w:hAnsi="Times New Roman"/>
          <w:b w:val="0"/>
          <w:bCs/>
          <w:sz w:val="22"/>
          <w:szCs w:val="22"/>
          <w:lang w:val="en-US" w:eastAsia="ja-JP"/>
        </w:rPr>
        <w:t xml:space="preserve">estimates </w:t>
      </w:r>
      <w:r w:rsidR="00826FBB" w:rsidRPr="00C40A28">
        <w:rPr>
          <w:rFonts w:ascii="Times New Roman" w:hAnsi="Times New Roman"/>
          <w:b w:val="0"/>
          <w:bCs/>
          <w:sz w:val="22"/>
          <w:szCs w:val="22"/>
          <w:lang w:val="en-US" w:eastAsia="ja-JP"/>
        </w:rPr>
        <w:t xml:space="preserve">of phospholipid </w:t>
      </w:r>
      <w:r w:rsidR="00033B22" w:rsidRPr="00C40A28">
        <w:rPr>
          <w:rFonts w:ascii="Times New Roman" w:hAnsi="Times New Roman"/>
          <w:b w:val="0"/>
          <w:bCs/>
          <w:sz w:val="22"/>
          <w:szCs w:val="22"/>
          <w:lang w:val="en-US" w:eastAsia="ja-JP"/>
        </w:rPr>
        <w:t xml:space="preserve">(plasma </w:t>
      </w:r>
      <w:r w:rsidR="00FF22AB" w:rsidRPr="00C40A28">
        <w:rPr>
          <w:rFonts w:ascii="Times New Roman" w:hAnsi="Times New Roman"/>
          <w:b w:val="0"/>
          <w:bCs/>
          <w:sz w:val="22"/>
          <w:szCs w:val="22"/>
          <w:lang w:val="en-US" w:eastAsia="ja-JP"/>
        </w:rPr>
        <w:t>or erythrocyte</w:t>
      </w:r>
      <w:r w:rsidR="00033B22" w:rsidRPr="00C40A28">
        <w:rPr>
          <w:rFonts w:ascii="Times New Roman" w:hAnsi="Times New Roman"/>
          <w:b w:val="0"/>
          <w:bCs/>
          <w:sz w:val="22"/>
          <w:szCs w:val="22"/>
          <w:lang w:val="en-US" w:eastAsia="ja-JP"/>
        </w:rPr>
        <w:t>)</w:t>
      </w:r>
      <w:r w:rsidR="00FF22AB" w:rsidRPr="00C40A28">
        <w:rPr>
          <w:rFonts w:ascii="Times New Roman" w:hAnsi="Times New Roman"/>
          <w:b w:val="0"/>
          <w:bCs/>
          <w:sz w:val="22"/>
          <w:szCs w:val="22"/>
          <w:lang w:val="en-US" w:eastAsia="ja-JP"/>
        </w:rPr>
        <w:t xml:space="preserve"> </w:t>
      </w:r>
      <w:r w:rsidR="00826FBB" w:rsidRPr="00C40A28">
        <w:rPr>
          <w:rFonts w:ascii="Times New Roman" w:hAnsi="Times New Roman"/>
          <w:b w:val="0"/>
          <w:bCs/>
          <w:sz w:val="22"/>
          <w:szCs w:val="22"/>
          <w:lang w:val="en-US" w:eastAsia="ja-JP"/>
        </w:rPr>
        <w:t>fatty acids</w:t>
      </w:r>
      <w:r w:rsidR="00F915E6" w:rsidRPr="00C40A28">
        <w:rPr>
          <w:rFonts w:ascii="Times New Roman" w:hAnsi="Times New Roman"/>
          <w:b w:val="0"/>
          <w:bCs/>
          <w:sz w:val="22"/>
          <w:szCs w:val="22"/>
          <w:lang w:val="en-US" w:eastAsia="ja-JP"/>
        </w:rPr>
        <w:t>.</w:t>
      </w:r>
      <w:r w:rsidR="00826FBB" w:rsidRPr="00C40A28">
        <w:rPr>
          <w:rFonts w:ascii="Times New Roman" w:hAnsi="Times New Roman"/>
          <w:b w:val="0"/>
          <w:bCs/>
          <w:sz w:val="22"/>
          <w:szCs w:val="22"/>
          <w:lang w:val="en-US" w:eastAsia="ja-JP"/>
        </w:rPr>
        <w:t xml:space="preserve"> </w:t>
      </w:r>
      <w:r w:rsidR="00F915E6" w:rsidRPr="00C40A28">
        <w:rPr>
          <w:rFonts w:ascii="Times New Roman" w:hAnsi="Times New Roman"/>
          <w:b w:val="0"/>
          <w:bCs/>
          <w:sz w:val="22"/>
          <w:szCs w:val="22"/>
          <w:lang w:val="en-US" w:eastAsia="ja-JP"/>
        </w:rPr>
        <w:t>T</w:t>
      </w:r>
      <w:r w:rsidR="006B328E" w:rsidRPr="00C40A28">
        <w:rPr>
          <w:rFonts w:ascii="Times New Roman" w:hAnsi="Times New Roman"/>
          <w:b w:val="0"/>
          <w:bCs/>
          <w:sz w:val="22"/>
          <w:szCs w:val="22"/>
          <w:lang w:val="en-US" w:eastAsia="ja-JP"/>
        </w:rPr>
        <w:t xml:space="preserve">hese </w:t>
      </w:r>
      <w:r w:rsidR="00F915E6" w:rsidRPr="00C40A28">
        <w:rPr>
          <w:rFonts w:ascii="Times New Roman" w:hAnsi="Times New Roman"/>
          <w:b w:val="0"/>
          <w:bCs/>
          <w:sz w:val="22"/>
          <w:szCs w:val="22"/>
          <w:lang w:val="en-US" w:eastAsia="ja-JP"/>
        </w:rPr>
        <w:t xml:space="preserve">lipid fractions were </w:t>
      </w:r>
      <w:r w:rsidR="006B328E" w:rsidRPr="00C40A28">
        <w:rPr>
          <w:rFonts w:ascii="Times New Roman" w:hAnsi="Times New Roman"/>
          <w:b w:val="0"/>
          <w:bCs/>
          <w:sz w:val="22"/>
          <w:szCs w:val="22"/>
          <w:lang w:val="en-US" w:eastAsia="ja-JP"/>
        </w:rPr>
        <w:t>most</w:t>
      </w:r>
      <w:r w:rsidR="00D93967" w:rsidRPr="00C40A28">
        <w:rPr>
          <w:rFonts w:ascii="Times New Roman" w:hAnsi="Times New Roman"/>
          <w:b w:val="0"/>
          <w:bCs/>
          <w:sz w:val="22"/>
          <w:szCs w:val="22"/>
          <w:lang w:val="en-US" w:eastAsia="ja-JP"/>
        </w:rPr>
        <w:t xml:space="preserve"> common</w:t>
      </w:r>
      <w:r w:rsidR="00F915E6" w:rsidRPr="00C40A28">
        <w:rPr>
          <w:rFonts w:ascii="Times New Roman" w:hAnsi="Times New Roman"/>
          <w:b w:val="0"/>
          <w:bCs/>
          <w:sz w:val="22"/>
          <w:szCs w:val="22"/>
          <w:lang w:val="en-US" w:eastAsia="ja-JP"/>
        </w:rPr>
        <w:t>ly used</w:t>
      </w:r>
      <w:r w:rsidR="00D93967" w:rsidRPr="00C40A28">
        <w:rPr>
          <w:rFonts w:ascii="Times New Roman" w:hAnsi="Times New Roman"/>
          <w:b w:val="0"/>
          <w:bCs/>
          <w:sz w:val="22"/>
          <w:szCs w:val="22"/>
          <w:lang w:val="en-US" w:eastAsia="ja-JP"/>
        </w:rPr>
        <w:t xml:space="preserve"> </w:t>
      </w:r>
      <w:r w:rsidR="00F915E6" w:rsidRPr="00C40A28">
        <w:rPr>
          <w:rFonts w:ascii="Times New Roman" w:hAnsi="Times New Roman"/>
          <w:b w:val="0"/>
          <w:bCs/>
          <w:sz w:val="22"/>
          <w:szCs w:val="22"/>
          <w:lang w:val="en-US" w:eastAsia="ja-JP"/>
        </w:rPr>
        <w:t xml:space="preserve">among </w:t>
      </w:r>
      <w:r w:rsidR="00D93967" w:rsidRPr="00C40A28">
        <w:rPr>
          <w:rFonts w:ascii="Times New Roman" w:hAnsi="Times New Roman"/>
          <w:b w:val="0"/>
          <w:bCs/>
          <w:sz w:val="22"/>
          <w:szCs w:val="22"/>
          <w:lang w:val="en-US" w:eastAsia="ja-JP"/>
        </w:rPr>
        <w:t>participating cohorts</w:t>
      </w:r>
      <w:r w:rsidR="00F915E6" w:rsidRPr="00C40A28">
        <w:rPr>
          <w:rFonts w:ascii="Times New Roman" w:hAnsi="Times New Roman"/>
          <w:b w:val="0"/>
          <w:bCs/>
          <w:sz w:val="22"/>
          <w:szCs w:val="22"/>
          <w:lang w:val="en-US" w:eastAsia="ja-JP"/>
        </w:rPr>
        <w:t xml:space="preserve"> </w:t>
      </w:r>
      <w:r w:rsidR="00033B22" w:rsidRPr="00C40A28">
        <w:rPr>
          <w:rFonts w:ascii="Times New Roman" w:hAnsi="Times New Roman"/>
          <w:b w:val="0"/>
          <w:bCs/>
          <w:sz w:val="22"/>
          <w:szCs w:val="22"/>
          <w:lang w:val="en-US" w:eastAsia="ja-JP"/>
        </w:rPr>
        <w:t xml:space="preserve">and generally </w:t>
      </w:r>
      <w:r w:rsidR="00826FBB" w:rsidRPr="00C40A28">
        <w:rPr>
          <w:rFonts w:ascii="Times New Roman" w:hAnsi="Times New Roman"/>
          <w:b w:val="0"/>
          <w:bCs/>
          <w:sz w:val="22"/>
          <w:szCs w:val="22"/>
          <w:lang w:val="en-US" w:eastAsia="ja-JP"/>
        </w:rPr>
        <w:t>reflect longer</w:t>
      </w:r>
      <w:r w:rsidR="00D858F8" w:rsidRPr="00C40A28">
        <w:rPr>
          <w:rFonts w:ascii="Times New Roman" w:hAnsi="Times New Roman"/>
          <w:b w:val="0"/>
          <w:bCs/>
          <w:sz w:val="22"/>
          <w:szCs w:val="22"/>
          <w:lang w:val="en-US" w:eastAsia="ja-JP"/>
        </w:rPr>
        <w:t>-</w:t>
      </w:r>
      <w:r w:rsidR="00826FBB" w:rsidRPr="00C40A28">
        <w:rPr>
          <w:rFonts w:ascii="Times New Roman" w:hAnsi="Times New Roman"/>
          <w:b w:val="0"/>
          <w:bCs/>
          <w:sz w:val="22"/>
          <w:szCs w:val="22"/>
          <w:lang w:val="en-US" w:eastAsia="ja-JP"/>
        </w:rPr>
        <w:t xml:space="preserve">term </w:t>
      </w:r>
      <w:r w:rsidR="000C16DA" w:rsidRPr="00C40A28">
        <w:rPr>
          <w:rFonts w:ascii="Times New Roman" w:hAnsi="Times New Roman"/>
          <w:b w:val="0"/>
          <w:bCs/>
          <w:sz w:val="22"/>
          <w:szCs w:val="22"/>
          <w:lang w:val="en-US" w:eastAsia="ja-JP"/>
        </w:rPr>
        <w:t>exposure than the other</w:t>
      </w:r>
      <w:r w:rsidR="00DF154E" w:rsidRPr="00C40A28">
        <w:rPr>
          <w:rFonts w:ascii="Times New Roman" w:hAnsi="Times New Roman"/>
          <w:b w:val="0"/>
          <w:bCs/>
          <w:sz w:val="22"/>
          <w:szCs w:val="22"/>
          <w:lang w:val="en-US" w:eastAsia="ja-JP"/>
        </w:rPr>
        <w:t xml:space="preserve"> compartments</w:t>
      </w:r>
      <w:r w:rsidR="00FF22AB" w:rsidRPr="00C40A28">
        <w:rPr>
          <w:rFonts w:ascii="Times New Roman" w:hAnsi="Times New Roman"/>
          <w:b w:val="0"/>
          <w:bCs/>
          <w:sz w:val="22"/>
          <w:szCs w:val="22"/>
          <w:lang w:val="en-US" w:eastAsia="ja-JP"/>
        </w:rPr>
        <w:t xml:space="preserve"> except for adipose tissue</w:t>
      </w:r>
      <w:r w:rsidR="00D44BE2" w:rsidRPr="00C40A28">
        <w:rPr>
          <w:rFonts w:ascii="Times New Roman" w:hAnsi="Times New Roman"/>
          <w:b w:val="0"/>
          <w:bCs/>
          <w:sz w:val="22"/>
          <w:szCs w:val="22"/>
          <w:lang w:val="en-US" w:eastAsia="ja-JP"/>
        </w:rPr>
        <w:t xml:space="preserve"> </w:t>
      </w:r>
      <w:r w:rsidR="00826FBB" w:rsidRPr="00C40A28">
        <w:rPr>
          <w:rFonts w:ascii="Times New Roman" w:hAnsi="Times New Roman"/>
          <w:b w:val="0"/>
          <w:bCs/>
          <w:sz w:val="22"/>
          <w:szCs w:val="22"/>
          <w:lang w:val="en-US" w:eastAsia="ja-JP"/>
        </w:rPr>
        <w:fldChar w:fldCharType="begin" w:fldLock="1"/>
      </w:r>
      <w:r w:rsidR="004C640A" w:rsidRPr="00C40A28">
        <w:rPr>
          <w:rFonts w:ascii="Times New Roman" w:hAnsi="Times New Roman"/>
          <w:b w:val="0"/>
          <w:bCs/>
          <w:sz w:val="22"/>
          <w:szCs w:val="22"/>
          <w:lang w:val="en-US" w:eastAsia="ja-JP"/>
        </w:rPr>
        <w:instrText>ADDIN CSL_CITATION {"citationItems":[{"id":"ITEM-1","itemData":{"DOI":"10.3945/ajcn.111.021907","ISSN":"0022-2275","PMID":"9374124","abstract":"Tissue levels of n-3 fatty acids reflect dietary intake, but quantitative data about rate of incorporation and levels as a function of intake are scarce. We fed 58 men 0, 3, 6, or 9 g/d of fish oil for 12 months and monitored fatty acids in serum cholesteryl esters, erythrocytes, and subcutaneous fat during and after supplementation. Eicosapentaenoic acid (EPA) in cholesteryl esters plateaued after 4-8 weeks; the incorporation half-life was 4.8 days. Steady-state levels increased by 3.9 +/- 0.3 mass % points (+/- SE) for each extra gram of EPA eaten per day. Incorporation of docosahexaenoic acid (DHA) was erratic; plateau values were 1.1 +/- 0.1 mass % higher for every g/d ingested. Incorporation of EPA into erythrocyte membranes showed a half-life of 28 days; a steady state was reached after 180 days. Each g/d increased levels by 2.1 +/- 0.1 mass %. C22:5n-3 levels increased markedly. Changes in DHA were erratic and smaller. EPA levels in adipose tissue rose also; the change after 6 months was 67% of that after 12 months in gluteal and 75% in abdominal fat. After 12 months each gram per day caused an 0.11 +/- 0.01 mass % rise in gluteal fat for EPA, 0.53 +/- 0.07 for C22:5n-3, and 0.14 +/- 0.03 for DHA. Thus, different (n-3) fatty acids were incorporated with different efficiencies, possibly because of interconversions or different affinities of the enzymatic pathways involved. EPA levels in cholesteryl esters reflect intake over the past week or two, erythrocytes over the past month or two, and adipose tissue over a period of years. These findings may help in assessing the intake of (n-3) fatty acids in epidemiological studies.","author":[{"dropping-particle":"","family":"Katan","given":"M B","non-dropping-particle":"","parse-names":false,"suffix":""},{"dropping-particle":"","family":"Deslypere","given":"J P","non-dropping-particle":"","parse-names":false,"suffix":""},{"dropping-particle":"","family":"Birgelen","given":"A P","non-dropping-particle":"van","parse-names":false,"suffix":""},{"dropping-particle":"","family":"Penders","given":"M","non-dropping-particle":"","parse-names":false,"suffix":""},{"dropping-particle":"","family":"Zegwaard","given":"M","non-dropping-particle":"","parse-names":false,"suffix":""}],"container-title":"J Lipid Res","id":"ITEM-1","issue":"10","issued":{"date-parts":[["1997","10"]]},"page":"2012-22","title":"Kinetics of the incorporation of dietary fatty acids into serum cholesteryl esters, erythrocyte membranes, and adipose tissue: an 18-month controlled study.","type":"article-journal","volume":"38"},"uris":["http://www.mendeley.com/documents/?uuid=c39e0c11-d0bd-45d2-b45f-fd8e7479891c"]}],"mendeley":{"formattedCitation":"[24]","plainTextFormattedCitation":"[24]","previouslyFormattedCitation":"[24]"},"properties":{"noteIndex":0},"schema":"https://github.com/citation-style-language/schema/raw/master/csl-citation.json"}</w:instrText>
      </w:r>
      <w:r w:rsidR="00826FBB" w:rsidRPr="00C40A28">
        <w:rPr>
          <w:rFonts w:ascii="Times New Roman" w:hAnsi="Times New Roman"/>
          <w:b w:val="0"/>
          <w:bCs/>
          <w:sz w:val="22"/>
          <w:szCs w:val="22"/>
          <w:lang w:val="en-US" w:eastAsia="ja-JP"/>
        </w:rPr>
        <w:fldChar w:fldCharType="separate"/>
      </w:r>
      <w:r w:rsidR="002E24E3" w:rsidRPr="00C40A28">
        <w:rPr>
          <w:rFonts w:ascii="Times New Roman" w:hAnsi="Times New Roman"/>
          <w:b w:val="0"/>
          <w:bCs/>
          <w:noProof/>
          <w:sz w:val="22"/>
          <w:szCs w:val="22"/>
          <w:lang w:val="en-US" w:eastAsia="ja-JP"/>
        </w:rPr>
        <w:t>[24]</w:t>
      </w:r>
      <w:r w:rsidR="00826FBB" w:rsidRPr="00C40A28">
        <w:rPr>
          <w:rFonts w:ascii="Times New Roman" w:hAnsi="Times New Roman"/>
          <w:b w:val="0"/>
          <w:bCs/>
          <w:sz w:val="22"/>
          <w:szCs w:val="22"/>
          <w:lang w:val="en-US" w:eastAsia="ja-JP"/>
        </w:rPr>
        <w:fldChar w:fldCharType="end"/>
      </w:r>
      <w:r w:rsidR="00D44BE2" w:rsidRPr="00C40A28">
        <w:rPr>
          <w:rFonts w:ascii="Times New Roman" w:hAnsi="Times New Roman"/>
          <w:b w:val="0"/>
          <w:bCs/>
          <w:sz w:val="22"/>
          <w:szCs w:val="22"/>
          <w:lang w:val="en-US" w:eastAsia="ja-JP"/>
        </w:rPr>
        <w:t>.</w:t>
      </w:r>
      <w:r w:rsidR="00881EAD" w:rsidRPr="00C40A28">
        <w:rPr>
          <w:rFonts w:ascii="Times New Roman" w:hAnsi="Times New Roman"/>
          <w:b w:val="0"/>
          <w:bCs/>
          <w:sz w:val="22"/>
          <w:szCs w:val="22"/>
          <w:lang w:val="en-US" w:eastAsia="ja-JP"/>
        </w:rPr>
        <w:t xml:space="preserve"> </w:t>
      </w:r>
      <w:r w:rsidR="006B328E" w:rsidRPr="00C40A28">
        <w:rPr>
          <w:rFonts w:ascii="Times New Roman" w:hAnsi="Times New Roman"/>
          <w:b w:val="0"/>
          <w:bCs/>
          <w:sz w:val="22"/>
          <w:szCs w:val="22"/>
          <w:lang w:val="en-US" w:eastAsia="ja-JP"/>
        </w:rPr>
        <w:t>In secondary analyses, e</w:t>
      </w:r>
      <w:r w:rsidR="00800194" w:rsidRPr="00C40A28">
        <w:rPr>
          <w:rFonts w:ascii="Times New Roman" w:hAnsi="Times New Roman"/>
          <w:b w:val="0"/>
          <w:bCs/>
          <w:sz w:val="22"/>
          <w:szCs w:val="22"/>
          <w:lang w:val="en-US" w:eastAsia="ja-JP"/>
        </w:rPr>
        <w:t xml:space="preserve">stimates </w:t>
      </w:r>
      <w:r w:rsidR="00311ED8" w:rsidRPr="00C40A28">
        <w:rPr>
          <w:rFonts w:ascii="Times New Roman" w:hAnsi="Times New Roman"/>
          <w:b w:val="0"/>
          <w:bCs/>
          <w:sz w:val="22"/>
          <w:szCs w:val="22"/>
          <w:lang w:val="en-US" w:eastAsia="ja-JP"/>
        </w:rPr>
        <w:t xml:space="preserve">in </w:t>
      </w:r>
      <w:r w:rsidR="006B328E" w:rsidRPr="00C40A28">
        <w:rPr>
          <w:rFonts w:ascii="Times New Roman" w:hAnsi="Times New Roman"/>
          <w:b w:val="0"/>
          <w:bCs/>
          <w:sz w:val="22"/>
          <w:szCs w:val="22"/>
          <w:lang w:val="en-US" w:eastAsia="ja-JP"/>
        </w:rPr>
        <w:t xml:space="preserve">each </w:t>
      </w:r>
      <w:r w:rsidR="00311ED8" w:rsidRPr="00C40A28">
        <w:rPr>
          <w:rFonts w:ascii="Times New Roman" w:hAnsi="Times New Roman"/>
          <w:b w:val="0"/>
          <w:bCs/>
          <w:sz w:val="22"/>
          <w:szCs w:val="22"/>
          <w:lang w:val="en-US" w:eastAsia="ja-JP"/>
        </w:rPr>
        <w:t xml:space="preserve">different </w:t>
      </w:r>
      <w:r w:rsidR="0018750B" w:rsidRPr="00C40A28">
        <w:rPr>
          <w:rFonts w:ascii="Times New Roman" w:hAnsi="Times New Roman"/>
          <w:b w:val="0"/>
          <w:bCs/>
          <w:sz w:val="22"/>
          <w:szCs w:val="22"/>
          <w:lang w:val="en-US" w:eastAsia="ja-JP"/>
        </w:rPr>
        <w:t xml:space="preserve">lipid fraction </w:t>
      </w:r>
      <w:r w:rsidR="00800194" w:rsidRPr="00C40A28">
        <w:rPr>
          <w:rFonts w:ascii="Times New Roman" w:hAnsi="Times New Roman"/>
          <w:b w:val="0"/>
          <w:bCs/>
          <w:sz w:val="22"/>
          <w:szCs w:val="22"/>
          <w:lang w:val="en-US" w:eastAsia="ja-JP"/>
        </w:rPr>
        <w:t xml:space="preserve">were </w:t>
      </w:r>
      <w:r w:rsidR="006B328E" w:rsidRPr="00C40A28">
        <w:rPr>
          <w:rFonts w:ascii="Times New Roman" w:hAnsi="Times New Roman"/>
          <w:b w:val="0"/>
          <w:bCs/>
          <w:sz w:val="22"/>
          <w:szCs w:val="22"/>
          <w:lang w:val="en-US" w:eastAsia="ja-JP"/>
        </w:rPr>
        <w:t>also</w:t>
      </w:r>
      <w:r w:rsidR="00800194" w:rsidRPr="00C40A28">
        <w:rPr>
          <w:rFonts w:ascii="Times New Roman" w:hAnsi="Times New Roman"/>
          <w:b w:val="0"/>
          <w:bCs/>
          <w:sz w:val="22"/>
          <w:szCs w:val="22"/>
          <w:lang w:val="en-US" w:eastAsia="ja-JP"/>
        </w:rPr>
        <w:t xml:space="preserve"> </w:t>
      </w:r>
      <w:r w:rsidR="00311ED8" w:rsidRPr="00C40A28">
        <w:rPr>
          <w:rFonts w:ascii="Times New Roman" w:hAnsi="Times New Roman"/>
          <w:b w:val="0"/>
          <w:bCs/>
          <w:sz w:val="22"/>
          <w:szCs w:val="22"/>
          <w:lang w:val="en-US" w:eastAsia="ja-JP"/>
        </w:rPr>
        <w:t>meta-analy</w:t>
      </w:r>
      <w:r w:rsidR="00F915E6" w:rsidRPr="00C40A28">
        <w:rPr>
          <w:rFonts w:ascii="Times New Roman" w:hAnsi="Times New Roman"/>
          <w:b w:val="0"/>
          <w:bCs/>
          <w:sz w:val="22"/>
          <w:szCs w:val="22"/>
          <w:lang w:val="en-US" w:eastAsia="ja-JP"/>
        </w:rPr>
        <w:t>z</w:t>
      </w:r>
      <w:r w:rsidR="00311ED8" w:rsidRPr="00C40A28">
        <w:rPr>
          <w:rFonts w:ascii="Times New Roman" w:hAnsi="Times New Roman"/>
          <w:b w:val="0"/>
          <w:bCs/>
          <w:sz w:val="22"/>
          <w:szCs w:val="22"/>
          <w:lang w:val="en-US" w:eastAsia="ja-JP"/>
        </w:rPr>
        <w:t>ed separately</w:t>
      </w:r>
      <w:r w:rsidR="006B328E" w:rsidRPr="00C40A28">
        <w:rPr>
          <w:rFonts w:ascii="Times New Roman" w:hAnsi="Times New Roman"/>
          <w:b w:val="0"/>
          <w:bCs/>
          <w:sz w:val="22"/>
          <w:szCs w:val="22"/>
          <w:lang w:val="en-US" w:eastAsia="ja-JP"/>
        </w:rPr>
        <w:t>, using each available cohort with measurements in that lipid fraction</w:t>
      </w:r>
      <w:r w:rsidR="00800194" w:rsidRPr="00C40A28">
        <w:rPr>
          <w:rFonts w:ascii="Times New Roman" w:hAnsi="Times New Roman"/>
          <w:b w:val="0"/>
          <w:bCs/>
          <w:sz w:val="22"/>
          <w:szCs w:val="22"/>
          <w:lang w:val="en-US" w:eastAsia="ja-JP"/>
        </w:rPr>
        <w:t>.</w:t>
      </w:r>
    </w:p>
    <w:p w14:paraId="0B31CFF2" w14:textId="40D09DD2" w:rsidR="00E9379C" w:rsidRPr="00C40A28" w:rsidRDefault="00FC76C4" w:rsidP="006E5407">
      <w:pPr>
        <w:pStyle w:val="BodyTextIndent"/>
        <w:spacing w:line="480" w:lineRule="auto"/>
        <w:ind w:left="0" w:firstLine="720"/>
        <w:rPr>
          <w:rFonts w:ascii="Times New Roman" w:hAnsi="Times New Roman"/>
          <w:b w:val="0"/>
          <w:bCs/>
          <w:sz w:val="22"/>
          <w:szCs w:val="22"/>
          <w:lang w:val="en-US" w:eastAsia="ja-JP"/>
        </w:rPr>
      </w:pPr>
      <w:r w:rsidRPr="00C40A28">
        <w:rPr>
          <w:rFonts w:ascii="Times New Roman" w:hAnsi="Times New Roman"/>
          <w:b w:val="0"/>
          <w:bCs/>
          <w:sz w:val="22"/>
          <w:szCs w:val="22"/>
          <w:lang w:val="en-US" w:eastAsia="ja-JP"/>
        </w:rPr>
        <w:t xml:space="preserve">To test interactions by age, sex, </w:t>
      </w:r>
      <w:r w:rsidR="00ED35D1" w:rsidRPr="00C40A28">
        <w:rPr>
          <w:rFonts w:ascii="Times New Roman" w:hAnsi="Times New Roman"/>
          <w:b w:val="0"/>
          <w:bCs/>
          <w:sz w:val="22"/>
          <w:szCs w:val="22"/>
          <w:lang w:val="en-US" w:eastAsia="ja-JP"/>
        </w:rPr>
        <w:t>BMI, and</w:t>
      </w:r>
      <w:r w:rsidRPr="00C40A28">
        <w:rPr>
          <w:rFonts w:ascii="Times New Roman" w:hAnsi="Times New Roman"/>
          <w:b w:val="0"/>
          <w:bCs/>
          <w:sz w:val="22"/>
          <w:szCs w:val="22"/>
          <w:lang w:val="en-US" w:eastAsia="ja-JP"/>
        </w:rPr>
        <w:t xml:space="preserve"> race/ethnic</w:t>
      </w:r>
      <w:r w:rsidR="00ED35D1" w:rsidRPr="00C40A28">
        <w:rPr>
          <w:rFonts w:ascii="Times New Roman" w:hAnsi="Times New Roman"/>
          <w:b w:val="0"/>
          <w:bCs/>
          <w:sz w:val="22"/>
          <w:szCs w:val="22"/>
          <w:lang w:val="en-US" w:eastAsia="ja-JP"/>
        </w:rPr>
        <w:t>ity</w:t>
      </w:r>
      <w:r w:rsidRPr="00C40A28">
        <w:rPr>
          <w:rFonts w:ascii="Times New Roman" w:hAnsi="Times New Roman"/>
          <w:b w:val="0"/>
          <w:bCs/>
          <w:sz w:val="22"/>
          <w:szCs w:val="22"/>
          <w:lang w:val="en-US" w:eastAsia="ja-JP"/>
        </w:rPr>
        <w:t>, c</w:t>
      </w:r>
      <w:r w:rsidR="000C16DA" w:rsidRPr="00C40A28">
        <w:rPr>
          <w:rFonts w:ascii="Times New Roman" w:hAnsi="Times New Roman"/>
          <w:b w:val="0"/>
          <w:bCs/>
          <w:sz w:val="22"/>
          <w:szCs w:val="22"/>
          <w:lang w:val="en-US" w:eastAsia="ja-JP"/>
        </w:rPr>
        <w:t xml:space="preserve">ohort-specific </w:t>
      </w:r>
      <w:r w:rsidR="004000F4" w:rsidRPr="00C40A28">
        <w:rPr>
          <w:rFonts w:ascii="Times New Roman" w:hAnsi="Times New Roman"/>
          <w:b w:val="0"/>
          <w:bCs/>
          <w:sz w:val="22"/>
          <w:szCs w:val="22"/>
          <w:lang w:val="en-US" w:eastAsia="ja-JP"/>
        </w:rPr>
        <w:t>coefficients</w:t>
      </w:r>
      <w:r w:rsidR="000C16DA" w:rsidRPr="00C40A28">
        <w:rPr>
          <w:rFonts w:ascii="Times New Roman" w:hAnsi="Times New Roman"/>
          <w:b w:val="0"/>
          <w:bCs/>
          <w:sz w:val="22"/>
          <w:szCs w:val="22"/>
          <w:lang w:val="en-US" w:eastAsia="ja-JP"/>
        </w:rPr>
        <w:t xml:space="preserve"> of cross-product terms were </w:t>
      </w:r>
      <w:r w:rsidR="00311ED8" w:rsidRPr="00C40A28">
        <w:rPr>
          <w:rFonts w:ascii="Times New Roman" w:hAnsi="Times New Roman"/>
          <w:b w:val="0"/>
          <w:bCs/>
          <w:sz w:val="22"/>
          <w:szCs w:val="22"/>
          <w:lang w:val="en-US" w:eastAsia="ja-JP"/>
        </w:rPr>
        <w:t>meta-analy</w:t>
      </w:r>
      <w:r w:rsidR="00F915E6" w:rsidRPr="00C40A28">
        <w:rPr>
          <w:rFonts w:ascii="Times New Roman" w:hAnsi="Times New Roman"/>
          <w:b w:val="0"/>
          <w:bCs/>
          <w:sz w:val="22"/>
          <w:szCs w:val="22"/>
          <w:lang w:val="en-US" w:eastAsia="ja-JP"/>
        </w:rPr>
        <w:t>z</w:t>
      </w:r>
      <w:r w:rsidR="00311ED8" w:rsidRPr="00C40A28">
        <w:rPr>
          <w:rFonts w:ascii="Times New Roman" w:hAnsi="Times New Roman"/>
          <w:b w:val="0"/>
          <w:bCs/>
          <w:sz w:val="22"/>
          <w:szCs w:val="22"/>
          <w:lang w:val="en-US" w:eastAsia="ja-JP"/>
        </w:rPr>
        <w:t>ed</w:t>
      </w:r>
      <w:r w:rsidR="004E7AE7" w:rsidRPr="00C40A28">
        <w:rPr>
          <w:rFonts w:ascii="Times New Roman" w:hAnsi="Times New Roman"/>
          <w:b w:val="0"/>
          <w:bCs/>
          <w:sz w:val="22"/>
          <w:szCs w:val="22"/>
          <w:lang w:val="en-US" w:eastAsia="ja-JP"/>
        </w:rPr>
        <w:t xml:space="preserve">. </w:t>
      </w:r>
      <w:r w:rsidR="00ED35D1" w:rsidRPr="00C40A28">
        <w:rPr>
          <w:rFonts w:ascii="Times New Roman" w:hAnsi="Times New Roman"/>
          <w:b w:val="0"/>
          <w:bCs/>
          <w:sz w:val="22"/>
          <w:szCs w:val="22"/>
          <w:lang w:val="en-US" w:eastAsia="ja-JP"/>
        </w:rPr>
        <w:t xml:space="preserve">Because </w:t>
      </w:r>
      <w:r w:rsidR="00363BC2">
        <w:rPr>
          <w:rFonts w:ascii="Times New Roman" w:hAnsi="Times New Roman"/>
          <w:b w:val="0"/>
          <w:bCs/>
          <w:sz w:val="22"/>
          <w:szCs w:val="22"/>
          <w:lang w:val="en-US" w:eastAsia="ja-JP"/>
        </w:rPr>
        <w:t xml:space="preserve">we considered the tests for </w:t>
      </w:r>
      <w:r w:rsidR="00ED35D1" w:rsidRPr="00C40A28">
        <w:rPr>
          <w:rFonts w:ascii="Times New Roman" w:hAnsi="Times New Roman"/>
          <w:b w:val="0"/>
          <w:bCs/>
          <w:sz w:val="22"/>
          <w:szCs w:val="22"/>
          <w:lang w:val="en-US" w:eastAsia="ja-JP"/>
        </w:rPr>
        <w:t xml:space="preserve">interactions </w:t>
      </w:r>
      <w:r w:rsidR="00363BC2">
        <w:rPr>
          <w:rFonts w:ascii="Times New Roman" w:hAnsi="Times New Roman"/>
          <w:b w:val="0"/>
          <w:bCs/>
          <w:sz w:val="22"/>
          <w:szCs w:val="22"/>
          <w:lang w:val="en-US" w:eastAsia="ja-JP"/>
        </w:rPr>
        <w:t xml:space="preserve">as </w:t>
      </w:r>
      <w:r w:rsidR="00311ED8" w:rsidRPr="00C40A28">
        <w:rPr>
          <w:rFonts w:ascii="Times New Roman" w:hAnsi="Times New Roman"/>
          <w:b w:val="0"/>
          <w:bCs/>
          <w:sz w:val="22"/>
          <w:szCs w:val="22"/>
          <w:lang w:val="en-US" w:eastAsia="ja-JP"/>
        </w:rPr>
        <w:t>exploratory</w:t>
      </w:r>
      <w:r w:rsidR="0044280E" w:rsidRPr="00C40A28">
        <w:rPr>
          <w:rFonts w:ascii="Times New Roman" w:hAnsi="Times New Roman"/>
          <w:b w:val="0"/>
          <w:bCs/>
          <w:sz w:val="22"/>
          <w:szCs w:val="22"/>
          <w:lang w:val="en-US" w:eastAsia="ja-JP"/>
        </w:rPr>
        <w:t xml:space="preserve">, </w:t>
      </w:r>
      <w:r w:rsidR="00D46468" w:rsidRPr="00C40A28">
        <w:rPr>
          <w:rFonts w:ascii="Times New Roman" w:hAnsi="Times New Roman"/>
          <w:b w:val="0"/>
          <w:bCs/>
          <w:sz w:val="22"/>
          <w:szCs w:val="22"/>
          <w:lang w:val="en-US" w:eastAsia="ja-JP"/>
        </w:rPr>
        <w:t xml:space="preserve">we </w:t>
      </w:r>
      <w:r w:rsidR="00363BC2">
        <w:rPr>
          <w:rFonts w:ascii="Times New Roman" w:hAnsi="Times New Roman"/>
          <w:b w:val="0"/>
          <w:bCs/>
          <w:sz w:val="22"/>
          <w:szCs w:val="22"/>
          <w:lang w:val="en-US" w:eastAsia="ja-JP"/>
        </w:rPr>
        <w:t>applied correction for</w:t>
      </w:r>
      <w:r w:rsidR="00C85FDA" w:rsidRPr="00C40A28">
        <w:rPr>
          <w:rFonts w:ascii="Times New Roman" w:hAnsi="Times New Roman"/>
          <w:b w:val="0"/>
          <w:bCs/>
          <w:sz w:val="22"/>
          <w:szCs w:val="22"/>
          <w:lang w:val="en-US" w:eastAsia="ja-JP"/>
        </w:rPr>
        <w:t xml:space="preserve"> </w:t>
      </w:r>
      <w:r w:rsidR="007A5E90" w:rsidRPr="00C40A28">
        <w:rPr>
          <w:rFonts w:ascii="Times New Roman" w:hAnsi="Times New Roman"/>
          <w:b w:val="0"/>
          <w:bCs/>
          <w:sz w:val="22"/>
          <w:szCs w:val="22"/>
          <w:lang w:val="en-US" w:eastAsia="ja-JP"/>
        </w:rPr>
        <w:t xml:space="preserve">multiple testing </w:t>
      </w:r>
      <w:r w:rsidR="00363BC2">
        <w:rPr>
          <w:rFonts w:ascii="Times New Roman" w:hAnsi="Times New Roman"/>
          <w:b w:val="0"/>
          <w:bCs/>
          <w:sz w:val="22"/>
          <w:szCs w:val="22"/>
          <w:lang w:val="en-US" w:eastAsia="ja-JP"/>
        </w:rPr>
        <w:t>as α</w:t>
      </w:r>
      <w:r w:rsidR="00363BC2" w:rsidRPr="00363BC2">
        <w:rPr>
          <w:rFonts w:ascii="Times New Roman" w:hAnsi="Times New Roman"/>
          <w:b w:val="0"/>
          <w:bCs/>
          <w:sz w:val="22"/>
          <w:szCs w:val="22"/>
          <w:vertAlign w:val="subscript"/>
          <w:lang w:val="en-US" w:eastAsia="ja-JP"/>
        </w:rPr>
        <w:t>two-tailed</w:t>
      </w:r>
      <w:r w:rsidR="00C85FDA" w:rsidRPr="00C40A28">
        <w:rPr>
          <w:rFonts w:ascii="Times New Roman" w:hAnsi="Times New Roman"/>
          <w:b w:val="0"/>
          <w:bCs/>
          <w:sz w:val="22"/>
          <w:szCs w:val="22"/>
          <w:lang w:val="en-US" w:eastAsia="ja-JP"/>
        </w:rPr>
        <w:t>=</w:t>
      </w:r>
      <w:r w:rsidR="0044280E" w:rsidRPr="00C40A28">
        <w:rPr>
          <w:rFonts w:ascii="Times New Roman" w:hAnsi="Times New Roman"/>
          <w:b w:val="0"/>
          <w:bCs/>
          <w:sz w:val="22"/>
          <w:szCs w:val="22"/>
          <w:lang w:val="en-US" w:eastAsia="ja-JP"/>
        </w:rPr>
        <w:t>0</w:t>
      </w:r>
      <w:r w:rsidR="00D44BE2" w:rsidRPr="00C40A28">
        <w:rPr>
          <w:rFonts w:ascii="Times New Roman" w:hAnsi="Times New Roman"/>
          <w:b w:val="0"/>
          <w:bCs/>
          <w:sz w:val="22"/>
          <w:szCs w:val="22"/>
          <w:lang w:val="en-US" w:eastAsia="ja-JP"/>
        </w:rPr>
        <w:t>.</w:t>
      </w:r>
      <w:r w:rsidR="0044280E" w:rsidRPr="00C40A28">
        <w:rPr>
          <w:rFonts w:ascii="Times New Roman" w:hAnsi="Times New Roman"/>
          <w:b w:val="0"/>
          <w:bCs/>
          <w:sz w:val="22"/>
          <w:szCs w:val="22"/>
          <w:lang w:val="en-US" w:eastAsia="ja-JP"/>
        </w:rPr>
        <w:t>003</w:t>
      </w:r>
      <w:r w:rsidR="007A5E90" w:rsidRPr="00C40A28">
        <w:rPr>
          <w:rFonts w:ascii="Times New Roman" w:hAnsi="Times New Roman"/>
          <w:b w:val="0"/>
          <w:bCs/>
          <w:sz w:val="22"/>
          <w:szCs w:val="22"/>
          <w:lang w:val="en-US" w:eastAsia="ja-JP"/>
        </w:rPr>
        <w:t>1</w:t>
      </w:r>
      <w:r w:rsidR="0044280E" w:rsidRPr="00C40A28">
        <w:rPr>
          <w:rFonts w:ascii="Times New Roman" w:hAnsi="Times New Roman"/>
          <w:b w:val="0"/>
          <w:bCs/>
          <w:sz w:val="22"/>
          <w:szCs w:val="22"/>
          <w:lang w:val="en-US" w:eastAsia="ja-JP"/>
        </w:rPr>
        <w:t xml:space="preserve"> (0</w:t>
      </w:r>
      <w:r w:rsidR="00D44BE2" w:rsidRPr="00C40A28">
        <w:rPr>
          <w:rFonts w:ascii="Times New Roman" w:hAnsi="Times New Roman"/>
          <w:b w:val="0"/>
          <w:bCs/>
          <w:sz w:val="22"/>
          <w:szCs w:val="22"/>
          <w:lang w:val="en-US" w:eastAsia="ja-JP"/>
        </w:rPr>
        <w:t>.</w:t>
      </w:r>
      <w:r w:rsidR="0044280E" w:rsidRPr="00C40A28">
        <w:rPr>
          <w:rFonts w:ascii="Times New Roman" w:hAnsi="Times New Roman"/>
          <w:b w:val="0"/>
          <w:bCs/>
          <w:sz w:val="22"/>
          <w:szCs w:val="22"/>
          <w:lang w:val="en-US" w:eastAsia="ja-JP"/>
        </w:rPr>
        <w:t xml:space="preserve">05/4 fatty acids/4 </w:t>
      </w:r>
      <w:r w:rsidR="001F75E0" w:rsidRPr="00C40A28">
        <w:rPr>
          <w:rFonts w:ascii="Times New Roman" w:hAnsi="Times New Roman"/>
          <w:b w:val="0"/>
          <w:bCs/>
          <w:sz w:val="22"/>
          <w:szCs w:val="22"/>
          <w:lang w:val="en-US" w:eastAsia="ja-JP"/>
        </w:rPr>
        <w:t>potential effect-modifiers</w:t>
      </w:r>
      <w:r w:rsidR="0044280E" w:rsidRPr="00C40A28">
        <w:rPr>
          <w:rFonts w:ascii="Times New Roman" w:hAnsi="Times New Roman"/>
          <w:b w:val="0"/>
          <w:bCs/>
          <w:sz w:val="22"/>
          <w:szCs w:val="22"/>
          <w:lang w:val="en-US" w:eastAsia="ja-JP"/>
        </w:rPr>
        <w:t xml:space="preserve">). </w:t>
      </w:r>
      <w:r w:rsidR="0018750B" w:rsidRPr="00C40A28">
        <w:rPr>
          <w:rFonts w:ascii="Times New Roman" w:hAnsi="Times New Roman"/>
          <w:b w:val="0"/>
          <w:bCs/>
          <w:sz w:val="22"/>
          <w:szCs w:val="22"/>
          <w:lang w:val="en-US" w:eastAsia="ja-JP"/>
        </w:rPr>
        <w:t>If a</w:t>
      </w:r>
      <w:r w:rsidR="006E4985" w:rsidRPr="00C40A28">
        <w:rPr>
          <w:rFonts w:ascii="Times New Roman" w:hAnsi="Times New Roman"/>
          <w:b w:val="0"/>
          <w:bCs/>
          <w:sz w:val="22"/>
          <w:szCs w:val="22"/>
          <w:lang w:val="en-US" w:eastAsia="ja-JP"/>
        </w:rPr>
        <w:t xml:space="preserve">n </w:t>
      </w:r>
      <w:r w:rsidR="0018750B" w:rsidRPr="00C40A28">
        <w:rPr>
          <w:rFonts w:ascii="Times New Roman" w:hAnsi="Times New Roman"/>
          <w:b w:val="0"/>
          <w:bCs/>
          <w:sz w:val="22"/>
          <w:szCs w:val="22"/>
          <w:lang w:val="en-US" w:eastAsia="ja-JP"/>
        </w:rPr>
        <w:t xml:space="preserve">interaction was </w:t>
      </w:r>
      <w:r w:rsidR="00ED35D1" w:rsidRPr="00C40A28">
        <w:rPr>
          <w:rFonts w:ascii="Times New Roman" w:hAnsi="Times New Roman"/>
          <w:b w:val="0"/>
          <w:bCs/>
          <w:sz w:val="22"/>
          <w:szCs w:val="22"/>
          <w:lang w:val="en-US" w:eastAsia="ja-JP"/>
        </w:rPr>
        <w:t xml:space="preserve">statistically </w:t>
      </w:r>
      <w:r w:rsidR="006E4985" w:rsidRPr="00C40A28">
        <w:rPr>
          <w:rFonts w:ascii="Times New Roman" w:hAnsi="Times New Roman"/>
          <w:b w:val="0"/>
          <w:bCs/>
          <w:sz w:val="22"/>
          <w:szCs w:val="22"/>
          <w:lang w:val="en-US" w:eastAsia="ja-JP"/>
        </w:rPr>
        <w:t>significant</w:t>
      </w:r>
      <w:r w:rsidR="0018750B" w:rsidRPr="00C40A28">
        <w:rPr>
          <w:rFonts w:ascii="Times New Roman" w:hAnsi="Times New Roman"/>
          <w:b w:val="0"/>
          <w:bCs/>
          <w:sz w:val="22"/>
          <w:szCs w:val="22"/>
          <w:lang w:val="en-US" w:eastAsia="ja-JP"/>
        </w:rPr>
        <w:t xml:space="preserve">, stratum-specific </w:t>
      </w:r>
      <w:r w:rsidR="00E9512A" w:rsidRPr="00C40A28">
        <w:rPr>
          <w:rFonts w:ascii="Times New Roman" w:hAnsi="Times New Roman"/>
          <w:b w:val="0"/>
          <w:bCs/>
          <w:sz w:val="22"/>
          <w:szCs w:val="22"/>
          <w:lang w:val="en-US" w:eastAsia="ja-JP"/>
        </w:rPr>
        <w:t xml:space="preserve">associations </w:t>
      </w:r>
      <w:r w:rsidR="0018750B" w:rsidRPr="00C40A28">
        <w:rPr>
          <w:rFonts w:ascii="Times New Roman" w:hAnsi="Times New Roman"/>
          <w:b w:val="0"/>
          <w:bCs/>
          <w:sz w:val="22"/>
          <w:szCs w:val="22"/>
          <w:lang w:val="en-US" w:eastAsia="ja-JP"/>
        </w:rPr>
        <w:t xml:space="preserve">were </w:t>
      </w:r>
      <w:r w:rsidR="00E9512A" w:rsidRPr="00C40A28">
        <w:rPr>
          <w:rFonts w:ascii="Times New Roman" w:hAnsi="Times New Roman"/>
          <w:b w:val="0"/>
          <w:bCs/>
          <w:sz w:val="22"/>
          <w:szCs w:val="22"/>
          <w:lang w:val="en-US" w:eastAsia="ja-JP"/>
        </w:rPr>
        <w:t xml:space="preserve">estimated </w:t>
      </w:r>
      <w:r w:rsidR="00724172" w:rsidRPr="00C40A28">
        <w:rPr>
          <w:rFonts w:ascii="Times New Roman" w:hAnsi="Times New Roman"/>
          <w:b w:val="0"/>
          <w:bCs/>
          <w:sz w:val="22"/>
          <w:szCs w:val="22"/>
          <w:lang w:val="en-US" w:eastAsia="ja-JP"/>
        </w:rPr>
        <w:t xml:space="preserve">by using </w:t>
      </w:r>
      <w:r w:rsidR="00724172" w:rsidRPr="00C40A28">
        <w:rPr>
          <w:rFonts w:ascii="Times New Roman" w:hAnsi="Times New Roman"/>
          <w:b w:val="0"/>
          <w:bCs/>
          <w:sz w:val="22"/>
          <w:szCs w:val="22"/>
          <w:lang w:val="en-US" w:eastAsia="ja-JP"/>
        </w:rPr>
        <w:lastRenderedPageBreak/>
        <w:t xml:space="preserve">regression coefficients and variance-covariance </w:t>
      </w:r>
      <w:r w:rsidR="00033B22" w:rsidRPr="00C40A28">
        <w:rPr>
          <w:rFonts w:ascii="Times New Roman" w:hAnsi="Times New Roman"/>
          <w:b w:val="0"/>
          <w:bCs/>
          <w:sz w:val="22"/>
          <w:szCs w:val="22"/>
          <w:lang w:val="en-US" w:eastAsia="ja-JP"/>
        </w:rPr>
        <w:t xml:space="preserve">matrices </w:t>
      </w:r>
      <w:r w:rsidR="0018750B" w:rsidRPr="00C40A28">
        <w:rPr>
          <w:rFonts w:ascii="Times New Roman" w:hAnsi="Times New Roman"/>
          <w:b w:val="0"/>
          <w:bCs/>
          <w:sz w:val="22"/>
          <w:szCs w:val="22"/>
          <w:lang w:val="en-US" w:eastAsia="ja-JP"/>
        </w:rPr>
        <w:t xml:space="preserve">and </w:t>
      </w:r>
      <w:r w:rsidR="00ED35D1" w:rsidRPr="00C40A28">
        <w:rPr>
          <w:rFonts w:ascii="Times New Roman" w:hAnsi="Times New Roman"/>
          <w:b w:val="0"/>
          <w:bCs/>
          <w:sz w:val="22"/>
          <w:szCs w:val="22"/>
          <w:lang w:val="en-US" w:eastAsia="ja-JP"/>
        </w:rPr>
        <w:t xml:space="preserve">then </w:t>
      </w:r>
      <w:r w:rsidR="0018750B" w:rsidRPr="00C40A28">
        <w:rPr>
          <w:rFonts w:ascii="Times New Roman" w:hAnsi="Times New Roman"/>
          <w:b w:val="0"/>
          <w:bCs/>
          <w:sz w:val="22"/>
          <w:szCs w:val="22"/>
          <w:lang w:val="en-US" w:eastAsia="ja-JP"/>
        </w:rPr>
        <w:t xml:space="preserve">pooled </w:t>
      </w:r>
      <w:r w:rsidR="00657DD8" w:rsidRPr="00C40A28">
        <w:rPr>
          <w:rFonts w:ascii="Times New Roman" w:hAnsi="Times New Roman"/>
          <w:b w:val="0"/>
          <w:bCs/>
          <w:sz w:val="22"/>
          <w:szCs w:val="22"/>
          <w:lang w:val="en-US" w:eastAsia="ja-JP"/>
        </w:rPr>
        <w:t xml:space="preserve">using </w:t>
      </w:r>
      <w:r w:rsidR="0018750B" w:rsidRPr="00C40A28">
        <w:rPr>
          <w:rFonts w:ascii="Times New Roman" w:hAnsi="Times New Roman"/>
          <w:b w:val="0"/>
          <w:bCs/>
          <w:sz w:val="22"/>
          <w:szCs w:val="22"/>
          <w:lang w:val="en-US" w:eastAsia="ja-JP"/>
        </w:rPr>
        <w:t>meta-analysis.</w:t>
      </w:r>
      <w:r w:rsidR="00B6146D" w:rsidRPr="00C40A28">
        <w:rPr>
          <w:rFonts w:ascii="Times New Roman" w:hAnsi="Times New Roman"/>
          <w:b w:val="0"/>
          <w:bCs/>
          <w:sz w:val="22"/>
          <w:szCs w:val="22"/>
          <w:lang w:val="en-US" w:eastAsia="ja-JP"/>
        </w:rPr>
        <w:t xml:space="preserve"> </w:t>
      </w:r>
      <w:r w:rsidR="0044280E" w:rsidRPr="00C40A28">
        <w:rPr>
          <w:rFonts w:ascii="Times New Roman" w:hAnsi="Times New Roman"/>
          <w:b w:val="0"/>
          <w:bCs/>
          <w:sz w:val="22"/>
          <w:szCs w:val="22"/>
          <w:lang w:val="en-US" w:eastAsia="ja-JP"/>
        </w:rPr>
        <w:t xml:space="preserve">We </w:t>
      </w:r>
      <w:r w:rsidR="00363BC2">
        <w:rPr>
          <w:rFonts w:ascii="Times New Roman" w:hAnsi="Times New Roman"/>
          <w:b w:val="0"/>
          <w:bCs/>
          <w:sz w:val="22"/>
          <w:szCs w:val="22"/>
          <w:lang w:val="en-US" w:eastAsia="ja-JP"/>
        </w:rPr>
        <w:t xml:space="preserve">fitted </w:t>
      </w:r>
      <w:r w:rsidR="00545B8A" w:rsidRPr="00C40A28">
        <w:rPr>
          <w:rFonts w:ascii="Times New Roman" w:hAnsi="Times New Roman"/>
          <w:b w:val="0"/>
          <w:bCs/>
          <w:sz w:val="22"/>
          <w:szCs w:val="22"/>
          <w:lang w:val="en-US" w:eastAsia="ja-JP"/>
        </w:rPr>
        <w:t xml:space="preserve">meta-regression </w:t>
      </w:r>
      <w:r w:rsidR="00363BC2">
        <w:rPr>
          <w:rFonts w:ascii="Times New Roman" w:hAnsi="Times New Roman"/>
          <w:b w:val="0"/>
          <w:bCs/>
          <w:sz w:val="22"/>
          <w:szCs w:val="22"/>
          <w:lang w:val="en-US" w:eastAsia="ja-JP"/>
        </w:rPr>
        <w:t xml:space="preserve">models </w:t>
      </w:r>
      <w:r w:rsidR="00545B8A" w:rsidRPr="00C40A28">
        <w:rPr>
          <w:rFonts w:ascii="Times New Roman" w:hAnsi="Times New Roman"/>
          <w:b w:val="0"/>
          <w:bCs/>
          <w:sz w:val="22"/>
          <w:szCs w:val="22"/>
          <w:lang w:val="en-US" w:eastAsia="ja-JP"/>
        </w:rPr>
        <w:t xml:space="preserve">and stratified meta-analyses to </w:t>
      </w:r>
      <w:r w:rsidR="00363BC2">
        <w:rPr>
          <w:rFonts w:ascii="Times New Roman" w:hAnsi="Times New Roman"/>
          <w:b w:val="0"/>
          <w:bCs/>
          <w:sz w:val="22"/>
          <w:szCs w:val="22"/>
          <w:lang w:val="en-US" w:eastAsia="ja-JP"/>
        </w:rPr>
        <w:t>investigate</w:t>
      </w:r>
      <w:r w:rsidR="00363BC2" w:rsidRPr="00C40A28">
        <w:rPr>
          <w:rFonts w:ascii="Times New Roman" w:hAnsi="Times New Roman"/>
          <w:b w:val="0"/>
          <w:bCs/>
          <w:sz w:val="22"/>
          <w:szCs w:val="22"/>
          <w:lang w:val="en-US" w:eastAsia="ja-JP"/>
        </w:rPr>
        <w:t xml:space="preserve"> </w:t>
      </w:r>
      <w:r w:rsidR="00363BC2">
        <w:rPr>
          <w:rFonts w:ascii="Times New Roman" w:hAnsi="Times New Roman"/>
          <w:b w:val="0"/>
          <w:bCs/>
          <w:sz w:val="22"/>
          <w:szCs w:val="22"/>
          <w:lang w:val="en-US" w:eastAsia="ja-JP"/>
        </w:rPr>
        <w:t>potential sources of</w:t>
      </w:r>
      <w:r w:rsidR="004475B2" w:rsidRPr="00C40A28">
        <w:rPr>
          <w:rFonts w:ascii="Times New Roman" w:hAnsi="Times New Roman"/>
          <w:b w:val="0"/>
          <w:bCs/>
          <w:sz w:val="22"/>
          <w:szCs w:val="22"/>
          <w:lang w:val="en-US" w:eastAsia="ja-JP"/>
        </w:rPr>
        <w:t xml:space="preserve"> </w:t>
      </w:r>
      <w:r w:rsidR="00363BC2">
        <w:rPr>
          <w:rFonts w:ascii="Times New Roman" w:hAnsi="Times New Roman"/>
          <w:b w:val="0"/>
          <w:bCs/>
          <w:sz w:val="22"/>
          <w:szCs w:val="22"/>
          <w:lang w:val="en-US" w:eastAsia="ja-JP"/>
        </w:rPr>
        <w:t xml:space="preserve">heterogeneity due to </w:t>
      </w:r>
      <w:r w:rsidR="0044280E" w:rsidRPr="00C40A28">
        <w:rPr>
          <w:rFonts w:ascii="Times New Roman" w:hAnsi="Times New Roman"/>
          <w:b w:val="0"/>
          <w:bCs/>
          <w:sz w:val="22"/>
          <w:szCs w:val="22"/>
          <w:lang w:val="en-US" w:eastAsia="ja-JP"/>
        </w:rPr>
        <w:t>study-specific characteristics</w:t>
      </w:r>
      <w:r w:rsidR="00363BC2">
        <w:rPr>
          <w:rFonts w:ascii="Times New Roman" w:hAnsi="Times New Roman"/>
          <w:b w:val="0"/>
          <w:bCs/>
          <w:sz w:val="22"/>
          <w:szCs w:val="22"/>
          <w:lang w:val="en-US" w:eastAsia="ja-JP"/>
        </w:rPr>
        <w:t>,</w:t>
      </w:r>
      <w:r w:rsidR="00C85FDA" w:rsidRPr="00C40A28">
        <w:rPr>
          <w:rFonts w:ascii="Times New Roman" w:hAnsi="Times New Roman"/>
          <w:b w:val="0"/>
          <w:bCs/>
          <w:sz w:val="22"/>
          <w:szCs w:val="22"/>
          <w:lang w:val="en-US" w:eastAsia="ja-JP"/>
        </w:rPr>
        <w:t xml:space="preserve"> </w:t>
      </w:r>
      <w:r w:rsidR="00363BC2">
        <w:rPr>
          <w:rFonts w:ascii="Times New Roman" w:hAnsi="Times New Roman"/>
          <w:b w:val="0"/>
          <w:bCs/>
          <w:sz w:val="22"/>
          <w:szCs w:val="22"/>
          <w:lang w:val="en-US" w:eastAsia="ja-JP"/>
        </w:rPr>
        <w:t xml:space="preserve">Factors examined included </w:t>
      </w:r>
      <w:r w:rsidR="0044280E" w:rsidRPr="00C40A28">
        <w:rPr>
          <w:rFonts w:ascii="Times New Roman" w:hAnsi="Times New Roman"/>
          <w:b w:val="0"/>
          <w:bCs/>
          <w:sz w:val="22"/>
          <w:szCs w:val="22"/>
          <w:lang w:val="en-US" w:eastAsia="ja-JP"/>
        </w:rPr>
        <w:t xml:space="preserve">lipid </w:t>
      </w:r>
      <w:r w:rsidR="003C3A2F" w:rsidRPr="00C40A28">
        <w:rPr>
          <w:rFonts w:ascii="Times New Roman" w:hAnsi="Times New Roman"/>
          <w:b w:val="0"/>
          <w:bCs/>
          <w:sz w:val="22"/>
          <w:szCs w:val="22"/>
          <w:lang w:val="en-US" w:eastAsia="ja-JP"/>
        </w:rPr>
        <w:t>fraction</w:t>
      </w:r>
      <w:r w:rsidR="00D8344E" w:rsidRPr="00C40A28">
        <w:rPr>
          <w:rFonts w:ascii="Times New Roman" w:hAnsi="Times New Roman"/>
          <w:b w:val="0"/>
          <w:bCs/>
          <w:sz w:val="22"/>
          <w:szCs w:val="22"/>
          <w:lang w:val="en-US" w:eastAsia="ja-JP"/>
        </w:rPr>
        <w:t xml:space="preserve">, </w:t>
      </w:r>
      <w:r w:rsidR="00657DD8" w:rsidRPr="00C40A28">
        <w:rPr>
          <w:rFonts w:ascii="Times New Roman" w:hAnsi="Times New Roman"/>
          <w:b w:val="0"/>
          <w:bCs/>
          <w:sz w:val="22"/>
          <w:szCs w:val="22"/>
          <w:lang w:val="en-US" w:eastAsia="ja-JP"/>
        </w:rPr>
        <w:t xml:space="preserve">geographical </w:t>
      </w:r>
      <w:r w:rsidR="00D8344E" w:rsidRPr="00C40A28">
        <w:rPr>
          <w:rFonts w:ascii="Times New Roman" w:hAnsi="Times New Roman"/>
          <w:b w:val="0"/>
          <w:bCs/>
          <w:sz w:val="22"/>
          <w:szCs w:val="22"/>
          <w:lang w:val="en-US" w:eastAsia="ja-JP"/>
        </w:rPr>
        <w:t xml:space="preserve">region </w:t>
      </w:r>
      <w:r w:rsidR="0044280E" w:rsidRPr="00C40A28">
        <w:rPr>
          <w:rFonts w:ascii="Times New Roman" w:hAnsi="Times New Roman"/>
          <w:b w:val="0"/>
          <w:bCs/>
          <w:sz w:val="22"/>
          <w:szCs w:val="22"/>
          <w:lang w:val="en-US" w:eastAsia="ja-JP"/>
        </w:rPr>
        <w:t xml:space="preserve">(Europe/Australia, </w:t>
      </w:r>
      <w:r w:rsidR="00B65A47" w:rsidRPr="00C40A28">
        <w:rPr>
          <w:rFonts w:ascii="Times New Roman" w:hAnsi="Times New Roman"/>
          <w:b w:val="0"/>
          <w:bCs/>
          <w:sz w:val="22"/>
          <w:szCs w:val="22"/>
          <w:lang w:val="en-US" w:eastAsia="ja-JP"/>
        </w:rPr>
        <w:t xml:space="preserve">United States, </w:t>
      </w:r>
      <w:r w:rsidR="0044280E" w:rsidRPr="00C40A28">
        <w:rPr>
          <w:rFonts w:ascii="Times New Roman" w:hAnsi="Times New Roman"/>
          <w:b w:val="0"/>
          <w:bCs/>
          <w:sz w:val="22"/>
          <w:szCs w:val="22"/>
          <w:lang w:val="en-US" w:eastAsia="ja-JP"/>
        </w:rPr>
        <w:t>Asia)</w:t>
      </w:r>
      <w:r w:rsidR="00B6146D" w:rsidRPr="00C40A28">
        <w:rPr>
          <w:rFonts w:ascii="Times New Roman" w:hAnsi="Times New Roman"/>
          <w:b w:val="0"/>
          <w:bCs/>
          <w:sz w:val="22"/>
          <w:szCs w:val="22"/>
          <w:lang w:val="en-US" w:eastAsia="ja-JP"/>
        </w:rPr>
        <w:t>,</w:t>
      </w:r>
      <w:r w:rsidR="00A42309" w:rsidRPr="00C40A28">
        <w:rPr>
          <w:rFonts w:ascii="Times New Roman" w:hAnsi="Times New Roman"/>
          <w:b w:val="0"/>
          <w:bCs/>
          <w:sz w:val="22"/>
          <w:szCs w:val="22"/>
          <w:lang w:val="en-US" w:eastAsia="ja-JP"/>
        </w:rPr>
        <w:t xml:space="preserve"> </w:t>
      </w:r>
      <w:r w:rsidR="00724172" w:rsidRPr="00C40A28">
        <w:rPr>
          <w:rFonts w:ascii="Times New Roman" w:hAnsi="Times New Roman"/>
          <w:b w:val="0"/>
          <w:bCs/>
          <w:sz w:val="22"/>
          <w:szCs w:val="22"/>
          <w:lang w:val="en-US" w:eastAsia="ja-JP"/>
        </w:rPr>
        <w:t xml:space="preserve">and </w:t>
      </w:r>
      <w:r w:rsidR="00105735" w:rsidRPr="00C40A28">
        <w:rPr>
          <w:rFonts w:ascii="Times New Roman" w:hAnsi="Times New Roman"/>
          <w:b w:val="0"/>
          <w:bCs/>
          <w:sz w:val="22"/>
          <w:szCs w:val="22"/>
          <w:lang w:val="en-US" w:eastAsia="ja-JP"/>
        </w:rPr>
        <w:t xml:space="preserve">prevalence of </w:t>
      </w:r>
      <w:r w:rsidR="00F915E6" w:rsidRPr="00C40A28">
        <w:rPr>
          <w:rFonts w:ascii="Times New Roman" w:hAnsi="Times New Roman"/>
          <w:b w:val="0"/>
          <w:bCs/>
          <w:sz w:val="22"/>
          <w:szCs w:val="22"/>
          <w:lang w:val="en-US" w:eastAsia="ja-JP"/>
        </w:rPr>
        <w:t>dyslipid</w:t>
      </w:r>
      <w:r w:rsidR="003A2F15" w:rsidRPr="00C40A28">
        <w:rPr>
          <w:rFonts w:ascii="Times New Roman" w:hAnsi="Times New Roman"/>
          <w:b w:val="0"/>
          <w:bCs/>
          <w:sz w:val="22"/>
          <w:szCs w:val="22"/>
          <w:lang w:val="en-US" w:eastAsia="ja-JP"/>
        </w:rPr>
        <w:t>emia</w:t>
      </w:r>
      <w:r w:rsidR="004475B2" w:rsidRPr="00C40A28">
        <w:rPr>
          <w:rFonts w:ascii="Times New Roman" w:hAnsi="Times New Roman"/>
          <w:b w:val="0"/>
          <w:bCs/>
          <w:sz w:val="22"/>
          <w:szCs w:val="22"/>
          <w:lang w:val="en-US" w:eastAsia="ja-JP"/>
        </w:rPr>
        <w:t xml:space="preserve">. </w:t>
      </w:r>
      <w:r w:rsidR="00E169F3" w:rsidRPr="00C40A28">
        <w:rPr>
          <w:rFonts w:ascii="Times New Roman" w:hAnsi="Times New Roman"/>
          <w:b w:val="0"/>
          <w:bCs/>
          <w:sz w:val="22"/>
          <w:szCs w:val="22"/>
          <w:lang w:val="en-US" w:eastAsia="ja-JP"/>
        </w:rPr>
        <w:t xml:space="preserve">To further explore sources of heterogeneity, </w:t>
      </w:r>
      <w:r w:rsidR="004475B2" w:rsidRPr="00C40A28">
        <w:rPr>
          <w:rFonts w:ascii="Times New Roman" w:hAnsi="Times New Roman"/>
          <w:b w:val="0"/>
          <w:bCs/>
          <w:sz w:val="22"/>
          <w:szCs w:val="22"/>
          <w:lang w:val="en-US" w:eastAsia="ja-JP"/>
        </w:rPr>
        <w:t xml:space="preserve">we evaluated </w:t>
      </w:r>
      <w:r w:rsidR="00E045AA" w:rsidRPr="00C40A28">
        <w:rPr>
          <w:rFonts w:ascii="Times New Roman" w:hAnsi="Times New Roman"/>
          <w:b w:val="0"/>
          <w:bCs/>
          <w:sz w:val="22"/>
          <w:szCs w:val="22"/>
          <w:lang w:val="en-US" w:eastAsia="ja-JP"/>
        </w:rPr>
        <w:t xml:space="preserve">the </w:t>
      </w:r>
      <w:r w:rsidR="004475B2" w:rsidRPr="00C40A28">
        <w:rPr>
          <w:rFonts w:ascii="Times New Roman" w:hAnsi="Times New Roman"/>
          <w:b w:val="0"/>
          <w:bCs/>
          <w:sz w:val="22"/>
          <w:szCs w:val="22"/>
          <w:lang w:val="en-US" w:eastAsia="ja-JP"/>
        </w:rPr>
        <w:t>following factors post hoc:</w:t>
      </w:r>
      <w:r w:rsidR="00864FE3" w:rsidRPr="00C40A28">
        <w:rPr>
          <w:rFonts w:ascii="Times New Roman" w:hAnsi="Times New Roman"/>
          <w:b w:val="0"/>
          <w:bCs/>
          <w:sz w:val="22"/>
          <w:szCs w:val="22"/>
          <w:lang w:val="en-US" w:eastAsia="ja-JP"/>
        </w:rPr>
        <w:t xml:space="preserve"> </w:t>
      </w:r>
      <w:r w:rsidR="00B66B0A" w:rsidRPr="00C40A28">
        <w:rPr>
          <w:rFonts w:ascii="Times New Roman" w:hAnsi="Times New Roman"/>
          <w:b w:val="0"/>
          <w:bCs/>
          <w:sz w:val="22"/>
          <w:szCs w:val="22"/>
          <w:lang w:val="en-US" w:eastAsia="ja-JP"/>
        </w:rPr>
        <w:t xml:space="preserve">prevalence of hypertension, </w:t>
      </w:r>
      <w:r w:rsidR="00340839" w:rsidRPr="00C40A28">
        <w:rPr>
          <w:rFonts w:ascii="Times New Roman" w:hAnsi="Times New Roman"/>
          <w:b w:val="0"/>
          <w:bCs/>
          <w:sz w:val="22"/>
          <w:szCs w:val="22"/>
          <w:lang w:val="en-US" w:eastAsia="ja-JP"/>
        </w:rPr>
        <w:t>mean</w:t>
      </w:r>
      <w:r w:rsidR="00864FE3" w:rsidRPr="00C40A28">
        <w:rPr>
          <w:rFonts w:ascii="Times New Roman" w:hAnsi="Times New Roman"/>
          <w:b w:val="0"/>
          <w:bCs/>
          <w:sz w:val="22"/>
          <w:szCs w:val="22"/>
          <w:lang w:val="en-US" w:eastAsia="ja-JP"/>
        </w:rPr>
        <w:t xml:space="preserve"> </w:t>
      </w:r>
      <w:r w:rsidR="00340839" w:rsidRPr="00C40A28">
        <w:rPr>
          <w:rFonts w:ascii="Times New Roman" w:hAnsi="Times New Roman"/>
          <w:b w:val="0"/>
          <w:bCs/>
          <w:sz w:val="22"/>
          <w:szCs w:val="22"/>
          <w:lang w:val="en-US" w:eastAsia="ja-JP"/>
        </w:rPr>
        <w:t>triglyceride concentrations,</w:t>
      </w:r>
      <w:r w:rsidR="00864FE3" w:rsidRPr="00C40A28">
        <w:rPr>
          <w:rFonts w:ascii="Times New Roman" w:hAnsi="Times New Roman"/>
          <w:b w:val="0"/>
          <w:bCs/>
          <w:sz w:val="22"/>
          <w:szCs w:val="22"/>
          <w:lang w:val="en-US" w:eastAsia="ja-JP"/>
        </w:rPr>
        <w:t xml:space="preserve"> </w:t>
      </w:r>
      <w:r w:rsidR="00340839" w:rsidRPr="00C40A28">
        <w:rPr>
          <w:rFonts w:ascii="Times New Roman" w:hAnsi="Times New Roman"/>
          <w:b w:val="0"/>
          <w:bCs/>
          <w:sz w:val="22"/>
          <w:szCs w:val="22"/>
          <w:lang w:val="en-US" w:eastAsia="ja-JP"/>
        </w:rPr>
        <w:t>fasting status</w:t>
      </w:r>
      <w:r w:rsidR="004475B2" w:rsidRPr="00C40A28">
        <w:rPr>
          <w:rFonts w:ascii="Times New Roman" w:hAnsi="Times New Roman"/>
          <w:b w:val="0"/>
          <w:bCs/>
          <w:sz w:val="22"/>
          <w:szCs w:val="22"/>
          <w:lang w:val="en-US" w:eastAsia="ja-JP"/>
        </w:rPr>
        <w:t xml:space="preserve">, </w:t>
      </w:r>
      <w:r w:rsidR="008D0B8A" w:rsidRPr="00C40A28">
        <w:rPr>
          <w:rFonts w:ascii="Times New Roman" w:hAnsi="Times New Roman"/>
          <w:b w:val="0"/>
          <w:bCs/>
          <w:sz w:val="22"/>
          <w:szCs w:val="22"/>
          <w:lang w:val="en-US" w:eastAsia="ja-JP"/>
        </w:rPr>
        <w:t xml:space="preserve">availability of time-to-event data, </w:t>
      </w:r>
      <w:r w:rsidR="004475B2" w:rsidRPr="00C40A28">
        <w:rPr>
          <w:rFonts w:ascii="Times New Roman" w:hAnsi="Times New Roman"/>
          <w:b w:val="0"/>
          <w:bCs/>
          <w:sz w:val="22"/>
          <w:szCs w:val="22"/>
          <w:lang w:val="en-US" w:eastAsia="ja-JP"/>
        </w:rPr>
        <w:t xml:space="preserve">and </w:t>
      </w:r>
      <w:r w:rsidR="002434DF" w:rsidRPr="00C40A28">
        <w:rPr>
          <w:rFonts w:ascii="Times New Roman" w:hAnsi="Times New Roman"/>
          <w:b w:val="0"/>
          <w:bCs/>
          <w:sz w:val="22"/>
          <w:szCs w:val="22"/>
          <w:lang w:val="en-US" w:eastAsia="ja-JP"/>
        </w:rPr>
        <w:t xml:space="preserve">mean years of </w:t>
      </w:r>
      <w:r w:rsidR="004475B2" w:rsidRPr="00C40A28">
        <w:rPr>
          <w:rFonts w:ascii="Times New Roman" w:hAnsi="Times New Roman"/>
          <w:b w:val="0"/>
          <w:bCs/>
          <w:sz w:val="22"/>
          <w:szCs w:val="22"/>
          <w:lang w:val="en-US" w:eastAsia="ja-JP"/>
        </w:rPr>
        <w:t>follow-up</w:t>
      </w:r>
      <w:r w:rsidR="0065036D" w:rsidRPr="00C40A28">
        <w:rPr>
          <w:rFonts w:ascii="Times New Roman" w:hAnsi="Times New Roman"/>
          <w:b w:val="0"/>
          <w:bCs/>
          <w:sz w:val="22"/>
          <w:szCs w:val="22"/>
          <w:lang w:val="en-US" w:eastAsia="ja-JP"/>
        </w:rPr>
        <w:t xml:space="preserve">. </w:t>
      </w:r>
      <w:r w:rsidR="004018C2" w:rsidRPr="00C40A28">
        <w:rPr>
          <w:rFonts w:ascii="Times New Roman" w:hAnsi="Times New Roman"/>
          <w:b w:val="0"/>
          <w:bCs/>
          <w:sz w:val="22"/>
          <w:szCs w:val="22"/>
          <w:lang w:val="en-US" w:eastAsia="ja-JP"/>
        </w:rPr>
        <w:t>As a sensitivity analysis, we conducted random-effects meta-analysis and meta-analysis after conver</w:t>
      </w:r>
      <w:r w:rsidR="00502699" w:rsidRPr="00C40A28">
        <w:rPr>
          <w:rFonts w:ascii="Times New Roman" w:hAnsi="Times New Roman"/>
          <w:b w:val="0"/>
          <w:bCs/>
          <w:sz w:val="22"/>
          <w:szCs w:val="22"/>
          <w:lang w:val="en-US" w:eastAsia="ja-JP"/>
        </w:rPr>
        <w:t xml:space="preserve">ting odds ratios to risk ratios </w:t>
      </w:r>
      <w:r w:rsidR="00C30728" w:rsidRPr="00C40A28">
        <w:rPr>
          <w:rFonts w:ascii="Times New Roman" w:hAnsi="Times New Roman"/>
          <w:b w:val="0"/>
          <w:bCs/>
          <w:sz w:val="22"/>
          <w:szCs w:val="22"/>
          <w:lang w:val="en-US" w:eastAsia="ja-JP"/>
        </w:rPr>
        <w:t xml:space="preserve">in </w:t>
      </w:r>
      <w:r w:rsidR="00502699" w:rsidRPr="00C40A28">
        <w:rPr>
          <w:rFonts w:ascii="Times New Roman" w:hAnsi="Times New Roman"/>
          <w:b w:val="0"/>
          <w:bCs/>
          <w:sz w:val="22"/>
          <w:szCs w:val="22"/>
          <w:lang w:val="en-US" w:eastAsia="ja-JP"/>
        </w:rPr>
        <w:t>AOC and MCCS</w:t>
      </w:r>
      <w:r w:rsidR="001A1366" w:rsidRPr="00C40A28">
        <w:rPr>
          <w:rFonts w:ascii="Times New Roman" w:hAnsi="Times New Roman"/>
          <w:b w:val="0"/>
          <w:bCs/>
          <w:sz w:val="22"/>
          <w:szCs w:val="22"/>
          <w:lang w:val="en-US" w:eastAsia="ja-JP"/>
        </w:rPr>
        <w:t xml:space="preserve"> </w:t>
      </w:r>
      <w:r w:rsidR="00C235E4" w:rsidRPr="00C40A28">
        <w:rPr>
          <w:rFonts w:ascii="Times New Roman" w:hAnsi="Times New Roman"/>
          <w:b w:val="0"/>
          <w:bCs/>
          <w:sz w:val="22"/>
          <w:szCs w:val="22"/>
          <w:lang w:val="en-US" w:eastAsia="ja-JP"/>
        </w:rPr>
        <w:fldChar w:fldCharType="begin" w:fldLock="1"/>
      </w:r>
      <w:r w:rsidR="006E5B40" w:rsidRPr="00C40A28">
        <w:rPr>
          <w:rFonts w:ascii="Times New Roman" w:hAnsi="Times New Roman"/>
          <w:b w:val="0"/>
          <w:bCs/>
          <w:sz w:val="22"/>
          <w:szCs w:val="22"/>
          <w:lang w:val="en-US" w:eastAsia="ja-JP"/>
        </w:rPr>
        <w:instrText>ADDIN CSL_CITATION {"citationItems":[{"id":"ITEM-1","itemData":{"DOI":"10.1001/jama.280.19.1690","ISBN":"0098-7484 (Print)\\r0098-7484 (Linking)","ISSN":"0098-7484","PMID":"9832001","abstract":"Logistic regression is used frequently in cohort studies and clinical trials. When the incidence of an outcome of interest is common in the study population (&gt;10%), the adjusted odds ratio derived from the logistic regression can no longer approximate the risk ratio. The more frequent the outcome, the more the odds ratio overestimates the risk ratio when it is more than 1 or underestimates it when it is less than 1. We propose a simple method to approximate a risk ratio from the adjusted odds ratio and derive an estimate of an association or treatment effect that better represents the true relative risk.","author":[{"dropping-particle":"","family":"Zhang","given":"Jun","non-dropping-particle":"","parse-names":false,"suffix":""},{"dropping-particle":"","family":"Yu","given":"K F","non-dropping-particle":"","parse-names":false,"suffix":""}],"container-title":"JAMA","id":"ITEM-1","issue":"19","issued":{"date-parts":[["1998","11","18"]]},"page":"1690","title":"What's the relative risk? A method of correcting the odds ratio in cohort studies of common outcomes.","type":"article-journal","volume":"280"},"uris":["http://www.mendeley.com/documents/?uuid=897bdb5d-5d6f-41d7-9909-fa775c503ee4"]}],"mendeley":{"formattedCitation":"[25]","plainTextFormattedCitation":"[25]","previouslyFormattedCitation":"[25]"},"properties":{"noteIndex":0},"schema":"https://github.com/citation-style-language/schema/raw/master/csl-citation.json"}</w:instrText>
      </w:r>
      <w:r w:rsidR="00C235E4" w:rsidRPr="00C40A28">
        <w:rPr>
          <w:rFonts w:ascii="Times New Roman" w:hAnsi="Times New Roman"/>
          <w:b w:val="0"/>
          <w:bCs/>
          <w:sz w:val="22"/>
          <w:szCs w:val="22"/>
          <w:lang w:val="en-US" w:eastAsia="ja-JP"/>
        </w:rPr>
        <w:fldChar w:fldCharType="separate"/>
      </w:r>
      <w:r w:rsidR="00C235E4" w:rsidRPr="00C40A28">
        <w:rPr>
          <w:rFonts w:ascii="Times New Roman" w:hAnsi="Times New Roman"/>
          <w:b w:val="0"/>
          <w:bCs/>
          <w:noProof/>
          <w:sz w:val="22"/>
          <w:szCs w:val="22"/>
          <w:lang w:val="en-US" w:eastAsia="ja-JP"/>
        </w:rPr>
        <w:t>[25]</w:t>
      </w:r>
      <w:r w:rsidR="00C235E4" w:rsidRPr="00C40A28">
        <w:rPr>
          <w:rFonts w:ascii="Times New Roman" w:hAnsi="Times New Roman"/>
          <w:b w:val="0"/>
          <w:bCs/>
          <w:sz w:val="22"/>
          <w:szCs w:val="22"/>
          <w:lang w:val="en-US" w:eastAsia="ja-JP"/>
        </w:rPr>
        <w:fldChar w:fldCharType="end"/>
      </w:r>
      <w:r w:rsidR="00502699" w:rsidRPr="00C40A28">
        <w:rPr>
          <w:rFonts w:ascii="Times New Roman" w:hAnsi="Times New Roman"/>
          <w:b w:val="0"/>
          <w:bCs/>
          <w:sz w:val="22"/>
          <w:szCs w:val="22"/>
          <w:lang w:val="en-US" w:eastAsia="ja-JP"/>
        </w:rPr>
        <w:t>.</w:t>
      </w:r>
      <w:r w:rsidR="004018C2" w:rsidRPr="00C40A28">
        <w:rPr>
          <w:rFonts w:ascii="Times New Roman" w:hAnsi="Times New Roman"/>
          <w:b w:val="0"/>
          <w:bCs/>
          <w:sz w:val="22"/>
          <w:szCs w:val="22"/>
          <w:lang w:val="en-US" w:eastAsia="ja-JP"/>
        </w:rPr>
        <w:t xml:space="preserve"> </w:t>
      </w:r>
      <w:r w:rsidR="00C85FDA" w:rsidRPr="00C40A28">
        <w:rPr>
          <w:rFonts w:ascii="Times New Roman" w:hAnsi="Times New Roman"/>
          <w:b w:val="0"/>
          <w:sz w:val="22"/>
          <w:szCs w:val="22"/>
          <w:lang w:val="en-US" w:eastAsia="ar-SA"/>
        </w:rPr>
        <w:t>M</w:t>
      </w:r>
      <w:r w:rsidR="003104F3" w:rsidRPr="00C40A28">
        <w:rPr>
          <w:rFonts w:ascii="Times New Roman" w:hAnsi="Times New Roman"/>
          <w:b w:val="0"/>
          <w:sz w:val="22"/>
          <w:szCs w:val="22"/>
          <w:lang w:val="en-US" w:eastAsia="ar-SA"/>
        </w:rPr>
        <w:t xml:space="preserve">eta-analyses were performed using </w:t>
      </w:r>
      <w:r w:rsidR="004A04F6" w:rsidRPr="00C40A28">
        <w:rPr>
          <w:rFonts w:ascii="Times New Roman" w:hAnsi="Times New Roman"/>
          <w:b w:val="0"/>
          <w:sz w:val="22"/>
          <w:szCs w:val="22"/>
          <w:lang w:val="en-US" w:eastAsia="ar-SA"/>
        </w:rPr>
        <w:t xml:space="preserve">Stata </w:t>
      </w:r>
      <w:r w:rsidR="003104F3" w:rsidRPr="00C40A28">
        <w:rPr>
          <w:rFonts w:ascii="Times New Roman" w:hAnsi="Times New Roman"/>
          <w:b w:val="0"/>
          <w:sz w:val="22"/>
          <w:szCs w:val="22"/>
          <w:lang w:val="en-US" w:eastAsia="ar-SA"/>
        </w:rPr>
        <w:t>1</w:t>
      </w:r>
      <w:r w:rsidR="004A04F6" w:rsidRPr="00C40A28">
        <w:rPr>
          <w:rFonts w:ascii="Times New Roman" w:hAnsi="Times New Roman"/>
          <w:b w:val="0"/>
          <w:sz w:val="22"/>
          <w:szCs w:val="22"/>
          <w:lang w:val="en-US" w:eastAsia="ar-SA"/>
        </w:rPr>
        <w:t>4</w:t>
      </w:r>
      <w:r w:rsidR="003104F3" w:rsidRPr="00C40A28">
        <w:rPr>
          <w:rFonts w:ascii="Times New Roman" w:hAnsi="Times New Roman"/>
          <w:b w:val="0"/>
          <w:sz w:val="22"/>
          <w:szCs w:val="22"/>
          <w:lang w:val="en-US" w:eastAsia="ar-SA"/>
        </w:rPr>
        <w:t>.</w:t>
      </w:r>
      <w:r w:rsidR="004A04F6" w:rsidRPr="00C40A28">
        <w:rPr>
          <w:rFonts w:ascii="Times New Roman" w:hAnsi="Times New Roman"/>
          <w:b w:val="0"/>
          <w:sz w:val="22"/>
          <w:szCs w:val="22"/>
          <w:lang w:val="en-US" w:eastAsia="ar-SA"/>
        </w:rPr>
        <w:t>2</w:t>
      </w:r>
      <w:r w:rsidR="003104F3" w:rsidRPr="00C40A28">
        <w:rPr>
          <w:rFonts w:ascii="Times New Roman" w:hAnsi="Times New Roman"/>
          <w:b w:val="0"/>
          <w:sz w:val="22"/>
          <w:szCs w:val="22"/>
          <w:lang w:val="en-US" w:eastAsia="ar-SA"/>
        </w:rPr>
        <w:t xml:space="preserve"> (StataCorp</w:t>
      </w:r>
      <w:r w:rsidR="003A2F15" w:rsidRPr="00C40A28">
        <w:rPr>
          <w:rFonts w:ascii="Times New Roman" w:hAnsi="Times New Roman"/>
          <w:b w:val="0"/>
          <w:sz w:val="22"/>
          <w:szCs w:val="22"/>
          <w:lang w:val="en-US" w:eastAsia="ar-SA"/>
        </w:rPr>
        <w:t xml:space="preserve"> LLC</w:t>
      </w:r>
      <w:r w:rsidR="003104F3" w:rsidRPr="00C40A28">
        <w:rPr>
          <w:rFonts w:ascii="Times New Roman" w:hAnsi="Times New Roman"/>
          <w:b w:val="0"/>
          <w:sz w:val="22"/>
          <w:szCs w:val="22"/>
          <w:lang w:val="en-US" w:eastAsia="ar-SA"/>
        </w:rPr>
        <w:t>, College Station, Tex</w:t>
      </w:r>
      <w:r w:rsidR="00545F6A" w:rsidRPr="00C40A28">
        <w:rPr>
          <w:rFonts w:ascii="Times New Roman" w:hAnsi="Times New Roman"/>
          <w:b w:val="0"/>
          <w:sz w:val="22"/>
          <w:szCs w:val="22"/>
          <w:lang w:val="en-US" w:eastAsia="ja-JP"/>
        </w:rPr>
        <w:t>as</w:t>
      </w:r>
      <w:r w:rsidR="003104F3" w:rsidRPr="00C40A28">
        <w:rPr>
          <w:rFonts w:ascii="Times New Roman" w:hAnsi="Times New Roman"/>
          <w:b w:val="0"/>
          <w:sz w:val="22"/>
          <w:szCs w:val="22"/>
          <w:lang w:val="en-US" w:eastAsia="ar-SA"/>
        </w:rPr>
        <w:t>)</w:t>
      </w:r>
      <w:r w:rsidR="00D22287" w:rsidRPr="00C40A28">
        <w:rPr>
          <w:rFonts w:ascii="Times New Roman" w:hAnsi="Times New Roman"/>
          <w:b w:val="0"/>
          <w:sz w:val="22"/>
          <w:szCs w:val="22"/>
          <w:lang w:val="en-US" w:eastAsia="ja-JP"/>
        </w:rPr>
        <w:t xml:space="preserve"> with </w:t>
      </w:r>
      <w:r w:rsidR="00B65A47">
        <w:rPr>
          <w:rFonts w:ascii="Times New Roman" w:hAnsi="Times New Roman"/>
          <w:b w:val="0"/>
          <w:sz w:val="22"/>
          <w:szCs w:val="22"/>
          <w:lang w:val="en-US" w:eastAsia="ja-JP"/>
        </w:rPr>
        <w:t>α</w:t>
      </w:r>
      <w:r w:rsidR="00B65A47" w:rsidRPr="00B65A47">
        <w:rPr>
          <w:rFonts w:ascii="Times New Roman" w:hAnsi="Times New Roman"/>
          <w:b w:val="0"/>
          <w:sz w:val="22"/>
          <w:szCs w:val="22"/>
          <w:vertAlign w:val="subscript"/>
          <w:lang w:val="en-US" w:eastAsia="ja-JP"/>
        </w:rPr>
        <w:t>two-tailed</w:t>
      </w:r>
      <w:r w:rsidR="00D22287" w:rsidRPr="00C40A28">
        <w:rPr>
          <w:rFonts w:ascii="Times New Roman" w:hAnsi="Times New Roman"/>
          <w:b w:val="0"/>
          <w:sz w:val="22"/>
          <w:szCs w:val="22"/>
          <w:lang w:val="en-US" w:eastAsia="ja-JP"/>
        </w:rPr>
        <w:t>=0</w:t>
      </w:r>
      <w:r w:rsidR="00D44BE2" w:rsidRPr="00C40A28">
        <w:rPr>
          <w:rFonts w:ascii="Times New Roman" w:hAnsi="Times New Roman"/>
          <w:b w:val="0"/>
          <w:sz w:val="22"/>
          <w:szCs w:val="22"/>
          <w:lang w:val="en-US" w:eastAsia="ja-JP"/>
        </w:rPr>
        <w:t>.</w:t>
      </w:r>
      <w:r w:rsidR="00D22287" w:rsidRPr="00C40A28">
        <w:rPr>
          <w:rFonts w:ascii="Times New Roman" w:hAnsi="Times New Roman"/>
          <w:b w:val="0"/>
          <w:sz w:val="22"/>
          <w:szCs w:val="22"/>
          <w:lang w:val="en-US" w:eastAsia="ja-JP"/>
        </w:rPr>
        <w:t>05</w:t>
      </w:r>
      <w:r w:rsidR="00657DD8" w:rsidRPr="00C40A28">
        <w:rPr>
          <w:rFonts w:ascii="Times New Roman" w:hAnsi="Times New Roman"/>
          <w:b w:val="0"/>
          <w:sz w:val="22"/>
          <w:szCs w:val="22"/>
          <w:lang w:val="en-US" w:eastAsia="ja-JP"/>
        </w:rPr>
        <w:t>,</w:t>
      </w:r>
      <w:r w:rsidR="003154D3" w:rsidRPr="00C40A28">
        <w:rPr>
          <w:rFonts w:ascii="Times New Roman" w:hAnsi="Times New Roman"/>
          <w:b w:val="0"/>
          <w:sz w:val="22"/>
          <w:szCs w:val="22"/>
          <w:lang w:val="en-US" w:eastAsia="ja-JP"/>
        </w:rPr>
        <w:t xml:space="preserve"> </w:t>
      </w:r>
      <w:r w:rsidR="00F9539C" w:rsidRPr="00C40A28">
        <w:rPr>
          <w:rFonts w:ascii="Times New Roman" w:hAnsi="Times New Roman"/>
          <w:b w:val="0"/>
          <w:sz w:val="22"/>
          <w:szCs w:val="22"/>
          <w:lang w:val="en-US" w:eastAsia="ja-JP"/>
        </w:rPr>
        <w:t>unless specified</w:t>
      </w:r>
      <w:r w:rsidR="00657DD8" w:rsidRPr="00C40A28">
        <w:rPr>
          <w:rFonts w:ascii="Times New Roman" w:hAnsi="Times New Roman"/>
          <w:b w:val="0"/>
          <w:sz w:val="22"/>
          <w:szCs w:val="22"/>
          <w:lang w:val="en-US" w:eastAsia="ja-JP"/>
        </w:rPr>
        <w:t xml:space="preserve"> otherwise</w:t>
      </w:r>
      <w:r w:rsidR="003104F3" w:rsidRPr="00C40A28">
        <w:rPr>
          <w:rFonts w:ascii="Times New Roman" w:hAnsi="Times New Roman"/>
          <w:b w:val="0"/>
          <w:sz w:val="22"/>
          <w:szCs w:val="22"/>
          <w:lang w:val="en-US" w:eastAsia="ja-JP"/>
        </w:rPr>
        <w:t>.</w:t>
      </w:r>
      <w:r w:rsidR="000C16DA" w:rsidRPr="00C40A28">
        <w:rPr>
          <w:rFonts w:ascii="Times New Roman" w:hAnsi="Times New Roman"/>
          <w:b w:val="0"/>
          <w:sz w:val="22"/>
          <w:szCs w:val="22"/>
          <w:lang w:val="en-US" w:eastAsia="ja-JP"/>
        </w:rPr>
        <w:t xml:space="preserve"> </w:t>
      </w:r>
      <w:r w:rsidR="00E9379C" w:rsidRPr="00C40A28">
        <w:rPr>
          <w:rFonts w:ascii="Times New Roman" w:hAnsi="Times New Roman"/>
          <w:bCs/>
          <w:sz w:val="22"/>
          <w:szCs w:val="22"/>
          <w:lang w:val="en-US" w:eastAsia="ja-JP"/>
        </w:rPr>
        <w:br w:type="page"/>
      </w:r>
    </w:p>
    <w:p w14:paraId="11033B1A" w14:textId="0998D7A9" w:rsidR="00DB7C58" w:rsidRPr="00C40A28" w:rsidRDefault="005F7401" w:rsidP="001D0C06">
      <w:pPr>
        <w:pStyle w:val="BodyTextIndent"/>
        <w:spacing w:line="480" w:lineRule="auto"/>
        <w:ind w:left="0" w:firstLine="0"/>
        <w:rPr>
          <w:rFonts w:ascii="Times New Roman" w:hAnsi="Times New Roman"/>
          <w:bCs/>
          <w:sz w:val="22"/>
          <w:szCs w:val="22"/>
          <w:lang w:val="en-US" w:eastAsia="ja-JP"/>
        </w:rPr>
      </w:pPr>
      <w:r>
        <w:rPr>
          <w:rFonts w:ascii="Times New Roman" w:hAnsi="Times New Roman"/>
          <w:bCs/>
          <w:sz w:val="22"/>
          <w:szCs w:val="22"/>
          <w:lang w:val="en-US" w:eastAsia="ja-JP"/>
        </w:rPr>
        <w:lastRenderedPageBreak/>
        <w:t>Results</w:t>
      </w:r>
    </w:p>
    <w:p w14:paraId="68D8B376" w14:textId="02CFD6CC" w:rsidR="00A74C75" w:rsidRPr="00C40A28" w:rsidRDefault="00E76B51" w:rsidP="00A74C75">
      <w:pPr>
        <w:pStyle w:val="BodyTextIndent"/>
        <w:spacing w:line="480" w:lineRule="auto"/>
        <w:rPr>
          <w:rFonts w:ascii="Times New Roman" w:hAnsi="Times New Roman"/>
          <w:b w:val="0"/>
          <w:bCs/>
          <w:i/>
          <w:sz w:val="22"/>
          <w:szCs w:val="22"/>
          <w:lang w:val="en-US" w:eastAsia="ja-JP"/>
        </w:rPr>
      </w:pPr>
      <w:r w:rsidRPr="00C40A28">
        <w:rPr>
          <w:rFonts w:ascii="Times New Roman" w:hAnsi="Times New Roman"/>
          <w:b w:val="0"/>
          <w:bCs/>
          <w:i/>
          <w:sz w:val="22"/>
          <w:szCs w:val="22"/>
          <w:lang w:val="en-US" w:eastAsia="ja-JP"/>
        </w:rPr>
        <w:t>Population characteristics</w:t>
      </w:r>
    </w:p>
    <w:p w14:paraId="2D847403" w14:textId="600F1EBD" w:rsidR="00DF5281" w:rsidRPr="00C40A28" w:rsidRDefault="00657DD8" w:rsidP="00DF5281">
      <w:pPr>
        <w:pStyle w:val="BodyTextIndent"/>
        <w:spacing w:line="480" w:lineRule="auto"/>
        <w:ind w:left="0" w:firstLine="567"/>
        <w:rPr>
          <w:rFonts w:ascii="Times New Roman" w:hAnsi="Times New Roman"/>
          <w:b w:val="0"/>
          <w:sz w:val="22"/>
          <w:szCs w:val="22"/>
          <w:shd w:val="clear" w:color="auto" w:fill="FFFFFF"/>
          <w:lang w:val="en-US" w:eastAsia="ja-JP"/>
        </w:rPr>
        <w:sectPr w:rsidR="00DF5281" w:rsidRPr="00C40A28" w:rsidSect="00275EA4">
          <w:headerReference w:type="default" r:id="rId10"/>
          <w:pgSz w:w="12240" w:h="15840"/>
          <w:pgMar w:top="1440" w:right="1440" w:bottom="1440" w:left="1440" w:header="720" w:footer="274" w:gutter="0"/>
          <w:lnNumType w:countBy="1" w:restart="continuous"/>
          <w:cols w:space="720"/>
          <w:docGrid w:linePitch="360"/>
        </w:sectPr>
      </w:pPr>
      <w:r w:rsidRPr="00C40A28">
        <w:rPr>
          <w:rFonts w:ascii="Times New Roman" w:hAnsi="Times New Roman"/>
          <w:b w:val="0"/>
          <w:bCs/>
          <w:sz w:val="22"/>
          <w:szCs w:val="22"/>
          <w:lang w:val="en-US" w:eastAsia="ja-JP"/>
        </w:rPr>
        <w:t xml:space="preserve">Among </w:t>
      </w:r>
      <w:r w:rsidR="00852636" w:rsidRPr="00C40A28">
        <w:rPr>
          <w:rFonts w:ascii="Times New Roman" w:hAnsi="Times New Roman"/>
          <w:b w:val="0"/>
          <w:bCs/>
          <w:sz w:val="22"/>
          <w:szCs w:val="22"/>
          <w:lang w:val="en-US" w:eastAsia="ja-JP"/>
        </w:rPr>
        <w:t xml:space="preserve">17 participating cohorts, </w:t>
      </w:r>
      <w:r w:rsidR="00ED35D1" w:rsidRPr="00C40A28">
        <w:rPr>
          <w:rFonts w:ascii="Times New Roman" w:hAnsi="Times New Roman"/>
          <w:b w:val="0"/>
          <w:bCs/>
          <w:sz w:val="22"/>
          <w:szCs w:val="22"/>
          <w:lang w:val="en-US" w:eastAsia="ja-JP"/>
        </w:rPr>
        <w:t xml:space="preserve">mean </w:t>
      </w:r>
      <w:r w:rsidR="00861411" w:rsidRPr="00C40A28">
        <w:rPr>
          <w:rFonts w:ascii="Times New Roman" w:hAnsi="Times New Roman"/>
          <w:b w:val="0"/>
          <w:bCs/>
          <w:sz w:val="22"/>
          <w:szCs w:val="22"/>
          <w:lang w:val="en-US" w:eastAsia="ja-JP"/>
        </w:rPr>
        <w:t>age ranged from 52.3 to 76.0 years</w:t>
      </w:r>
      <w:r w:rsidR="00852636" w:rsidRPr="00C40A28">
        <w:rPr>
          <w:rFonts w:ascii="Times New Roman" w:hAnsi="Times New Roman"/>
          <w:b w:val="0"/>
          <w:bCs/>
          <w:sz w:val="22"/>
          <w:szCs w:val="22"/>
          <w:lang w:val="en-US" w:eastAsia="ja-JP"/>
        </w:rPr>
        <w:t xml:space="preserve"> (Table 1)</w:t>
      </w:r>
      <w:r w:rsidR="00861411" w:rsidRPr="00C40A28">
        <w:rPr>
          <w:rFonts w:ascii="Times New Roman" w:hAnsi="Times New Roman"/>
          <w:b w:val="0"/>
          <w:bCs/>
          <w:sz w:val="22"/>
          <w:szCs w:val="22"/>
          <w:lang w:val="en-US" w:eastAsia="ja-JP"/>
        </w:rPr>
        <w:t>. Three cohorts recruited men only, two cohorts recruited women only, and the others recruited both (</w:t>
      </w:r>
      <w:r w:rsidR="00ED35D1" w:rsidRPr="00C40A28">
        <w:rPr>
          <w:rFonts w:ascii="Times New Roman" w:hAnsi="Times New Roman"/>
          <w:b w:val="0"/>
          <w:bCs/>
          <w:sz w:val="22"/>
          <w:szCs w:val="22"/>
          <w:lang w:val="en-US" w:eastAsia="ja-JP"/>
        </w:rPr>
        <w:t>percent</w:t>
      </w:r>
      <w:r w:rsidR="00861411" w:rsidRPr="00C40A28">
        <w:rPr>
          <w:rFonts w:ascii="Times New Roman" w:hAnsi="Times New Roman"/>
          <w:b w:val="0"/>
          <w:bCs/>
          <w:sz w:val="22"/>
          <w:szCs w:val="22"/>
          <w:lang w:val="en-US" w:eastAsia="ja-JP"/>
        </w:rPr>
        <w:t xml:space="preserve"> women=20.4% to 62.3%). </w:t>
      </w:r>
      <w:r w:rsidR="00B65A47">
        <w:rPr>
          <w:rFonts w:ascii="Times New Roman" w:hAnsi="Times New Roman"/>
          <w:b w:val="0"/>
          <w:bCs/>
          <w:sz w:val="22"/>
          <w:szCs w:val="22"/>
          <w:lang w:val="en-US" w:eastAsia="ja-JP"/>
        </w:rPr>
        <w:t xml:space="preserve">Study-specific mean </w:t>
      </w:r>
      <w:r w:rsidR="00861411" w:rsidRPr="00C40A28">
        <w:rPr>
          <w:rFonts w:ascii="Times New Roman" w:hAnsi="Times New Roman"/>
          <w:b w:val="0"/>
          <w:bCs/>
          <w:sz w:val="22"/>
          <w:szCs w:val="22"/>
          <w:lang w:val="en-US" w:eastAsia="ja-JP"/>
        </w:rPr>
        <w:t>BMI</w:t>
      </w:r>
      <w:r w:rsidR="002C4114" w:rsidRPr="00C40A28">
        <w:rPr>
          <w:rFonts w:ascii="Times New Roman" w:hAnsi="Times New Roman"/>
          <w:b w:val="0"/>
          <w:bCs/>
          <w:sz w:val="22"/>
          <w:szCs w:val="22"/>
          <w:lang w:val="en-US" w:eastAsia="ja-JP"/>
        </w:rPr>
        <w:t>s</w:t>
      </w:r>
      <w:r w:rsidR="00861411" w:rsidRPr="00C40A28">
        <w:rPr>
          <w:rFonts w:ascii="Times New Roman" w:hAnsi="Times New Roman"/>
          <w:b w:val="0"/>
          <w:bCs/>
          <w:sz w:val="22"/>
          <w:szCs w:val="22"/>
          <w:lang w:val="en-US" w:eastAsia="ja-JP"/>
        </w:rPr>
        <w:t xml:space="preserve"> ranged from 25.2 to 28.4 kg/m</w:t>
      </w:r>
      <w:r w:rsidR="00861411" w:rsidRPr="00C40A28">
        <w:rPr>
          <w:rFonts w:ascii="Times New Roman" w:hAnsi="Times New Roman"/>
          <w:b w:val="0"/>
          <w:bCs/>
          <w:sz w:val="22"/>
          <w:szCs w:val="22"/>
          <w:vertAlign w:val="superscript"/>
          <w:lang w:val="en-US" w:eastAsia="ja-JP"/>
        </w:rPr>
        <w:t>2</w:t>
      </w:r>
      <w:r w:rsidR="00861411" w:rsidRPr="00C40A28">
        <w:rPr>
          <w:rFonts w:ascii="Times New Roman" w:hAnsi="Times New Roman"/>
          <w:b w:val="0"/>
          <w:bCs/>
          <w:sz w:val="22"/>
          <w:szCs w:val="22"/>
          <w:lang w:val="en-US" w:eastAsia="ja-JP"/>
        </w:rPr>
        <w:t>, except</w:t>
      </w:r>
      <w:r w:rsidR="00B65A47">
        <w:rPr>
          <w:rFonts w:ascii="Times New Roman" w:hAnsi="Times New Roman"/>
          <w:b w:val="0"/>
          <w:bCs/>
          <w:sz w:val="22"/>
          <w:szCs w:val="22"/>
          <w:lang w:val="en-US" w:eastAsia="ja-JP"/>
        </w:rPr>
        <w:t xml:space="preserve"> for </w:t>
      </w:r>
      <w:r w:rsidR="002C4114" w:rsidRPr="00C40A28">
        <w:rPr>
          <w:rFonts w:ascii="Times New Roman" w:hAnsi="Times New Roman"/>
          <w:b w:val="0"/>
          <w:bCs/>
          <w:sz w:val="22"/>
          <w:szCs w:val="22"/>
          <w:lang w:val="en-US" w:eastAsia="ja-JP"/>
        </w:rPr>
        <w:t xml:space="preserve">the </w:t>
      </w:r>
      <w:r w:rsidR="002C4114" w:rsidRPr="00C40A28">
        <w:rPr>
          <w:rFonts w:ascii="Times New Roman" w:hAnsi="Times New Roman"/>
          <w:b w:val="0"/>
          <w:sz w:val="22"/>
          <w:szCs w:val="22"/>
          <w:lang w:val="en-US"/>
        </w:rPr>
        <w:t>Chin-Shan Community Cardiovascular Cohort Study</w:t>
      </w:r>
      <w:r w:rsidR="00861411" w:rsidRPr="00C40A28">
        <w:rPr>
          <w:rFonts w:ascii="Times New Roman" w:hAnsi="Times New Roman"/>
          <w:b w:val="0"/>
          <w:bCs/>
          <w:sz w:val="22"/>
          <w:szCs w:val="22"/>
          <w:lang w:val="en-US" w:eastAsia="ja-JP"/>
        </w:rPr>
        <w:t xml:space="preserve"> </w:t>
      </w:r>
      <w:r w:rsidR="00B65A47">
        <w:rPr>
          <w:rFonts w:ascii="Times New Roman" w:hAnsi="Times New Roman"/>
          <w:b w:val="0"/>
          <w:bCs/>
          <w:sz w:val="22"/>
          <w:szCs w:val="22"/>
          <w:lang w:val="en-US" w:eastAsia="ja-JP"/>
        </w:rPr>
        <w:t xml:space="preserve">(CCCC) </w:t>
      </w:r>
      <w:r w:rsidR="00852636" w:rsidRPr="00C40A28">
        <w:rPr>
          <w:rFonts w:ascii="Times New Roman" w:hAnsi="Times New Roman"/>
          <w:b w:val="0"/>
          <w:bCs/>
          <w:sz w:val="22"/>
          <w:szCs w:val="22"/>
          <w:lang w:val="en-US" w:eastAsia="ja-JP"/>
        </w:rPr>
        <w:t xml:space="preserve">in Taiwan </w:t>
      </w:r>
      <w:r w:rsidR="00B65A47">
        <w:rPr>
          <w:rFonts w:ascii="Times New Roman" w:hAnsi="Times New Roman"/>
          <w:b w:val="0"/>
          <w:bCs/>
          <w:sz w:val="22"/>
          <w:szCs w:val="22"/>
          <w:lang w:val="en-US" w:eastAsia="ja-JP"/>
        </w:rPr>
        <w:t xml:space="preserve">(mean </w:t>
      </w:r>
      <w:r w:rsidR="00861411" w:rsidRPr="00C40A28">
        <w:rPr>
          <w:rFonts w:ascii="Times New Roman" w:hAnsi="Times New Roman"/>
          <w:b w:val="0"/>
          <w:bCs/>
          <w:sz w:val="22"/>
          <w:szCs w:val="22"/>
          <w:lang w:val="en-US" w:eastAsia="ja-JP"/>
        </w:rPr>
        <w:t>BMI</w:t>
      </w:r>
      <w:r w:rsidR="00B65A47">
        <w:rPr>
          <w:rFonts w:ascii="Times New Roman" w:hAnsi="Times New Roman"/>
          <w:b w:val="0"/>
          <w:bCs/>
          <w:sz w:val="22"/>
          <w:szCs w:val="22"/>
          <w:lang w:val="en-US" w:eastAsia="ja-JP"/>
        </w:rPr>
        <w:t>=</w:t>
      </w:r>
      <w:r w:rsidR="00861411" w:rsidRPr="00C40A28">
        <w:rPr>
          <w:rFonts w:ascii="Times New Roman" w:hAnsi="Times New Roman"/>
          <w:b w:val="0"/>
          <w:bCs/>
          <w:sz w:val="22"/>
          <w:szCs w:val="22"/>
          <w:lang w:val="en-US" w:eastAsia="ja-JP"/>
        </w:rPr>
        <w:t>23.2 kg/m</w:t>
      </w:r>
      <w:r w:rsidR="00861411" w:rsidRPr="00C40A28">
        <w:rPr>
          <w:rFonts w:ascii="Times New Roman" w:hAnsi="Times New Roman"/>
          <w:b w:val="0"/>
          <w:bCs/>
          <w:sz w:val="22"/>
          <w:szCs w:val="22"/>
          <w:vertAlign w:val="superscript"/>
          <w:lang w:val="en-US" w:eastAsia="ja-JP"/>
        </w:rPr>
        <w:t>2</w:t>
      </w:r>
      <w:r w:rsidR="00B65A47">
        <w:rPr>
          <w:rFonts w:ascii="Times New Roman" w:hAnsi="Times New Roman"/>
          <w:b w:val="0"/>
          <w:bCs/>
          <w:sz w:val="22"/>
          <w:szCs w:val="22"/>
          <w:lang w:val="en-US" w:eastAsia="ja-JP"/>
        </w:rPr>
        <w:t>)</w:t>
      </w:r>
      <w:r w:rsidR="00861411" w:rsidRPr="00C40A28">
        <w:rPr>
          <w:rFonts w:ascii="Times New Roman" w:hAnsi="Times New Roman"/>
          <w:b w:val="0"/>
          <w:bCs/>
          <w:sz w:val="22"/>
          <w:szCs w:val="22"/>
          <w:lang w:val="en-US" w:eastAsia="ja-JP"/>
        </w:rPr>
        <w:t>.</w:t>
      </w:r>
      <w:r w:rsidR="002C4114" w:rsidRPr="00C40A28">
        <w:rPr>
          <w:rFonts w:ascii="Times New Roman" w:hAnsi="Times New Roman"/>
          <w:b w:val="0"/>
          <w:bCs/>
          <w:sz w:val="22"/>
          <w:szCs w:val="22"/>
          <w:lang w:val="en-US" w:eastAsia="ja-JP"/>
        </w:rPr>
        <w:t xml:space="preserve"> </w:t>
      </w:r>
      <w:r w:rsidR="00852636" w:rsidRPr="00C40A28">
        <w:rPr>
          <w:rFonts w:ascii="Times New Roman" w:hAnsi="Times New Roman"/>
          <w:b w:val="0"/>
          <w:sz w:val="22"/>
          <w:szCs w:val="22"/>
          <w:shd w:val="clear" w:color="auto" w:fill="FFFFFF"/>
          <w:lang w:val="en-US"/>
        </w:rPr>
        <w:t xml:space="preserve">Most studies </w:t>
      </w:r>
      <w:r w:rsidR="004F4465" w:rsidRPr="00C40A28">
        <w:rPr>
          <w:rFonts w:ascii="Times New Roman" w:hAnsi="Times New Roman"/>
          <w:b w:val="0"/>
          <w:sz w:val="22"/>
          <w:szCs w:val="22"/>
          <w:shd w:val="clear" w:color="auto" w:fill="FFFFFF"/>
          <w:lang w:val="en-US" w:eastAsia="ja-JP"/>
        </w:rPr>
        <w:t>recruited</w:t>
      </w:r>
      <w:r w:rsidRPr="00C40A28">
        <w:rPr>
          <w:rFonts w:ascii="Times New Roman" w:hAnsi="Times New Roman"/>
          <w:b w:val="0"/>
          <w:sz w:val="22"/>
          <w:szCs w:val="22"/>
          <w:shd w:val="clear" w:color="auto" w:fill="FFFFFF"/>
          <w:lang w:val="en-US"/>
        </w:rPr>
        <w:t xml:space="preserve"> </w:t>
      </w:r>
      <w:r w:rsidR="00852636" w:rsidRPr="00C40A28">
        <w:rPr>
          <w:rFonts w:ascii="Times New Roman" w:hAnsi="Times New Roman"/>
          <w:b w:val="0"/>
          <w:sz w:val="22"/>
          <w:szCs w:val="22"/>
          <w:shd w:val="clear" w:color="auto" w:fill="FFFFFF"/>
          <w:lang w:val="en-US"/>
        </w:rPr>
        <w:t>participants</w:t>
      </w:r>
      <w:r w:rsidR="000B1502" w:rsidRPr="00C40A28">
        <w:rPr>
          <w:rFonts w:ascii="Times New Roman" w:hAnsi="Times New Roman"/>
          <w:b w:val="0"/>
          <w:sz w:val="22"/>
          <w:szCs w:val="22"/>
          <w:shd w:val="clear" w:color="auto" w:fill="FFFFFF"/>
          <w:lang w:val="en-US" w:eastAsia="ja-JP"/>
        </w:rPr>
        <w:t xml:space="preserve"> </w:t>
      </w:r>
      <w:r w:rsidR="00402528" w:rsidRPr="00C40A28">
        <w:rPr>
          <w:rFonts w:ascii="Times New Roman" w:hAnsi="Times New Roman"/>
          <w:b w:val="0"/>
          <w:sz w:val="22"/>
          <w:szCs w:val="22"/>
          <w:shd w:val="clear" w:color="auto" w:fill="FFFFFF"/>
          <w:lang w:val="en-US"/>
        </w:rPr>
        <w:t>of European descent</w:t>
      </w:r>
      <w:r w:rsidR="00B65A47">
        <w:rPr>
          <w:rFonts w:ascii="Times New Roman" w:hAnsi="Times New Roman"/>
          <w:b w:val="0"/>
          <w:sz w:val="22"/>
          <w:szCs w:val="22"/>
          <w:shd w:val="clear" w:color="auto" w:fill="FFFFFF"/>
          <w:lang w:val="en-US"/>
        </w:rPr>
        <w:t xml:space="preserve"> </w:t>
      </w:r>
      <w:r w:rsidR="00B65A47" w:rsidRPr="00C40A28">
        <w:rPr>
          <w:rFonts w:ascii="Times New Roman" w:hAnsi="Times New Roman"/>
          <w:b w:val="0"/>
          <w:sz w:val="22"/>
          <w:szCs w:val="22"/>
          <w:shd w:val="clear" w:color="auto" w:fill="FFFFFF"/>
          <w:lang w:val="en-US"/>
        </w:rPr>
        <w:t>predominantly</w:t>
      </w:r>
      <w:r w:rsidR="00F14C80" w:rsidRPr="00C40A28">
        <w:rPr>
          <w:rFonts w:ascii="Times New Roman" w:hAnsi="Times New Roman"/>
          <w:b w:val="0"/>
          <w:sz w:val="22"/>
          <w:szCs w:val="22"/>
          <w:shd w:val="clear" w:color="auto" w:fill="FFFFFF"/>
          <w:lang w:val="en-US"/>
        </w:rPr>
        <w:t>.</w:t>
      </w:r>
      <w:r w:rsidR="00852636" w:rsidRPr="00C40A28">
        <w:rPr>
          <w:rFonts w:ascii="Times New Roman" w:hAnsi="Times New Roman"/>
          <w:b w:val="0"/>
          <w:sz w:val="22"/>
          <w:szCs w:val="22"/>
          <w:shd w:val="clear" w:color="auto" w:fill="FFFFFF"/>
          <w:lang w:val="en-US"/>
        </w:rPr>
        <w:t xml:space="preserve"> </w:t>
      </w:r>
      <w:r w:rsidR="000C06F3" w:rsidRPr="00C40A28">
        <w:rPr>
          <w:rFonts w:ascii="Times New Roman" w:hAnsi="Times New Roman"/>
          <w:b w:val="0"/>
          <w:sz w:val="22"/>
          <w:szCs w:val="22"/>
          <w:shd w:val="clear" w:color="auto" w:fill="FFFFFF"/>
          <w:lang w:val="en-US" w:eastAsia="ja-JP"/>
        </w:rPr>
        <w:t>P</w:t>
      </w:r>
      <w:r w:rsidR="00FF22AB" w:rsidRPr="00C40A28">
        <w:rPr>
          <w:rFonts w:ascii="Times New Roman" w:hAnsi="Times New Roman"/>
          <w:b w:val="0"/>
          <w:sz w:val="22"/>
          <w:szCs w:val="22"/>
          <w:shd w:val="clear" w:color="auto" w:fill="FFFFFF"/>
          <w:lang w:val="en-US" w:eastAsia="ja-JP"/>
        </w:rPr>
        <w:t>articipants</w:t>
      </w:r>
      <w:r w:rsidR="00FF22AB" w:rsidRPr="00C40A28">
        <w:rPr>
          <w:rFonts w:ascii="Times New Roman" w:hAnsi="Times New Roman"/>
          <w:b w:val="0"/>
          <w:sz w:val="22"/>
          <w:szCs w:val="22"/>
          <w:shd w:val="clear" w:color="auto" w:fill="FFFFFF"/>
          <w:lang w:val="en-US"/>
        </w:rPr>
        <w:t xml:space="preserve"> </w:t>
      </w:r>
      <w:r w:rsidR="00C765C9" w:rsidRPr="00C40A28">
        <w:rPr>
          <w:rFonts w:ascii="Times New Roman" w:hAnsi="Times New Roman"/>
          <w:b w:val="0"/>
          <w:sz w:val="22"/>
          <w:szCs w:val="22"/>
          <w:shd w:val="clear" w:color="auto" w:fill="FFFFFF"/>
          <w:lang w:val="en-US"/>
        </w:rPr>
        <w:t>of non-European descent</w:t>
      </w:r>
      <w:r w:rsidR="00C765C9" w:rsidRPr="00C40A28">
        <w:rPr>
          <w:rFonts w:ascii="Times New Roman" w:hAnsi="Times New Roman"/>
          <w:b w:val="0"/>
          <w:sz w:val="22"/>
          <w:szCs w:val="22"/>
          <w:shd w:val="clear" w:color="auto" w:fill="FFFFFF"/>
          <w:lang w:val="en-US" w:eastAsia="ja-JP"/>
        </w:rPr>
        <w:t xml:space="preserve"> </w:t>
      </w:r>
      <w:r w:rsidR="00852636" w:rsidRPr="00C40A28">
        <w:rPr>
          <w:rFonts w:ascii="Times New Roman" w:hAnsi="Times New Roman"/>
          <w:b w:val="0"/>
          <w:sz w:val="22"/>
          <w:szCs w:val="22"/>
          <w:shd w:val="clear" w:color="auto" w:fill="FFFFFF"/>
          <w:lang w:val="en-US"/>
        </w:rPr>
        <w:t xml:space="preserve">were </w:t>
      </w:r>
      <w:r w:rsidR="00F14C80" w:rsidRPr="00C40A28">
        <w:rPr>
          <w:rFonts w:ascii="Times New Roman" w:hAnsi="Times New Roman"/>
          <w:b w:val="0"/>
          <w:sz w:val="22"/>
          <w:szCs w:val="22"/>
          <w:shd w:val="clear" w:color="auto" w:fill="FFFFFF"/>
          <w:lang w:val="en-US"/>
        </w:rPr>
        <w:t xml:space="preserve">recruited </w:t>
      </w:r>
      <w:r w:rsidR="00852636" w:rsidRPr="00C40A28">
        <w:rPr>
          <w:rFonts w:ascii="Times New Roman" w:hAnsi="Times New Roman"/>
          <w:b w:val="0"/>
          <w:sz w:val="22"/>
          <w:szCs w:val="22"/>
          <w:shd w:val="clear" w:color="auto" w:fill="FFFFFF"/>
          <w:lang w:val="en-US"/>
        </w:rPr>
        <w:t>in the Multi-Ethnic Study of Atherosclerosis (MESA; 71.6%</w:t>
      </w:r>
      <w:r w:rsidR="002F420A" w:rsidRPr="00C40A28">
        <w:rPr>
          <w:rFonts w:ascii="Times New Roman" w:hAnsi="Times New Roman"/>
          <w:b w:val="0"/>
          <w:sz w:val="22"/>
          <w:szCs w:val="22"/>
          <w:shd w:val="clear" w:color="auto" w:fill="FFFFFF"/>
          <w:lang w:val="en-US" w:eastAsia="ja-JP"/>
        </w:rPr>
        <w:t xml:space="preserve"> non-white</w:t>
      </w:r>
      <w:r w:rsidR="00852636" w:rsidRPr="00C40A28">
        <w:rPr>
          <w:rFonts w:ascii="Times New Roman" w:hAnsi="Times New Roman"/>
          <w:b w:val="0"/>
          <w:sz w:val="22"/>
          <w:szCs w:val="22"/>
          <w:shd w:val="clear" w:color="auto" w:fill="FFFFFF"/>
          <w:lang w:val="en-US"/>
        </w:rPr>
        <w:t>), the Women’s Health Initiative Memory Study (WHIMS; 11.6% non</w:t>
      </w:r>
      <w:r w:rsidR="002F420A" w:rsidRPr="00C40A28">
        <w:rPr>
          <w:rFonts w:ascii="Times New Roman" w:hAnsi="Times New Roman"/>
          <w:b w:val="0"/>
          <w:sz w:val="22"/>
          <w:szCs w:val="22"/>
          <w:shd w:val="clear" w:color="auto" w:fill="FFFFFF"/>
          <w:lang w:val="en-US" w:eastAsia="ja-JP"/>
        </w:rPr>
        <w:t>-</w:t>
      </w:r>
      <w:r w:rsidR="00852636" w:rsidRPr="00C40A28">
        <w:rPr>
          <w:rFonts w:ascii="Times New Roman" w:hAnsi="Times New Roman"/>
          <w:b w:val="0"/>
          <w:sz w:val="22"/>
          <w:szCs w:val="22"/>
          <w:shd w:val="clear" w:color="auto" w:fill="FFFFFF"/>
          <w:lang w:val="en-US"/>
        </w:rPr>
        <w:t xml:space="preserve">white), </w:t>
      </w:r>
      <w:r w:rsidR="00B65A47" w:rsidRPr="00C40A28">
        <w:rPr>
          <w:rFonts w:ascii="Times New Roman" w:hAnsi="Times New Roman"/>
          <w:b w:val="0"/>
          <w:sz w:val="22"/>
          <w:szCs w:val="22"/>
          <w:shd w:val="clear" w:color="auto" w:fill="FFFFFF"/>
          <w:lang w:val="en-US"/>
        </w:rPr>
        <w:t>the Cardiovascular Health Study (CHS; 11.0% non</w:t>
      </w:r>
      <w:r w:rsidR="00B65A47" w:rsidRPr="00C40A28">
        <w:rPr>
          <w:rFonts w:ascii="Times New Roman" w:hAnsi="Times New Roman"/>
          <w:b w:val="0"/>
          <w:sz w:val="22"/>
          <w:szCs w:val="22"/>
          <w:shd w:val="clear" w:color="auto" w:fill="FFFFFF"/>
          <w:lang w:val="en-US" w:eastAsia="ja-JP"/>
        </w:rPr>
        <w:t>-</w:t>
      </w:r>
      <w:r w:rsidR="00B65A47" w:rsidRPr="00C40A28">
        <w:rPr>
          <w:rFonts w:ascii="Times New Roman" w:hAnsi="Times New Roman"/>
          <w:b w:val="0"/>
          <w:sz w:val="22"/>
          <w:szCs w:val="22"/>
          <w:shd w:val="clear" w:color="auto" w:fill="FFFFFF"/>
          <w:lang w:val="en-US"/>
        </w:rPr>
        <w:t xml:space="preserve">white), </w:t>
      </w:r>
      <w:r w:rsidR="00852636" w:rsidRPr="00C40A28">
        <w:rPr>
          <w:rFonts w:ascii="Times New Roman" w:hAnsi="Times New Roman"/>
          <w:b w:val="0"/>
          <w:sz w:val="22"/>
          <w:szCs w:val="22"/>
          <w:shd w:val="clear" w:color="auto" w:fill="FFFFFF"/>
          <w:lang w:val="en-US"/>
        </w:rPr>
        <w:t xml:space="preserve">and </w:t>
      </w:r>
      <w:r w:rsidR="000C06F3" w:rsidRPr="00C40A28">
        <w:rPr>
          <w:rFonts w:ascii="Times New Roman" w:hAnsi="Times New Roman"/>
          <w:b w:val="0"/>
          <w:sz w:val="22"/>
          <w:szCs w:val="22"/>
          <w:shd w:val="clear" w:color="auto" w:fill="FFFFFF"/>
          <w:lang w:val="en-US"/>
        </w:rPr>
        <w:t>the CCCC</w:t>
      </w:r>
      <w:r w:rsidR="00B65A47">
        <w:rPr>
          <w:rFonts w:ascii="Times New Roman" w:hAnsi="Times New Roman"/>
          <w:b w:val="0"/>
          <w:sz w:val="22"/>
          <w:szCs w:val="22"/>
          <w:shd w:val="clear" w:color="auto" w:fill="FFFFFF"/>
          <w:lang w:val="en-US"/>
        </w:rPr>
        <w:t xml:space="preserve"> (</w:t>
      </w:r>
      <w:r w:rsidR="00852636" w:rsidRPr="00C40A28">
        <w:rPr>
          <w:rFonts w:ascii="Times New Roman" w:hAnsi="Times New Roman"/>
          <w:b w:val="0"/>
          <w:sz w:val="22"/>
          <w:szCs w:val="22"/>
          <w:shd w:val="clear" w:color="auto" w:fill="FFFFFF"/>
          <w:lang w:val="en-US"/>
        </w:rPr>
        <w:t xml:space="preserve">100% </w:t>
      </w:r>
      <w:r w:rsidRPr="00C40A28">
        <w:rPr>
          <w:rFonts w:ascii="Times New Roman" w:hAnsi="Times New Roman"/>
          <w:b w:val="0"/>
          <w:sz w:val="22"/>
          <w:szCs w:val="22"/>
          <w:shd w:val="clear" w:color="auto" w:fill="FFFFFF"/>
          <w:lang w:val="en-US"/>
        </w:rPr>
        <w:t xml:space="preserve">East </w:t>
      </w:r>
      <w:r w:rsidR="00852636" w:rsidRPr="00C40A28">
        <w:rPr>
          <w:rFonts w:ascii="Times New Roman" w:hAnsi="Times New Roman"/>
          <w:b w:val="0"/>
          <w:sz w:val="22"/>
          <w:szCs w:val="22"/>
          <w:shd w:val="clear" w:color="auto" w:fill="FFFFFF"/>
          <w:lang w:val="en-US"/>
        </w:rPr>
        <w:t>Asian).</w:t>
      </w:r>
      <w:r w:rsidR="00DF5281" w:rsidRPr="00C40A28">
        <w:rPr>
          <w:rFonts w:ascii="Times New Roman" w:hAnsi="Times New Roman"/>
          <w:b w:val="0"/>
          <w:sz w:val="22"/>
          <w:szCs w:val="22"/>
          <w:shd w:val="clear" w:color="auto" w:fill="FFFFFF"/>
          <w:lang w:val="en-US" w:eastAsia="ja-JP"/>
        </w:rPr>
        <w:br w:type="page"/>
      </w:r>
    </w:p>
    <w:p w14:paraId="4AA51BF2" w14:textId="77777777" w:rsidR="00DF5281" w:rsidRPr="00C40A28" w:rsidRDefault="00DF5281" w:rsidP="00DF5281">
      <w:pPr>
        <w:ind w:right="66"/>
        <w:rPr>
          <w:b/>
          <w:sz w:val="20"/>
          <w:szCs w:val="20"/>
        </w:rPr>
      </w:pPr>
      <w:r w:rsidRPr="00C40A28">
        <w:rPr>
          <w:b/>
          <w:sz w:val="20"/>
          <w:szCs w:val="20"/>
        </w:rPr>
        <w:lastRenderedPageBreak/>
        <w:t xml:space="preserve">Table 1. </w:t>
      </w:r>
      <w:r w:rsidRPr="00C40A28">
        <w:rPr>
          <w:sz w:val="20"/>
          <w:szCs w:val="20"/>
        </w:rPr>
        <w:t xml:space="preserve">Baseline characteristics of </w:t>
      </w:r>
      <w:r w:rsidRPr="00C40A28">
        <w:rPr>
          <w:rFonts w:eastAsiaTheme="minorEastAsia"/>
          <w:sz w:val="20"/>
          <w:szCs w:val="20"/>
          <w:lang w:eastAsia="ja-JP"/>
        </w:rPr>
        <w:t>seventeen</w:t>
      </w:r>
      <w:r w:rsidRPr="00C40A28">
        <w:rPr>
          <w:sz w:val="20"/>
          <w:szCs w:val="20"/>
        </w:rPr>
        <w:t xml:space="preserve"> studies </w:t>
      </w:r>
      <w:r w:rsidRPr="00C40A28">
        <w:rPr>
          <w:rFonts w:eastAsiaTheme="minorEastAsia"/>
          <w:sz w:val="20"/>
          <w:szCs w:val="20"/>
          <w:lang w:eastAsia="ja-JP"/>
        </w:rPr>
        <w:t xml:space="preserve">of the pooling analysis of fatty acids on de novo lipogenesis pathway and </w:t>
      </w:r>
      <w:r w:rsidRPr="00C40A28">
        <w:rPr>
          <w:sz w:val="20"/>
          <w:szCs w:val="20"/>
        </w:rPr>
        <w:t>incident type 2</w:t>
      </w:r>
      <w:r w:rsidRPr="00C40A28">
        <w:rPr>
          <w:rFonts w:eastAsiaTheme="minorEastAsia"/>
          <w:sz w:val="20"/>
          <w:szCs w:val="20"/>
          <w:lang w:eastAsia="ja-JP"/>
        </w:rPr>
        <w:t xml:space="preserve"> </w:t>
      </w:r>
      <w:r w:rsidRPr="00C40A28">
        <w:rPr>
          <w:sz w:val="20"/>
          <w:szCs w:val="20"/>
        </w:rPr>
        <w:t>diabetes</w:t>
      </w:r>
      <w:r w:rsidRPr="00C40A28">
        <w:rPr>
          <w:sz w:val="20"/>
          <w:szCs w:val="20"/>
          <w:lang w:eastAsia="ja-JP"/>
        </w:rPr>
        <w:t>: Fatty Acids and Outcome Research (FORCE) Consortium.</w:t>
      </w:r>
      <w:r w:rsidRPr="00C40A28">
        <w:rPr>
          <w:sz w:val="20"/>
          <w:szCs w:val="20"/>
          <w:vertAlign w:val="superscript"/>
        </w:rPr>
        <w:t>*</w:t>
      </w:r>
      <w:r w:rsidRPr="00C40A28">
        <w:rPr>
          <w:b/>
          <w:sz w:val="20"/>
          <w:szCs w:val="20"/>
        </w:rPr>
        <w:t xml:space="preserve"> </w:t>
      </w:r>
    </w:p>
    <w:tbl>
      <w:tblPr>
        <w:tblW w:w="13433" w:type="dxa"/>
        <w:tblLayout w:type="fixed"/>
        <w:tblLook w:val="06A0" w:firstRow="1" w:lastRow="0" w:firstColumn="1" w:lastColumn="0" w:noHBand="1" w:noVBand="1"/>
      </w:tblPr>
      <w:tblGrid>
        <w:gridCol w:w="1101"/>
        <w:gridCol w:w="1559"/>
        <w:gridCol w:w="850"/>
        <w:gridCol w:w="1134"/>
        <w:gridCol w:w="1418"/>
        <w:gridCol w:w="1500"/>
        <w:gridCol w:w="910"/>
        <w:gridCol w:w="850"/>
        <w:gridCol w:w="1276"/>
        <w:gridCol w:w="1559"/>
        <w:gridCol w:w="1276"/>
      </w:tblGrid>
      <w:tr w:rsidR="00C40A28" w:rsidRPr="00C40A28" w14:paraId="2C5A8FB0" w14:textId="77777777" w:rsidTr="006A5966">
        <w:trPr>
          <w:trHeight w:val="423"/>
        </w:trPr>
        <w:tc>
          <w:tcPr>
            <w:tcW w:w="1101" w:type="dxa"/>
            <w:tcBorders>
              <w:top w:val="single" w:sz="4" w:space="0" w:color="auto"/>
              <w:bottom w:val="single" w:sz="4" w:space="0" w:color="auto"/>
            </w:tcBorders>
            <w:vAlign w:val="center"/>
            <w:hideMark/>
          </w:tcPr>
          <w:p w14:paraId="3B2DF991" w14:textId="77777777" w:rsidR="00DF5281" w:rsidRPr="00C40A28" w:rsidRDefault="00DF5281" w:rsidP="00B82389">
            <w:pPr>
              <w:rPr>
                <w:sz w:val="20"/>
                <w:szCs w:val="20"/>
              </w:rPr>
            </w:pPr>
            <w:r w:rsidRPr="00C40A28">
              <w:rPr>
                <w:sz w:val="20"/>
                <w:szCs w:val="20"/>
              </w:rPr>
              <w:t>Study†</w:t>
            </w:r>
          </w:p>
        </w:tc>
        <w:tc>
          <w:tcPr>
            <w:tcW w:w="1559" w:type="dxa"/>
            <w:tcBorders>
              <w:top w:val="single" w:sz="4" w:space="0" w:color="auto"/>
              <w:bottom w:val="single" w:sz="4" w:space="0" w:color="auto"/>
            </w:tcBorders>
            <w:vAlign w:val="center"/>
            <w:hideMark/>
          </w:tcPr>
          <w:p w14:paraId="6DCC03AB" w14:textId="77777777" w:rsidR="00DF5281" w:rsidRPr="00C40A28" w:rsidRDefault="00DF5281" w:rsidP="00B82389">
            <w:pPr>
              <w:jc w:val="center"/>
              <w:rPr>
                <w:sz w:val="20"/>
                <w:szCs w:val="20"/>
              </w:rPr>
            </w:pPr>
            <w:r w:rsidRPr="00C40A28">
              <w:rPr>
                <w:sz w:val="20"/>
                <w:szCs w:val="20"/>
              </w:rPr>
              <w:t>Country</w:t>
            </w:r>
          </w:p>
        </w:tc>
        <w:tc>
          <w:tcPr>
            <w:tcW w:w="850" w:type="dxa"/>
            <w:tcBorders>
              <w:top w:val="single" w:sz="4" w:space="0" w:color="auto"/>
              <w:bottom w:val="single" w:sz="4" w:space="0" w:color="auto"/>
            </w:tcBorders>
            <w:vAlign w:val="center"/>
            <w:hideMark/>
          </w:tcPr>
          <w:p w14:paraId="46B5A8B6" w14:textId="77777777" w:rsidR="00DF5281" w:rsidRPr="00C40A28" w:rsidRDefault="00DF5281" w:rsidP="00B82389">
            <w:pPr>
              <w:jc w:val="center"/>
              <w:rPr>
                <w:rFonts w:eastAsiaTheme="minorEastAsia"/>
                <w:sz w:val="20"/>
                <w:szCs w:val="20"/>
                <w:lang w:eastAsia="ja-JP"/>
              </w:rPr>
            </w:pPr>
            <w:r w:rsidRPr="00C40A28">
              <w:rPr>
                <w:sz w:val="20"/>
                <w:szCs w:val="20"/>
              </w:rPr>
              <w:t>Study design</w:t>
            </w:r>
          </w:p>
        </w:tc>
        <w:tc>
          <w:tcPr>
            <w:tcW w:w="1134" w:type="dxa"/>
            <w:tcBorders>
              <w:top w:val="single" w:sz="4" w:space="0" w:color="auto"/>
              <w:bottom w:val="single" w:sz="4" w:space="0" w:color="auto"/>
            </w:tcBorders>
            <w:vAlign w:val="center"/>
            <w:hideMark/>
          </w:tcPr>
          <w:p w14:paraId="4216360B"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Baseline year(s)</w:t>
            </w:r>
          </w:p>
        </w:tc>
        <w:tc>
          <w:tcPr>
            <w:tcW w:w="1418" w:type="dxa"/>
            <w:tcBorders>
              <w:top w:val="single" w:sz="4" w:space="0" w:color="auto"/>
              <w:bottom w:val="single" w:sz="4" w:space="0" w:color="auto"/>
            </w:tcBorders>
            <w:vAlign w:val="center"/>
          </w:tcPr>
          <w:p w14:paraId="69241B5C"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Follow-up years, median</w:t>
            </w:r>
          </w:p>
        </w:tc>
        <w:tc>
          <w:tcPr>
            <w:tcW w:w="1500" w:type="dxa"/>
            <w:tcBorders>
              <w:top w:val="single" w:sz="4" w:space="0" w:color="auto"/>
              <w:bottom w:val="single" w:sz="4" w:space="0" w:color="auto"/>
            </w:tcBorders>
            <w:vAlign w:val="center"/>
          </w:tcPr>
          <w:p w14:paraId="293A90AF" w14:textId="5AB0A2F4" w:rsidR="00DF5281" w:rsidRPr="00C40A28" w:rsidRDefault="006A5966" w:rsidP="00B82389">
            <w:pPr>
              <w:jc w:val="center"/>
              <w:rPr>
                <w:rFonts w:eastAsiaTheme="minorEastAsia"/>
                <w:sz w:val="20"/>
                <w:szCs w:val="20"/>
                <w:lang w:eastAsia="ja-JP"/>
              </w:rPr>
            </w:pPr>
            <w:r>
              <w:rPr>
                <w:rFonts w:eastAsiaTheme="minorEastAsia"/>
                <w:sz w:val="20"/>
                <w:szCs w:val="20"/>
                <w:lang w:eastAsia="ja-JP"/>
              </w:rPr>
              <w:t xml:space="preserve">N adults         </w:t>
            </w:r>
            <w:r w:rsidR="00DF5281" w:rsidRPr="00C40A28">
              <w:rPr>
                <w:rFonts w:eastAsiaTheme="minorEastAsia"/>
                <w:sz w:val="20"/>
                <w:szCs w:val="20"/>
                <w:lang w:eastAsia="ja-JP"/>
              </w:rPr>
              <w:t>(N cases)</w:t>
            </w:r>
          </w:p>
        </w:tc>
        <w:tc>
          <w:tcPr>
            <w:tcW w:w="910" w:type="dxa"/>
            <w:tcBorders>
              <w:top w:val="single" w:sz="4" w:space="0" w:color="auto"/>
              <w:bottom w:val="single" w:sz="4" w:space="0" w:color="auto"/>
            </w:tcBorders>
            <w:vAlign w:val="center"/>
          </w:tcPr>
          <w:p w14:paraId="46CD5181"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A</w:t>
            </w:r>
            <w:r w:rsidRPr="00C40A28">
              <w:rPr>
                <w:sz w:val="20"/>
                <w:szCs w:val="20"/>
              </w:rPr>
              <w:t>ge, mean y</w:t>
            </w:r>
          </w:p>
        </w:tc>
        <w:tc>
          <w:tcPr>
            <w:tcW w:w="850" w:type="dxa"/>
            <w:tcBorders>
              <w:top w:val="single" w:sz="4" w:space="0" w:color="auto"/>
              <w:bottom w:val="single" w:sz="4" w:space="0" w:color="auto"/>
            </w:tcBorders>
            <w:vAlign w:val="center"/>
          </w:tcPr>
          <w:p w14:paraId="4DBCAA17" w14:textId="77777777" w:rsidR="00DF5281" w:rsidRPr="00C40A28" w:rsidRDefault="00DF5281" w:rsidP="00B82389">
            <w:pPr>
              <w:jc w:val="center"/>
              <w:rPr>
                <w:sz w:val="20"/>
                <w:szCs w:val="20"/>
              </w:rPr>
            </w:pPr>
            <w:r w:rsidRPr="00C40A28">
              <w:rPr>
                <w:sz w:val="20"/>
                <w:szCs w:val="20"/>
              </w:rPr>
              <w:t>Sex,</w:t>
            </w:r>
            <w:r w:rsidRPr="00C40A28">
              <w:rPr>
                <w:rFonts w:eastAsiaTheme="minorEastAsia"/>
                <w:sz w:val="20"/>
                <w:szCs w:val="20"/>
                <w:lang w:eastAsia="ja-JP"/>
              </w:rPr>
              <w:t xml:space="preserve"> </w:t>
            </w:r>
            <w:r w:rsidRPr="00C40A28">
              <w:rPr>
                <w:sz w:val="20"/>
                <w:szCs w:val="20"/>
              </w:rPr>
              <w:t>%</w:t>
            </w:r>
            <w:r w:rsidRPr="00C40A28">
              <w:rPr>
                <w:rFonts w:eastAsiaTheme="minorEastAsia"/>
                <w:sz w:val="20"/>
                <w:szCs w:val="20"/>
                <w:lang w:eastAsia="ja-JP"/>
              </w:rPr>
              <w:t xml:space="preserve"> women</w:t>
            </w:r>
          </w:p>
        </w:tc>
        <w:tc>
          <w:tcPr>
            <w:tcW w:w="1276" w:type="dxa"/>
            <w:tcBorders>
              <w:top w:val="single" w:sz="4" w:space="0" w:color="auto"/>
              <w:bottom w:val="single" w:sz="4" w:space="0" w:color="auto"/>
            </w:tcBorders>
            <w:vAlign w:val="center"/>
          </w:tcPr>
          <w:p w14:paraId="01FA1C37" w14:textId="54DE0936" w:rsidR="00DF5281" w:rsidRPr="00C40A28" w:rsidRDefault="00DF5281" w:rsidP="006A5966">
            <w:pPr>
              <w:jc w:val="center"/>
              <w:rPr>
                <w:sz w:val="20"/>
                <w:szCs w:val="20"/>
              </w:rPr>
            </w:pPr>
            <w:r w:rsidRPr="00C40A28">
              <w:rPr>
                <w:sz w:val="20"/>
                <w:szCs w:val="20"/>
              </w:rPr>
              <w:t>BMI,</w:t>
            </w:r>
            <w:r w:rsidR="006A5966">
              <w:rPr>
                <w:sz w:val="20"/>
                <w:szCs w:val="20"/>
              </w:rPr>
              <w:t xml:space="preserve">    </w:t>
            </w:r>
            <w:r w:rsidRPr="00C40A28">
              <w:rPr>
                <w:sz w:val="20"/>
                <w:szCs w:val="20"/>
              </w:rPr>
              <w:t>mean kg/m</w:t>
            </w:r>
            <w:r w:rsidRPr="00C40A28">
              <w:rPr>
                <w:sz w:val="20"/>
                <w:szCs w:val="20"/>
                <w:vertAlign w:val="superscript"/>
              </w:rPr>
              <w:t>2</w:t>
            </w:r>
          </w:p>
        </w:tc>
        <w:tc>
          <w:tcPr>
            <w:tcW w:w="1559" w:type="dxa"/>
            <w:tcBorders>
              <w:top w:val="single" w:sz="4" w:space="0" w:color="auto"/>
              <w:bottom w:val="single" w:sz="4" w:space="0" w:color="auto"/>
            </w:tcBorders>
            <w:vAlign w:val="center"/>
          </w:tcPr>
          <w:p w14:paraId="73190D0B" w14:textId="77777777" w:rsidR="00DF5281" w:rsidRPr="00C40A28" w:rsidRDefault="00DF5281" w:rsidP="00B82389">
            <w:pPr>
              <w:jc w:val="center"/>
              <w:rPr>
                <w:sz w:val="20"/>
                <w:szCs w:val="20"/>
              </w:rPr>
            </w:pPr>
            <w:r w:rsidRPr="00C40A28">
              <w:rPr>
                <w:sz w:val="20"/>
                <w:szCs w:val="20"/>
              </w:rPr>
              <w:t>Triglycerides, mmol/L</w:t>
            </w:r>
          </w:p>
        </w:tc>
        <w:tc>
          <w:tcPr>
            <w:tcW w:w="1276" w:type="dxa"/>
            <w:tcBorders>
              <w:top w:val="single" w:sz="4" w:space="0" w:color="auto"/>
              <w:bottom w:val="single" w:sz="4" w:space="0" w:color="auto"/>
            </w:tcBorders>
            <w:vAlign w:val="center"/>
          </w:tcPr>
          <w:p w14:paraId="23165F81" w14:textId="77777777" w:rsidR="00DF5281" w:rsidRPr="00C40A28" w:rsidRDefault="00DF5281" w:rsidP="00B82389">
            <w:pPr>
              <w:jc w:val="center"/>
              <w:rPr>
                <w:rFonts w:eastAsiaTheme="minorEastAsia"/>
                <w:sz w:val="20"/>
                <w:szCs w:val="20"/>
                <w:lang w:eastAsia="ja-JP"/>
              </w:rPr>
            </w:pPr>
            <w:r w:rsidRPr="00C40A28">
              <w:rPr>
                <w:sz w:val="20"/>
                <w:szCs w:val="20"/>
              </w:rPr>
              <w:t>Biomarker fraction‡</w:t>
            </w:r>
          </w:p>
        </w:tc>
      </w:tr>
      <w:tr w:rsidR="00C40A28" w:rsidRPr="00C40A28" w14:paraId="2AF6E44D" w14:textId="77777777" w:rsidTr="006A5966">
        <w:trPr>
          <w:trHeight w:val="20"/>
        </w:trPr>
        <w:tc>
          <w:tcPr>
            <w:tcW w:w="1101" w:type="dxa"/>
            <w:tcBorders>
              <w:top w:val="single" w:sz="4" w:space="0" w:color="auto"/>
            </w:tcBorders>
          </w:tcPr>
          <w:p w14:paraId="294712C7" w14:textId="77777777" w:rsidR="00DF5281" w:rsidRPr="00C40A28" w:rsidRDefault="00DF5281" w:rsidP="00B82389">
            <w:pPr>
              <w:rPr>
                <w:sz w:val="20"/>
                <w:szCs w:val="20"/>
                <w:vertAlign w:val="superscript"/>
              </w:rPr>
            </w:pPr>
            <w:r w:rsidRPr="00C40A28">
              <w:rPr>
                <w:sz w:val="20"/>
                <w:szCs w:val="20"/>
              </w:rPr>
              <w:t>CHS</w:t>
            </w:r>
          </w:p>
        </w:tc>
        <w:tc>
          <w:tcPr>
            <w:tcW w:w="1559" w:type="dxa"/>
            <w:tcBorders>
              <w:top w:val="single" w:sz="4" w:space="0" w:color="auto"/>
            </w:tcBorders>
            <w:vAlign w:val="center"/>
          </w:tcPr>
          <w:p w14:paraId="26A82CD8" w14:textId="77777777" w:rsidR="00DF5281" w:rsidRPr="00C40A28" w:rsidRDefault="00DF5281" w:rsidP="00B82389">
            <w:pPr>
              <w:jc w:val="center"/>
              <w:rPr>
                <w:sz w:val="20"/>
                <w:szCs w:val="20"/>
              </w:rPr>
            </w:pPr>
            <w:r w:rsidRPr="00C40A28">
              <w:rPr>
                <w:sz w:val="20"/>
                <w:szCs w:val="20"/>
              </w:rPr>
              <w:t>United States</w:t>
            </w:r>
          </w:p>
        </w:tc>
        <w:tc>
          <w:tcPr>
            <w:tcW w:w="850" w:type="dxa"/>
            <w:tcBorders>
              <w:top w:val="single" w:sz="4" w:space="0" w:color="auto"/>
            </w:tcBorders>
            <w:vAlign w:val="center"/>
          </w:tcPr>
          <w:p w14:paraId="1CCD1810" w14:textId="77777777" w:rsidR="00DF5281" w:rsidRPr="00C40A28" w:rsidRDefault="00DF5281" w:rsidP="00B82389">
            <w:pPr>
              <w:jc w:val="center"/>
              <w:rPr>
                <w:sz w:val="20"/>
                <w:szCs w:val="20"/>
              </w:rPr>
            </w:pPr>
            <w:r w:rsidRPr="00C40A28">
              <w:rPr>
                <w:rFonts w:eastAsiaTheme="minorEastAsia"/>
                <w:sz w:val="20"/>
                <w:szCs w:val="20"/>
                <w:lang w:eastAsia="ja-JP"/>
              </w:rPr>
              <w:t>Cohort</w:t>
            </w:r>
          </w:p>
        </w:tc>
        <w:tc>
          <w:tcPr>
            <w:tcW w:w="1134" w:type="dxa"/>
            <w:tcBorders>
              <w:top w:val="single" w:sz="4" w:space="0" w:color="auto"/>
            </w:tcBorders>
            <w:vAlign w:val="center"/>
          </w:tcPr>
          <w:p w14:paraId="0320DD22" w14:textId="77777777" w:rsidR="00DF5281" w:rsidRPr="00C40A28" w:rsidRDefault="00DF5281" w:rsidP="00B82389">
            <w:pPr>
              <w:jc w:val="center"/>
              <w:rPr>
                <w:sz w:val="20"/>
                <w:szCs w:val="20"/>
              </w:rPr>
            </w:pPr>
            <w:r w:rsidRPr="00C40A28">
              <w:rPr>
                <w:sz w:val="20"/>
                <w:szCs w:val="20"/>
              </w:rPr>
              <w:t>1992</w:t>
            </w:r>
          </w:p>
        </w:tc>
        <w:tc>
          <w:tcPr>
            <w:tcW w:w="1418" w:type="dxa"/>
            <w:tcBorders>
              <w:top w:val="single" w:sz="4" w:space="0" w:color="auto"/>
            </w:tcBorders>
            <w:vAlign w:val="center"/>
          </w:tcPr>
          <w:p w14:paraId="1ED00120"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10.6</w:t>
            </w:r>
          </w:p>
        </w:tc>
        <w:tc>
          <w:tcPr>
            <w:tcW w:w="1500" w:type="dxa"/>
            <w:tcBorders>
              <w:top w:val="single" w:sz="4" w:space="0" w:color="auto"/>
            </w:tcBorders>
            <w:vAlign w:val="center"/>
          </w:tcPr>
          <w:p w14:paraId="2CC7DCB4" w14:textId="77777777" w:rsidR="00DF5281" w:rsidRPr="00C40A28" w:rsidRDefault="00DF5281" w:rsidP="00B82389">
            <w:pPr>
              <w:jc w:val="center"/>
              <w:rPr>
                <w:sz w:val="20"/>
                <w:szCs w:val="20"/>
              </w:rPr>
            </w:pPr>
            <w:r w:rsidRPr="00C40A28">
              <w:rPr>
                <w:sz w:val="20"/>
                <w:szCs w:val="20"/>
              </w:rPr>
              <w:t>3179 (284)</w:t>
            </w:r>
          </w:p>
        </w:tc>
        <w:tc>
          <w:tcPr>
            <w:tcW w:w="910" w:type="dxa"/>
            <w:tcBorders>
              <w:top w:val="single" w:sz="4" w:space="0" w:color="auto"/>
            </w:tcBorders>
            <w:vAlign w:val="center"/>
          </w:tcPr>
          <w:p w14:paraId="0A6AB917" w14:textId="77777777" w:rsidR="00DF5281" w:rsidRPr="00C40A28" w:rsidRDefault="00DF5281" w:rsidP="00B82389">
            <w:pPr>
              <w:jc w:val="center"/>
              <w:rPr>
                <w:sz w:val="20"/>
                <w:szCs w:val="20"/>
              </w:rPr>
            </w:pPr>
            <w:r w:rsidRPr="00C40A28">
              <w:rPr>
                <w:sz w:val="20"/>
                <w:szCs w:val="20"/>
              </w:rPr>
              <w:t>75.1</w:t>
            </w:r>
          </w:p>
        </w:tc>
        <w:tc>
          <w:tcPr>
            <w:tcW w:w="850" w:type="dxa"/>
            <w:tcBorders>
              <w:top w:val="single" w:sz="4" w:space="0" w:color="auto"/>
            </w:tcBorders>
            <w:vAlign w:val="center"/>
          </w:tcPr>
          <w:p w14:paraId="3B4B56B6" w14:textId="77777777" w:rsidR="00DF5281" w:rsidRPr="00C40A28" w:rsidRDefault="00DF5281" w:rsidP="00B82389">
            <w:pPr>
              <w:jc w:val="center"/>
              <w:rPr>
                <w:sz w:val="20"/>
                <w:szCs w:val="20"/>
              </w:rPr>
            </w:pPr>
            <w:r w:rsidRPr="00C40A28">
              <w:rPr>
                <w:sz w:val="20"/>
                <w:szCs w:val="20"/>
              </w:rPr>
              <w:t>61.5</w:t>
            </w:r>
          </w:p>
        </w:tc>
        <w:tc>
          <w:tcPr>
            <w:tcW w:w="1276" w:type="dxa"/>
            <w:tcBorders>
              <w:top w:val="single" w:sz="4" w:space="0" w:color="auto"/>
            </w:tcBorders>
            <w:vAlign w:val="center"/>
          </w:tcPr>
          <w:p w14:paraId="544A562A" w14:textId="77777777" w:rsidR="00DF5281" w:rsidRPr="00C40A28" w:rsidRDefault="00DF5281" w:rsidP="00B82389">
            <w:pPr>
              <w:jc w:val="center"/>
              <w:rPr>
                <w:sz w:val="20"/>
                <w:szCs w:val="20"/>
              </w:rPr>
            </w:pPr>
            <w:r w:rsidRPr="00C40A28">
              <w:rPr>
                <w:sz w:val="20"/>
                <w:szCs w:val="20"/>
              </w:rPr>
              <w:t>26.4</w:t>
            </w:r>
          </w:p>
        </w:tc>
        <w:tc>
          <w:tcPr>
            <w:tcW w:w="1559" w:type="dxa"/>
            <w:tcBorders>
              <w:top w:val="single" w:sz="4" w:space="0" w:color="auto"/>
            </w:tcBorders>
            <w:vAlign w:val="center"/>
          </w:tcPr>
          <w:p w14:paraId="42D85F20"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1.57</w:t>
            </w:r>
          </w:p>
        </w:tc>
        <w:tc>
          <w:tcPr>
            <w:tcW w:w="1276" w:type="dxa"/>
            <w:tcBorders>
              <w:top w:val="single" w:sz="4" w:space="0" w:color="auto"/>
            </w:tcBorders>
            <w:vAlign w:val="center"/>
          </w:tcPr>
          <w:p w14:paraId="01C62E9D"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PL</w:t>
            </w:r>
          </w:p>
        </w:tc>
      </w:tr>
      <w:tr w:rsidR="00C40A28" w:rsidRPr="00C40A28" w14:paraId="1C20A80C" w14:textId="77777777" w:rsidTr="006A5966">
        <w:trPr>
          <w:trHeight w:val="20"/>
        </w:trPr>
        <w:tc>
          <w:tcPr>
            <w:tcW w:w="1101" w:type="dxa"/>
          </w:tcPr>
          <w:p w14:paraId="5CA11858" w14:textId="77777777" w:rsidR="00DF5281" w:rsidRPr="00C40A28" w:rsidRDefault="00DF5281" w:rsidP="00B82389">
            <w:pPr>
              <w:rPr>
                <w:sz w:val="20"/>
                <w:szCs w:val="20"/>
                <w:vertAlign w:val="superscript"/>
              </w:rPr>
            </w:pPr>
            <w:r w:rsidRPr="00C40A28">
              <w:rPr>
                <w:sz w:val="20"/>
                <w:szCs w:val="20"/>
              </w:rPr>
              <w:t>MESA</w:t>
            </w:r>
          </w:p>
        </w:tc>
        <w:tc>
          <w:tcPr>
            <w:tcW w:w="1559" w:type="dxa"/>
            <w:vAlign w:val="center"/>
          </w:tcPr>
          <w:p w14:paraId="2B2FC58E" w14:textId="77777777" w:rsidR="00DF5281" w:rsidRPr="00C40A28" w:rsidRDefault="00DF5281" w:rsidP="00B82389">
            <w:pPr>
              <w:jc w:val="center"/>
              <w:rPr>
                <w:sz w:val="20"/>
                <w:szCs w:val="20"/>
              </w:rPr>
            </w:pPr>
            <w:r w:rsidRPr="00C40A28">
              <w:rPr>
                <w:sz w:val="20"/>
                <w:szCs w:val="20"/>
              </w:rPr>
              <w:t>United States</w:t>
            </w:r>
          </w:p>
        </w:tc>
        <w:tc>
          <w:tcPr>
            <w:tcW w:w="850" w:type="dxa"/>
            <w:vAlign w:val="center"/>
          </w:tcPr>
          <w:p w14:paraId="62BAAD67" w14:textId="77777777" w:rsidR="00DF5281" w:rsidRPr="00C40A28" w:rsidRDefault="00DF5281" w:rsidP="00B82389">
            <w:pPr>
              <w:jc w:val="center"/>
              <w:rPr>
                <w:sz w:val="20"/>
                <w:szCs w:val="20"/>
              </w:rPr>
            </w:pPr>
            <w:r w:rsidRPr="00C40A28">
              <w:rPr>
                <w:rFonts w:eastAsiaTheme="minorEastAsia"/>
                <w:sz w:val="20"/>
                <w:szCs w:val="20"/>
                <w:lang w:eastAsia="ja-JP"/>
              </w:rPr>
              <w:t>Cohort</w:t>
            </w:r>
          </w:p>
        </w:tc>
        <w:tc>
          <w:tcPr>
            <w:tcW w:w="1134" w:type="dxa"/>
            <w:vAlign w:val="center"/>
          </w:tcPr>
          <w:p w14:paraId="2E9B39F0" w14:textId="77777777" w:rsidR="00DF5281" w:rsidRPr="00C40A28" w:rsidRDefault="00DF5281" w:rsidP="00B82389">
            <w:pPr>
              <w:jc w:val="center"/>
              <w:rPr>
                <w:sz w:val="20"/>
                <w:szCs w:val="20"/>
              </w:rPr>
            </w:pPr>
            <w:r w:rsidRPr="00C40A28">
              <w:rPr>
                <w:sz w:val="20"/>
                <w:szCs w:val="20"/>
              </w:rPr>
              <w:t>2000-2002</w:t>
            </w:r>
          </w:p>
        </w:tc>
        <w:tc>
          <w:tcPr>
            <w:tcW w:w="1418" w:type="dxa"/>
            <w:vAlign w:val="center"/>
          </w:tcPr>
          <w:p w14:paraId="140A66C9"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9.3</w:t>
            </w:r>
          </w:p>
        </w:tc>
        <w:tc>
          <w:tcPr>
            <w:tcW w:w="1500" w:type="dxa"/>
            <w:vAlign w:val="center"/>
          </w:tcPr>
          <w:p w14:paraId="6E15E224" w14:textId="77777777" w:rsidR="00DF5281" w:rsidRPr="00C40A28" w:rsidRDefault="00DF5281" w:rsidP="00B82389">
            <w:pPr>
              <w:jc w:val="center"/>
              <w:rPr>
                <w:sz w:val="20"/>
                <w:szCs w:val="20"/>
              </w:rPr>
            </w:pPr>
            <w:r w:rsidRPr="00C40A28">
              <w:rPr>
                <w:sz w:val="20"/>
                <w:szCs w:val="20"/>
              </w:rPr>
              <w:t>2252 (309)</w:t>
            </w:r>
          </w:p>
        </w:tc>
        <w:tc>
          <w:tcPr>
            <w:tcW w:w="910" w:type="dxa"/>
            <w:vAlign w:val="center"/>
          </w:tcPr>
          <w:p w14:paraId="589176F6" w14:textId="77777777" w:rsidR="00DF5281" w:rsidRPr="00C40A28" w:rsidRDefault="00DF5281" w:rsidP="00B82389">
            <w:pPr>
              <w:jc w:val="center"/>
              <w:rPr>
                <w:rFonts w:eastAsiaTheme="minorEastAsia"/>
                <w:sz w:val="20"/>
                <w:szCs w:val="20"/>
                <w:lang w:eastAsia="ja-JP"/>
              </w:rPr>
            </w:pPr>
            <w:r w:rsidRPr="00C40A28">
              <w:rPr>
                <w:sz w:val="20"/>
                <w:szCs w:val="20"/>
              </w:rPr>
              <w:t>61</w:t>
            </w:r>
            <w:r w:rsidRPr="00C40A28">
              <w:rPr>
                <w:rFonts w:eastAsiaTheme="minorEastAsia"/>
                <w:sz w:val="20"/>
                <w:szCs w:val="20"/>
                <w:lang w:eastAsia="ja-JP"/>
              </w:rPr>
              <w:t>.0</w:t>
            </w:r>
          </w:p>
        </w:tc>
        <w:tc>
          <w:tcPr>
            <w:tcW w:w="850" w:type="dxa"/>
            <w:vAlign w:val="center"/>
          </w:tcPr>
          <w:p w14:paraId="5F8DAD2F" w14:textId="77777777" w:rsidR="00DF5281" w:rsidRPr="00C40A28" w:rsidRDefault="00DF5281" w:rsidP="00B82389">
            <w:pPr>
              <w:jc w:val="center"/>
              <w:rPr>
                <w:sz w:val="20"/>
                <w:szCs w:val="20"/>
              </w:rPr>
            </w:pPr>
            <w:r w:rsidRPr="00C40A28">
              <w:rPr>
                <w:sz w:val="20"/>
                <w:szCs w:val="20"/>
              </w:rPr>
              <w:t>53.9</w:t>
            </w:r>
          </w:p>
        </w:tc>
        <w:tc>
          <w:tcPr>
            <w:tcW w:w="1276" w:type="dxa"/>
            <w:vAlign w:val="center"/>
          </w:tcPr>
          <w:p w14:paraId="5939BA8A" w14:textId="77777777" w:rsidR="00DF5281" w:rsidRPr="00C40A28" w:rsidRDefault="00DF5281" w:rsidP="00B82389">
            <w:pPr>
              <w:jc w:val="center"/>
              <w:rPr>
                <w:sz w:val="20"/>
                <w:szCs w:val="20"/>
              </w:rPr>
            </w:pPr>
            <w:r w:rsidRPr="00C40A28">
              <w:rPr>
                <w:sz w:val="20"/>
                <w:szCs w:val="20"/>
              </w:rPr>
              <w:t>27.6</w:t>
            </w:r>
          </w:p>
        </w:tc>
        <w:tc>
          <w:tcPr>
            <w:tcW w:w="1559" w:type="dxa"/>
            <w:vAlign w:val="center"/>
          </w:tcPr>
          <w:p w14:paraId="16B63181"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1.49</w:t>
            </w:r>
          </w:p>
        </w:tc>
        <w:tc>
          <w:tcPr>
            <w:tcW w:w="1276" w:type="dxa"/>
            <w:vAlign w:val="center"/>
          </w:tcPr>
          <w:p w14:paraId="6695CE85"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PL</w:t>
            </w:r>
          </w:p>
        </w:tc>
      </w:tr>
      <w:tr w:rsidR="00C40A28" w:rsidRPr="00C40A28" w14:paraId="7601EA54" w14:textId="77777777" w:rsidTr="006A5966">
        <w:trPr>
          <w:trHeight w:val="20"/>
        </w:trPr>
        <w:tc>
          <w:tcPr>
            <w:tcW w:w="1101" w:type="dxa"/>
          </w:tcPr>
          <w:p w14:paraId="2BDBA522" w14:textId="77777777" w:rsidR="00DF5281" w:rsidRPr="00C40A28" w:rsidRDefault="00DF5281" w:rsidP="00B82389">
            <w:pPr>
              <w:rPr>
                <w:sz w:val="20"/>
                <w:szCs w:val="20"/>
              </w:rPr>
            </w:pPr>
            <w:r w:rsidRPr="00C40A28">
              <w:rPr>
                <w:sz w:val="20"/>
                <w:szCs w:val="20"/>
              </w:rPr>
              <w:t>IRAS</w:t>
            </w:r>
          </w:p>
        </w:tc>
        <w:tc>
          <w:tcPr>
            <w:tcW w:w="1559" w:type="dxa"/>
            <w:vAlign w:val="center"/>
          </w:tcPr>
          <w:p w14:paraId="245ADBDA" w14:textId="77777777" w:rsidR="00DF5281" w:rsidRPr="00C40A28" w:rsidRDefault="00DF5281" w:rsidP="00B82389">
            <w:pPr>
              <w:jc w:val="center"/>
              <w:rPr>
                <w:sz w:val="20"/>
                <w:szCs w:val="20"/>
              </w:rPr>
            </w:pPr>
            <w:r w:rsidRPr="00C40A28">
              <w:rPr>
                <w:sz w:val="20"/>
                <w:szCs w:val="20"/>
              </w:rPr>
              <w:t>United States</w:t>
            </w:r>
          </w:p>
        </w:tc>
        <w:tc>
          <w:tcPr>
            <w:tcW w:w="850" w:type="dxa"/>
            <w:vAlign w:val="center"/>
          </w:tcPr>
          <w:p w14:paraId="4CB0ED25" w14:textId="77777777" w:rsidR="00DF5281" w:rsidRPr="00C40A28" w:rsidRDefault="00DF5281" w:rsidP="00B82389">
            <w:pPr>
              <w:jc w:val="center"/>
              <w:rPr>
                <w:sz w:val="20"/>
                <w:szCs w:val="20"/>
              </w:rPr>
            </w:pPr>
            <w:r w:rsidRPr="00C40A28">
              <w:rPr>
                <w:rFonts w:eastAsiaTheme="minorEastAsia"/>
                <w:sz w:val="20"/>
                <w:szCs w:val="20"/>
                <w:lang w:eastAsia="ja-JP"/>
              </w:rPr>
              <w:t>Cohort</w:t>
            </w:r>
          </w:p>
        </w:tc>
        <w:tc>
          <w:tcPr>
            <w:tcW w:w="1134" w:type="dxa"/>
            <w:vAlign w:val="center"/>
          </w:tcPr>
          <w:p w14:paraId="3A869210"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1992-1997</w:t>
            </w:r>
          </w:p>
        </w:tc>
        <w:tc>
          <w:tcPr>
            <w:tcW w:w="1418" w:type="dxa"/>
            <w:vAlign w:val="center"/>
          </w:tcPr>
          <w:p w14:paraId="579E3FAF"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5.3</w:t>
            </w:r>
          </w:p>
        </w:tc>
        <w:tc>
          <w:tcPr>
            <w:tcW w:w="1500" w:type="dxa"/>
            <w:vAlign w:val="center"/>
          </w:tcPr>
          <w:p w14:paraId="6CFE0E8A"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719 (146)</w:t>
            </w:r>
          </w:p>
        </w:tc>
        <w:tc>
          <w:tcPr>
            <w:tcW w:w="910" w:type="dxa"/>
            <w:vAlign w:val="center"/>
          </w:tcPr>
          <w:p w14:paraId="6980A889"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55.1</w:t>
            </w:r>
          </w:p>
        </w:tc>
        <w:tc>
          <w:tcPr>
            <w:tcW w:w="850" w:type="dxa"/>
            <w:vAlign w:val="center"/>
          </w:tcPr>
          <w:p w14:paraId="07CE78E6"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55.8</w:t>
            </w:r>
          </w:p>
        </w:tc>
        <w:tc>
          <w:tcPr>
            <w:tcW w:w="1276" w:type="dxa"/>
            <w:vAlign w:val="center"/>
          </w:tcPr>
          <w:p w14:paraId="1700BCF7"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28.4</w:t>
            </w:r>
          </w:p>
        </w:tc>
        <w:tc>
          <w:tcPr>
            <w:tcW w:w="1559" w:type="dxa"/>
            <w:vAlign w:val="center"/>
          </w:tcPr>
          <w:p w14:paraId="125E060E"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1.53</w:t>
            </w:r>
          </w:p>
        </w:tc>
        <w:tc>
          <w:tcPr>
            <w:tcW w:w="1276" w:type="dxa"/>
            <w:vAlign w:val="center"/>
          </w:tcPr>
          <w:p w14:paraId="3C1B1503"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Total plasma</w:t>
            </w:r>
          </w:p>
        </w:tc>
      </w:tr>
      <w:tr w:rsidR="00C40A28" w:rsidRPr="00C40A28" w14:paraId="6618EC0C" w14:textId="77777777" w:rsidTr="006A5966">
        <w:trPr>
          <w:trHeight w:val="20"/>
        </w:trPr>
        <w:tc>
          <w:tcPr>
            <w:tcW w:w="1101" w:type="dxa"/>
          </w:tcPr>
          <w:p w14:paraId="42879B57" w14:textId="77777777" w:rsidR="00DF5281" w:rsidRPr="00C40A28" w:rsidRDefault="00DF5281" w:rsidP="00B82389">
            <w:pPr>
              <w:rPr>
                <w:sz w:val="20"/>
                <w:szCs w:val="20"/>
                <w:vertAlign w:val="superscript"/>
              </w:rPr>
            </w:pPr>
            <w:r w:rsidRPr="00C40A28">
              <w:rPr>
                <w:sz w:val="20"/>
                <w:szCs w:val="20"/>
              </w:rPr>
              <w:t>FHS</w:t>
            </w:r>
          </w:p>
        </w:tc>
        <w:tc>
          <w:tcPr>
            <w:tcW w:w="1559" w:type="dxa"/>
            <w:vAlign w:val="center"/>
          </w:tcPr>
          <w:p w14:paraId="675F37FD" w14:textId="77777777" w:rsidR="00DF5281" w:rsidRPr="00C40A28" w:rsidRDefault="00DF5281" w:rsidP="00B82389">
            <w:pPr>
              <w:jc w:val="center"/>
              <w:rPr>
                <w:sz w:val="20"/>
                <w:szCs w:val="20"/>
              </w:rPr>
            </w:pPr>
            <w:r w:rsidRPr="00C40A28">
              <w:rPr>
                <w:sz w:val="20"/>
                <w:szCs w:val="20"/>
              </w:rPr>
              <w:t>United States</w:t>
            </w:r>
          </w:p>
        </w:tc>
        <w:tc>
          <w:tcPr>
            <w:tcW w:w="850" w:type="dxa"/>
            <w:vAlign w:val="center"/>
          </w:tcPr>
          <w:p w14:paraId="4AF3C784" w14:textId="77777777" w:rsidR="00DF5281" w:rsidRPr="00C40A28" w:rsidRDefault="00DF5281" w:rsidP="00B82389">
            <w:pPr>
              <w:jc w:val="center"/>
              <w:rPr>
                <w:sz w:val="20"/>
                <w:szCs w:val="20"/>
              </w:rPr>
            </w:pPr>
            <w:r w:rsidRPr="00C40A28">
              <w:rPr>
                <w:rFonts w:eastAsiaTheme="minorEastAsia"/>
                <w:sz w:val="20"/>
                <w:szCs w:val="20"/>
                <w:lang w:eastAsia="ja-JP"/>
              </w:rPr>
              <w:t>Cohort</w:t>
            </w:r>
          </w:p>
        </w:tc>
        <w:tc>
          <w:tcPr>
            <w:tcW w:w="1134" w:type="dxa"/>
            <w:vAlign w:val="center"/>
          </w:tcPr>
          <w:p w14:paraId="0539EE4B" w14:textId="77777777" w:rsidR="00DF5281" w:rsidRPr="00C40A28" w:rsidRDefault="00DF5281" w:rsidP="00B82389">
            <w:pPr>
              <w:jc w:val="center"/>
              <w:rPr>
                <w:sz w:val="20"/>
                <w:szCs w:val="20"/>
              </w:rPr>
            </w:pPr>
            <w:r w:rsidRPr="00C40A28">
              <w:rPr>
                <w:sz w:val="20"/>
                <w:szCs w:val="20"/>
              </w:rPr>
              <w:t>2005-2008</w:t>
            </w:r>
          </w:p>
        </w:tc>
        <w:tc>
          <w:tcPr>
            <w:tcW w:w="1418" w:type="dxa"/>
            <w:vAlign w:val="center"/>
          </w:tcPr>
          <w:p w14:paraId="1A7776D6"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5.8</w:t>
            </w:r>
          </w:p>
        </w:tc>
        <w:tc>
          <w:tcPr>
            <w:tcW w:w="1500" w:type="dxa"/>
            <w:vAlign w:val="center"/>
          </w:tcPr>
          <w:p w14:paraId="74169D12" w14:textId="77777777" w:rsidR="00DF5281" w:rsidRPr="00C40A28" w:rsidRDefault="00DF5281" w:rsidP="00B82389">
            <w:pPr>
              <w:jc w:val="center"/>
              <w:rPr>
                <w:sz w:val="20"/>
                <w:szCs w:val="20"/>
              </w:rPr>
            </w:pPr>
            <w:r w:rsidRPr="00C40A28">
              <w:rPr>
                <w:sz w:val="20"/>
                <w:szCs w:val="20"/>
              </w:rPr>
              <w:t>2209 (98)</w:t>
            </w:r>
          </w:p>
        </w:tc>
        <w:tc>
          <w:tcPr>
            <w:tcW w:w="910" w:type="dxa"/>
            <w:vAlign w:val="center"/>
          </w:tcPr>
          <w:p w14:paraId="2294B79F" w14:textId="77777777" w:rsidR="00DF5281" w:rsidRPr="00C40A28" w:rsidRDefault="00DF5281" w:rsidP="00B82389">
            <w:pPr>
              <w:jc w:val="center"/>
              <w:rPr>
                <w:sz w:val="20"/>
                <w:szCs w:val="20"/>
              </w:rPr>
            </w:pPr>
            <w:r w:rsidRPr="00C40A28">
              <w:rPr>
                <w:sz w:val="20"/>
                <w:szCs w:val="20"/>
              </w:rPr>
              <w:t>64.4</w:t>
            </w:r>
          </w:p>
        </w:tc>
        <w:tc>
          <w:tcPr>
            <w:tcW w:w="850" w:type="dxa"/>
            <w:vAlign w:val="center"/>
          </w:tcPr>
          <w:p w14:paraId="3E5520CF" w14:textId="77777777" w:rsidR="00DF5281" w:rsidRPr="00C40A28" w:rsidRDefault="00DF5281" w:rsidP="00B82389">
            <w:pPr>
              <w:jc w:val="center"/>
              <w:rPr>
                <w:sz w:val="20"/>
                <w:szCs w:val="20"/>
              </w:rPr>
            </w:pPr>
            <w:r w:rsidRPr="00C40A28">
              <w:rPr>
                <w:sz w:val="20"/>
                <w:szCs w:val="20"/>
              </w:rPr>
              <w:t>57.2</w:t>
            </w:r>
          </w:p>
        </w:tc>
        <w:tc>
          <w:tcPr>
            <w:tcW w:w="1276" w:type="dxa"/>
            <w:vAlign w:val="center"/>
          </w:tcPr>
          <w:p w14:paraId="62D87B11" w14:textId="77777777" w:rsidR="00DF5281" w:rsidRPr="00C40A28" w:rsidRDefault="00DF5281" w:rsidP="00B82389">
            <w:pPr>
              <w:jc w:val="center"/>
              <w:rPr>
                <w:sz w:val="20"/>
                <w:szCs w:val="20"/>
              </w:rPr>
            </w:pPr>
            <w:r w:rsidRPr="00C40A28">
              <w:rPr>
                <w:sz w:val="20"/>
                <w:szCs w:val="20"/>
              </w:rPr>
              <w:t>27.8</w:t>
            </w:r>
          </w:p>
        </w:tc>
        <w:tc>
          <w:tcPr>
            <w:tcW w:w="1559" w:type="dxa"/>
            <w:vAlign w:val="center"/>
          </w:tcPr>
          <w:p w14:paraId="25F61B29"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1.26</w:t>
            </w:r>
          </w:p>
        </w:tc>
        <w:tc>
          <w:tcPr>
            <w:tcW w:w="1276" w:type="dxa"/>
            <w:vAlign w:val="center"/>
          </w:tcPr>
          <w:p w14:paraId="6D7CC185"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RBC PL</w:t>
            </w:r>
          </w:p>
        </w:tc>
      </w:tr>
      <w:tr w:rsidR="00C40A28" w:rsidRPr="00C40A28" w14:paraId="01EAEEF2" w14:textId="77777777" w:rsidTr="006A5966">
        <w:trPr>
          <w:trHeight w:val="193"/>
        </w:trPr>
        <w:tc>
          <w:tcPr>
            <w:tcW w:w="1101" w:type="dxa"/>
          </w:tcPr>
          <w:p w14:paraId="65247561" w14:textId="77777777" w:rsidR="00DF5281" w:rsidRPr="00C40A28" w:rsidRDefault="00DF5281" w:rsidP="00B82389">
            <w:pPr>
              <w:rPr>
                <w:rFonts w:eastAsiaTheme="minorEastAsia"/>
                <w:sz w:val="20"/>
                <w:szCs w:val="20"/>
                <w:lang w:eastAsia="ja-JP"/>
              </w:rPr>
            </w:pPr>
            <w:r w:rsidRPr="00C40A28">
              <w:rPr>
                <w:sz w:val="20"/>
                <w:szCs w:val="20"/>
              </w:rPr>
              <w:t>WHI</w:t>
            </w:r>
            <w:r w:rsidRPr="00C40A28">
              <w:rPr>
                <w:rFonts w:eastAsiaTheme="minorEastAsia"/>
                <w:sz w:val="20"/>
                <w:szCs w:val="20"/>
                <w:lang w:eastAsia="ja-JP"/>
              </w:rPr>
              <w:t>MS</w:t>
            </w:r>
          </w:p>
        </w:tc>
        <w:tc>
          <w:tcPr>
            <w:tcW w:w="1559" w:type="dxa"/>
            <w:vAlign w:val="center"/>
          </w:tcPr>
          <w:p w14:paraId="42B7EF18" w14:textId="77777777" w:rsidR="00DF5281" w:rsidRPr="00C40A28" w:rsidRDefault="00DF5281" w:rsidP="00B82389">
            <w:pPr>
              <w:jc w:val="center"/>
              <w:rPr>
                <w:sz w:val="20"/>
                <w:szCs w:val="20"/>
              </w:rPr>
            </w:pPr>
            <w:r w:rsidRPr="00C40A28">
              <w:rPr>
                <w:sz w:val="20"/>
                <w:szCs w:val="20"/>
              </w:rPr>
              <w:t>United States</w:t>
            </w:r>
          </w:p>
        </w:tc>
        <w:tc>
          <w:tcPr>
            <w:tcW w:w="850" w:type="dxa"/>
            <w:vAlign w:val="center"/>
          </w:tcPr>
          <w:p w14:paraId="255C31EE" w14:textId="77777777" w:rsidR="00DF5281" w:rsidRPr="00C40A28" w:rsidRDefault="00DF5281" w:rsidP="00B82389">
            <w:pPr>
              <w:jc w:val="center"/>
              <w:rPr>
                <w:sz w:val="20"/>
                <w:szCs w:val="20"/>
              </w:rPr>
            </w:pPr>
            <w:r w:rsidRPr="00C40A28">
              <w:rPr>
                <w:rFonts w:eastAsiaTheme="minorEastAsia"/>
                <w:sz w:val="20"/>
                <w:szCs w:val="20"/>
                <w:lang w:eastAsia="ja-JP"/>
              </w:rPr>
              <w:t>Cohort</w:t>
            </w:r>
          </w:p>
        </w:tc>
        <w:tc>
          <w:tcPr>
            <w:tcW w:w="1134" w:type="dxa"/>
            <w:vAlign w:val="center"/>
          </w:tcPr>
          <w:p w14:paraId="5CF43281" w14:textId="77777777" w:rsidR="00DF5281" w:rsidRPr="00C40A28" w:rsidRDefault="00DF5281" w:rsidP="00B82389">
            <w:pPr>
              <w:jc w:val="center"/>
              <w:rPr>
                <w:sz w:val="20"/>
                <w:szCs w:val="20"/>
              </w:rPr>
            </w:pPr>
            <w:r w:rsidRPr="00C40A28">
              <w:rPr>
                <w:sz w:val="20"/>
                <w:szCs w:val="20"/>
              </w:rPr>
              <w:t>1996</w:t>
            </w:r>
          </w:p>
        </w:tc>
        <w:tc>
          <w:tcPr>
            <w:tcW w:w="1418" w:type="dxa"/>
            <w:vAlign w:val="center"/>
          </w:tcPr>
          <w:p w14:paraId="1F425DCD"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11.0</w:t>
            </w:r>
          </w:p>
        </w:tc>
        <w:tc>
          <w:tcPr>
            <w:tcW w:w="1500" w:type="dxa"/>
            <w:vAlign w:val="center"/>
          </w:tcPr>
          <w:p w14:paraId="50153A45" w14:textId="77777777" w:rsidR="00DF5281" w:rsidRPr="00C40A28" w:rsidRDefault="00DF5281" w:rsidP="00B82389">
            <w:pPr>
              <w:jc w:val="center"/>
              <w:rPr>
                <w:sz w:val="20"/>
                <w:szCs w:val="20"/>
              </w:rPr>
            </w:pPr>
            <w:r w:rsidRPr="00C40A28">
              <w:rPr>
                <w:sz w:val="20"/>
                <w:szCs w:val="20"/>
              </w:rPr>
              <w:t>6510 (502)</w:t>
            </w:r>
          </w:p>
        </w:tc>
        <w:tc>
          <w:tcPr>
            <w:tcW w:w="910" w:type="dxa"/>
            <w:vAlign w:val="center"/>
          </w:tcPr>
          <w:p w14:paraId="596936C4" w14:textId="77777777" w:rsidR="00DF5281" w:rsidRPr="00C40A28" w:rsidRDefault="00DF5281" w:rsidP="00B82389">
            <w:pPr>
              <w:jc w:val="center"/>
              <w:rPr>
                <w:sz w:val="20"/>
                <w:szCs w:val="20"/>
              </w:rPr>
            </w:pPr>
            <w:r w:rsidRPr="00C40A28">
              <w:rPr>
                <w:sz w:val="20"/>
                <w:szCs w:val="20"/>
              </w:rPr>
              <w:t>70.1</w:t>
            </w:r>
          </w:p>
        </w:tc>
        <w:tc>
          <w:tcPr>
            <w:tcW w:w="850" w:type="dxa"/>
            <w:vAlign w:val="center"/>
          </w:tcPr>
          <w:p w14:paraId="3466E4E8" w14:textId="77777777" w:rsidR="00DF5281" w:rsidRPr="00C40A28" w:rsidRDefault="00DF5281" w:rsidP="00B82389">
            <w:pPr>
              <w:jc w:val="center"/>
              <w:rPr>
                <w:sz w:val="20"/>
                <w:szCs w:val="20"/>
              </w:rPr>
            </w:pPr>
            <w:r w:rsidRPr="00C40A28">
              <w:rPr>
                <w:sz w:val="20"/>
                <w:szCs w:val="20"/>
              </w:rPr>
              <w:t>100</w:t>
            </w:r>
          </w:p>
        </w:tc>
        <w:tc>
          <w:tcPr>
            <w:tcW w:w="1276" w:type="dxa"/>
            <w:vAlign w:val="center"/>
          </w:tcPr>
          <w:p w14:paraId="6A685ABE" w14:textId="77777777" w:rsidR="00DF5281" w:rsidRPr="00C40A28" w:rsidRDefault="00DF5281" w:rsidP="00B82389">
            <w:pPr>
              <w:jc w:val="center"/>
              <w:rPr>
                <w:sz w:val="20"/>
                <w:szCs w:val="20"/>
              </w:rPr>
            </w:pPr>
            <w:r w:rsidRPr="00C40A28">
              <w:rPr>
                <w:sz w:val="20"/>
                <w:szCs w:val="20"/>
              </w:rPr>
              <w:t>28.1</w:t>
            </w:r>
          </w:p>
        </w:tc>
        <w:tc>
          <w:tcPr>
            <w:tcW w:w="1559" w:type="dxa"/>
            <w:vAlign w:val="center"/>
          </w:tcPr>
          <w:p w14:paraId="406E0949"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1.56</w:t>
            </w:r>
          </w:p>
        </w:tc>
        <w:tc>
          <w:tcPr>
            <w:tcW w:w="1276" w:type="dxa"/>
            <w:vAlign w:val="center"/>
          </w:tcPr>
          <w:p w14:paraId="5866FC53"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RBC PL</w:t>
            </w:r>
          </w:p>
        </w:tc>
      </w:tr>
      <w:tr w:rsidR="00C40A28" w:rsidRPr="00C40A28" w14:paraId="7BBD09D6" w14:textId="77777777" w:rsidTr="006A5966">
        <w:trPr>
          <w:trHeight w:val="20"/>
        </w:trPr>
        <w:tc>
          <w:tcPr>
            <w:tcW w:w="1101" w:type="dxa"/>
          </w:tcPr>
          <w:p w14:paraId="2CDD77E2" w14:textId="77777777" w:rsidR="00DF5281" w:rsidRPr="00C40A28" w:rsidRDefault="00DF5281" w:rsidP="00B82389">
            <w:pPr>
              <w:rPr>
                <w:rFonts w:eastAsiaTheme="minorEastAsia"/>
                <w:sz w:val="20"/>
                <w:szCs w:val="20"/>
                <w:lang w:eastAsia="ja-JP"/>
              </w:rPr>
            </w:pPr>
            <w:r w:rsidRPr="00C40A28">
              <w:rPr>
                <w:rFonts w:eastAsiaTheme="minorEastAsia"/>
                <w:sz w:val="20"/>
                <w:szCs w:val="20"/>
                <w:lang w:eastAsia="ja-JP"/>
              </w:rPr>
              <w:t>NHS</w:t>
            </w:r>
          </w:p>
        </w:tc>
        <w:tc>
          <w:tcPr>
            <w:tcW w:w="1559" w:type="dxa"/>
          </w:tcPr>
          <w:p w14:paraId="474CD4E6" w14:textId="77777777" w:rsidR="00DF5281" w:rsidRPr="00C40A28" w:rsidRDefault="00DF5281" w:rsidP="00B82389">
            <w:pPr>
              <w:jc w:val="center"/>
              <w:rPr>
                <w:sz w:val="20"/>
                <w:szCs w:val="20"/>
              </w:rPr>
            </w:pPr>
            <w:r w:rsidRPr="00C40A28">
              <w:rPr>
                <w:sz w:val="20"/>
                <w:szCs w:val="20"/>
              </w:rPr>
              <w:t>United States</w:t>
            </w:r>
          </w:p>
        </w:tc>
        <w:tc>
          <w:tcPr>
            <w:tcW w:w="850" w:type="dxa"/>
          </w:tcPr>
          <w:p w14:paraId="69904415" w14:textId="77777777" w:rsidR="00DF5281" w:rsidRPr="00C40A28" w:rsidRDefault="00DF5281" w:rsidP="00B82389">
            <w:pPr>
              <w:jc w:val="center"/>
              <w:rPr>
                <w:sz w:val="20"/>
                <w:szCs w:val="20"/>
              </w:rPr>
            </w:pPr>
            <w:r w:rsidRPr="00C40A28">
              <w:rPr>
                <w:rFonts w:eastAsiaTheme="minorEastAsia"/>
                <w:sz w:val="20"/>
                <w:szCs w:val="20"/>
                <w:lang w:eastAsia="ja-JP"/>
              </w:rPr>
              <w:t>Cohort</w:t>
            </w:r>
          </w:p>
        </w:tc>
        <w:tc>
          <w:tcPr>
            <w:tcW w:w="1134" w:type="dxa"/>
          </w:tcPr>
          <w:p w14:paraId="5E90D33C"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1990</w:t>
            </w:r>
          </w:p>
        </w:tc>
        <w:tc>
          <w:tcPr>
            <w:tcW w:w="1418" w:type="dxa"/>
          </w:tcPr>
          <w:p w14:paraId="75049D6E"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16.9</w:t>
            </w:r>
          </w:p>
        </w:tc>
        <w:tc>
          <w:tcPr>
            <w:tcW w:w="1500" w:type="dxa"/>
          </w:tcPr>
          <w:p w14:paraId="4D186FBC"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1760 (177)</w:t>
            </w:r>
          </w:p>
        </w:tc>
        <w:tc>
          <w:tcPr>
            <w:tcW w:w="910" w:type="dxa"/>
          </w:tcPr>
          <w:p w14:paraId="3D8352FE"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60.4</w:t>
            </w:r>
          </w:p>
        </w:tc>
        <w:tc>
          <w:tcPr>
            <w:tcW w:w="850" w:type="dxa"/>
          </w:tcPr>
          <w:p w14:paraId="7213AFFD"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100</w:t>
            </w:r>
          </w:p>
        </w:tc>
        <w:tc>
          <w:tcPr>
            <w:tcW w:w="1276" w:type="dxa"/>
          </w:tcPr>
          <w:p w14:paraId="78537551"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25.3</w:t>
            </w:r>
          </w:p>
        </w:tc>
        <w:tc>
          <w:tcPr>
            <w:tcW w:w="1559" w:type="dxa"/>
          </w:tcPr>
          <w:p w14:paraId="34C8A0BC"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N/A</w:t>
            </w:r>
          </w:p>
        </w:tc>
        <w:tc>
          <w:tcPr>
            <w:tcW w:w="1276" w:type="dxa"/>
            <w:vAlign w:val="center"/>
          </w:tcPr>
          <w:p w14:paraId="0FCB0CF7" w14:textId="77777777" w:rsidR="00DF5281" w:rsidRPr="00C40A28" w:rsidRDefault="00DF5281" w:rsidP="00B82389">
            <w:pPr>
              <w:jc w:val="center"/>
              <w:rPr>
                <w:sz w:val="20"/>
                <w:szCs w:val="20"/>
              </w:rPr>
            </w:pPr>
            <w:r w:rsidRPr="00C40A28">
              <w:rPr>
                <w:rFonts w:eastAsiaTheme="minorEastAsia"/>
                <w:sz w:val="20"/>
                <w:szCs w:val="20"/>
                <w:lang w:eastAsia="ja-JP"/>
              </w:rPr>
              <w:t>RBC PL, total plasma</w:t>
            </w:r>
          </w:p>
        </w:tc>
      </w:tr>
      <w:tr w:rsidR="00C40A28" w:rsidRPr="00C40A28" w14:paraId="64D51774" w14:textId="77777777" w:rsidTr="006A5966">
        <w:trPr>
          <w:trHeight w:val="20"/>
        </w:trPr>
        <w:tc>
          <w:tcPr>
            <w:tcW w:w="1101" w:type="dxa"/>
          </w:tcPr>
          <w:p w14:paraId="1E2F5A18" w14:textId="77777777" w:rsidR="00DF5281" w:rsidRPr="00C40A28" w:rsidRDefault="00DF5281" w:rsidP="00B82389">
            <w:pPr>
              <w:rPr>
                <w:rFonts w:eastAsiaTheme="minorEastAsia"/>
                <w:sz w:val="20"/>
                <w:szCs w:val="20"/>
                <w:lang w:eastAsia="ja-JP"/>
              </w:rPr>
            </w:pPr>
            <w:r w:rsidRPr="00C40A28">
              <w:rPr>
                <w:rFonts w:eastAsiaTheme="minorEastAsia"/>
                <w:sz w:val="20"/>
                <w:szCs w:val="20"/>
                <w:lang w:eastAsia="ja-JP"/>
              </w:rPr>
              <w:t>HPFS</w:t>
            </w:r>
          </w:p>
        </w:tc>
        <w:tc>
          <w:tcPr>
            <w:tcW w:w="1559" w:type="dxa"/>
          </w:tcPr>
          <w:p w14:paraId="19A00E3B" w14:textId="77777777" w:rsidR="00DF5281" w:rsidRPr="00C40A28" w:rsidRDefault="00DF5281" w:rsidP="00B82389">
            <w:pPr>
              <w:jc w:val="center"/>
              <w:rPr>
                <w:sz w:val="20"/>
                <w:szCs w:val="20"/>
              </w:rPr>
            </w:pPr>
            <w:r w:rsidRPr="00C40A28">
              <w:rPr>
                <w:sz w:val="20"/>
                <w:szCs w:val="20"/>
              </w:rPr>
              <w:t>United States</w:t>
            </w:r>
          </w:p>
        </w:tc>
        <w:tc>
          <w:tcPr>
            <w:tcW w:w="850" w:type="dxa"/>
          </w:tcPr>
          <w:p w14:paraId="2C4EBA29" w14:textId="77777777" w:rsidR="00DF5281" w:rsidRPr="00C40A28" w:rsidRDefault="00DF5281" w:rsidP="00B82389">
            <w:pPr>
              <w:jc w:val="center"/>
              <w:rPr>
                <w:sz w:val="20"/>
                <w:szCs w:val="20"/>
              </w:rPr>
            </w:pPr>
            <w:r w:rsidRPr="00C40A28">
              <w:rPr>
                <w:rFonts w:eastAsiaTheme="minorEastAsia"/>
                <w:sz w:val="20"/>
                <w:szCs w:val="20"/>
                <w:lang w:eastAsia="ja-JP"/>
              </w:rPr>
              <w:t>Cohort</w:t>
            </w:r>
          </w:p>
        </w:tc>
        <w:tc>
          <w:tcPr>
            <w:tcW w:w="1134" w:type="dxa"/>
          </w:tcPr>
          <w:p w14:paraId="634890BB"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1994</w:t>
            </w:r>
          </w:p>
        </w:tc>
        <w:tc>
          <w:tcPr>
            <w:tcW w:w="1418" w:type="dxa"/>
          </w:tcPr>
          <w:p w14:paraId="71E54DF7"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11.1</w:t>
            </w:r>
          </w:p>
        </w:tc>
        <w:tc>
          <w:tcPr>
            <w:tcW w:w="1500" w:type="dxa"/>
          </w:tcPr>
          <w:p w14:paraId="04ECFC7D"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1519 (112)</w:t>
            </w:r>
          </w:p>
        </w:tc>
        <w:tc>
          <w:tcPr>
            <w:tcW w:w="910" w:type="dxa"/>
          </w:tcPr>
          <w:p w14:paraId="129EEF5A"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64.1</w:t>
            </w:r>
          </w:p>
        </w:tc>
        <w:tc>
          <w:tcPr>
            <w:tcW w:w="850" w:type="dxa"/>
          </w:tcPr>
          <w:p w14:paraId="7650FC0D"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0</w:t>
            </w:r>
          </w:p>
        </w:tc>
        <w:tc>
          <w:tcPr>
            <w:tcW w:w="1276" w:type="dxa"/>
          </w:tcPr>
          <w:p w14:paraId="1BE26CF2"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25.8</w:t>
            </w:r>
          </w:p>
        </w:tc>
        <w:tc>
          <w:tcPr>
            <w:tcW w:w="1559" w:type="dxa"/>
          </w:tcPr>
          <w:p w14:paraId="587A3AE2"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N/A</w:t>
            </w:r>
          </w:p>
        </w:tc>
        <w:tc>
          <w:tcPr>
            <w:tcW w:w="1276" w:type="dxa"/>
            <w:vAlign w:val="center"/>
          </w:tcPr>
          <w:p w14:paraId="6431C811" w14:textId="77777777" w:rsidR="00DF5281" w:rsidRPr="00C40A28" w:rsidRDefault="00DF5281" w:rsidP="00B82389">
            <w:pPr>
              <w:jc w:val="center"/>
              <w:rPr>
                <w:sz w:val="20"/>
                <w:szCs w:val="20"/>
              </w:rPr>
            </w:pPr>
            <w:r w:rsidRPr="00C40A28">
              <w:rPr>
                <w:rFonts w:eastAsiaTheme="minorEastAsia"/>
                <w:sz w:val="20"/>
                <w:szCs w:val="20"/>
                <w:lang w:eastAsia="ja-JP"/>
              </w:rPr>
              <w:t>RBC PL, total plasma</w:t>
            </w:r>
          </w:p>
        </w:tc>
      </w:tr>
      <w:tr w:rsidR="00C40A28" w:rsidRPr="00C40A28" w14:paraId="7CDC272D" w14:textId="77777777" w:rsidTr="006A5966">
        <w:trPr>
          <w:trHeight w:val="20"/>
        </w:trPr>
        <w:tc>
          <w:tcPr>
            <w:tcW w:w="1101" w:type="dxa"/>
          </w:tcPr>
          <w:p w14:paraId="5DF1B0D4" w14:textId="77777777" w:rsidR="00DF5281" w:rsidRPr="00C40A28" w:rsidRDefault="00DF5281" w:rsidP="00B82389">
            <w:pPr>
              <w:rPr>
                <w:rFonts w:eastAsiaTheme="minorEastAsia"/>
                <w:sz w:val="20"/>
                <w:szCs w:val="20"/>
                <w:lang w:eastAsia="ja-JP"/>
              </w:rPr>
            </w:pPr>
            <w:r w:rsidRPr="00C40A28">
              <w:rPr>
                <w:rFonts w:eastAsiaTheme="minorEastAsia"/>
                <w:sz w:val="20"/>
                <w:szCs w:val="20"/>
                <w:lang w:eastAsia="ja-JP"/>
              </w:rPr>
              <w:t>EPIC-InterAct</w:t>
            </w:r>
            <w:r w:rsidRPr="00C40A28">
              <w:rPr>
                <w:sz w:val="20"/>
                <w:szCs w:val="20"/>
              </w:rPr>
              <w:t>†</w:t>
            </w:r>
          </w:p>
        </w:tc>
        <w:tc>
          <w:tcPr>
            <w:tcW w:w="1559" w:type="dxa"/>
            <w:vAlign w:val="center"/>
          </w:tcPr>
          <w:p w14:paraId="1C19A03E"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Eight European countries</w:t>
            </w:r>
          </w:p>
        </w:tc>
        <w:tc>
          <w:tcPr>
            <w:tcW w:w="850" w:type="dxa"/>
            <w:vAlign w:val="center"/>
          </w:tcPr>
          <w:p w14:paraId="1E251B3B"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Case cohort</w:t>
            </w:r>
          </w:p>
        </w:tc>
        <w:tc>
          <w:tcPr>
            <w:tcW w:w="1134" w:type="dxa"/>
            <w:vAlign w:val="center"/>
          </w:tcPr>
          <w:p w14:paraId="10925C76"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1993-1997</w:t>
            </w:r>
          </w:p>
        </w:tc>
        <w:tc>
          <w:tcPr>
            <w:tcW w:w="1418" w:type="dxa"/>
            <w:vAlign w:val="center"/>
          </w:tcPr>
          <w:p w14:paraId="59F1CCEB"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12.3</w:t>
            </w:r>
          </w:p>
        </w:tc>
        <w:tc>
          <w:tcPr>
            <w:tcW w:w="1500" w:type="dxa"/>
            <w:vAlign w:val="center"/>
          </w:tcPr>
          <w:p w14:paraId="2C4F3A19" w14:textId="77777777" w:rsidR="00DF5281" w:rsidRPr="00C40A28" w:rsidRDefault="00DF5281" w:rsidP="00B82389">
            <w:pPr>
              <w:jc w:val="center"/>
              <w:rPr>
                <w:sz w:val="20"/>
                <w:szCs w:val="20"/>
              </w:rPr>
            </w:pPr>
            <w:r w:rsidRPr="00C40A28">
              <w:rPr>
                <w:sz w:val="20"/>
                <w:szCs w:val="20"/>
              </w:rPr>
              <w:t>27296 (12132)</w:t>
            </w:r>
          </w:p>
        </w:tc>
        <w:tc>
          <w:tcPr>
            <w:tcW w:w="910" w:type="dxa"/>
            <w:vAlign w:val="center"/>
          </w:tcPr>
          <w:p w14:paraId="7674AC0B" w14:textId="77777777" w:rsidR="00DF5281" w:rsidRPr="00C40A28" w:rsidRDefault="00DF5281" w:rsidP="00B82389">
            <w:pPr>
              <w:jc w:val="center"/>
              <w:rPr>
                <w:sz w:val="20"/>
                <w:szCs w:val="20"/>
              </w:rPr>
            </w:pPr>
            <w:r w:rsidRPr="00C40A28">
              <w:rPr>
                <w:sz w:val="20"/>
                <w:szCs w:val="20"/>
              </w:rPr>
              <w:t>52.3</w:t>
            </w:r>
          </w:p>
        </w:tc>
        <w:tc>
          <w:tcPr>
            <w:tcW w:w="850" w:type="dxa"/>
            <w:vAlign w:val="center"/>
          </w:tcPr>
          <w:p w14:paraId="74F90F77" w14:textId="77777777" w:rsidR="00DF5281" w:rsidRPr="00C40A28" w:rsidRDefault="00DF5281" w:rsidP="00B82389">
            <w:pPr>
              <w:jc w:val="center"/>
              <w:rPr>
                <w:sz w:val="20"/>
                <w:szCs w:val="20"/>
              </w:rPr>
            </w:pPr>
            <w:r w:rsidRPr="00C40A28">
              <w:rPr>
                <w:sz w:val="20"/>
                <w:szCs w:val="20"/>
              </w:rPr>
              <w:t>62.3</w:t>
            </w:r>
          </w:p>
        </w:tc>
        <w:tc>
          <w:tcPr>
            <w:tcW w:w="1276" w:type="dxa"/>
            <w:vAlign w:val="center"/>
          </w:tcPr>
          <w:p w14:paraId="11D3309C" w14:textId="77777777" w:rsidR="00DF5281" w:rsidRPr="00C40A28" w:rsidRDefault="00DF5281" w:rsidP="00B82389">
            <w:pPr>
              <w:jc w:val="center"/>
              <w:rPr>
                <w:sz w:val="20"/>
                <w:szCs w:val="20"/>
              </w:rPr>
            </w:pPr>
            <w:r w:rsidRPr="00C40A28">
              <w:rPr>
                <w:sz w:val="20"/>
                <w:szCs w:val="20"/>
              </w:rPr>
              <w:t>26.0</w:t>
            </w:r>
          </w:p>
        </w:tc>
        <w:tc>
          <w:tcPr>
            <w:tcW w:w="1559" w:type="dxa"/>
            <w:vAlign w:val="center"/>
          </w:tcPr>
          <w:p w14:paraId="6DFC8532" w14:textId="77777777" w:rsidR="00DF5281" w:rsidRPr="00C40A28" w:rsidRDefault="00DF5281" w:rsidP="00B82389">
            <w:pPr>
              <w:jc w:val="center"/>
              <w:rPr>
                <w:sz w:val="20"/>
                <w:szCs w:val="20"/>
              </w:rPr>
            </w:pPr>
            <w:r w:rsidRPr="00C40A28">
              <w:rPr>
                <w:sz w:val="20"/>
                <w:szCs w:val="20"/>
              </w:rPr>
              <w:t>1.35</w:t>
            </w:r>
          </w:p>
        </w:tc>
        <w:tc>
          <w:tcPr>
            <w:tcW w:w="1276" w:type="dxa"/>
            <w:vAlign w:val="center"/>
          </w:tcPr>
          <w:p w14:paraId="0B8EB5AB"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PL</w:t>
            </w:r>
          </w:p>
        </w:tc>
      </w:tr>
      <w:tr w:rsidR="00C40A28" w:rsidRPr="00C40A28" w14:paraId="16E7DBA3" w14:textId="77777777" w:rsidTr="006A5966">
        <w:trPr>
          <w:trHeight w:val="20"/>
        </w:trPr>
        <w:tc>
          <w:tcPr>
            <w:tcW w:w="1101" w:type="dxa"/>
          </w:tcPr>
          <w:p w14:paraId="24D7E32F" w14:textId="77777777" w:rsidR="00DF5281" w:rsidRPr="00C40A28" w:rsidRDefault="00DF5281" w:rsidP="00B82389">
            <w:pPr>
              <w:rPr>
                <w:rFonts w:eastAsiaTheme="minorEastAsia"/>
                <w:sz w:val="20"/>
                <w:szCs w:val="20"/>
                <w:lang w:eastAsia="ja-JP"/>
              </w:rPr>
            </w:pPr>
            <w:r w:rsidRPr="00C40A28">
              <w:rPr>
                <w:sz w:val="20"/>
                <w:szCs w:val="20"/>
              </w:rPr>
              <w:t>AGE</w:t>
            </w:r>
            <w:r w:rsidRPr="00C40A28">
              <w:rPr>
                <w:rFonts w:eastAsiaTheme="minorEastAsia"/>
                <w:sz w:val="20"/>
                <w:szCs w:val="20"/>
                <w:lang w:eastAsia="ja-JP"/>
              </w:rPr>
              <w:t>SR</w:t>
            </w:r>
          </w:p>
        </w:tc>
        <w:tc>
          <w:tcPr>
            <w:tcW w:w="1559" w:type="dxa"/>
            <w:vAlign w:val="center"/>
          </w:tcPr>
          <w:p w14:paraId="093342E4" w14:textId="77777777" w:rsidR="00DF5281" w:rsidRPr="00C40A28" w:rsidRDefault="00DF5281" w:rsidP="00B82389">
            <w:pPr>
              <w:jc w:val="center"/>
              <w:rPr>
                <w:sz w:val="20"/>
                <w:szCs w:val="20"/>
              </w:rPr>
            </w:pPr>
            <w:r w:rsidRPr="00C40A28">
              <w:rPr>
                <w:sz w:val="20"/>
                <w:szCs w:val="20"/>
              </w:rPr>
              <w:t>Iceland</w:t>
            </w:r>
          </w:p>
        </w:tc>
        <w:tc>
          <w:tcPr>
            <w:tcW w:w="850" w:type="dxa"/>
            <w:vAlign w:val="center"/>
          </w:tcPr>
          <w:p w14:paraId="0E99DCE1" w14:textId="77777777" w:rsidR="00DF5281" w:rsidRPr="00C40A28" w:rsidRDefault="00DF5281" w:rsidP="00B82389">
            <w:pPr>
              <w:jc w:val="center"/>
              <w:rPr>
                <w:sz w:val="20"/>
                <w:szCs w:val="20"/>
              </w:rPr>
            </w:pPr>
            <w:r w:rsidRPr="00C40A28">
              <w:rPr>
                <w:rFonts w:eastAsiaTheme="minorEastAsia"/>
                <w:sz w:val="20"/>
                <w:szCs w:val="20"/>
                <w:lang w:eastAsia="ja-JP"/>
              </w:rPr>
              <w:t>Cohort</w:t>
            </w:r>
          </w:p>
        </w:tc>
        <w:tc>
          <w:tcPr>
            <w:tcW w:w="1134" w:type="dxa"/>
            <w:vAlign w:val="center"/>
          </w:tcPr>
          <w:p w14:paraId="3FBB521F" w14:textId="77777777" w:rsidR="00DF5281" w:rsidRPr="00C40A28" w:rsidRDefault="00DF5281" w:rsidP="00B82389">
            <w:pPr>
              <w:jc w:val="center"/>
              <w:rPr>
                <w:sz w:val="20"/>
                <w:szCs w:val="20"/>
              </w:rPr>
            </w:pPr>
            <w:r w:rsidRPr="00C40A28">
              <w:rPr>
                <w:sz w:val="20"/>
                <w:szCs w:val="20"/>
              </w:rPr>
              <w:t>2002-2006</w:t>
            </w:r>
          </w:p>
        </w:tc>
        <w:tc>
          <w:tcPr>
            <w:tcW w:w="1418" w:type="dxa"/>
            <w:vAlign w:val="center"/>
          </w:tcPr>
          <w:p w14:paraId="104A3373"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5.2</w:t>
            </w:r>
          </w:p>
        </w:tc>
        <w:tc>
          <w:tcPr>
            <w:tcW w:w="1500" w:type="dxa"/>
            <w:vAlign w:val="center"/>
          </w:tcPr>
          <w:p w14:paraId="09A4817F" w14:textId="77777777" w:rsidR="00DF5281" w:rsidRPr="00C40A28" w:rsidRDefault="00DF5281" w:rsidP="00B82389">
            <w:pPr>
              <w:jc w:val="center"/>
              <w:rPr>
                <w:sz w:val="20"/>
                <w:szCs w:val="20"/>
              </w:rPr>
            </w:pPr>
            <w:r w:rsidRPr="00C40A28">
              <w:rPr>
                <w:sz w:val="20"/>
                <w:szCs w:val="20"/>
              </w:rPr>
              <w:t>753 (28)</w:t>
            </w:r>
          </w:p>
        </w:tc>
        <w:tc>
          <w:tcPr>
            <w:tcW w:w="910" w:type="dxa"/>
            <w:vAlign w:val="center"/>
          </w:tcPr>
          <w:p w14:paraId="070899E4" w14:textId="77777777" w:rsidR="00DF5281" w:rsidRPr="00C40A28" w:rsidRDefault="00DF5281" w:rsidP="00B82389">
            <w:pPr>
              <w:jc w:val="center"/>
              <w:rPr>
                <w:sz w:val="20"/>
                <w:szCs w:val="20"/>
              </w:rPr>
            </w:pPr>
            <w:r w:rsidRPr="00C40A28">
              <w:rPr>
                <w:sz w:val="20"/>
                <w:szCs w:val="20"/>
              </w:rPr>
              <w:t>75.5</w:t>
            </w:r>
          </w:p>
        </w:tc>
        <w:tc>
          <w:tcPr>
            <w:tcW w:w="850" w:type="dxa"/>
            <w:vAlign w:val="center"/>
          </w:tcPr>
          <w:p w14:paraId="70046E81" w14:textId="77777777" w:rsidR="00DF5281" w:rsidRPr="00C40A28" w:rsidRDefault="00DF5281" w:rsidP="00B82389">
            <w:pPr>
              <w:jc w:val="center"/>
              <w:rPr>
                <w:sz w:val="20"/>
                <w:szCs w:val="20"/>
              </w:rPr>
            </w:pPr>
            <w:r w:rsidRPr="00C40A28">
              <w:rPr>
                <w:sz w:val="20"/>
                <w:szCs w:val="20"/>
              </w:rPr>
              <w:t>59.5</w:t>
            </w:r>
          </w:p>
        </w:tc>
        <w:tc>
          <w:tcPr>
            <w:tcW w:w="1276" w:type="dxa"/>
            <w:vAlign w:val="center"/>
          </w:tcPr>
          <w:p w14:paraId="75105148" w14:textId="77777777" w:rsidR="00DF5281" w:rsidRPr="00C40A28" w:rsidRDefault="00DF5281" w:rsidP="00B82389">
            <w:pPr>
              <w:jc w:val="center"/>
              <w:rPr>
                <w:sz w:val="20"/>
                <w:szCs w:val="20"/>
              </w:rPr>
            </w:pPr>
            <w:r w:rsidRPr="00C40A28">
              <w:rPr>
                <w:sz w:val="20"/>
                <w:szCs w:val="20"/>
              </w:rPr>
              <w:t>27.0</w:t>
            </w:r>
          </w:p>
        </w:tc>
        <w:tc>
          <w:tcPr>
            <w:tcW w:w="1559" w:type="dxa"/>
            <w:vAlign w:val="center"/>
          </w:tcPr>
          <w:p w14:paraId="0E0B321E" w14:textId="77777777" w:rsidR="00DF5281" w:rsidRPr="00C40A28" w:rsidRDefault="00DF5281" w:rsidP="00B82389">
            <w:pPr>
              <w:jc w:val="center"/>
              <w:rPr>
                <w:sz w:val="20"/>
                <w:szCs w:val="20"/>
              </w:rPr>
            </w:pPr>
            <w:r w:rsidRPr="00C40A28">
              <w:rPr>
                <w:sz w:val="20"/>
                <w:szCs w:val="20"/>
              </w:rPr>
              <w:t>1.14</w:t>
            </w:r>
          </w:p>
        </w:tc>
        <w:tc>
          <w:tcPr>
            <w:tcW w:w="1276" w:type="dxa"/>
            <w:vAlign w:val="center"/>
          </w:tcPr>
          <w:p w14:paraId="5E8E5F38"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PL</w:t>
            </w:r>
          </w:p>
        </w:tc>
      </w:tr>
      <w:tr w:rsidR="00C40A28" w:rsidRPr="00C40A28" w14:paraId="1DAF0BB5" w14:textId="77777777" w:rsidTr="006A5966">
        <w:trPr>
          <w:trHeight w:val="20"/>
        </w:trPr>
        <w:tc>
          <w:tcPr>
            <w:tcW w:w="1101" w:type="dxa"/>
          </w:tcPr>
          <w:p w14:paraId="57E1AC18" w14:textId="77777777" w:rsidR="00DF5281" w:rsidRPr="00C40A28" w:rsidRDefault="00DF5281" w:rsidP="00B82389">
            <w:pPr>
              <w:rPr>
                <w:sz w:val="20"/>
                <w:szCs w:val="20"/>
              </w:rPr>
            </w:pPr>
            <w:r w:rsidRPr="00C40A28">
              <w:rPr>
                <w:rFonts w:eastAsiaTheme="minorEastAsia"/>
                <w:sz w:val="20"/>
                <w:szCs w:val="20"/>
                <w:lang w:eastAsia="ja-JP"/>
              </w:rPr>
              <w:t xml:space="preserve">Three </w:t>
            </w:r>
            <w:r w:rsidRPr="00C40A28">
              <w:rPr>
                <w:sz w:val="20"/>
                <w:szCs w:val="20"/>
              </w:rPr>
              <w:t>C</w:t>
            </w:r>
          </w:p>
        </w:tc>
        <w:tc>
          <w:tcPr>
            <w:tcW w:w="1559" w:type="dxa"/>
            <w:vAlign w:val="center"/>
          </w:tcPr>
          <w:p w14:paraId="0793F12F" w14:textId="77777777" w:rsidR="00DF5281" w:rsidRPr="00C40A28" w:rsidRDefault="00DF5281" w:rsidP="00B82389">
            <w:pPr>
              <w:jc w:val="center"/>
              <w:rPr>
                <w:sz w:val="20"/>
                <w:szCs w:val="20"/>
              </w:rPr>
            </w:pPr>
            <w:r w:rsidRPr="00C40A28">
              <w:rPr>
                <w:sz w:val="20"/>
                <w:szCs w:val="20"/>
              </w:rPr>
              <w:t>France</w:t>
            </w:r>
          </w:p>
        </w:tc>
        <w:tc>
          <w:tcPr>
            <w:tcW w:w="850" w:type="dxa"/>
            <w:vAlign w:val="center"/>
          </w:tcPr>
          <w:p w14:paraId="51985118" w14:textId="77777777" w:rsidR="00DF5281" w:rsidRPr="00C40A28" w:rsidRDefault="00DF5281" w:rsidP="00B82389">
            <w:pPr>
              <w:jc w:val="center"/>
              <w:rPr>
                <w:sz w:val="20"/>
                <w:szCs w:val="20"/>
              </w:rPr>
            </w:pPr>
            <w:r w:rsidRPr="00C40A28">
              <w:rPr>
                <w:rFonts w:eastAsiaTheme="minorEastAsia"/>
                <w:sz w:val="20"/>
                <w:szCs w:val="20"/>
                <w:lang w:eastAsia="ja-JP"/>
              </w:rPr>
              <w:t>Cohort</w:t>
            </w:r>
          </w:p>
        </w:tc>
        <w:tc>
          <w:tcPr>
            <w:tcW w:w="1134" w:type="dxa"/>
            <w:vAlign w:val="center"/>
          </w:tcPr>
          <w:p w14:paraId="5B6BE853" w14:textId="77777777" w:rsidR="00DF5281" w:rsidRPr="00C40A28" w:rsidRDefault="00DF5281" w:rsidP="00B82389">
            <w:pPr>
              <w:jc w:val="center"/>
              <w:rPr>
                <w:sz w:val="20"/>
                <w:szCs w:val="20"/>
              </w:rPr>
            </w:pPr>
            <w:r w:rsidRPr="00C40A28">
              <w:rPr>
                <w:sz w:val="20"/>
                <w:szCs w:val="20"/>
              </w:rPr>
              <w:t>1999-2000</w:t>
            </w:r>
          </w:p>
        </w:tc>
        <w:tc>
          <w:tcPr>
            <w:tcW w:w="1418" w:type="dxa"/>
            <w:vAlign w:val="center"/>
          </w:tcPr>
          <w:p w14:paraId="55BC937D"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8.0</w:t>
            </w:r>
          </w:p>
        </w:tc>
        <w:tc>
          <w:tcPr>
            <w:tcW w:w="1500" w:type="dxa"/>
            <w:vAlign w:val="center"/>
          </w:tcPr>
          <w:p w14:paraId="3E730C5C" w14:textId="77777777" w:rsidR="00DF5281" w:rsidRPr="00C40A28" w:rsidRDefault="00DF5281" w:rsidP="00B82389">
            <w:pPr>
              <w:jc w:val="center"/>
              <w:rPr>
                <w:sz w:val="20"/>
                <w:szCs w:val="20"/>
              </w:rPr>
            </w:pPr>
            <w:r w:rsidRPr="00C40A28">
              <w:rPr>
                <w:sz w:val="20"/>
                <w:szCs w:val="20"/>
              </w:rPr>
              <w:t>565 (39)</w:t>
            </w:r>
          </w:p>
        </w:tc>
        <w:tc>
          <w:tcPr>
            <w:tcW w:w="910" w:type="dxa"/>
            <w:vAlign w:val="center"/>
          </w:tcPr>
          <w:p w14:paraId="5EADF91D" w14:textId="77777777" w:rsidR="00DF5281" w:rsidRPr="00C40A28" w:rsidRDefault="00DF5281" w:rsidP="00B82389">
            <w:pPr>
              <w:jc w:val="center"/>
              <w:rPr>
                <w:sz w:val="20"/>
                <w:szCs w:val="20"/>
              </w:rPr>
            </w:pPr>
            <w:r w:rsidRPr="00C40A28">
              <w:rPr>
                <w:sz w:val="20"/>
                <w:szCs w:val="20"/>
              </w:rPr>
              <w:t>76.0</w:t>
            </w:r>
          </w:p>
        </w:tc>
        <w:tc>
          <w:tcPr>
            <w:tcW w:w="850" w:type="dxa"/>
            <w:vAlign w:val="center"/>
          </w:tcPr>
          <w:p w14:paraId="533AC99E" w14:textId="77777777" w:rsidR="00DF5281" w:rsidRPr="00C40A28" w:rsidRDefault="00DF5281" w:rsidP="00B82389">
            <w:pPr>
              <w:jc w:val="center"/>
              <w:rPr>
                <w:sz w:val="20"/>
                <w:szCs w:val="20"/>
              </w:rPr>
            </w:pPr>
            <w:r w:rsidRPr="00C40A28">
              <w:rPr>
                <w:sz w:val="20"/>
                <w:szCs w:val="20"/>
              </w:rPr>
              <w:t>64.3</w:t>
            </w:r>
          </w:p>
        </w:tc>
        <w:tc>
          <w:tcPr>
            <w:tcW w:w="1276" w:type="dxa"/>
            <w:vAlign w:val="center"/>
          </w:tcPr>
          <w:p w14:paraId="11558473" w14:textId="77777777" w:rsidR="00DF5281" w:rsidRPr="00C40A28" w:rsidRDefault="00DF5281" w:rsidP="00B82389">
            <w:pPr>
              <w:jc w:val="center"/>
              <w:rPr>
                <w:sz w:val="20"/>
                <w:szCs w:val="20"/>
              </w:rPr>
            </w:pPr>
            <w:r w:rsidRPr="00C40A28">
              <w:rPr>
                <w:sz w:val="20"/>
                <w:szCs w:val="20"/>
              </w:rPr>
              <w:t>25.0</w:t>
            </w:r>
          </w:p>
        </w:tc>
        <w:tc>
          <w:tcPr>
            <w:tcW w:w="1559" w:type="dxa"/>
            <w:vAlign w:val="center"/>
          </w:tcPr>
          <w:p w14:paraId="18C6DF49"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1.28</w:t>
            </w:r>
          </w:p>
        </w:tc>
        <w:tc>
          <w:tcPr>
            <w:tcW w:w="1276" w:type="dxa"/>
            <w:vAlign w:val="center"/>
          </w:tcPr>
          <w:p w14:paraId="2070AD24"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RBC PL</w:t>
            </w:r>
          </w:p>
        </w:tc>
      </w:tr>
      <w:tr w:rsidR="00C40A28" w:rsidRPr="00C40A28" w14:paraId="79962023" w14:textId="77777777" w:rsidTr="006A5966">
        <w:trPr>
          <w:trHeight w:val="20"/>
        </w:trPr>
        <w:tc>
          <w:tcPr>
            <w:tcW w:w="1101" w:type="dxa"/>
          </w:tcPr>
          <w:p w14:paraId="5F60D91F" w14:textId="77777777" w:rsidR="00DF5281" w:rsidRPr="00C40A28" w:rsidRDefault="00DF5281" w:rsidP="00B82389">
            <w:pPr>
              <w:rPr>
                <w:rFonts w:eastAsiaTheme="minorEastAsia"/>
                <w:sz w:val="20"/>
                <w:szCs w:val="20"/>
                <w:lang w:eastAsia="ja-JP"/>
              </w:rPr>
            </w:pPr>
            <w:r w:rsidRPr="00C40A28">
              <w:rPr>
                <w:rFonts w:eastAsiaTheme="minorEastAsia"/>
                <w:sz w:val="20"/>
                <w:szCs w:val="20"/>
                <w:lang w:eastAsia="ja-JP"/>
              </w:rPr>
              <w:t>AOC</w:t>
            </w:r>
          </w:p>
        </w:tc>
        <w:tc>
          <w:tcPr>
            <w:tcW w:w="1559" w:type="dxa"/>
            <w:vAlign w:val="center"/>
          </w:tcPr>
          <w:p w14:paraId="21766736"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Netherlands</w:t>
            </w:r>
          </w:p>
        </w:tc>
        <w:tc>
          <w:tcPr>
            <w:tcW w:w="850" w:type="dxa"/>
            <w:vAlign w:val="center"/>
          </w:tcPr>
          <w:p w14:paraId="56623A23"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Cohort</w:t>
            </w:r>
          </w:p>
        </w:tc>
        <w:tc>
          <w:tcPr>
            <w:tcW w:w="1134" w:type="dxa"/>
            <w:vAlign w:val="center"/>
          </w:tcPr>
          <w:p w14:paraId="115D4169"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2002-2006</w:t>
            </w:r>
          </w:p>
        </w:tc>
        <w:tc>
          <w:tcPr>
            <w:tcW w:w="1418" w:type="dxa"/>
            <w:vAlign w:val="center"/>
          </w:tcPr>
          <w:p w14:paraId="41A313D0"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2.5</w:t>
            </w:r>
          </w:p>
        </w:tc>
        <w:tc>
          <w:tcPr>
            <w:tcW w:w="1500" w:type="dxa"/>
            <w:vAlign w:val="center"/>
          </w:tcPr>
          <w:p w14:paraId="283BF505"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1741 (201)</w:t>
            </w:r>
          </w:p>
        </w:tc>
        <w:tc>
          <w:tcPr>
            <w:tcW w:w="910" w:type="dxa"/>
            <w:vAlign w:val="center"/>
          </w:tcPr>
          <w:p w14:paraId="1F338E38"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68.9</w:t>
            </w:r>
          </w:p>
        </w:tc>
        <w:tc>
          <w:tcPr>
            <w:tcW w:w="850" w:type="dxa"/>
            <w:vAlign w:val="center"/>
          </w:tcPr>
          <w:p w14:paraId="17E3C62D"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20.4</w:t>
            </w:r>
          </w:p>
        </w:tc>
        <w:tc>
          <w:tcPr>
            <w:tcW w:w="1276" w:type="dxa"/>
            <w:vAlign w:val="center"/>
          </w:tcPr>
          <w:p w14:paraId="183658EF"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27.4</w:t>
            </w:r>
          </w:p>
        </w:tc>
        <w:tc>
          <w:tcPr>
            <w:tcW w:w="1559" w:type="dxa"/>
            <w:vAlign w:val="center"/>
          </w:tcPr>
          <w:p w14:paraId="77FE7F38"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1.83</w:t>
            </w:r>
          </w:p>
        </w:tc>
        <w:tc>
          <w:tcPr>
            <w:tcW w:w="1276" w:type="dxa"/>
            <w:vAlign w:val="center"/>
          </w:tcPr>
          <w:p w14:paraId="79638299"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RBC PL, CE</w:t>
            </w:r>
          </w:p>
        </w:tc>
      </w:tr>
      <w:tr w:rsidR="00C40A28" w:rsidRPr="00C40A28" w14:paraId="785878BD" w14:textId="77777777" w:rsidTr="006A5966">
        <w:trPr>
          <w:trHeight w:val="20"/>
        </w:trPr>
        <w:tc>
          <w:tcPr>
            <w:tcW w:w="1101" w:type="dxa"/>
          </w:tcPr>
          <w:p w14:paraId="0F5BE8F6" w14:textId="77777777" w:rsidR="00DF5281" w:rsidRPr="00C40A28" w:rsidRDefault="00DF5281" w:rsidP="00B82389">
            <w:pPr>
              <w:rPr>
                <w:sz w:val="20"/>
                <w:szCs w:val="20"/>
              </w:rPr>
            </w:pPr>
            <w:r w:rsidRPr="00C40A28">
              <w:rPr>
                <w:sz w:val="20"/>
                <w:szCs w:val="20"/>
              </w:rPr>
              <w:t>ULSAM</w:t>
            </w:r>
          </w:p>
        </w:tc>
        <w:tc>
          <w:tcPr>
            <w:tcW w:w="1559" w:type="dxa"/>
            <w:vAlign w:val="center"/>
          </w:tcPr>
          <w:p w14:paraId="5404DDCA" w14:textId="77777777" w:rsidR="00DF5281" w:rsidRPr="00C40A28" w:rsidRDefault="00DF5281" w:rsidP="00B82389">
            <w:pPr>
              <w:jc w:val="center"/>
              <w:rPr>
                <w:sz w:val="20"/>
                <w:szCs w:val="20"/>
              </w:rPr>
            </w:pPr>
            <w:r w:rsidRPr="00C40A28">
              <w:rPr>
                <w:sz w:val="20"/>
                <w:szCs w:val="20"/>
              </w:rPr>
              <w:t>Sweden</w:t>
            </w:r>
          </w:p>
        </w:tc>
        <w:tc>
          <w:tcPr>
            <w:tcW w:w="850" w:type="dxa"/>
            <w:vAlign w:val="center"/>
          </w:tcPr>
          <w:p w14:paraId="59BD5F9B" w14:textId="77777777" w:rsidR="00DF5281" w:rsidRPr="00C40A28" w:rsidRDefault="00DF5281" w:rsidP="00B82389">
            <w:pPr>
              <w:jc w:val="center"/>
              <w:rPr>
                <w:sz w:val="20"/>
                <w:szCs w:val="20"/>
              </w:rPr>
            </w:pPr>
            <w:r w:rsidRPr="00C40A28">
              <w:rPr>
                <w:rFonts w:eastAsiaTheme="minorEastAsia"/>
                <w:sz w:val="20"/>
                <w:szCs w:val="20"/>
                <w:lang w:eastAsia="ja-JP"/>
              </w:rPr>
              <w:t>Cohort</w:t>
            </w:r>
          </w:p>
        </w:tc>
        <w:tc>
          <w:tcPr>
            <w:tcW w:w="1134" w:type="dxa"/>
            <w:vAlign w:val="center"/>
          </w:tcPr>
          <w:p w14:paraId="51099340" w14:textId="77777777" w:rsidR="00DF5281" w:rsidRPr="00C40A28" w:rsidRDefault="00DF5281" w:rsidP="00B82389">
            <w:pPr>
              <w:jc w:val="center"/>
              <w:rPr>
                <w:sz w:val="20"/>
                <w:szCs w:val="20"/>
              </w:rPr>
            </w:pPr>
            <w:r w:rsidRPr="00C40A28">
              <w:rPr>
                <w:sz w:val="20"/>
                <w:szCs w:val="20"/>
              </w:rPr>
              <w:t>1970-1973</w:t>
            </w:r>
          </w:p>
        </w:tc>
        <w:tc>
          <w:tcPr>
            <w:tcW w:w="1418" w:type="dxa"/>
            <w:vAlign w:val="center"/>
          </w:tcPr>
          <w:p w14:paraId="7762E533"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21.4</w:t>
            </w:r>
          </w:p>
        </w:tc>
        <w:tc>
          <w:tcPr>
            <w:tcW w:w="1500" w:type="dxa"/>
            <w:vAlign w:val="center"/>
          </w:tcPr>
          <w:p w14:paraId="27FFC566" w14:textId="77777777" w:rsidR="00DF5281" w:rsidRPr="00C40A28" w:rsidRDefault="00DF5281" w:rsidP="00B82389">
            <w:pPr>
              <w:jc w:val="center"/>
              <w:rPr>
                <w:sz w:val="20"/>
                <w:szCs w:val="20"/>
              </w:rPr>
            </w:pPr>
            <w:r w:rsidRPr="00C40A28">
              <w:rPr>
                <w:sz w:val="20"/>
                <w:szCs w:val="20"/>
              </w:rPr>
              <w:t>2009 (396)</w:t>
            </w:r>
          </w:p>
        </w:tc>
        <w:tc>
          <w:tcPr>
            <w:tcW w:w="910" w:type="dxa"/>
            <w:vAlign w:val="center"/>
          </w:tcPr>
          <w:p w14:paraId="1A4494E0" w14:textId="77777777" w:rsidR="00DF5281" w:rsidRPr="00C40A28" w:rsidRDefault="00DF5281" w:rsidP="00B82389">
            <w:pPr>
              <w:jc w:val="center"/>
              <w:rPr>
                <w:sz w:val="20"/>
                <w:szCs w:val="20"/>
              </w:rPr>
            </w:pPr>
            <w:r w:rsidRPr="00C40A28">
              <w:rPr>
                <w:sz w:val="20"/>
                <w:szCs w:val="20"/>
              </w:rPr>
              <w:t>54.4</w:t>
            </w:r>
          </w:p>
        </w:tc>
        <w:tc>
          <w:tcPr>
            <w:tcW w:w="850" w:type="dxa"/>
            <w:vAlign w:val="center"/>
          </w:tcPr>
          <w:p w14:paraId="54101F67" w14:textId="77777777" w:rsidR="00DF5281" w:rsidRPr="00C40A28" w:rsidRDefault="00DF5281" w:rsidP="00B82389">
            <w:pPr>
              <w:jc w:val="center"/>
              <w:rPr>
                <w:sz w:val="20"/>
                <w:szCs w:val="20"/>
              </w:rPr>
            </w:pPr>
            <w:r w:rsidRPr="00C40A28">
              <w:rPr>
                <w:sz w:val="20"/>
                <w:szCs w:val="20"/>
              </w:rPr>
              <w:t>0</w:t>
            </w:r>
          </w:p>
        </w:tc>
        <w:tc>
          <w:tcPr>
            <w:tcW w:w="1276" w:type="dxa"/>
            <w:vAlign w:val="center"/>
          </w:tcPr>
          <w:p w14:paraId="09919DF2" w14:textId="77777777" w:rsidR="00DF5281" w:rsidRPr="00C40A28" w:rsidRDefault="00DF5281" w:rsidP="00B82389">
            <w:pPr>
              <w:jc w:val="center"/>
              <w:rPr>
                <w:sz w:val="20"/>
                <w:szCs w:val="20"/>
              </w:rPr>
            </w:pPr>
            <w:r w:rsidRPr="00C40A28">
              <w:rPr>
                <w:sz w:val="20"/>
                <w:szCs w:val="20"/>
              </w:rPr>
              <w:t>25.2</w:t>
            </w:r>
          </w:p>
        </w:tc>
        <w:tc>
          <w:tcPr>
            <w:tcW w:w="1559" w:type="dxa"/>
            <w:vAlign w:val="center"/>
          </w:tcPr>
          <w:p w14:paraId="3264F321"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1.77</w:t>
            </w:r>
          </w:p>
        </w:tc>
        <w:tc>
          <w:tcPr>
            <w:tcW w:w="1276" w:type="dxa"/>
            <w:vAlign w:val="center"/>
          </w:tcPr>
          <w:p w14:paraId="65D004E3"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Adipose tissue</w:t>
            </w:r>
          </w:p>
        </w:tc>
      </w:tr>
      <w:tr w:rsidR="00C40A28" w:rsidRPr="00C40A28" w14:paraId="34A9325E" w14:textId="77777777" w:rsidTr="006A5966">
        <w:trPr>
          <w:trHeight w:val="20"/>
        </w:trPr>
        <w:tc>
          <w:tcPr>
            <w:tcW w:w="1101" w:type="dxa"/>
          </w:tcPr>
          <w:p w14:paraId="751CE9A9" w14:textId="77777777" w:rsidR="00DF5281" w:rsidRPr="00C40A28" w:rsidRDefault="00DF5281" w:rsidP="00B82389">
            <w:pPr>
              <w:rPr>
                <w:sz w:val="20"/>
                <w:szCs w:val="20"/>
              </w:rPr>
            </w:pPr>
            <w:r w:rsidRPr="00C40A28">
              <w:rPr>
                <w:sz w:val="20"/>
                <w:szCs w:val="20"/>
              </w:rPr>
              <w:t>PIVUS</w:t>
            </w:r>
          </w:p>
        </w:tc>
        <w:tc>
          <w:tcPr>
            <w:tcW w:w="1559" w:type="dxa"/>
            <w:vAlign w:val="center"/>
          </w:tcPr>
          <w:p w14:paraId="713CF419" w14:textId="77777777" w:rsidR="00DF5281" w:rsidRPr="00C40A28" w:rsidRDefault="00DF5281" w:rsidP="00B82389">
            <w:pPr>
              <w:jc w:val="center"/>
              <w:rPr>
                <w:sz w:val="20"/>
                <w:szCs w:val="20"/>
              </w:rPr>
            </w:pPr>
            <w:r w:rsidRPr="00C40A28">
              <w:rPr>
                <w:sz w:val="20"/>
                <w:szCs w:val="20"/>
              </w:rPr>
              <w:t>Sweden</w:t>
            </w:r>
          </w:p>
        </w:tc>
        <w:tc>
          <w:tcPr>
            <w:tcW w:w="850" w:type="dxa"/>
            <w:vAlign w:val="center"/>
          </w:tcPr>
          <w:p w14:paraId="4A6D5F17" w14:textId="77777777" w:rsidR="00DF5281" w:rsidRPr="00C40A28" w:rsidRDefault="00DF5281" w:rsidP="00B82389">
            <w:pPr>
              <w:jc w:val="center"/>
              <w:rPr>
                <w:sz w:val="20"/>
                <w:szCs w:val="20"/>
              </w:rPr>
            </w:pPr>
            <w:r w:rsidRPr="00C40A28">
              <w:rPr>
                <w:rFonts w:eastAsiaTheme="minorEastAsia"/>
                <w:sz w:val="20"/>
                <w:szCs w:val="20"/>
                <w:lang w:eastAsia="ja-JP"/>
              </w:rPr>
              <w:t>Cohort</w:t>
            </w:r>
          </w:p>
        </w:tc>
        <w:tc>
          <w:tcPr>
            <w:tcW w:w="1134" w:type="dxa"/>
            <w:vAlign w:val="center"/>
          </w:tcPr>
          <w:p w14:paraId="60E5C082" w14:textId="77777777" w:rsidR="00DF5281" w:rsidRPr="00C40A28" w:rsidRDefault="00DF5281" w:rsidP="00B82389">
            <w:pPr>
              <w:jc w:val="center"/>
              <w:rPr>
                <w:sz w:val="20"/>
                <w:szCs w:val="20"/>
              </w:rPr>
            </w:pPr>
            <w:r w:rsidRPr="00C40A28">
              <w:rPr>
                <w:sz w:val="20"/>
                <w:szCs w:val="20"/>
              </w:rPr>
              <w:t>2001-2004</w:t>
            </w:r>
          </w:p>
        </w:tc>
        <w:tc>
          <w:tcPr>
            <w:tcW w:w="1418" w:type="dxa"/>
            <w:vAlign w:val="center"/>
          </w:tcPr>
          <w:p w14:paraId="69171C2E"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10.0</w:t>
            </w:r>
          </w:p>
        </w:tc>
        <w:tc>
          <w:tcPr>
            <w:tcW w:w="1500" w:type="dxa"/>
            <w:vAlign w:val="center"/>
          </w:tcPr>
          <w:p w14:paraId="36A11290" w14:textId="77777777" w:rsidR="00DF5281" w:rsidRPr="00C40A28" w:rsidRDefault="00DF5281" w:rsidP="00B82389">
            <w:pPr>
              <w:jc w:val="center"/>
              <w:rPr>
                <w:sz w:val="20"/>
                <w:szCs w:val="20"/>
              </w:rPr>
            </w:pPr>
            <w:r w:rsidRPr="00C40A28">
              <w:rPr>
                <w:sz w:val="20"/>
                <w:szCs w:val="20"/>
              </w:rPr>
              <w:t>879 (67)</w:t>
            </w:r>
          </w:p>
        </w:tc>
        <w:tc>
          <w:tcPr>
            <w:tcW w:w="910" w:type="dxa"/>
            <w:vAlign w:val="center"/>
          </w:tcPr>
          <w:p w14:paraId="5C51EFD5" w14:textId="77777777" w:rsidR="00DF5281" w:rsidRPr="00C40A28" w:rsidRDefault="00DF5281" w:rsidP="00B82389">
            <w:pPr>
              <w:jc w:val="center"/>
              <w:rPr>
                <w:sz w:val="20"/>
                <w:szCs w:val="20"/>
              </w:rPr>
            </w:pPr>
            <w:r w:rsidRPr="00C40A28">
              <w:rPr>
                <w:sz w:val="20"/>
                <w:szCs w:val="20"/>
              </w:rPr>
              <w:t>72.5</w:t>
            </w:r>
          </w:p>
        </w:tc>
        <w:tc>
          <w:tcPr>
            <w:tcW w:w="850" w:type="dxa"/>
            <w:vAlign w:val="center"/>
          </w:tcPr>
          <w:p w14:paraId="4E6AB032" w14:textId="77777777" w:rsidR="00DF5281" w:rsidRPr="00C40A28" w:rsidRDefault="00DF5281" w:rsidP="00B82389">
            <w:pPr>
              <w:jc w:val="center"/>
              <w:rPr>
                <w:sz w:val="20"/>
                <w:szCs w:val="20"/>
              </w:rPr>
            </w:pPr>
            <w:r w:rsidRPr="00C40A28">
              <w:rPr>
                <w:sz w:val="20"/>
                <w:szCs w:val="20"/>
              </w:rPr>
              <w:t>51.0</w:t>
            </w:r>
          </w:p>
        </w:tc>
        <w:tc>
          <w:tcPr>
            <w:tcW w:w="1276" w:type="dxa"/>
            <w:vAlign w:val="center"/>
          </w:tcPr>
          <w:p w14:paraId="6DF644A1" w14:textId="77777777" w:rsidR="00DF5281" w:rsidRPr="00C40A28" w:rsidRDefault="00DF5281" w:rsidP="00B82389">
            <w:pPr>
              <w:jc w:val="center"/>
              <w:rPr>
                <w:sz w:val="20"/>
                <w:szCs w:val="20"/>
              </w:rPr>
            </w:pPr>
            <w:r w:rsidRPr="00C40A28">
              <w:rPr>
                <w:sz w:val="20"/>
                <w:szCs w:val="20"/>
              </w:rPr>
              <w:t>26.7</w:t>
            </w:r>
          </w:p>
        </w:tc>
        <w:tc>
          <w:tcPr>
            <w:tcW w:w="1559" w:type="dxa"/>
            <w:vAlign w:val="center"/>
          </w:tcPr>
          <w:p w14:paraId="1BB3C5DB"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1.24</w:t>
            </w:r>
          </w:p>
        </w:tc>
        <w:tc>
          <w:tcPr>
            <w:tcW w:w="1276" w:type="dxa"/>
            <w:vAlign w:val="center"/>
          </w:tcPr>
          <w:p w14:paraId="5ABA35A7"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PL, CE</w:t>
            </w:r>
          </w:p>
        </w:tc>
      </w:tr>
      <w:tr w:rsidR="00C40A28" w:rsidRPr="00C40A28" w14:paraId="0A577BC5" w14:textId="77777777" w:rsidTr="006A5966">
        <w:trPr>
          <w:trHeight w:val="20"/>
        </w:trPr>
        <w:tc>
          <w:tcPr>
            <w:tcW w:w="1101" w:type="dxa"/>
          </w:tcPr>
          <w:p w14:paraId="59FE0CCC" w14:textId="77777777" w:rsidR="00DF5281" w:rsidRPr="00C40A28" w:rsidRDefault="00DF5281" w:rsidP="00B82389">
            <w:pPr>
              <w:rPr>
                <w:sz w:val="20"/>
                <w:szCs w:val="20"/>
              </w:rPr>
            </w:pPr>
            <w:r w:rsidRPr="00C40A28">
              <w:rPr>
                <w:sz w:val="20"/>
                <w:szCs w:val="20"/>
              </w:rPr>
              <w:t>KIHD</w:t>
            </w:r>
          </w:p>
        </w:tc>
        <w:tc>
          <w:tcPr>
            <w:tcW w:w="1559" w:type="dxa"/>
            <w:vAlign w:val="center"/>
          </w:tcPr>
          <w:p w14:paraId="023DE759" w14:textId="77777777" w:rsidR="00DF5281" w:rsidRPr="00C40A28" w:rsidRDefault="00DF5281" w:rsidP="00B82389">
            <w:pPr>
              <w:jc w:val="center"/>
              <w:rPr>
                <w:sz w:val="20"/>
                <w:szCs w:val="20"/>
              </w:rPr>
            </w:pPr>
            <w:r w:rsidRPr="00C40A28">
              <w:rPr>
                <w:sz w:val="20"/>
                <w:szCs w:val="20"/>
              </w:rPr>
              <w:t>Finland</w:t>
            </w:r>
          </w:p>
        </w:tc>
        <w:tc>
          <w:tcPr>
            <w:tcW w:w="850" w:type="dxa"/>
            <w:vAlign w:val="center"/>
          </w:tcPr>
          <w:p w14:paraId="1BE0F0C4"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Cohort</w:t>
            </w:r>
          </w:p>
        </w:tc>
        <w:tc>
          <w:tcPr>
            <w:tcW w:w="1134" w:type="dxa"/>
            <w:vAlign w:val="center"/>
          </w:tcPr>
          <w:p w14:paraId="1F8141DC" w14:textId="77777777" w:rsidR="00DF5281" w:rsidRPr="00C40A28" w:rsidRDefault="00DF5281" w:rsidP="00B82389">
            <w:pPr>
              <w:jc w:val="center"/>
              <w:rPr>
                <w:sz w:val="20"/>
                <w:szCs w:val="20"/>
              </w:rPr>
            </w:pPr>
            <w:r w:rsidRPr="00C40A28">
              <w:rPr>
                <w:sz w:val="20"/>
                <w:szCs w:val="20"/>
              </w:rPr>
              <w:t>1998-2001</w:t>
            </w:r>
          </w:p>
        </w:tc>
        <w:tc>
          <w:tcPr>
            <w:tcW w:w="1418" w:type="dxa"/>
            <w:vAlign w:val="center"/>
          </w:tcPr>
          <w:p w14:paraId="3CC8574F"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10.3</w:t>
            </w:r>
          </w:p>
        </w:tc>
        <w:tc>
          <w:tcPr>
            <w:tcW w:w="1500" w:type="dxa"/>
            <w:vAlign w:val="center"/>
          </w:tcPr>
          <w:p w14:paraId="6CCA48FD" w14:textId="77777777" w:rsidR="00DF5281" w:rsidRPr="00C40A28" w:rsidRDefault="00DF5281" w:rsidP="00B82389">
            <w:pPr>
              <w:jc w:val="center"/>
              <w:rPr>
                <w:sz w:val="20"/>
                <w:szCs w:val="20"/>
              </w:rPr>
            </w:pPr>
            <w:r w:rsidRPr="00C40A28">
              <w:rPr>
                <w:sz w:val="20"/>
                <w:szCs w:val="20"/>
              </w:rPr>
              <w:t>1543 (205)</w:t>
            </w:r>
          </w:p>
        </w:tc>
        <w:tc>
          <w:tcPr>
            <w:tcW w:w="910" w:type="dxa"/>
            <w:vAlign w:val="center"/>
          </w:tcPr>
          <w:p w14:paraId="275F0334" w14:textId="77777777" w:rsidR="00DF5281" w:rsidRPr="00C40A28" w:rsidRDefault="00DF5281" w:rsidP="00B82389">
            <w:pPr>
              <w:jc w:val="center"/>
              <w:rPr>
                <w:sz w:val="20"/>
                <w:szCs w:val="20"/>
              </w:rPr>
            </w:pPr>
            <w:r w:rsidRPr="00C40A28">
              <w:rPr>
                <w:sz w:val="20"/>
                <w:szCs w:val="20"/>
              </w:rPr>
              <w:t>62.7</w:t>
            </w:r>
          </w:p>
        </w:tc>
        <w:tc>
          <w:tcPr>
            <w:tcW w:w="850" w:type="dxa"/>
            <w:vAlign w:val="center"/>
          </w:tcPr>
          <w:p w14:paraId="030AADF2" w14:textId="77777777" w:rsidR="00DF5281" w:rsidRPr="00C40A28" w:rsidRDefault="00DF5281" w:rsidP="00B82389">
            <w:pPr>
              <w:jc w:val="center"/>
              <w:rPr>
                <w:sz w:val="20"/>
                <w:szCs w:val="20"/>
              </w:rPr>
            </w:pPr>
            <w:r w:rsidRPr="00C40A28">
              <w:rPr>
                <w:sz w:val="20"/>
                <w:szCs w:val="20"/>
              </w:rPr>
              <w:t>52.7</w:t>
            </w:r>
          </w:p>
        </w:tc>
        <w:tc>
          <w:tcPr>
            <w:tcW w:w="1276" w:type="dxa"/>
            <w:vAlign w:val="center"/>
          </w:tcPr>
          <w:p w14:paraId="4BBFDE67" w14:textId="77777777" w:rsidR="00DF5281" w:rsidRPr="00C40A28" w:rsidRDefault="00DF5281" w:rsidP="00B82389">
            <w:pPr>
              <w:jc w:val="center"/>
              <w:rPr>
                <w:sz w:val="20"/>
                <w:szCs w:val="20"/>
              </w:rPr>
            </w:pPr>
            <w:r w:rsidRPr="00C40A28">
              <w:rPr>
                <w:sz w:val="20"/>
                <w:szCs w:val="20"/>
              </w:rPr>
              <w:t>27.6</w:t>
            </w:r>
          </w:p>
        </w:tc>
        <w:tc>
          <w:tcPr>
            <w:tcW w:w="1559" w:type="dxa"/>
            <w:vAlign w:val="center"/>
          </w:tcPr>
          <w:p w14:paraId="1AC3E5D2"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1.23</w:t>
            </w:r>
          </w:p>
        </w:tc>
        <w:tc>
          <w:tcPr>
            <w:tcW w:w="1276" w:type="dxa"/>
            <w:vAlign w:val="center"/>
          </w:tcPr>
          <w:p w14:paraId="68546FF2" w14:textId="77777777" w:rsidR="00DF5281" w:rsidRPr="00C40A28" w:rsidRDefault="00DF5281" w:rsidP="00B82389">
            <w:pPr>
              <w:jc w:val="center"/>
              <w:rPr>
                <w:rFonts w:eastAsiaTheme="minorEastAsia"/>
                <w:b/>
                <w:sz w:val="20"/>
                <w:szCs w:val="20"/>
                <w:lang w:eastAsia="ja-JP"/>
              </w:rPr>
            </w:pPr>
            <w:r w:rsidRPr="00C40A28">
              <w:rPr>
                <w:rFonts w:eastAsiaTheme="minorEastAsia"/>
                <w:sz w:val="20"/>
                <w:szCs w:val="20"/>
                <w:lang w:eastAsia="ja-JP"/>
              </w:rPr>
              <w:t>Total serum</w:t>
            </w:r>
          </w:p>
        </w:tc>
      </w:tr>
      <w:tr w:rsidR="00C40A28" w:rsidRPr="00C40A28" w14:paraId="69B96741" w14:textId="77777777" w:rsidTr="006A5966">
        <w:trPr>
          <w:trHeight w:val="20"/>
        </w:trPr>
        <w:tc>
          <w:tcPr>
            <w:tcW w:w="1101" w:type="dxa"/>
          </w:tcPr>
          <w:p w14:paraId="5933FAC6" w14:textId="77777777" w:rsidR="00DF5281" w:rsidRPr="00C40A28" w:rsidRDefault="00DF5281" w:rsidP="00B82389">
            <w:pPr>
              <w:rPr>
                <w:sz w:val="20"/>
                <w:szCs w:val="20"/>
              </w:rPr>
            </w:pPr>
            <w:r w:rsidRPr="00C40A28">
              <w:rPr>
                <w:sz w:val="20"/>
                <w:szCs w:val="20"/>
              </w:rPr>
              <w:t>M</w:t>
            </w:r>
            <w:r w:rsidRPr="00C40A28">
              <w:rPr>
                <w:rFonts w:eastAsiaTheme="minorEastAsia"/>
                <w:sz w:val="20"/>
                <w:szCs w:val="20"/>
                <w:lang w:eastAsia="ja-JP"/>
              </w:rPr>
              <w:t>ET</w:t>
            </w:r>
            <w:r w:rsidRPr="00C40A28">
              <w:rPr>
                <w:sz w:val="20"/>
                <w:szCs w:val="20"/>
              </w:rPr>
              <w:t>SIM</w:t>
            </w:r>
          </w:p>
        </w:tc>
        <w:tc>
          <w:tcPr>
            <w:tcW w:w="1559" w:type="dxa"/>
            <w:vAlign w:val="center"/>
          </w:tcPr>
          <w:p w14:paraId="3A285F56" w14:textId="77777777" w:rsidR="00DF5281" w:rsidRPr="00C40A28" w:rsidRDefault="00DF5281" w:rsidP="00B82389">
            <w:pPr>
              <w:jc w:val="center"/>
              <w:rPr>
                <w:sz w:val="20"/>
                <w:szCs w:val="20"/>
              </w:rPr>
            </w:pPr>
            <w:r w:rsidRPr="00C40A28">
              <w:rPr>
                <w:sz w:val="20"/>
                <w:szCs w:val="20"/>
              </w:rPr>
              <w:t>Finland</w:t>
            </w:r>
          </w:p>
        </w:tc>
        <w:tc>
          <w:tcPr>
            <w:tcW w:w="850" w:type="dxa"/>
            <w:vAlign w:val="center"/>
          </w:tcPr>
          <w:p w14:paraId="39DE452D" w14:textId="77777777" w:rsidR="00DF5281" w:rsidRPr="00C40A28" w:rsidRDefault="00DF5281" w:rsidP="00B82389">
            <w:pPr>
              <w:jc w:val="center"/>
              <w:rPr>
                <w:sz w:val="20"/>
                <w:szCs w:val="20"/>
              </w:rPr>
            </w:pPr>
            <w:r w:rsidRPr="00C40A28">
              <w:rPr>
                <w:rFonts w:eastAsiaTheme="minorEastAsia"/>
                <w:sz w:val="20"/>
                <w:szCs w:val="20"/>
                <w:lang w:eastAsia="ja-JP"/>
              </w:rPr>
              <w:t>Cohort</w:t>
            </w:r>
          </w:p>
        </w:tc>
        <w:tc>
          <w:tcPr>
            <w:tcW w:w="1134" w:type="dxa"/>
            <w:vAlign w:val="center"/>
          </w:tcPr>
          <w:p w14:paraId="1F10AE82" w14:textId="77777777" w:rsidR="00DF5281" w:rsidRPr="00C40A28" w:rsidRDefault="00DF5281" w:rsidP="00B82389">
            <w:pPr>
              <w:jc w:val="center"/>
              <w:rPr>
                <w:sz w:val="20"/>
                <w:szCs w:val="20"/>
              </w:rPr>
            </w:pPr>
            <w:r w:rsidRPr="00C40A28">
              <w:rPr>
                <w:sz w:val="20"/>
                <w:szCs w:val="20"/>
              </w:rPr>
              <w:t>2006-2010</w:t>
            </w:r>
          </w:p>
        </w:tc>
        <w:tc>
          <w:tcPr>
            <w:tcW w:w="1418" w:type="dxa"/>
            <w:vAlign w:val="center"/>
          </w:tcPr>
          <w:p w14:paraId="5E037EED"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5.5</w:t>
            </w:r>
          </w:p>
        </w:tc>
        <w:tc>
          <w:tcPr>
            <w:tcW w:w="1500" w:type="dxa"/>
            <w:vAlign w:val="center"/>
          </w:tcPr>
          <w:p w14:paraId="472931CC" w14:textId="77777777" w:rsidR="00DF5281" w:rsidRPr="00C40A28" w:rsidRDefault="00DF5281" w:rsidP="00B82389">
            <w:pPr>
              <w:jc w:val="center"/>
              <w:rPr>
                <w:sz w:val="20"/>
                <w:szCs w:val="20"/>
              </w:rPr>
            </w:pPr>
            <w:r w:rsidRPr="00C40A28">
              <w:rPr>
                <w:sz w:val="20"/>
                <w:szCs w:val="20"/>
              </w:rPr>
              <w:t>1302 (71)</w:t>
            </w:r>
          </w:p>
        </w:tc>
        <w:tc>
          <w:tcPr>
            <w:tcW w:w="910" w:type="dxa"/>
            <w:vAlign w:val="center"/>
          </w:tcPr>
          <w:p w14:paraId="126847F0" w14:textId="77777777" w:rsidR="00DF5281" w:rsidRPr="00C40A28" w:rsidRDefault="00DF5281" w:rsidP="00B82389">
            <w:pPr>
              <w:jc w:val="center"/>
              <w:rPr>
                <w:sz w:val="20"/>
                <w:szCs w:val="20"/>
              </w:rPr>
            </w:pPr>
            <w:r w:rsidRPr="00C40A28">
              <w:rPr>
                <w:sz w:val="20"/>
                <w:szCs w:val="20"/>
              </w:rPr>
              <w:t>57.3</w:t>
            </w:r>
          </w:p>
        </w:tc>
        <w:tc>
          <w:tcPr>
            <w:tcW w:w="850" w:type="dxa"/>
            <w:vAlign w:val="center"/>
          </w:tcPr>
          <w:p w14:paraId="459C7A16" w14:textId="77777777" w:rsidR="00DF5281" w:rsidRPr="00C40A28" w:rsidRDefault="00DF5281" w:rsidP="00B82389">
            <w:pPr>
              <w:jc w:val="center"/>
              <w:rPr>
                <w:sz w:val="20"/>
                <w:szCs w:val="20"/>
              </w:rPr>
            </w:pPr>
            <w:r w:rsidRPr="00C40A28">
              <w:rPr>
                <w:sz w:val="20"/>
                <w:szCs w:val="20"/>
              </w:rPr>
              <w:t>0</w:t>
            </w:r>
          </w:p>
        </w:tc>
        <w:tc>
          <w:tcPr>
            <w:tcW w:w="1276" w:type="dxa"/>
            <w:vAlign w:val="center"/>
          </w:tcPr>
          <w:p w14:paraId="1F0464CD" w14:textId="77777777" w:rsidR="00DF5281" w:rsidRPr="00C40A28" w:rsidRDefault="00DF5281" w:rsidP="00B82389">
            <w:pPr>
              <w:jc w:val="center"/>
              <w:rPr>
                <w:sz w:val="20"/>
                <w:szCs w:val="20"/>
              </w:rPr>
            </w:pPr>
            <w:r w:rsidRPr="00C40A28">
              <w:rPr>
                <w:sz w:val="20"/>
                <w:szCs w:val="20"/>
              </w:rPr>
              <w:t>26.4</w:t>
            </w:r>
          </w:p>
        </w:tc>
        <w:tc>
          <w:tcPr>
            <w:tcW w:w="1559" w:type="dxa"/>
            <w:vAlign w:val="center"/>
          </w:tcPr>
          <w:p w14:paraId="069BD8E7"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1.35</w:t>
            </w:r>
          </w:p>
        </w:tc>
        <w:tc>
          <w:tcPr>
            <w:tcW w:w="1276" w:type="dxa"/>
            <w:vAlign w:val="center"/>
          </w:tcPr>
          <w:p w14:paraId="23DCD3E3"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PL, CE, TG</w:t>
            </w:r>
          </w:p>
        </w:tc>
      </w:tr>
      <w:tr w:rsidR="00C40A28" w:rsidRPr="00C40A28" w14:paraId="2CD36A4F" w14:textId="77777777" w:rsidTr="006A5966">
        <w:trPr>
          <w:trHeight w:val="285"/>
        </w:trPr>
        <w:tc>
          <w:tcPr>
            <w:tcW w:w="1101" w:type="dxa"/>
            <w:vAlign w:val="center"/>
          </w:tcPr>
          <w:p w14:paraId="08BB26DF" w14:textId="77777777" w:rsidR="00DF5281" w:rsidRPr="00C40A28" w:rsidRDefault="00DF5281" w:rsidP="0074392D">
            <w:pPr>
              <w:rPr>
                <w:sz w:val="20"/>
                <w:szCs w:val="20"/>
              </w:rPr>
            </w:pPr>
            <w:r w:rsidRPr="00C40A28">
              <w:rPr>
                <w:sz w:val="20"/>
                <w:szCs w:val="20"/>
              </w:rPr>
              <w:t>MCCS</w:t>
            </w:r>
          </w:p>
        </w:tc>
        <w:tc>
          <w:tcPr>
            <w:tcW w:w="1559" w:type="dxa"/>
            <w:vAlign w:val="center"/>
          </w:tcPr>
          <w:p w14:paraId="0ECEEEF7" w14:textId="77777777" w:rsidR="00DF5281" w:rsidRPr="00C40A28" w:rsidRDefault="00DF5281" w:rsidP="00B82389">
            <w:pPr>
              <w:jc w:val="center"/>
              <w:rPr>
                <w:sz w:val="20"/>
                <w:szCs w:val="20"/>
              </w:rPr>
            </w:pPr>
            <w:r w:rsidRPr="00C40A28">
              <w:rPr>
                <w:sz w:val="20"/>
                <w:szCs w:val="20"/>
              </w:rPr>
              <w:t>Australia</w:t>
            </w:r>
          </w:p>
        </w:tc>
        <w:tc>
          <w:tcPr>
            <w:tcW w:w="850" w:type="dxa"/>
            <w:vAlign w:val="center"/>
          </w:tcPr>
          <w:p w14:paraId="33B224D1"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Case cohort</w:t>
            </w:r>
          </w:p>
        </w:tc>
        <w:tc>
          <w:tcPr>
            <w:tcW w:w="1134" w:type="dxa"/>
            <w:vAlign w:val="center"/>
          </w:tcPr>
          <w:p w14:paraId="543B2A69" w14:textId="77777777" w:rsidR="00DF5281" w:rsidRPr="00C40A28" w:rsidRDefault="00DF5281" w:rsidP="00B82389">
            <w:pPr>
              <w:jc w:val="center"/>
              <w:rPr>
                <w:sz w:val="20"/>
                <w:szCs w:val="20"/>
              </w:rPr>
            </w:pPr>
            <w:r w:rsidRPr="00C40A28">
              <w:rPr>
                <w:sz w:val="20"/>
                <w:szCs w:val="20"/>
              </w:rPr>
              <w:t>1990-1994</w:t>
            </w:r>
          </w:p>
        </w:tc>
        <w:tc>
          <w:tcPr>
            <w:tcW w:w="1418" w:type="dxa"/>
            <w:vAlign w:val="center"/>
          </w:tcPr>
          <w:p w14:paraId="7CD6D8BB"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4.0</w:t>
            </w:r>
          </w:p>
        </w:tc>
        <w:tc>
          <w:tcPr>
            <w:tcW w:w="1500" w:type="dxa"/>
            <w:vAlign w:val="center"/>
          </w:tcPr>
          <w:p w14:paraId="59456EED" w14:textId="77777777" w:rsidR="00DF5281" w:rsidRPr="00C40A28" w:rsidRDefault="00DF5281" w:rsidP="00B82389">
            <w:pPr>
              <w:jc w:val="center"/>
              <w:rPr>
                <w:sz w:val="20"/>
                <w:szCs w:val="20"/>
              </w:rPr>
            </w:pPr>
            <w:r w:rsidRPr="00C40A28">
              <w:rPr>
                <w:sz w:val="20"/>
                <w:szCs w:val="20"/>
              </w:rPr>
              <w:t>6151 (490)</w:t>
            </w:r>
          </w:p>
        </w:tc>
        <w:tc>
          <w:tcPr>
            <w:tcW w:w="910" w:type="dxa"/>
            <w:vAlign w:val="center"/>
          </w:tcPr>
          <w:p w14:paraId="57BD50A4" w14:textId="77777777" w:rsidR="00DF5281" w:rsidRPr="00C40A28" w:rsidRDefault="00DF5281" w:rsidP="00B82389">
            <w:pPr>
              <w:jc w:val="center"/>
              <w:rPr>
                <w:sz w:val="20"/>
                <w:szCs w:val="20"/>
              </w:rPr>
            </w:pPr>
            <w:r w:rsidRPr="00C40A28">
              <w:rPr>
                <w:sz w:val="20"/>
                <w:szCs w:val="20"/>
              </w:rPr>
              <w:t>56.3</w:t>
            </w:r>
          </w:p>
        </w:tc>
        <w:tc>
          <w:tcPr>
            <w:tcW w:w="850" w:type="dxa"/>
            <w:vAlign w:val="center"/>
          </w:tcPr>
          <w:p w14:paraId="14CB758D" w14:textId="77777777" w:rsidR="00DF5281" w:rsidRPr="00C40A28" w:rsidRDefault="00DF5281" w:rsidP="00B82389">
            <w:pPr>
              <w:jc w:val="center"/>
              <w:rPr>
                <w:sz w:val="20"/>
                <w:szCs w:val="20"/>
              </w:rPr>
            </w:pPr>
            <w:r w:rsidRPr="00C40A28">
              <w:rPr>
                <w:sz w:val="20"/>
                <w:szCs w:val="20"/>
              </w:rPr>
              <w:t>53.9</w:t>
            </w:r>
          </w:p>
        </w:tc>
        <w:tc>
          <w:tcPr>
            <w:tcW w:w="1276" w:type="dxa"/>
            <w:vAlign w:val="center"/>
          </w:tcPr>
          <w:p w14:paraId="5C69711F" w14:textId="77777777" w:rsidR="00DF5281" w:rsidRPr="00C40A28" w:rsidRDefault="00DF5281" w:rsidP="00B82389">
            <w:pPr>
              <w:jc w:val="center"/>
              <w:rPr>
                <w:sz w:val="20"/>
                <w:szCs w:val="20"/>
              </w:rPr>
            </w:pPr>
            <w:r w:rsidRPr="00C40A28">
              <w:rPr>
                <w:sz w:val="20"/>
                <w:szCs w:val="20"/>
              </w:rPr>
              <w:t>27.0</w:t>
            </w:r>
          </w:p>
        </w:tc>
        <w:tc>
          <w:tcPr>
            <w:tcW w:w="1559" w:type="dxa"/>
            <w:vAlign w:val="center"/>
          </w:tcPr>
          <w:p w14:paraId="5425965D"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1.27</w:t>
            </w:r>
          </w:p>
        </w:tc>
        <w:tc>
          <w:tcPr>
            <w:tcW w:w="1276" w:type="dxa"/>
            <w:vAlign w:val="center"/>
          </w:tcPr>
          <w:p w14:paraId="41066166"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PL</w:t>
            </w:r>
          </w:p>
        </w:tc>
      </w:tr>
      <w:tr w:rsidR="00C40A28" w:rsidRPr="00C40A28" w14:paraId="3668DCCE" w14:textId="77777777" w:rsidTr="006A5966">
        <w:trPr>
          <w:trHeight w:val="20"/>
        </w:trPr>
        <w:tc>
          <w:tcPr>
            <w:tcW w:w="1101" w:type="dxa"/>
            <w:tcBorders>
              <w:bottom w:val="single" w:sz="4" w:space="0" w:color="auto"/>
            </w:tcBorders>
          </w:tcPr>
          <w:p w14:paraId="45A233E3" w14:textId="77777777" w:rsidR="00DF5281" w:rsidRPr="00C40A28" w:rsidRDefault="00DF5281" w:rsidP="00B82389">
            <w:pPr>
              <w:rPr>
                <w:sz w:val="20"/>
                <w:szCs w:val="20"/>
              </w:rPr>
            </w:pPr>
            <w:r w:rsidRPr="00C40A28">
              <w:rPr>
                <w:sz w:val="20"/>
                <w:szCs w:val="20"/>
              </w:rPr>
              <w:t>CCCC</w:t>
            </w:r>
          </w:p>
        </w:tc>
        <w:tc>
          <w:tcPr>
            <w:tcW w:w="1559" w:type="dxa"/>
            <w:tcBorders>
              <w:bottom w:val="single" w:sz="4" w:space="0" w:color="auto"/>
            </w:tcBorders>
            <w:vAlign w:val="center"/>
          </w:tcPr>
          <w:p w14:paraId="7AAD6779" w14:textId="77777777" w:rsidR="00DF5281" w:rsidRPr="00C40A28" w:rsidRDefault="00DF5281" w:rsidP="00B82389">
            <w:pPr>
              <w:jc w:val="center"/>
              <w:rPr>
                <w:sz w:val="20"/>
                <w:szCs w:val="20"/>
              </w:rPr>
            </w:pPr>
            <w:r w:rsidRPr="00C40A28">
              <w:rPr>
                <w:sz w:val="20"/>
                <w:szCs w:val="20"/>
              </w:rPr>
              <w:t>Taiwan</w:t>
            </w:r>
          </w:p>
        </w:tc>
        <w:tc>
          <w:tcPr>
            <w:tcW w:w="850" w:type="dxa"/>
            <w:tcBorders>
              <w:bottom w:val="single" w:sz="4" w:space="0" w:color="auto"/>
            </w:tcBorders>
            <w:vAlign w:val="center"/>
          </w:tcPr>
          <w:p w14:paraId="69678F41"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Cohort</w:t>
            </w:r>
          </w:p>
        </w:tc>
        <w:tc>
          <w:tcPr>
            <w:tcW w:w="1134" w:type="dxa"/>
            <w:tcBorders>
              <w:bottom w:val="single" w:sz="4" w:space="0" w:color="auto"/>
            </w:tcBorders>
            <w:vAlign w:val="center"/>
          </w:tcPr>
          <w:p w14:paraId="44EFAC05" w14:textId="77777777" w:rsidR="00DF5281" w:rsidRPr="00C40A28" w:rsidRDefault="00DF5281" w:rsidP="00B82389">
            <w:pPr>
              <w:jc w:val="center"/>
              <w:rPr>
                <w:sz w:val="20"/>
                <w:szCs w:val="20"/>
              </w:rPr>
            </w:pPr>
            <w:r w:rsidRPr="00C40A28">
              <w:rPr>
                <w:sz w:val="20"/>
                <w:szCs w:val="20"/>
              </w:rPr>
              <w:t>1992-1993</w:t>
            </w:r>
          </w:p>
        </w:tc>
        <w:tc>
          <w:tcPr>
            <w:tcW w:w="1418" w:type="dxa"/>
            <w:tcBorders>
              <w:bottom w:val="single" w:sz="4" w:space="0" w:color="auto"/>
            </w:tcBorders>
            <w:vAlign w:val="center"/>
          </w:tcPr>
          <w:p w14:paraId="39A71BE0"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6.0</w:t>
            </w:r>
          </w:p>
        </w:tc>
        <w:tc>
          <w:tcPr>
            <w:tcW w:w="1500" w:type="dxa"/>
            <w:tcBorders>
              <w:bottom w:val="single" w:sz="4" w:space="0" w:color="auto"/>
            </w:tcBorders>
            <w:vAlign w:val="center"/>
          </w:tcPr>
          <w:p w14:paraId="5AE534F8" w14:textId="77777777" w:rsidR="00DF5281" w:rsidRPr="00C40A28" w:rsidRDefault="00DF5281" w:rsidP="00B82389">
            <w:pPr>
              <w:jc w:val="center"/>
              <w:rPr>
                <w:sz w:val="20"/>
                <w:szCs w:val="20"/>
              </w:rPr>
            </w:pPr>
            <w:r w:rsidRPr="00C40A28">
              <w:rPr>
                <w:sz w:val="20"/>
                <w:szCs w:val="20"/>
              </w:rPr>
              <w:t>1838 (128)</w:t>
            </w:r>
          </w:p>
        </w:tc>
        <w:tc>
          <w:tcPr>
            <w:tcW w:w="910" w:type="dxa"/>
            <w:tcBorders>
              <w:bottom w:val="single" w:sz="4" w:space="0" w:color="auto"/>
            </w:tcBorders>
            <w:vAlign w:val="center"/>
          </w:tcPr>
          <w:p w14:paraId="262DEAB5" w14:textId="77777777" w:rsidR="00DF5281" w:rsidRPr="00C40A28" w:rsidRDefault="00DF5281" w:rsidP="00B82389">
            <w:pPr>
              <w:jc w:val="center"/>
              <w:rPr>
                <w:sz w:val="20"/>
                <w:szCs w:val="20"/>
              </w:rPr>
            </w:pPr>
            <w:r w:rsidRPr="00C40A28">
              <w:rPr>
                <w:sz w:val="20"/>
                <w:szCs w:val="20"/>
              </w:rPr>
              <w:t>58.7</w:t>
            </w:r>
          </w:p>
        </w:tc>
        <w:tc>
          <w:tcPr>
            <w:tcW w:w="850" w:type="dxa"/>
            <w:tcBorders>
              <w:bottom w:val="single" w:sz="4" w:space="0" w:color="auto"/>
            </w:tcBorders>
            <w:vAlign w:val="center"/>
          </w:tcPr>
          <w:p w14:paraId="4A91E8B6" w14:textId="77777777" w:rsidR="00DF5281" w:rsidRPr="00C40A28" w:rsidRDefault="00DF5281" w:rsidP="00B82389">
            <w:pPr>
              <w:jc w:val="center"/>
              <w:rPr>
                <w:rFonts w:eastAsiaTheme="minorEastAsia"/>
                <w:sz w:val="20"/>
                <w:szCs w:val="20"/>
                <w:lang w:eastAsia="ja-JP"/>
              </w:rPr>
            </w:pPr>
            <w:r w:rsidRPr="00C40A28">
              <w:rPr>
                <w:rFonts w:eastAsiaTheme="minorEastAsia"/>
                <w:sz w:val="20"/>
                <w:szCs w:val="20"/>
                <w:lang w:eastAsia="ja-JP"/>
              </w:rPr>
              <w:t>40.0</w:t>
            </w:r>
          </w:p>
        </w:tc>
        <w:tc>
          <w:tcPr>
            <w:tcW w:w="1276" w:type="dxa"/>
            <w:tcBorders>
              <w:bottom w:val="single" w:sz="4" w:space="0" w:color="auto"/>
            </w:tcBorders>
            <w:vAlign w:val="center"/>
          </w:tcPr>
          <w:p w14:paraId="5A99687B" w14:textId="77777777" w:rsidR="00DF5281" w:rsidRPr="00C40A28" w:rsidRDefault="00DF5281" w:rsidP="00B82389">
            <w:pPr>
              <w:jc w:val="center"/>
              <w:rPr>
                <w:sz w:val="20"/>
                <w:szCs w:val="20"/>
              </w:rPr>
            </w:pPr>
            <w:r w:rsidRPr="00C40A28">
              <w:rPr>
                <w:sz w:val="20"/>
                <w:szCs w:val="20"/>
              </w:rPr>
              <w:t>23.2</w:t>
            </w:r>
          </w:p>
        </w:tc>
        <w:tc>
          <w:tcPr>
            <w:tcW w:w="1559" w:type="dxa"/>
            <w:tcBorders>
              <w:bottom w:val="single" w:sz="4" w:space="0" w:color="auto"/>
            </w:tcBorders>
            <w:vAlign w:val="center"/>
          </w:tcPr>
          <w:p w14:paraId="4A4A12C5" w14:textId="77777777" w:rsidR="00DF5281" w:rsidRPr="00C40A28" w:rsidRDefault="00DF5281" w:rsidP="00B82389">
            <w:pPr>
              <w:jc w:val="center"/>
              <w:rPr>
                <w:sz w:val="20"/>
                <w:szCs w:val="20"/>
              </w:rPr>
            </w:pPr>
            <w:r w:rsidRPr="00C40A28">
              <w:rPr>
                <w:sz w:val="20"/>
                <w:szCs w:val="20"/>
              </w:rPr>
              <w:t>1.29</w:t>
            </w:r>
          </w:p>
        </w:tc>
        <w:tc>
          <w:tcPr>
            <w:tcW w:w="1276" w:type="dxa"/>
            <w:tcBorders>
              <w:bottom w:val="single" w:sz="4" w:space="0" w:color="auto"/>
            </w:tcBorders>
            <w:vAlign w:val="center"/>
          </w:tcPr>
          <w:p w14:paraId="16BEF279" w14:textId="77777777" w:rsidR="00DF5281" w:rsidRPr="00C40A28" w:rsidRDefault="00DF5281" w:rsidP="00B82389">
            <w:pPr>
              <w:jc w:val="center"/>
              <w:rPr>
                <w:rFonts w:eastAsiaTheme="minorEastAsia"/>
                <w:sz w:val="20"/>
                <w:szCs w:val="20"/>
                <w:lang w:eastAsia="ja-JP"/>
              </w:rPr>
            </w:pPr>
            <w:r w:rsidRPr="00C40A28">
              <w:rPr>
                <w:sz w:val="20"/>
                <w:szCs w:val="20"/>
              </w:rPr>
              <w:t>Total plasma</w:t>
            </w:r>
          </w:p>
        </w:tc>
      </w:tr>
    </w:tbl>
    <w:p w14:paraId="6FEBA44C" w14:textId="77777777" w:rsidR="00DF5281" w:rsidRPr="00C40A28" w:rsidRDefault="00DF5281" w:rsidP="00DF5281">
      <w:pPr>
        <w:rPr>
          <w:sz w:val="20"/>
          <w:szCs w:val="20"/>
        </w:rPr>
      </w:pPr>
      <w:r w:rsidRPr="00C40A28">
        <w:rPr>
          <w:b/>
          <w:sz w:val="20"/>
          <w:szCs w:val="20"/>
          <w:vertAlign w:val="superscript"/>
        </w:rPr>
        <w:t>*</w:t>
      </w:r>
      <w:r w:rsidRPr="00C40A28">
        <w:rPr>
          <w:rFonts w:eastAsiaTheme="minorEastAsia"/>
          <w:sz w:val="20"/>
          <w:szCs w:val="20"/>
          <w:vertAlign w:val="superscript"/>
          <w:lang w:eastAsia="ja-JP"/>
        </w:rPr>
        <w:t xml:space="preserve"> </w:t>
      </w:r>
      <w:r w:rsidRPr="00C40A28">
        <w:rPr>
          <w:sz w:val="20"/>
          <w:szCs w:val="20"/>
        </w:rPr>
        <w:t>Baseline characteristics at the time of fatty acid biomarker measurement.</w:t>
      </w:r>
    </w:p>
    <w:p w14:paraId="3E0AF32B" w14:textId="0BC28CDE" w:rsidR="00DF5281" w:rsidRPr="00C40A28" w:rsidRDefault="00DF5281" w:rsidP="00DF5281">
      <w:pPr>
        <w:rPr>
          <w:sz w:val="20"/>
          <w:szCs w:val="20"/>
        </w:rPr>
      </w:pPr>
      <w:r w:rsidRPr="00C40A28">
        <w:rPr>
          <w:b/>
          <w:sz w:val="20"/>
          <w:szCs w:val="20"/>
        </w:rPr>
        <w:t>†</w:t>
      </w:r>
      <w:r w:rsidRPr="00C40A28">
        <w:rPr>
          <w:sz w:val="20"/>
          <w:szCs w:val="20"/>
        </w:rPr>
        <w:t>AGES</w:t>
      </w:r>
      <w:r w:rsidRPr="00C40A28">
        <w:rPr>
          <w:rFonts w:eastAsiaTheme="minorEastAsia"/>
          <w:sz w:val="20"/>
          <w:szCs w:val="20"/>
          <w:lang w:eastAsia="ja-JP"/>
        </w:rPr>
        <w:t>R</w:t>
      </w:r>
      <w:r w:rsidRPr="00C40A28">
        <w:rPr>
          <w:sz w:val="20"/>
          <w:szCs w:val="20"/>
        </w:rPr>
        <w:t xml:space="preserve">: Age, Genes, Environment Susceptibility Study (Reykjavik); </w:t>
      </w:r>
      <w:r w:rsidRPr="00C40A28">
        <w:rPr>
          <w:rFonts w:eastAsiaTheme="minorEastAsia"/>
          <w:sz w:val="20"/>
          <w:szCs w:val="20"/>
          <w:lang w:eastAsia="ja-JP"/>
        </w:rPr>
        <w:t xml:space="preserve">AOC, Alpha Omega Cohort; </w:t>
      </w:r>
      <w:r w:rsidRPr="00C40A28">
        <w:rPr>
          <w:sz w:val="20"/>
          <w:szCs w:val="20"/>
        </w:rPr>
        <w:t>CCCC, Chin-Shan Community Cardiovascular Cohort Study; CHS, Cardiovascular Health Study; FHS, Framingham Heart Study;</w:t>
      </w:r>
      <w:r w:rsidRPr="00C40A28">
        <w:rPr>
          <w:rFonts w:eastAsiaTheme="minorEastAsia"/>
          <w:sz w:val="20"/>
          <w:szCs w:val="20"/>
          <w:lang w:eastAsia="ja-JP"/>
        </w:rPr>
        <w:t xml:space="preserve"> HPFS, Health Professionals’ Follow-up Study</w:t>
      </w:r>
      <w:r w:rsidRPr="00C40A28">
        <w:rPr>
          <w:sz w:val="20"/>
          <w:szCs w:val="20"/>
        </w:rPr>
        <w:t>; KIHD, Kuopio Ischaemic Heart Disease; MCCS, Melbourne Collaborative Cohort Study; MESA, Multi-Ethnic Study of Atherosclerosis; M</w:t>
      </w:r>
      <w:r w:rsidRPr="00C40A28">
        <w:rPr>
          <w:rFonts w:eastAsiaTheme="minorEastAsia"/>
          <w:sz w:val="20"/>
          <w:szCs w:val="20"/>
          <w:lang w:eastAsia="ja-JP"/>
        </w:rPr>
        <w:t>ET</w:t>
      </w:r>
      <w:r w:rsidRPr="00C40A28">
        <w:rPr>
          <w:sz w:val="20"/>
          <w:szCs w:val="20"/>
        </w:rPr>
        <w:t xml:space="preserve">SIM, Metabolic Syndrome in Men Study; NHS, Nurses’ Health Study; PIVUS, Prospective Investigation of the Vasculature in Uppsala Seniors; </w:t>
      </w:r>
      <w:r w:rsidRPr="00C40A28">
        <w:rPr>
          <w:rFonts w:eastAsiaTheme="minorEastAsia"/>
          <w:sz w:val="20"/>
          <w:szCs w:val="20"/>
          <w:lang w:eastAsia="ja-JP"/>
        </w:rPr>
        <w:t>Three C</w:t>
      </w:r>
      <w:r w:rsidRPr="00C40A28">
        <w:rPr>
          <w:sz w:val="20"/>
          <w:szCs w:val="20"/>
        </w:rPr>
        <w:t>, Three City Study; ULSAM</w:t>
      </w:r>
      <w:r w:rsidRPr="00C40A28">
        <w:rPr>
          <w:rFonts w:eastAsiaTheme="minorEastAsia"/>
          <w:sz w:val="20"/>
          <w:szCs w:val="20"/>
          <w:lang w:eastAsia="ja-JP"/>
        </w:rPr>
        <w:t xml:space="preserve">, </w:t>
      </w:r>
      <w:r w:rsidRPr="00C40A28">
        <w:rPr>
          <w:sz w:val="20"/>
          <w:szCs w:val="20"/>
        </w:rPr>
        <w:t>Uppsala Longitudinal Study of Adult Men; WHI</w:t>
      </w:r>
      <w:r w:rsidRPr="00C40A28">
        <w:rPr>
          <w:rFonts w:eastAsiaTheme="minorEastAsia"/>
          <w:sz w:val="20"/>
          <w:szCs w:val="20"/>
          <w:lang w:eastAsia="ja-JP"/>
        </w:rPr>
        <w:t>MS</w:t>
      </w:r>
      <w:r w:rsidRPr="00C40A28">
        <w:rPr>
          <w:sz w:val="20"/>
          <w:szCs w:val="20"/>
        </w:rPr>
        <w:t>, Women’s Health Initiative</w:t>
      </w:r>
      <w:r w:rsidRPr="00C40A28">
        <w:rPr>
          <w:rFonts w:eastAsiaTheme="minorEastAsia"/>
          <w:sz w:val="20"/>
          <w:szCs w:val="20"/>
          <w:lang w:eastAsia="ja-JP"/>
        </w:rPr>
        <w:t xml:space="preserve"> Memory Study</w:t>
      </w:r>
      <w:r w:rsidRPr="00C40A28">
        <w:rPr>
          <w:sz w:val="20"/>
          <w:szCs w:val="20"/>
        </w:rPr>
        <w:t xml:space="preserve">. The EPIC-InterAct Study provided pooled estimates from across eight European countries: Denmark, France, Germany, Italy, the Netherlands Spain, Sweden, </w:t>
      </w:r>
      <w:r w:rsidR="00960EB4" w:rsidRPr="00C40A28">
        <w:rPr>
          <w:sz w:val="20"/>
          <w:szCs w:val="20"/>
        </w:rPr>
        <w:t>and the</w:t>
      </w:r>
      <w:r w:rsidRPr="00C40A28">
        <w:rPr>
          <w:sz w:val="20"/>
          <w:szCs w:val="20"/>
        </w:rPr>
        <w:t xml:space="preserve"> United Kingdom.</w:t>
      </w:r>
    </w:p>
    <w:p w14:paraId="451F8054" w14:textId="77777777" w:rsidR="00DF5281" w:rsidRPr="00C40A28" w:rsidRDefault="00DF5281" w:rsidP="00DF5281">
      <w:pPr>
        <w:rPr>
          <w:b/>
          <w:sz w:val="22"/>
          <w:szCs w:val="22"/>
        </w:rPr>
      </w:pPr>
      <w:r w:rsidRPr="00C40A28">
        <w:rPr>
          <w:sz w:val="20"/>
          <w:szCs w:val="20"/>
        </w:rPr>
        <w:t>‡</w:t>
      </w:r>
      <w:r w:rsidRPr="00C40A28">
        <w:rPr>
          <w:rFonts w:eastAsiaTheme="minorEastAsia"/>
          <w:sz w:val="20"/>
          <w:szCs w:val="20"/>
          <w:vertAlign w:val="superscript"/>
          <w:lang w:eastAsia="ja-JP"/>
        </w:rPr>
        <w:t xml:space="preserve"> </w:t>
      </w:r>
      <w:r w:rsidRPr="00C40A28">
        <w:rPr>
          <w:rFonts w:eastAsiaTheme="minorEastAsia"/>
          <w:sz w:val="20"/>
          <w:szCs w:val="20"/>
          <w:lang w:eastAsia="ja-JP"/>
        </w:rPr>
        <w:t>CE, cholesteryl esters; PL, phospholipids; RBC, red blood cells; TG, triglycerides.</w:t>
      </w:r>
      <w:r w:rsidRPr="00C40A28">
        <w:rPr>
          <w:sz w:val="20"/>
          <w:szCs w:val="20"/>
        </w:rPr>
        <w:t xml:space="preserve"> </w:t>
      </w:r>
    </w:p>
    <w:p w14:paraId="79831C8E" w14:textId="77777777" w:rsidR="00DF5281" w:rsidRPr="00C40A28" w:rsidRDefault="00DF5281" w:rsidP="00924442">
      <w:pPr>
        <w:pStyle w:val="BodyTextIndent"/>
        <w:spacing w:line="480" w:lineRule="auto"/>
        <w:ind w:left="0" w:firstLine="567"/>
        <w:rPr>
          <w:rFonts w:ascii="Times New Roman" w:hAnsi="Times New Roman"/>
          <w:b w:val="0"/>
          <w:sz w:val="22"/>
          <w:szCs w:val="22"/>
          <w:shd w:val="clear" w:color="auto" w:fill="FFFFFF"/>
          <w:lang w:val="en-US" w:eastAsia="ja-JP"/>
        </w:rPr>
        <w:sectPr w:rsidR="00DF5281" w:rsidRPr="00C40A28" w:rsidSect="00DF5281">
          <w:pgSz w:w="15840" w:h="12240" w:orient="landscape"/>
          <w:pgMar w:top="1440" w:right="1440" w:bottom="1440" w:left="1440" w:header="720" w:footer="272" w:gutter="0"/>
          <w:lnNumType w:countBy="1" w:restart="continuous"/>
          <w:cols w:space="720"/>
          <w:docGrid w:linePitch="360"/>
        </w:sectPr>
      </w:pPr>
    </w:p>
    <w:p w14:paraId="0E20894A" w14:textId="77777777" w:rsidR="00ED4BBB" w:rsidRDefault="00657DD8" w:rsidP="00ED4BBB">
      <w:pPr>
        <w:pStyle w:val="BodyTextIndent"/>
        <w:spacing w:line="480" w:lineRule="auto"/>
        <w:ind w:left="0" w:firstLine="720"/>
        <w:rPr>
          <w:rFonts w:ascii="Times New Roman" w:hAnsi="Times New Roman"/>
          <w:b w:val="0"/>
          <w:sz w:val="22"/>
          <w:szCs w:val="22"/>
          <w:shd w:val="clear" w:color="auto" w:fill="FFFFFF"/>
          <w:lang w:val="en-US" w:eastAsia="ja-JP"/>
        </w:rPr>
      </w:pPr>
      <w:r w:rsidRPr="00C40A28">
        <w:rPr>
          <w:rFonts w:ascii="Times New Roman" w:hAnsi="Times New Roman"/>
          <w:b w:val="0"/>
          <w:sz w:val="22"/>
          <w:szCs w:val="22"/>
          <w:shd w:val="clear" w:color="auto" w:fill="FFFFFF"/>
          <w:lang w:val="en-US" w:eastAsia="ja-JP"/>
        </w:rPr>
        <w:lastRenderedPageBreak/>
        <w:t xml:space="preserve">The </w:t>
      </w:r>
      <w:r w:rsidR="002F420A" w:rsidRPr="00C40A28">
        <w:rPr>
          <w:rFonts w:ascii="Times New Roman" w:hAnsi="Times New Roman"/>
          <w:b w:val="0"/>
          <w:sz w:val="22"/>
          <w:szCs w:val="22"/>
          <w:shd w:val="clear" w:color="auto" w:fill="FFFFFF"/>
          <w:lang w:val="en-US" w:eastAsia="ja-JP"/>
        </w:rPr>
        <w:t xml:space="preserve">concentrations of the selected fatty acids in the DNL pathway </w:t>
      </w:r>
      <w:r w:rsidR="00033B22" w:rsidRPr="00C40A28">
        <w:rPr>
          <w:rFonts w:ascii="Times New Roman" w:hAnsi="Times New Roman"/>
          <w:b w:val="0"/>
          <w:sz w:val="22"/>
          <w:szCs w:val="22"/>
          <w:shd w:val="clear" w:color="auto" w:fill="FFFFFF"/>
          <w:lang w:val="en-US" w:eastAsia="ja-JP"/>
        </w:rPr>
        <w:t>varied</w:t>
      </w:r>
      <w:r w:rsidR="004D2AC6" w:rsidRPr="00C40A28">
        <w:rPr>
          <w:rFonts w:ascii="Times New Roman" w:hAnsi="Times New Roman"/>
          <w:b w:val="0"/>
          <w:sz w:val="22"/>
          <w:szCs w:val="22"/>
          <w:shd w:val="clear" w:color="auto" w:fill="FFFFFF"/>
          <w:lang w:val="en-US" w:eastAsia="ja-JP"/>
        </w:rPr>
        <w:t xml:space="preserve"> </w:t>
      </w:r>
      <w:r w:rsidR="002F420A" w:rsidRPr="00C40A28">
        <w:rPr>
          <w:rFonts w:ascii="Times New Roman" w:hAnsi="Times New Roman"/>
          <w:b w:val="0"/>
          <w:sz w:val="22"/>
          <w:szCs w:val="22"/>
          <w:shd w:val="clear" w:color="auto" w:fill="FFFFFF"/>
          <w:lang w:val="en-US" w:eastAsia="ja-JP"/>
        </w:rPr>
        <w:t xml:space="preserve">by </w:t>
      </w:r>
      <w:r w:rsidR="00967CD6" w:rsidRPr="00C40A28">
        <w:rPr>
          <w:rFonts w:ascii="Times New Roman" w:hAnsi="Times New Roman"/>
          <w:b w:val="0"/>
          <w:sz w:val="22"/>
          <w:szCs w:val="22"/>
          <w:shd w:val="clear" w:color="auto" w:fill="FFFFFF"/>
          <w:lang w:val="en-US" w:eastAsia="ja-JP"/>
        </w:rPr>
        <w:t xml:space="preserve">lipid </w:t>
      </w:r>
      <w:r w:rsidR="00086095" w:rsidRPr="00C40A28">
        <w:rPr>
          <w:rFonts w:ascii="Times New Roman" w:hAnsi="Times New Roman"/>
          <w:b w:val="0"/>
          <w:bCs/>
          <w:sz w:val="22"/>
          <w:szCs w:val="22"/>
          <w:lang w:val="en-US" w:eastAsia="ja-JP"/>
        </w:rPr>
        <w:t xml:space="preserve">compartment </w:t>
      </w:r>
      <w:r w:rsidR="00967CD6" w:rsidRPr="00C40A28">
        <w:rPr>
          <w:rFonts w:ascii="Times New Roman" w:hAnsi="Times New Roman"/>
          <w:b w:val="0"/>
          <w:sz w:val="22"/>
          <w:szCs w:val="22"/>
          <w:shd w:val="clear" w:color="auto" w:fill="FFFFFF"/>
          <w:lang w:val="en-US" w:eastAsia="ja-JP"/>
        </w:rPr>
        <w:t>(Fig 1)</w:t>
      </w:r>
      <w:r w:rsidR="002F420A" w:rsidRPr="00C40A28">
        <w:rPr>
          <w:rFonts w:ascii="Times New Roman" w:hAnsi="Times New Roman"/>
          <w:b w:val="0"/>
          <w:sz w:val="22"/>
          <w:szCs w:val="22"/>
          <w:shd w:val="clear" w:color="auto" w:fill="FFFFFF"/>
          <w:lang w:val="en-US" w:eastAsia="ja-JP"/>
        </w:rPr>
        <w:t xml:space="preserve">. Concentrations of 16:0 ranged from 15% to 35% of total fatty acids </w:t>
      </w:r>
      <w:r w:rsidR="0042343A" w:rsidRPr="00C40A28">
        <w:rPr>
          <w:rFonts w:ascii="Times New Roman" w:hAnsi="Times New Roman"/>
          <w:b w:val="0"/>
          <w:sz w:val="22"/>
          <w:szCs w:val="22"/>
          <w:shd w:val="clear" w:color="auto" w:fill="FFFFFF"/>
          <w:lang w:val="en-US" w:eastAsia="ja-JP"/>
        </w:rPr>
        <w:t xml:space="preserve">in </w:t>
      </w:r>
      <w:r w:rsidR="006A5743" w:rsidRPr="00C40A28">
        <w:rPr>
          <w:rFonts w:ascii="Times New Roman" w:hAnsi="Times New Roman"/>
          <w:b w:val="0"/>
          <w:sz w:val="22"/>
          <w:szCs w:val="22"/>
          <w:shd w:val="clear" w:color="auto" w:fill="FFFFFF"/>
          <w:lang w:val="en-US" w:eastAsia="ja-JP"/>
        </w:rPr>
        <w:t xml:space="preserve">most </w:t>
      </w:r>
      <w:r w:rsidR="002F420A" w:rsidRPr="00C40A28">
        <w:rPr>
          <w:rFonts w:ascii="Times New Roman" w:hAnsi="Times New Roman"/>
          <w:b w:val="0"/>
          <w:sz w:val="22"/>
          <w:szCs w:val="22"/>
          <w:shd w:val="clear" w:color="auto" w:fill="FFFFFF"/>
          <w:lang w:val="en-US" w:eastAsia="ja-JP"/>
        </w:rPr>
        <w:t xml:space="preserve">lipid </w:t>
      </w:r>
      <w:r w:rsidR="00086095" w:rsidRPr="00C40A28">
        <w:rPr>
          <w:rFonts w:ascii="Times New Roman" w:hAnsi="Times New Roman"/>
          <w:b w:val="0"/>
          <w:bCs/>
          <w:sz w:val="22"/>
          <w:szCs w:val="22"/>
          <w:lang w:val="en-US" w:eastAsia="ja-JP"/>
        </w:rPr>
        <w:t>compartments</w:t>
      </w:r>
      <w:r w:rsidR="002F420A" w:rsidRPr="00C40A28">
        <w:rPr>
          <w:rFonts w:ascii="Times New Roman" w:hAnsi="Times New Roman"/>
          <w:b w:val="0"/>
          <w:sz w:val="22"/>
          <w:lang w:val="en-US"/>
        </w:rPr>
        <w:t xml:space="preserve"> </w:t>
      </w:r>
      <w:r w:rsidR="0042343A" w:rsidRPr="00C40A28">
        <w:rPr>
          <w:rFonts w:ascii="Times New Roman" w:hAnsi="Times New Roman"/>
          <w:b w:val="0"/>
          <w:sz w:val="22"/>
          <w:szCs w:val="22"/>
          <w:shd w:val="clear" w:color="auto" w:fill="FFFFFF"/>
          <w:lang w:val="en-US" w:eastAsia="ja-JP"/>
        </w:rPr>
        <w:t>except</w:t>
      </w:r>
      <w:r w:rsidR="002F420A" w:rsidRPr="00C40A28">
        <w:rPr>
          <w:rFonts w:ascii="Times New Roman" w:hAnsi="Times New Roman"/>
          <w:b w:val="0"/>
          <w:sz w:val="22"/>
          <w:szCs w:val="22"/>
          <w:shd w:val="clear" w:color="auto" w:fill="FFFFFF"/>
          <w:lang w:val="en-US" w:eastAsia="ja-JP"/>
        </w:rPr>
        <w:t xml:space="preserve"> for cholesteryl esters (10% to 13%).</w:t>
      </w:r>
      <w:r w:rsidR="00776879" w:rsidRPr="00C40A28">
        <w:rPr>
          <w:rFonts w:ascii="Times New Roman" w:hAnsi="Times New Roman"/>
          <w:b w:val="0"/>
          <w:sz w:val="22"/>
          <w:szCs w:val="22"/>
          <w:shd w:val="clear" w:color="auto" w:fill="FFFFFF"/>
          <w:lang w:val="en-US" w:eastAsia="ja-JP"/>
        </w:rPr>
        <w:t xml:space="preserve"> Concentrations of </w:t>
      </w:r>
      <w:r w:rsidR="002F420A" w:rsidRPr="00C40A28">
        <w:rPr>
          <w:rFonts w:ascii="Times New Roman" w:hAnsi="Times New Roman"/>
          <w:b w:val="0"/>
          <w:sz w:val="22"/>
          <w:szCs w:val="22"/>
          <w:shd w:val="clear" w:color="auto" w:fill="FFFFFF"/>
          <w:lang w:val="en-US" w:eastAsia="ja-JP"/>
        </w:rPr>
        <w:t>16:1n7</w:t>
      </w:r>
      <w:r w:rsidR="0042343A" w:rsidRPr="00C40A28">
        <w:rPr>
          <w:rFonts w:ascii="Times New Roman" w:hAnsi="Times New Roman"/>
          <w:b w:val="0"/>
          <w:sz w:val="22"/>
          <w:szCs w:val="22"/>
          <w:shd w:val="clear" w:color="auto" w:fill="FFFFFF"/>
          <w:lang w:val="en-US" w:eastAsia="ja-JP"/>
        </w:rPr>
        <w:t xml:space="preserve"> </w:t>
      </w:r>
      <w:r w:rsidR="002F420A" w:rsidRPr="00C40A28">
        <w:rPr>
          <w:rFonts w:ascii="Times New Roman" w:hAnsi="Times New Roman"/>
          <w:b w:val="0"/>
          <w:sz w:val="22"/>
          <w:szCs w:val="22"/>
          <w:shd w:val="clear" w:color="auto" w:fill="FFFFFF"/>
          <w:lang w:val="en-US" w:eastAsia="ja-JP"/>
        </w:rPr>
        <w:t xml:space="preserve">were less than </w:t>
      </w:r>
      <w:r w:rsidR="00967CD6" w:rsidRPr="00C40A28">
        <w:rPr>
          <w:rFonts w:ascii="Times New Roman" w:hAnsi="Times New Roman"/>
          <w:b w:val="0"/>
          <w:sz w:val="22"/>
          <w:szCs w:val="22"/>
          <w:shd w:val="clear" w:color="auto" w:fill="FFFFFF"/>
          <w:lang w:val="en-US" w:eastAsia="ja-JP"/>
        </w:rPr>
        <w:t xml:space="preserve">1.0% when measured in phospholipids (plasma or red blood cell membrane) and 1.0% to 9.0% when measured in the other </w:t>
      </w:r>
      <w:r w:rsidR="00086095" w:rsidRPr="00C40A28">
        <w:rPr>
          <w:rFonts w:ascii="Times New Roman" w:hAnsi="Times New Roman"/>
          <w:b w:val="0"/>
          <w:bCs/>
          <w:sz w:val="22"/>
          <w:szCs w:val="22"/>
          <w:lang w:val="en-US" w:eastAsia="ja-JP"/>
        </w:rPr>
        <w:t>compartments</w:t>
      </w:r>
      <w:r w:rsidR="00967CD6" w:rsidRPr="00C40A28">
        <w:rPr>
          <w:rFonts w:ascii="Times New Roman" w:hAnsi="Times New Roman"/>
          <w:b w:val="0"/>
          <w:sz w:val="22"/>
          <w:szCs w:val="22"/>
          <w:shd w:val="clear" w:color="auto" w:fill="FFFFFF"/>
          <w:lang w:val="en-US" w:eastAsia="ja-JP"/>
        </w:rPr>
        <w:t xml:space="preserve">. </w:t>
      </w:r>
      <w:r w:rsidR="006A5743" w:rsidRPr="00C40A28">
        <w:rPr>
          <w:rFonts w:ascii="Times New Roman" w:hAnsi="Times New Roman"/>
          <w:b w:val="0"/>
          <w:sz w:val="22"/>
          <w:szCs w:val="22"/>
          <w:shd w:val="clear" w:color="auto" w:fill="FFFFFF"/>
          <w:lang w:val="en-US" w:eastAsia="ja-JP"/>
        </w:rPr>
        <w:t>In phospholipids, a</w:t>
      </w:r>
      <w:r w:rsidR="00BC6756" w:rsidRPr="00C40A28">
        <w:rPr>
          <w:rFonts w:ascii="Times New Roman" w:hAnsi="Times New Roman"/>
          <w:b w:val="0"/>
          <w:sz w:val="22"/>
          <w:szCs w:val="22"/>
          <w:shd w:val="clear" w:color="auto" w:fill="FFFFFF"/>
          <w:lang w:val="en-US" w:eastAsia="ja-JP"/>
        </w:rPr>
        <w:t>verage c</w:t>
      </w:r>
      <w:r w:rsidR="00967CD6" w:rsidRPr="00C40A28">
        <w:rPr>
          <w:rFonts w:ascii="Times New Roman" w:hAnsi="Times New Roman"/>
          <w:b w:val="0"/>
          <w:sz w:val="22"/>
          <w:szCs w:val="22"/>
          <w:shd w:val="clear" w:color="auto" w:fill="FFFFFF"/>
          <w:lang w:val="en-US" w:eastAsia="ja-JP"/>
        </w:rPr>
        <w:t xml:space="preserve">oncentrations of 18:0 </w:t>
      </w:r>
      <w:r w:rsidR="00776879" w:rsidRPr="00C40A28">
        <w:rPr>
          <w:rFonts w:ascii="Times New Roman" w:hAnsi="Times New Roman"/>
          <w:b w:val="0"/>
          <w:sz w:val="22"/>
          <w:szCs w:val="22"/>
          <w:shd w:val="clear" w:color="auto" w:fill="FFFFFF"/>
          <w:lang w:val="en-US" w:eastAsia="ja-JP"/>
        </w:rPr>
        <w:t>were 1</w:t>
      </w:r>
      <w:r w:rsidR="00BC6756" w:rsidRPr="00C40A28">
        <w:rPr>
          <w:rFonts w:ascii="Times New Roman" w:hAnsi="Times New Roman"/>
          <w:b w:val="0"/>
          <w:sz w:val="22"/>
          <w:szCs w:val="22"/>
          <w:shd w:val="clear" w:color="auto" w:fill="FFFFFF"/>
          <w:lang w:val="en-US" w:eastAsia="ja-JP"/>
        </w:rPr>
        <w:t>1.0</w:t>
      </w:r>
      <w:r w:rsidR="00776879" w:rsidRPr="00C40A28">
        <w:rPr>
          <w:rFonts w:ascii="Times New Roman" w:hAnsi="Times New Roman"/>
          <w:b w:val="0"/>
          <w:sz w:val="22"/>
          <w:szCs w:val="22"/>
          <w:shd w:val="clear" w:color="auto" w:fill="FFFFFF"/>
          <w:lang w:val="en-US" w:eastAsia="ja-JP"/>
        </w:rPr>
        <w:t xml:space="preserve">% to </w:t>
      </w:r>
      <w:r w:rsidR="00BC6756" w:rsidRPr="00C40A28">
        <w:rPr>
          <w:rFonts w:ascii="Times New Roman" w:hAnsi="Times New Roman"/>
          <w:b w:val="0"/>
          <w:sz w:val="22"/>
          <w:szCs w:val="22"/>
          <w:shd w:val="clear" w:color="auto" w:fill="FFFFFF"/>
          <w:lang w:val="en-US" w:eastAsia="ja-JP"/>
        </w:rPr>
        <w:t xml:space="preserve">16.3% and consistently higher </w:t>
      </w:r>
      <w:r w:rsidR="00776879" w:rsidRPr="00C40A28">
        <w:rPr>
          <w:rFonts w:ascii="Times New Roman" w:hAnsi="Times New Roman"/>
          <w:b w:val="0"/>
          <w:sz w:val="22"/>
          <w:szCs w:val="22"/>
          <w:shd w:val="clear" w:color="auto" w:fill="FFFFFF"/>
          <w:lang w:val="en-US" w:eastAsia="ja-JP"/>
        </w:rPr>
        <w:t>than those of 18:1n9.</w:t>
      </w:r>
      <w:r w:rsidR="009B7DAD" w:rsidRPr="00C40A28">
        <w:rPr>
          <w:rFonts w:ascii="Times New Roman" w:hAnsi="Times New Roman"/>
          <w:b w:val="0"/>
          <w:sz w:val="22"/>
          <w:szCs w:val="22"/>
          <w:shd w:val="clear" w:color="auto" w:fill="FFFFFF"/>
          <w:lang w:val="en-US" w:eastAsia="ja-JP"/>
        </w:rPr>
        <w:t xml:space="preserve"> </w:t>
      </w:r>
      <w:r w:rsidR="00BC6756" w:rsidRPr="00C40A28">
        <w:rPr>
          <w:rFonts w:ascii="Times New Roman" w:hAnsi="Times New Roman"/>
          <w:b w:val="0"/>
          <w:sz w:val="22"/>
          <w:szCs w:val="22"/>
          <w:shd w:val="clear" w:color="auto" w:fill="FFFFFF"/>
          <w:lang w:val="en-US" w:eastAsia="ja-JP"/>
        </w:rPr>
        <w:t xml:space="preserve">In other </w:t>
      </w:r>
      <w:r w:rsidR="00E76B51" w:rsidRPr="00C40A28">
        <w:rPr>
          <w:rFonts w:ascii="Times New Roman" w:hAnsi="Times New Roman"/>
          <w:b w:val="0"/>
          <w:sz w:val="22"/>
          <w:szCs w:val="22"/>
          <w:shd w:val="clear" w:color="auto" w:fill="FFFFFF"/>
          <w:lang w:val="en-US" w:eastAsia="ja-JP"/>
        </w:rPr>
        <w:t>lipid</w:t>
      </w:r>
      <w:r w:rsidR="00BC6756" w:rsidRPr="00C40A28">
        <w:rPr>
          <w:rFonts w:ascii="Times New Roman" w:hAnsi="Times New Roman"/>
          <w:b w:val="0"/>
          <w:sz w:val="22"/>
          <w:szCs w:val="22"/>
          <w:shd w:val="clear" w:color="auto" w:fill="FFFFFF"/>
          <w:lang w:val="en-US" w:eastAsia="ja-JP"/>
        </w:rPr>
        <w:t xml:space="preserve"> </w:t>
      </w:r>
      <w:r w:rsidR="00086095" w:rsidRPr="00C40A28">
        <w:rPr>
          <w:rFonts w:ascii="Times New Roman" w:hAnsi="Times New Roman"/>
          <w:b w:val="0"/>
          <w:bCs/>
          <w:sz w:val="22"/>
          <w:szCs w:val="22"/>
          <w:lang w:val="en-US" w:eastAsia="ja-JP"/>
        </w:rPr>
        <w:t>compartments</w:t>
      </w:r>
      <w:r w:rsidR="00BC6756" w:rsidRPr="00C40A28">
        <w:rPr>
          <w:rFonts w:ascii="Times New Roman" w:hAnsi="Times New Roman"/>
          <w:b w:val="0"/>
          <w:sz w:val="22"/>
          <w:szCs w:val="22"/>
          <w:shd w:val="clear" w:color="auto" w:fill="FFFFFF"/>
          <w:lang w:val="en-US" w:eastAsia="ja-JP"/>
        </w:rPr>
        <w:t xml:space="preserve">, </w:t>
      </w:r>
      <w:r w:rsidR="00F14C80" w:rsidRPr="00C40A28">
        <w:rPr>
          <w:rFonts w:ascii="Times New Roman" w:hAnsi="Times New Roman"/>
          <w:b w:val="0"/>
          <w:sz w:val="22"/>
          <w:szCs w:val="22"/>
          <w:shd w:val="clear" w:color="auto" w:fill="FFFFFF"/>
          <w:lang w:val="en-US" w:eastAsia="ja-JP"/>
        </w:rPr>
        <w:t xml:space="preserve">conversely, </w:t>
      </w:r>
      <w:r w:rsidR="009B7DAD" w:rsidRPr="00C40A28">
        <w:rPr>
          <w:rFonts w:ascii="Times New Roman" w:hAnsi="Times New Roman"/>
          <w:b w:val="0"/>
          <w:sz w:val="22"/>
          <w:szCs w:val="22"/>
          <w:shd w:val="clear" w:color="auto" w:fill="FFFFFF"/>
          <w:lang w:val="en-US" w:eastAsia="ja-JP"/>
        </w:rPr>
        <w:t>concentrations of 1</w:t>
      </w:r>
      <w:r w:rsidR="00BC6756" w:rsidRPr="00C40A28">
        <w:rPr>
          <w:rFonts w:ascii="Times New Roman" w:hAnsi="Times New Roman"/>
          <w:b w:val="0"/>
          <w:sz w:val="22"/>
          <w:szCs w:val="22"/>
          <w:shd w:val="clear" w:color="auto" w:fill="FFFFFF"/>
          <w:lang w:val="en-US" w:eastAsia="ja-JP"/>
        </w:rPr>
        <w:t xml:space="preserve">8:0 were </w:t>
      </w:r>
      <w:r w:rsidR="006A5743" w:rsidRPr="00C40A28">
        <w:rPr>
          <w:rFonts w:ascii="Times New Roman" w:hAnsi="Times New Roman"/>
          <w:b w:val="0"/>
          <w:sz w:val="22"/>
          <w:szCs w:val="22"/>
          <w:shd w:val="clear" w:color="auto" w:fill="FFFFFF"/>
          <w:lang w:val="en-US" w:eastAsia="ja-JP"/>
        </w:rPr>
        <w:t>much</w:t>
      </w:r>
      <w:r w:rsidR="00BC6756" w:rsidRPr="00C40A28">
        <w:rPr>
          <w:rFonts w:ascii="Times New Roman" w:hAnsi="Times New Roman"/>
          <w:b w:val="0"/>
          <w:sz w:val="22"/>
          <w:szCs w:val="22"/>
          <w:shd w:val="clear" w:color="auto" w:fill="FFFFFF"/>
          <w:lang w:val="en-US" w:eastAsia="ja-JP"/>
        </w:rPr>
        <w:t xml:space="preserve"> lower than those of 18:1n9. </w:t>
      </w:r>
    </w:p>
    <w:p w14:paraId="7E0E475A" w14:textId="77777777" w:rsidR="00ED4BBB" w:rsidRDefault="00ED4BBB" w:rsidP="00ED4BBB">
      <w:pPr>
        <w:pStyle w:val="BodyTextIndent"/>
        <w:spacing w:line="480" w:lineRule="auto"/>
        <w:ind w:left="0" w:firstLine="0"/>
        <w:rPr>
          <w:rFonts w:ascii="Times New Roman" w:hAnsi="Times New Roman"/>
          <w:b w:val="0"/>
          <w:sz w:val="22"/>
          <w:szCs w:val="22"/>
          <w:shd w:val="clear" w:color="auto" w:fill="FFFFFF"/>
          <w:lang w:val="en-US" w:eastAsia="ja-JP"/>
        </w:rPr>
      </w:pPr>
    </w:p>
    <w:p w14:paraId="61AB25AE" w14:textId="77777777" w:rsidR="00ED4BBB" w:rsidRDefault="00ED4BBB" w:rsidP="00ED4BBB">
      <w:pPr>
        <w:pStyle w:val="BodyTextIndent"/>
        <w:spacing w:line="480" w:lineRule="auto"/>
        <w:ind w:left="0" w:firstLine="0"/>
        <w:rPr>
          <w:b w:val="0"/>
          <w:sz w:val="22"/>
          <w:szCs w:val="22"/>
        </w:rPr>
      </w:pPr>
      <w:r w:rsidRPr="00C40A28">
        <w:rPr>
          <w:sz w:val="22"/>
          <w:szCs w:val="22"/>
        </w:rPr>
        <w:t xml:space="preserve">Fig 1. </w:t>
      </w:r>
      <w:r w:rsidRPr="00ED4BBB">
        <w:rPr>
          <w:b w:val="0"/>
          <w:bCs/>
          <w:sz w:val="22"/>
          <w:szCs w:val="22"/>
        </w:rPr>
        <w:t xml:space="preserve">Proportions of fatty acids in the de novo lipogenesis pathway. </w:t>
      </w:r>
      <w:r w:rsidRPr="00ED4BBB">
        <w:rPr>
          <w:b w:val="0"/>
          <w:sz w:val="22"/>
          <w:szCs w:val="22"/>
        </w:rPr>
        <w:t xml:space="preserve">Plots represent median (diamond) and </w:t>
      </w:r>
      <w:r w:rsidRPr="00ED4BBB">
        <w:rPr>
          <w:b w:val="0"/>
          <w:sz w:val="22"/>
          <w:szCs w:val="22"/>
          <w:lang w:eastAsia="ja-JP"/>
        </w:rPr>
        <w:t xml:space="preserve">the range of </w:t>
      </w:r>
      <w:r w:rsidRPr="00ED4BBB">
        <w:rPr>
          <w:b w:val="0"/>
          <w:sz w:val="22"/>
          <w:szCs w:val="22"/>
        </w:rPr>
        <w:t xml:space="preserve">10th to 90th percentiles (horizontal bar). </w:t>
      </w:r>
      <w:r w:rsidRPr="00ED4BBB">
        <w:rPr>
          <w:b w:val="0"/>
          <w:sz w:val="22"/>
          <w:szCs w:val="22"/>
          <w:lang w:eastAsia="ja-JP"/>
        </w:rPr>
        <w:t xml:space="preserve">see </w:t>
      </w:r>
      <w:r w:rsidRPr="00ED4BBB">
        <w:rPr>
          <w:b w:val="0"/>
          <w:sz w:val="22"/>
          <w:szCs w:val="22"/>
        </w:rPr>
        <w:t>Table 1 for cohort</w:t>
      </w:r>
      <w:r w:rsidRPr="00ED4BBB">
        <w:rPr>
          <w:b w:val="0"/>
          <w:sz w:val="22"/>
          <w:szCs w:val="22"/>
          <w:lang w:eastAsia="ja-JP"/>
        </w:rPr>
        <w:t xml:space="preserve"> names</w:t>
      </w:r>
      <w:r w:rsidRPr="00ED4BBB">
        <w:rPr>
          <w:b w:val="0"/>
          <w:sz w:val="22"/>
          <w:szCs w:val="22"/>
        </w:rPr>
        <w:t>. CE, cholesteryl ester; PL, phospholipid; RBC, red blood cell; US, United States.</w:t>
      </w:r>
    </w:p>
    <w:p w14:paraId="64143547" w14:textId="77777777" w:rsidR="00ED4BBB" w:rsidRDefault="00ED4BBB" w:rsidP="00ED4BBB">
      <w:pPr>
        <w:pStyle w:val="BodyTextIndent"/>
        <w:spacing w:line="480" w:lineRule="auto"/>
        <w:ind w:left="0" w:firstLine="0"/>
        <w:rPr>
          <w:b w:val="0"/>
          <w:sz w:val="22"/>
          <w:szCs w:val="22"/>
        </w:rPr>
      </w:pPr>
    </w:p>
    <w:p w14:paraId="280881CF" w14:textId="7DD16457" w:rsidR="00724172" w:rsidRPr="00C40A28" w:rsidRDefault="00A55EE0" w:rsidP="00ED4BBB">
      <w:pPr>
        <w:pStyle w:val="BodyTextIndent"/>
        <w:spacing w:line="480" w:lineRule="auto"/>
        <w:ind w:left="0" w:firstLine="360"/>
        <w:rPr>
          <w:rFonts w:ascii="Times New Roman" w:hAnsi="Times New Roman"/>
          <w:b w:val="0"/>
          <w:bCs/>
          <w:sz w:val="22"/>
          <w:szCs w:val="22"/>
          <w:lang w:val="en-US" w:eastAsia="ja-JP"/>
        </w:rPr>
      </w:pPr>
      <w:r w:rsidRPr="00C40A28">
        <w:rPr>
          <w:rFonts w:ascii="Times New Roman" w:hAnsi="Times New Roman"/>
          <w:b w:val="0"/>
          <w:bCs/>
          <w:sz w:val="22"/>
          <w:szCs w:val="22"/>
          <w:lang w:val="en-US" w:eastAsia="ja-JP"/>
        </w:rPr>
        <w:t xml:space="preserve">Correlations between fatty acids </w:t>
      </w:r>
      <w:r w:rsidR="00086095" w:rsidRPr="00C40A28">
        <w:rPr>
          <w:rFonts w:ascii="Times New Roman" w:hAnsi="Times New Roman"/>
          <w:b w:val="0"/>
          <w:bCs/>
          <w:sz w:val="22"/>
          <w:szCs w:val="22"/>
          <w:lang w:val="en-US" w:eastAsia="ja-JP"/>
        </w:rPr>
        <w:t>also varied</w:t>
      </w:r>
      <w:r w:rsidRPr="00C40A28">
        <w:rPr>
          <w:rFonts w:ascii="Times New Roman" w:hAnsi="Times New Roman"/>
          <w:b w:val="0"/>
          <w:bCs/>
          <w:sz w:val="22"/>
          <w:szCs w:val="22"/>
          <w:lang w:val="en-US" w:eastAsia="ja-JP"/>
        </w:rPr>
        <w:t xml:space="preserve"> by </w:t>
      </w:r>
      <w:r w:rsidR="00086095" w:rsidRPr="00C40A28">
        <w:rPr>
          <w:rFonts w:ascii="Times New Roman" w:hAnsi="Times New Roman"/>
          <w:b w:val="0"/>
          <w:bCs/>
          <w:sz w:val="22"/>
          <w:szCs w:val="22"/>
          <w:lang w:val="en-US" w:eastAsia="ja-JP"/>
        </w:rPr>
        <w:t>lipid compartment</w:t>
      </w:r>
      <w:r w:rsidRPr="00C40A28">
        <w:rPr>
          <w:rFonts w:ascii="Times New Roman" w:hAnsi="Times New Roman"/>
          <w:b w:val="0"/>
          <w:bCs/>
          <w:sz w:val="22"/>
          <w:szCs w:val="22"/>
          <w:lang w:val="en-US" w:eastAsia="ja-JP"/>
        </w:rPr>
        <w:t xml:space="preserve"> (</w:t>
      </w:r>
      <w:r w:rsidR="00DF5281" w:rsidRPr="00C40A28">
        <w:rPr>
          <w:rFonts w:ascii="Times New Roman" w:hAnsi="Times New Roman"/>
          <w:b w:val="0"/>
          <w:bCs/>
          <w:sz w:val="22"/>
          <w:szCs w:val="22"/>
          <w:lang w:val="en-US" w:eastAsia="ja-JP"/>
        </w:rPr>
        <w:t xml:space="preserve">S1 </w:t>
      </w:r>
      <w:r w:rsidRPr="00C40A28">
        <w:rPr>
          <w:rFonts w:ascii="Times New Roman" w:hAnsi="Times New Roman"/>
          <w:b w:val="0"/>
          <w:bCs/>
          <w:sz w:val="22"/>
          <w:szCs w:val="22"/>
          <w:lang w:val="en-US" w:eastAsia="ja-JP"/>
        </w:rPr>
        <w:t xml:space="preserve">Table). For example, </w:t>
      </w:r>
      <w:r w:rsidR="00E76B51" w:rsidRPr="00C40A28">
        <w:rPr>
          <w:rFonts w:ascii="Times New Roman" w:hAnsi="Times New Roman"/>
          <w:b w:val="0"/>
          <w:bCs/>
          <w:sz w:val="22"/>
          <w:szCs w:val="22"/>
          <w:lang w:val="en-US" w:eastAsia="ja-JP"/>
        </w:rPr>
        <w:t xml:space="preserve">in </w:t>
      </w:r>
      <w:r w:rsidRPr="00C40A28">
        <w:rPr>
          <w:rFonts w:ascii="Times New Roman" w:hAnsi="Times New Roman"/>
          <w:b w:val="0"/>
          <w:bCs/>
          <w:sz w:val="22"/>
          <w:szCs w:val="22"/>
          <w:lang w:val="en-US" w:eastAsia="ja-JP"/>
        </w:rPr>
        <w:t>phospholipids</w:t>
      </w:r>
      <w:r w:rsidR="00E76B51" w:rsidRPr="00C40A28">
        <w:rPr>
          <w:rFonts w:ascii="Times New Roman" w:hAnsi="Times New Roman"/>
          <w:b w:val="0"/>
          <w:bCs/>
          <w:sz w:val="22"/>
          <w:szCs w:val="22"/>
          <w:lang w:val="en-US" w:eastAsia="ja-JP"/>
        </w:rPr>
        <w:t>,</w:t>
      </w:r>
      <w:r w:rsidRPr="00C40A28">
        <w:rPr>
          <w:rFonts w:ascii="Times New Roman" w:hAnsi="Times New Roman"/>
          <w:b w:val="0"/>
          <w:bCs/>
          <w:sz w:val="22"/>
          <w:szCs w:val="22"/>
          <w:lang w:val="en-US" w:eastAsia="ja-JP"/>
        </w:rPr>
        <w:t xml:space="preserve"> 16:0 </w:t>
      </w:r>
      <w:r w:rsidR="00E76B51" w:rsidRPr="00C40A28">
        <w:rPr>
          <w:rFonts w:ascii="Times New Roman" w:hAnsi="Times New Roman"/>
          <w:b w:val="0"/>
          <w:bCs/>
          <w:sz w:val="22"/>
          <w:szCs w:val="22"/>
          <w:lang w:val="en-US" w:eastAsia="ja-JP"/>
        </w:rPr>
        <w:t xml:space="preserve">positively correlated </w:t>
      </w:r>
      <w:r w:rsidRPr="00C40A28">
        <w:rPr>
          <w:rFonts w:ascii="Times New Roman" w:hAnsi="Times New Roman"/>
          <w:b w:val="0"/>
          <w:bCs/>
          <w:sz w:val="22"/>
          <w:szCs w:val="22"/>
          <w:lang w:val="en-US" w:eastAsia="ja-JP"/>
        </w:rPr>
        <w:t>with 16:1n7 (weighted-average r=0.47) and 18:1n9 (r=0.23), but negative</w:t>
      </w:r>
      <w:r w:rsidR="00E76B51" w:rsidRPr="00C40A28">
        <w:rPr>
          <w:rFonts w:ascii="Times New Roman" w:hAnsi="Times New Roman"/>
          <w:b w:val="0"/>
          <w:bCs/>
          <w:sz w:val="22"/>
          <w:szCs w:val="22"/>
          <w:lang w:val="en-US" w:eastAsia="ja-JP"/>
        </w:rPr>
        <w:t xml:space="preserve">ly </w:t>
      </w:r>
      <w:r w:rsidRPr="00C40A28">
        <w:rPr>
          <w:rFonts w:ascii="Times New Roman" w:hAnsi="Times New Roman"/>
          <w:b w:val="0"/>
          <w:bCs/>
          <w:sz w:val="22"/>
          <w:szCs w:val="22"/>
          <w:lang w:val="en-US" w:eastAsia="ja-JP"/>
        </w:rPr>
        <w:t>with 18:0 (r=-0.63). By contrast, in cholesteryl ester</w:t>
      </w:r>
      <w:r w:rsidR="002170BC" w:rsidRPr="00C40A28">
        <w:rPr>
          <w:rFonts w:ascii="Times New Roman" w:hAnsi="Times New Roman"/>
          <w:b w:val="0"/>
          <w:bCs/>
          <w:sz w:val="22"/>
          <w:szCs w:val="22"/>
          <w:lang w:val="en-US" w:eastAsia="ja-JP"/>
        </w:rPr>
        <w:t>,</w:t>
      </w:r>
      <w:r w:rsidRPr="00C40A28">
        <w:rPr>
          <w:rFonts w:ascii="Times New Roman" w:hAnsi="Times New Roman"/>
          <w:b w:val="0"/>
          <w:bCs/>
          <w:sz w:val="22"/>
          <w:szCs w:val="22"/>
          <w:lang w:val="en-US" w:eastAsia="ja-JP"/>
        </w:rPr>
        <w:t xml:space="preserve"> triglycerides, </w:t>
      </w:r>
      <w:r w:rsidR="00FE7300" w:rsidRPr="00C40A28">
        <w:rPr>
          <w:rFonts w:ascii="Times New Roman" w:hAnsi="Times New Roman"/>
          <w:b w:val="0"/>
          <w:bCs/>
          <w:sz w:val="22"/>
          <w:szCs w:val="22"/>
          <w:lang w:val="en-US" w:eastAsia="ja-JP"/>
        </w:rPr>
        <w:t xml:space="preserve">and adipose tissue, </w:t>
      </w:r>
      <w:r w:rsidRPr="00C40A28">
        <w:rPr>
          <w:rFonts w:ascii="Times New Roman" w:hAnsi="Times New Roman"/>
          <w:b w:val="0"/>
          <w:bCs/>
          <w:sz w:val="22"/>
          <w:szCs w:val="22"/>
          <w:lang w:val="en-US" w:eastAsia="ja-JP"/>
        </w:rPr>
        <w:t>the correlation between 16:0 and 18:0 was positive (r=0.39</w:t>
      </w:r>
      <w:r w:rsidR="002170BC" w:rsidRPr="00C40A28">
        <w:rPr>
          <w:rFonts w:ascii="Times New Roman" w:hAnsi="Times New Roman"/>
          <w:b w:val="0"/>
          <w:bCs/>
          <w:sz w:val="22"/>
          <w:szCs w:val="22"/>
          <w:lang w:val="en-US" w:eastAsia="ja-JP"/>
        </w:rPr>
        <w:t>, 0.39,</w:t>
      </w:r>
      <w:r w:rsidRPr="00C40A28">
        <w:rPr>
          <w:rFonts w:ascii="Times New Roman" w:hAnsi="Times New Roman"/>
          <w:b w:val="0"/>
          <w:bCs/>
          <w:sz w:val="22"/>
          <w:szCs w:val="22"/>
          <w:lang w:val="en-US" w:eastAsia="ja-JP"/>
        </w:rPr>
        <w:t xml:space="preserve"> and 0.53, respectively).</w:t>
      </w:r>
      <w:r w:rsidR="00852636" w:rsidRPr="00C40A28">
        <w:rPr>
          <w:rFonts w:ascii="Times New Roman" w:hAnsi="Times New Roman"/>
          <w:b w:val="0"/>
          <w:bCs/>
          <w:sz w:val="22"/>
          <w:szCs w:val="22"/>
          <w:lang w:val="en-US" w:eastAsia="ja-JP"/>
        </w:rPr>
        <w:br/>
      </w:r>
    </w:p>
    <w:p w14:paraId="7A642A1F" w14:textId="6ADACC38" w:rsidR="00A74C75" w:rsidRPr="00C40A28" w:rsidRDefault="00A74C75" w:rsidP="00A74C75">
      <w:pPr>
        <w:pStyle w:val="BodyTextIndent"/>
        <w:spacing w:line="480" w:lineRule="auto"/>
        <w:rPr>
          <w:rFonts w:ascii="Times New Roman" w:hAnsi="Times New Roman"/>
          <w:b w:val="0"/>
          <w:bCs/>
          <w:i/>
          <w:sz w:val="22"/>
          <w:szCs w:val="22"/>
          <w:lang w:val="en-US" w:eastAsia="ja-JP"/>
        </w:rPr>
      </w:pPr>
      <w:r w:rsidRPr="00C40A28">
        <w:rPr>
          <w:rFonts w:ascii="Times New Roman" w:hAnsi="Times New Roman"/>
          <w:b w:val="0"/>
          <w:bCs/>
          <w:i/>
          <w:sz w:val="22"/>
          <w:szCs w:val="22"/>
          <w:lang w:val="en-US" w:eastAsia="ja-JP"/>
        </w:rPr>
        <w:t>Prospective associations</w:t>
      </w:r>
      <w:r w:rsidR="00E76B51" w:rsidRPr="00C40A28">
        <w:rPr>
          <w:rFonts w:ascii="Times New Roman" w:hAnsi="Times New Roman"/>
          <w:b w:val="0"/>
          <w:bCs/>
          <w:i/>
          <w:sz w:val="22"/>
          <w:szCs w:val="22"/>
          <w:lang w:val="en-US" w:eastAsia="ja-JP"/>
        </w:rPr>
        <w:t xml:space="preserve"> with incident T2D</w:t>
      </w:r>
    </w:p>
    <w:p w14:paraId="77E5DF0F" w14:textId="47FE5210" w:rsidR="00BE47A1" w:rsidRPr="00C40A28" w:rsidRDefault="00A74C75" w:rsidP="00924442">
      <w:pPr>
        <w:pStyle w:val="BodyTextIndent"/>
        <w:spacing w:line="480" w:lineRule="auto"/>
        <w:ind w:left="0" w:firstLine="567"/>
        <w:rPr>
          <w:rFonts w:ascii="Times New Roman" w:hAnsi="Times New Roman"/>
          <w:b w:val="0"/>
          <w:bCs/>
          <w:sz w:val="22"/>
          <w:szCs w:val="22"/>
          <w:lang w:val="en-US" w:eastAsia="ja-JP"/>
        </w:rPr>
      </w:pPr>
      <w:r w:rsidRPr="00C40A28">
        <w:rPr>
          <w:rFonts w:ascii="Times New Roman" w:hAnsi="Times New Roman"/>
          <w:b w:val="0"/>
          <w:bCs/>
          <w:sz w:val="22"/>
          <w:szCs w:val="22"/>
          <w:lang w:val="en-US" w:eastAsia="ja-JP"/>
        </w:rPr>
        <w:t xml:space="preserve">In </w:t>
      </w:r>
      <w:r w:rsidR="00A17346" w:rsidRPr="00C40A28">
        <w:rPr>
          <w:rFonts w:ascii="Times New Roman" w:hAnsi="Times New Roman"/>
          <w:b w:val="0"/>
          <w:bCs/>
          <w:sz w:val="22"/>
          <w:szCs w:val="22"/>
          <w:lang w:val="en-US" w:eastAsia="ja-JP"/>
        </w:rPr>
        <w:t xml:space="preserve">pooled </w:t>
      </w:r>
      <w:r w:rsidRPr="00C40A28">
        <w:rPr>
          <w:rFonts w:ascii="Times New Roman" w:hAnsi="Times New Roman"/>
          <w:b w:val="0"/>
          <w:bCs/>
          <w:sz w:val="22"/>
          <w:szCs w:val="22"/>
          <w:lang w:val="en-US" w:eastAsia="ja-JP"/>
        </w:rPr>
        <w:t>analys</w:t>
      </w:r>
      <w:r w:rsidR="00A17346" w:rsidRPr="00C40A28">
        <w:rPr>
          <w:rFonts w:ascii="Times New Roman" w:hAnsi="Times New Roman"/>
          <w:b w:val="0"/>
          <w:bCs/>
          <w:sz w:val="22"/>
          <w:szCs w:val="22"/>
          <w:lang w:val="en-US" w:eastAsia="ja-JP"/>
        </w:rPr>
        <w:t>e</w:t>
      </w:r>
      <w:r w:rsidRPr="00C40A28">
        <w:rPr>
          <w:rFonts w:ascii="Times New Roman" w:hAnsi="Times New Roman"/>
          <w:b w:val="0"/>
          <w:bCs/>
          <w:sz w:val="22"/>
          <w:szCs w:val="22"/>
          <w:lang w:val="en-US" w:eastAsia="ja-JP"/>
        </w:rPr>
        <w:t xml:space="preserve">s </w:t>
      </w:r>
      <w:r w:rsidR="007E3C34" w:rsidRPr="00C40A28">
        <w:rPr>
          <w:rFonts w:ascii="Times New Roman" w:hAnsi="Times New Roman"/>
          <w:b w:val="0"/>
          <w:bCs/>
          <w:sz w:val="22"/>
          <w:szCs w:val="22"/>
          <w:lang w:val="en-US" w:eastAsia="ja-JP"/>
        </w:rPr>
        <w:t xml:space="preserve">for each of </w:t>
      </w:r>
      <w:r w:rsidR="00FC40B3" w:rsidRPr="00C40A28">
        <w:rPr>
          <w:rFonts w:ascii="Times New Roman" w:hAnsi="Times New Roman"/>
          <w:b w:val="0"/>
          <w:bCs/>
          <w:sz w:val="22"/>
          <w:szCs w:val="22"/>
          <w:lang w:val="en-US" w:eastAsia="ja-JP"/>
        </w:rPr>
        <w:t>the four fatty acids</w:t>
      </w:r>
      <w:r w:rsidR="00894D34" w:rsidRPr="00C40A28">
        <w:rPr>
          <w:rFonts w:ascii="Times New Roman" w:hAnsi="Times New Roman"/>
          <w:b w:val="0"/>
          <w:bCs/>
          <w:sz w:val="22"/>
          <w:szCs w:val="22"/>
          <w:lang w:val="en-US" w:eastAsia="ja-JP"/>
        </w:rPr>
        <w:t xml:space="preserve"> evaluating a total of </w:t>
      </w:r>
      <w:r w:rsidR="00894D34" w:rsidRPr="00C40A28">
        <w:rPr>
          <w:rFonts w:ascii="Times New Roman" w:hAnsi="Times New Roman"/>
          <w:b w:val="0"/>
          <w:sz w:val="22"/>
          <w:szCs w:val="22"/>
          <w:shd w:val="clear" w:color="auto" w:fill="FFFFFF"/>
          <w:lang w:val="en-US" w:eastAsia="ja-JP"/>
        </w:rPr>
        <w:t>65,225 participants and 15,383 incident T2D cases</w:t>
      </w:r>
      <w:r w:rsidRPr="00C40A28">
        <w:rPr>
          <w:rFonts w:ascii="Times New Roman" w:hAnsi="Times New Roman"/>
          <w:b w:val="0"/>
          <w:bCs/>
          <w:sz w:val="22"/>
          <w:szCs w:val="22"/>
          <w:lang w:val="en-US" w:eastAsia="ja-JP"/>
        </w:rPr>
        <w:t xml:space="preserve">, significant positive associations were </w:t>
      </w:r>
      <w:r w:rsidR="00A17346" w:rsidRPr="00C40A28">
        <w:rPr>
          <w:rFonts w:ascii="Times New Roman" w:hAnsi="Times New Roman"/>
          <w:b w:val="0"/>
          <w:bCs/>
          <w:sz w:val="22"/>
          <w:szCs w:val="22"/>
          <w:lang w:val="en-US" w:eastAsia="ja-JP"/>
        </w:rPr>
        <w:t xml:space="preserve">identified, whether </w:t>
      </w:r>
      <w:r w:rsidR="00FC40B3" w:rsidRPr="00C40A28">
        <w:rPr>
          <w:rFonts w:ascii="Times New Roman" w:hAnsi="Times New Roman"/>
          <w:b w:val="0"/>
          <w:bCs/>
          <w:sz w:val="22"/>
          <w:szCs w:val="22"/>
          <w:lang w:val="en-US" w:eastAsia="ja-JP"/>
        </w:rPr>
        <w:t xml:space="preserve">before </w:t>
      </w:r>
      <w:r w:rsidR="00C77216" w:rsidRPr="00C40A28">
        <w:rPr>
          <w:rFonts w:ascii="Times New Roman" w:hAnsi="Times New Roman"/>
          <w:b w:val="0"/>
          <w:bCs/>
          <w:sz w:val="22"/>
          <w:szCs w:val="22"/>
          <w:lang w:val="en-US" w:eastAsia="ja-JP"/>
        </w:rPr>
        <w:t>(</w:t>
      </w:r>
      <w:r w:rsidR="00857660" w:rsidRPr="00C40A28">
        <w:rPr>
          <w:rFonts w:ascii="Times New Roman" w:hAnsi="Times New Roman"/>
          <w:b w:val="0"/>
          <w:bCs/>
          <w:sz w:val="22"/>
          <w:szCs w:val="22"/>
          <w:lang w:val="en-US" w:eastAsia="ja-JP"/>
        </w:rPr>
        <w:t xml:space="preserve">S1 </w:t>
      </w:r>
      <w:r w:rsidR="00C77216" w:rsidRPr="00C40A28">
        <w:rPr>
          <w:rFonts w:ascii="Times New Roman" w:hAnsi="Times New Roman"/>
          <w:b w:val="0"/>
          <w:bCs/>
          <w:sz w:val="22"/>
          <w:szCs w:val="22"/>
          <w:lang w:val="en-US" w:eastAsia="ja-JP"/>
        </w:rPr>
        <w:t xml:space="preserve">Fig) </w:t>
      </w:r>
      <w:r w:rsidR="00A17346" w:rsidRPr="00C40A28">
        <w:rPr>
          <w:rFonts w:ascii="Times New Roman" w:hAnsi="Times New Roman"/>
          <w:b w:val="0"/>
          <w:bCs/>
          <w:sz w:val="22"/>
          <w:szCs w:val="22"/>
          <w:lang w:val="en-US" w:eastAsia="ja-JP"/>
        </w:rPr>
        <w:t xml:space="preserve">or </w:t>
      </w:r>
      <w:r w:rsidR="00FC40B3" w:rsidRPr="00C40A28">
        <w:rPr>
          <w:rFonts w:ascii="Times New Roman" w:hAnsi="Times New Roman"/>
          <w:b w:val="0"/>
          <w:bCs/>
          <w:sz w:val="22"/>
          <w:szCs w:val="22"/>
          <w:lang w:val="en-US" w:eastAsia="ja-JP"/>
        </w:rPr>
        <w:t xml:space="preserve">after </w:t>
      </w:r>
      <w:r w:rsidRPr="00C40A28">
        <w:rPr>
          <w:rFonts w:ascii="Times New Roman" w:hAnsi="Times New Roman"/>
          <w:b w:val="0"/>
          <w:bCs/>
          <w:sz w:val="22"/>
          <w:szCs w:val="22"/>
          <w:lang w:val="en-US" w:eastAsia="ja-JP"/>
        </w:rPr>
        <w:t xml:space="preserve">adjustment </w:t>
      </w:r>
      <w:r w:rsidR="00DF5281" w:rsidRPr="00C40A28">
        <w:rPr>
          <w:rFonts w:ascii="Times New Roman" w:hAnsi="Times New Roman"/>
          <w:b w:val="0"/>
          <w:bCs/>
          <w:sz w:val="22"/>
          <w:szCs w:val="22"/>
          <w:lang w:val="en-US" w:eastAsia="ja-JP"/>
        </w:rPr>
        <w:t>(Fig</w:t>
      </w:r>
      <w:r w:rsidR="00C77216" w:rsidRPr="00C40A28">
        <w:rPr>
          <w:rFonts w:ascii="Times New Roman" w:hAnsi="Times New Roman"/>
          <w:b w:val="0"/>
          <w:bCs/>
          <w:sz w:val="22"/>
          <w:szCs w:val="22"/>
          <w:lang w:val="en-US" w:eastAsia="ja-JP"/>
        </w:rPr>
        <w:t xml:space="preserve"> 2) </w:t>
      </w:r>
      <w:r w:rsidRPr="00C40A28">
        <w:rPr>
          <w:rFonts w:ascii="Times New Roman" w:hAnsi="Times New Roman"/>
          <w:b w:val="0"/>
          <w:bCs/>
          <w:sz w:val="22"/>
          <w:szCs w:val="22"/>
          <w:lang w:val="en-US" w:eastAsia="ja-JP"/>
        </w:rPr>
        <w:t xml:space="preserve">for </w:t>
      </w:r>
      <w:r w:rsidR="007E3C34" w:rsidRPr="00C40A28">
        <w:rPr>
          <w:rFonts w:ascii="Times New Roman" w:hAnsi="Times New Roman"/>
          <w:b w:val="0"/>
          <w:bCs/>
          <w:sz w:val="22"/>
          <w:szCs w:val="22"/>
          <w:lang w:val="en-US" w:eastAsia="ja-JP"/>
        </w:rPr>
        <w:t>adiposity measures.</w:t>
      </w:r>
      <w:r w:rsidR="00FC40B3" w:rsidRPr="00C40A28">
        <w:rPr>
          <w:rFonts w:ascii="Times New Roman" w:hAnsi="Times New Roman"/>
          <w:b w:val="0"/>
          <w:bCs/>
          <w:sz w:val="22"/>
          <w:szCs w:val="22"/>
          <w:lang w:val="en-US" w:eastAsia="ja-JP"/>
        </w:rPr>
        <w:t xml:space="preserve"> </w:t>
      </w:r>
      <w:r w:rsidR="00B36D7B" w:rsidRPr="00C40A28">
        <w:rPr>
          <w:rFonts w:ascii="Times New Roman" w:hAnsi="Times New Roman"/>
          <w:b w:val="0"/>
          <w:bCs/>
          <w:sz w:val="22"/>
          <w:szCs w:val="22"/>
          <w:lang w:val="en-US" w:eastAsia="ja-JP"/>
        </w:rPr>
        <w:t xml:space="preserve">For example, </w:t>
      </w:r>
      <w:r w:rsidR="00FC40B3" w:rsidRPr="00C40A28">
        <w:rPr>
          <w:rFonts w:ascii="Times New Roman" w:hAnsi="Times New Roman"/>
          <w:b w:val="0"/>
          <w:bCs/>
          <w:sz w:val="22"/>
          <w:szCs w:val="22"/>
          <w:lang w:val="en-US" w:eastAsia="ja-JP"/>
        </w:rPr>
        <w:t xml:space="preserve">RRs (95% CI) per the </w:t>
      </w:r>
      <w:r w:rsidR="00B1650A" w:rsidRPr="00C40A28">
        <w:rPr>
          <w:rFonts w:ascii="Times New Roman" w:hAnsi="Times New Roman"/>
          <w:b w:val="0"/>
          <w:bCs/>
          <w:sz w:val="22"/>
          <w:szCs w:val="22"/>
          <w:lang w:val="en-US" w:eastAsia="ja-JP"/>
        </w:rPr>
        <w:t>cohort-specific midpoints of the top and bottom quintiles</w:t>
      </w:r>
      <w:r w:rsidR="00FC40B3" w:rsidRPr="00C40A28">
        <w:rPr>
          <w:rFonts w:ascii="Times New Roman" w:hAnsi="Times New Roman"/>
          <w:b w:val="0"/>
          <w:bCs/>
          <w:sz w:val="22"/>
          <w:szCs w:val="22"/>
          <w:lang w:val="en-US" w:eastAsia="ja-JP"/>
        </w:rPr>
        <w:t xml:space="preserve"> </w:t>
      </w:r>
      <w:r w:rsidR="002170BC" w:rsidRPr="00C40A28">
        <w:rPr>
          <w:rFonts w:ascii="Times New Roman" w:hAnsi="Times New Roman"/>
          <w:b w:val="0"/>
          <w:bCs/>
          <w:sz w:val="22"/>
          <w:szCs w:val="22"/>
          <w:lang w:val="en-US" w:eastAsia="ja-JP"/>
        </w:rPr>
        <w:t>for</w:t>
      </w:r>
      <w:r w:rsidR="00C77216" w:rsidRPr="00C40A28">
        <w:rPr>
          <w:rFonts w:ascii="Times New Roman" w:hAnsi="Times New Roman"/>
          <w:b w:val="0"/>
          <w:bCs/>
          <w:sz w:val="22"/>
          <w:szCs w:val="22"/>
          <w:lang w:val="en-US" w:eastAsia="ja-JP"/>
        </w:rPr>
        <w:t xml:space="preserve"> 16:0 </w:t>
      </w:r>
      <w:r w:rsidR="00FC40B3" w:rsidRPr="00C40A28">
        <w:rPr>
          <w:rFonts w:ascii="Times New Roman" w:hAnsi="Times New Roman"/>
          <w:b w:val="0"/>
          <w:bCs/>
          <w:sz w:val="22"/>
          <w:szCs w:val="22"/>
          <w:lang w:val="en-US" w:eastAsia="ja-JP"/>
        </w:rPr>
        <w:t>were 1.63 (1.50, 1.76) and 1.53 (1.41, 1.66)</w:t>
      </w:r>
      <w:r w:rsidR="00C77216" w:rsidRPr="00C40A28">
        <w:rPr>
          <w:rFonts w:ascii="Times New Roman" w:hAnsi="Times New Roman"/>
          <w:b w:val="0"/>
          <w:bCs/>
          <w:sz w:val="22"/>
          <w:szCs w:val="22"/>
          <w:lang w:val="en-US" w:eastAsia="ja-JP"/>
        </w:rPr>
        <w:t xml:space="preserve"> with and without adjustment for adiposity,</w:t>
      </w:r>
      <w:r w:rsidR="00FC40B3" w:rsidRPr="00C40A28">
        <w:rPr>
          <w:rFonts w:ascii="Times New Roman" w:hAnsi="Times New Roman"/>
          <w:b w:val="0"/>
          <w:bCs/>
          <w:sz w:val="22"/>
          <w:szCs w:val="22"/>
          <w:lang w:val="en-US" w:eastAsia="ja-JP"/>
        </w:rPr>
        <w:t xml:space="preserve"> respectively</w:t>
      </w:r>
      <w:r w:rsidR="00B36D7B" w:rsidRPr="00C40A28">
        <w:rPr>
          <w:rFonts w:ascii="Times New Roman" w:hAnsi="Times New Roman"/>
          <w:b w:val="0"/>
          <w:bCs/>
          <w:sz w:val="22"/>
          <w:szCs w:val="22"/>
          <w:lang w:val="en-US" w:eastAsia="ja-JP"/>
        </w:rPr>
        <w:t xml:space="preserve"> (p&lt;0.001 for each). For 16:1n7, 18:0, and 18:1n9, similar or weaker significantly positive associations were observed.</w:t>
      </w:r>
      <w:r w:rsidRPr="00C40A28">
        <w:rPr>
          <w:rFonts w:ascii="Times New Roman" w:hAnsi="Times New Roman"/>
          <w:b w:val="0"/>
          <w:bCs/>
          <w:sz w:val="22"/>
          <w:szCs w:val="22"/>
          <w:lang w:val="en-US" w:eastAsia="ja-JP"/>
        </w:rPr>
        <w:t xml:space="preserve"> </w:t>
      </w:r>
    </w:p>
    <w:p w14:paraId="26D3E54B" w14:textId="6340559B" w:rsidR="00DF5281" w:rsidRPr="00C40A28" w:rsidRDefault="00DF5281">
      <w:pPr>
        <w:spacing w:after="200" w:line="276" w:lineRule="auto"/>
        <w:rPr>
          <w:b/>
          <w:bCs/>
          <w:sz w:val="22"/>
          <w:szCs w:val="22"/>
          <w:lang w:val="en-US" w:eastAsia="ja-JP"/>
        </w:rPr>
      </w:pPr>
    </w:p>
    <w:p w14:paraId="077EAC7D" w14:textId="313A9298" w:rsidR="00DF5281" w:rsidRPr="00C40A28" w:rsidRDefault="00DF5281" w:rsidP="00DF5281">
      <w:pPr>
        <w:pStyle w:val="BodyTextIndent"/>
        <w:spacing w:line="480" w:lineRule="auto"/>
        <w:ind w:left="0" w:firstLine="0"/>
        <w:rPr>
          <w:rFonts w:ascii="Times New Roman" w:hAnsi="Times New Roman"/>
          <w:b w:val="0"/>
          <w:bCs/>
          <w:sz w:val="22"/>
          <w:szCs w:val="22"/>
          <w:lang w:val="en-US" w:eastAsia="ja-JP"/>
        </w:rPr>
      </w:pPr>
      <w:r w:rsidRPr="00C40A28">
        <w:rPr>
          <w:rFonts w:ascii="Times New Roman" w:hAnsi="Times New Roman"/>
          <w:sz w:val="22"/>
          <w:szCs w:val="22"/>
        </w:rPr>
        <w:lastRenderedPageBreak/>
        <w:t>Fig 2.</w:t>
      </w:r>
      <w:r w:rsidRPr="00C40A28">
        <w:rPr>
          <w:rFonts w:ascii="Times New Roman" w:hAnsi="Times New Roman"/>
          <w:b w:val="0"/>
          <w:sz w:val="22"/>
          <w:szCs w:val="22"/>
        </w:rPr>
        <w:t xml:space="preserve"> </w:t>
      </w:r>
      <w:r w:rsidR="0028163A" w:rsidRPr="006A5966">
        <w:rPr>
          <w:rStyle w:val="Strong"/>
          <w:rFonts w:ascii="Times New Roman" w:hAnsi="Times New Roman"/>
          <w:sz w:val="22"/>
          <w:szCs w:val="22"/>
        </w:rPr>
        <w:t>A</w:t>
      </w:r>
      <w:r w:rsidRPr="006A5966">
        <w:rPr>
          <w:rStyle w:val="Strong"/>
          <w:rFonts w:ascii="Times New Roman" w:hAnsi="Times New Roman"/>
          <w:sz w:val="22"/>
          <w:szCs w:val="22"/>
        </w:rPr>
        <w:t>ssociations of fatty acid</w:t>
      </w:r>
      <w:r w:rsidRPr="006A5966">
        <w:rPr>
          <w:rStyle w:val="Strong"/>
          <w:rFonts w:ascii="Times New Roman" w:hAnsi="Times New Roman"/>
          <w:sz w:val="22"/>
          <w:szCs w:val="22"/>
          <w:lang w:eastAsia="ja-JP"/>
        </w:rPr>
        <w:t xml:space="preserve">s in the de novo lipogenesis (DNL) pathway </w:t>
      </w:r>
      <w:r w:rsidRPr="006A5966">
        <w:rPr>
          <w:rStyle w:val="Strong"/>
          <w:rFonts w:ascii="Times New Roman" w:hAnsi="Times New Roman"/>
          <w:sz w:val="22"/>
          <w:szCs w:val="22"/>
        </w:rPr>
        <w:t xml:space="preserve">with the risk of </w:t>
      </w:r>
      <w:r w:rsidRPr="006A5966">
        <w:rPr>
          <w:rStyle w:val="Strong"/>
          <w:rFonts w:ascii="Times New Roman" w:hAnsi="Times New Roman"/>
          <w:sz w:val="22"/>
          <w:szCs w:val="22"/>
          <w:lang w:eastAsia="ja-JP"/>
        </w:rPr>
        <w:t xml:space="preserve">developing </w:t>
      </w:r>
      <w:r w:rsidRPr="006A5966">
        <w:rPr>
          <w:rStyle w:val="Strong"/>
          <w:rFonts w:ascii="Times New Roman" w:hAnsi="Times New Roman"/>
          <w:sz w:val="22"/>
          <w:szCs w:val="22"/>
        </w:rPr>
        <w:t>type 2 diabetes</w:t>
      </w:r>
      <w:r w:rsidRPr="006A5966">
        <w:rPr>
          <w:rFonts w:ascii="Times New Roman" w:hAnsi="Times New Roman"/>
          <w:sz w:val="22"/>
          <w:szCs w:val="22"/>
        </w:rPr>
        <w:t>.</w:t>
      </w:r>
      <w:r w:rsidRPr="00C40A28">
        <w:rPr>
          <w:rFonts w:ascii="Times New Roman" w:hAnsi="Times New Roman"/>
          <w:b w:val="0"/>
          <w:sz w:val="22"/>
          <w:szCs w:val="22"/>
        </w:rPr>
        <w:t xml:space="preserve"> Relative risk (RR) and 95% confidence intervals (95% CI) </w:t>
      </w:r>
      <w:r w:rsidR="00B65A47">
        <w:rPr>
          <w:rFonts w:ascii="Times New Roman" w:hAnsi="Times New Roman"/>
          <w:b w:val="0"/>
          <w:sz w:val="22"/>
          <w:szCs w:val="22"/>
        </w:rPr>
        <w:t xml:space="preserve">are presented in the scale </w:t>
      </w:r>
      <w:r w:rsidRPr="00C40A28">
        <w:rPr>
          <w:rFonts w:ascii="Times New Roman" w:hAnsi="Times New Roman"/>
          <w:b w:val="0"/>
          <w:sz w:val="22"/>
          <w:szCs w:val="22"/>
        </w:rPr>
        <w:t xml:space="preserve">per </w:t>
      </w:r>
      <w:r w:rsidR="00B65A47">
        <w:rPr>
          <w:rFonts w:ascii="Times New Roman" w:hAnsi="Times New Roman"/>
          <w:b w:val="0"/>
          <w:bCs/>
          <w:sz w:val="22"/>
          <w:szCs w:val="22"/>
          <w:lang w:eastAsia="ja-JP"/>
        </w:rPr>
        <w:t>study</w:t>
      </w:r>
      <w:r w:rsidRPr="00C40A28">
        <w:rPr>
          <w:rFonts w:ascii="Times New Roman" w:hAnsi="Times New Roman"/>
          <w:b w:val="0"/>
          <w:bCs/>
          <w:sz w:val="22"/>
          <w:szCs w:val="22"/>
          <w:lang w:eastAsia="ja-JP"/>
        </w:rPr>
        <w:t xml:space="preserve">-specific range from the </w:t>
      </w:r>
      <w:r w:rsidR="00B65A47">
        <w:rPr>
          <w:rFonts w:ascii="Times New Roman" w:hAnsi="Times New Roman"/>
          <w:b w:val="0"/>
          <w:bCs/>
          <w:sz w:val="22"/>
          <w:szCs w:val="22"/>
          <w:lang w:eastAsia="ja-JP"/>
        </w:rPr>
        <w:t xml:space="preserve">midpoints of the first and fifth quintile groups (i.e. </w:t>
      </w:r>
      <w:r w:rsidRPr="00C40A28">
        <w:rPr>
          <w:rFonts w:ascii="Times New Roman" w:hAnsi="Times New Roman"/>
          <w:b w:val="0"/>
          <w:bCs/>
          <w:sz w:val="22"/>
          <w:szCs w:val="22"/>
          <w:lang w:eastAsia="ja-JP"/>
        </w:rPr>
        <w:t>10th to 90th percentiles</w:t>
      </w:r>
      <w:r w:rsidR="00B65A47">
        <w:rPr>
          <w:rFonts w:ascii="Times New Roman" w:hAnsi="Times New Roman"/>
          <w:b w:val="0"/>
          <w:bCs/>
          <w:sz w:val="22"/>
          <w:szCs w:val="22"/>
          <w:lang w:eastAsia="ja-JP"/>
        </w:rPr>
        <w:t>)</w:t>
      </w:r>
      <w:r w:rsidRPr="00C40A28">
        <w:rPr>
          <w:rFonts w:ascii="Times New Roman" w:hAnsi="Times New Roman"/>
          <w:b w:val="0"/>
          <w:sz w:val="22"/>
          <w:szCs w:val="22"/>
        </w:rPr>
        <w:t>: dots from individual studies and diamonds as summary estimates</w:t>
      </w:r>
      <w:r w:rsidR="00B65A47">
        <w:rPr>
          <w:rFonts w:ascii="Times New Roman" w:hAnsi="Times New Roman"/>
          <w:b w:val="0"/>
          <w:sz w:val="22"/>
          <w:szCs w:val="22"/>
        </w:rPr>
        <w:t xml:space="preserve"> meta-analyzed</w:t>
      </w:r>
      <w:r w:rsidRPr="00C40A28">
        <w:rPr>
          <w:rFonts w:ascii="Times New Roman" w:hAnsi="Times New Roman"/>
          <w:b w:val="0"/>
          <w:sz w:val="22"/>
          <w:szCs w:val="22"/>
        </w:rPr>
        <w:t xml:space="preserve">. The </w:t>
      </w:r>
      <w:r w:rsidRPr="00C40A28">
        <w:rPr>
          <w:rFonts w:ascii="Times New Roman" w:hAnsi="Times New Roman"/>
          <w:b w:val="0"/>
          <w:sz w:val="22"/>
          <w:szCs w:val="22"/>
          <w:lang w:eastAsia="ja-JP"/>
        </w:rPr>
        <w:t xml:space="preserve">sizes of the </w:t>
      </w:r>
      <w:r w:rsidR="00B65A47">
        <w:rPr>
          <w:rFonts w:ascii="Times New Roman" w:hAnsi="Times New Roman"/>
          <w:b w:val="0"/>
          <w:sz w:val="22"/>
          <w:szCs w:val="22"/>
          <w:lang w:eastAsia="ja-JP"/>
        </w:rPr>
        <w:t xml:space="preserve">squares of point estimates </w:t>
      </w:r>
      <w:r w:rsidRPr="00C40A28">
        <w:rPr>
          <w:rFonts w:ascii="Times New Roman" w:hAnsi="Times New Roman"/>
          <w:b w:val="0"/>
          <w:sz w:val="22"/>
          <w:szCs w:val="22"/>
          <w:lang w:eastAsia="ja-JP"/>
        </w:rPr>
        <w:t>represent relative contributions of each cohort to each summary estimate</w:t>
      </w:r>
      <w:r w:rsidR="00B65A47">
        <w:rPr>
          <w:rFonts w:ascii="Times New Roman" w:hAnsi="Times New Roman"/>
          <w:b w:val="0"/>
          <w:sz w:val="22"/>
          <w:szCs w:val="22"/>
          <w:lang w:eastAsia="ja-JP"/>
        </w:rPr>
        <w:t xml:space="preserve"> (% weight)</w:t>
      </w:r>
      <w:r w:rsidRPr="00C40A28">
        <w:rPr>
          <w:rFonts w:ascii="Times New Roman" w:hAnsi="Times New Roman"/>
          <w:b w:val="0"/>
          <w:sz w:val="22"/>
          <w:szCs w:val="22"/>
          <w:lang w:eastAsia="ja-JP"/>
        </w:rPr>
        <w:t xml:space="preserve">. </w:t>
      </w:r>
      <w:r w:rsidRPr="00C40A28">
        <w:rPr>
          <w:rFonts w:ascii="Times New Roman" w:hAnsi="Times New Roman"/>
          <w:b w:val="0"/>
          <w:sz w:val="22"/>
          <w:szCs w:val="22"/>
        </w:rPr>
        <w:t>Each cohort-specific association was assessed with multivaria</w:t>
      </w:r>
      <w:r w:rsidRPr="00C40A28">
        <w:rPr>
          <w:rFonts w:ascii="Times New Roman" w:eastAsiaTheme="minorEastAsia" w:hAnsi="Times New Roman"/>
          <w:b w:val="0"/>
          <w:sz w:val="22"/>
          <w:szCs w:val="22"/>
          <w:lang w:eastAsia="ja-JP"/>
        </w:rPr>
        <w:t>ble</w:t>
      </w:r>
      <w:r w:rsidRPr="00C40A28">
        <w:rPr>
          <w:rFonts w:ascii="Times New Roman" w:hAnsi="Times New Roman"/>
          <w:b w:val="0"/>
          <w:sz w:val="22"/>
          <w:szCs w:val="22"/>
        </w:rPr>
        <w:t xml:space="preserve">-adjusted regression controlling for field site (if appropriate), </w:t>
      </w:r>
      <w:r w:rsidR="00B65A47" w:rsidRPr="00C40A28">
        <w:rPr>
          <w:rFonts w:ascii="Times New Roman" w:hAnsi="Times New Roman"/>
          <w:b w:val="0"/>
          <w:sz w:val="22"/>
          <w:szCs w:val="22"/>
        </w:rPr>
        <w:t>sex, age</w:t>
      </w:r>
      <w:r w:rsidR="00B65A47" w:rsidRPr="00C40A28">
        <w:rPr>
          <w:rFonts w:ascii="Times New Roman" w:eastAsiaTheme="minorEastAsia" w:hAnsi="Times New Roman"/>
          <w:b w:val="0"/>
          <w:sz w:val="22"/>
          <w:szCs w:val="22"/>
          <w:lang w:eastAsia="ja-JP"/>
        </w:rPr>
        <w:t xml:space="preserve">, </w:t>
      </w:r>
      <w:r w:rsidRPr="00C40A28">
        <w:rPr>
          <w:rFonts w:ascii="Times New Roman" w:hAnsi="Times New Roman"/>
          <w:b w:val="0"/>
          <w:sz w:val="22"/>
          <w:szCs w:val="22"/>
        </w:rPr>
        <w:t>race</w:t>
      </w:r>
      <w:r w:rsidR="00B65A47">
        <w:rPr>
          <w:rFonts w:ascii="Times New Roman" w:hAnsi="Times New Roman"/>
          <w:b w:val="0"/>
          <w:sz w:val="22"/>
          <w:szCs w:val="22"/>
        </w:rPr>
        <w:t>/ethnicity</w:t>
      </w:r>
      <w:r w:rsidRPr="00C40A28">
        <w:rPr>
          <w:rFonts w:ascii="Times New Roman" w:hAnsi="Times New Roman"/>
          <w:b w:val="0"/>
          <w:sz w:val="22"/>
          <w:szCs w:val="22"/>
        </w:rPr>
        <w:t xml:space="preserve">, socioeconomic </w:t>
      </w:r>
      <w:r w:rsidR="00B65A47">
        <w:rPr>
          <w:rFonts w:ascii="Times New Roman" w:hAnsi="Times New Roman"/>
          <w:b w:val="0"/>
          <w:sz w:val="22"/>
          <w:szCs w:val="22"/>
        </w:rPr>
        <w:t xml:space="preserve">characteristics </w:t>
      </w:r>
      <w:r w:rsidRPr="00C40A28">
        <w:rPr>
          <w:rFonts w:ascii="Times New Roman" w:hAnsi="Times New Roman"/>
          <w:b w:val="0"/>
          <w:sz w:val="22"/>
          <w:szCs w:val="22"/>
        </w:rPr>
        <w:t xml:space="preserve">(education, occupation), smoking status, alcohol consumption, </w:t>
      </w:r>
      <w:r w:rsidR="00B65A47" w:rsidRPr="00C40A28">
        <w:rPr>
          <w:rFonts w:ascii="Times New Roman" w:hAnsi="Times New Roman"/>
          <w:b w:val="0"/>
          <w:sz w:val="22"/>
          <w:szCs w:val="22"/>
        </w:rPr>
        <w:t xml:space="preserve">physical activity, </w:t>
      </w:r>
      <w:r w:rsidRPr="00C40A28">
        <w:rPr>
          <w:rFonts w:ascii="Times New Roman" w:eastAsiaTheme="minorEastAsia" w:hAnsi="Times New Roman"/>
          <w:b w:val="0"/>
          <w:sz w:val="22"/>
          <w:szCs w:val="22"/>
          <w:lang w:eastAsia="ja-JP"/>
        </w:rPr>
        <w:t>family history of diabetes</w:t>
      </w:r>
      <w:r w:rsidRPr="00C40A28">
        <w:rPr>
          <w:rFonts w:ascii="Times New Roman" w:hAnsi="Times New Roman"/>
          <w:b w:val="0"/>
          <w:sz w:val="22"/>
          <w:szCs w:val="22"/>
        </w:rPr>
        <w:t>, dyslipidaemia, hypertension, menopausal status (women)</w:t>
      </w:r>
      <w:r w:rsidRPr="00C40A28">
        <w:rPr>
          <w:rFonts w:ascii="Times New Roman" w:eastAsiaTheme="minorEastAsia" w:hAnsi="Times New Roman"/>
          <w:b w:val="0"/>
          <w:sz w:val="22"/>
          <w:szCs w:val="22"/>
          <w:lang w:eastAsia="ja-JP"/>
        </w:rPr>
        <w:t>, prevalent coronary heart disease, body-mass index, and waist circumference</w:t>
      </w:r>
      <w:r w:rsidRPr="00C40A28">
        <w:rPr>
          <w:rFonts w:ascii="Times New Roman" w:hAnsi="Times New Roman"/>
          <w:b w:val="0"/>
          <w:sz w:val="22"/>
          <w:szCs w:val="22"/>
        </w:rPr>
        <w:t>. Results remained similar in the other models (</w:t>
      </w:r>
      <w:r w:rsidRPr="00C40A28">
        <w:rPr>
          <w:rFonts w:ascii="Times New Roman" w:hAnsi="Times New Roman"/>
          <w:b w:val="0"/>
          <w:sz w:val="22"/>
          <w:szCs w:val="22"/>
          <w:lang w:eastAsia="ja-JP"/>
        </w:rPr>
        <w:t xml:space="preserve">S1 </w:t>
      </w:r>
      <w:r w:rsidRPr="00C40A28">
        <w:rPr>
          <w:rFonts w:ascii="Times New Roman" w:hAnsi="Times New Roman"/>
          <w:b w:val="0"/>
          <w:sz w:val="22"/>
          <w:szCs w:val="22"/>
        </w:rPr>
        <w:t>Fig</w:t>
      </w:r>
      <w:r w:rsidRPr="00C40A28">
        <w:rPr>
          <w:rFonts w:ascii="Times New Roman" w:hAnsi="Times New Roman"/>
          <w:b w:val="0"/>
          <w:sz w:val="22"/>
          <w:szCs w:val="22"/>
          <w:lang w:eastAsia="ja-JP"/>
        </w:rPr>
        <w:t xml:space="preserve"> and </w:t>
      </w:r>
      <w:r w:rsidRPr="00C40A28">
        <w:rPr>
          <w:rFonts w:ascii="Times New Roman" w:hAnsi="Times New Roman"/>
          <w:b w:val="0"/>
          <w:sz w:val="22"/>
          <w:szCs w:val="22"/>
        </w:rPr>
        <w:t>S2</w:t>
      </w:r>
      <w:r w:rsidRPr="00C40A28">
        <w:rPr>
          <w:rFonts w:ascii="Times New Roman" w:hAnsi="Times New Roman"/>
          <w:b w:val="0"/>
          <w:sz w:val="22"/>
          <w:szCs w:val="22"/>
          <w:lang w:eastAsia="ja-JP"/>
        </w:rPr>
        <w:t xml:space="preserve"> Fig</w:t>
      </w:r>
      <w:r w:rsidRPr="00C40A28">
        <w:rPr>
          <w:rFonts w:ascii="Times New Roman" w:hAnsi="Times New Roman"/>
          <w:b w:val="0"/>
          <w:sz w:val="22"/>
          <w:szCs w:val="22"/>
        </w:rPr>
        <w:t xml:space="preserve">), except for 18:1n9 which showed no significant </w:t>
      </w:r>
      <w:r w:rsidR="005D5511" w:rsidRPr="00C40A28">
        <w:rPr>
          <w:rFonts w:ascii="Times New Roman" w:hAnsi="Times New Roman"/>
          <w:b w:val="0"/>
          <w:sz w:val="22"/>
          <w:szCs w:val="22"/>
        </w:rPr>
        <w:t xml:space="preserve">result in the most adjusted model </w:t>
      </w:r>
      <w:r w:rsidRPr="00C40A28">
        <w:rPr>
          <w:rFonts w:ascii="Times New Roman" w:hAnsi="Times New Roman"/>
          <w:b w:val="0"/>
          <w:sz w:val="22"/>
          <w:szCs w:val="22"/>
        </w:rPr>
        <w:t>(</w:t>
      </w:r>
      <w:r w:rsidR="005D5511" w:rsidRPr="00C40A28">
        <w:rPr>
          <w:rFonts w:ascii="Times New Roman" w:hAnsi="Times New Roman"/>
          <w:b w:val="0"/>
          <w:sz w:val="22"/>
          <w:szCs w:val="22"/>
        </w:rPr>
        <w:t xml:space="preserve">p=0.69, </w:t>
      </w:r>
      <w:r w:rsidRPr="00C40A28">
        <w:rPr>
          <w:rFonts w:ascii="Times New Roman" w:hAnsi="Times New Roman"/>
          <w:b w:val="0"/>
          <w:sz w:val="22"/>
          <w:szCs w:val="22"/>
          <w:lang w:eastAsia="ja-JP"/>
        </w:rPr>
        <w:t xml:space="preserve">S2 </w:t>
      </w:r>
      <w:r w:rsidRPr="00C40A28">
        <w:rPr>
          <w:rFonts w:ascii="Times New Roman" w:hAnsi="Times New Roman"/>
          <w:b w:val="0"/>
          <w:sz w:val="22"/>
          <w:szCs w:val="22"/>
        </w:rPr>
        <w:t>Fig).</w:t>
      </w:r>
    </w:p>
    <w:p w14:paraId="663CFDB0" w14:textId="77777777" w:rsidR="00DF5281" w:rsidRPr="00C40A28" w:rsidRDefault="00DF5281" w:rsidP="00DF5281">
      <w:pPr>
        <w:pStyle w:val="BodyTextIndent"/>
        <w:spacing w:line="480" w:lineRule="auto"/>
        <w:ind w:left="0" w:firstLine="0"/>
        <w:rPr>
          <w:rFonts w:ascii="Times New Roman" w:hAnsi="Times New Roman"/>
          <w:bCs/>
          <w:sz w:val="22"/>
          <w:szCs w:val="22"/>
          <w:lang w:val="en-US" w:eastAsia="ja-JP"/>
        </w:rPr>
      </w:pPr>
    </w:p>
    <w:p w14:paraId="0D91D3A0" w14:textId="77777777" w:rsidR="006A5966" w:rsidRDefault="00934FDA" w:rsidP="006A5966">
      <w:pPr>
        <w:pStyle w:val="BodyTextIndent"/>
        <w:spacing w:line="480" w:lineRule="auto"/>
        <w:ind w:left="0" w:firstLine="0"/>
        <w:rPr>
          <w:rFonts w:ascii="Times New Roman" w:hAnsi="Times New Roman"/>
          <w:b w:val="0"/>
          <w:bCs/>
          <w:sz w:val="22"/>
          <w:szCs w:val="22"/>
          <w:lang w:val="en-US" w:eastAsia="ja-JP"/>
        </w:rPr>
      </w:pPr>
      <w:r w:rsidRPr="00C40A28">
        <w:rPr>
          <w:rFonts w:ascii="Times New Roman" w:hAnsi="Times New Roman"/>
          <w:b w:val="0"/>
          <w:bCs/>
          <w:sz w:val="22"/>
          <w:szCs w:val="22"/>
          <w:lang w:val="en-US" w:eastAsia="ja-JP"/>
        </w:rPr>
        <w:t>Further adjusting for</w:t>
      </w:r>
      <w:r w:rsidR="0032206D" w:rsidRPr="00C40A28">
        <w:rPr>
          <w:rFonts w:ascii="Times New Roman" w:hAnsi="Times New Roman"/>
          <w:b w:val="0"/>
          <w:bCs/>
          <w:sz w:val="22"/>
          <w:szCs w:val="22"/>
          <w:lang w:val="en-US" w:eastAsia="ja-JP"/>
        </w:rPr>
        <w:t xml:space="preserve"> </w:t>
      </w:r>
      <w:r w:rsidR="00904938" w:rsidRPr="00C40A28">
        <w:rPr>
          <w:rFonts w:ascii="Times New Roman" w:hAnsi="Times New Roman"/>
          <w:b w:val="0"/>
          <w:bCs/>
          <w:sz w:val="22"/>
          <w:szCs w:val="22"/>
          <w:lang w:val="en-US" w:eastAsia="ja-JP"/>
        </w:rPr>
        <w:t>triglyceride</w:t>
      </w:r>
      <w:r w:rsidRPr="00C40A28">
        <w:rPr>
          <w:rFonts w:ascii="Times New Roman" w:hAnsi="Times New Roman"/>
          <w:b w:val="0"/>
          <w:bCs/>
          <w:sz w:val="22"/>
          <w:szCs w:val="22"/>
          <w:lang w:val="en-US" w:eastAsia="ja-JP"/>
        </w:rPr>
        <w:t>s</w:t>
      </w:r>
      <w:r w:rsidR="00904938" w:rsidRPr="00C40A28">
        <w:rPr>
          <w:rFonts w:ascii="Times New Roman" w:hAnsi="Times New Roman"/>
          <w:b w:val="0"/>
          <w:bCs/>
          <w:sz w:val="22"/>
          <w:szCs w:val="22"/>
          <w:lang w:val="en-US" w:eastAsia="ja-JP"/>
        </w:rPr>
        <w:t xml:space="preserve">, </w:t>
      </w:r>
      <w:r w:rsidR="002E2BEA" w:rsidRPr="00C40A28">
        <w:rPr>
          <w:rFonts w:ascii="Times New Roman" w:hAnsi="Times New Roman"/>
          <w:b w:val="0"/>
          <w:bCs/>
          <w:sz w:val="22"/>
          <w:szCs w:val="22"/>
          <w:lang w:val="en-US" w:eastAsia="ja-JP"/>
        </w:rPr>
        <w:t>the association</w:t>
      </w:r>
      <w:r w:rsidR="00904938" w:rsidRPr="00C40A28">
        <w:rPr>
          <w:rFonts w:ascii="Times New Roman" w:hAnsi="Times New Roman"/>
          <w:b w:val="0"/>
          <w:bCs/>
          <w:sz w:val="22"/>
          <w:szCs w:val="22"/>
          <w:lang w:val="en-US" w:eastAsia="ja-JP"/>
        </w:rPr>
        <w:t xml:space="preserve"> </w:t>
      </w:r>
      <w:r w:rsidR="008A6E2F" w:rsidRPr="00C40A28">
        <w:rPr>
          <w:rFonts w:ascii="Times New Roman" w:hAnsi="Times New Roman"/>
          <w:b w:val="0"/>
          <w:bCs/>
          <w:sz w:val="22"/>
          <w:szCs w:val="22"/>
          <w:lang w:val="en-US" w:eastAsia="ja-JP"/>
        </w:rPr>
        <w:t xml:space="preserve">of 16:0 </w:t>
      </w:r>
      <w:r w:rsidR="002E2BEA" w:rsidRPr="00C40A28">
        <w:rPr>
          <w:rFonts w:ascii="Times New Roman" w:hAnsi="Times New Roman"/>
          <w:b w:val="0"/>
          <w:bCs/>
          <w:sz w:val="22"/>
          <w:szCs w:val="22"/>
          <w:lang w:val="en-US" w:eastAsia="ja-JP"/>
        </w:rPr>
        <w:t>was</w:t>
      </w:r>
      <w:r w:rsidR="00904938" w:rsidRPr="00C40A28">
        <w:rPr>
          <w:rFonts w:ascii="Times New Roman" w:hAnsi="Times New Roman"/>
          <w:b w:val="0"/>
          <w:bCs/>
          <w:sz w:val="22"/>
          <w:szCs w:val="22"/>
          <w:lang w:val="en-US" w:eastAsia="ja-JP"/>
        </w:rPr>
        <w:t xml:space="preserve"> </w:t>
      </w:r>
      <w:r w:rsidR="00B80763" w:rsidRPr="00C40A28">
        <w:rPr>
          <w:rFonts w:ascii="Times New Roman" w:hAnsi="Times New Roman"/>
          <w:b w:val="0"/>
          <w:bCs/>
          <w:sz w:val="22"/>
          <w:szCs w:val="22"/>
          <w:lang w:val="en-US" w:eastAsia="ja-JP"/>
        </w:rPr>
        <w:t xml:space="preserve">modestly </w:t>
      </w:r>
      <w:r w:rsidR="00904938" w:rsidRPr="00C40A28">
        <w:rPr>
          <w:rFonts w:ascii="Times New Roman" w:hAnsi="Times New Roman"/>
          <w:b w:val="0"/>
          <w:bCs/>
          <w:sz w:val="22"/>
          <w:szCs w:val="22"/>
          <w:lang w:val="en-US" w:eastAsia="ja-JP"/>
        </w:rPr>
        <w:t>attenuated</w:t>
      </w:r>
      <w:r w:rsidR="002E2BEA" w:rsidRPr="00C40A28">
        <w:rPr>
          <w:rFonts w:ascii="Times New Roman" w:hAnsi="Times New Roman"/>
          <w:b w:val="0"/>
          <w:bCs/>
          <w:sz w:val="22"/>
          <w:szCs w:val="22"/>
          <w:lang w:val="en-US" w:eastAsia="ja-JP"/>
        </w:rPr>
        <w:t>, with</w:t>
      </w:r>
      <w:r w:rsidR="008A6E2F" w:rsidRPr="00C40A28">
        <w:rPr>
          <w:rFonts w:ascii="Times New Roman" w:hAnsi="Times New Roman"/>
          <w:b w:val="0"/>
          <w:bCs/>
          <w:sz w:val="22"/>
          <w:szCs w:val="22"/>
          <w:lang w:val="en-US" w:eastAsia="ja-JP"/>
        </w:rPr>
        <w:t xml:space="preserve"> </w:t>
      </w:r>
      <w:r w:rsidR="00904938" w:rsidRPr="00C40A28">
        <w:rPr>
          <w:rFonts w:ascii="Times New Roman" w:hAnsi="Times New Roman"/>
          <w:b w:val="0"/>
          <w:bCs/>
          <w:sz w:val="22"/>
          <w:szCs w:val="22"/>
          <w:lang w:val="en-US" w:eastAsia="ja-JP"/>
        </w:rPr>
        <w:t>RR (95% CI) of 1.36 (1.24, 1.50</w:t>
      </w:r>
      <w:r w:rsidR="00B36D7B" w:rsidRPr="00C40A28">
        <w:rPr>
          <w:rFonts w:ascii="Times New Roman" w:hAnsi="Times New Roman"/>
          <w:b w:val="0"/>
          <w:bCs/>
          <w:sz w:val="22"/>
          <w:szCs w:val="22"/>
          <w:lang w:val="en-US" w:eastAsia="ja-JP"/>
        </w:rPr>
        <w:t>; p&lt;0.001</w:t>
      </w:r>
      <w:r w:rsidR="00904938" w:rsidRPr="00C40A28">
        <w:rPr>
          <w:rFonts w:ascii="Times New Roman" w:hAnsi="Times New Roman"/>
          <w:b w:val="0"/>
          <w:bCs/>
          <w:sz w:val="22"/>
          <w:szCs w:val="22"/>
          <w:lang w:val="en-US" w:eastAsia="ja-JP"/>
        </w:rPr>
        <w:t>)</w:t>
      </w:r>
      <w:r w:rsidR="002E2BEA" w:rsidRPr="00C40A28">
        <w:rPr>
          <w:rFonts w:ascii="Times New Roman" w:hAnsi="Times New Roman"/>
          <w:b w:val="0"/>
          <w:bCs/>
          <w:sz w:val="22"/>
          <w:szCs w:val="22"/>
          <w:lang w:val="en-US" w:eastAsia="ja-JP"/>
        </w:rPr>
        <w:t xml:space="preserve"> (</w:t>
      </w:r>
      <w:r w:rsidR="00DF5281" w:rsidRPr="00C40A28">
        <w:rPr>
          <w:rFonts w:ascii="Times New Roman" w:hAnsi="Times New Roman"/>
          <w:b w:val="0"/>
          <w:bCs/>
          <w:sz w:val="22"/>
          <w:szCs w:val="22"/>
          <w:lang w:val="en-US" w:eastAsia="ja-JP"/>
        </w:rPr>
        <w:t xml:space="preserve">S2 </w:t>
      </w:r>
      <w:r w:rsidR="002E2BEA" w:rsidRPr="00C40A28">
        <w:rPr>
          <w:rFonts w:ascii="Times New Roman" w:hAnsi="Times New Roman"/>
          <w:b w:val="0"/>
          <w:bCs/>
          <w:sz w:val="22"/>
          <w:szCs w:val="22"/>
          <w:lang w:val="en-US" w:eastAsia="ja-JP"/>
        </w:rPr>
        <w:t xml:space="preserve">Fig). After adjustment for triglycerides and 16:0, associations </w:t>
      </w:r>
      <w:r w:rsidR="006E4985" w:rsidRPr="00C40A28">
        <w:rPr>
          <w:rFonts w:ascii="Times New Roman" w:hAnsi="Times New Roman"/>
          <w:b w:val="0"/>
          <w:bCs/>
          <w:sz w:val="22"/>
          <w:szCs w:val="22"/>
          <w:lang w:val="en-US" w:eastAsia="ja-JP"/>
        </w:rPr>
        <w:t xml:space="preserve">of </w:t>
      </w:r>
      <w:r w:rsidR="00657DD8" w:rsidRPr="00C40A28">
        <w:rPr>
          <w:rFonts w:ascii="Times New Roman" w:hAnsi="Times New Roman"/>
          <w:b w:val="0"/>
          <w:bCs/>
          <w:sz w:val="22"/>
          <w:szCs w:val="22"/>
          <w:lang w:val="en-US" w:eastAsia="ja-JP"/>
        </w:rPr>
        <w:t>16:1n7 and 18:0</w:t>
      </w:r>
      <w:r w:rsidR="006E4985" w:rsidRPr="00C40A28">
        <w:rPr>
          <w:rFonts w:ascii="Times New Roman" w:hAnsi="Times New Roman"/>
          <w:b w:val="0"/>
          <w:bCs/>
          <w:sz w:val="22"/>
          <w:szCs w:val="22"/>
          <w:lang w:val="en-US" w:eastAsia="ja-JP"/>
        </w:rPr>
        <w:t xml:space="preserve"> with T2D </w:t>
      </w:r>
      <w:r w:rsidR="00FF22AB" w:rsidRPr="00C40A28">
        <w:rPr>
          <w:rFonts w:ascii="Times New Roman" w:hAnsi="Times New Roman"/>
          <w:b w:val="0"/>
          <w:bCs/>
          <w:sz w:val="22"/>
          <w:szCs w:val="22"/>
          <w:lang w:val="en-US" w:eastAsia="ja-JP"/>
        </w:rPr>
        <w:t xml:space="preserve">incidence were </w:t>
      </w:r>
      <w:r w:rsidR="00B80763" w:rsidRPr="00C40A28">
        <w:rPr>
          <w:rFonts w:ascii="Times New Roman" w:hAnsi="Times New Roman"/>
          <w:b w:val="0"/>
          <w:bCs/>
          <w:sz w:val="22"/>
          <w:szCs w:val="22"/>
          <w:lang w:val="en-US" w:eastAsia="ja-JP"/>
        </w:rPr>
        <w:t xml:space="preserve">attenuated </w:t>
      </w:r>
      <w:r w:rsidRPr="00C40A28">
        <w:rPr>
          <w:rFonts w:ascii="Times New Roman" w:hAnsi="Times New Roman"/>
          <w:b w:val="0"/>
          <w:bCs/>
          <w:sz w:val="22"/>
          <w:szCs w:val="22"/>
          <w:lang w:val="en-US" w:eastAsia="ja-JP"/>
        </w:rPr>
        <w:t>but still evident</w:t>
      </w:r>
      <w:r w:rsidR="00ED1886">
        <w:rPr>
          <w:rFonts w:ascii="Times New Roman" w:hAnsi="Times New Roman"/>
          <w:b w:val="0"/>
          <w:bCs/>
          <w:sz w:val="22"/>
          <w:szCs w:val="22"/>
          <w:lang w:val="en-US" w:eastAsia="ja-JP"/>
        </w:rPr>
        <w:t xml:space="preserve"> with RRs (95% CI) of</w:t>
      </w:r>
      <w:r w:rsidRPr="00C40A28">
        <w:rPr>
          <w:rFonts w:ascii="Times New Roman" w:hAnsi="Times New Roman"/>
          <w:b w:val="0"/>
          <w:bCs/>
          <w:sz w:val="22"/>
          <w:szCs w:val="22"/>
          <w:lang w:val="en-US" w:eastAsia="ja-JP"/>
        </w:rPr>
        <w:t xml:space="preserve"> </w:t>
      </w:r>
      <w:r w:rsidR="008A6E2F" w:rsidRPr="00C40A28">
        <w:rPr>
          <w:rFonts w:ascii="Times New Roman" w:hAnsi="Times New Roman"/>
          <w:b w:val="0"/>
          <w:bCs/>
          <w:sz w:val="22"/>
          <w:szCs w:val="22"/>
          <w:lang w:val="en-US" w:eastAsia="ja-JP"/>
        </w:rPr>
        <w:t>1.17 (1.11, 1.24</w:t>
      </w:r>
      <w:r w:rsidR="00B36D7B" w:rsidRPr="00C40A28">
        <w:rPr>
          <w:rFonts w:ascii="Times New Roman" w:hAnsi="Times New Roman"/>
          <w:b w:val="0"/>
          <w:bCs/>
          <w:sz w:val="22"/>
          <w:szCs w:val="22"/>
          <w:lang w:val="en-US" w:eastAsia="ja-JP"/>
        </w:rPr>
        <w:t>; p&lt;0.001</w:t>
      </w:r>
      <w:r w:rsidR="008A6E2F" w:rsidRPr="00C40A28">
        <w:rPr>
          <w:rFonts w:ascii="Times New Roman" w:hAnsi="Times New Roman"/>
          <w:b w:val="0"/>
          <w:bCs/>
          <w:sz w:val="22"/>
          <w:szCs w:val="22"/>
          <w:lang w:val="en-US" w:eastAsia="ja-JP"/>
        </w:rPr>
        <w:t>) and</w:t>
      </w:r>
      <w:r w:rsidR="00904938" w:rsidRPr="00C40A28">
        <w:rPr>
          <w:rFonts w:ascii="Times New Roman" w:hAnsi="Times New Roman"/>
          <w:b w:val="0"/>
          <w:bCs/>
          <w:sz w:val="22"/>
          <w:szCs w:val="22"/>
          <w:lang w:val="en-US" w:eastAsia="ja-JP"/>
        </w:rPr>
        <w:t xml:space="preserve"> 1.16 (1.06, 1.27</w:t>
      </w:r>
      <w:r w:rsidR="00B36D7B" w:rsidRPr="00C40A28">
        <w:rPr>
          <w:rFonts w:ascii="Times New Roman" w:hAnsi="Times New Roman"/>
          <w:b w:val="0"/>
          <w:bCs/>
          <w:sz w:val="22"/>
          <w:szCs w:val="22"/>
          <w:lang w:val="en-US" w:eastAsia="ja-JP"/>
        </w:rPr>
        <w:t>; p=0.001</w:t>
      </w:r>
      <w:r w:rsidR="00904938" w:rsidRPr="00C40A28">
        <w:rPr>
          <w:rFonts w:ascii="Times New Roman" w:hAnsi="Times New Roman"/>
          <w:b w:val="0"/>
          <w:bCs/>
          <w:sz w:val="22"/>
          <w:szCs w:val="22"/>
          <w:lang w:val="en-US" w:eastAsia="ja-JP"/>
        </w:rPr>
        <w:t>)</w:t>
      </w:r>
      <w:r w:rsidR="00C77216" w:rsidRPr="00C40A28">
        <w:rPr>
          <w:rFonts w:ascii="Times New Roman" w:hAnsi="Times New Roman"/>
          <w:b w:val="0"/>
          <w:bCs/>
          <w:sz w:val="22"/>
          <w:szCs w:val="22"/>
          <w:lang w:val="en-US" w:eastAsia="ja-JP"/>
        </w:rPr>
        <w:t>, respectively</w:t>
      </w:r>
      <w:r w:rsidR="00B1650A" w:rsidRPr="00C40A28">
        <w:rPr>
          <w:rFonts w:ascii="Times New Roman" w:hAnsi="Times New Roman"/>
          <w:b w:val="0"/>
          <w:bCs/>
          <w:sz w:val="22"/>
          <w:szCs w:val="22"/>
          <w:lang w:val="en-US" w:eastAsia="ja-JP"/>
        </w:rPr>
        <w:t>,</w:t>
      </w:r>
      <w:r w:rsidR="00B80763" w:rsidRPr="00C40A28">
        <w:rPr>
          <w:rFonts w:ascii="Times New Roman" w:hAnsi="Times New Roman"/>
          <w:b w:val="0"/>
          <w:bCs/>
          <w:sz w:val="22"/>
          <w:szCs w:val="22"/>
          <w:lang w:val="en-US" w:eastAsia="ja-JP"/>
        </w:rPr>
        <w:t xml:space="preserve"> </w:t>
      </w:r>
      <w:r w:rsidR="00B1650A" w:rsidRPr="00C40A28">
        <w:rPr>
          <w:rFonts w:ascii="Times New Roman" w:hAnsi="Times New Roman"/>
          <w:b w:val="0"/>
          <w:bCs/>
          <w:sz w:val="22"/>
          <w:szCs w:val="22"/>
          <w:lang w:val="en-US" w:eastAsia="ja-JP"/>
        </w:rPr>
        <w:t>whereas t</w:t>
      </w:r>
      <w:r w:rsidR="008A6E2F" w:rsidRPr="00C40A28">
        <w:rPr>
          <w:rFonts w:ascii="Times New Roman" w:hAnsi="Times New Roman"/>
          <w:b w:val="0"/>
          <w:bCs/>
          <w:sz w:val="22"/>
          <w:szCs w:val="22"/>
          <w:lang w:val="en-US" w:eastAsia="ja-JP"/>
        </w:rPr>
        <w:t xml:space="preserve">he association of 18:1n9 with T2D risk </w:t>
      </w:r>
      <w:r w:rsidR="00B80763" w:rsidRPr="00C40A28">
        <w:rPr>
          <w:rFonts w:ascii="Times New Roman" w:hAnsi="Times New Roman"/>
          <w:b w:val="0"/>
          <w:bCs/>
          <w:sz w:val="22"/>
          <w:szCs w:val="22"/>
          <w:lang w:val="en-US" w:eastAsia="ja-JP"/>
        </w:rPr>
        <w:t xml:space="preserve">was </w:t>
      </w:r>
      <w:r w:rsidR="00C77216" w:rsidRPr="00C40A28">
        <w:rPr>
          <w:rFonts w:ascii="Times New Roman" w:hAnsi="Times New Roman"/>
          <w:b w:val="0"/>
          <w:bCs/>
          <w:sz w:val="22"/>
          <w:szCs w:val="22"/>
          <w:lang w:val="en-US" w:eastAsia="ja-JP"/>
        </w:rPr>
        <w:t>attenuated</w:t>
      </w:r>
      <w:r w:rsidR="002E2BEA" w:rsidRPr="00C40A28">
        <w:rPr>
          <w:rFonts w:ascii="Times New Roman" w:hAnsi="Times New Roman"/>
          <w:b w:val="0"/>
          <w:bCs/>
          <w:sz w:val="22"/>
          <w:szCs w:val="22"/>
          <w:lang w:val="en-US" w:eastAsia="ja-JP"/>
        </w:rPr>
        <w:t xml:space="preserve"> </w:t>
      </w:r>
      <w:r w:rsidR="00B1650A" w:rsidRPr="00C40A28">
        <w:rPr>
          <w:rFonts w:ascii="Times New Roman" w:hAnsi="Times New Roman"/>
          <w:b w:val="0"/>
          <w:bCs/>
          <w:sz w:val="22"/>
          <w:szCs w:val="22"/>
          <w:lang w:val="en-US" w:eastAsia="ja-JP"/>
        </w:rPr>
        <w:t xml:space="preserve">to the null </w:t>
      </w:r>
      <w:r w:rsidR="00B80763" w:rsidRPr="00C40A28">
        <w:rPr>
          <w:rFonts w:ascii="Times New Roman" w:hAnsi="Times New Roman"/>
          <w:b w:val="0"/>
          <w:bCs/>
          <w:sz w:val="22"/>
          <w:szCs w:val="22"/>
          <w:lang w:val="en-US" w:eastAsia="ja-JP"/>
        </w:rPr>
        <w:t>(</w:t>
      </w:r>
      <w:r w:rsidR="00B36D7B" w:rsidRPr="00C40A28">
        <w:rPr>
          <w:rFonts w:ascii="Times New Roman" w:hAnsi="Times New Roman"/>
          <w:b w:val="0"/>
          <w:bCs/>
          <w:sz w:val="22"/>
          <w:szCs w:val="22"/>
          <w:lang w:val="en-US" w:eastAsia="ja-JP"/>
        </w:rPr>
        <w:t>RR=</w:t>
      </w:r>
      <w:r w:rsidR="002E2BEA" w:rsidRPr="00C40A28">
        <w:rPr>
          <w:rFonts w:ascii="Times New Roman" w:hAnsi="Times New Roman"/>
          <w:b w:val="0"/>
          <w:bCs/>
          <w:sz w:val="22"/>
          <w:szCs w:val="22"/>
          <w:lang w:val="en-US" w:eastAsia="ja-JP"/>
        </w:rPr>
        <w:t>1.03</w:t>
      </w:r>
      <w:r w:rsidR="00B36D7B" w:rsidRPr="00C40A28">
        <w:rPr>
          <w:rFonts w:ascii="Times New Roman" w:hAnsi="Times New Roman"/>
          <w:b w:val="0"/>
          <w:bCs/>
          <w:sz w:val="22"/>
          <w:szCs w:val="22"/>
          <w:lang w:val="en-US" w:eastAsia="ja-JP"/>
        </w:rPr>
        <w:t xml:space="preserve">, 95% CI </w:t>
      </w:r>
      <w:r w:rsidR="002E2BEA" w:rsidRPr="00C40A28">
        <w:rPr>
          <w:rFonts w:ascii="Times New Roman" w:hAnsi="Times New Roman"/>
          <w:b w:val="0"/>
          <w:bCs/>
          <w:sz w:val="22"/>
          <w:szCs w:val="22"/>
          <w:lang w:val="en-US" w:eastAsia="ja-JP"/>
        </w:rPr>
        <w:t>0.94, 1.13</w:t>
      </w:r>
      <w:r w:rsidR="00B36D7B" w:rsidRPr="00C40A28">
        <w:rPr>
          <w:rFonts w:ascii="Times New Roman" w:hAnsi="Times New Roman"/>
          <w:b w:val="0"/>
          <w:bCs/>
          <w:sz w:val="22"/>
          <w:szCs w:val="22"/>
          <w:lang w:val="en-US" w:eastAsia="ja-JP"/>
        </w:rPr>
        <w:t xml:space="preserve">, p=0.40). </w:t>
      </w:r>
      <w:r w:rsidR="00B80763" w:rsidRPr="00C40A28">
        <w:rPr>
          <w:rFonts w:ascii="Times New Roman" w:hAnsi="Times New Roman"/>
          <w:b w:val="0"/>
          <w:bCs/>
          <w:sz w:val="22"/>
          <w:szCs w:val="22"/>
          <w:lang w:val="en-US" w:eastAsia="ja-JP"/>
        </w:rPr>
        <w:t>F</w:t>
      </w:r>
      <w:r w:rsidR="002E2BEA" w:rsidRPr="00C40A28">
        <w:rPr>
          <w:rFonts w:ascii="Times New Roman" w:hAnsi="Times New Roman"/>
          <w:b w:val="0"/>
          <w:bCs/>
          <w:sz w:val="22"/>
          <w:szCs w:val="22"/>
          <w:lang w:val="en-US" w:eastAsia="ja-JP"/>
        </w:rPr>
        <w:t xml:space="preserve">indings were </w:t>
      </w:r>
      <w:r w:rsidR="00B80763" w:rsidRPr="00C40A28">
        <w:rPr>
          <w:rFonts w:ascii="Times New Roman" w:hAnsi="Times New Roman"/>
          <w:b w:val="0"/>
          <w:bCs/>
          <w:sz w:val="22"/>
          <w:szCs w:val="22"/>
          <w:lang w:val="en-US" w:eastAsia="ja-JP"/>
        </w:rPr>
        <w:t xml:space="preserve">similar </w:t>
      </w:r>
      <w:r w:rsidR="002E2BEA" w:rsidRPr="00C40A28">
        <w:rPr>
          <w:rFonts w:ascii="Times New Roman" w:hAnsi="Times New Roman"/>
          <w:b w:val="0"/>
          <w:bCs/>
          <w:sz w:val="22"/>
          <w:szCs w:val="22"/>
          <w:lang w:val="en-US" w:eastAsia="ja-JP"/>
        </w:rPr>
        <w:t>when each fatty acid was evaluated categorically (Fig</w:t>
      </w:r>
      <w:r w:rsidR="00DF5281" w:rsidRPr="00C40A28">
        <w:rPr>
          <w:rFonts w:ascii="Times New Roman" w:hAnsi="Times New Roman"/>
          <w:b w:val="0"/>
          <w:bCs/>
          <w:sz w:val="22"/>
          <w:szCs w:val="22"/>
          <w:lang w:val="en-US" w:eastAsia="ja-JP"/>
        </w:rPr>
        <w:t xml:space="preserve"> </w:t>
      </w:r>
      <w:r w:rsidR="002E2BEA" w:rsidRPr="00C40A28">
        <w:rPr>
          <w:rFonts w:ascii="Times New Roman" w:hAnsi="Times New Roman"/>
          <w:b w:val="0"/>
          <w:bCs/>
          <w:sz w:val="22"/>
          <w:szCs w:val="22"/>
          <w:lang w:val="en-US" w:eastAsia="ja-JP"/>
        </w:rPr>
        <w:t>3).</w:t>
      </w:r>
      <w:r w:rsidR="006A5966">
        <w:rPr>
          <w:rFonts w:ascii="Times New Roman" w:hAnsi="Times New Roman"/>
          <w:b w:val="0"/>
          <w:bCs/>
          <w:sz w:val="22"/>
          <w:szCs w:val="22"/>
          <w:lang w:val="en-US" w:eastAsia="ja-JP"/>
        </w:rPr>
        <w:t xml:space="preserve"> </w:t>
      </w:r>
    </w:p>
    <w:p w14:paraId="5DEBDDE5" w14:textId="77777777" w:rsidR="006A5966" w:rsidRDefault="006A5966" w:rsidP="006A5966">
      <w:pPr>
        <w:pStyle w:val="BodyTextIndent"/>
        <w:spacing w:line="480" w:lineRule="auto"/>
        <w:ind w:left="0" w:firstLine="0"/>
        <w:rPr>
          <w:rFonts w:ascii="Times New Roman" w:hAnsi="Times New Roman"/>
          <w:b w:val="0"/>
          <w:bCs/>
          <w:sz w:val="22"/>
          <w:szCs w:val="22"/>
          <w:lang w:val="en-US" w:eastAsia="ja-JP"/>
        </w:rPr>
      </w:pPr>
    </w:p>
    <w:p w14:paraId="04883912" w14:textId="37B5DD14" w:rsidR="006A5966" w:rsidRDefault="00DF5281" w:rsidP="006A5966">
      <w:pPr>
        <w:pStyle w:val="BodyTextIndent"/>
        <w:spacing w:line="480" w:lineRule="auto"/>
        <w:ind w:left="0" w:firstLine="0"/>
        <w:rPr>
          <w:b w:val="0"/>
          <w:sz w:val="22"/>
          <w:szCs w:val="22"/>
        </w:rPr>
      </w:pPr>
      <w:r w:rsidRPr="006A5966">
        <w:rPr>
          <w:b w:val="0"/>
          <w:sz w:val="22"/>
          <w:szCs w:val="22"/>
        </w:rPr>
        <w:t xml:space="preserve">Fig 3. </w:t>
      </w:r>
      <w:r w:rsidR="0028163A" w:rsidRPr="006A5966">
        <w:rPr>
          <w:rFonts w:hint="eastAsia"/>
          <w:b w:val="0"/>
          <w:sz w:val="22"/>
          <w:szCs w:val="22"/>
        </w:rPr>
        <w:t>A</w:t>
      </w:r>
      <w:r w:rsidR="0028163A" w:rsidRPr="006A5966">
        <w:rPr>
          <w:b w:val="0"/>
          <w:sz w:val="22"/>
          <w:szCs w:val="22"/>
        </w:rPr>
        <w:t xml:space="preserve">ssociations </w:t>
      </w:r>
      <w:r w:rsidRPr="006A5966">
        <w:rPr>
          <w:b w:val="0"/>
          <w:sz w:val="22"/>
          <w:szCs w:val="22"/>
        </w:rPr>
        <w:t xml:space="preserve">of fatty acids in the de novo lipogenesis pathway with </w:t>
      </w:r>
      <w:r w:rsidRPr="006A5966">
        <w:rPr>
          <w:rStyle w:val="Strong"/>
          <w:b/>
          <w:sz w:val="22"/>
          <w:szCs w:val="22"/>
        </w:rPr>
        <w:t>the incidence of type 2 diabetes</w:t>
      </w:r>
      <w:r w:rsidRPr="006A5966">
        <w:rPr>
          <w:b w:val="0"/>
          <w:sz w:val="22"/>
          <w:szCs w:val="22"/>
        </w:rPr>
        <w:t xml:space="preserve">. Cohort-specific </w:t>
      </w:r>
      <w:r w:rsidR="007920BA">
        <w:rPr>
          <w:b w:val="0"/>
          <w:sz w:val="22"/>
          <w:szCs w:val="22"/>
        </w:rPr>
        <w:t xml:space="preserve">measures of </w:t>
      </w:r>
      <w:r w:rsidRPr="006A5966">
        <w:rPr>
          <w:b w:val="0"/>
          <w:sz w:val="22"/>
          <w:szCs w:val="22"/>
        </w:rPr>
        <w:t xml:space="preserve">associations </w:t>
      </w:r>
      <w:r w:rsidR="00B65A47">
        <w:rPr>
          <w:b w:val="0"/>
          <w:sz w:val="22"/>
          <w:szCs w:val="22"/>
        </w:rPr>
        <w:t xml:space="preserve">across the quintile groups </w:t>
      </w:r>
      <w:r w:rsidRPr="006A5966">
        <w:rPr>
          <w:b w:val="0"/>
          <w:sz w:val="22"/>
          <w:szCs w:val="22"/>
        </w:rPr>
        <w:t xml:space="preserve">were pooled with </w:t>
      </w:r>
      <w:r w:rsidRPr="006A5966">
        <w:rPr>
          <w:b w:val="0"/>
          <w:bCs/>
          <w:sz w:val="22"/>
          <w:szCs w:val="22"/>
        </w:rPr>
        <w:t xml:space="preserve">inverse variance weighted </w:t>
      </w:r>
      <w:r w:rsidRPr="006A5966">
        <w:rPr>
          <w:b w:val="0"/>
          <w:sz w:val="22"/>
          <w:szCs w:val="22"/>
        </w:rPr>
        <w:t xml:space="preserve">meta-analysis. </w:t>
      </w:r>
      <w:r w:rsidR="007920BA">
        <w:rPr>
          <w:b w:val="0"/>
          <w:sz w:val="22"/>
          <w:szCs w:val="22"/>
        </w:rPr>
        <w:t>In each cohort, t</w:t>
      </w:r>
      <w:r w:rsidR="007920BA" w:rsidRPr="006A5966">
        <w:rPr>
          <w:b w:val="0"/>
          <w:sz w:val="22"/>
          <w:szCs w:val="22"/>
        </w:rPr>
        <w:t xml:space="preserve">hree </w:t>
      </w:r>
      <w:r w:rsidRPr="006A5966">
        <w:rPr>
          <w:b w:val="0"/>
          <w:sz w:val="22"/>
          <w:szCs w:val="22"/>
        </w:rPr>
        <w:t xml:space="preserve">different models were fitted: </w:t>
      </w:r>
      <w:r w:rsidR="007920BA">
        <w:rPr>
          <w:b w:val="0"/>
          <w:sz w:val="22"/>
          <w:szCs w:val="22"/>
        </w:rPr>
        <w:t xml:space="preserve">the first, </w:t>
      </w:r>
      <w:r w:rsidRPr="006A5966">
        <w:rPr>
          <w:b w:val="0"/>
          <w:sz w:val="22"/>
          <w:szCs w:val="22"/>
        </w:rPr>
        <w:t xml:space="preserve">adjusting for </w:t>
      </w:r>
      <w:r w:rsidR="007920BA">
        <w:rPr>
          <w:b w:val="0"/>
          <w:sz w:val="22"/>
          <w:szCs w:val="22"/>
        </w:rPr>
        <w:t xml:space="preserve">study field (if available), </w:t>
      </w:r>
      <w:r w:rsidRPr="006A5966">
        <w:rPr>
          <w:b w:val="0"/>
          <w:sz w:val="22"/>
          <w:szCs w:val="22"/>
        </w:rPr>
        <w:t xml:space="preserve">sex, age, smoking status, alcohol consumption, socioeconomic status, physical activity, dyslipidaemia, hypertension, and menopausal status (only for women); </w:t>
      </w:r>
      <w:r w:rsidR="007920BA">
        <w:rPr>
          <w:b w:val="0"/>
          <w:sz w:val="22"/>
          <w:szCs w:val="22"/>
        </w:rPr>
        <w:t xml:space="preserve">the second, </w:t>
      </w:r>
      <w:r w:rsidRPr="006A5966">
        <w:rPr>
          <w:b w:val="0"/>
          <w:sz w:val="22"/>
          <w:szCs w:val="22"/>
        </w:rPr>
        <w:t xml:space="preserve">adjusting for body-mass index and waist circumference; and </w:t>
      </w:r>
      <w:r w:rsidR="007920BA">
        <w:rPr>
          <w:b w:val="0"/>
          <w:sz w:val="22"/>
          <w:szCs w:val="22"/>
        </w:rPr>
        <w:t xml:space="preserve">the third, </w:t>
      </w:r>
      <w:r w:rsidRPr="006A5966">
        <w:rPr>
          <w:b w:val="0"/>
          <w:sz w:val="22"/>
          <w:szCs w:val="22"/>
        </w:rPr>
        <w:t xml:space="preserve">adjusting for triglycerides and 16:0 (for 16:1n7, 18:0 and 18:1n9) as the main products of de novo lipogenesis. A trend across quintiles of each fatty acid </w:t>
      </w:r>
      <w:r w:rsidRPr="006A5966">
        <w:rPr>
          <w:b w:val="0"/>
          <w:sz w:val="22"/>
          <w:szCs w:val="22"/>
        </w:rPr>
        <w:lastRenderedPageBreak/>
        <w:t>was tested with meta-analysis of cohort-specific regression coefficients of an ordinal variable of each fatty acid.</w:t>
      </w:r>
      <w:r w:rsidRPr="006A5966">
        <w:rPr>
          <w:b w:val="0"/>
          <w:bCs/>
          <w:sz w:val="22"/>
          <w:szCs w:val="22"/>
          <w:lang w:val="en-US"/>
        </w:rPr>
        <w:t xml:space="preserve"> </w:t>
      </w:r>
      <w:r w:rsidR="00B33B79" w:rsidRPr="006A5966">
        <w:rPr>
          <w:b w:val="0"/>
          <w:bCs/>
          <w:sz w:val="22"/>
          <w:szCs w:val="22"/>
          <w:lang w:val="en-US"/>
        </w:rPr>
        <w:t>*</w:t>
      </w:r>
      <w:r w:rsidR="00864FE3" w:rsidRPr="006A5966">
        <w:rPr>
          <w:b w:val="0"/>
          <w:sz w:val="22"/>
          <w:szCs w:val="22"/>
        </w:rPr>
        <w:t xml:space="preserve"> The association with an asterisk showed p&lt;0.001 except for the second results for 18:0 (p=0.0158) and for 18:1n9 (p=0.0162).</w:t>
      </w:r>
    </w:p>
    <w:p w14:paraId="5EFA8FAD" w14:textId="77777777" w:rsidR="006A5966" w:rsidRDefault="006A5966" w:rsidP="006A5966">
      <w:pPr>
        <w:pStyle w:val="BodyTextIndent"/>
        <w:spacing w:line="480" w:lineRule="auto"/>
        <w:ind w:left="0" w:firstLine="0"/>
        <w:rPr>
          <w:b w:val="0"/>
          <w:sz w:val="22"/>
          <w:szCs w:val="22"/>
        </w:rPr>
      </w:pPr>
    </w:p>
    <w:p w14:paraId="39433F52" w14:textId="79022234" w:rsidR="008A25F6" w:rsidRPr="00C40A28" w:rsidRDefault="00E037E5" w:rsidP="006A5966">
      <w:pPr>
        <w:pStyle w:val="BodyTextIndent"/>
        <w:spacing w:line="480" w:lineRule="auto"/>
        <w:ind w:left="0" w:firstLine="360"/>
        <w:rPr>
          <w:rFonts w:ascii="Times New Roman" w:hAnsi="Times New Roman"/>
          <w:sz w:val="22"/>
          <w:lang w:val="en-US"/>
        </w:rPr>
      </w:pPr>
      <w:r w:rsidRPr="00C40A28">
        <w:rPr>
          <w:rFonts w:ascii="Times New Roman" w:hAnsi="Times New Roman"/>
          <w:b w:val="0"/>
          <w:bCs/>
          <w:sz w:val="22"/>
          <w:szCs w:val="22"/>
          <w:lang w:val="en-US" w:eastAsia="ja-JP"/>
        </w:rPr>
        <w:t xml:space="preserve">Heterogeneity was seen in these pooled analyses, with I squared ranging from 52.1% to 73.1% (Fig 2). The between-study heterogeneity was not associated with the global region or lipid fraction (S2 Table, S3 Fig to S6 Fig for 16:0, 16:1n7, 18:0, and 18:1n9, respectively). </w:t>
      </w:r>
      <w:r w:rsidR="00F14C47" w:rsidRPr="00C40A28">
        <w:rPr>
          <w:rFonts w:ascii="Times New Roman" w:hAnsi="Times New Roman"/>
          <w:b w:val="0"/>
          <w:bCs/>
          <w:sz w:val="22"/>
          <w:szCs w:val="22"/>
          <w:lang w:val="en-US" w:eastAsia="ja-JP"/>
        </w:rPr>
        <w:t>Among post hoc meta-regression analyses, a</w:t>
      </w:r>
      <w:r w:rsidR="006447E0" w:rsidRPr="00C40A28">
        <w:rPr>
          <w:rFonts w:ascii="Times New Roman" w:hAnsi="Times New Roman"/>
          <w:b w:val="0"/>
          <w:bCs/>
          <w:sz w:val="22"/>
          <w:szCs w:val="22"/>
          <w:lang w:val="en-US" w:eastAsia="ja-JP"/>
        </w:rPr>
        <w:t xml:space="preserve">verage follow-up years explained heterogeneity of </w:t>
      </w:r>
      <w:r w:rsidR="00D47CA5" w:rsidRPr="00C40A28">
        <w:rPr>
          <w:rFonts w:ascii="Times New Roman" w:hAnsi="Times New Roman"/>
          <w:b w:val="0"/>
          <w:bCs/>
          <w:sz w:val="22"/>
          <w:szCs w:val="22"/>
          <w:lang w:val="en-US" w:eastAsia="ja-JP"/>
        </w:rPr>
        <w:t>the association</w:t>
      </w:r>
      <w:r w:rsidR="006447E0" w:rsidRPr="00C40A28">
        <w:rPr>
          <w:rFonts w:ascii="Times New Roman" w:hAnsi="Times New Roman"/>
          <w:b w:val="0"/>
          <w:bCs/>
          <w:sz w:val="22"/>
          <w:szCs w:val="22"/>
          <w:lang w:val="en-US" w:eastAsia="ja-JP"/>
        </w:rPr>
        <w:t xml:space="preserve"> of 16:1n7 with T2D risk (S2 Table). I-squared </w:t>
      </w:r>
      <w:r w:rsidR="00F14C47" w:rsidRPr="00C40A28">
        <w:rPr>
          <w:rFonts w:ascii="Times New Roman" w:hAnsi="Times New Roman"/>
          <w:b w:val="0"/>
          <w:bCs/>
          <w:sz w:val="22"/>
          <w:szCs w:val="22"/>
          <w:lang w:val="en-US" w:eastAsia="ja-JP"/>
        </w:rPr>
        <w:t xml:space="preserve">estimates </w:t>
      </w:r>
      <w:r w:rsidR="006447E0" w:rsidRPr="00C40A28">
        <w:rPr>
          <w:rFonts w:ascii="Times New Roman" w:hAnsi="Times New Roman"/>
          <w:b w:val="0"/>
          <w:bCs/>
          <w:sz w:val="22"/>
          <w:szCs w:val="22"/>
          <w:lang w:val="en-US" w:eastAsia="ja-JP"/>
        </w:rPr>
        <w:t xml:space="preserve">were 52.1% and 36.8% before and after </w:t>
      </w:r>
      <w:r w:rsidR="00D47CA5" w:rsidRPr="00C40A28">
        <w:rPr>
          <w:rFonts w:ascii="Times New Roman" w:hAnsi="Times New Roman"/>
          <w:b w:val="0"/>
          <w:bCs/>
          <w:sz w:val="22"/>
          <w:szCs w:val="22"/>
          <w:lang w:val="en-US" w:eastAsia="ja-JP"/>
        </w:rPr>
        <w:t>controlling</w:t>
      </w:r>
      <w:r w:rsidR="006447E0" w:rsidRPr="00C40A28">
        <w:rPr>
          <w:rFonts w:ascii="Times New Roman" w:hAnsi="Times New Roman"/>
          <w:b w:val="0"/>
          <w:bCs/>
          <w:sz w:val="22"/>
          <w:szCs w:val="22"/>
          <w:lang w:val="en-US" w:eastAsia="ja-JP"/>
        </w:rPr>
        <w:t xml:space="preserve"> for follow-up years in meta-regression, respectively.</w:t>
      </w:r>
      <w:r w:rsidR="00003143" w:rsidRPr="00C40A28">
        <w:rPr>
          <w:rFonts w:ascii="Times New Roman" w:hAnsi="Times New Roman"/>
          <w:b w:val="0"/>
          <w:bCs/>
          <w:sz w:val="22"/>
          <w:szCs w:val="22"/>
          <w:lang w:val="en-US" w:eastAsia="ja-JP"/>
        </w:rPr>
        <w:t xml:space="preserve"> </w:t>
      </w:r>
      <w:r w:rsidR="00F14C47" w:rsidRPr="00C40A28">
        <w:rPr>
          <w:rFonts w:ascii="Times New Roman" w:hAnsi="Times New Roman"/>
          <w:b w:val="0"/>
          <w:bCs/>
          <w:sz w:val="22"/>
          <w:szCs w:val="22"/>
          <w:lang w:val="en-US" w:eastAsia="ja-JP"/>
        </w:rPr>
        <w:t xml:space="preserve">Further </w:t>
      </w:r>
      <w:r w:rsidR="00003143" w:rsidRPr="00C40A28">
        <w:rPr>
          <w:rFonts w:ascii="Times New Roman" w:hAnsi="Times New Roman"/>
          <w:b w:val="0"/>
          <w:bCs/>
          <w:sz w:val="22"/>
          <w:szCs w:val="22"/>
          <w:lang w:val="en-US" w:eastAsia="ja-JP"/>
        </w:rPr>
        <w:t>stratification of cohorts into those with &lt;10 years and those with ≥10 years of mean follow-up</w:t>
      </w:r>
      <w:r w:rsidR="00F14C47" w:rsidRPr="00C40A28">
        <w:rPr>
          <w:rFonts w:ascii="Times New Roman" w:hAnsi="Times New Roman"/>
          <w:b w:val="0"/>
          <w:bCs/>
          <w:sz w:val="22"/>
          <w:szCs w:val="22"/>
          <w:lang w:val="en-US" w:eastAsia="ja-JP"/>
        </w:rPr>
        <w:t xml:space="preserve"> showed</w:t>
      </w:r>
      <w:r w:rsidR="00003143" w:rsidRPr="00C40A28">
        <w:rPr>
          <w:rFonts w:ascii="Times New Roman" w:hAnsi="Times New Roman"/>
          <w:b w:val="0"/>
          <w:bCs/>
          <w:sz w:val="22"/>
          <w:szCs w:val="22"/>
          <w:lang w:val="en-US" w:eastAsia="ja-JP"/>
        </w:rPr>
        <w:t xml:space="preserve"> </w:t>
      </w:r>
      <w:r w:rsidR="00ED1886">
        <w:rPr>
          <w:rFonts w:ascii="Times New Roman" w:hAnsi="Times New Roman"/>
          <w:b w:val="0"/>
          <w:bCs/>
          <w:sz w:val="22"/>
          <w:szCs w:val="22"/>
          <w:lang w:val="en-US" w:eastAsia="ja-JP"/>
        </w:rPr>
        <w:t>R</w:t>
      </w:r>
      <w:r w:rsidR="00ED1886" w:rsidRPr="00C40A28">
        <w:rPr>
          <w:rFonts w:ascii="Times New Roman" w:hAnsi="Times New Roman"/>
          <w:b w:val="0"/>
          <w:bCs/>
          <w:sz w:val="22"/>
          <w:szCs w:val="22"/>
          <w:lang w:val="en-US" w:eastAsia="ja-JP"/>
        </w:rPr>
        <w:t>R</w:t>
      </w:r>
      <w:r w:rsidR="00ED1886">
        <w:rPr>
          <w:rFonts w:ascii="Times New Roman" w:hAnsi="Times New Roman"/>
          <w:b w:val="0"/>
          <w:bCs/>
          <w:sz w:val="22"/>
          <w:szCs w:val="22"/>
          <w:lang w:val="en-US" w:eastAsia="ja-JP"/>
        </w:rPr>
        <w:t>s</w:t>
      </w:r>
      <w:r w:rsidR="00ED1886" w:rsidRPr="00C40A28">
        <w:rPr>
          <w:rFonts w:ascii="Times New Roman" w:hAnsi="Times New Roman"/>
          <w:b w:val="0"/>
          <w:bCs/>
          <w:sz w:val="22"/>
          <w:szCs w:val="22"/>
          <w:lang w:val="en-US" w:eastAsia="ja-JP"/>
        </w:rPr>
        <w:t xml:space="preserve"> </w:t>
      </w:r>
      <w:r w:rsidR="00003143" w:rsidRPr="00C40A28">
        <w:rPr>
          <w:rFonts w:ascii="Times New Roman" w:hAnsi="Times New Roman"/>
          <w:b w:val="0"/>
          <w:bCs/>
          <w:sz w:val="22"/>
          <w:szCs w:val="22"/>
          <w:lang w:val="en-US" w:eastAsia="ja-JP"/>
        </w:rPr>
        <w:t xml:space="preserve">(95% CI) </w:t>
      </w:r>
      <w:r w:rsidR="00F14C47" w:rsidRPr="00C40A28">
        <w:rPr>
          <w:rFonts w:ascii="Times New Roman" w:hAnsi="Times New Roman"/>
          <w:b w:val="0"/>
          <w:bCs/>
          <w:sz w:val="22"/>
          <w:szCs w:val="22"/>
          <w:lang w:val="en-US" w:eastAsia="ja-JP"/>
        </w:rPr>
        <w:t>of</w:t>
      </w:r>
      <w:r w:rsidR="00003143" w:rsidRPr="00C40A28">
        <w:rPr>
          <w:rFonts w:ascii="Times New Roman" w:hAnsi="Times New Roman"/>
          <w:b w:val="0"/>
          <w:bCs/>
          <w:sz w:val="22"/>
          <w:szCs w:val="22"/>
          <w:lang w:val="en-US" w:eastAsia="ja-JP"/>
        </w:rPr>
        <w:t xml:space="preserve"> 1.64 (1.43-1.87) and 1.33 (1.25-1.41), respectively.</w:t>
      </w:r>
      <w:r w:rsidR="006447E0" w:rsidRPr="00C40A28">
        <w:rPr>
          <w:rFonts w:ascii="Times New Roman" w:hAnsi="Times New Roman"/>
          <w:b w:val="0"/>
          <w:bCs/>
          <w:sz w:val="22"/>
          <w:szCs w:val="22"/>
          <w:lang w:val="en-US" w:eastAsia="ja-JP"/>
        </w:rPr>
        <w:t xml:space="preserve"> </w:t>
      </w:r>
      <w:r w:rsidR="008A25F6" w:rsidRPr="00C40A28">
        <w:rPr>
          <w:rFonts w:ascii="Times New Roman" w:hAnsi="Times New Roman"/>
          <w:b w:val="0"/>
          <w:bCs/>
          <w:sz w:val="22"/>
          <w:szCs w:val="22"/>
          <w:lang w:val="en-US" w:eastAsia="ja-JP"/>
        </w:rPr>
        <w:t>S</w:t>
      </w:r>
      <w:r w:rsidR="00C77216" w:rsidRPr="00C40A28">
        <w:rPr>
          <w:rFonts w:ascii="Times New Roman" w:hAnsi="Times New Roman"/>
          <w:b w:val="0"/>
          <w:bCs/>
          <w:sz w:val="22"/>
          <w:szCs w:val="22"/>
          <w:lang w:val="en-US" w:eastAsia="ja-JP"/>
        </w:rPr>
        <w:t xml:space="preserve">ignificant interactions </w:t>
      </w:r>
      <w:r w:rsidR="008A25F6" w:rsidRPr="00C40A28">
        <w:rPr>
          <w:rFonts w:ascii="Times New Roman" w:hAnsi="Times New Roman"/>
          <w:b w:val="0"/>
          <w:bCs/>
          <w:sz w:val="22"/>
          <w:szCs w:val="22"/>
          <w:lang w:val="en-US" w:eastAsia="ja-JP"/>
        </w:rPr>
        <w:t>were also not identified by</w:t>
      </w:r>
      <w:r w:rsidR="00A744FB" w:rsidRPr="00C40A28">
        <w:rPr>
          <w:rFonts w:ascii="Times New Roman" w:hAnsi="Times New Roman"/>
          <w:b w:val="0"/>
          <w:bCs/>
          <w:sz w:val="22"/>
          <w:szCs w:val="22"/>
          <w:lang w:val="en-US" w:eastAsia="ja-JP"/>
        </w:rPr>
        <w:t xml:space="preserve"> </w:t>
      </w:r>
      <w:r w:rsidR="00AA2D5E" w:rsidRPr="00C40A28">
        <w:rPr>
          <w:rFonts w:ascii="Times New Roman" w:hAnsi="Times New Roman"/>
          <w:b w:val="0"/>
          <w:bCs/>
          <w:sz w:val="22"/>
          <w:szCs w:val="22"/>
          <w:lang w:val="en-US" w:eastAsia="ja-JP"/>
        </w:rPr>
        <w:t xml:space="preserve">age, sex, race, </w:t>
      </w:r>
      <w:r w:rsidR="00107E77" w:rsidRPr="00C40A28">
        <w:rPr>
          <w:rFonts w:ascii="Times New Roman" w:hAnsi="Times New Roman"/>
          <w:b w:val="0"/>
          <w:bCs/>
          <w:sz w:val="22"/>
          <w:szCs w:val="22"/>
          <w:lang w:val="en-US" w:eastAsia="ja-JP"/>
        </w:rPr>
        <w:t xml:space="preserve">or </w:t>
      </w:r>
      <w:r w:rsidR="00AA2D5E" w:rsidRPr="00C40A28">
        <w:rPr>
          <w:rFonts w:ascii="Times New Roman" w:hAnsi="Times New Roman"/>
          <w:b w:val="0"/>
          <w:bCs/>
          <w:sz w:val="22"/>
          <w:szCs w:val="22"/>
          <w:lang w:val="en-US" w:eastAsia="ja-JP"/>
        </w:rPr>
        <w:t>BMI</w:t>
      </w:r>
      <w:r w:rsidR="00A744FB" w:rsidRPr="00C40A28">
        <w:rPr>
          <w:rFonts w:ascii="Times New Roman" w:hAnsi="Times New Roman"/>
          <w:b w:val="0"/>
          <w:bCs/>
          <w:sz w:val="22"/>
          <w:szCs w:val="22"/>
          <w:lang w:val="en-US" w:eastAsia="ja-JP"/>
        </w:rPr>
        <w:t xml:space="preserve">, except </w:t>
      </w:r>
      <w:r w:rsidR="008A25F6" w:rsidRPr="00C40A28">
        <w:rPr>
          <w:rFonts w:ascii="Times New Roman" w:hAnsi="Times New Roman"/>
          <w:b w:val="0"/>
          <w:bCs/>
          <w:sz w:val="22"/>
          <w:szCs w:val="22"/>
          <w:lang w:val="en-US" w:eastAsia="ja-JP"/>
        </w:rPr>
        <w:t xml:space="preserve">for </w:t>
      </w:r>
      <w:r w:rsidR="00110ADB" w:rsidRPr="00C40A28">
        <w:rPr>
          <w:rFonts w:ascii="Times New Roman" w:hAnsi="Times New Roman"/>
          <w:b w:val="0"/>
          <w:bCs/>
          <w:sz w:val="22"/>
          <w:szCs w:val="22"/>
          <w:lang w:val="en-US" w:eastAsia="ja-JP"/>
        </w:rPr>
        <w:t xml:space="preserve">sex and 18:1n9 </w:t>
      </w:r>
      <w:r w:rsidR="00A744FB" w:rsidRPr="00C40A28">
        <w:rPr>
          <w:rFonts w:ascii="Times New Roman" w:hAnsi="Times New Roman"/>
          <w:b w:val="0"/>
          <w:bCs/>
          <w:sz w:val="22"/>
          <w:szCs w:val="22"/>
          <w:lang w:val="en-US" w:eastAsia="ja-JP"/>
        </w:rPr>
        <w:t>(</w:t>
      </w:r>
      <w:r w:rsidR="00A744FB" w:rsidRPr="00C40A28">
        <w:rPr>
          <w:rFonts w:ascii="Times New Roman" w:hAnsi="Times New Roman"/>
          <w:b w:val="0"/>
          <w:bCs/>
          <w:i/>
          <w:sz w:val="22"/>
          <w:szCs w:val="22"/>
          <w:lang w:val="en-US" w:eastAsia="ja-JP"/>
        </w:rPr>
        <w:t>p</w:t>
      </w:r>
      <w:r w:rsidR="00A744FB" w:rsidRPr="00C40A28">
        <w:rPr>
          <w:rFonts w:ascii="Times New Roman" w:hAnsi="Times New Roman"/>
          <w:b w:val="0"/>
          <w:bCs/>
          <w:sz w:val="22"/>
          <w:szCs w:val="22"/>
          <w:lang w:val="en-US" w:eastAsia="ja-JP"/>
        </w:rPr>
        <w:t>=0.002)</w:t>
      </w:r>
      <w:r w:rsidR="00613468" w:rsidRPr="00C40A28">
        <w:rPr>
          <w:rFonts w:ascii="Times New Roman" w:hAnsi="Times New Roman"/>
          <w:b w:val="0"/>
          <w:bCs/>
          <w:sz w:val="22"/>
          <w:szCs w:val="22"/>
          <w:lang w:val="en-US" w:eastAsia="ja-JP"/>
        </w:rPr>
        <w:t xml:space="preserve"> (S7 Fig)</w:t>
      </w:r>
      <w:r w:rsidR="001F668F" w:rsidRPr="00C40A28">
        <w:rPr>
          <w:rFonts w:ascii="Times New Roman" w:hAnsi="Times New Roman"/>
          <w:b w:val="0"/>
          <w:bCs/>
          <w:sz w:val="22"/>
          <w:szCs w:val="22"/>
          <w:lang w:val="en-US" w:eastAsia="ja-JP"/>
        </w:rPr>
        <w:t>.</w:t>
      </w:r>
      <w:r w:rsidR="00110ADB" w:rsidRPr="00C40A28">
        <w:rPr>
          <w:rFonts w:ascii="Times New Roman" w:hAnsi="Times New Roman"/>
          <w:b w:val="0"/>
          <w:bCs/>
          <w:sz w:val="22"/>
          <w:szCs w:val="22"/>
          <w:lang w:val="en-US" w:eastAsia="ja-JP"/>
        </w:rPr>
        <w:t xml:space="preserve"> </w:t>
      </w:r>
      <w:r w:rsidR="00F73F77" w:rsidRPr="00C40A28">
        <w:rPr>
          <w:rFonts w:ascii="Times New Roman" w:hAnsi="Times New Roman"/>
          <w:b w:val="0"/>
          <w:bCs/>
          <w:sz w:val="22"/>
          <w:szCs w:val="22"/>
          <w:lang w:val="en-US" w:eastAsia="ja-JP"/>
        </w:rPr>
        <w:t xml:space="preserve">In exploratory </w:t>
      </w:r>
      <w:r w:rsidR="00CA3C11" w:rsidRPr="00C40A28">
        <w:rPr>
          <w:rFonts w:ascii="Times New Roman" w:hAnsi="Times New Roman"/>
          <w:b w:val="0"/>
          <w:bCs/>
          <w:sz w:val="22"/>
          <w:szCs w:val="22"/>
          <w:lang w:val="en-US" w:eastAsia="ja-JP"/>
        </w:rPr>
        <w:t>meta-</w:t>
      </w:r>
      <w:r w:rsidR="00F73F77" w:rsidRPr="00C40A28">
        <w:rPr>
          <w:rFonts w:ascii="Times New Roman" w:hAnsi="Times New Roman"/>
          <w:b w:val="0"/>
          <w:bCs/>
          <w:sz w:val="22"/>
          <w:szCs w:val="22"/>
          <w:lang w:val="en-US" w:eastAsia="ja-JP"/>
        </w:rPr>
        <w:t>analysis</w:t>
      </w:r>
      <w:r w:rsidR="005A14D1" w:rsidRPr="00C40A28">
        <w:rPr>
          <w:rFonts w:ascii="Times New Roman" w:hAnsi="Times New Roman"/>
          <w:b w:val="0"/>
          <w:bCs/>
          <w:sz w:val="22"/>
          <w:szCs w:val="22"/>
          <w:lang w:val="en-US" w:eastAsia="ja-JP"/>
        </w:rPr>
        <w:t xml:space="preserve"> including cohorts </w:t>
      </w:r>
      <w:r w:rsidR="00934FDA" w:rsidRPr="00C40A28">
        <w:rPr>
          <w:rFonts w:ascii="Times New Roman" w:hAnsi="Times New Roman"/>
          <w:b w:val="0"/>
          <w:bCs/>
          <w:sz w:val="22"/>
          <w:szCs w:val="22"/>
          <w:lang w:val="en-US" w:eastAsia="ja-JP"/>
        </w:rPr>
        <w:t xml:space="preserve">with both sexes and cohorts </w:t>
      </w:r>
      <w:r w:rsidR="005A14D1" w:rsidRPr="00C40A28">
        <w:rPr>
          <w:rFonts w:ascii="Times New Roman" w:hAnsi="Times New Roman"/>
          <w:b w:val="0"/>
          <w:bCs/>
          <w:sz w:val="22"/>
          <w:szCs w:val="22"/>
          <w:lang w:val="en-US" w:eastAsia="ja-JP"/>
        </w:rPr>
        <w:t>recruiting only men or women</w:t>
      </w:r>
      <w:r w:rsidR="00F73F77" w:rsidRPr="00C40A28">
        <w:rPr>
          <w:rFonts w:ascii="Times New Roman" w:hAnsi="Times New Roman"/>
          <w:b w:val="0"/>
          <w:bCs/>
          <w:sz w:val="22"/>
          <w:szCs w:val="22"/>
          <w:lang w:val="en-US" w:eastAsia="ja-JP"/>
        </w:rPr>
        <w:t>, s</w:t>
      </w:r>
      <w:r w:rsidR="00110ADB" w:rsidRPr="00C40A28">
        <w:rPr>
          <w:rFonts w:ascii="Times New Roman" w:hAnsi="Times New Roman"/>
          <w:b w:val="0"/>
          <w:bCs/>
          <w:sz w:val="22"/>
          <w:szCs w:val="22"/>
          <w:lang w:val="en-US" w:eastAsia="ja-JP"/>
        </w:rPr>
        <w:t xml:space="preserve">ex-specific RRs (95% CI) </w:t>
      </w:r>
      <w:r w:rsidR="00FB4408" w:rsidRPr="00C40A28">
        <w:rPr>
          <w:rFonts w:ascii="Times New Roman" w:hAnsi="Times New Roman"/>
          <w:b w:val="0"/>
          <w:bCs/>
          <w:sz w:val="22"/>
          <w:szCs w:val="22"/>
          <w:lang w:val="en-US" w:eastAsia="ja-JP"/>
        </w:rPr>
        <w:t xml:space="preserve">for 18:1n9 </w:t>
      </w:r>
      <w:r w:rsidR="00110ADB" w:rsidRPr="00C40A28">
        <w:rPr>
          <w:rFonts w:ascii="Times New Roman" w:hAnsi="Times New Roman"/>
          <w:b w:val="0"/>
          <w:bCs/>
          <w:sz w:val="22"/>
          <w:szCs w:val="22"/>
          <w:lang w:val="en-US" w:eastAsia="ja-JP"/>
        </w:rPr>
        <w:t xml:space="preserve">were </w:t>
      </w:r>
      <w:r w:rsidR="000F6A2E" w:rsidRPr="00C40A28">
        <w:rPr>
          <w:rFonts w:ascii="Times New Roman" w:hAnsi="Times New Roman"/>
          <w:b w:val="0"/>
          <w:bCs/>
          <w:sz w:val="22"/>
          <w:szCs w:val="22"/>
          <w:lang w:val="en-US" w:eastAsia="ja-JP"/>
        </w:rPr>
        <w:t>1.17 (1.05, 1.30; p=0.005) for men and 1.10 (0.98, 1.24; p=0.10) for women.</w:t>
      </w:r>
      <w:r w:rsidR="004475B2" w:rsidRPr="00C40A28">
        <w:rPr>
          <w:rFonts w:ascii="Times New Roman" w:hAnsi="Times New Roman"/>
          <w:b w:val="0"/>
          <w:bCs/>
          <w:sz w:val="22"/>
          <w:szCs w:val="22"/>
          <w:lang w:val="en-US" w:eastAsia="ja-JP"/>
        </w:rPr>
        <w:t xml:space="preserve"> </w:t>
      </w:r>
      <w:r w:rsidR="008A25F6" w:rsidRPr="00C40A28">
        <w:rPr>
          <w:rFonts w:ascii="Times New Roman" w:hAnsi="Times New Roman"/>
          <w:sz w:val="22"/>
          <w:lang w:val="en-US"/>
        </w:rPr>
        <w:br w:type="page"/>
      </w:r>
    </w:p>
    <w:p w14:paraId="7E7D54B9" w14:textId="4828E4D1" w:rsidR="00CB3199" w:rsidRPr="00C40A28" w:rsidRDefault="005F7401" w:rsidP="000D1FF1">
      <w:pPr>
        <w:pStyle w:val="BodyTextIndent"/>
        <w:spacing w:line="480" w:lineRule="auto"/>
        <w:rPr>
          <w:rFonts w:ascii="Times New Roman" w:hAnsi="Times New Roman"/>
          <w:b w:val="0"/>
          <w:bCs/>
          <w:sz w:val="22"/>
          <w:szCs w:val="22"/>
          <w:lang w:val="en-US" w:eastAsia="ja-JP"/>
        </w:rPr>
      </w:pPr>
      <w:r>
        <w:rPr>
          <w:rFonts w:ascii="Times New Roman" w:hAnsi="Times New Roman"/>
          <w:bCs/>
          <w:sz w:val="22"/>
          <w:szCs w:val="22"/>
          <w:lang w:val="en-US" w:eastAsia="ja-JP"/>
        </w:rPr>
        <w:lastRenderedPageBreak/>
        <w:t>Discussion</w:t>
      </w:r>
    </w:p>
    <w:p w14:paraId="30273609" w14:textId="196DA7A8" w:rsidR="008815DD" w:rsidRPr="00C40A28" w:rsidRDefault="00DC162C" w:rsidP="00924442">
      <w:pPr>
        <w:pStyle w:val="BodyTextIndent"/>
        <w:spacing w:line="480" w:lineRule="auto"/>
        <w:ind w:left="0" w:firstLine="567"/>
        <w:rPr>
          <w:rFonts w:ascii="Times New Roman" w:hAnsi="Times New Roman"/>
          <w:b w:val="0"/>
          <w:bCs/>
          <w:sz w:val="22"/>
          <w:szCs w:val="22"/>
          <w:lang w:val="en-US" w:eastAsia="ja-JP"/>
        </w:rPr>
      </w:pPr>
      <w:r w:rsidRPr="00C40A28">
        <w:rPr>
          <w:rFonts w:ascii="Times New Roman" w:hAnsi="Times New Roman"/>
          <w:b w:val="0"/>
          <w:bCs/>
          <w:sz w:val="22"/>
          <w:szCs w:val="22"/>
          <w:lang w:val="en-US" w:eastAsia="ja-JP"/>
        </w:rPr>
        <w:t xml:space="preserve">In this pooling project </w:t>
      </w:r>
      <w:r w:rsidR="00B60739" w:rsidRPr="00C40A28">
        <w:rPr>
          <w:rFonts w:ascii="Times New Roman" w:hAnsi="Times New Roman"/>
          <w:b w:val="0"/>
          <w:bCs/>
          <w:sz w:val="22"/>
          <w:szCs w:val="22"/>
          <w:lang w:val="en-US" w:eastAsia="ja-JP"/>
        </w:rPr>
        <w:t xml:space="preserve">using harmonized, </w:t>
      </w:r>
      <w:r w:rsidR="00B60739" w:rsidRPr="00ED1886">
        <w:rPr>
          <w:rFonts w:ascii="Times New Roman" w:hAnsi="Times New Roman"/>
          <w:b w:val="0"/>
          <w:bCs/>
          <w:i/>
          <w:sz w:val="22"/>
          <w:szCs w:val="22"/>
          <w:lang w:val="en-US" w:eastAsia="ja-JP"/>
        </w:rPr>
        <w:t>de novo</w:t>
      </w:r>
      <w:r w:rsidR="00B60739" w:rsidRPr="00C40A28">
        <w:rPr>
          <w:rFonts w:ascii="Times New Roman" w:hAnsi="Times New Roman"/>
          <w:b w:val="0"/>
          <w:bCs/>
          <w:sz w:val="22"/>
          <w:szCs w:val="22"/>
          <w:lang w:val="en-US" w:eastAsia="ja-JP"/>
        </w:rPr>
        <w:t xml:space="preserve"> </w:t>
      </w:r>
      <w:r w:rsidRPr="00C40A28">
        <w:rPr>
          <w:rFonts w:ascii="Times New Roman" w:hAnsi="Times New Roman"/>
          <w:b w:val="0"/>
          <w:bCs/>
          <w:sz w:val="22"/>
          <w:szCs w:val="22"/>
          <w:lang w:val="en-US" w:eastAsia="ja-JP"/>
        </w:rPr>
        <w:t xml:space="preserve">individual-participant </w:t>
      </w:r>
      <w:r w:rsidR="00B60739" w:rsidRPr="00C40A28">
        <w:rPr>
          <w:rFonts w:ascii="Times New Roman" w:hAnsi="Times New Roman"/>
          <w:b w:val="0"/>
          <w:bCs/>
          <w:sz w:val="22"/>
          <w:szCs w:val="22"/>
          <w:lang w:val="en-US" w:eastAsia="ja-JP"/>
        </w:rPr>
        <w:t xml:space="preserve">analyses </w:t>
      </w:r>
      <w:r w:rsidRPr="00C40A28">
        <w:rPr>
          <w:rFonts w:ascii="Times New Roman" w:hAnsi="Times New Roman"/>
          <w:b w:val="0"/>
          <w:bCs/>
          <w:sz w:val="22"/>
          <w:szCs w:val="22"/>
          <w:lang w:val="en-US" w:eastAsia="ja-JP"/>
        </w:rPr>
        <w:t>from 17 prospective cohorts</w:t>
      </w:r>
      <w:r w:rsidR="00033B22" w:rsidRPr="00C40A28">
        <w:rPr>
          <w:rFonts w:ascii="Times New Roman" w:hAnsi="Times New Roman"/>
          <w:b w:val="0"/>
          <w:bCs/>
          <w:sz w:val="22"/>
          <w:szCs w:val="22"/>
          <w:lang w:val="en-US" w:eastAsia="ja-JP"/>
        </w:rPr>
        <w:t xml:space="preserve"> across 12 countries</w:t>
      </w:r>
      <w:r w:rsidRPr="00C40A28">
        <w:rPr>
          <w:rFonts w:ascii="Times New Roman" w:hAnsi="Times New Roman"/>
          <w:b w:val="0"/>
          <w:bCs/>
          <w:sz w:val="22"/>
          <w:szCs w:val="22"/>
          <w:lang w:val="en-US" w:eastAsia="ja-JP"/>
        </w:rPr>
        <w:t xml:space="preserve">, </w:t>
      </w:r>
      <w:r w:rsidR="00B60739" w:rsidRPr="00C40A28">
        <w:rPr>
          <w:rFonts w:ascii="Times New Roman" w:hAnsi="Times New Roman"/>
          <w:b w:val="0"/>
          <w:bCs/>
          <w:sz w:val="22"/>
          <w:szCs w:val="22"/>
          <w:lang w:val="en-US" w:eastAsia="ja-JP"/>
        </w:rPr>
        <w:t xml:space="preserve">biomarker </w:t>
      </w:r>
      <w:r w:rsidRPr="00C40A28">
        <w:rPr>
          <w:rFonts w:ascii="Times New Roman" w:hAnsi="Times New Roman"/>
          <w:b w:val="0"/>
          <w:bCs/>
          <w:sz w:val="22"/>
          <w:szCs w:val="22"/>
          <w:lang w:val="en-US" w:eastAsia="ja-JP"/>
        </w:rPr>
        <w:t xml:space="preserve">concentrations </w:t>
      </w:r>
      <w:r w:rsidR="00654AF6" w:rsidRPr="00C40A28">
        <w:rPr>
          <w:rFonts w:ascii="Times New Roman" w:hAnsi="Times New Roman"/>
          <w:b w:val="0"/>
          <w:bCs/>
          <w:sz w:val="22"/>
          <w:szCs w:val="22"/>
          <w:lang w:val="en-US" w:eastAsia="ja-JP"/>
        </w:rPr>
        <w:t xml:space="preserve">of </w:t>
      </w:r>
      <w:r w:rsidRPr="00C40A28">
        <w:rPr>
          <w:rFonts w:ascii="Times New Roman" w:hAnsi="Times New Roman"/>
          <w:b w:val="0"/>
          <w:bCs/>
          <w:sz w:val="22"/>
          <w:szCs w:val="22"/>
          <w:lang w:val="en-US" w:eastAsia="ja-JP"/>
        </w:rPr>
        <w:t xml:space="preserve">16:0, 16:1n7, 18:0, and 18:1n9 were associated with </w:t>
      </w:r>
      <w:r w:rsidR="00033B22" w:rsidRPr="00C40A28">
        <w:rPr>
          <w:rFonts w:ascii="Times New Roman" w:hAnsi="Times New Roman"/>
          <w:b w:val="0"/>
          <w:bCs/>
          <w:sz w:val="22"/>
          <w:szCs w:val="22"/>
          <w:lang w:val="en-US" w:eastAsia="ja-JP"/>
        </w:rPr>
        <w:t xml:space="preserve">higher risk </w:t>
      </w:r>
      <w:r w:rsidRPr="00C40A28">
        <w:rPr>
          <w:rFonts w:ascii="Times New Roman" w:hAnsi="Times New Roman"/>
          <w:b w:val="0"/>
          <w:bCs/>
          <w:sz w:val="22"/>
          <w:szCs w:val="22"/>
          <w:lang w:val="en-US" w:eastAsia="ja-JP"/>
        </w:rPr>
        <w:t>of T2D.</w:t>
      </w:r>
      <w:r w:rsidR="006A430C">
        <w:rPr>
          <w:rFonts w:ascii="Times New Roman" w:hAnsi="Times New Roman"/>
          <w:b w:val="0"/>
          <w:bCs/>
          <w:sz w:val="22"/>
          <w:szCs w:val="22"/>
          <w:lang w:val="en-US" w:eastAsia="ja-JP"/>
        </w:rPr>
        <w:t xml:space="preserve"> </w:t>
      </w:r>
      <w:r w:rsidR="00E3009E" w:rsidRPr="00C40A28">
        <w:rPr>
          <w:rFonts w:ascii="Times New Roman" w:hAnsi="Times New Roman"/>
          <w:b w:val="0"/>
          <w:bCs/>
          <w:sz w:val="22"/>
          <w:szCs w:val="22"/>
          <w:lang w:val="en-US" w:eastAsia="ja-JP"/>
        </w:rPr>
        <w:t>Associations appeared strongest for the 16-carbon saturated and monounsaturated fatty acids</w:t>
      </w:r>
      <w:r w:rsidR="00FA7E34" w:rsidRPr="00C40A28">
        <w:rPr>
          <w:rFonts w:ascii="Times New Roman" w:hAnsi="Times New Roman"/>
          <w:b w:val="0"/>
          <w:bCs/>
          <w:sz w:val="22"/>
          <w:szCs w:val="22"/>
          <w:lang w:val="en-US" w:eastAsia="ja-JP"/>
        </w:rPr>
        <w:t>, followed by the 18-carbon fatty acids; and were independent of measures of adiposity.</w:t>
      </w:r>
      <w:r w:rsidR="006A430C">
        <w:rPr>
          <w:rFonts w:ascii="Times New Roman" w:hAnsi="Times New Roman"/>
          <w:b w:val="0"/>
          <w:bCs/>
          <w:sz w:val="22"/>
          <w:szCs w:val="22"/>
          <w:lang w:val="en-US" w:eastAsia="ja-JP"/>
        </w:rPr>
        <w:t xml:space="preserve"> </w:t>
      </w:r>
      <w:r w:rsidR="00FA7E34" w:rsidRPr="00C40A28">
        <w:rPr>
          <w:rFonts w:ascii="Times New Roman" w:hAnsi="Times New Roman"/>
          <w:b w:val="0"/>
          <w:bCs/>
          <w:sz w:val="22"/>
          <w:szCs w:val="22"/>
          <w:lang w:val="en-US" w:eastAsia="ja-JP"/>
        </w:rPr>
        <w:t>The relationships appeared partly confounded or mediated by circulating levels of blood triglycerides, a marker of DNL, although independent associations with T2</w:t>
      </w:r>
      <w:r w:rsidR="00E57E04" w:rsidRPr="00C40A28">
        <w:rPr>
          <w:rFonts w:ascii="Times New Roman" w:hAnsi="Times New Roman"/>
          <w:b w:val="0"/>
          <w:bCs/>
          <w:sz w:val="22"/>
          <w:szCs w:val="22"/>
          <w:lang w:val="en-US" w:eastAsia="ja-JP"/>
        </w:rPr>
        <w:t>D</w:t>
      </w:r>
      <w:r w:rsidR="00FA7E34" w:rsidRPr="00C40A28">
        <w:rPr>
          <w:rFonts w:ascii="Times New Roman" w:hAnsi="Times New Roman"/>
          <w:b w:val="0"/>
          <w:bCs/>
          <w:sz w:val="22"/>
          <w:szCs w:val="22"/>
          <w:lang w:val="en-US" w:eastAsia="ja-JP"/>
        </w:rPr>
        <w:t xml:space="preserve"> remained evident for 16:0, 16:1n7, and 18:0.</w:t>
      </w:r>
      <w:r w:rsidR="006A430C">
        <w:rPr>
          <w:rFonts w:ascii="Times New Roman" w:hAnsi="Times New Roman"/>
          <w:b w:val="0"/>
          <w:bCs/>
          <w:sz w:val="22"/>
          <w:szCs w:val="22"/>
          <w:lang w:val="en-US" w:eastAsia="ja-JP"/>
        </w:rPr>
        <w:t xml:space="preserve"> </w:t>
      </w:r>
      <w:r w:rsidR="00EA4A02" w:rsidRPr="00C40A28">
        <w:rPr>
          <w:rFonts w:ascii="Times New Roman" w:hAnsi="Times New Roman"/>
          <w:b w:val="0"/>
          <w:bCs/>
          <w:sz w:val="22"/>
          <w:szCs w:val="22"/>
          <w:lang w:val="en-US" w:eastAsia="ja-JP"/>
        </w:rPr>
        <w:t xml:space="preserve">Statistical heterogeneity between cohorts was largely not explained by age, sex, lipid compartment, or world region. </w:t>
      </w:r>
      <w:r w:rsidRPr="00C40A28">
        <w:rPr>
          <w:rFonts w:ascii="Times New Roman" w:hAnsi="Times New Roman"/>
          <w:b w:val="0"/>
          <w:bCs/>
          <w:sz w:val="22"/>
          <w:szCs w:val="22"/>
          <w:lang w:val="en-US" w:eastAsia="ja-JP"/>
        </w:rPr>
        <w:t>The</w:t>
      </w:r>
      <w:r w:rsidR="00EA4A02" w:rsidRPr="00C40A28">
        <w:rPr>
          <w:rFonts w:ascii="Times New Roman" w:hAnsi="Times New Roman"/>
          <w:b w:val="0"/>
          <w:bCs/>
          <w:sz w:val="22"/>
          <w:szCs w:val="22"/>
          <w:lang w:val="en-US" w:eastAsia="ja-JP"/>
        </w:rPr>
        <w:t>se novel</w:t>
      </w:r>
      <w:r w:rsidRPr="00C40A28">
        <w:rPr>
          <w:rFonts w:ascii="Times New Roman" w:hAnsi="Times New Roman"/>
          <w:b w:val="0"/>
          <w:bCs/>
          <w:sz w:val="22"/>
          <w:szCs w:val="22"/>
          <w:lang w:val="en-US" w:eastAsia="ja-JP"/>
        </w:rPr>
        <w:t xml:space="preserve"> </w:t>
      </w:r>
      <w:r w:rsidR="008815DD" w:rsidRPr="00C40A28">
        <w:rPr>
          <w:rFonts w:ascii="Times New Roman" w:hAnsi="Times New Roman"/>
          <w:b w:val="0"/>
          <w:bCs/>
          <w:sz w:val="22"/>
          <w:szCs w:val="22"/>
          <w:lang w:val="en-US" w:eastAsia="ja-JP"/>
        </w:rPr>
        <w:t xml:space="preserve">findings </w:t>
      </w:r>
      <w:r w:rsidR="00EA4A02" w:rsidRPr="00C40A28">
        <w:rPr>
          <w:rFonts w:ascii="Times New Roman" w:hAnsi="Times New Roman"/>
          <w:b w:val="0"/>
          <w:bCs/>
          <w:sz w:val="22"/>
          <w:szCs w:val="22"/>
          <w:lang w:val="en-US" w:eastAsia="ja-JP"/>
        </w:rPr>
        <w:t>across 17 global cohorts</w:t>
      </w:r>
      <w:r w:rsidR="008815DD" w:rsidRPr="00C40A28">
        <w:rPr>
          <w:rFonts w:ascii="Times New Roman" w:hAnsi="Times New Roman"/>
          <w:b w:val="0"/>
          <w:bCs/>
          <w:sz w:val="22"/>
          <w:szCs w:val="22"/>
          <w:lang w:val="en-US" w:eastAsia="ja-JP"/>
        </w:rPr>
        <w:t xml:space="preserve"> </w:t>
      </w:r>
      <w:r w:rsidR="00B2518F" w:rsidRPr="00C40A28">
        <w:rPr>
          <w:rFonts w:ascii="Times New Roman" w:hAnsi="Times New Roman"/>
          <w:b w:val="0"/>
          <w:bCs/>
          <w:sz w:val="22"/>
          <w:szCs w:val="22"/>
          <w:lang w:val="en-US" w:eastAsia="ja-JP"/>
        </w:rPr>
        <w:t xml:space="preserve">suggest </w:t>
      </w:r>
      <w:r w:rsidR="008815DD" w:rsidRPr="00C40A28">
        <w:rPr>
          <w:rFonts w:ascii="Times New Roman" w:hAnsi="Times New Roman"/>
          <w:b w:val="0"/>
          <w:bCs/>
          <w:sz w:val="22"/>
          <w:szCs w:val="22"/>
          <w:lang w:val="en-US" w:eastAsia="ja-JP"/>
        </w:rPr>
        <w:t xml:space="preserve">that the </w:t>
      </w:r>
      <w:r w:rsidR="00654AF6" w:rsidRPr="00C40A28">
        <w:rPr>
          <w:rFonts w:ascii="Times New Roman" w:hAnsi="Times New Roman"/>
          <w:b w:val="0"/>
          <w:bCs/>
          <w:sz w:val="22"/>
          <w:szCs w:val="22"/>
          <w:lang w:val="en-US" w:eastAsia="ja-JP"/>
        </w:rPr>
        <w:t xml:space="preserve">pathophysiological process of developing </w:t>
      </w:r>
      <w:r w:rsidR="008815DD" w:rsidRPr="00C40A28">
        <w:rPr>
          <w:rFonts w:ascii="Times New Roman" w:hAnsi="Times New Roman"/>
          <w:b w:val="0"/>
          <w:bCs/>
          <w:sz w:val="22"/>
          <w:szCs w:val="22"/>
          <w:lang w:val="en-US" w:eastAsia="ja-JP"/>
        </w:rPr>
        <w:t xml:space="preserve">T2D </w:t>
      </w:r>
      <w:r w:rsidR="00EA4A02" w:rsidRPr="00C40A28">
        <w:rPr>
          <w:rFonts w:ascii="Times New Roman" w:hAnsi="Times New Roman"/>
          <w:b w:val="0"/>
          <w:bCs/>
          <w:sz w:val="22"/>
          <w:szCs w:val="22"/>
          <w:lang w:val="en-US" w:eastAsia="ja-JP"/>
        </w:rPr>
        <w:t>is</w:t>
      </w:r>
      <w:r w:rsidR="009D32C8" w:rsidRPr="00C40A28">
        <w:rPr>
          <w:rFonts w:ascii="Times New Roman" w:hAnsi="Times New Roman"/>
          <w:b w:val="0"/>
          <w:bCs/>
          <w:sz w:val="22"/>
          <w:szCs w:val="22"/>
          <w:lang w:val="en-US" w:eastAsia="ja-JP"/>
        </w:rPr>
        <w:t xml:space="preserve"> </w:t>
      </w:r>
      <w:r w:rsidR="00913764" w:rsidRPr="00C40A28">
        <w:rPr>
          <w:rFonts w:ascii="Times New Roman" w:hAnsi="Times New Roman"/>
          <w:b w:val="0"/>
          <w:bCs/>
          <w:sz w:val="22"/>
          <w:szCs w:val="22"/>
          <w:lang w:val="en-US" w:eastAsia="ja-JP"/>
        </w:rPr>
        <w:t xml:space="preserve">linked to activity of the </w:t>
      </w:r>
      <w:r w:rsidRPr="00C40A28">
        <w:rPr>
          <w:rFonts w:ascii="Times New Roman" w:hAnsi="Times New Roman"/>
          <w:b w:val="0"/>
          <w:bCs/>
          <w:sz w:val="22"/>
          <w:szCs w:val="22"/>
          <w:lang w:val="en-US" w:eastAsia="ja-JP"/>
        </w:rPr>
        <w:t>DNL pathway</w:t>
      </w:r>
      <w:r w:rsidR="00DF4160" w:rsidRPr="00C40A28">
        <w:rPr>
          <w:rFonts w:ascii="Times New Roman" w:hAnsi="Times New Roman"/>
          <w:b w:val="0"/>
          <w:bCs/>
          <w:sz w:val="22"/>
          <w:szCs w:val="22"/>
          <w:lang w:val="en-US" w:eastAsia="ja-JP"/>
        </w:rPr>
        <w:t xml:space="preserve"> and</w:t>
      </w:r>
      <w:r w:rsidR="00EA4A02" w:rsidRPr="00C40A28">
        <w:rPr>
          <w:rFonts w:ascii="Times New Roman" w:hAnsi="Times New Roman"/>
          <w:b w:val="0"/>
          <w:bCs/>
          <w:sz w:val="22"/>
          <w:szCs w:val="22"/>
          <w:lang w:val="en-US" w:eastAsia="ja-JP"/>
        </w:rPr>
        <w:t xml:space="preserve">/or these circulating </w:t>
      </w:r>
      <w:r w:rsidR="00DF4160" w:rsidRPr="00C40A28">
        <w:rPr>
          <w:rFonts w:ascii="Times New Roman" w:hAnsi="Times New Roman"/>
          <w:b w:val="0"/>
          <w:bCs/>
          <w:sz w:val="22"/>
          <w:szCs w:val="22"/>
          <w:lang w:val="en-US" w:eastAsia="ja-JP"/>
        </w:rPr>
        <w:t>fatty acids</w:t>
      </w:r>
      <w:r w:rsidRPr="00C40A28">
        <w:rPr>
          <w:rFonts w:ascii="Times New Roman" w:hAnsi="Times New Roman"/>
          <w:b w:val="0"/>
          <w:bCs/>
          <w:sz w:val="22"/>
          <w:szCs w:val="22"/>
          <w:lang w:val="en-US" w:eastAsia="ja-JP"/>
        </w:rPr>
        <w:t>.</w:t>
      </w:r>
      <w:r w:rsidR="008815DD" w:rsidRPr="00C40A28">
        <w:rPr>
          <w:rFonts w:ascii="Times New Roman" w:hAnsi="Times New Roman"/>
          <w:b w:val="0"/>
          <w:bCs/>
          <w:sz w:val="22"/>
          <w:szCs w:val="22"/>
          <w:lang w:val="en-US" w:eastAsia="ja-JP"/>
        </w:rPr>
        <w:t xml:space="preserve"> </w:t>
      </w:r>
    </w:p>
    <w:p w14:paraId="28DA235A" w14:textId="6C4C1826" w:rsidR="007260EC" w:rsidRPr="00C40A28" w:rsidRDefault="00EA4A02" w:rsidP="00924442">
      <w:pPr>
        <w:pStyle w:val="BodyTextIndent"/>
        <w:spacing w:line="480" w:lineRule="auto"/>
        <w:ind w:left="0" w:firstLine="567"/>
        <w:rPr>
          <w:rFonts w:ascii="Times New Roman" w:hAnsi="Times New Roman"/>
          <w:b w:val="0"/>
          <w:bCs/>
          <w:sz w:val="22"/>
          <w:szCs w:val="22"/>
          <w:lang w:val="en-US" w:eastAsia="ja-JP"/>
        </w:rPr>
      </w:pPr>
      <w:r w:rsidRPr="00C40A28">
        <w:rPr>
          <w:rFonts w:ascii="Times New Roman" w:hAnsi="Times New Roman"/>
          <w:b w:val="0"/>
          <w:bCs/>
          <w:sz w:val="22"/>
          <w:szCs w:val="22"/>
          <w:lang w:val="en-US" w:eastAsia="ja-JP"/>
        </w:rPr>
        <w:t xml:space="preserve">Experimental </w:t>
      </w:r>
      <w:r w:rsidR="008815DD" w:rsidRPr="00C40A28">
        <w:rPr>
          <w:rFonts w:ascii="Times New Roman" w:hAnsi="Times New Roman"/>
          <w:b w:val="0"/>
          <w:bCs/>
          <w:sz w:val="22"/>
          <w:szCs w:val="22"/>
          <w:lang w:val="en-US" w:eastAsia="ja-JP"/>
        </w:rPr>
        <w:t xml:space="preserve">evidence </w:t>
      </w:r>
      <w:r w:rsidR="0007618B" w:rsidRPr="00C40A28">
        <w:rPr>
          <w:rFonts w:ascii="Times New Roman" w:hAnsi="Times New Roman"/>
          <w:b w:val="0"/>
          <w:bCs/>
          <w:sz w:val="22"/>
          <w:szCs w:val="22"/>
          <w:lang w:val="en-US" w:eastAsia="ja-JP"/>
        </w:rPr>
        <w:t>provides biologic</w:t>
      </w:r>
      <w:r w:rsidR="00C0713C">
        <w:rPr>
          <w:rFonts w:ascii="Times New Roman" w:hAnsi="Times New Roman"/>
          <w:b w:val="0"/>
          <w:bCs/>
          <w:sz w:val="22"/>
          <w:szCs w:val="22"/>
          <w:lang w:val="en-US" w:eastAsia="ja-JP"/>
        </w:rPr>
        <w:t>al</w:t>
      </w:r>
      <w:r w:rsidR="0007618B" w:rsidRPr="00C40A28">
        <w:rPr>
          <w:rFonts w:ascii="Times New Roman" w:hAnsi="Times New Roman"/>
          <w:b w:val="0"/>
          <w:bCs/>
          <w:sz w:val="22"/>
          <w:szCs w:val="22"/>
          <w:lang w:val="en-US" w:eastAsia="ja-JP"/>
        </w:rPr>
        <w:t xml:space="preserve"> plausibility </w:t>
      </w:r>
      <w:r w:rsidRPr="00C40A28">
        <w:rPr>
          <w:rFonts w:ascii="Times New Roman" w:hAnsi="Times New Roman"/>
          <w:b w:val="0"/>
          <w:bCs/>
          <w:sz w:val="22"/>
          <w:szCs w:val="22"/>
          <w:lang w:val="en-US" w:eastAsia="ja-JP"/>
        </w:rPr>
        <w:t xml:space="preserve">to </w:t>
      </w:r>
      <w:r w:rsidR="0007618B" w:rsidRPr="00C40A28">
        <w:rPr>
          <w:rFonts w:ascii="Times New Roman" w:hAnsi="Times New Roman"/>
          <w:b w:val="0"/>
          <w:bCs/>
          <w:sz w:val="22"/>
          <w:szCs w:val="22"/>
          <w:lang w:val="en-US" w:eastAsia="ja-JP"/>
        </w:rPr>
        <w:t>support these</w:t>
      </w:r>
      <w:r w:rsidR="008815DD" w:rsidRPr="00C40A28">
        <w:rPr>
          <w:rFonts w:ascii="Times New Roman" w:hAnsi="Times New Roman"/>
          <w:b w:val="0"/>
          <w:bCs/>
          <w:sz w:val="22"/>
          <w:szCs w:val="22"/>
          <w:lang w:val="en-US" w:eastAsia="ja-JP"/>
        </w:rPr>
        <w:t xml:space="preserve"> findings.</w:t>
      </w:r>
      <w:r w:rsidR="004F228A" w:rsidRPr="00C40A28">
        <w:rPr>
          <w:rFonts w:ascii="Times New Roman" w:hAnsi="Times New Roman"/>
          <w:b w:val="0"/>
          <w:bCs/>
          <w:sz w:val="22"/>
          <w:szCs w:val="22"/>
          <w:lang w:val="en-US" w:eastAsia="ja-JP"/>
        </w:rPr>
        <w:t xml:space="preserve"> 16:0, </w:t>
      </w:r>
      <w:r w:rsidR="009F3057" w:rsidRPr="00C40A28">
        <w:rPr>
          <w:rFonts w:ascii="Times New Roman" w:hAnsi="Times New Roman"/>
          <w:b w:val="0"/>
          <w:bCs/>
          <w:sz w:val="22"/>
          <w:szCs w:val="22"/>
          <w:lang w:val="en-US" w:eastAsia="ja-JP"/>
        </w:rPr>
        <w:t xml:space="preserve">the </w:t>
      </w:r>
      <w:r w:rsidR="009F3057" w:rsidRPr="00C40A28">
        <w:rPr>
          <w:rFonts w:ascii="Times New Roman" w:hAnsi="Times New Roman"/>
          <w:b w:val="0"/>
          <w:sz w:val="22"/>
          <w:lang w:val="en-US"/>
        </w:rPr>
        <w:t>major</w:t>
      </w:r>
      <w:r w:rsidR="004F228A" w:rsidRPr="00C40A28">
        <w:rPr>
          <w:rFonts w:ascii="Times New Roman" w:hAnsi="Times New Roman"/>
          <w:b w:val="0"/>
          <w:sz w:val="22"/>
          <w:lang w:val="en-US"/>
        </w:rPr>
        <w:t xml:space="preserve"> product of DNL</w:t>
      </w:r>
      <w:r w:rsidR="004F228A" w:rsidRPr="00C40A28">
        <w:rPr>
          <w:rFonts w:ascii="Times New Roman" w:hAnsi="Times New Roman"/>
          <w:b w:val="0"/>
          <w:bCs/>
          <w:sz w:val="22"/>
          <w:szCs w:val="22"/>
          <w:lang w:val="en-US" w:eastAsia="ja-JP"/>
        </w:rPr>
        <w:t xml:space="preserve">, </w:t>
      </w:r>
      <w:r w:rsidR="00B2518F" w:rsidRPr="00C40A28">
        <w:rPr>
          <w:rFonts w:ascii="Times New Roman" w:hAnsi="Times New Roman"/>
          <w:b w:val="0"/>
          <w:bCs/>
          <w:sz w:val="22"/>
          <w:szCs w:val="22"/>
          <w:lang w:val="en-US" w:eastAsia="ja-JP"/>
        </w:rPr>
        <w:t xml:space="preserve">appears to </w:t>
      </w:r>
      <w:r w:rsidR="008815DD" w:rsidRPr="00C40A28">
        <w:rPr>
          <w:rFonts w:ascii="Times New Roman" w:hAnsi="Times New Roman"/>
          <w:b w:val="0"/>
          <w:bCs/>
          <w:sz w:val="22"/>
          <w:szCs w:val="22"/>
          <w:lang w:val="en-US" w:eastAsia="ja-JP"/>
        </w:rPr>
        <w:t xml:space="preserve">exert a </w:t>
      </w:r>
      <w:r w:rsidRPr="00C40A28">
        <w:rPr>
          <w:rFonts w:ascii="Times New Roman" w:hAnsi="Times New Roman"/>
          <w:b w:val="0"/>
          <w:bCs/>
          <w:sz w:val="22"/>
          <w:szCs w:val="22"/>
          <w:lang w:val="en-US" w:eastAsia="ja-JP"/>
        </w:rPr>
        <w:t>direct</w:t>
      </w:r>
      <w:r w:rsidR="008815DD" w:rsidRPr="00C40A28">
        <w:rPr>
          <w:rFonts w:ascii="Times New Roman" w:hAnsi="Times New Roman"/>
          <w:b w:val="0"/>
          <w:bCs/>
          <w:sz w:val="22"/>
          <w:szCs w:val="22"/>
          <w:lang w:val="en-US" w:eastAsia="ja-JP"/>
        </w:rPr>
        <w:t xml:space="preserve"> toxic effect on</w:t>
      </w:r>
      <w:r w:rsidR="006A430C">
        <w:rPr>
          <w:rFonts w:ascii="Times New Roman" w:hAnsi="Times New Roman"/>
          <w:b w:val="0"/>
          <w:bCs/>
          <w:sz w:val="22"/>
          <w:szCs w:val="22"/>
          <w:lang w:val="en-US" w:eastAsia="ja-JP"/>
        </w:rPr>
        <w:t xml:space="preserve"> </w:t>
      </w:r>
      <w:r w:rsidR="008815DD" w:rsidRPr="00C40A28">
        <w:rPr>
          <w:rFonts w:ascii="Times New Roman" w:hAnsi="Times New Roman"/>
          <w:b w:val="0"/>
          <w:bCs/>
          <w:sz w:val="22"/>
          <w:szCs w:val="22"/>
          <w:lang w:val="en-US" w:eastAsia="ja-JP"/>
        </w:rPr>
        <w:t>pancrea</w:t>
      </w:r>
      <w:r w:rsidR="008C59BE" w:rsidRPr="00C40A28">
        <w:rPr>
          <w:rFonts w:ascii="Times New Roman" w:hAnsi="Times New Roman"/>
          <w:b w:val="0"/>
          <w:bCs/>
          <w:sz w:val="22"/>
          <w:szCs w:val="22"/>
          <w:lang w:val="en-US" w:eastAsia="ja-JP"/>
        </w:rPr>
        <w:t>tic cell</w:t>
      </w:r>
      <w:r w:rsidR="008815DD" w:rsidRPr="00C40A28">
        <w:rPr>
          <w:rFonts w:ascii="Times New Roman" w:hAnsi="Times New Roman"/>
          <w:b w:val="0"/>
          <w:bCs/>
          <w:sz w:val="22"/>
          <w:szCs w:val="22"/>
          <w:lang w:val="en-US" w:eastAsia="ja-JP"/>
        </w:rPr>
        <w:t>s</w:t>
      </w:r>
      <w:r w:rsidR="00033B22" w:rsidRPr="00C40A28">
        <w:rPr>
          <w:rFonts w:ascii="Times New Roman" w:hAnsi="Times New Roman"/>
          <w:b w:val="0"/>
          <w:bCs/>
          <w:sz w:val="22"/>
          <w:szCs w:val="22"/>
          <w:lang w:val="en-US" w:eastAsia="ja-JP"/>
        </w:rPr>
        <w:t>,</w:t>
      </w:r>
      <w:r w:rsidR="00DD6E78" w:rsidRPr="00C40A28">
        <w:rPr>
          <w:rFonts w:ascii="Times New Roman" w:hAnsi="Times New Roman"/>
          <w:b w:val="0"/>
          <w:bCs/>
          <w:sz w:val="22"/>
          <w:szCs w:val="22"/>
          <w:lang w:val="en-US" w:eastAsia="ja-JP"/>
        </w:rPr>
        <w:t xml:space="preserve"> </w:t>
      </w:r>
      <w:r w:rsidR="00654AF6" w:rsidRPr="00C40A28">
        <w:rPr>
          <w:rFonts w:ascii="Times New Roman" w:hAnsi="Times New Roman"/>
          <w:b w:val="0"/>
          <w:bCs/>
          <w:sz w:val="22"/>
          <w:szCs w:val="22"/>
          <w:lang w:val="en-US" w:eastAsia="ja-JP"/>
        </w:rPr>
        <w:t>activat</w:t>
      </w:r>
      <w:r w:rsidR="008C59BE" w:rsidRPr="00C40A28">
        <w:rPr>
          <w:rFonts w:ascii="Times New Roman" w:hAnsi="Times New Roman"/>
          <w:b w:val="0"/>
          <w:bCs/>
          <w:sz w:val="22"/>
          <w:szCs w:val="22"/>
          <w:lang w:val="en-US" w:eastAsia="ja-JP"/>
        </w:rPr>
        <w:t>ing</w:t>
      </w:r>
      <w:r w:rsidR="00654AF6" w:rsidRPr="00C40A28">
        <w:rPr>
          <w:rFonts w:ascii="Times New Roman" w:hAnsi="Times New Roman"/>
          <w:b w:val="0"/>
          <w:bCs/>
          <w:sz w:val="22"/>
          <w:szCs w:val="22"/>
          <w:lang w:val="en-US" w:eastAsia="ja-JP"/>
        </w:rPr>
        <w:t xml:space="preserve"> </w:t>
      </w:r>
      <w:r w:rsidR="00EB7B0E" w:rsidRPr="00C40A28">
        <w:rPr>
          <w:rFonts w:ascii="Times New Roman" w:hAnsi="Times New Roman"/>
          <w:b w:val="0"/>
          <w:bCs/>
          <w:sz w:val="22"/>
          <w:szCs w:val="22"/>
          <w:lang w:val="en-US" w:eastAsia="ja-JP"/>
        </w:rPr>
        <w:t>membrane-bound toll-like receptor 4</w:t>
      </w:r>
      <w:r w:rsidR="00567831" w:rsidRPr="00C40A28">
        <w:rPr>
          <w:rFonts w:ascii="Times New Roman" w:hAnsi="Times New Roman"/>
          <w:b w:val="0"/>
          <w:bCs/>
          <w:sz w:val="22"/>
          <w:szCs w:val="22"/>
          <w:lang w:val="en-US" w:eastAsia="ja-JP"/>
        </w:rPr>
        <w:t xml:space="preserve"> </w:t>
      </w:r>
      <w:r w:rsidR="00EB7B0E" w:rsidRPr="00C40A28">
        <w:rPr>
          <w:rFonts w:ascii="Times New Roman" w:hAnsi="Times New Roman"/>
          <w:b w:val="0"/>
          <w:bCs/>
          <w:sz w:val="22"/>
          <w:szCs w:val="22"/>
          <w:lang w:val="en-US" w:eastAsia="ja-JP"/>
        </w:rPr>
        <w:t xml:space="preserve">and </w:t>
      </w:r>
      <w:r w:rsidR="0007618B" w:rsidRPr="00C40A28">
        <w:rPr>
          <w:rFonts w:ascii="Times New Roman" w:hAnsi="Times New Roman"/>
          <w:b w:val="0"/>
          <w:bCs/>
          <w:sz w:val="22"/>
          <w:szCs w:val="22"/>
          <w:lang w:val="en-US" w:eastAsia="ja-JP"/>
        </w:rPr>
        <w:t>promot</w:t>
      </w:r>
      <w:r w:rsidR="008C59BE" w:rsidRPr="00C40A28">
        <w:rPr>
          <w:rFonts w:ascii="Times New Roman" w:hAnsi="Times New Roman"/>
          <w:b w:val="0"/>
          <w:bCs/>
          <w:sz w:val="22"/>
          <w:szCs w:val="22"/>
          <w:lang w:val="en-US" w:eastAsia="ja-JP"/>
        </w:rPr>
        <w:t>ing</w:t>
      </w:r>
      <w:r w:rsidR="00EB7B0E" w:rsidRPr="00C40A28">
        <w:rPr>
          <w:rFonts w:ascii="Times New Roman" w:hAnsi="Times New Roman"/>
          <w:b w:val="0"/>
          <w:bCs/>
          <w:sz w:val="22"/>
          <w:szCs w:val="22"/>
          <w:lang w:val="en-US" w:eastAsia="ja-JP"/>
        </w:rPr>
        <w:t xml:space="preserve"> </w:t>
      </w:r>
      <w:r w:rsidR="00B21F42" w:rsidRPr="00C40A28">
        <w:rPr>
          <w:rFonts w:ascii="Times New Roman" w:hAnsi="Times New Roman"/>
          <w:b w:val="0"/>
          <w:bCs/>
          <w:sz w:val="22"/>
          <w:szCs w:val="22"/>
          <w:lang w:val="en-US" w:eastAsia="ja-JP"/>
        </w:rPr>
        <w:t xml:space="preserve">pro-inflammatory </w:t>
      </w:r>
      <w:r w:rsidR="00654AF6" w:rsidRPr="00C40A28">
        <w:rPr>
          <w:rFonts w:ascii="Times New Roman" w:hAnsi="Times New Roman"/>
          <w:b w:val="0"/>
          <w:bCs/>
          <w:sz w:val="22"/>
          <w:szCs w:val="22"/>
          <w:lang w:val="en-US" w:eastAsia="ja-JP"/>
        </w:rPr>
        <w:t>response</w:t>
      </w:r>
      <w:r w:rsidR="00EB7B0E" w:rsidRPr="00C40A28">
        <w:rPr>
          <w:rFonts w:ascii="Times New Roman" w:hAnsi="Times New Roman"/>
          <w:b w:val="0"/>
          <w:bCs/>
          <w:sz w:val="22"/>
          <w:szCs w:val="22"/>
          <w:lang w:val="en-US" w:eastAsia="ja-JP"/>
        </w:rPr>
        <w:t xml:space="preserve">s </w:t>
      </w:r>
      <w:r w:rsidR="00EB7B0E" w:rsidRPr="00C40A28">
        <w:rPr>
          <w:rFonts w:ascii="Times New Roman" w:hAnsi="Times New Roman"/>
          <w:b w:val="0"/>
          <w:bCs/>
          <w:sz w:val="22"/>
          <w:szCs w:val="22"/>
          <w:lang w:val="en-US" w:eastAsia="ja-JP"/>
        </w:rPr>
        <w:fldChar w:fldCharType="begin" w:fldLock="1"/>
      </w:r>
      <w:r w:rsidR="006E5B40" w:rsidRPr="00C40A28">
        <w:rPr>
          <w:rFonts w:ascii="Times New Roman" w:hAnsi="Times New Roman"/>
          <w:b w:val="0"/>
          <w:bCs/>
          <w:sz w:val="22"/>
          <w:szCs w:val="22"/>
          <w:lang w:val="en-US" w:eastAsia="ja-JP"/>
        </w:rPr>
        <w:instrText>ADDIN CSL_CITATION {"citationItems":[{"id":"ITEM-1","itemData":{"DOI":"10.1016/j.cell.2008.07.048","ISSN":"1097-4172","PMID":"18805087","abstract":"Dysregulation of lipid metabolism in individual tissues leads to systemic disruption of insulin action and glucose metabolism. Utilizing quantitative lipidomic analyses and mice deficient in adipose tissue lipid chaperones aP2 and mal1, we explored how metabolic alterations in adipose tissue are linked to whole-body metabolism through lipid signals. A robust increase in de novo lipogenesis rendered the adipose tissue of these mice resistant to the deleterious effects of dietary lipid exposure. Systemic lipid profiling also led to identification of C16:1n7-palmitoleate as an adipose tissue-derived lipid hormone that strongly stimulates muscle insulin action and suppresses hepatosteatosis. Our data reveal a lipid-mediated endocrine network and demonstrate that adipose tissue uses lipokines such as C16:1n7-palmitoleate to communicate with distant organs and regulate systemic metabolic homeostasis.","author":[{"dropping-particle":"","family":"Cao","given":"Haiming","non-dropping-particle":"","parse-names":false,"suffix":""},{"dropping-particle":"","family":"Gerhold","given":"Kristin","non-dropping-particle":"","parse-names":false,"suffix":""},{"dropping-particle":"","family":"Mayers","given":"Jared R","non-dropping-particle":"","parse-names":false,"suffix":""},{"dropping-particle":"","family":"Wiest","given":"Michelle M","non-dropping-particle":"","parse-names":false,"suffix":""},{"dropping-particle":"","family":"Watkins","given":"Steven M","non-dropping-particle":"","parse-names":false,"suffix":""},{"dropping-particle":"","family":"Hotamisligil","given":"Gökhan S","non-dropping-particle":"","parse-names":false,"suffix":""}],"container-title":"Cell","id":"ITEM-1","issue":"6","issued":{"date-parts":[["2008","9","19"]]},"page":"933-44","title":"Identification of a lipokine, a lipid hormone linking adipose tissue to systemic metabolism.","type":"article-journal","volume":"134"},"uris":["http://www.mendeley.com/documents/?uuid=3cb4fd98-1a12-4bdf-9df1-c7f3bd7f36c6"]}],"mendeley":{"formattedCitation":"[26]","plainTextFormattedCitation":"[26]","previouslyFormattedCitation":"[26]"},"properties":{"noteIndex":0},"schema":"https://github.com/citation-style-language/schema/raw/master/csl-citation.json"}</w:instrText>
      </w:r>
      <w:r w:rsidR="00EB7B0E" w:rsidRPr="00C40A28">
        <w:rPr>
          <w:rFonts w:ascii="Times New Roman" w:hAnsi="Times New Roman"/>
          <w:b w:val="0"/>
          <w:bCs/>
          <w:sz w:val="22"/>
          <w:szCs w:val="22"/>
          <w:lang w:val="en-US" w:eastAsia="ja-JP"/>
        </w:rPr>
        <w:fldChar w:fldCharType="separate"/>
      </w:r>
      <w:r w:rsidR="00C235E4" w:rsidRPr="00C40A28">
        <w:rPr>
          <w:rFonts w:ascii="Times New Roman" w:hAnsi="Times New Roman"/>
          <w:b w:val="0"/>
          <w:bCs/>
          <w:noProof/>
          <w:sz w:val="22"/>
          <w:szCs w:val="22"/>
          <w:lang w:val="en-US" w:eastAsia="ja-JP"/>
        </w:rPr>
        <w:t>[26]</w:t>
      </w:r>
      <w:r w:rsidR="00EB7B0E" w:rsidRPr="00C40A28">
        <w:rPr>
          <w:rFonts w:ascii="Times New Roman" w:hAnsi="Times New Roman"/>
          <w:b w:val="0"/>
          <w:bCs/>
          <w:sz w:val="22"/>
          <w:szCs w:val="22"/>
          <w:lang w:val="en-US" w:eastAsia="ja-JP"/>
        </w:rPr>
        <w:fldChar w:fldCharType="end"/>
      </w:r>
      <w:r w:rsidR="0007618B" w:rsidRPr="00C40A28">
        <w:rPr>
          <w:rFonts w:ascii="Times New Roman" w:hAnsi="Times New Roman"/>
          <w:b w:val="0"/>
          <w:bCs/>
          <w:sz w:val="22"/>
          <w:szCs w:val="22"/>
          <w:lang w:val="en-US" w:eastAsia="ja-JP"/>
        </w:rPr>
        <w:t xml:space="preserve">, leading to </w:t>
      </w:r>
      <w:r w:rsidR="00EB7B0E" w:rsidRPr="00C40A28">
        <w:rPr>
          <w:rFonts w:ascii="Times New Roman" w:hAnsi="Times New Roman"/>
          <w:b w:val="0"/>
          <w:bCs/>
          <w:sz w:val="22"/>
          <w:szCs w:val="22"/>
          <w:lang w:val="en-US" w:eastAsia="ja-JP"/>
        </w:rPr>
        <w:t>impair</w:t>
      </w:r>
      <w:r w:rsidR="0007618B" w:rsidRPr="00C40A28">
        <w:rPr>
          <w:rFonts w:ascii="Times New Roman" w:hAnsi="Times New Roman"/>
          <w:b w:val="0"/>
          <w:bCs/>
          <w:sz w:val="22"/>
          <w:szCs w:val="22"/>
          <w:lang w:val="en-US" w:eastAsia="ja-JP"/>
        </w:rPr>
        <w:t>ed</w:t>
      </w:r>
      <w:r w:rsidR="008815DD" w:rsidRPr="00C40A28">
        <w:rPr>
          <w:rFonts w:ascii="Times New Roman" w:hAnsi="Times New Roman"/>
          <w:b w:val="0"/>
          <w:bCs/>
          <w:sz w:val="22"/>
          <w:szCs w:val="22"/>
          <w:lang w:val="en-US" w:eastAsia="ja-JP"/>
        </w:rPr>
        <w:t xml:space="preserve"> insulin secretion capacity</w:t>
      </w:r>
      <w:r w:rsidR="00EB7B0E" w:rsidRPr="00C40A28">
        <w:rPr>
          <w:rFonts w:ascii="Times New Roman" w:hAnsi="Times New Roman"/>
          <w:b w:val="0"/>
          <w:bCs/>
          <w:sz w:val="22"/>
          <w:szCs w:val="22"/>
          <w:lang w:val="en-US" w:eastAsia="ja-JP"/>
        </w:rPr>
        <w:t xml:space="preserve"> </w:t>
      </w:r>
      <w:r w:rsidR="007E35F3" w:rsidRPr="00C40A28">
        <w:rPr>
          <w:rFonts w:ascii="Times New Roman" w:hAnsi="Times New Roman"/>
          <w:b w:val="0"/>
          <w:bCs/>
          <w:sz w:val="22"/>
          <w:szCs w:val="22"/>
          <w:lang w:val="en-US" w:eastAsia="ja-JP"/>
        </w:rPr>
        <w:fldChar w:fldCharType="begin" w:fldLock="1"/>
      </w:r>
      <w:r w:rsidR="007E35F3" w:rsidRPr="00C40A28">
        <w:rPr>
          <w:rFonts w:ascii="Times New Roman" w:hAnsi="Times New Roman"/>
          <w:b w:val="0"/>
          <w:bCs/>
          <w:sz w:val="22"/>
          <w:szCs w:val="22"/>
          <w:lang w:val="en-US" w:eastAsia="ja-JP"/>
        </w:rPr>
        <w:instrText>ADDIN CSL_CITATION {"citationItems":[{"id":"ITEM-1","itemData":{"DOI":"10.2337/diabetes.52.3.726","ISBN":"0012-1797 (Print)","ISSN":"0012-1797","PMID":"12606514","abstract":"Glucotoxicity and lipotoxicity contribute to the impaired beta-cell function observed in type 2 diabetes. Here we examine the effect of saturated and monounsaturated fatty acids at different glucose concentrations on human beta-cell turnover and secretory function. Exposure of cultured human islets to saturated fatty acid and/or to an elevated glucose concentration for 4 days increased beta-cell DNA fragmentation and decreased beta-cell proliferation. In contrast, the monounsaturated palmitoleic acid or oleic acid did not affect DNA fragmentation and induced beta-cell proliferation. Moreover, each monounsaturated fatty acid prevented the deleterious effects of both palmitic acid and high glucose concentration. The cell-permeable ceramide analogue C(2)-ceramide mimicked both the palmitic acid-induced beta-cell apoptosis and decrease in proliferation. Furthermore, the ceramide synthetase inhibitor fumonisin B1 blocked the deleterious effects of palmitic acid on beta-cell turnover. In addition, palmitic acid decreased Bcl-2 expression and induced release of cytochrome c from the mitochondria into the cytosol, which was prevented by fumonisin B1 and by oleic acid. Finally, each monounsaturated fatty acid improved beta-cell secretory function that was reduced by palmitic acid and by high glucose. Thus, in human islets, the saturated palmitic acid and elevated glucose concentration induce beta-cell apoptosis, decrease beta-cell proliferation, and impair beta-cell function, which can be prevented by monounsaturated fatty acids. The deleterious effect of palmitic acid is mediated via formation of ceramide and activation of the apoptotic mitochondrial pathway, whereas Bcl-2 may contribute to the protective effect of monounsaturated fatty acids.","author":[{"dropping-particle":"","family":"Maedler","given":"K","non-dropping-particle":"","parse-names":false,"suffix":""},{"dropping-particle":"","family":"Oberholzer","given":"J","non-dropping-particle":"","parse-names":false,"suffix":""},{"dropping-particle":"","family":"Bucher","given":"P","non-dropping-particle":"","parse-names":false,"suffix":""},{"dropping-particle":"","family":"Spinas","given":"G A","non-dropping-particle":"","parse-names":false,"suffix":""},{"dropping-particle":"","family":"Donath","given":"M Y","non-dropping-particle":"","parse-names":false,"suffix":""}],"container-title":"Diabetes","id":"ITEM-1","issue":"3","issued":{"date-parts":[["2003","3","1"]]},"page":"726-733","title":"Monounsaturated Fatty Acids Prevent the Deleterious Effects of Palmitate and High Glucose on Human Pancreatic -Cell Turnover and Function","type":"article-journal","volume":"52"},"uris":["http://www.mendeley.com/documents/?uuid=bfa629b0-8df8-47aa-b8a7-8cfae84d9b7b"]},{"id":"ITEM-2","itemData":{"DOI":"10.1172/JCI28898.TLRs","author":[{"dropping-particle":"","family":"Shi","given":"Hang","non-dropping-particle":"","parse-names":false,"suffix":""},{"dropping-particle":"V","family":"Kokoeva","given":"Maia","non-dropping-particle":"","parse-names":false,"suffix":""},{"dropping-particle":"","family":"Inouye","given":"Karen","non-dropping-particle":"","parse-names":false,"suffix":""},{"dropping-particle":"","family":"Tzameli","given":"Iphigenia","non-dropping-particle":"","parse-names":false,"suffix":""},{"dropping-particle":"","family":"Yin","given":"Huali","non-dropping-particle":"","parse-names":false,"suffix":""},{"dropping-particle":"","family":"Flier","given":"Jeffrey S","non-dropping-particle":"","parse-names":false,"suffix":""}],"container-title":"J Clin Invest","id":"ITEM-2","issue":"11","issued":{"date-parts":[["2006"]]},"page":"3015-3025","title":"TLR4 links innate immunity and fatty acid – induced insulin resistance","type":"article-journal","volume":"116"},"uris":["http://www.mendeley.com/documents/?uuid=207b2398-e83e-4b7b-9389-6ff8795a36bd"]},{"id":"ITEM-3","itemData":{"ISBN":"0012-1797 (Print)","PMID":"11147797","abstract":"Glucotoxicity and lipotoxicity contribute to the impaired beta-cell function observed in type 2 diabetes. Here we examine the effect of saturated and unsaturated fatty acids at different glucose concentrations on beta-cell proliferation and apoptosis. Adult rat pancreatic islets were cultured onto plates coated with extracellular matrix derived from bovine corneal endothelial cells. Exposure of islets to saturated fatty acid (0.5 mmol/l palmitic acid) in medium containing 5.5, 11.1, or 33.3 mmol/l glucose for 4 days resulted in a five- to ninefold increase of beta-cell DNA fragmentation. In contrast, monounsaturated palmitoleic acid alone (0.5 mmol/l) or in combination with palmitic acid (0.25 or 0.5 mmol/l each) did not affect DNA fragmentation. Increasing concentrations of glucose promoted beta-cell proliferation that was dramatically reduced by palmitic acid. Palmitoleic acid enhanced the proliferation activity in medium containing 5.5 mmol/l glucose but had no additional effect at higher glucose concentrations (11.1 and 33.3 mmol/l). The cell-permeable ceramide analog C2-ceramide mimicked both the palmitic acid-induced beta-cell apoptosis and decrease in proliferation. Moreover, the ceramide synthetase inhibitor fumonisin B1 blocked the deleterious effects of palmitic acid on beta-cell viability. Additionally, palmitic acid but not palmitoleic acid decreased the expression of the mitochondrial adenine nucleotide translocator and induced release of cytochrome c from the mitochondria into the cytosol. Finally, palmitoleic acid improved beta-cell-secretory function that was reduced by palmitic acid. Taken together, these results suggest that the lipotoxic effect of the saturated palmitic acid involves an increased apoptosis rate coupled with reduced proliferation capacity of beta-cells and impaired insulin secretion. The deleterious effect of palmitate on beta-cell turnover is mediated via formation of ceramide and activation of the apoptotic mitochondrial pathway. In contrast, the monounsaturated palmitoleic acid does not affect beta-cell apoptosis, yet it promotes beta-cell proliferation at low glucose concentrations, counteracting the negative effects of palmitic acid as well as improving beta-cell function.","author":[{"dropping-particle":"","family":"Maedler","given":"K","non-dropping-particle":"","parse-names":false,"suffix":""},{"dropping-particle":"","family":"Spinas","given":"G A","non-dropping-particle":"","parse-names":false,"suffix":""},{"dropping-particle":"","family":"Dyntar","given":"D","non-dropping-particle":"","parse-names":false,"suffix":""},{"dropping-particle":"","family":"Moritz","given":"W","non-dropping-particle":"","parse-names":false,"suffix":""},{"dropping-particle":"","family":"Kaiser","given":"N","non-dropping-particle":"","parse-names":false,"suffix":""},{"dropping-particle":"","family":"Donath","given":"M Y","non-dropping-particle":"","parse-names":false,"suffix":""}],"container-title":"Diabetes","id":"ITEM-3","issue":"1","issued":{"date-parts":[["2001"]]},"page":"69-76","title":"Distinct effects of saturated and monounsaturated fatty acids on beta-cell turnover and function","type":"article-journal","volume":"50"},"uris":["http://www.mendeley.com/documents/?uuid=24ad355b-0a4e-41d4-baaa-dc149b40ea07"]}],"mendeley":{"formattedCitation":"[4–6]","plainTextFormattedCitation":"[4–6]","previouslyFormattedCitation":"[4–6]"},"properties":{"noteIndex":0},"schema":"https://github.com/citation-style-language/schema/raw/master/csl-citation.json"}</w:instrText>
      </w:r>
      <w:r w:rsidR="007E35F3" w:rsidRPr="00C40A28">
        <w:rPr>
          <w:rFonts w:ascii="Times New Roman" w:hAnsi="Times New Roman"/>
          <w:b w:val="0"/>
          <w:bCs/>
          <w:sz w:val="22"/>
          <w:szCs w:val="22"/>
          <w:lang w:val="en-US" w:eastAsia="ja-JP"/>
        </w:rPr>
        <w:fldChar w:fldCharType="separate"/>
      </w:r>
      <w:r w:rsidR="007E35F3" w:rsidRPr="00C40A28">
        <w:rPr>
          <w:rFonts w:ascii="Times New Roman" w:hAnsi="Times New Roman"/>
          <w:b w:val="0"/>
          <w:bCs/>
          <w:noProof/>
          <w:sz w:val="22"/>
          <w:szCs w:val="22"/>
          <w:lang w:val="en-US" w:eastAsia="ja-JP"/>
        </w:rPr>
        <w:t>[4–6]</w:t>
      </w:r>
      <w:r w:rsidR="007E35F3" w:rsidRPr="00C40A28">
        <w:rPr>
          <w:rFonts w:ascii="Times New Roman" w:hAnsi="Times New Roman"/>
          <w:b w:val="0"/>
          <w:bCs/>
          <w:sz w:val="22"/>
          <w:szCs w:val="22"/>
          <w:lang w:val="en-US" w:eastAsia="ja-JP"/>
        </w:rPr>
        <w:fldChar w:fldCharType="end"/>
      </w:r>
      <w:r w:rsidR="00770E41" w:rsidRPr="00C40A28">
        <w:rPr>
          <w:rFonts w:ascii="Times New Roman" w:hAnsi="Times New Roman"/>
          <w:b w:val="0"/>
          <w:bCs/>
          <w:sz w:val="22"/>
          <w:szCs w:val="22"/>
          <w:lang w:val="en-US" w:eastAsia="ja-JP"/>
        </w:rPr>
        <w:t>.</w:t>
      </w:r>
      <w:r w:rsidR="006A430C">
        <w:rPr>
          <w:rFonts w:ascii="Times New Roman" w:hAnsi="Times New Roman"/>
          <w:b w:val="0"/>
          <w:bCs/>
          <w:sz w:val="22"/>
          <w:szCs w:val="22"/>
          <w:lang w:val="en-US" w:eastAsia="ja-JP"/>
        </w:rPr>
        <w:t xml:space="preserve"> </w:t>
      </w:r>
      <w:r w:rsidR="00740974" w:rsidRPr="00C40A28">
        <w:rPr>
          <w:rFonts w:ascii="Times New Roman" w:hAnsi="Times New Roman"/>
          <w:b w:val="0"/>
          <w:bCs/>
          <w:sz w:val="22"/>
          <w:szCs w:val="22"/>
          <w:lang w:val="en-US" w:eastAsia="ja-JP"/>
        </w:rPr>
        <w:t>In cells</w:t>
      </w:r>
      <w:r w:rsidR="0062141B" w:rsidRPr="00C40A28">
        <w:rPr>
          <w:rFonts w:ascii="Times New Roman" w:hAnsi="Times New Roman"/>
          <w:b w:val="0"/>
          <w:bCs/>
          <w:sz w:val="22"/>
          <w:szCs w:val="22"/>
          <w:lang w:val="en-US" w:eastAsia="ja-JP"/>
        </w:rPr>
        <w:t xml:space="preserve"> expressing insulin receptor</w:t>
      </w:r>
      <w:r w:rsidR="00033B22" w:rsidRPr="00C40A28">
        <w:rPr>
          <w:rFonts w:ascii="Times New Roman" w:hAnsi="Times New Roman"/>
          <w:b w:val="0"/>
          <w:bCs/>
          <w:sz w:val="22"/>
          <w:szCs w:val="22"/>
          <w:lang w:val="en-US" w:eastAsia="ja-JP"/>
        </w:rPr>
        <w:t>s</w:t>
      </w:r>
      <w:r w:rsidR="00740974" w:rsidRPr="00C40A28">
        <w:rPr>
          <w:rFonts w:ascii="Times New Roman" w:hAnsi="Times New Roman"/>
          <w:b w:val="0"/>
          <w:bCs/>
          <w:sz w:val="22"/>
          <w:szCs w:val="22"/>
          <w:lang w:val="en-US" w:eastAsia="ja-JP"/>
        </w:rPr>
        <w:t>,</w:t>
      </w:r>
      <w:r w:rsidR="00770E41" w:rsidRPr="00C40A28">
        <w:rPr>
          <w:rFonts w:ascii="Times New Roman" w:hAnsi="Times New Roman"/>
          <w:b w:val="0"/>
          <w:bCs/>
          <w:sz w:val="22"/>
          <w:szCs w:val="22"/>
          <w:lang w:val="en-US" w:eastAsia="ja-JP"/>
        </w:rPr>
        <w:t xml:space="preserve"> 16:0-ceramides </w:t>
      </w:r>
      <w:r w:rsidR="0062141B" w:rsidRPr="00C40A28">
        <w:rPr>
          <w:rFonts w:ascii="Times New Roman" w:hAnsi="Times New Roman"/>
          <w:b w:val="0"/>
          <w:bCs/>
          <w:sz w:val="22"/>
          <w:szCs w:val="22"/>
          <w:lang w:val="en-US" w:eastAsia="ja-JP"/>
        </w:rPr>
        <w:t xml:space="preserve">attenuate </w:t>
      </w:r>
      <w:r w:rsidR="00770E41" w:rsidRPr="00C40A28">
        <w:rPr>
          <w:rFonts w:ascii="Times New Roman" w:hAnsi="Times New Roman"/>
          <w:b w:val="0"/>
          <w:bCs/>
          <w:sz w:val="22"/>
          <w:szCs w:val="22"/>
          <w:lang w:val="en-US" w:eastAsia="ja-JP"/>
        </w:rPr>
        <w:t xml:space="preserve">insulin </w:t>
      </w:r>
      <w:r w:rsidR="0062141B" w:rsidRPr="00C40A28">
        <w:rPr>
          <w:rFonts w:ascii="Times New Roman" w:hAnsi="Times New Roman"/>
          <w:b w:val="0"/>
          <w:bCs/>
          <w:sz w:val="22"/>
          <w:szCs w:val="22"/>
          <w:lang w:val="en-US" w:eastAsia="ja-JP"/>
        </w:rPr>
        <w:t xml:space="preserve">sensitivity </w:t>
      </w:r>
      <w:r w:rsidR="00770E41" w:rsidRPr="00C40A28">
        <w:rPr>
          <w:rFonts w:ascii="Times New Roman" w:hAnsi="Times New Roman"/>
          <w:b w:val="0"/>
          <w:bCs/>
          <w:sz w:val="22"/>
          <w:szCs w:val="22"/>
          <w:lang w:val="en-US" w:eastAsia="ja-JP"/>
        </w:rPr>
        <w:t xml:space="preserve">by </w:t>
      </w:r>
      <w:r w:rsidR="0062141B" w:rsidRPr="00C40A28">
        <w:rPr>
          <w:rFonts w:ascii="Times New Roman" w:hAnsi="Times New Roman"/>
          <w:b w:val="0"/>
          <w:bCs/>
          <w:sz w:val="22"/>
          <w:szCs w:val="22"/>
          <w:lang w:val="en-US" w:eastAsia="ja-JP"/>
        </w:rPr>
        <w:t xml:space="preserve">antagonizing the insulin-receptor signaling cascade and </w:t>
      </w:r>
      <w:r w:rsidR="00770E41" w:rsidRPr="00C40A28">
        <w:rPr>
          <w:rFonts w:ascii="Times New Roman" w:hAnsi="Times New Roman"/>
          <w:b w:val="0"/>
          <w:bCs/>
          <w:sz w:val="22"/>
          <w:szCs w:val="22"/>
          <w:lang w:val="en-US" w:eastAsia="ja-JP"/>
        </w:rPr>
        <w:t>impair</w:t>
      </w:r>
      <w:r w:rsidR="00740974" w:rsidRPr="00C40A28">
        <w:rPr>
          <w:rFonts w:ascii="Times New Roman" w:hAnsi="Times New Roman"/>
          <w:b w:val="0"/>
          <w:bCs/>
          <w:sz w:val="22"/>
          <w:szCs w:val="22"/>
          <w:lang w:val="en-US" w:eastAsia="ja-JP"/>
        </w:rPr>
        <w:t>ing</w:t>
      </w:r>
      <w:r w:rsidR="00770E41" w:rsidRPr="00C40A28">
        <w:rPr>
          <w:rFonts w:ascii="Times New Roman" w:hAnsi="Times New Roman"/>
          <w:b w:val="0"/>
          <w:bCs/>
          <w:sz w:val="22"/>
          <w:szCs w:val="22"/>
          <w:lang w:val="en-US" w:eastAsia="ja-JP"/>
        </w:rPr>
        <w:t xml:space="preserve"> endoplasmic reticulum </w:t>
      </w:r>
      <w:r w:rsidR="00740974" w:rsidRPr="00C40A28">
        <w:rPr>
          <w:rFonts w:ascii="Times New Roman" w:hAnsi="Times New Roman"/>
          <w:b w:val="0"/>
          <w:bCs/>
          <w:sz w:val="22"/>
          <w:szCs w:val="22"/>
          <w:lang w:val="en-US" w:eastAsia="ja-JP"/>
        </w:rPr>
        <w:t>function</w:t>
      </w:r>
      <w:r w:rsidR="00770E41" w:rsidRPr="00C40A28">
        <w:rPr>
          <w:rFonts w:ascii="Times New Roman" w:hAnsi="Times New Roman"/>
          <w:b w:val="0"/>
          <w:bCs/>
          <w:sz w:val="22"/>
          <w:szCs w:val="22"/>
          <w:lang w:val="en-US" w:eastAsia="ja-JP"/>
        </w:rPr>
        <w:t xml:space="preserve"> </w:t>
      </w:r>
      <w:r w:rsidR="00770E41" w:rsidRPr="00C40A28">
        <w:rPr>
          <w:rFonts w:ascii="Times New Roman" w:hAnsi="Times New Roman"/>
          <w:b w:val="0"/>
          <w:bCs/>
          <w:sz w:val="22"/>
          <w:szCs w:val="22"/>
          <w:lang w:val="en-US" w:eastAsia="ja-JP"/>
        </w:rPr>
        <w:fldChar w:fldCharType="begin" w:fldLock="1"/>
      </w:r>
      <w:r w:rsidR="006E5B40" w:rsidRPr="00C40A28">
        <w:rPr>
          <w:rFonts w:ascii="Times New Roman" w:hAnsi="Times New Roman"/>
          <w:b w:val="0"/>
          <w:bCs/>
          <w:sz w:val="22"/>
          <w:szCs w:val="22"/>
          <w:lang w:val="en-US" w:eastAsia="ja-JP"/>
        </w:rPr>
        <w:instrText>ADDIN CSL_CITATION {"citationItems":[{"id":"ITEM-1","itemData":{"DOI":"10.1016/j.cmet.2014.10.017","ISSN":"15504131","author":[{"dropping-particle":"","family":"Hla","given":"Timothy","non-dropping-particle":"","parse-names":false,"suffix":""},{"dropping-particle":"","family":"Kolesnick","given":"Richard","non-dropping-particle":"","parse-names":false,"suffix":""}],"container-title":"Cell Metab","id":"ITEM-1","issue":"5","issued":{"date-parts":[["2014","11"]]},"page":"703-705","title":"C16:0-Ceramide Signals Insulin Resistance","type":"article-journal","volume":"20"},"uris":["http://www.mendeley.com/documents/?uuid=fb503908-9887-462c-bfa4-7616161344f8"]}],"mendeley":{"formattedCitation":"[27]","plainTextFormattedCitation":"[27]","previouslyFormattedCitation":"[27]"},"properties":{"noteIndex":0},"schema":"https://github.com/citation-style-language/schema/raw/master/csl-citation.json"}</w:instrText>
      </w:r>
      <w:r w:rsidR="00770E41" w:rsidRPr="00C40A28">
        <w:rPr>
          <w:rFonts w:ascii="Times New Roman" w:hAnsi="Times New Roman"/>
          <w:b w:val="0"/>
          <w:bCs/>
          <w:sz w:val="22"/>
          <w:szCs w:val="22"/>
          <w:lang w:val="en-US" w:eastAsia="ja-JP"/>
        </w:rPr>
        <w:fldChar w:fldCharType="separate"/>
      </w:r>
      <w:r w:rsidR="00C235E4" w:rsidRPr="00C40A28">
        <w:rPr>
          <w:rFonts w:ascii="Times New Roman" w:hAnsi="Times New Roman"/>
          <w:b w:val="0"/>
          <w:bCs/>
          <w:noProof/>
          <w:sz w:val="22"/>
          <w:szCs w:val="22"/>
          <w:lang w:val="en-US" w:eastAsia="ja-JP"/>
        </w:rPr>
        <w:t>[27]</w:t>
      </w:r>
      <w:r w:rsidR="00770E41" w:rsidRPr="00C40A28">
        <w:rPr>
          <w:rFonts w:ascii="Times New Roman" w:hAnsi="Times New Roman"/>
          <w:b w:val="0"/>
          <w:bCs/>
          <w:sz w:val="22"/>
          <w:szCs w:val="22"/>
          <w:lang w:val="en-US" w:eastAsia="ja-JP"/>
        </w:rPr>
        <w:fldChar w:fldCharType="end"/>
      </w:r>
      <w:r w:rsidR="00B62F7D" w:rsidRPr="00C40A28">
        <w:rPr>
          <w:rFonts w:ascii="Times New Roman" w:hAnsi="Times New Roman"/>
          <w:b w:val="0"/>
          <w:bCs/>
          <w:sz w:val="22"/>
          <w:szCs w:val="22"/>
          <w:lang w:val="en-US" w:eastAsia="ja-JP"/>
        </w:rPr>
        <w:t>.</w:t>
      </w:r>
      <w:r w:rsidR="006A430C">
        <w:rPr>
          <w:rFonts w:ascii="Times New Roman" w:hAnsi="Times New Roman"/>
          <w:b w:val="0"/>
          <w:bCs/>
          <w:sz w:val="22"/>
          <w:szCs w:val="22"/>
          <w:lang w:val="en-US" w:eastAsia="ja-JP"/>
        </w:rPr>
        <w:t xml:space="preserve"> </w:t>
      </w:r>
      <w:r w:rsidR="004F228A" w:rsidRPr="00C40A28">
        <w:rPr>
          <w:rFonts w:ascii="Times New Roman" w:hAnsi="Times New Roman"/>
          <w:b w:val="0"/>
          <w:bCs/>
          <w:sz w:val="22"/>
          <w:szCs w:val="22"/>
          <w:lang w:val="en-US" w:eastAsia="ja-JP"/>
        </w:rPr>
        <w:t xml:space="preserve">DNL </w:t>
      </w:r>
      <w:r w:rsidR="00DD6E78" w:rsidRPr="00C40A28">
        <w:rPr>
          <w:rFonts w:ascii="Times New Roman" w:hAnsi="Times New Roman"/>
          <w:b w:val="0"/>
          <w:bCs/>
          <w:sz w:val="22"/>
          <w:szCs w:val="22"/>
          <w:lang w:val="en-US" w:eastAsia="ja-JP"/>
        </w:rPr>
        <w:t>also elevate</w:t>
      </w:r>
      <w:r w:rsidR="00EA6F5D" w:rsidRPr="00C40A28">
        <w:rPr>
          <w:rFonts w:ascii="Times New Roman" w:hAnsi="Times New Roman"/>
          <w:b w:val="0"/>
          <w:bCs/>
          <w:sz w:val="22"/>
          <w:szCs w:val="22"/>
          <w:lang w:val="en-US" w:eastAsia="ja-JP"/>
        </w:rPr>
        <w:t xml:space="preserve"> levels </w:t>
      </w:r>
      <w:r w:rsidR="00CF72D2" w:rsidRPr="00C40A28">
        <w:rPr>
          <w:rFonts w:ascii="Times New Roman" w:hAnsi="Times New Roman"/>
          <w:b w:val="0"/>
          <w:bCs/>
          <w:sz w:val="22"/>
          <w:szCs w:val="22"/>
          <w:lang w:val="en-US" w:eastAsia="ja-JP"/>
        </w:rPr>
        <w:t xml:space="preserve">of </w:t>
      </w:r>
      <w:r w:rsidR="004F228A" w:rsidRPr="00C40A28">
        <w:rPr>
          <w:rFonts w:ascii="Times New Roman" w:hAnsi="Times New Roman"/>
          <w:b w:val="0"/>
          <w:bCs/>
          <w:sz w:val="22"/>
          <w:szCs w:val="22"/>
          <w:lang w:val="en-US" w:eastAsia="ja-JP"/>
        </w:rPr>
        <w:t>di</w:t>
      </w:r>
      <w:r w:rsidR="007E35F3" w:rsidRPr="00C40A28">
        <w:rPr>
          <w:rFonts w:ascii="Times New Roman" w:hAnsi="Times New Roman"/>
          <w:b w:val="0"/>
          <w:bCs/>
          <w:sz w:val="22"/>
          <w:szCs w:val="22"/>
          <w:lang w:val="en-US" w:eastAsia="ja-JP"/>
        </w:rPr>
        <w:t>acyl</w:t>
      </w:r>
      <w:r w:rsidR="00EB7B0E" w:rsidRPr="00C40A28">
        <w:rPr>
          <w:rFonts w:ascii="Times New Roman" w:hAnsi="Times New Roman"/>
          <w:b w:val="0"/>
          <w:bCs/>
          <w:sz w:val="22"/>
          <w:szCs w:val="22"/>
          <w:lang w:val="en-US" w:eastAsia="ja-JP"/>
        </w:rPr>
        <w:t>glycer</w:t>
      </w:r>
      <w:r w:rsidR="00EA6F5D" w:rsidRPr="00C40A28">
        <w:rPr>
          <w:rFonts w:ascii="Times New Roman" w:hAnsi="Times New Roman"/>
          <w:b w:val="0"/>
          <w:bCs/>
          <w:sz w:val="22"/>
          <w:szCs w:val="22"/>
          <w:lang w:val="en-US" w:eastAsia="ja-JP"/>
        </w:rPr>
        <w:t>ol</w:t>
      </w:r>
      <w:r w:rsidR="004D2AC6" w:rsidRPr="00C40A28">
        <w:rPr>
          <w:rFonts w:ascii="Times New Roman" w:hAnsi="Times New Roman"/>
          <w:b w:val="0"/>
          <w:bCs/>
          <w:sz w:val="22"/>
          <w:szCs w:val="22"/>
          <w:lang w:val="en-US" w:eastAsia="ja-JP"/>
        </w:rPr>
        <w:t>s</w:t>
      </w:r>
      <w:r w:rsidR="00740974" w:rsidRPr="00C40A28">
        <w:rPr>
          <w:rFonts w:ascii="Times New Roman" w:hAnsi="Times New Roman"/>
          <w:b w:val="0"/>
          <w:bCs/>
          <w:sz w:val="22"/>
          <w:szCs w:val="22"/>
          <w:lang w:val="en-US" w:eastAsia="ja-JP"/>
        </w:rPr>
        <w:t>,</w:t>
      </w:r>
      <w:r w:rsidR="00913764" w:rsidRPr="00C40A28">
        <w:rPr>
          <w:rFonts w:ascii="Times New Roman" w:hAnsi="Times New Roman"/>
          <w:b w:val="0"/>
          <w:bCs/>
          <w:sz w:val="22"/>
          <w:szCs w:val="22"/>
          <w:lang w:val="en-US" w:eastAsia="ja-JP"/>
        </w:rPr>
        <w:t xml:space="preserve"> </w:t>
      </w:r>
      <w:r w:rsidR="004F228A" w:rsidRPr="00C40A28">
        <w:rPr>
          <w:rFonts w:ascii="Times New Roman" w:hAnsi="Times New Roman"/>
          <w:b w:val="0"/>
          <w:bCs/>
          <w:sz w:val="22"/>
          <w:szCs w:val="22"/>
          <w:lang w:val="en-US" w:eastAsia="ja-JP"/>
        </w:rPr>
        <w:t>which</w:t>
      </w:r>
      <w:r w:rsidR="00271632" w:rsidRPr="00C40A28">
        <w:rPr>
          <w:rFonts w:ascii="Times New Roman" w:hAnsi="Times New Roman"/>
          <w:b w:val="0"/>
          <w:bCs/>
          <w:sz w:val="22"/>
          <w:szCs w:val="22"/>
          <w:lang w:val="en-US" w:eastAsia="ja-JP"/>
        </w:rPr>
        <w:t xml:space="preserve"> inhibit</w:t>
      </w:r>
      <w:r w:rsidR="000D1D7D" w:rsidRPr="00C40A28">
        <w:rPr>
          <w:rFonts w:ascii="Times New Roman" w:hAnsi="Times New Roman"/>
          <w:b w:val="0"/>
          <w:bCs/>
          <w:sz w:val="22"/>
          <w:szCs w:val="22"/>
          <w:lang w:val="en-US" w:eastAsia="ja-JP"/>
        </w:rPr>
        <w:t xml:space="preserve"> </w:t>
      </w:r>
      <w:r w:rsidR="004F228A" w:rsidRPr="00C40A28">
        <w:rPr>
          <w:rFonts w:ascii="Times New Roman" w:hAnsi="Times New Roman"/>
          <w:b w:val="0"/>
          <w:bCs/>
          <w:sz w:val="22"/>
          <w:szCs w:val="22"/>
          <w:lang w:val="en-US" w:eastAsia="ja-JP"/>
        </w:rPr>
        <w:t xml:space="preserve">insulin </w:t>
      </w:r>
      <w:r w:rsidR="007E35F3" w:rsidRPr="00C40A28">
        <w:rPr>
          <w:rFonts w:ascii="Times New Roman" w:hAnsi="Times New Roman"/>
          <w:b w:val="0"/>
          <w:bCs/>
          <w:sz w:val="22"/>
          <w:szCs w:val="22"/>
          <w:lang w:val="en-US" w:eastAsia="ja-JP"/>
        </w:rPr>
        <w:t xml:space="preserve">signaling </w:t>
      </w:r>
      <w:r w:rsidR="00271632" w:rsidRPr="00C40A28">
        <w:rPr>
          <w:rFonts w:ascii="Times New Roman" w:hAnsi="Times New Roman"/>
          <w:b w:val="0"/>
          <w:bCs/>
          <w:sz w:val="22"/>
          <w:szCs w:val="22"/>
          <w:lang w:val="en-US" w:eastAsia="ja-JP"/>
        </w:rPr>
        <w:t xml:space="preserve">and </w:t>
      </w:r>
      <w:r w:rsidR="00913764" w:rsidRPr="00C40A28">
        <w:rPr>
          <w:rFonts w:ascii="Times New Roman" w:hAnsi="Times New Roman"/>
          <w:b w:val="0"/>
          <w:bCs/>
          <w:sz w:val="22"/>
          <w:szCs w:val="22"/>
          <w:lang w:val="en-US" w:eastAsia="ja-JP"/>
        </w:rPr>
        <w:t>impair</w:t>
      </w:r>
      <w:r w:rsidR="00271632" w:rsidRPr="00C40A28">
        <w:rPr>
          <w:rFonts w:ascii="Times New Roman" w:hAnsi="Times New Roman"/>
          <w:b w:val="0"/>
          <w:bCs/>
          <w:sz w:val="22"/>
          <w:szCs w:val="22"/>
          <w:lang w:val="en-US" w:eastAsia="ja-JP"/>
        </w:rPr>
        <w:t xml:space="preserve"> insulin </w:t>
      </w:r>
      <w:r w:rsidR="00913764" w:rsidRPr="00C40A28">
        <w:rPr>
          <w:rFonts w:ascii="Times New Roman" w:hAnsi="Times New Roman"/>
          <w:b w:val="0"/>
          <w:bCs/>
          <w:sz w:val="22"/>
          <w:szCs w:val="22"/>
          <w:lang w:val="en-US" w:eastAsia="ja-JP"/>
        </w:rPr>
        <w:t xml:space="preserve">sensitivity </w:t>
      </w:r>
      <w:r w:rsidR="007E35F3" w:rsidRPr="00C40A28">
        <w:rPr>
          <w:rFonts w:ascii="Times New Roman" w:hAnsi="Times New Roman"/>
          <w:b w:val="0"/>
          <w:bCs/>
          <w:sz w:val="22"/>
          <w:szCs w:val="22"/>
          <w:lang w:val="en-US" w:eastAsia="ja-JP"/>
        </w:rPr>
        <w:t>in skeletal muscle</w:t>
      </w:r>
      <w:r w:rsidR="00270284" w:rsidRPr="00C40A28">
        <w:rPr>
          <w:rFonts w:ascii="Times New Roman" w:hAnsi="Times New Roman"/>
          <w:b w:val="0"/>
          <w:bCs/>
          <w:sz w:val="22"/>
          <w:szCs w:val="22"/>
          <w:lang w:val="en-US" w:eastAsia="ja-JP"/>
        </w:rPr>
        <w:t xml:space="preserve"> </w:t>
      </w:r>
      <w:r w:rsidR="007E35F3" w:rsidRPr="00C40A28">
        <w:rPr>
          <w:rFonts w:ascii="Times New Roman" w:hAnsi="Times New Roman"/>
          <w:b w:val="0"/>
          <w:bCs/>
          <w:sz w:val="22"/>
          <w:szCs w:val="22"/>
          <w:lang w:val="en-US" w:eastAsia="ja-JP"/>
        </w:rPr>
        <w:fldChar w:fldCharType="begin" w:fldLock="1"/>
      </w:r>
      <w:r w:rsidR="006E5B40" w:rsidRPr="00C40A28">
        <w:rPr>
          <w:rFonts w:ascii="Times New Roman" w:hAnsi="Times New Roman"/>
          <w:b w:val="0"/>
          <w:bCs/>
          <w:sz w:val="22"/>
          <w:szCs w:val="22"/>
          <w:lang w:val="en-US" w:eastAsia="ja-JP"/>
        </w:rPr>
        <w:instrText>ADDIN CSL_CITATION {"citationItems":[{"id":"ITEM-1","itemData":{"DOI":"10.1038/nm0410-400","ISSN":"1546-170X","PMID":"20376053","abstract":"Understanding the molecular mechanisms of insulin resistance remains a major medical challenge of the twenty-first century. Over the last half-century, many hypotheses have been proposed to explain insulin resistance, and, most recently, inflammation associated with alterations in adipocytokines has become the prevailing hypothesis. Here we discuss diacylglycerol-mediated insulin resistance as an alternative and unifying hypothesis to explain the most common forms of insulin resistance associated with obesity and type 2 diabetes mellitus, as well as lipodystrophy and aging.","author":[{"dropping-particle":"","family":"Erion","given":"Derek M","non-dropping-particle":"","parse-names":false,"suffix":""},{"dropping-particle":"","family":"Shulman","given":"Gerald I","non-dropping-particle":"","parse-names":false,"suffix":""}],"container-title":"Nat Med","id":"ITEM-1","issue":"4","issued":{"date-parts":[["2010","4"]]},"page":"400-2","title":"Diacylglycerol-mediated insulin resistance.","type":"article-journal","volume":"16"},"uris":["http://www.mendeley.com/documents/?uuid=0f821c3a-93fb-4f0d-bf0f-3cfc344f2075"]}],"mendeley":{"formattedCitation":"[28]","plainTextFormattedCitation":"[28]","previouslyFormattedCitation":"[28]"},"properties":{"noteIndex":0},"schema":"https://github.com/citation-style-language/schema/raw/master/csl-citation.json"}</w:instrText>
      </w:r>
      <w:r w:rsidR="007E35F3" w:rsidRPr="00C40A28">
        <w:rPr>
          <w:rFonts w:ascii="Times New Roman" w:hAnsi="Times New Roman"/>
          <w:b w:val="0"/>
          <w:bCs/>
          <w:sz w:val="22"/>
          <w:szCs w:val="22"/>
          <w:lang w:val="en-US" w:eastAsia="ja-JP"/>
        </w:rPr>
        <w:fldChar w:fldCharType="separate"/>
      </w:r>
      <w:r w:rsidR="00C235E4" w:rsidRPr="00C40A28">
        <w:rPr>
          <w:rFonts w:ascii="Times New Roman" w:hAnsi="Times New Roman"/>
          <w:b w:val="0"/>
          <w:bCs/>
          <w:noProof/>
          <w:sz w:val="22"/>
          <w:szCs w:val="22"/>
          <w:lang w:val="en-US" w:eastAsia="ja-JP"/>
        </w:rPr>
        <w:t>[28]</w:t>
      </w:r>
      <w:r w:rsidR="007E35F3" w:rsidRPr="00C40A28">
        <w:rPr>
          <w:rFonts w:ascii="Times New Roman" w:hAnsi="Times New Roman"/>
          <w:b w:val="0"/>
          <w:bCs/>
          <w:sz w:val="22"/>
          <w:szCs w:val="22"/>
          <w:lang w:val="en-US" w:eastAsia="ja-JP"/>
        </w:rPr>
        <w:fldChar w:fldCharType="end"/>
      </w:r>
      <w:r w:rsidR="00271632" w:rsidRPr="00C40A28">
        <w:rPr>
          <w:rFonts w:ascii="Times New Roman" w:hAnsi="Times New Roman"/>
          <w:b w:val="0"/>
          <w:bCs/>
          <w:sz w:val="22"/>
          <w:szCs w:val="22"/>
          <w:lang w:val="en-US" w:eastAsia="ja-JP"/>
        </w:rPr>
        <w:t>.</w:t>
      </w:r>
      <w:r w:rsidR="006A430C">
        <w:rPr>
          <w:rFonts w:ascii="Times New Roman" w:hAnsi="Times New Roman"/>
          <w:b w:val="0"/>
          <w:bCs/>
          <w:sz w:val="22"/>
          <w:szCs w:val="22"/>
          <w:lang w:val="en-US" w:eastAsia="ja-JP"/>
        </w:rPr>
        <w:t xml:space="preserve"> </w:t>
      </w:r>
      <w:r w:rsidR="000D1D7D" w:rsidRPr="00C40A28">
        <w:rPr>
          <w:rFonts w:ascii="Times New Roman" w:hAnsi="Times New Roman"/>
          <w:b w:val="0"/>
          <w:bCs/>
          <w:sz w:val="22"/>
          <w:szCs w:val="22"/>
          <w:lang w:val="en-US" w:eastAsia="ja-JP"/>
        </w:rPr>
        <w:t xml:space="preserve">These </w:t>
      </w:r>
      <w:r w:rsidR="00B21F42" w:rsidRPr="00C40A28">
        <w:rPr>
          <w:rFonts w:ascii="Times New Roman" w:hAnsi="Times New Roman"/>
          <w:b w:val="0"/>
          <w:bCs/>
          <w:sz w:val="22"/>
          <w:szCs w:val="22"/>
          <w:lang w:val="en-US" w:eastAsia="ja-JP"/>
        </w:rPr>
        <w:t>mechanis</w:t>
      </w:r>
      <w:r w:rsidR="000D1D7D" w:rsidRPr="00C40A28">
        <w:rPr>
          <w:rFonts w:ascii="Times New Roman" w:hAnsi="Times New Roman"/>
          <w:b w:val="0"/>
          <w:bCs/>
          <w:sz w:val="22"/>
          <w:szCs w:val="22"/>
          <w:lang w:val="en-US" w:eastAsia="ja-JP"/>
        </w:rPr>
        <w:t>tic effects</w:t>
      </w:r>
      <w:r w:rsidR="00B21F42" w:rsidRPr="00C40A28">
        <w:rPr>
          <w:rFonts w:ascii="Times New Roman" w:hAnsi="Times New Roman"/>
          <w:b w:val="0"/>
          <w:bCs/>
          <w:sz w:val="22"/>
          <w:szCs w:val="22"/>
          <w:lang w:val="en-US" w:eastAsia="ja-JP"/>
        </w:rPr>
        <w:t xml:space="preserve"> support our </w:t>
      </w:r>
      <w:r w:rsidR="00CF72D2" w:rsidRPr="00C40A28">
        <w:rPr>
          <w:rFonts w:ascii="Times New Roman" w:hAnsi="Times New Roman"/>
          <w:b w:val="0"/>
          <w:bCs/>
          <w:sz w:val="22"/>
          <w:szCs w:val="22"/>
          <w:lang w:val="en-US" w:eastAsia="ja-JP"/>
        </w:rPr>
        <w:t xml:space="preserve">current </w:t>
      </w:r>
      <w:r w:rsidR="00B21F42" w:rsidRPr="00C40A28">
        <w:rPr>
          <w:rFonts w:ascii="Times New Roman" w:hAnsi="Times New Roman"/>
          <w:b w:val="0"/>
          <w:bCs/>
          <w:sz w:val="22"/>
          <w:szCs w:val="22"/>
          <w:lang w:val="en-US" w:eastAsia="ja-JP"/>
        </w:rPr>
        <w:t xml:space="preserve">findings </w:t>
      </w:r>
      <w:r w:rsidR="000D1D7D" w:rsidRPr="00C40A28">
        <w:rPr>
          <w:rFonts w:ascii="Times New Roman" w:hAnsi="Times New Roman"/>
          <w:b w:val="0"/>
          <w:bCs/>
          <w:sz w:val="22"/>
          <w:szCs w:val="22"/>
          <w:lang w:val="en-US" w:eastAsia="ja-JP"/>
        </w:rPr>
        <w:t xml:space="preserve">of a robust positive association between </w:t>
      </w:r>
      <w:r w:rsidR="000D1D7D" w:rsidRPr="00C40A28">
        <w:rPr>
          <w:rFonts w:ascii="Times New Roman" w:hAnsi="Times New Roman"/>
          <w:b w:val="0"/>
          <w:bCs/>
          <w:i/>
          <w:sz w:val="22"/>
          <w:szCs w:val="22"/>
          <w:lang w:val="en-US" w:eastAsia="ja-JP"/>
        </w:rPr>
        <w:t>in vivo</w:t>
      </w:r>
      <w:r w:rsidR="000D1D7D" w:rsidRPr="00C40A28">
        <w:rPr>
          <w:rFonts w:ascii="Times New Roman" w:hAnsi="Times New Roman"/>
          <w:b w:val="0"/>
          <w:bCs/>
          <w:sz w:val="22"/>
          <w:szCs w:val="22"/>
          <w:lang w:val="en-US" w:eastAsia="ja-JP"/>
        </w:rPr>
        <w:t xml:space="preserve"> </w:t>
      </w:r>
      <w:r w:rsidR="00B21F42" w:rsidRPr="00C40A28">
        <w:rPr>
          <w:rFonts w:ascii="Times New Roman" w:hAnsi="Times New Roman"/>
          <w:b w:val="0"/>
          <w:bCs/>
          <w:sz w:val="22"/>
          <w:szCs w:val="22"/>
          <w:lang w:val="en-US" w:eastAsia="ja-JP"/>
        </w:rPr>
        <w:t xml:space="preserve">16:0 concentrations </w:t>
      </w:r>
      <w:r w:rsidR="000D1D7D" w:rsidRPr="00C40A28">
        <w:rPr>
          <w:rFonts w:ascii="Times New Roman" w:hAnsi="Times New Roman"/>
          <w:b w:val="0"/>
          <w:bCs/>
          <w:sz w:val="22"/>
          <w:szCs w:val="22"/>
          <w:lang w:val="en-US" w:eastAsia="ja-JP"/>
        </w:rPr>
        <w:t>and incidence of</w:t>
      </w:r>
      <w:r w:rsidR="0062141B" w:rsidRPr="00C40A28">
        <w:rPr>
          <w:rFonts w:ascii="Times New Roman" w:hAnsi="Times New Roman"/>
          <w:b w:val="0"/>
          <w:bCs/>
          <w:sz w:val="22"/>
          <w:szCs w:val="22"/>
          <w:lang w:val="en-US" w:eastAsia="ja-JP"/>
        </w:rPr>
        <w:t xml:space="preserve"> T2D</w:t>
      </w:r>
      <w:r w:rsidR="00B21F42" w:rsidRPr="00C40A28">
        <w:rPr>
          <w:rFonts w:ascii="Times New Roman" w:hAnsi="Times New Roman"/>
          <w:b w:val="0"/>
          <w:bCs/>
          <w:sz w:val="22"/>
          <w:szCs w:val="22"/>
          <w:lang w:val="en-US" w:eastAsia="ja-JP"/>
        </w:rPr>
        <w:t>.</w:t>
      </w:r>
    </w:p>
    <w:p w14:paraId="4F606C8E" w14:textId="51174A60" w:rsidR="00E54505" w:rsidRPr="00C40A28" w:rsidRDefault="00313EBE" w:rsidP="00924442">
      <w:pPr>
        <w:pStyle w:val="BodyTextIndent"/>
        <w:spacing w:line="480" w:lineRule="auto"/>
        <w:ind w:left="0" w:firstLine="567"/>
        <w:rPr>
          <w:rFonts w:ascii="Times New Roman" w:hAnsi="Times New Roman"/>
          <w:b w:val="0"/>
          <w:bCs/>
          <w:sz w:val="22"/>
          <w:szCs w:val="22"/>
          <w:lang w:val="en-US" w:eastAsia="ja-JP"/>
        </w:rPr>
      </w:pPr>
      <w:r w:rsidRPr="00C40A28">
        <w:rPr>
          <w:rFonts w:ascii="Times New Roman" w:hAnsi="Times New Roman"/>
          <w:b w:val="0"/>
          <w:bCs/>
          <w:sz w:val="22"/>
          <w:szCs w:val="22"/>
          <w:lang w:val="en-US" w:eastAsia="ja-JP"/>
        </w:rPr>
        <w:t>16:1n7 positively correlated with 16:0, and mutual adjustment partly</w:t>
      </w:r>
      <w:r w:rsidR="00FD3D18" w:rsidRPr="00C40A28">
        <w:rPr>
          <w:rFonts w:ascii="Times New Roman" w:hAnsi="Times New Roman"/>
          <w:b w:val="0"/>
          <w:bCs/>
          <w:sz w:val="22"/>
          <w:szCs w:val="22"/>
          <w:lang w:val="en-US" w:eastAsia="ja-JP"/>
        </w:rPr>
        <w:t xml:space="preserve"> but not fully</w:t>
      </w:r>
      <w:r w:rsidRPr="00C40A28">
        <w:rPr>
          <w:rFonts w:ascii="Times New Roman" w:hAnsi="Times New Roman"/>
          <w:b w:val="0"/>
          <w:bCs/>
          <w:sz w:val="22"/>
          <w:szCs w:val="22"/>
          <w:lang w:val="en-US" w:eastAsia="ja-JP"/>
        </w:rPr>
        <w:t xml:space="preserve"> attenuated the association between 16:1n7 and T2D.</w:t>
      </w:r>
      <w:r w:rsidR="006A430C">
        <w:rPr>
          <w:rFonts w:ascii="Times New Roman" w:hAnsi="Times New Roman"/>
          <w:b w:val="0"/>
          <w:bCs/>
          <w:sz w:val="22"/>
          <w:szCs w:val="22"/>
          <w:lang w:val="en-US" w:eastAsia="ja-JP"/>
        </w:rPr>
        <w:t xml:space="preserve"> </w:t>
      </w:r>
      <w:r w:rsidRPr="00C40A28">
        <w:rPr>
          <w:rFonts w:ascii="Times New Roman" w:hAnsi="Times New Roman"/>
          <w:b w:val="0"/>
          <w:bCs/>
          <w:sz w:val="22"/>
          <w:szCs w:val="22"/>
          <w:lang w:val="en-US" w:eastAsia="ja-JP"/>
        </w:rPr>
        <w:t>In</w:t>
      </w:r>
      <w:r w:rsidR="00271632" w:rsidRPr="00C40A28">
        <w:rPr>
          <w:rFonts w:ascii="Times New Roman" w:hAnsi="Times New Roman"/>
          <w:b w:val="0"/>
          <w:bCs/>
          <w:sz w:val="22"/>
          <w:szCs w:val="22"/>
          <w:lang w:val="en-US" w:eastAsia="ja-JP"/>
        </w:rPr>
        <w:t xml:space="preserve"> rodent</w:t>
      </w:r>
      <w:r w:rsidRPr="00C40A28">
        <w:rPr>
          <w:rFonts w:ascii="Times New Roman" w:hAnsi="Times New Roman"/>
          <w:b w:val="0"/>
          <w:bCs/>
          <w:sz w:val="22"/>
          <w:szCs w:val="22"/>
          <w:lang w:val="en-US" w:eastAsia="ja-JP"/>
        </w:rPr>
        <w:t>s</w:t>
      </w:r>
      <w:r w:rsidR="00EE47AE" w:rsidRPr="00C40A28">
        <w:rPr>
          <w:rFonts w:ascii="Times New Roman" w:hAnsi="Times New Roman"/>
          <w:b w:val="0"/>
          <w:bCs/>
          <w:sz w:val="22"/>
          <w:szCs w:val="22"/>
          <w:lang w:val="en-US" w:eastAsia="ja-JP"/>
        </w:rPr>
        <w:t xml:space="preserve">, </w:t>
      </w:r>
      <w:r w:rsidR="00271632" w:rsidRPr="00C40A28">
        <w:rPr>
          <w:rFonts w:ascii="Times New Roman" w:hAnsi="Times New Roman"/>
          <w:b w:val="0"/>
          <w:bCs/>
          <w:sz w:val="22"/>
          <w:szCs w:val="22"/>
          <w:lang w:val="en-US" w:eastAsia="ja-JP"/>
        </w:rPr>
        <w:t xml:space="preserve">blocking </w:t>
      </w:r>
      <w:r w:rsidR="00CF72D2" w:rsidRPr="00C40A28">
        <w:rPr>
          <w:rFonts w:ascii="Times New Roman" w:hAnsi="Times New Roman"/>
          <w:b w:val="0"/>
          <w:bCs/>
          <w:sz w:val="22"/>
          <w:szCs w:val="22"/>
          <w:lang w:val="en-US" w:eastAsia="ja-JP"/>
        </w:rPr>
        <w:t xml:space="preserve">the </w:t>
      </w:r>
      <w:r w:rsidR="00271632" w:rsidRPr="00C40A28">
        <w:rPr>
          <w:rFonts w:ascii="Times New Roman" w:hAnsi="Times New Roman"/>
          <w:b w:val="0"/>
          <w:bCs/>
          <w:sz w:val="22"/>
          <w:szCs w:val="22"/>
          <w:lang w:val="en-US" w:eastAsia="ja-JP"/>
        </w:rPr>
        <w:t xml:space="preserve">expression of </w:t>
      </w:r>
      <w:r w:rsidR="00C22524" w:rsidRPr="00C40A28">
        <w:rPr>
          <w:rFonts w:ascii="Times New Roman" w:hAnsi="Times New Roman"/>
          <w:b w:val="0"/>
          <w:bCs/>
          <w:sz w:val="22"/>
          <w:szCs w:val="22"/>
          <w:lang w:val="en-US" w:eastAsia="ja-JP"/>
        </w:rPr>
        <w:t>stearoyl-coenzyme A desaturase 1 gene</w:t>
      </w:r>
      <w:r w:rsidR="007260EC" w:rsidRPr="00C40A28">
        <w:rPr>
          <w:rFonts w:ascii="Times New Roman" w:hAnsi="Times New Roman"/>
          <w:b w:val="0"/>
          <w:bCs/>
          <w:sz w:val="22"/>
          <w:szCs w:val="22"/>
          <w:lang w:val="en-US" w:eastAsia="ja-JP"/>
        </w:rPr>
        <w:t xml:space="preserve"> (SCD)</w:t>
      </w:r>
      <w:r w:rsidR="00C22524" w:rsidRPr="00C40A28">
        <w:rPr>
          <w:rFonts w:ascii="Times New Roman" w:hAnsi="Times New Roman"/>
          <w:b w:val="0"/>
          <w:bCs/>
          <w:sz w:val="22"/>
          <w:szCs w:val="22"/>
          <w:lang w:val="en-US" w:eastAsia="ja-JP"/>
        </w:rPr>
        <w:t xml:space="preserve">, </w:t>
      </w:r>
      <w:r w:rsidR="00271632" w:rsidRPr="00C40A28">
        <w:rPr>
          <w:rFonts w:ascii="Times New Roman" w:hAnsi="Times New Roman"/>
          <w:b w:val="0"/>
          <w:bCs/>
          <w:sz w:val="22"/>
          <w:szCs w:val="22"/>
          <w:lang w:val="en-US" w:eastAsia="ja-JP"/>
        </w:rPr>
        <w:t xml:space="preserve">a rate-limiting </w:t>
      </w:r>
      <w:r w:rsidR="007260EC" w:rsidRPr="00C40A28">
        <w:rPr>
          <w:rFonts w:ascii="Times New Roman" w:hAnsi="Times New Roman"/>
          <w:b w:val="0"/>
          <w:bCs/>
          <w:sz w:val="22"/>
          <w:szCs w:val="22"/>
          <w:lang w:val="en-US" w:eastAsia="ja-JP"/>
        </w:rPr>
        <w:t>enzyme</w:t>
      </w:r>
      <w:r w:rsidR="00271632" w:rsidRPr="00C40A28">
        <w:rPr>
          <w:rFonts w:ascii="Times New Roman" w:hAnsi="Times New Roman"/>
          <w:b w:val="0"/>
          <w:bCs/>
          <w:sz w:val="22"/>
          <w:szCs w:val="22"/>
          <w:lang w:val="en-US" w:eastAsia="ja-JP"/>
        </w:rPr>
        <w:t xml:space="preserve"> </w:t>
      </w:r>
      <w:r w:rsidR="00EE47AE" w:rsidRPr="00C40A28">
        <w:rPr>
          <w:rFonts w:ascii="Times New Roman" w:hAnsi="Times New Roman"/>
          <w:b w:val="0"/>
          <w:bCs/>
          <w:sz w:val="22"/>
          <w:szCs w:val="22"/>
          <w:lang w:val="en-US" w:eastAsia="ja-JP"/>
        </w:rPr>
        <w:t>for synthesis of 16:1n7 from 16:0, protected against insulin resistance</w:t>
      </w:r>
      <w:r w:rsidR="006C19B6" w:rsidRPr="00C40A28">
        <w:rPr>
          <w:rFonts w:ascii="Times New Roman" w:hAnsi="Times New Roman"/>
          <w:b w:val="0"/>
          <w:bCs/>
          <w:sz w:val="22"/>
          <w:szCs w:val="22"/>
          <w:lang w:val="en-US" w:eastAsia="ja-JP"/>
        </w:rPr>
        <w:t xml:space="preserve"> </w:t>
      </w:r>
      <w:r w:rsidR="0033018E" w:rsidRPr="00C40A28">
        <w:rPr>
          <w:rFonts w:ascii="Times New Roman" w:hAnsi="Times New Roman"/>
          <w:b w:val="0"/>
          <w:bCs/>
          <w:sz w:val="22"/>
          <w:szCs w:val="22"/>
          <w:lang w:val="en-US" w:eastAsia="ja-JP"/>
        </w:rPr>
        <w:fldChar w:fldCharType="begin" w:fldLock="1"/>
      </w:r>
      <w:r w:rsidR="006E5B40" w:rsidRPr="00C40A28">
        <w:rPr>
          <w:rFonts w:ascii="Times New Roman" w:hAnsi="Times New Roman"/>
          <w:b w:val="0"/>
          <w:bCs/>
          <w:sz w:val="22"/>
          <w:szCs w:val="22"/>
          <w:lang w:val="en-US" w:eastAsia="ja-JP"/>
        </w:rPr>
        <w:instrText>ADDIN CSL_CITATION {"citationItems":[{"id":"ITEM-1","itemData":{"DOI":"10.1161/circulationaha.108.793182","abstract":"Background-- Stearoyl-coenzyme A desaturase 1 (SCD1) is a well-known enhancer of the metabolic syndrome. The purpose of the present study was to investigate the role of SCD1 in lipoprotein metabolism and atherosclerosis progression. Methods and Results-- Antisense oligonucleotides were used to inhibit SCD1 in a mouse model of hyperlipidemia and atherosclerosis (LDLr-/-Apob100/100). In agreement with previous reports, inhibition of SCD1 protected against diet-induced obesity, insulin resistance, and hepatic steatosis. Unexpectedly, however, SCD1 inhibition strongly promoted aortic atherosclerosis, which could not be reversed by dietary oleate. Further analyses revealed that SCD1 inhibition promoted accumulation of saturated fatty acids in plasma and tissues and reduced plasma triglyceride, yet had little impact on low-density lipoprotein cholesterol. Because dietary saturated fatty acids have been shown to promote inflammation through toll-like receptor 4, we examined macrophage toll-like receptor 4 function. Interestingly, SCD1 inhibition resulted in alterations in macrophage membrane lipid composition and marked hypersensitivity to toll-like receptor 4 agonists. Conclusions-- This study demonstrates that atherosclerosis can occur independently of obesity and insulin resistance and argues against SCD1 inhibition as a safe therapeutic target for the metabolic syndrome.","author":[{"dropping-particle":"","family":"Brown","given":"J Mark","non-dropping-particle":"","parse-names":false,"suffix":""},{"dropping-particle":"","family":"Chung","given":"Soonkyu","non-dropping-particle":"","parse-names":false,"suffix":""},{"dropping-particle":"","family":"Sawyer","given":"Janet K","non-dropping-particle":"","parse-names":false,"suffix":""},{"dropping-particle":"","family":"Degirolamo","given":"Chiara","non-dropping-particle":"","parse-names":false,"suffix":""},{"dropping-particle":"","family":"Alger","given":"Heather M","non-dropping-particle":"","parse-names":false,"suffix":""},{"dropping-particle":"","family":"Nguyen","given":"Tam","non-dropping-particle":"","parse-names":false,"suffix":""},{"dropping-particle":"","family":"Zhu","given":"Xuewei","non-dropping-particle":"","parse-names":false,"suffix":""},{"dropping-particle":"","family":"Duong","given":"My-Ngan","non-dropping-particle":"","parse-names":false,"suffix":""},{"dropping-particle":"","family":"Wibley","given":"Amanda L","non-dropping-particle":"","parse-names":false,"suffix":""},{"dropping-particle":"","family":"Shah","given":"Ramesh","non-dropping-particle":"","parse-names":false,"suffix":""},{"dropping-particle":"","family":"Davis","given":"Matthew A","non-dropping-particle":"","parse-names":false,"suffix":""},{"dropping-particle":"","family":"Kelley","given":"Kathryn","non-dropping-particle":"","parse-names":false,"suffix":""},{"dropping-particle":"","family":"Wilson","given":"Martha D","non-dropping-particle":"","parse-names":false,"suffix":""},{"dropping-particle":"","family":"Kent","given":"Carol","non-dropping-particle":"","parse-names":false,"suffix":""},{"dropping-particle":"","family":"Parks","given":"John S","non-dropping-particle":"","parse-names":false,"suffix":""},{"dropping-particle":"","family":"Rudel","given":"Lawrence L","non-dropping-particle":"","parse-names":false,"suffix":""}],"container-title":"Circulation","id":"ITEM-1","issue":"14","issued":{"date-parts":[["2008"]]},"page":"1467-1475","title":"Inhibition of Stearoyl-Coenzyme A Desaturase 1 Dissociates Insulin Resistance and Obesity From Atherosclerosis","type":"article-journal","volume":"118"},"uris":["http://www.mendeley.com/documents/?uuid=2b49bd27-f002-4e8b-ae66-677ff65b372d"]}],"mendeley":{"formattedCitation":"[29]","plainTextFormattedCitation":"[29]","previouslyFormattedCitation":"[29]"},"properties":{"noteIndex":0},"schema":"https://github.com/citation-style-language/schema/raw/master/csl-citation.json"}</w:instrText>
      </w:r>
      <w:r w:rsidR="0033018E" w:rsidRPr="00C40A28">
        <w:rPr>
          <w:rFonts w:ascii="Times New Roman" w:hAnsi="Times New Roman"/>
          <w:b w:val="0"/>
          <w:bCs/>
          <w:sz w:val="22"/>
          <w:szCs w:val="22"/>
          <w:lang w:val="en-US" w:eastAsia="ja-JP"/>
        </w:rPr>
        <w:fldChar w:fldCharType="separate"/>
      </w:r>
      <w:r w:rsidR="00C235E4" w:rsidRPr="00C40A28">
        <w:rPr>
          <w:rFonts w:ascii="Times New Roman" w:hAnsi="Times New Roman"/>
          <w:b w:val="0"/>
          <w:bCs/>
          <w:noProof/>
          <w:sz w:val="22"/>
          <w:szCs w:val="22"/>
          <w:lang w:val="en-US" w:eastAsia="ja-JP"/>
        </w:rPr>
        <w:t>[29]</w:t>
      </w:r>
      <w:r w:rsidR="0033018E" w:rsidRPr="00C40A28">
        <w:rPr>
          <w:rFonts w:ascii="Times New Roman" w:hAnsi="Times New Roman"/>
          <w:b w:val="0"/>
          <w:bCs/>
          <w:sz w:val="22"/>
          <w:szCs w:val="22"/>
          <w:lang w:val="en-US" w:eastAsia="ja-JP"/>
        </w:rPr>
        <w:fldChar w:fldCharType="end"/>
      </w:r>
      <w:r w:rsidR="00C22524" w:rsidRPr="00C40A28">
        <w:rPr>
          <w:rFonts w:ascii="Times New Roman" w:hAnsi="Times New Roman"/>
          <w:b w:val="0"/>
          <w:bCs/>
          <w:sz w:val="22"/>
          <w:szCs w:val="22"/>
          <w:lang w:val="en-US" w:eastAsia="ja-JP"/>
        </w:rPr>
        <w:t>.</w:t>
      </w:r>
      <w:r w:rsidR="00FD3D18" w:rsidRPr="00C40A28">
        <w:rPr>
          <w:rFonts w:ascii="Times New Roman" w:hAnsi="Times New Roman"/>
          <w:b w:val="0"/>
          <w:bCs/>
          <w:sz w:val="22"/>
          <w:szCs w:val="22"/>
          <w:lang w:val="en-US" w:eastAsia="ja-JP"/>
        </w:rPr>
        <w:t xml:space="preserve"> Our results support the need for future mechanistic investigations</w:t>
      </w:r>
      <w:r w:rsidR="00FD3D18" w:rsidRPr="00C40A28" w:rsidDel="00FD3D18">
        <w:rPr>
          <w:rFonts w:ascii="Times New Roman" w:hAnsi="Times New Roman"/>
          <w:b w:val="0"/>
          <w:bCs/>
          <w:sz w:val="22"/>
          <w:szCs w:val="22"/>
          <w:lang w:val="en-US" w:eastAsia="ja-JP"/>
        </w:rPr>
        <w:t xml:space="preserve"> </w:t>
      </w:r>
      <w:r w:rsidR="00FD3D18" w:rsidRPr="00C40A28">
        <w:rPr>
          <w:rFonts w:ascii="Times New Roman" w:hAnsi="Times New Roman"/>
          <w:b w:val="0"/>
          <w:bCs/>
          <w:sz w:val="22"/>
          <w:szCs w:val="22"/>
          <w:lang w:val="en-US" w:eastAsia="ja-JP"/>
        </w:rPr>
        <w:t>of</w:t>
      </w:r>
      <w:r w:rsidR="007E35F3" w:rsidRPr="00C40A28">
        <w:rPr>
          <w:rFonts w:ascii="Times New Roman" w:hAnsi="Times New Roman"/>
          <w:b w:val="0"/>
          <w:bCs/>
          <w:sz w:val="22"/>
          <w:szCs w:val="22"/>
          <w:lang w:val="en-US" w:eastAsia="ja-JP"/>
        </w:rPr>
        <w:t xml:space="preserve"> </w:t>
      </w:r>
      <w:r w:rsidR="00FD3D18" w:rsidRPr="00C40A28">
        <w:rPr>
          <w:rFonts w:ascii="Times New Roman" w:hAnsi="Times New Roman"/>
          <w:b w:val="0"/>
          <w:bCs/>
          <w:sz w:val="22"/>
          <w:szCs w:val="22"/>
          <w:lang w:val="en-US" w:eastAsia="ja-JP"/>
        </w:rPr>
        <w:t xml:space="preserve">whether </w:t>
      </w:r>
      <w:r w:rsidR="00033B22" w:rsidRPr="00C40A28">
        <w:rPr>
          <w:rFonts w:ascii="Times New Roman" w:hAnsi="Times New Roman"/>
          <w:b w:val="0"/>
          <w:bCs/>
          <w:sz w:val="22"/>
          <w:szCs w:val="22"/>
          <w:lang w:val="en-US" w:eastAsia="ja-JP"/>
        </w:rPr>
        <w:t xml:space="preserve">16:1n7 and 16:0 as well as </w:t>
      </w:r>
      <w:r w:rsidR="00FD3D18" w:rsidRPr="00C40A28">
        <w:rPr>
          <w:rFonts w:ascii="Times New Roman" w:hAnsi="Times New Roman"/>
          <w:b w:val="0"/>
          <w:bCs/>
          <w:sz w:val="22"/>
          <w:szCs w:val="22"/>
          <w:lang w:val="en-US" w:eastAsia="ja-JP"/>
        </w:rPr>
        <w:t>hepatic DNL and</w:t>
      </w:r>
      <w:r w:rsidR="00CF72D2" w:rsidRPr="00C40A28">
        <w:rPr>
          <w:rFonts w:ascii="Times New Roman" w:hAnsi="Times New Roman"/>
          <w:b w:val="0"/>
          <w:bCs/>
          <w:sz w:val="22"/>
          <w:szCs w:val="22"/>
          <w:lang w:val="en-US" w:eastAsia="ja-JP"/>
        </w:rPr>
        <w:t xml:space="preserve"> </w:t>
      </w:r>
      <w:r w:rsidR="00FA4212" w:rsidRPr="00C40A28">
        <w:rPr>
          <w:rFonts w:ascii="Times New Roman" w:hAnsi="Times New Roman"/>
          <w:b w:val="0"/>
          <w:bCs/>
          <w:sz w:val="22"/>
          <w:szCs w:val="22"/>
          <w:lang w:val="en-US" w:eastAsia="ja-JP"/>
        </w:rPr>
        <w:t xml:space="preserve">SCD </w:t>
      </w:r>
      <w:r w:rsidR="00FD3D18" w:rsidRPr="00C40A28">
        <w:rPr>
          <w:rFonts w:ascii="Times New Roman" w:hAnsi="Times New Roman"/>
          <w:b w:val="0"/>
          <w:bCs/>
          <w:sz w:val="22"/>
          <w:szCs w:val="22"/>
          <w:lang w:val="en-US" w:eastAsia="ja-JP"/>
        </w:rPr>
        <w:t>activity have overlapping or partly</w:t>
      </w:r>
      <w:r w:rsidR="00FA4212" w:rsidRPr="00C40A28">
        <w:rPr>
          <w:rFonts w:ascii="Times New Roman" w:hAnsi="Times New Roman"/>
          <w:b w:val="0"/>
          <w:bCs/>
          <w:sz w:val="22"/>
          <w:szCs w:val="22"/>
          <w:lang w:val="en-US" w:eastAsia="ja-JP"/>
        </w:rPr>
        <w:t xml:space="preserve"> independent roles</w:t>
      </w:r>
      <w:r w:rsidR="00FD3D18" w:rsidRPr="00C40A28">
        <w:rPr>
          <w:rFonts w:ascii="Times New Roman" w:hAnsi="Times New Roman"/>
          <w:b w:val="0"/>
          <w:bCs/>
          <w:sz w:val="22"/>
          <w:szCs w:val="22"/>
          <w:lang w:val="en-US" w:eastAsia="ja-JP"/>
        </w:rPr>
        <w:t xml:space="preserve"> in the pathogenesis of T2D.</w:t>
      </w:r>
    </w:p>
    <w:p w14:paraId="57690DC6" w14:textId="11BAC5D6" w:rsidR="00885CB1" w:rsidRPr="00C40A28" w:rsidRDefault="00033B22" w:rsidP="00E45F9A">
      <w:pPr>
        <w:pStyle w:val="BodyTextIndent"/>
        <w:spacing w:line="480" w:lineRule="auto"/>
        <w:ind w:left="0" w:firstLine="567"/>
        <w:rPr>
          <w:rFonts w:ascii="Times New Roman" w:hAnsi="Times New Roman"/>
          <w:b w:val="0"/>
          <w:bCs/>
          <w:sz w:val="22"/>
          <w:szCs w:val="22"/>
          <w:lang w:val="en-US" w:eastAsia="ja-JP"/>
        </w:rPr>
      </w:pPr>
      <w:r w:rsidRPr="00C40A28">
        <w:rPr>
          <w:rFonts w:ascii="Times New Roman" w:hAnsi="Times New Roman"/>
          <w:b w:val="0"/>
          <w:bCs/>
          <w:sz w:val="22"/>
          <w:szCs w:val="22"/>
          <w:lang w:val="en-US" w:eastAsia="ja-JP"/>
        </w:rPr>
        <w:lastRenderedPageBreak/>
        <w:t>The major m</w:t>
      </w:r>
      <w:r w:rsidR="00E54505" w:rsidRPr="00C40A28">
        <w:rPr>
          <w:rFonts w:ascii="Times New Roman" w:hAnsi="Times New Roman"/>
          <w:b w:val="0"/>
          <w:bCs/>
          <w:sz w:val="22"/>
          <w:szCs w:val="22"/>
          <w:lang w:val="en-US" w:eastAsia="ja-JP"/>
        </w:rPr>
        <w:t xml:space="preserve">odifiable factors </w:t>
      </w:r>
      <w:r w:rsidRPr="00C40A28">
        <w:rPr>
          <w:rFonts w:ascii="Times New Roman" w:hAnsi="Times New Roman"/>
          <w:b w:val="0"/>
          <w:bCs/>
          <w:sz w:val="22"/>
          <w:szCs w:val="22"/>
          <w:lang w:val="en-US" w:eastAsia="ja-JP"/>
        </w:rPr>
        <w:t xml:space="preserve">which influence </w:t>
      </w:r>
      <w:r w:rsidR="00E54505" w:rsidRPr="00C40A28">
        <w:rPr>
          <w:rFonts w:ascii="Times New Roman" w:hAnsi="Times New Roman"/>
          <w:b w:val="0"/>
          <w:bCs/>
          <w:sz w:val="22"/>
          <w:szCs w:val="22"/>
          <w:lang w:val="en-US" w:eastAsia="ja-JP"/>
        </w:rPr>
        <w:t xml:space="preserve">circulating levels of 18:0 and 18:1n9 </w:t>
      </w:r>
      <w:r w:rsidRPr="00C40A28">
        <w:rPr>
          <w:rFonts w:ascii="Times New Roman" w:hAnsi="Times New Roman"/>
          <w:b w:val="0"/>
          <w:bCs/>
          <w:sz w:val="22"/>
          <w:szCs w:val="22"/>
          <w:lang w:val="en-US" w:eastAsia="ja-JP"/>
        </w:rPr>
        <w:t xml:space="preserve">are not well </w:t>
      </w:r>
      <w:r w:rsidR="005A0551" w:rsidRPr="00C40A28">
        <w:rPr>
          <w:rFonts w:ascii="Times New Roman" w:hAnsi="Times New Roman"/>
          <w:b w:val="0"/>
          <w:bCs/>
          <w:sz w:val="22"/>
          <w:szCs w:val="22"/>
          <w:lang w:val="en-US" w:eastAsia="ja-JP"/>
        </w:rPr>
        <w:t>characterized</w:t>
      </w:r>
      <w:r w:rsidR="00E54505" w:rsidRPr="00C40A28">
        <w:rPr>
          <w:rFonts w:ascii="Times New Roman" w:hAnsi="Times New Roman"/>
          <w:b w:val="0"/>
          <w:bCs/>
          <w:sz w:val="22"/>
          <w:szCs w:val="22"/>
          <w:lang w:val="en-US" w:eastAsia="ja-JP"/>
        </w:rPr>
        <w:t xml:space="preserve">. Lipid compartment-specific analyses of these fatty acids in total plasma/serum vs. </w:t>
      </w:r>
      <w:r w:rsidR="005A0551" w:rsidRPr="00C40A28">
        <w:rPr>
          <w:rFonts w:ascii="Times New Roman" w:hAnsi="Times New Roman"/>
          <w:b w:val="0"/>
          <w:bCs/>
          <w:sz w:val="22"/>
          <w:szCs w:val="22"/>
          <w:lang w:val="en-US" w:eastAsia="ja-JP"/>
        </w:rPr>
        <w:t>phospholipids</w:t>
      </w:r>
      <w:r w:rsidR="00E54505" w:rsidRPr="00C40A28">
        <w:rPr>
          <w:rFonts w:ascii="Times New Roman" w:hAnsi="Times New Roman"/>
          <w:b w:val="0"/>
          <w:bCs/>
          <w:sz w:val="22"/>
          <w:szCs w:val="22"/>
          <w:lang w:val="en-US" w:eastAsia="ja-JP"/>
        </w:rPr>
        <w:t xml:space="preserve"> suggested potentially varying associations with T2D</w:t>
      </w:r>
      <w:r w:rsidRPr="00C40A28">
        <w:rPr>
          <w:rFonts w:ascii="Times New Roman" w:hAnsi="Times New Roman"/>
          <w:b w:val="0"/>
          <w:bCs/>
          <w:sz w:val="22"/>
          <w:szCs w:val="22"/>
          <w:lang w:val="en-US" w:eastAsia="ja-JP"/>
        </w:rPr>
        <w:t xml:space="preserve">, although </w:t>
      </w:r>
      <w:r w:rsidR="004D3AE3" w:rsidRPr="00C40A28">
        <w:rPr>
          <w:rFonts w:ascii="Times New Roman" w:hAnsi="Times New Roman"/>
          <w:b w:val="0"/>
          <w:bCs/>
          <w:sz w:val="22"/>
          <w:szCs w:val="22"/>
          <w:lang w:val="en-US" w:eastAsia="ja-JP"/>
        </w:rPr>
        <w:t xml:space="preserve">the </w:t>
      </w:r>
      <w:r w:rsidRPr="00C40A28">
        <w:rPr>
          <w:rFonts w:ascii="Times New Roman" w:hAnsi="Times New Roman"/>
          <w:b w:val="0"/>
          <w:bCs/>
          <w:sz w:val="22"/>
          <w:szCs w:val="22"/>
          <w:lang w:val="en-US" w:eastAsia="ja-JP"/>
        </w:rPr>
        <w:t>availability of cohorts to confirm such heterogeneity was limited</w:t>
      </w:r>
      <w:r w:rsidR="00E54505" w:rsidRPr="00C40A28">
        <w:rPr>
          <w:rFonts w:ascii="Times New Roman" w:hAnsi="Times New Roman"/>
          <w:b w:val="0"/>
          <w:bCs/>
          <w:sz w:val="22"/>
          <w:szCs w:val="22"/>
          <w:lang w:val="en-US" w:eastAsia="ja-JP"/>
        </w:rPr>
        <w:t>.</w:t>
      </w:r>
      <w:r w:rsidR="006A430C">
        <w:rPr>
          <w:rFonts w:ascii="Times New Roman" w:hAnsi="Times New Roman"/>
          <w:b w:val="0"/>
          <w:bCs/>
          <w:sz w:val="22"/>
          <w:szCs w:val="22"/>
          <w:lang w:val="en-US" w:eastAsia="ja-JP"/>
        </w:rPr>
        <w:t xml:space="preserve"> </w:t>
      </w:r>
      <w:r w:rsidR="00E54505" w:rsidRPr="00C40A28">
        <w:rPr>
          <w:rFonts w:ascii="Times New Roman" w:hAnsi="Times New Roman"/>
          <w:b w:val="0"/>
          <w:bCs/>
          <w:sz w:val="22"/>
          <w:szCs w:val="22"/>
          <w:lang w:val="en-US" w:eastAsia="ja-JP"/>
        </w:rPr>
        <w:t xml:space="preserve">Further work is needed to </w:t>
      </w:r>
      <w:r w:rsidRPr="00C40A28">
        <w:rPr>
          <w:rFonts w:ascii="Times New Roman" w:hAnsi="Times New Roman"/>
          <w:b w:val="0"/>
          <w:bCs/>
          <w:sz w:val="22"/>
          <w:szCs w:val="22"/>
          <w:lang w:val="en-US" w:eastAsia="ja-JP"/>
        </w:rPr>
        <w:t xml:space="preserve">clarify the determinants, </w:t>
      </w:r>
      <w:r w:rsidR="00E54505" w:rsidRPr="00C40A28">
        <w:rPr>
          <w:rFonts w:ascii="Times New Roman" w:hAnsi="Times New Roman"/>
          <w:b w:val="0"/>
          <w:bCs/>
          <w:sz w:val="22"/>
          <w:szCs w:val="22"/>
          <w:lang w:val="en-US" w:eastAsia="ja-JP"/>
        </w:rPr>
        <w:t>roles</w:t>
      </w:r>
      <w:r w:rsidRPr="00C40A28">
        <w:rPr>
          <w:rFonts w:ascii="Times New Roman" w:hAnsi="Times New Roman"/>
          <w:b w:val="0"/>
          <w:bCs/>
          <w:sz w:val="22"/>
          <w:szCs w:val="22"/>
          <w:lang w:val="en-US" w:eastAsia="ja-JP"/>
        </w:rPr>
        <w:t>,</w:t>
      </w:r>
      <w:r w:rsidR="00C071BC" w:rsidRPr="00C40A28">
        <w:rPr>
          <w:rFonts w:ascii="Times New Roman" w:hAnsi="Times New Roman"/>
          <w:b w:val="0"/>
          <w:bCs/>
          <w:sz w:val="22"/>
          <w:szCs w:val="22"/>
          <w:lang w:val="en-US" w:eastAsia="ja-JP"/>
        </w:rPr>
        <w:t xml:space="preserve"> and effects on metabolic risk</w:t>
      </w:r>
      <w:r w:rsidR="00E54505" w:rsidRPr="00C40A28">
        <w:rPr>
          <w:rFonts w:ascii="Times New Roman" w:hAnsi="Times New Roman"/>
          <w:b w:val="0"/>
          <w:bCs/>
          <w:sz w:val="22"/>
          <w:szCs w:val="22"/>
          <w:lang w:val="en-US" w:eastAsia="ja-JP"/>
        </w:rPr>
        <w:t xml:space="preserve"> of 18:0 and 18:1n9 in different lipid fractions</w:t>
      </w:r>
      <w:r w:rsidR="00C071BC" w:rsidRPr="00C40A28">
        <w:rPr>
          <w:rFonts w:ascii="Times New Roman" w:hAnsi="Times New Roman"/>
          <w:b w:val="0"/>
          <w:bCs/>
          <w:sz w:val="22"/>
          <w:szCs w:val="22"/>
          <w:lang w:val="en-US" w:eastAsia="ja-JP"/>
        </w:rPr>
        <w:t xml:space="preserve">, including the potential </w:t>
      </w:r>
      <w:r w:rsidRPr="00C40A28">
        <w:rPr>
          <w:rFonts w:ascii="Times New Roman" w:hAnsi="Times New Roman"/>
          <w:b w:val="0"/>
          <w:bCs/>
          <w:sz w:val="22"/>
          <w:szCs w:val="22"/>
          <w:lang w:val="en-US" w:eastAsia="ja-JP"/>
        </w:rPr>
        <w:t xml:space="preserve">relevance of </w:t>
      </w:r>
      <w:r w:rsidR="004D3AE3" w:rsidRPr="00C40A28">
        <w:rPr>
          <w:rFonts w:ascii="Times New Roman" w:hAnsi="Times New Roman"/>
          <w:b w:val="0"/>
          <w:bCs/>
          <w:sz w:val="22"/>
          <w:szCs w:val="22"/>
          <w:lang w:val="en-US" w:eastAsia="ja-JP"/>
        </w:rPr>
        <w:t>DNL</w:t>
      </w:r>
      <w:r w:rsidR="00C071BC" w:rsidRPr="00C40A28">
        <w:rPr>
          <w:rFonts w:ascii="Times New Roman" w:hAnsi="Times New Roman"/>
          <w:b w:val="0"/>
          <w:bCs/>
          <w:sz w:val="22"/>
          <w:szCs w:val="22"/>
          <w:lang w:val="en-US" w:eastAsia="ja-JP"/>
        </w:rPr>
        <w:t xml:space="preserve"> </w:t>
      </w:r>
      <w:r w:rsidRPr="00C40A28">
        <w:rPr>
          <w:rFonts w:ascii="Times New Roman" w:hAnsi="Times New Roman"/>
          <w:b w:val="0"/>
          <w:bCs/>
          <w:sz w:val="22"/>
          <w:szCs w:val="22"/>
          <w:lang w:val="en-US" w:eastAsia="ja-JP"/>
        </w:rPr>
        <w:t xml:space="preserve">vs. </w:t>
      </w:r>
      <w:r w:rsidR="00E54505" w:rsidRPr="00C40A28">
        <w:rPr>
          <w:rFonts w:ascii="Times New Roman" w:hAnsi="Times New Roman"/>
          <w:b w:val="0"/>
          <w:bCs/>
          <w:sz w:val="22"/>
          <w:szCs w:val="22"/>
          <w:lang w:val="en-US" w:eastAsia="ja-JP"/>
        </w:rPr>
        <w:t xml:space="preserve">dietary </w:t>
      </w:r>
      <w:r w:rsidR="004D3AE3" w:rsidRPr="00C40A28">
        <w:rPr>
          <w:rFonts w:ascii="Times New Roman" w:hAnsi="Times New Roman"/>
          <w:b w:val="0"/>
          <w:bCs/>
          <w:sz w:val="22"/>
          <w:szCs w:val="22"/>
          <w:lang w:val="en-US" w:eastAsia="ja-JP"/>
        </w:rPr>
        <w:t>intakes</w:t>
      </w:r>
      <w:r w:rsidR="00C071BC" w:rsidRPr="00C40A28">
        <w:rPr>
          <w:rFonts w:ascii="Times New Roman" w:hAnsi="Times New Roman"/>
          <w:b w:val="0"/>
          <w:bCs/>
          <w:sz w:val="22"/>
          <w:szCs w:val="22"/>
          <w:lang w:val="en-US" w:eastAsia="ja-JP"/>
        </w:rPr>
        <w:t xml:space="preserve"> of these fatty acids.</w:t>
      </w:r>
      <w:r w:rsidR="00E45F9A" w:rsidRPr="00C40A28">
        <w:rPr>
          <w:rFonts w:ascii="Times New Roman" w:hAnsi="Times New Roman"/>
          <w:b w:val="0"/>
          <w:bCs/>
          <w:sz w:val="22"/>
          <w:szCs w:val="22"/>
          <w:lang w:val="en-US" w:eastAsia="ja-JP"/>
        </w:rPr>
        <w:t xml:space="preserve"> </w:t>
      </w:r>
    </w:p>
    <w:p w14:paraId="1844453D" w14:textId="6BE2BA89" w:rsidR="00B83585" w:rsidRPr="00C40A28" w:rsidRDefault="00C33C7C" w:rsidP="00E73664">
      <w:pPr>
        <w:pStyle w:val="BodyTextIndent"/>
        <w:spacing w:line="480" w:lineRule="auto"/>
        <w:ind w:left="0" w:firstLine="567"/>
        <w:rPr>
          <w:rFonts w:ascii="Times New Roman" w:hAnsi="Times New Roman"/>
          <w:b w:val="0"/>
          <w:bCs/>
          <w:sz w:val="22"/>
          <w:szCs w:val="22"/>
          <w:lang w:val="en-US" w:eastAsia="ja-JP"/>
        </w:rPr>
      </w:pPr>
      <w:r w:rsidRPr="00C40A28">
        <w:rPr>
          <w:rFonts w:ascii="Times New Roman" w:hAnsi="Times New Roman"/>
          <w:b w:val="0"/>
          <w:bCs/>
          <w:sz w:val="22"/>
          <w:szCs w:val="22"/>
          <w:lang w:val="en-US" w:eastAsia="ja-JP"/>
        </w:rPr>
        <w:t>A</w:t>
      </w:r>
      <w:r w:rsidR="006C19B6" w:rsidRPr="00C40A28">
        <w:rPr>
          <w:rFonts w:ascii="Times New Roman" w:hAnsi="Times New Roman"/>
          <w:b w:val="0"/>
          <w:bCs/>
          <w:sz w:val="22"/>
          <w:szCs w:val="22"/>
          <w:lang w:val="en-US" w:eastAsia="ja-JP"/>
        </w:rPr>
        <w:t xml:space="preserve"> number of lifestyle and dietary factors may regulate DNL</w:t>
      </w:r>
      <w:r w:rsidR="00517265" w:rsidRPr="00C40A28">
        <w:rPr>
          <w:rFonts w:ascii="Times New Roman" w:hAnsi="Times New Roman"/>
          <w:b w:val="0"/>
          <w:bCs/>
          <w:sz w:val="22"/>
          <w:szCs w:val="22"/>
          <w:lang w:val="en-US" w:eastAsia="ja-JP"/>
        </w:rPr>
        <w:t>.</w:t>
      </w:r>
      <w:r w:rsidR="006A430C">
        <w:rPr>
          <w:rFonts w:ascii="Times New Roman" w:hAnsi="Times New Roman"/>
          <w:b w:val="0"/>
          <w:bCs/>
          <w:sz w:val="22"/>
          <w:szCs w:val="22"/>
          <w:lang w:val="en-US" w:eastAsia="ja-JP"/>
        </w:rPr>
        <w:t xml:space="preserve"> </w:t>
      </w:r>
      <w:r w:rsidR="005E7608" w:rsidRPr="00C40A28">
        <w:rPr>
          <w:rFonts w:ascii="Times New Roman" w:hAnsi="Times New Roman"/>
          <w:b w:val="0"/>
          <w:bCs/>
          <w:sz w:val="22"/>
          <w:szCs w:val="22"/>
          <w:lang w:val="en-US" w:eastAsia="ja-JP"/>
        </w:rPr>
        <w:t>C</w:t>
      </w:r>
      <w:r w:rsidR="00617DFC" w:rsidRPr="00C40A28">
        <w:rPr>
          <w:rFonts w:ascii="Times New Roman" w:hAnsi="Times New Roman"/>
          <w:b w:val="0"/>
          <w:bCs/>
          <w:sz w:val="22"/>
          <w:szCs w:val="22"/>
          <w:lang w:val="en-US" w:eastAsia="ja-JP"/>
        </w:rPr>
        <w:t>onsumption</w:t>
      </w:r>
      <w:r w:rsidR="00C219AF" w:rsidRPr="00C40A28">
        <w:rPr>
          <w:rFonts w:ascii="Times New Roman" w:hAnsi="Times New Roman"/>
          <w:b w:val="0"/>
          <w:bCs/>
          <w:sz w:val="22"/>
          <w:szCs w:val="22"/>
          <w:lang w:val="en-US" w:eastAsia="ja-JP"/>
        </w:rPr>
        <w:t xml:space="preserve"> </w:t>
      </w:r>
      <w:r w:rsidR="00617DFC" w:rsidRPr="00C40A28">
        <w:rPr>
          <w:rFonts w:ascii="Times New Roman" w:hAnsi="Times New Roman"/>
          <w:b w:val="0"/>
          <w:bCs/>
          <w:sz w:val="22"/>
          <w:szCs w:val="22"/>
          <w:lang w:val="en-US" w:eastAsia="ja-JP"/>
        </w:rPr>
        <w:t xml:space="preserve">of </w:t>
      </w:r>
      <w:r w:rsidRPr="00C40A28">
        <w:rPr>
          <w:rFonts w:ascii="Times New Roman" w:hAnsi="Times New Roman"/>
          <w:b w:val="0"/>
          <w:bCs/>
          <w:sz w:val="22"/>
          <w:szCs w:val="22"/>
          <w:lang w:val="en-US" w:eastAsia="ja-JP"/>
        </w:rPr>
        <w:t xml:space="preserve">starch and </w:t>
      </w:r>
      <w:r w:rsidR="00C409B0" w:rsidRPr="00C40A28">
        <w:rPr>
          <w:rFonts w:ascii="Times New Roman" w:hAnsi="Times New Roman"/>
          <w:b w:val="0"/>
          <w:bCs/>
          <w:sz w:val="22"/>
          <w:szCs w:val="22"/>
          <w:lang w:val="en-US" w:eastAsia="ja-JP"/>
        </w:rPr>
        <w:t xml:space="preserve">sugars </w:t>
      </w:r>
      <w:r w:rsidR="006B06D4" w:rsidRPr="00C40A28">
        <w:rPr>
          <w:rFonts w:ascii="Times New Roman" w:hAnsi="Times New Roman"/>
          <w:b w:val="0"/>
          <w:bCs/>
          <w:sz w:val="22"/>
          <w:szCs w:val="22"/>
          <w:lang w:val="en-US" w:eastAsia="ja-JP"/>
        </w:rPr>
        <w:t xml:space="preserve">high in </w:t>
      </w:r>
      <w:r w:rsidR="005A0551" w:rsidRPr="00C40A28">
        <w:rPr>
          <w:rFonts w:ascii="Times New Roman" w:hAnsi="Times New Roman"/>
          <w:b w:val="0"/>
          <w:bCs/>
          <w:sz w:val="22"/>
          <w:szCs w:val="22"/>
          <w:lang w:val="en-US" w:eastAsia="ja-JP"/>
        </w:rPr>
        <w:t>glycemic</w:t>
      </w:r>
      <w:r w:rsidR="006B06D4" w:rsidRPr="00C40A28">
        <w:rPr>
          <w:rFonts w:ascii="Times New Roman" w:hAnsi="Times New Roman"/>
          <w:b w:val="0"/>
          <w:bCs/>
          <w:sz w:val="22"/>
          <w:szCs w:val="22"/>
          <w:lang w:val="en-US" w:eastAsia="ja-JP"/>
        </w:rPr>
        <w:t xml:space="preserve"> load</w:t>
      </w:r>
      <w:r w:rsidR="00617DFC" w:rsidRPr="00C40A28">
        <w:rPr>
          <w:rFonts w:ascii="Times New Roman" w:hAnsi="Times New Roman"/>
          <w:b w:val="0"/>
          <w:bCs/>
          <w:sz w:val="22"/>
          <w:szCs w:val="22"/>
          <w:lang w:val="en-US" w:eastAsia="ja-JP"/>
        </w:rPr>
        <w:t xml:space="preserve"> </w:t>
      </w:r>
      <w:r w:rsidR="00D31E82" w:rsidRPr="00C40A28">
        <w:rPr>
          <w:rFonts w:ascii="Times New Roman" w:hAnsi="Times New Roman"/>
          <w:b w:val="0"/>
          <w:bCs/>
          <w:sz w:val="22"/>
          <w:szCs w:val="22"/>
          <w:lang w:val="en-US" w:eastAsia="ja-JP"/>
        </w:rPr>
        <w:t>are likely to</w:t>
      </w:r>
      <w:r w:rsidR="000869B9" w:rsidRPr="00C40A28">
        <w:rPr>
          <w:rFonts w:ascii="Times New Roman" w:hAnsi="Times New Roman"/>
          <w:b w:val="0"/>
          <w:bCs/>
          <w:sz w:val="22"/>
          <w:szCs w:val="22"/>
          <w:lang w:val="en-US" w:eastAsia="ja-JP"/>
        </w:rPr>
        <w:t xml:space="preserve"> </w:t>
      </w:r>
      <w:r w:rsidR="00617DFC" w:rsidRPr="00C40A28">
        <w:rPr>
          <w:rFonts w:ascii="Times New Roman" w:hAnsi="Times New Roman"/>
          <w:b w:val="0"/>
          <w:bCs/>
          <w:sz w:val="22"/>
          <w:szCs w:val="22"/>
          <w:lang w:val="en-US" w:eastAsia="ja-JP"/>
        </w:rPr>
        <w:t>promote</w:t>
      </w:r>
      <w:r w:rsidR="00AB4948" w:rsidRPr="00C40A28">
        <w:rPr>
          <w:rFonts w:ascii="Times New Roman" w:hAnsi="Times New Roman"/>
          <w:b w:val="0"/>
          <w:bCs/>
          <w:sz w:val="22"/>
          <w:szCs w:val="22"/>
          <w:lang w:val="en-US" w:eastAsia="ja-JP"/>
        </w:rPr>
        <w:t xml:space="preserve"> </w:t>
      </w:r>
      <w:r w:rsidR="00B83585" w:rsidRPr="00C40A28">
        <w:rPr>
          <w:rFonts w:ascii="Times New Roman" w:hAnsi="Times New Roman"/>
          <w:b w:val="0"/>
          <w:bCs/>
          <w:sz w:val="22"/>
          <w:szCs w:val="22"/>
          <w:lang w:val="en-US" w:eastAsia="ja-JP"/>
        </w:rPr>
        <w:t>DNL</w:t>
      </w:r>
      <w:r w:rsidR="00962668" w:rsidRPr="00C40A28">
        <w:rPr>
          <w:rFonts w:ascii="Times New Roman" w:hAnsi="Times New Roman"/>
          <w:b w:val="0"/>
          <w:bCs/>
          <w:sz w:val="22"/>
          <w:szCs w:val="22"/>
          <w:lang w:val="en-US" w:eastAsia="ja-JP"/>
        </w:rPr>
        <w:t xml:space="preserve"> </w:t>
      </w:r>
      <w:r w:rsidRPr="00C40A28">
        <w:rPr>
          <w:rFonts w:ascii="Times New Roman" w:hAnsi="Times New Roman"/>
          <w:b w:val="0"/>
          <w:bCs/>
          <w:sz w:val="22"/>
          <w:szCs w:val="22"/>
          <w:lang w:val="en-US" w:eastAsia="ja-JP"/>
        </w:rPr>
        <w:t>by increasing</w:t>
      </w:r>
      <w:r w:rsidR="00C409B0" w:rsidRPr="00C40A28">
        <w:rPr>
          <w:rFonts w:ascii="Times New Roman" w:hAnsi="Times New Roman"/>
          <w:b w:val="0"/>
          <w:bCs/>
          <w:sz w:val="22"/>
          <w:szCs w:val="22"/>
          <w:lang w:val="en-US" w:eastAsia="ja-JP"/>
        </w:rPr>
        <w:t xml:space="preserve"> insulin </w:t>
      </w:r>
      <w:r w:rsidR="00033B22" w:rsidRPr="00C40A28">
        <w:rPr>
          <w:rFonts w:ascii="Times New Roman" w:hAnsi="Times New Roman"/>
          <w:b w:val="0"/>
          <w:bCs/>
          <w:sz w:val="22"/>
          <w:szCs w:val="22"/>
          <w:lang w:val="en-US" w:eastAsia="ja-JP"/>
        </w:rPr>
        <w:t>and/</w:t>
      </w:r>
      <w:r w:rsidR="00FA4212" w:rsidRPr="00C40A28">
        <w:rPr>
          <w:rFonts w:ascii="Times New Roman" w:hAnsi="Times New Roman"/>
          <w:b w:val="0"/>
          <w:bCs/>
          <w:sz w:val="22"/>
          <w:szCs w:val="22"/>
          <w:lang w:val="en-US" w:eastAsia="ja-JP"/>
        </w:rPr>
        <w:t>or activati</w:t>
      </w:r>
      <w:r w:rsidRPr="00C40A28">
        <w:rPr>
          <w:rFonts w:ascii="Times New Roman" w:hAnsi="Times New Roman"/>
          <w:b w:val="0"/>
          <w:bCs/>
          <w:sz w:val="22"/>
          <w:szCs w:val="22"/>
          <w:lang w:val="en-US" w:eastAsia="ja-JP"/>
        </w:rPr>
        <w:t>ng</w:t>
      </w:r>
      <w:r w:rsidR="00FA4212" w:rsidRPr="00C40A28">
        <w:rPr>
          <w:rFonts w:ascii="Times New Roman" w:hAnsi="Times New Roman"/>
          <w:b w:val="0"/>
          <w:bCs/>
          <w:sz w:val="22"/>
          <w:szCs w:val="22"/>
          <w:lang w:val="en-US" w:eastAsia="ja-JP"/>
        </w:rPr>
        <w:t xml:space="preserve"> </w:t>
      </w:r>
      <w:r w:rsidR="00D36076" w:rsidRPr="00C40A28">
        <w:rPr>
          <w:rFonts w:ascii="Times New Roman" w:hAnsi="Times New Roman"/>
          <w:b w:val="0"/>
          <w:bCs/>
          <w:sz w:val="22"/>
          <w:szCs w:val="22"/>
          <w:lang w:val="en-US" w:eastAsia="ja-JP"/>
        </w:rPr>
        <w:t xml:space="preserve">the </w:t>
      </w:r>
      <w:r w:rsidR="00FA4212" w:rsidRPr="00C40A28">
        <w:rPr>
          <w:rFonts w:ascii="Times New Roman" w:hAnsi="Times New Roman"/>
          <w:b w:val="0"/>
          <w:bCs/>
          <w:sz w:val="22"/>
          <w:szCs w:val="22"/>
          <w:lang w:val="en-US" w:eastAsia="ja-JP"/>
        </w:rPr>
        <w:t xml:space="preserve">carbohydrate-response pathway </w:t>
      </w:r>
      <w:r w:rsidR="00D36076" w:rsidRPr="00C40A28">
        <w:rPr>
          <w:rFonts w:ascii="Times New Roman" w:hAnsi="Times New Roman"/>
          <w:b w:val="0"/>
          <w:bCs/>
          <w:sz w:val="22"/>
          <w:szCs w:val="22"/>
          <w:lang w:val="en-US" w:eastAsia="ja-JP"/>
        </w:rPr>
        <w:t xml:space="preserve">in the liver </w:t>
      </w:r>
      <w:r w:rsidR="00D31E82" w:rsidRPr="00C40A28">
        <w:rPr>
          <w:rFonts w:ascii="Times New Roman" w:hAnsi="Times New Roman"/>
          <w:b w:val="0"/>
          <w:bCs/>
          <w:sz w:val="22"/>
          <w:szCs w:val="22"/>
          <w:lang w:val="en-US" w:eastAsia="ja-JP"/>
        </w:rPr>
        <w:fldChar w:fldCharType="begin" w:fldLock="1"/>
      </w:r>
      <w:r w:rsidR="006E5B40" w:rsidRPr="00C40A28">
        <w:rPr>
          <w:rFonts w:ascii="Times New Roman" w:hAnsi="Times New Roman"/>
          <w:b w:val="0"/>
          <w:bCs/>
          <w:sz w:val="22"/>
          <w:szCs w:val="22"/>
          <w:lang w:val="en-US" w:eastAsia="ja-JP"/>
        </w:rPr>
        <w:instrText xml:space="preserve">ADDIN CSL_CITATION {"citationItems":[{"id":"ITEM-1","itemData":{"DOI":"10.1146/annurev-med-042010-113026","ISSN":"1545-326X","PMID":"22034869","abstract":"There is controversy concerning the role of sugar in the epidemics of obesity and metabolic syndrome. There is less controversy concerning the effects of fructose on components of metabolic syndrome; consumption of fructose has been shown to increase visceral adipose deposition and de novo lipogenesis (DNL), produce dyslipidemia, and decrease insulin sensitivity in older, overweight/obese subjects. This review examines the potential mechanisms of these effects of fructose and considers whether these mechanisms are relevant to the effects of consuming sucrose or high-fructose corn syrup. Evidence demonstrating that the commonly consumed sugars increase visceral adipose deposition, DNL, and insulin insensitivity is limited or inconclusive. Evidence that sugar consumption promotes development of an unfavorable lipid profile is strong and suggests that the upper added sugar consumption limit of 25% of energy or less, suggested in the Report of the Dietary Guidelines Advisory Committee on the Dietary Guidelines for Americans 2010, may merit re-evaluation.","author":[{"dropping-particle":"","family":"Stanhope","given":"Kimber L","non-dropping-particle":"","parse-names":false,"suffix":""}],"container-title":"Annu Rev Med","id":"ITEM-1","issued":{"date-parts":[["2012","1"]]},"page":"329-43","title":"Role of fructose-containing sugars in the epidemics of obesity and metabolic syndrome.","type":"article-journal","volume":"63"},"uris":["http://www.mendeley.com/documents/?uuid=4ca533c4-fd8e-402a-a774-cee9fd88ac63"]},{"id":"ITEM-2","itemData":{"DOI":"10.3945/ajcn.112.041467","ISSN":"1938-3207","PMID":"23364021","abstract":"BACKGROUND: Although much is known about the association between dietary glycemic load (GL) and type 2 diabetes (T2D), prospective cohort studies have not consistently shown a positive dose-response relation. OBJECTIVE: We performed a comprehensive examination of evidence on the dose response that links GL to T2D and sources of heterogeneity among all prospective cohort studies on healthy adults available in the literature. DESIGN: We conducted a systematic review of all prospective cohort studies and meta-analyses to quantify the GL-T2D relation both without and with adjustment for covariates. RESULTS: Among 24 prospective cohort studies identified by August 2012, the GL ranged from </w:instrText>
      </w:r>
      <w:r w:rsidR="006E5B40" w:rsidRPr="00C40A28">
        <w:rPr>
          <w:rFonts w:ascii="Cambria Math" w:hAnsi="Cambria Math" w:cs="Cambria Math"/>
          <w:b w:val="0"/>
          <w:bCs/>
          <w:sz w:val="22"/>
          <w:szCs w:val="22"/>
          <w:lang w:val="en-US" w:eastAsia="ja-JP"/>
        </w:rPr>
        <w:instrText>∼</w:instrText>
      </w:r>
      <w:r w:rsidR="006E5B40" w:rsidRPr="00C40A28">
        <w:rPr>
          <w:rFonts w:ascii="Times New Roman" w:hAnsi="Times New Roman"/>
          <w:b w:val="0"/>
          <w:bCs/>
          <w:sz w:val="22"/>
          <w:szCs w:val="22"/>
          <w:lang w:val="en-US" w:eastAsia="ja-JP"/>
        </w:rPr>
        <w:instrText xml:space="preserve">60 to </w:instrText>
      </w:r>
      <w:r w:rsidR="006E5B40" w:rsidRPr="00C40A28">
        <w:rPr>
          <w:rFonts w:ascii="Cambria Math" w:hAnsi="Cambria Math" w:cs="Cambria Math"/>
          <w:b w:val="0"/>
          <w:bCs/>
          <w:sz w:val="22"/>
          <w:szCs w:val="22"/>
          <w:lang w:val="en-US" w:eastAsia="ja-JP"/>
        </w:rPr>
        <w:instrText>∼</w:instrText>
      </w:r>
      <w:r w:rsidR="006E5B40" w:rsidRPr="00C40A28">
        <w:rPr>
          <w:rFonts w:ascii="Times New Roman" w:hAnsi="Times New Roman"/>
          <w:b w:val="0"/>
          <w:bCs/>
          <w:sz w:val="22"/>
          <w:szCs w:val="22"/>
          <w:lang w:val="en-US" w:eastAsia="ja-JP"/>
        </w:rPr>
        <w:instrText>280 g per daily intake of 2000 kcal (8.4 MJ). In a fully adjusted meta-analysis model, the GL was positively associated with RR of T2D of 1.45 (95% CI: 1.31, 1.61) for a 100-g increment in GL (P &lt; 0.001; n = 24 studies; 7.5 million person-years of follow-up). Sex (P = 0.03), dietary instrument validity (P &lt; 0.001), and ethnicity (European American compared with other; P = 0.04) together explained 97% of the heterogeneity among studies. After adjustment for heterogeneities, we used both funnel and trim-and-fill analyses to identify a negligible publication bias. Multiple influence, cumulative, and forecast analyses indicated that the GL-T2D relation tended to have reached stability and to have been underestimated. The relation was apparent at all doses of GL investigated, although it was statistically significant only at &gt;95 g GL/2000 kcal. CONCLUSION: After we accounted for several sources of heterogeneity, findings from prospective cohort studies that related the GL to T2D appear robust and consistently indicate strong and significantly lower T2D risk in persons who consume lower-GL diets. This review was registered at http://www.crd.york.ac.uk/PROSPERO as CRD42011001810.","author":[{"dropping-particle":"","family":"Livesey","given":"Geoffrey","non-dropping-particle":"","parse-names":false,"suffix":""},{"dropping-particle":"","family":"Taylor","given":"Richard","non-dropping-particle":"","parse-names":false,"suffix":""},{"dropping-particle":"","family":"Livesey","given":"Helen","non-dropping-particle":"","parse-names":false,"suffix":""},{"dropping-particle":"","family":"Liu","given":"Simin","non-dropping-particle":"","parse-names":false,"suffix":""}],"container-title":"Am J Clin Nutr","id":"ITEM-2","issue":"3","issued":{"date-parts":[["2013","3"]]},"page":"584-96","title":"Is there a dose-response relation of dietary glycemic load to risk of type 2 diabetes? Meta-analysis of prospective cohort studies.","type":"article-journal","volume":"97"},"uris":["http://www.mendeley.com/documents/?uuid=833e5f97-a66f-4170-8677-b27cbaa5a855"]},{"id":"ITEM-3","itemData":{"DOI":"10.1016/j.metabol.2014.04.003","ISSN":"00260495","PMID":"24814684","abstract":"BACKGROUND: De novo lipogenesis (DNL) is a complex and highly regulated metabolic pathway. In normal conditions DNL converts excess carbohydrate into fatty acids that are then esterified to storage triacylglycerols (TGs). These TGs could later provide energy via β-oxidation. In human body this pathway is primarily active in liver and adipose tissue. However, it is considered to be a minor contributor to the serum lipid homeostasis. Deregulations in the lipogenic pathway are associated with diverse pathological conditions. SCOPE OF REVIEW: The present review focuses on our current understanding of the lipogenic pathway with special reference to the causes and consequences of aberrant DNL. MAJOR CONCLUSIONS: The deregulation of DNL in the major lipogenic tissues of the human body is often observed in various metabolic anomalies - including obesity, non-alcoholic fatty liver disease and metabolic syndrome. In addition to that de novo lipogenesis is reported to be exacerbated in cancer tissues, virus infected cells etc. These observations suggest that inhibitors of the DNL pathway might serve as therapeutically significant compounds. The effectiveness of these inhibitors in treatment of cancer and obesity has been suggested by previous works. GENERAL SIGNIFICANCE: De novo lipogenesis - which is an intricate and highly regulated pathway - can lead to adverse metabolic consequences when deregulated. Therapeutic targeting of this pathway may open a new window of opportunity for combating various lipogenesis-driven pathological conditions - including obesity, cancer and certain viral infections.","author":[{"dropping-particle":"","family":"Ameer","given":"Fatima","non-dropping-particle":"","parse-names":false,"suffix":""},{"dropping-particle":"","family":"Scandiuzzi","given":"Lisa","non-dropping-particle":"","parse-names":false,"suffix":""},{"dropping-particle":"","family":"Hasnain","given":"Shahida","non-dropping-particle":"","parse-names":false,"suffix":""},{"dropping-particle":"","family":"Kalbacher","given":"Hubert","non-dropping-particle":"","parse-names":false,"suffix":""},{"dropping-particle":"","family":"Zaidi","given":"Nousheen","non-dropping-particle":"","parse-names":false,"suffix":""}],"container-title":"Metabolism","id":"ITEM-3","issue":"7","issued":{"date-parts":[["2014","7","12"]]},"page":"895-902","title":"De novo lipogenesis in health and disease","type":"article-journal","volume":"63"},"uris":["http://www.mendeley.com/documents/?uuid=f6e3a5b1-ee63-49e2-9ded-9f185804b433"]},{"id":"ITEM-4","itemData":{"DOI":"10.1038/ncomms2537","ISSN":"2041-1723","PMID":"23443556","abstract":"Clinical interest in de novo lipogenesis has been sparked by recent studies in rodents demonstrating that de novo lipogenesis specifically in white adipose tissue produces the insulin-sensitizing fatty acid palmitoleate. By contrast, hepatic lipogenesis is thought to contribute to metabolic disease. How de novo lipogenesis in white adipose tissue versus liver is altered in human obesity and insulin resistance is poorly understood. Here we show that lipogenic enzymes and the glucose transporter-4 are markedly decreased in white adipose tissue of insulin-resistant obese individuals compared with non-obese controls. By contrast, lipogenic enzymes are substantially upregulated in the liver of obese subjects. Bariatric weight loss restored de novo lipogenesis and glucose transporter-4 gene expression in white adipose tissue. Notably, lipogenic gene expression in both white adipose tissue and liver was strongly linked to the expression of carbohydrate-responsive element-binding protein-β and to metabolic risk markers. Thus, de novo lipogenesis predicts metabolic health in humans in a tissue-specific manner and is likely regulated by glucose-dependent carbohydrate-responsive element-binding protein activation.","author":[{"dropping-particle":"","family":"Eissing","given":"Leah","non-dropping-particle":"","parse-names":false,"suffix":""},{"dropping-particle":"","family":"Scherer","given":"Thomas","non-dropping-particle":"","parse-names":false,"suffix":""},{"dropping-particle":"","family":"Tödter","given":"Klaus","non-dropping-particle":"","parse-names":false,"suffix":""},{"dropping-particle":"","family":"Knippschild","given":"Uwe","non-dropping-particle":"","parse-names":false,"suffix":""},{"dropping-particle":"","family":"Greve","given":"Jan Willem","non-dropping-particle":"","parse-names":false,"suffix":""},{"dropping-particle":"","family":"Buurman","given":"Wim A","non-dropping-particle":"","parse-names":false,"suffix":""},{"dropping-particle":"","family":"Pinnschmidt","given":"Hans O","non-dropping-particle":"","parse-names":false,"suffix":""},{"dropping-particle":"","family":"Rensen","given":"Sander S","non-dropping-particle":"","parse-names":false,"suffix":""},{"dropping-particle":"","family":"Wolf","given":"Anna M","non-dropping-particle":"","parse-names":false,"suffix":""},{"dropping-particle":"","family":"Bartelt","given":"Alexander","non-dropping-particle":"","parse-names":false,"suffix":""},{"dropping-particle":"","family":"Heeren","given":"Joerg","non-dropping-particle":"","parse-names":false,"suffix":""},{"dropping-particle":"","family":"Buettner","given":"Christoph","non-dropping-particle":"","parse-names":false,"suffix":""},{"dropping-particle":"","family":"Scheja","given":"Ludger","non-dropping-particle":"","parse-names":false,"suffix":""}],"container-title":"Nature Comm","id":"ITEM-4","issued":{"date-parts":[["2013"]]},"page":"1528","title":"De novo lipogenesis in human fat and liver is linked to ChREBP-β and metabolic health.","type":"article-journal","volume":"4"},"uris":["http://www.mendeley.com/documents/?uuid=cad2b319-48db-4586-b0d2-74f2740f68b3"]},{"id":"ITEM-5","itemData":{"DOI":"10.3945/ajcn.111.012054.1","PMID":"21697077","abstract":"The Minnesota Code (MC) and Novacode (Nova) are the most widely used electrocardiographic (ECG) classification systems. The comparative strengths of their classifications for Q- and ST-T-wave abnormalities in predicting coronary heart disease (CHD) events and total mortality have not been evaluated separately by gender. We studied standard 12-lead electrocardiograms at rest from 4,988 participants in the Cardiovascular Health Study. Average age at baseline was 73 years, 60% of participants were women 85% were white, and 22% had a history of cardiovascular disease or presence of ECG myocardial infarction by MC or Nova. Starting in 1989 with an average 17-year follow-up, 65% of participants died and 33% had incident CHD in a cohort free of cardiovascular disease at baseline. Of these, electrocardiograms with major Q-wave or major ST-T abnormalities by MC or Nova predicted increased risk for CHD events and total mortality with no significant differences in predictability between men and women. The study also found that women had fewer major Q-wave changes but more major ST-T abnormalities than men. However, there were no gender differences in predicting CHD events and total mortality. In conclusion, ECG classification systems for myocardial infarction/ischemia abnormalities by MC or Nova are valuable and useful for men and women in clinical trials and epidemiologic studies.","author":[{"dropping-particle":"","family":"Wu","given":"Jason H Y","non-dropping-particle":"","parse-names":false,"suffix":""},{"dropping-particle":"","family":"Lemaitre","given":"Rozenn N","non-dropping-particle":"","parse-names":false,"suffix":""},{"dropping-particle":"","family":"Imamura","given":"Fumiaki","non-dropping-particle":"","parse-names":false,"suffix":""},{"dropping-particle":"","family":"King","given":"Irena B","non-dropping-particle":"","parse-names":false,"suffix":""},{"dropping-particle":"","family":"Song","given":"Xiaoling","non-dropping-particle":"","parse-names":false,"suffix":""},{"dropping-particle":"","family":"Spiegelman","given":"Donna","non-dropping-particle":"","parse-names":false,"suffix":""},{"dropping-particle":"","family":"Siscovick","given":"David S","non-dropping-particle":"","parse-names":false,"suffix":""},{"dropping-particle":"","family":"Mozaffarian","given":"Dariush","non-dropping-particle":"","parse-names":false,"suffix":""}],"container-title":"Am J Clin Nutr","id":"ITEM-5","issue":"2","issued":{"date-parts":[["2011"]]},"page":"431-438","title":"Fatty acids in the de novo lipogenesis pathway and risk of coronary heart disease: the Cardiovascular Health Study.","type":"article-journal","volume":"94"},"uris":["http://www.mendeley.com/documents/?uuid=777a70b3-2b5e-4ebc-8cfa-40bf65c2bf6e"]},{"id":"ITEM-6","itemData":{"ISSN":"0002-9165","PMID":"16469979","abstract":"BACKGROUND: The utility of fatty acids (FAs) as biomarkers of total fat intake is unknown. OBJECTIVE: We compared FA changes in red cells (RCs), plasma phospholipids (PLs), and cholesterol esters (CEs) in response to a low-fat diet (LFD) and a moderate-fat diet (MFD) and assessed whether individual or combination of FAs predict LFD. DESIGN: Postmenopausal women (n = 66) were randomly assigned to receive an LFD (17% of energy from fat) or an MFD (34% of energy from fat) for 6 wk. All foods were provided. FAs in diets and blood were determined by gas-liquid chromatography. FA changes between baseline and end of study were compared across diets by using t tests. FA predictors of an LFD were selected by logistic regression. RESULTS: Many FAs in RCs, PLs, and CEs responded differently to the 2 diets. Changes from baseline with an LFD for palmitic acid (16:0) (3-11% increase), behenic (22:0) and lignoceric (24:0) acids (3-20% decrease, in RCs and PLs only), cis-monounsaturated FA (MUFA) (25-35% increase), linoleic acid (18:2n-6) (11-13% decrease), trans octadecanoic acids (trans 18:1) (7-20% decrease), and n-6 highly unsaturated FA (HUFA) (2-8% increase) were significantly different from changes with an MFD. Individually, 18:2n-6 and trans 18:1 were strong predictors of an LFD [receiver operating characteristic (ROC) curves: 0.92-0.80). A logistic regression model with trans 18:1, 18:2n-6, and vaccenic acid (18:1n-7) predicted an LFD with high specificity and sensitivity (ROC curves: 0.99). CONCLUSIONS: Saturated FA, cisMUFA, n-6 HUFA, and exogenous FAs greatly differed in their response to the LFD and MFD. Parallel responses were observed in RCs, PLs, and CEs. A model with a combination of FAs almost perfectly differentiated the consumption of 34% fat from that of 17% fat.","author":[{"dropping-particle":"","family":"King","given":"Irena B","non-dropping-particle":"","parse-names":false,"suffix":""},{"dropping-particle":"","family":"Lemaitre","given":"Rozenn N","non-dropping-particle":"","parse-names":false,"suffix":""},{"dropping-particle":"","family":"Kestin","given":"Mark","non-dropping-particle":"","parse-names":false,"suffix":""}],"container-title":"Am J Clin Nutr","id":"ITEM-6","issue":"2","issued":{"date-parts":[["2006","2"]]},"note":"        From Duplicate 1 (                   Effect of a low-fat diet on fatty acid composition in red cells, plasma phospholipids, and cholesterol esters: investigation of a biomarker of total fat intake.                 - King, Irena B; Lemaitre, Rozenn N; Kestin, Mark )\n                \n        From Duplicate 2 (                           Effect of a low-fat diet on fatty acid composition in red cells, plasma phospholipids, and cholesterol esters: investigation of a biomarker of total fat intake                         - King, Irena B; Lemaitre, Rozenn N; Kestin, Mark )\n                \n        \n        \n        \n        \n      ","page":"227-36","title":"Effect of a low-fat diet on fatty acid composition in red cells, plasma phospholipids, and cholesterol esters: investigation of a biomarker of total fat intake.","type":"article-journal","volume":"83"},"uris":["http://www.mendeley.com/documents/?uuid=e5817317-4189-4b45-bc52-e5e372cd76d7"]}],"mendeley":{"formattedCitation":"[1,8,9,30–32]","plainTextFormattedCitation":"[1,8,9,30–32]","previouslyFormattedCitation":"[1,8,9,30–32]"},"properties":{"noteIndex":0},"schema":"https://github.com/citation-style-language/schema/raw/master/csl-citation.json"}</w:instrText>
      </w:r>
      <w:r w:rsidR="00D31E82" w:rsidRPr="00C40A28">
        <w:rPr>
          <w:rFonts w:ascii="Times New Roman" w:hAnsi="Times New Roman"/>
          <w:b w:val="0"/>
          <w:bCs/>
          <w:sz w:val="22"/>
          <w:szCs w:val="22"/>
          <w:lang w:val="en-US" w:eastAsia="ja-JP"/>
        </w:rPr>
        <w:fldChar w:fldCharType="separate"/>
      </w:r>
      <w:r w:rsidR="00C235E4" w:rsidRPr="00C40A28">
        <w:rPr>
          <w:rFonts w:ascii="Times New Roman" w:hAnsi="Times New Roman"/>
          <w:b w:val="0"/>
          <w:bCs/>
          <w:noProof/>
          <w:sz w:val="22"/>
          <w:szCs w:val="22"/>
          <w:lang w:val="en-US" w:eastAsia="ja-JP"/>
        </w:rPr>
        <w:t>[1,8,9,30–32]</w:t>
      </w:r>
      <w:r w:rsidR="00D31E82" w:rsidRPr="00C40A28">
        <w:rPr>
          <w:rFonts w:ascii="Times New Roman" w:hAnsi="Times New Roman"/>
          <w:b w:val="0"/>
          <w:bCs/>
          <w:sz w:val="22"/>
          <w:szCs w:val="22"/>
          <w:lang w:val="en-US" w:eastAsia="ja-JP"/>
        </w:rPr>
        <w:fldChar w:fldCharType="end"/>
      </w:r>
      <w:r w:rsidR="00885CB1" w:rsidRPr="00C40A28">
        <w:rPr>
          <w:rFonts w:ascii="Times New Roman" w:hAnsi="Times New Roman"/>
          <w:b w:val="0"/>
          <w:bCs/>
          <w:sz w:val="22"/>
          <w:szCs w:val="22"/>
          <w:lang w:val="en-US" w:eastAsia="ja-JP"/>
        </w:rPr>
        <w:t xml:space="preserve">. </w:t>
      </w:r>
      <w:r w:rsidRPr="00C40A28">
        <w:rPr>
          <w:rFonts w:ascii="Times New Roman" w:hAnsi="Times New Roman"/>
          <w:b w:val="0"/>
          <w:bCs/>
          <w:sz w:val="22"/>
          <w:szCs w:val="22"/>
          <w:lang w:val="en-US" w:eastAsia="ja-JP"/>
        </w:rPr>
        <w:t xml:space="preserve">Certain </w:t>
      </w:r>
      <w:r w:rsidR="00033B22" w:rsidRPr="00C40A28">
        <w:rPr>
          <w:rFonts w:ascii="Times New Roman" w:hAnsi="Times New Roman"/>
          <w:b w:val="0"/>
          <w:bCs/>
          <w:sz w:val="22"/>
          <w:szCs w:val="22"/>
          <w:lang w:val="en-US" w:eastAsia="ja-JP"/>
        </w:rPr>
        <w:t>dietary factors</w:t>
      </w:r>
      <w:r w:rsidRPr="00C40A28">
        <w:rPr>
          <w:rFonts w:ascii="Times New Roman" w:hAnsi="Times New Roman"/>
          <w:b w:val="0"/>
          <w:bCs/>
          <w:sz w:val="22"/>
          <w:szCs w:val="22"/>
          <w:lang w:val="en-US" w:eastAsia="ja-JP"/>
        </w:rPr>
        <w:t xml:space="preserve">, </w:t>
      </w:r>
      <w:r w:rsidR="00033B22" w:rsidRPr="00C40A28">
        <w:rPr>
          <w:rFonts w:ascii="Times New Roman" w:hAnsi="Times New Roman"/>
          <w:b w:val="0"/>
          <w:bCs/>
          <w:sz w:val="22"/>
          <w:szCs w:val="22"/>
          <w:lang w:val="en-US" w:eastAsia="ja-JP"/>
        </w:rPr>
        <w:t xml:space="preserve">such as </w:t>
      </w:r>
      <w:r w:rsidRPr="00C40A28">
        <w:rPr>
          <w:rFonts w:ascii="Times New Roman" w:hAnsi="Times New Roman"/>
          <w:b w:val="0"/>
          <w:bCs/>
          <w:sz w:val="22"/>
          <w:szCs w:val="22"/>
          <w:lang w:val="en-US" w:eastAsia="ja-JP"/>
        </w:rPr>
        <w:t xml:space="preserve">coffee and omega-6 </w:t>
      </w:r>
      <w:r w:rsidR="00033B22" w:rsidRPr="00C40A28">
        <w:rPr>
          <w:rFonts w:ascii="Times New Roman" w:hAnsi="Times New Roman"/>
          <w:b w:val="0"/>
          <w:bCs/>
          <w:sz w:val="22"/>
          <w:szCs w:val="22"/>
          <w:lang w:val="en-US" w:eastAsia="ja-JP"/>
        </w:rPr>
        <w:t>polyunsaturated fat</w:t>
      </w:r>
      <w:r w:rsidRPr="00C40A28">
        <w:rPr>
          <w:rFonts w:ascii="Times New Roman" w:hAnsi="Times New Roman"/>
          <w:b w:val="0"/>
          <w:bCs/>
          <w:sz w:val="22"/>
          <w:szCs w:val="22"/>
          <w:lang w:val="en-US" w:eastAsia="ja-JP"/>
        </w:rPr>
        <w:t>, appear to s</w:t>
      </w:r>
      <w:r w:rsidR="00171869" w:rsidRPr="00C40A28">
        <w:rPr>
          <w:rFonts w:ascii="Times New Roman" w:hAnsi="Times New Roman"/>
          <w:b w:val="0"/>
          <w:bCs/>
          <w:sz w:val="22"/>
          <w:szCs w:val="22"/>
          <w:lang w:val="en-US" w:eastAsia="ja-JP"/>
        </w:rPr>
        <w:t>uppress</w:t>
      </w:r>
      <w:r w:rsidR="00491903" w:rsidRPr="00C40A28">
        <w:rPr>
          <w:rFonts w:ascii="Times New Roman" w:hAnsi="Times New Roman"/>
          <w:b w:val="0"/>
          <w:bCs/>
          <w:sz w:val="22"/>
          <w:szCs w:val="22"/>
          <w:lang w:val="en-US" w:eastAsia="ja-JP"/>
        </w:rPr>
        <w:t xml:space="preserve"> </w:t>
      </w:r>
      <w:r w:rsidR="00171869" w:rsidRPr="00C40A28">
        <w:rPr>
          <w:rFonts w:ascii="Times New Roman" w:hAnsi="Times New Roman"/>
          <w:b w:val="0"/>
          <w:bCs/>
          <w:sz w:val="22"/>
          <w:szCs w:val="22"/>
          <w:lang w:val="en-US" w:eastAsia="ja-JP"/>
        </w:rPr>
        <w:t xml:space="preserve">DNL and </w:t>
      </w:r>
      <w:r w:rsidRPr="00C40A28">
        <w:rPr>
          <w:rFonts w:ascii="Times New Roman" w:hAnsi="Times New Roman"/>
          <w:b w:val="0"/>
          <w:bCs/>
          <w:sz w:val="22"/>
          <w:szCs w:val="22"/>
          <w:lang w:val="en-US" w:eastAsia="ja-JP"/>
        </w:rPr>
        <w:t>are associated with lower incidence</w:t>
      </w:r>
      <w:r w:rsidR="00171869" w:rsidRPr="00C40A28">
        <w:rPr>
          <w:rFonts w:ascii="Times New Roman" w:hAnsi="Times New Roman"/>
          <w:b w:val="0"/>
          <w:bCs/>
          <w:sz w:val="22"/>
          <w:szCs w:val="22"/>
          <w:lang w:val="en-US" w:eastAsia="ja-JP"/>
        </w:rPr>
        <w:t xml:space="preserve"> </w:t>
      </w:r>
      <w:r w:rsidR="00491903" w:rsidRPr="00C40A28">
        <w:rPr>
          <w:rFonts w:ascii="Times New Roman" w:hAnsi="Times New Roman"/>
          <w:b w:val="0"/>
          <w:bCs/>
          <w:sz w:val="22"/>
          <w:szCs w:val="22"/>
          <w:lang w:val="en-US" w:eastAsia="ja-JP"/>
        </w:rPr>
        <w:t xml:space="preserve">of </w:t>
      </w:r>
      <w:r w:rsidR="00171869" w:rsidRPr="00C40A28">
        <w:rPr>
          <w:rFonts w:ascii="Times New Roman" w:hAnsi="Times New Roman"/>
          <w:b w:val="0"/>
          <w:bCs/>
          <w:sz w:val="22"/>
          <w:szCs w:val="22"/>
          <w:lang w:val="en-US" w:eastAsia="ja-JP"/>
        </w:rPr>
        <w:t xml:space="preserve">T2D </w:t>
      </w:r>
      <w:r w:rsidR="00115ADE" w:rsidRPr="00C40A28">
        <w:rPr>
          <w:rFonts w:ascii="Times New Roman" w:hAnsi="Times New Roman"/>
          <w:b w:val="0"/>
          <w:bCs/>
          <w:sz w:val="22"/>
          <w:szCs w:val="22"/>
          <w:lang w:val="en-US" w:eastAsia="ja-JP"/>
        </w:rPr>
        <w:fldChar w:fldCharType="begin" w:fldLock="1"/>
      </w:r>
      <w:r w:rsidR="00115ADE" w:rsidRPr="00C40A28">
        <w:rPr>
          <w:rFonts w:ascii="Times New Roman" w:hAnsi="Times New Roman"/>
          <w:b w:val="0"/>
          <w:bCs/>
          <w:sz w:val="22"/>
          <w:szCs w:val="22"/>
          <w:lang w:val="en-US" w:eastAsia="ja-JP"/>
        </w:rPr>
        <w:instrText>ADDIN CSL_CITATION {"citationItems":[{"id":"ITEM-1","itemData":{"DOI":"10.2337/dc13-1203","ISSN":"1935-5548","PMID":"24459154","abstract":"OBJECTIVE: Previous meta-analyses identified an inverse association of coffee consumption with the risk of type 2 diabetes. However, an updated meta-analysis is needed because new studies comparing the trends of association for caffeinated and decaffeinated coffee have since been published. RESEARCH DESIGN AND METHODS: PubMed and Embase were searched for cohort or nested case-control studies that assessed the relationship of coffee consumption and risk of type 2 diabetes from 1966 to February 2013. A restricted cubic spline random-effects model was used. RESULTS: Twenty-eight prospective studies were included in the analysis, with 1,109,272 study participants and 45,335 cases of type 2 diabetes. The follow-up duration ranged from 10 months to 20 years. Compared with no or rare coffee consumption, the relative risk (RR; 95% CI) for diabetes was 0.92 (0.90-0.94), 0.85 (0.82-0.88), 0.79 (0.75-0.83), 0.75 (0.71-0.80), 0.71 (0.65-0.76), and 0.67 (0.61-0.74) for 1-6 cups/day, respectively. The RR of diabetes for a 1 cup/day increase was 0.91 (0.89-0.94) for caffeinated coffee consumption and 0.94 (0.91-0.98) for decaffeinated coffee consumption (P for difference = 0.17). CONCLUSIONS: Coffee consumption was inversely associated with the risk of type 2 diabetes in a dose-response manner. Both caffeinated and decaffeinated coffee was associated with reduced diabetes risk.","author":[{"dropping-particle":"","family":"Ding","given":"Ming","non-dropping-particle":"","parse-names":false,"suffix":""},{"dropping-particle":"","family":"Bhupathiraju","given":"Shilpa N","non-dropping-particle":"","parse-names":false,"suffix":""},{"dropping-particle":"","family":"Chen","given":"Mu","non-dropping-particle":"","parse-names":false,"suffix":""},{"dropping-particle":"","family":"Dam","given":"Rob M","non-dropping-particle":"van","parse-names":false,"suffix":""},{"dropping-particle":"","family":"Hu","given":"Frank B","non-dropping-particle":"","parse-names":false,"suffix":""}],"container-title":"Diabetes Care","id":"ITEM-1","issue":"2","issued":{"date-parts":[["2014","2"]]},"page":"569-86","title":"Caffeinated and decaffeinated coffee consumption and risk of type 2 diabetes: a systematic review and a dose-response meta-analysis.","type":"article-journal","volume":"37"},"uris":["http://www.mendeley.com/documents/?uuid=646db076-1ebb-488e-ad28-172b0f9bed78"]},{"id":"ITEM-2","itemData":{"DOI":"10.3945/ajcn.113.080317","ISSN":"0002-9165","PMID":"25057154","abstract":"BACKGROUND: The inverse association between coffee consumption and the risk of type 2 diabetes (T2D) is well established; however, little is known about potential mediators of this association.OBJECTIVE: We aimed to investigate the association between coffee consumption and diabetes-related biomarkers and their potential role as mediators of the association between coffee consumption and T2D.DESIGN: We analyzed a case-cohort study (subcohort: n = 1610; verified incident T2D cases: n = 417) nested within the European Prospective Investigation into Cancer and Nutrition-Potsdam study involving 27,548 middle-aged participants. Habitual coffee consumption was assessed with a validated, semiquantitative food-frequency questionnaire. We evaluated the association between coffee consumption and several T2D-related biomarkers, such as liver markers (reflected by γ-glutamyltransferase, fetuin-A, and sex hormone-binding globulin), markers of dyslipidemia (high-density lipoprotein cholesterol and triglycerides), inflammation [C-reactive protein (CRP)], an adipokine (adiponectin), and metabolites, stratified by sex.RESULTS: Coffee consumption was inversely associated with diacyl-phosphatidylcholine C32:1 in both sexes and with phenylalanine in men, as well as positively associated with acyl-alkyl-phosphatidylcholines C34:3, C40:6, and C42:5 in women. Furthermore, coffee consumption was inversely associated with fetuin-A (P-trend = 0.06) and CRP in women and γ-glutamyltransferase and triglycerides in men. Coffee consumption tended to be inversely associated with T2D risk in both sexes, reaching significance only in men [HR (95% CI): women: ≥4 compared with &gt;0 to &lt;2 cups coffee/d: 0.78 (0.46, 1.33); men: ≥5 compared with &gt;0 to &lt;2 cups coffee/d: 0.40 (0.19, 0.81)]. The association between coffee consumption and T2D risk in men was slightly reduced after adjustment for phenylalanine or lipid markers.CONCLUSIONS: Coffee consumption was inversely associated with a diacyl-phosphatidylcholine and liver markers in both sexes and positively associated with certain acyl-alkyl-phosphatidylcholines in women. Furthermore, coffee consumption showed an inverse trend with CRP in women and with triglycerides and phenylalanine in men. However, these markers explained only to a small extent the inverse association between long-term coffee consumption and T2D risk.","author":[{"dropping-particle":"","family":"Jacobs","given":"Simone","non-dropping-particle":"","parse-names":false,"suffix":""},{"dropping-particle":"","family":"Kroger","given":"J.","non-dropping-particle":"","parse-names":false,"suffix":""},{"dropping-particle":"","family":"Floegel","given":"Anna","non-dropping-particle":"","parse-names":false,"suffix":""},{"dropping-particle":"","family":"Boeing","given":"Heiner","non-dropping-particle":"","parse-names":false,"suffix":""},{"dropping-particle":"","family":"Drogan","given":"Dagmar","non-dropping-particle":"","parse-names":false,"suffix":""},{"dropping-particle":"","family":"Pischon","given":"Tobias","non-dropping-particle":"","parse-names":false,"suffix":""},{"dropping-particle":"","family":"Fritsche","given":"Andreas","non-dropping-particle":"","parse-names":false,"suffix":""},{"dropping-particle":"","family":"Prehn","given":"Cornelia","non-dropping-particle":"","parse-names":false,"suffix":""},{"dropping-particle":"","family":"Adamski","given":"Jerzy","non-dropping-particle":"","parse-names":false,"suffix":""},{"dropping-particle":"","family":"Isermann","given":"Berend","non-dropping-particle":"","parse-names":false,"suffix":""},{"dropping-particle":"","family":"Weikert","given":"Cornelia","non-dropping-particle":"","parse-names":false,"suffix":""},{"dropping-particle":"","family":"Schulze","given":"Matthias B","non-dropping-particle":"","parse-names":false,"suffix":""}],"container-title":"Am J Clin Nutr","id":"ITEM-2","issue":"3","issued":{"date-parts":[["2014","9","1"]]},"page":"891-900","title":"Evaluation of various biomarkers as potential mediators of the association between coffee consumption and incident type 2 diabetes in the EPIC-Potsdam Study","type":"article-journal","volume":"100"},"uris":["http://www.mendeley.com/documents/?uuid=d7b7cb2f-0851-41e0-8551-59043aa23824"]},{"id":"ITEM-3","itemData":{"abstract":"PURPOSE OF REVIEW: The liver plays a central role in whole body lipid metabolism and adapts rapidly to changes in dietary fat composition. This adaption involves changes in the expression of genes involved in glycolysis, de-novo lipogenesis, fatty acid elongation, desaturation and oxidation. This review brings together metabolic and molecular studies that help explain n-3 (omega-3) polyunsaturated fatty acid regulation of hepatic gene transcription. RECENT FINDINGS: Dietary n-3 polyunsaturated fatty acid regulates hepatic gene expression by targeting three major transcriptional regulatory networks: peroxisome proliferator-activated receptor alpha, sterol regulatory element binding protein-1 and the carbohydrate regulatory element binding protein/Max-like factor X heterodimer. 22:6,n-3, the most prominent n-3 polyunsaturated fatty acid in tissues, is a weak activator of peroxisome proliferator-activated receptor alpha. Hepatic metabolism of 22:6,n-3, however, generates 20:5,n-3, a strong peroxisome proliferator-activated receptor alpha activator. In contrast to peroxisome proliferator-activated receptor alpha, 22:6,n-3 is the most potent fatty acid regulator of hepatic sterol regulatory element binding protein-1. 22:6,n-3 suppresses sterol regulatory element binding protein-1 gene expression while enhancing degradation of nuclear sterol regulatory element binding protein-1 through 26S proteasome and Erk1/2-dependent mechanisms. Both n-3 and n-6 polyunsaturated fatty acid suppress carbohydrate regulatory element binding protein and Max-like factor X nuclear abundance and interfere with glucose-regulated hepatic metabolism. SUMMARY: These studies have revealed unique mechanisms by which specific polyunsaturated fatty acids control peroxisome proliferator activated receptor alpha, sterol regulatory element binding protein-1 and carbohydrate regulatory element binding protein/Max-like factor X function. As such, specific metabolic and signal transduction pathways contribute significantly to the fatty acid regulation of these transcription factors and their corresponding regulatory networks.","author":[{"dropping-particle":"","family":"Jump","given":"D B","non-dropping-particle":"","parse-names":false,"suffix":""}],"container-title":"Curr Opin Lipidol","id":"ITEM-3","issue":"3","issued":{"date-parts":[["2008"]]},"page":"242-7.","title":"N-3 polyunsaturated fatty acid regulation of hepatic gene transcription","type":"article-journal","volume":"19"},"uris":["http://www.mendeley.com/documents/?uuid=5486c202-8631-4596-ba61-0270e85a01ff"]},{"id":"ITEM-4","itemData":{"DOI":"10.1371/journal.pmed.1002094","ISSN":"1549-1676","PMID":"27434045","abstract":"BACKGROUND Whether and how n-3 and n-6 polyunsaturated fatty acids (PUFAs) are related to type 2 diabetes (T2D) is debated. Objectively measured plasma PUFAs can help to clarify these associations. METHODS AND FINDINGS Plasma phospholipid PUFAs were measured by gas chromatography among 12,132 incident T2D cases and 15,919 subcohort participants in the European Prospective Investigation into Cancer and Nutrition (EPIC)-InterAct study across eight European countries. Country-specific hazard ratios (HRs) were estimated using Prentice-weighted Cox regression and pooled by random-effects meta-analysis. We also systematically reviewed published prospective studies on circulating PUFAs and T2D risk and pooled the quantitative evidence for comparison with results from EPIC-InterAct. In EPIC-InterAct, among long-chain n-3 PUFAs, α-linolenic acid (ALA) was inversely associated with T2D (HR per standard deviation [SD] 0.93; 95% CI 0.88-0.98), but eicosapentaenoic acid (EPA) and docosahexaenoic acid (DHA) were not significantly associated. Among n-6 PUFAs, linoleic acid (LA) (0.80; 95% CI 0.77-0.83) and eicosadienoic acid (EDA) (0.89; 95% CI 0.85-0.94) were inversely related, and arachidonic acid (AA) was not significantly associated, while significant positive associations were observed with γ-linolenic acid (GLA), dihomo-GLA, docosatetraenoic acid (DTA), and docosapentaenoic acid (n6-DPA), with HRs between 1.13 to 1.46 per SD. These findings from EPIC-InterAct were broadly similar to comparative findings from summary estimates from up to nine studies including between 71 to 2,499 T2D cases. Limitations included potential residual confounding and the inability to distinguish between dietary and metabolic influences on plasma phospholipid PUFAs. CONCLUSIONS These large-scale findings suggest an important inverse association of circulating plant-origin n-3 PUFA (ALA) but no convincing association of marine-derived n3 PUFAs (EPA and DHA) with T2D. Moreover, they highlight that the most abundant n6-PUFA (LA) is inversely associated with T2D. The detection of associations with previously less well-investigated PUFAs points to the importance of considering individual fatty acids rather than focusing on fatty acid class.","author":[{"dropping-particle":"","family":"Forouhi","given":"Nita G","non-dropping-particle":"","parse-names":false,"suffix":""},{"dropping-particle":"","family":"Imamura","given":"Fumiaki","non-dropping-particle":"","parse-names":false,"suffix":""},{"dropping-particle":"","family":"Sharp","given":"Stephen J","non-dropping-particle":"","parse-names":false,"suffix":""},{"dropping-particle":"","family":"Koulman","given":"Albert","non-dropping-particle":"","parse-names":false,"suffix":""},{"dropping-particle":"","family":"Schulze","given":"Matthias B","non-dropping-particle":"","parse-names":false,"suffix":""},{"dropping-particle":"","family":"Zheng","given":"Jusheng","non-dropping-particle":"","parse-names":false,"suffix":""},{"dropping-particle":"","family":"Ye","given":"Zheng","non-dropping-particle":"","parse-names":false,"suffix":""},{"dropping-particle":"","family":"Sluijs","given":"Ivonne","non-dropping-particle":"","parse-names":false,"suffix":""},{"dropping-particle":"","family":"Guevara","given":"Marcela","non-dropping-particle":"","parse-names":false,"suffix":""},{"dropping-particle":"","family":"Huerta","given":"José María","non-dropping-particle":"","parse-names":false,"suffix":""},{"dropping-particle":"","family":"Kröger","given":"Janine","non-dropping-particle":"","parse-names":false,"suffix":""},{"dropping-particle":"","family":"Wang","given":"Laura Yun","non-dropping-particle":"","parse-names":false,"suffix":""},{"dropping-particle":"","family":"Summerhill","given":"Keith","non-dropping-particle":"","parse-names":false,"suffix":""},{"dropping-particle":"","family":"Griffin","given":"Julian L","non-dropping-particle":"","parse-names":false,"suffix":""},{"dropping-particle":"","family":"Feskens","given":"Edith J M","non-dropping-particle":"","parse-names":false,"suffix":""},{"dropping-particle":"","family":"Affret","given":"Aurélie","non-dropping-particle":"","parse-names":false,"suffix":""},{"dropping-particle":"","family":"Amiano","given":"Pilar","non-dropping-particle":"","parse-names":false,"suffix":""},{"dropping-particle":"","family":"Boeing","given":"Heiner","non-dropping-particle":"","parse-names":false,"suffix":""},{"dropping-particle":"","family":"Dow","given":"Courtney","non-dropping-particle":"","parse-names":false,"suffix":""},{"dropping-particle":"","family":"Fagherazzi","given":"Guy","non-dropping-particle":"","parse-names":false,"suffix":""},{"dropping-particle":"","family":"Franks","given":"Paul W","non-dropping-particle":"","parse-names":false,"suffix":""},{"dropping-particle":"","family":"Gonzalez","given":"Carlos","non-dropping-particle":"","parse-names":false,"suffix":""},{"dropping-particle":"","family":"Kaaks","given":"Rudolf","non-dropping-particle":"","parse-names":false,"suffix":""},{"dropping-particle":"","family":"Key","given":"Timothy J","non-dropping-particle":"","parse-names":false,"suffix":""},{"dropping-particle":"","family":"Khaw","given":"Kay Tee","non-dropping-particle":"","parse-names":false,"suffix":""},{"dropping-particle":"","family":"Kühn","given":"Tilman","non-dropping-particle":"","parse-names":false,"suffix":""},{"dropping-particle":"","family":"Mortensen","given":"Lotte Maxild","non-dropping-particle":"","parse-names":false,"suffix":""},{"dropping-particle":"","family":"Nilsson","given":"Peter M","non-dropping-particle":"","parse-names":false,"suffix":""},{"dropping-particle":"","family":"Overvad","given":"Kim","non-dropping-particle":"","parse-names":false,"suffix":""},{"dropping-particle":"","family":"Pala","given":"Valeria","non-dropping-particle":"","parse-names":false,"suffix":""},{"dropping-particle":"","family":"Palli","given":"Domenico","non-dropping-particle":"","parse-names":false,"suffix":""},{"dropping-particle":"","family":"Panico","given":"Salvatore","non-dropping-particle":"","parse-names":false,"suffix":""},{"dropping-particle":"","family":"Quirós","given":"J Ramón","non-dropping-particle":"","parse-names":false,"suffix":""},{"dropping-particle":"","family":"Rodriguez-Barranco","given":"Miguel","non-dropping-particle":"","parse-names":false,"suffix":""},{"dropping-particle":"","family":"Rolandsson","given":"Olov","non-dropping-particle":"","parse-names":false,"suffix":""},{"dropping-particle":"","family":"Sacerdote","given":"Carlotta","non-dropping-particle":"","parse-names":false,"suffix":""},{"dropping-particle":"","family":"Scalbert","given":"Augustin","non-dropping-particle":"","parse-names":false,"suffix":""},{"dropping-particle":"","family":"Slimani","given":"Nadia","non-dropping-particle":"","parse-names":false,"suffix":""},{"dropping-particle":"","family":"Spijkerman","given":"Annemieke M W","non-dropping-particle":"","parse-names":false,"suffix":""},{"dropping-particle":"","family":"Tjonneland","given":"Anne","non-dropping-particle":"","parse-names":false,"suffix":""},{"dropping-particle":"","family":"Tormo","given":"Maria-Jose","non-dropping-particle":"","parse-names":false,"suffix":""},{"dropping-particle":"","family":"Tumino","given":"Rosario","non-dropping-particle":"","parse-names":false,"suffix":""},{"dropping-particle":"","family":"A","given":"Daphne L","non-dropping-particle":"van der","parse-names":false,"suffix":""},{"dropping-particle":"","family":"Schouw","given":"Yvonne T","non-dropping-particle":"van der","parse-names":false,"suffix":""},{"dropping-particle":"","family":"Langenberg","given":"Claudia","non-dropping-particle":"","parse-names":false,"suffix":""},{"dropping-particle":"","family":"Riboli","given":"Elio","non-dropping-particle":"","parse-names":false,"suffix":""},{"dropping-particle":"","family":"Wareham","given":"Nicholas J","non-dropping-particle":"","parse-names":false,"suffix":""}],"container-title":"PLoS Med","id":"ITEM-4","issue":"7","issued":{"date-parts":[["2016","7"]]},"page":"e1002094","title":"Association of Plasma Phospholipid n-3 and n-6 Polyunsaturated Fatty Acids with Type 2 Diabetes: The EPIC-InterAct Case-Cohort Study.","type":"article-journal","volume":"13"},"uris":["http://www.mendeley.com/documents/?uuid=b4876933-af61-4c4e-9524-d1d13060c3b6"]},{"id":"ITEM-5","itemData":{"DOI":"10.3945/ajcn.111.012054.1","PMID":"21697077","abstract":"The Minnesota Code (MC) and Novacode (Nova) are the most widely used electrocardiographic (ECG) classification systems. The comparative strengths of their classifications for Q- and ST-T-wave abnormalities in predicting coronary heart disease (CHD) events and total mortality have not been evaluated separately by gender. We studied standard 12-lead electrocardiograms at rest from 4,988 participants in the Cardiovascular Health Study. Average age at baseline was 73 years, 60% of participants were women 85% were white, and 22% had a history of cardiovascular disease or presence of ECG myocardial infarction by MC or Nova. Starting in 1989 with an average 17-year follow-up, 65% of participants died and 33% had incident CHD in a cohort free of cardiovascular disease at baseline. Of these, electrocardiograms with major Q-wave or major ST-T abnormalities by MC or Nova predicted increased risk for CHD events and total mortality with no significant differences in predictability between men and women. The study also found that women had fewer major Q-wave changes but more major ST-T abnormalities than men. However, there were no gender differences in predicting CHD events and total mortality. In conclusion, ECG classification systems for myocardial infarction/ischemia abnormalities by MC or Nova are valuable and useful for men and women in clinical trials and epidemiologic studies.","author":[{"dropping-particle":"","family":"Wu","given":"Jason H Y","non-dropping-particle":"","parse-names":false,"suffix":""},{"dropping-particle":"","family":"Lemaitre","given":"Rozenn N","non-dropping-particle":"","parse-names":false,"suffix":""},{"dropping-particle":"","family":"Imamura","given":"Fumiaki","non-dropping-particle":"","parse-names":false,"suffix":""},{"dropping-particle":"","family":"King","given":"Irena B","non-dropping-particle":"","parse-names":false,"suffix":""},{"dropping-particle":"","family":"Song","given":"Xiaoling","non-dropping-particle":"","parse-names":false,"suffix":""},{"dropping-particle":"","family":"Spiegelman","given":"Donna","non-dropping-particle":"","parse-names":false,"suffix":""},{"dropping-particle":"","family":"Siscovick","given":"David S","non-dropping-particle":"","parse-names":false,"suffix":""},{"dropping-particle":"","family":"Mozaffarian","given":"Dariush","non-dropping-particle":"","parse-names":false,"suffix":""}],"container-title":"Am J Clin Nutr","id":"ITEM-5","issue":"2","issued":{"date-parts":[["2011"]]},"page":"431-438","title":"Fatty acids in the de novo lipogenesis pathway and risk of coronary heart disease: the Cardiovascular Health Study.","type":"article-journal","volume":"94"},"uris":["http://www.mendeley.com/documents/?uuid=777a70b3-2b5e-4ebc-8cfa-40bf65c2bf6e"]},{"id":"ITEM-6","itemData":{"DOI":"10.1210/jc.2019-00160","ISSN":"0021-972X","author":[{"dropping-particle":"","family":"Rosqvist","given":"Fredrik","non-dropping-particle":"","parse-names":false,"suffix":""},{"dropping-particle":"","family":"Kullberg","given":"Joel","non-dropping-particle":"","parse-names":false,"suffix":""},{"dropping-particle":"","family":"Ståhlman","given":"Marcus","non-dropping-particle":"","parse-names":false,"suffix":""},{"dropping-particle":"","family":"Cedernaes","given":"Jonathan","non-dropping-particle":"","parse-names":false,"suffix":""},{"dropping-particle":"","family":"Heurling","given":"Kerstin","non-dropping-particle":"","parse-names":false,"suffix":""},{"dropping-particle":"","family":"Johansson","given":"Hans-Erik","non-dropping-particle":"","parse-names":false,"suffix":""},{"dropping-particle":"","family":"Iggman","given":"David","non-dropping-particle":"","parse-names":false,"suffix":""},{"dropping-particle":"","family":"Wilking","given":"Helena","non-dropping-particle":"","parse-names":false,"suffix":""},{"dropping-particle":"","family":"Larsson","given":"Anders","non-dropping-particle":"","parse-names":false,"suffix":""},{"dropping-particle":"","family":"Eriksson","given":"Olof","non-dropping-particle":"","parse-names":false,"suffix":""},{"dropping-particle":"","family":"Johansson","given":"Lars","non-dropping-particle":"","parse-names":false,"suffix":""},{"dropping-particle":"","family":"Straniero","given":"Sara","non-dropping-particle":"","parse-names":false,"suffix":""},{"dropping-particle":"","family":"Rudling","given":"Mats","non-dropping-particle":"","parse-names":false,"suffix":""},{"dropping-particle":"","family":"Antoni","given":"Gunnar","non-dropping-particle":"","parse-names":false,"suffix":""},{"dropping-particle":"","family":"Lubberink","given":"Mark","non-dropping-particle":"","parse-names":false,"suffix":""},{"dropping-particle":"","family":"Orho-Melander","given":"Marju","non-dropping-particle":"","parse-names":false,"suffix":""},{"dropping-particle":"","family":"Borén","given":"Jan","non-dropping-particle":"","parse-names":false,"suffix":""},{"dropping-particle":"","family":"Ahlström","given":"Håkan","non-dropping-particle":"","parse-names":false,"suffix":""},{"dropping-particle":"","family":"Risérus","given":"Ulf","non-dropping-particle":"","parse-names":false,"suffix":""}],"container-title":"J Clin Endocrinol Metab","id":"ITEM-6","issue":"12","issued":{"date-parts":[["2019","12","1"]]},"page":"6207-6219","title":"Overeating Saturated Fat Promotes Fatty Liver and Ceramides Compared With Polyunsaturated Fat: A Randomized Trial","type":"article-journal","volume":"104"},"uris":["http://www.mendeley.com/documents/?uuid=9d3e46e7-0e38-4346-9c54-28d73f1a24cf"]}],"mendeley":{"formattedCitation":"[8,33–37]","plainTextFormattedCitation":"[8,33–37]","previouslyFormattedCitation":"[8,33–37]"},"properties":{"noteIndex":0},"schema":"https://github.com/citation-style-language/schema/raw/master/csl-citation.json"}</w:instrText>
      </w:r>
      <w:r w:rsidR="00115ADE" w:rsidRPr="00C40A28">
        <w:rPr>
          <w:rFonts w:ascii="Times New Roman" w:hAnsi="Times New Roman"/>
          <w:b w:val="0"/>
          <w:bCs/>
          <w:sz w:val="22"/>
          <w:szCs w:val="22"/>
          <w:lang w:val="en-US" w:eastAsia="ja-JP"/>
        </w:rPr>
        <w:fldChar w:fldCharType="separate"/>
      </w:r>
      <w:r w:rsidR="00115ADE" w:rsidRPr="00C40A28">
        <w:rPr>
          <w:rFonts w:ascii="Times New Roman" w:hAnsi="Times New Roman"/>
          <w:b w:val="0"/>
          <w:bCs/>
          <w:noProof/>
          <w:sz w:val="22"/>
          <w:szCs w:val="22"/>
          <w:lang w:val="en-US" w:eastAsia="ja-JP"/>
        </w:rPr>
        <w:t>[8,33–37]</w:t>
      </w:r>
      <w:r w:rsidR="00115ADE" w:rsidRPr="00C40A28">
        <w:rPr>
          <w:rFonts w:ascii="Times New Roman" w:hAnsi="Times New Roman"/>
          <w:b w:val="0"/>
          <w:bCs/>
          <w:sz w:val="22"/>
          <w:szCs w:val="22"/>
          <w:lang w:val="en-US" w:eastAsia="ja-JP"/>
        </w:rPr>
        <w:fldChar w:fldCharType="end"/>
      </w:r>
      <w:r w:rsidR="0008385A" w:rsidRPr="00C40A28">
        <w:rPr>
          <w:rFonts w:ascii="Times New Roman" w:hAnsi="Times New Roman"/>
          <w:b w:val="0"/>
          <w:bCs/>
          <w:sz w:val="22"/>
          <w:szCs w:val="22"/>
          <w:lang w:val="en-US" w:eastAsia="ja-JP"/>
        </w:rPr>
        <w:t>.</w:t>
      </w:r>
      <w:r w:rsidR="009C538A" w:rsidRPr="00C40A28">
        <w:rPr>
          <w:rFonts w:ascii="Times New Roman" w:hAnsi="Times New Roman"/>
          <w:b w:val="0"/>
          <w:bCs/>
          <w:sz w:val="22"/>
          <w:szCs w:val="22"/>
          <w:lang w:val="en-US" w:eastAsia="ja-JP"/>
        </w:rPr>
        <w:t xml:space="preserve"> </w:t>
      </w:r>
      <w:r w:rsidR="00E71E69" w:rsidRPr="00C40A28">
        <w:rPr>
          <w:rFonts w:ascii="Times New Roman" w:hAnsi="Times New Roman"/>
          <w:b w:val="0"/>
          <w:bCs/>
          <w:sz w:val="22"/>
          <w:szCs w:val="22"/>
          <w:lang w:val="en-US" w:eastAsia="ja-JP"/>
        </w:rPr>
        <w:t>O</w:t>
      </w:r>
      <w:r w:rsidR="00DF1115" w:rsidRPr="00C40A28">
        <w:rPr>
          <w:rFonts w:ascii="Times New Roman" w:hAnsi="Times New Roman"/>
          <w:b w:val="0"/>
          <w:bCs/>
          <w:sz w:val="22"/>
          <w:szCs w:val="22"/>
          <w:lang w:val="en-US" w:eastAsia="ja-JP"/>
        </w:rPr>
        <w:t xml:space="preserve">ther </w:t>
      </w:r>
      <w:r w:rsidR="00E71E69" w:rsidRPr="00C40A28">
        <w:rPr>
          <w:rFonts w:ascii="Times New Roman" w:hAnsi="Times New Roman"/>
          <w:b w:val="0"/>
          <w:bCs/>
          <w:sz w:val="22"/>
          <w:szCs w:val="22"/>
          <w:lang w:val="en-US" w:eastAsia="ja-JP"/>
        </w:rPr>
        <w:t xml:space="preserve">modifiable </w:t>
      </w:r>
      <w:r w:rsidR="00DF1115" w:rsidRPr="00C40A28">
        <w:rPr>
          <w:rFonts w:ascii="Times New Roman" w:hAnsi="Times New Roman"/>
          <w:b w:val="0"/>
          <w:bCs/>
          <w:sz w:val="22"/>
          <w:szCs w:val="22"/>
          <w:lang w:val="en-US" w:eastAsia="ja-JP"/>
        </w:rPr>
        <w:t xml:space="preserve">factors </w:t>
      </w:r>
      <w:r w:rsidRPr="00C40A28">
        <w:rPr>
          <w:rFonts w:ascii="Times New Roman" w:hAnsi="Times New Roman"/>
          <w:b w:val="0"/>
          <w:bCs/>
          <w:sz w:val="22"/>
          <w:szCs w:val="22"/>
          <w:lang w:val="en-US" w:eastAsia="ja-JP"/>
        </w:rPr>
        <w:t>that may influence DNL</w:t>
      </w:r>
      <w:r w:rsidR="00DF1115" w:rsidRPr="00C40A28">
        <w:rPr>
          <w:rFonts w:ascii="Times New Roman" w:hAnsi="Times New Roman"/>
          <w:b w:val="0"/>
          <w:bCs/>
          <w:sz w:val="22"/>
          <w:szCs w:val="22"/>
          <w:lang w:val="en-US" w:eastAsia="ja-JP"/>
        </w:rPr>
        <w:t xml:space="preserve"> </w:t>
      </w:r>
      <w:r w:rsidR="00E71E69" w:rsidRPr="00C40A28">
        <w:rPr>
          <w:rFonts w:ascii="Times New Roman" w:hAnsi="Times New Roman"/>
          <w:b w:val="0"/>
          <w:bCs/>
          <w:sz w:val="22"/>
          <w:szCs w:val="22"/>
          <w:lang w:val="en-US" w:eastAsia="ja-JP"/>
        </w:rPr>
        <w:t xml:space="preserve">include </w:t>
      </w:r>
      <w:r w:rsidR="00DF1115" w:rsidRPr="00C40A28">
        <w:rPr>
          <w:rFonts w:ascii="Times New Roman" w:hAnsi="Times New Roman"/>
          <w:b w:val="0"/>
          <w:bCs/>
          <w:sz w:val="22"/>
          <w:szCs w:val="22"/>
          <w:lang w:val="en-US" w:eastAsia="ja-JP"/>
        </w:rPr>
        <w:t>sleeping behavior</w:t>
      </w:r>
      <w:r w:rsidR="003E4C12" w:rsidRPr="00C40A28">
        <w:rPr>
          <w:rFonts w:ascii="Times New Roman" w:hAnsi="Times New Roman"/>
          <w:b w:val="0"/>
          <w:bCs/>
          <w:sz w:val="22"/>
          <w:szCs w:val="22"/>
          <w:lang w:val="en-US" w:eastAsia="ja-JP"/>
        </w:rPr>
        <w:t xml:space="preserve"> and</w:t>
      </w:r>
      <w:r w:rsidR="00DF1115" w:rsidRPr="00C40A28">
        <w:rPr>
          <w:rFonts w:ascii="Times New Roman" w:hAnsi="Times New Roman"/>
          <w:b w:val="0"/>
          <w:bCs/>
          <w:sz w:val="22"/>
          <w:szCs w:val="22"/>
          <w:lang w:val="en-US" w:eastAsia="ja-JP"/>
        </w:rPr>
        <w:t xml:space="preserve"> </w:t>
      </w:r>
      <w:r w:rsidR="003E4C12" w:rsidRPr="00C40A28">
        <w:rPr>
          <w:rFonts w:ascii="Times New Roman" w:hAnsi="Times New Roman"/>
          <w:b w:val="0"/>
          <w:bCs/>
          <w:sz w:val="22"/>
          <w:szCs w:val="22"/>
          <w:lang w:val="en-US" w:eastAsia="ja-JP"/>
        </w:rPr>
        <w:t>meal frequency</w:t>
      </w:r>
      <w:r w:rsidR="004C0F02" w:rsidRPr="00C40A28">
        <w:rPr>
          <w:rFonts w:ascii="Times New Roman" w:hAnsi="Times New Roman"/>
          <w:b w:val="0"/>
          <w:bCs/>
          <w:sz w:val="22"/>
          <w:szCs w:val="22"/>
          <w:lang w:val="en-US" w:eastAsia="ja-JP"/>
        </w:rPr>
        <w:t xml:space="preserve"> </w:t>
      </w:r>
      <w:r w:rsidR="004C0F02" w:rsidRPr="00C40A28">
        <w:rPr>
          <w:rFonts w:ascii="Times New Roman" w:hAnsi="Times New Roman"/>
          <w:b w:val="0"/>
          <w:bCs/>
          <w:sz w:val="22"/>
          <w:szCs w:val="22"/>
          <w:lang w:val="en-US" w:eastAsia="ja-JP"/>
        </w:rPr>
        <w:fldChar w:fldCharType="begin" w:fldLock="1"/>
      </w:r>
      <w:r w:rsidR="00115ADE" w:rsidRPr="00C40A28">
        <w:rPr>
          <w:rFonts w:ascii="Times New Roman" w:hAnsi="Times New Roman"/>
          <w:b w:val="0"/>
          <w:bCs/>
          <w:sz w:val="22"/>
          <w:szCs w:val="22"/>
          <w:lang w:val="en-US" w:eastAsia="ja-JP"/>
        </w:rPr>
        <w:instrText>ADDIN CSL_CITATION {"citationItems":[{"id":"ITEM-1","itemData":{"DOI":"10.1161/CIRCGENETICS.112.964619","ISSN":"1942-3268","PMID":"23362303","abstract":"BACKGROUND- Palmitic acid (16:0), stearic acid (18:0), palmitoleic acid (16:1n-7), and oleic acid (18:1n-9) are major saturated and monounsaturated fatty acids that affect cellular signaling and metabolic pathways. They are synthesized via de novo lipogenesis and are the main saturated and monounsaturated fatty acids in the diet. Levels of these fatty acids have been linked to diseases including type 2 diabetes mellitus and coronary heart disease. METHODS AND RESULTS- Genome-wide association studies were conducted in 5 population-based cohorts comprising 8961 participants of European ancestry to investigate the association of common genetic variation with plasma levels of these 4 fatty acids. We identified polymorphisms in 7 novel loci associated with circulating levels of ≥1 of these fatty acids. ALG14 (asparagine-linked glycosylation 14 homolog) polymorphisms were associated with higher 16:0 (P=2.7×10(-11)) and lower 18:0 (P=2.2×10(-18)). FADS1 and FADS2 (desaturases) polymorphisms were associated with higher 16:1n-7 (P=6.6×10(-13)) and 18:1n-9 (P=2.2×10(-32)) and lower 18:0 (P=1.3×10(-20)). LPGAT1 (lysophosphatidylglycerol acyltransferase) polymorphisms were associated with lower 18:0 (P=2.8×10(-9)). GCKR (glucokinase regulator; P=9.8×10(-10)) and HIF1AN (factor inhibiting hypoxia-inducible factor-1; P=5.7×10(-9)) polymorphisms were associated with higher 16:1n-7, whereas PKD2L1 (polycystic kidney disease 2-like 1; P=5.7×10(-15)) and a locus on chromosome 2 (not near known genes) were associated with lower 16:1n-7 (P=4.1×10(-8)). CONCLUSIONS- Our findings provide novel evidence that common variations in genes with diverse functions, including protein-glycosylation, polyunsaturated fatty acid metabolism, phospholipid modeling, and glucose- and oxygen-sensing pathways, are associated with circulating levels of 4 fatty acids in the de novo lipogenesis pathway. These results expand our knowledge of genetic factors relevant to de novo lipogenesis and fatty acid biology.","author":[{"dropping-particle":"","family":"Wu","given":"Jason H Y","non-dropping-particle":"","parse-names":false,"suffix":""},{"dropping-particle":"","family":"Lemaitre","given":"Rozenn N","non-dropping-particle":"","parse-names":false,"suffix":""},{"dropping-particle":"","family":"Manichaikul","given":"Ani","non-dropping-particle":"","parse-names":false,"suffix":""},{"dropping-particle":"","family":"Guan","given":"Weihua","non-dropping-particle":"","parse-names":false,"suffix":""},{"dropping-particle":"","family":"Tanaka","given":"Toshiko","non-dropping-particle":"","parse-names":false,"suffix":""},{"dropping-particle":"","family":"Foy","given":"Millennia","non-dropping-particle":"","parse-names":false,"suffix":""},{"dropping-particle":"","family":"Kabagambe","given":"Edmond K","non-dropping-particle":"","parse-names":false,"suffix":""},{"dropping-particle":"","family":"Djousse","given":"Luc","non-dropping-particle":"","parse-names":false,"suffix":""},{"dropping-particle":"","family":"Siscovick","given":"David","non-dropping-particle":"","parse-names":false,"suffix":""},{"dropping-particle":"","family":"Fretts","given":"Amanda M","non-dropping-particle":"","parse-names":false,"suffix":""},{"dropping-particle":"","family":"Johnson","given":"Catherine","non-dropping-particle":"","parse-names":false,"suffix":""},{"dropping-particle":"","family":"King","given":"Irena B","non-dropping-particle":"","parse-names":false,"suffix":""},{"dropping-particle":"","family":"Psaty","given":"Bruce M","non-dropping-particle":"","parse-names":false,"suffix":""},{"dropping-particle":"","family":"McKnight","given":"Barbara","non-dropping-particle":"","parse-names":false,"suffix":""},{"dropping-particle":"","family":"Rich","given":"Stephen S","non-dropping-particle":"","parse-names":false,"suffix":""},{"dropping-particle":"","family":"Chen","given":"Yii-Der I","non-dropping-particle":"","parse-names":false,"suffix":""},{"dropping-particle":"","family":"Nettleton","given":"Jennifer A","non-dropping-particle":"","parse-names":false,"suffix":""},{"dropping-particle":"","family":"Tang","given":"Weihong","non-dropping-particle":"","parse-names":false,"suffix":""},{"dropping-particle":"","family":"Bandinelli","given":"Stefania","non-dropping-particle":"","parse-names":false,"suffix":""},{"dropping-particle":"","family":"Jacobs","given":"David R","non-dropping-particle":"","parse-names":false,"suffix":""},{"dropping-particle":"","family":"Browning","given":"Brian L","non-dropping-particle":"","parse-names":false,"suffix":""},{"dropping-particle":"","family":"Laurie","given":"Cathy C","non-dropping-particle":"","parse-names":false,"suffix":""},{"dropping-particle":"","family":"Gu","given":"Xiangjun","non-dropping-particle":"","parse-names":false,"suffix":""},{"dropping-particle":"","family":"Tsai","given":"Michael Y","non-dropping-particle":"","parse-names":false,"suffix":""},{"dropping-particle":"","family":"Steffen","given":"Lyn M","non-dropping-particle":"","parse-names":false,"suffix":""},{"dropping-particle":"","family":"Ferrucci","given":"Luigi","non-dropping-particle":"","parse-names":false,"suffix":""},{"dropping-particle":"","family":"Fornage","given":"Myriam","non-dropping-particle":"","parse-names":false,"suffix":""},{"dropping-particle":"","family":"Mozaffarian","given":"Dariush","non-dropping-particle":"","parse-names":false,"suffix":""}],"container-title":"Circulation. Cardiovasc Genet","id":"ITEM-1","issue":"2","issued":{"date-parts":[["2013","4"]]},"page":"171-83","title":"Genome-wide association study identifies novel loci associated with concentrations of four plasma phospholipid fatty acids in the de novo lipogenesis pathway: results from the Cohorts for Heart and Aging Research in Genomic Epidemiology (CHARGE) consortiu","type":"article-journal","volume":"6"},"uris":["http://www.mendeley.com/documents/?uuid=4b468d56-8478-4a57-8165-b994e45fdc12"]}],"mendeley":{"formattedCitation":"[38]","plainTextFormattedCitation":"[38]","previouslyFormattedCitation":"[38]"},"properties":{"noteIndex":0},"schema":"https://github.com/citation-style-language/schema/raw/master/csl-citation.json"}</w:instrText>
      </w:r>
      <w:r w:rsidR="004C0F02" w:rsidRPr="00C40A28">
        <w:rPr>
          <w:rFonts w:ascii="Times New Roman" w:hAnsi="Times New Roman"/>
          <w:b w:val="0"/>
          <w:bCs/>
          <w:sz w:val="22"/>
          <w:szCs w:val="22"/>
          <w:lang w:val="en-US" w:eastAsia="ja-JP"/>
        </w:rPr>
        <w:fldChar w:fldCharType="separate"/>
      </w:r>
      <w:r w:rsidR="00115ADE" w:rsidRPr="00C40A28">
        <w:rPr>
          <w:rFonts w:ascii="Times New Roman" w:hAnsi="Times New Roman"/>
          <w:b w:val="0"/>
          <w:bCs/>
          <w:noProof/>
          <w:sz w:val="22"/>
          <w:szCs w:val="22"/>
          <w:lang w:val="en-US" w:eastAsia="ja-JP"/>
        </w:rPr>
        <w:t>[38]</w:t>
      </w:r>
      <w:r w:rsidR="004C0F02" w:rsidRPr="00C40A28">
        <w:rPr>
          <w:rFonts w:ascii="Times New Roman" w:hAnsi="Times New Roman"/>
          <w:b w:val="0"/>
          <w:bCs/>
          <w:sz w:val="22"/>
          <w:szCs w:val="22"/>
          <w:lang w:val="en-US" w:eastAsia="ja-JP"/>
        </w:rPr>
        <w:fldChar w:fldCharType="end"/>
      </w:r>
      <w:r w:rsidR="00DF1115" w:rsidRPr="00C40A28">
        <w:rPr>
          <w:rFonts w:ascii="Times New Roman" w:hAnsi="Times New Roman"/>
          <w:b w:val="0"/>
          <w:bCs/>
          <w:sz w:val="22"/>
          <w:szCs w:val="22"/>
          <w:lang w:val="en-US" w:eastAsia="ja-JP"/>
        </w:rPr>
        <w:t xml:space="preserve">. </w:t>
      </w:r>
      <w:r w:rsidR="00033B22" w:rsidRPr="00C40A28">
        <w:rPr>
          <w:rFonts w:ascii="Times New Roman" w:hAnsi="Times New Roman"/>
          <w:b w:val="0"/>
          <w:bCs/>
          <w:sz w:val="22"/>
          <w:szCs w:val="22"/>
          <w:lang w:val="en-US" w:eastAsia="ja-JP"/>
        </w:rPr>
        <w:t>D</w:t>
      </w:r>
      <w:r w:rsidR="00A66DE9" w:rsidRPr="00C40A28">
        <w:rPr>
          <w:rFonts w:ascii="Times New Roman" w:hAnsi="Times New Roman"/>
          <w:b w:val="0"/>
          <w:bCs/>
          <w:sz w:val="22"/>
          <w:szCs w:val="22"/>
          <w:lang w:val="en-US" w:eastAsia="ja-JP"/>
        </w:rPr>
        <w:t xml:space="preserve">ietary intakes of saturated and monounsaturated fatty acids </w:t>
      </w:r>
      <w:r w:rsidR="002D72A1" w:rsidRPr="00C40A28">
        <w:rPr>
          <w:rFonts w:ascii="Times New Roman" w:hAnsi="Times New Roman"/>
          <w:b w:val="0"/>
          <w:bCs/>
          <w:sz w:val="22"/>
          <w:szCs w:val="22"/>
          <w:lang w:val="en-US" w:eastAsia="ja-JP"/>
        </w:rPr>
        <w:t xml:space="preserve">directly </w:t>
      </w:r>
      <w:r w:rsidR="00A66DE9" w:rsidRPr="00C40A28">
        <w:rPr>
          <w:rFonts w:ascii="Times New Roman" w:hAnsi="Times New Roman"/>
          <w:b w:val="0"/>
          <w:bCs/>
          <w:sz w:val="22"/>
          <w:szCs w:val="22"/>
          <w:lang w:val="en-US" w:eastAsia="ja-JP"/>
        </w:rPr>
        <w:t>influence 16:0, 16:1n7, 18:0, and 18:1n9</w:t>
      </w:r>
      <w:r w:rsidR="005F00D8" w:rsidRPr="00C40A28">
        <w:rPr>
          <w:rFonts w:ascii="Times New Roman" w:hAnsi="Times New Roman"/>
          <w:b w:val="0"/>
          <w:bCs/>
          <w:sz w:val="22"/>
          <w:szCs w:val="22"/>
          <w:lang w:val="en-US" w:eastAsia="ja-JP"/>
        </w:rPr>
        <w:t xml:space="preserve"> </w:t>
      </w:r>
      <w:r w:rsidR="005F00D8" w:rsidRPr="00C40A28">
        <w:rPr>
          <w:rFonts w:ascii="Times New Roman" w:hAnsi="Times New Roman"/>
          <w:b w:val="0"/>
          <w:bCs/>
          <w:sz w:val="22"/>
          <w:szCs w:val="22"/>
          <w:lang w:val="en-US" w:eastAsia="ja-JP"/>
        </w:rPr>
        <w:fldChar w:fldCharType="begin" w:fldLock="1"/>
      </w:r>
      <w:r w:rsidR="001A6E99" w:rsidRPr="00C40A28">
        <w:rPr>
          <w:rFonts w:ascii="Times New Roman" w:hAnsi="Times New Roman"/>
          <w:b w:val="0"/>
          <w:bCs/>
          <w:sz w:val="22"/>
          <w:szCs w:val="22"/>
          <w:lang w:val="en-US" w:eastAsia="ja-JP"/>
        </w:rPr>
        <w:instrText>ADDIN CSL_CITATION {"citationItems":[{"id":"ITEM-1","itemData":{"DOI":"10.1016/j.plipres.2008.03.003","ISBN":"0163-7827 (Print) 0163-7827 (Linking)","ISSN":"0163-7827","PMID":"18435934","abstract":"Accurate assessment of fat intake is essential to examine the relationships between diet and disease risk but the process of estimating individual intakes of fat quality by dietary assessment is difficult. Tissue and blood fatty acids, because they are mainly derived from the diet, have been used as biomarkers of dietary intake for a number of years. We review evidence from a wide variety of cross-sectional and intervention studies and summarise typical values for fatty acid composition in adipose tissue and blood lipids and changes that can be expected in response to varying dietary intake. Studies in which dietary intake was strictly controlled confirm that fatty acid biomarkers can complement dietary assessment methodologies and have the potential to be used more quantitatively. Factors affecting adipose tissue and blood lipid composition are discussed, such as the physical properties of triacylglycerol, total dietary fat intake and endogenous fatty acid synthesis. The relationship between plasma lipoprotein concentrations and total plasma fatty acid composition, and the use of fatty acid ratios as indices of enzyme activity are also addressed.","author":[{"dropping-particle":"","family":"Hodson","given":"Leanne","non-dropping-particle":"","parse-names":false,"suffix":""},{"dropping-particle":"","family":"Skeaff","given":"C Murray","non-dropping-particle":"","parse-names":false,"suffix":""},{"dropping-particle":"","family":"Fielding","given":"Barbara A","non-dropping-particle":"","parse-names":false,"suffix":""}],"container-title":"Prog Lipid Res","id":"ITEM-1","issue":"5","issued":{"date-parts":[["2008","9"]]},"note":"From Duplicate 2 ( Fatty acid composition of adipose tissue and blood in humans and its use as a biomarker of dietary intake. - Hodson, Leanne; Skeaff, C Murray; Fielding, Barbara a )\n","page":"348-380","title":"Fatty acid composition of adipose tissue and blood in humans and its use as a biomarker of dietary intake","type":"article-journal","volume":"47"},"uris":["http://www.mendeley.com/documents/?uuid=26fa07d1-ce12-4a9b-9423-5cdaaa2f9116"]},{"id":"ITEM-2","itemData":{"DOI":"10.1210/jc.2019-00160","ISSN":"0021-972X","author":[{"dropping-particle":"","family":"Rosqvist","given":"Fredrik","non-dropping-particle":"","parse-names":false,"suffix":""},{"dropping-particle":"","family":"Kullberg","given":"Joel","non-dropping-particle":"","parse-names":false,"suffix":""},{"dropping-particle":"","family":"Ståhlman","given":"Marcus","non-dropping-particle":"","parse-names":false,"suffix":""},{"dropping-particle":"","family":"Cedernaes","given":"Jonathan","non-dropping-particle":"","parse-names":false,"suffix":""},{"dropping-particle":"","family":"Heurling","given":"Kerstin","non-dropping-particle":"","parse-names":false,"suffix":""},{"dropping-particle":"","family":"Johansson","given":"Hans-Erik","non-dropping-particle":"","parse-names":false,"suffix":""},{"dropping-particle":"","family":"Iggman","given":"David","non-dropping-particle":"","parse-names":false,"suffix":""},{"dropping-particle":"","family":"Wilking","given":"Helena","non-dropping-particle":"","parse-names":false,"suffix":""},{"dropping-particle":"","family":"Larsson","given":"Anders","non-dropping-particle":"","parse-names":false,"suffix":""},{"dropping-particle":"","family":"Eriksson","given":"Olof","non-dropping-particle":"","parse-names":false,"suffix":""},{"dropping-particle":"","family":"Johansson","given":"Lars","non-dropping-particle":"","parse-names":false,"suffix":""},{"dropping-particle":"","family":"Straniero","given":"Sara","non-dropping-particle":"","parse-names":false,"suffix":""},{"dropping-particle":"","family":"Rudling","given":"Mats","non-dropping-particle":"","parse-names":false,"suffix":""},{"dropping-particle":"","family":"Antoni","given":"Gunnar","non-dropping-particle":"","parse-names":false,"suffix":""},{"dropping-particle":"","family":"Lubberink","given":"Mark","non-dropping-particle":"","parse-names":false,"suffix":""},{"dropping-particle":"","family":"Orho-Melander","given":"Marju","non-dropping-particle":"","parse-names":false,"suffix":""},{"dropping-particle":"","family":"Borén","given":"Jan","non-dropping-particle":"","parse-names":false,"suffix":""},{"dropping-particle":"","family":"Ahlström","given":"Håkan","non-dropping-particle":"","parse-names":false,"suffix":""},{"dropping-particle":"","family":"Risérus","given":"Ulf","non-dropping-particle":"","parse-names":false,"suffix":""}],"container-title":"J Clin Endocrinol Metab","id":"ITEM-2","issue":"12","issued":{"date-parts":[["2019","12","1"]]},"page":"6207-6219","title":"Overeating Saturated Fat Promotes Fatty Liver and Ceramides Compared With Polyunsaturated Fat: A Randomized Trial","type":"article-journal","volume":"104"},"uris":["http://www.mendeley.com/documents/?uuid=9d3e46e7-0e38-4346-9c54-28d73f1a24cf"]},{"id":"ITEM-3","itemData":{"DOI":"10.1017/S0029665119000569","ISSN":"1475-2719","PMID":"30942685","abstract":"Non-alcoholic fatty liver disease encompasses a spectrum of conditions from hepatic steatosis through to cirrhosis; obesity is a known risk factor. The liver plays a major role in regulating fatty acid metabolism and perturbations in intrahepatic processes have potential to impact on metabolic health. It remains unclear why intra-hepatocellular fat starts to accumulate, but it likely involves an imbalance between fatty acid delivery to the liver, fatty acid synthesis and oxidation within the liver and TAG export from the liver. As man spends the majority of the day in a postprandial rather than postabsorptive state, dietary fatty acid intake should be taken into consideration when investigating why intra-hepatic fat starts to accumulate. This review will discuss the impact of the quantity and quality of dietary fatty acids on liver fat accumulation and metabolism, along with some of the potential mechanisms involved. Studies investigating the role of dietary fat in liver fat accumulation, although surprisingly limited, have clearly demonstrated that it is total energy intake, rather than fat intake per se, that is a key mediator of liver fat content; hyperenergetic diets increase liver fat whilst hypoenergetic diets decrease liver fat content irrespective of total fat content. Moreover, there is now, albeit limited evidence emerging to suggest the composition of dietary fat may also play a role in liver fat accumulation, with diets enriched in saturated fat appearing to increase liver fat content to a greater extent when compared with diets enriched in unsaturated fats.","author":[{"dropping-particle":"","family":"Hodson","given":"Leanne","non-dropping-particle":"","parse-names":false,"suffix":""},{"dropping-particle":"","family":"Rosqvist","given":"Fredrik","non-dropping-particle":"","parse-names":false,"suffix":""},{"dropping-particle":"","family":"Parry","given":"Siôn A","non-dropping-particle":"","parse-names":false,"suffix":""}],"container-title":"Proc Nutr Soc","id":"ITEM-3","issue":"1","issued":{"date-parts":[["2020","2","3"]]},"page":"30-41","title":"The influence of dietary fatty acids on liver fat content and metabolism.","type":"article-journal","volume":"79"},"uris":["http://www.mendeley.com/documents/?uuid=eee647b7-e39f-4bc2-92df-77517e57fcdf"]}],"mendeley":{"formattedCitation":"[37,39,40]","plainTextFormattedCitation":"[37,39,40]","previouslyFormattedCitation":"[37,39,40]"},"properties":{"noteIndex":0},"schema":"https://github.com/citation-style-language/schema/raw/master/csl-citation.json"}</w:instrText>
      </w:r>
      <w:r w:rsidR="005F00D8" w:rsidRPr="00C40A28">
        <w:rPr>
          <w:rFonts w:ascii="Times New Roman" w:hAnsi="Times New Roman"/>
          <w:b w:val="0"/>
          <w:bCs/>
          <w:sz w:val="22"/>
          <w:szCs w:val="22"/>
          <w:lang w:val="en-US" w:eastAsia="ja-JP"/>
        </w:rPr>
        <w:fldChar w:fldCharType="separate"/>
      </w:r>
      <w:r w:rsidR="001A6E99" w:rsidRPr="00C40A28">
        <w:rPr>
          <w:rFonts w:ascii="Times New Roman" w:hAnsi="Times New Roman"/>
          <w:b w:val="0"/>
          <w:bCs/>
          <w:noProof/>
          <w:sz w:val="22"/>
          <w:szCs w:val="22"/>
          <w:lang w:val="en-US" w:eastAsia="ja-JP"/>
        </w:rPr>
        <w:t>[37,39,40]</w:t>
      </w:r>
      <w:r w:rsidR="005F00D8" w:rsidRPr="00C40A28">
        <w:rPr>
          <w:rFonts w:ascii="Times New Roman" w:hAnsi="Times New Roman"/>
          <w:b w:val="0"/>
          <w:bCs/>
          <w:sz w:val="22"/>
          <w:szCs w:val="22"/>
          <w:lang w:val="en-US" w:eastAsia="ja-JP"/>
        </w:rPr>
        <w:fldChar w:fldCharType="end"/>
      </w:r>
      <w:r w:rsidR="00033B22" w:rsidRPr="00C40A28">
        <w:rPr>
          <w:rFonts w:ascii="Times New Roman" w:hAnsi="Times New Roman"/>
          <w:b w:val="0"/>
          <w:bCs/>
          <w:sz w:val="22"/>
          <w:szCs w:val="22"/>
          <w:lang w:val="en-US" w:eastAsia="ja-JP"/>
        </w:rPr>
        <w:t xml:space="preserve">, </w:t>
      </w:r>
      <w:r w:rsidR="00330C9D" w:rsidRPr="00C40A28">
        <w:rPr>
          <w:rFonts w:ascii="Times New Roman" w:hAnsi="Times New Roman"/>
          <w:b w:val="0"/>
          <w:bCs/>
          <w:sz w:val="22"/>
          <w:szCs w:val="22"/>
          <w:lang w:val="en-US" w:eastAsia="ja-JP"/>
        </w:rPr>
        <w:t xml:space="preserve">but it remains unclear if these effects are similar or even smaller than the influence of endogenous synthesis and metabolism in long-term settings </w:t>
      </w:r>
      <w:r w:rsidR="00330C9D" w:rsidRPr="00C40A28">
        <w:rPr>
          <w:rFonts w:ascii="Times New Roman" w:hAnsi="Times New Roman"/>
          <w:b w:val="0"/>
          <w:bCs/>
          <w:sz w:val="22"/>
          <w:szCs w:val="22"/>
          <w:lang w:val="en-US" w:eastAsia="ja-JP"/>
        </w:rPr>
        <w:fldChar w:fldCharType="begin" w:fldLock="1"/>
      </w:r>
      <w:r w:rsidR="00330C9D" w:rsidRPr="00C40A28">
        <w:rPr>
          <w:rFonts w:ascii="Times New Roman" w:hAnsi="Times New Roman"/>
          <w:b w:val="0"/>
          <w:bCs/>
          <w:sz w:val="22"/>
          <w:szCs w:val="22"/>
          <w:lang w:val="en-US" w:eastAsia="ja-JP"/>
        </w:rPr>
        <w:instrText>ADDIN CSL_CITATION {"citationItems":[{"id":"ITEM-1","itemData":{"DOI":"10.3945/ajcn.117.153072","ISSN":"0002-9165","abstract":"Background: Biomarkers of macronutrient intake are lacking. Controlled human feeding studies that preserve the normal variation in nutrient and food consumption are necessary for the development and validation of robust nutritional biomarkers. Objective: We aimed to assess the utility of serum phospholipid fatty acids (PLFAs) as biomarkers of dietary intakes of fatty acids, total fat, and carbohydrate. Design: We used an individualized controlled feeding study in which 153 postmenopausal women from the Women’s Health Initiative (WHI) were provided with a 2-wk controlled diet that mimicked each individual’s habitual food intake. A total of 41 PLFAs were measured with the use of gas chromatography in end-of-feeding-period fasting serum samples and expressed in both relative and absolute concentrations. R2 values (percentages of variation explained) from linear regressions of (ln-transformed) consumed fatty acids (individual, groups, and broad categories) on (ln-transformed) corresponding measures of serum PLFAs alone and together with selected participant-related variables (age, race/ethnicity, body mass index, season of study participation, education level, and estimated energy intake from doubly labeled water) were used for evaluation against established urinary recovery biomarkers of energy and protein intake as benchmarks. Models to predict intakes of other nutrients were also explored. Results: Intakes of eicosapentaenoic acid and docosahexaenoic acid achieved the benchmark of R2 . 36% with or without covariates. When all 41 serum PLFAs and participant-related covariates were initially included in the model for selection, cross-validated R2 achieved .36% for consumed total carbohydrate (grams per day), total saturated fatty acids (SFAs), percentage of energy from SFAs, and total trans fatty acids with serum PLFAs in both relative and absolute concentrations. Conclusions: Serum PLFA biomarkers perform similarly to established energy and protein urinary recovery biomarkers in describing intake variations for several nutrients and, thus, appear suitable for application in this population of postmenopausal women. This approach represents an important methodologic contribution toward the utilization of nutritional biomarkers to assess macronutrient intake. This trial was registered at clinicaltrials.gov as NCT00000611.","author":[{"dropping-particle":"","family":"Song","given":"Xiaoling","non-dropping-particle":"","parse-names":false,"suffix":""},{"dropping-particle":"","family":"Huang","given":"Ying","non-dropping-particle":"","parse-names":false,"suffix":""},{"dropping-particle":"","family":"Neuhouser","given":"Marian L","non-dropping-particle":"","parse-names":false,"suffix":""},{"dropping-particle":"","family":"Tinker","given":"Lesley F","non-dropping-particle":"","parse-names":false,"suffix":""},{"dropping-particle":"","family":"Vitolins","given":"Mara Z","non-dropping-particle":"","parse-names":false,"suffix":""},{"dropping-particle":"","family":"Prentice","given":"Ross L","non-dropping-particle":"","parse-names":false,"suffix":""},{"dropping-particle":"","family":"Lampe","given":"Johanna W","non-dropping-particle":"","parse-names":false,"suffix":""}],"container-title":"Am J Clin Nutr","id":"ITEM-1","issued":{"date-parts":[["2017","4","26"]]},"page":"1272-82","title":"Dietary long-chain fatty acids and carbohydrate biomarker evaluation in a controlled feeding study in participants from the Women’s Health Initiative cohort","type":"article-journal","volume":"105"},"uris":["http://www.mendeley.com/documents/?uuid=60c6f9e8-c42a-4c01-a992-96c6e8489111"]},{"id":"ITEM-2","itemData":{"DOI":"10.1007/s11745-007-3132-7","ISSN":"0024-4201","author":[{"dropping-particle":"","family":"Forsythe","given":"Cassandra E.","non-dropping-particle":"","parse-names":false,"suffix":""},{"dropping-particle":"","family":"Phinney","given":"Stephen D.","non-dropping-particle":"","parse-names":false,"suffix":""},{"dropping-particle":"","family":"Fernandez","given":"Maria Luz","non-dropping-particle":"","parse-names":false,"suffix":""},{"dropping-particle":"","family":"Quann","given":"Erin E.","non-dropping-particle":"","parse-names":false,"suffix":""},{"dropping-particle":"","family":"Wood","given":"Richard J.","non-dropping-particle":"","parse-names":false,"suffix":""},{"dropping-particle":"","family":"Bibus","given":"Doug M.","non-dropping-particle":"","parse-names":false,"suffix":""},{"dropping-particle":"","family":"Kraemer","given":"William J.","non-dropping-particle":"","parse-names":false,"suffix":""},{"dropping-particle":"","family":"Feinman","given":"Richard D.","non-dropping-particle":"","parse-names":false,"suffix":""},{"dropping-particle":"","family":"Volek","given":"Jeff S.","non-dropping-particle":"","parse-names":false,"suffix":""}],"container-title":"Lipids","id":"ITEM-2","issue":"1","issued":{"date-parts":[["2008","1","29"]]},"page":"65-77","title":"Comparison of Low Fat and Low Carbohydrate Diets on Circulating Fatty Acid Composition and Markers of Inflammation","type":"article-journal","volume":"43"},"uris":["http://www.mendeley.com/documents/?uuid=cd925d5e-214f-411d-9570-e7d24158e016"]},{"id":"ITEM-3","itemData":{"DOI":"10.1016/j.plipres.2012.08.002","ISSN":"1873-2194","PMID":"23000367","abstract":"Different lipid fractions in humans have characteristic fatty acid profiles and these are maintained partly through diet and to a lesser extent through endogenous synthesis. The enzyme stearoyl-CoA desaturase (SCD; EC 1.14.99.5) is the rate-limiting enzyme in the synthesis of monounsaturated fatty acids such as palmitoleic acid (16:1 n-7) and oleic acid (18:1 n-9). These are the two most abundant monounsaturated fatty acids in human plasma lipids, membranes and adipose tissue. Although in quantitative terms, the endogenous synthesis of fatty acids in humans is not great in most circumstances, it is becoming increasingly evident that SCD plays important structural and metabolic roles. In addition, 16:1 n-7 has been purported to act as a beneficial 'lipokine' in an animal model. Research in humans has relied on indirect measurements of SCD1 activity and therefore, much of our understanding has come from work on animal models. However, results have been somewhat counterintuitive and confusing, so the purpose of this review is to try to summarise our current understanding of this fascinating enzyme.","author":[{"dropping-particle":"","family":"Hodson","given":"Leanne","non-dropping-particle":"","parse-names":false,"suffix":""},{"dropping-particle":"","family":"Fielding","given":"Barbara A","non-dropping-particle":"","parse-names":false,"suffix":""}],"container-title":"Prog Lipid Res","id":"ITEM-3","issue":"1","issued":{"date-parts":[["2013","1"]]},"page":"15-42","title":"Stearoyl-CoA desaturase: rogue or innocent bystander?","type":"article-journal","volume":"52"},"uris":["http://www.mendeley.com/documents/?uuid=b5ce6a1a-8d97-4463-b0ea-11f4857726dc"]}],"mendeley":{"formattedCitation":"[41–43]","plainTextFormattedCitation":"[41–43]","previouslyFormattedCitation":"[41–43]"},"properties":{"noteIndex":0},"schema":"https://github.com/citation-style-language/schema/raw/master/csl-citation.json"}</w:instrText>
      </w:r>
      <w:r w:rsidR="00330C9D" w:rsidRPr="00C40A28">
        <w:rPr>
          <w:rFonts w:ascii="Times New Roman" w:hAnsi="Times New Roman"/>
          <w:b w:val="0"/>
          <w:bCs/>
          <w:sz w:val="22"/>
          <w:szCs w:val="22"/>
          <w:lang w:val="en-US" w:eastAsia="ja-JP"/>
        </w:rPr>
        <w:fldChar w:fldCharType="separate"/>
      </w:r>
      <w:r w:rsidR="00330C9D" w:rsidRPr="00C40A28">
        <w:rPr>
          <w:rFonts w:ascii="Times New Roman" w:hAnsi="Times New Roman"/>
          <w:b w:val="0"/>
          <w:bCs/>
          <w:noProof/>
          <w:sz w:val="22"/>
          <w:szCs w:val="22"/>
          <w:lang w:val="en-US" w:eastAsia="ja-JP"/>
        </w:rPr>
        <w:t>[41–43]</w:t>
      </w:r>
      <w:r w:rsidR="00330C9D" w:rsidRPr="00C40A28">
        <w:rPr>
          <w:rFonts w:ascii="Times New Roman" w:hAnsi="Times New Roman"/>
          <w:b w:val="0"/>
          <w:bCs/>
          <w:sz w:val="22"/>
          <w:szCs w:val="22"/>
          <w:lang w:val="en-US" w:eastAsia="ja-JP"/>
        </w:rPr>
        <w:fldChar w:fldCharType="end"/>
      </w:r>
      <w:r w:rsidR="00330C9D" w:rsidRPr="00C40A28">
        <w:rPr>
          <w:rFonts w:ascii="Times New Roman" w:hAnsi="Times New Roman"/>
          <w:b w:val="0"/>
          <w:bCs/>
          <w:sz w:val="22"/>
          <w:szCs w:val="22"/>
          <w:lang w:val="en-US" w:eastAsia="ja-JP"/>
        </w:rPr>
        <w:t xml:space="preserve">. </w:t>
      </w:r>
      <w:r w:rsidR="007416F3" w:rsidRPr="00C40A28">
        <w:rPr>
          <w:rFonts w:ascii="Times New Roman" w:hAnsi="Times New Roman"/>
          <w:b w:val="0"/>
          <w:bCs/>
          <w:sz w:val="22"/>
          <w:szCs w:val="22"/>
          <w:lang w:val="en-US" w:eastAsia="ja-JP"/>
        </w:rPr>
        <w:t xml:space="preserve">For example, Limited evidence from </w:t>
      </w:r>
      <w:r w:rsidR="00330C9D" w:rsidRPr="00C40A28">
        <w:rPr>
          <w:rFonts w:ascii="Times New Roman" w:hAnsi="Times New Roman"/>
          <w:b w:val="0"/>
          <w:bCs/>
          <w:sz w:val="22"/>
          <w:szCs w:val="22"/>
          <w:lang w:val="en-US" w:eastAsia="ja-JP"/>
        </w:rPr>
        <w:t>Swedish cohorts suggest</w:t>
      </w:r>
      <w:r w:rsidR="007416F3" w:rsidRPr="00C40A28">
        <w:rPr>
          <w:rFonts w:ascii="Times New Roman" w:hAnsi="Times New Roman"/>
          <w:b w:val="0"/>
          <w:bCs/>
          <w:sz w:val="22"/>
          <w:szCs w:val="22"/>
          <w:lang w:val="en-US" w:eastAsia="ja-JP"/>
        </w:rPr>
        <w:t>s</w:t>
      </w:r>
      <w:r w:rsidR="00330C9D" w:rsidRPr="00C40A28">
        <w:rPr>
          <w:rFonts w:ascii="Times New Roman" w:hAnsi="Times New Roman"/>
          <w:b w:val="0"/>
          <w:bCs/>
          <w:sz w:val="22"/>
          <w:szCs w:val="22"/>
          <w:lang w:val="en-US" w:eastAsia="ja-JP"/>
        </w:rPr>
        <w:t xml:space="preserve"> the </w:t>
      </w:r>
      <w:r w:rsidR="007416F3" w:rsidRPr="00C40A28">
        <w:rPr>
          <w:rFonts w:ascii="Times New Roman" w:hAnsi="Times New Roman"/>
          <w:b w:val="0"/>
          <w:bCs/>
          <w:sz w:val="22"/>
          <w:szCs w:val="22"/>
          <w:lang w:val="en-US" w:eastAsia="ja-JP"/>
        </w:rPr>
        <w:t>negative</w:t>
      </w:r>
      <w:r w:rsidR="00330C9D" w:rsidRPr="00C40A28">
        <w:rPr>
          <w:rFonts w:ascii="Times New Roman" w:hAnsi="Times New Roman"/>
          <w:b w:val="0"/>
          <w:bCs/>
          <w:sz w:val="22"/>
          <w:szCs w:val="22"/>
          <w:lang w:val="en-US" w:eastAsia="ja-JP"/>
        </w:rPr>
        <w:t xml:space="preserve"> or null </w:t>
      </w:r>
      <w:r w:rsidR="007416F3" w:rsidRPr="00C40A28">
        <w:rPr>
          <w:rFonts w:ascii="Times New Roman" w:hAnsi="Times New Roman"/>
          <w:b w:val="0"/>
          <w:bCs/>
          <w:sz w:val="22"/>
          <w:szCs w:val="22"/>
          <w:lang w:val="en-US" w:eastAsia="ja-JP"/>
        </w:rPr>
        <w:t xml:space="preserve">association of carbohydrate intake with concentrations of DNL-related fatty acids </w:t>
      </w:r>
      <w:r w:rsidR="00330C9D" w:rsidRPr="00C40A28">
        <w:rPr>
          <w:rFonts w:ascii="Times New Roman" w:hAnsi="Times New Roman"/>
          <w:b w:val="0"/>
          <w:bCs/>
          <w:sz w:val="22"/>
          <w:szCs w:val="22"/>
          <w:lang w:val="en-US" w:eastAsia="ja-JP"/>
        </w:rPr>
        <w:t xml:space="preserve">in adipose tissue and phospholipids and highlight a role of saturated fat or alcohol </w:t>
      </w:r>
      <w:r w:rsidR="007416F3" w:rsidRPr="00C40A28">
        <w:rPr>
          <w:rFonts w:ascii="Times New Roman" w:hAnsi="Times New Roman"/>
          <w:b w:val="0"/>
          <w:bCs/>
          <w:sz w:val="22"/>
          <w:szCs w:val="22"/>
          <w:lang w:val="en-US" w:eastAsia="ja-JP"/>
        </w:rPr>
        <w:t>as determining</w:t>
      </w:r>
      <w:r w:rsidR="00330C9D" w:rsidRPr="00C40A28">
        <w:rPr>
          <w:rFonts w:ascii="Times New Roman" w:hAnsi="Times New Roman"/>
          <w:b w:val="0"/>
          <w:bCs/>
          <w:sz w:val="22"/>
          <w:szCs w:val="22"/>
          <w:lang w:val="en-US" w:eastAsia="ja-JP"/>
        </w:rPr>
        <w:t xml:space="preserve"> DNL fatty acids </w:t>
      </w:r>
      <w:r w:rsidR="00330C9D" w:rsidRPr="00C40A28">
        <w:rPr>
          <w:rFonts w:ascii="Times New Roman" w:hAnsi="Times New Roman"/>
          <w:b w:val="0"/>
          <w:bCs/>
          <w:sz w:val="22"/>
          <w:szCs w:val="22"/>
          <w:lang w:val="en-US" w:eastAsia="ja-JP"/>
        </w:rPr>
        <w:fldChar w:fldCharType="begin" w:fldLock="1"/>
      </w:r>
      <w:r w:rsidR="007416F3" w:rsidRPr="00C40A28">
        <w:rPr>
          <w:rFonts w:ascii="Times New Roman" w:hAnsi="Times New Roman"/>
          <w:b w:val="0"/>
          <w:bCs/>
          <w:sz w:val="22"/>
          <w:szCs w:val="22"/>
          <w:lang w:val="en-US" w:eastAsia="ja-JP"/>
        </w:rPr>
        <w:instrText>ADDIN CSL_CITATION {"citationItems":[{"id":"ITEM-1","itemData":{"DOI":"10.1001/jamacardio.2016.2259","ISSN":"2380-6591","PMID":"27541681","abstract":"Importance The major polyunsaturated fatty acids in adipose tissue objectively reflect long-term dietary intake, and may provide more reliable information than would self-reported intake. Whether adipose tissue fatty acids predict cardiovascular and all-cause mortality needs investigation. Objective To investigate associations between adipose tissue fatty acids and cardiovascular and overall mortality in a cohort of elderly men. Design, Setting, and Participants We hypothesized that polyunsaturated fatty acids reflecting dietary intake, are inversely associated with cardiovascular and all-cause mortality. In the Swedish cohort study Uppsala Longitudinal Cohort of Adult Men, buttock fatty acid composition was analyzed by gas-liquid chromatography in 1992 to 1993 and 2008. The study participants were followed during 11 311 person-years, between 1991 and 2011 (median follow-up, 14.8 years). In this community-based study that took place from 1970 to 1973, all men born in 1920 to 1924 in Uppsala, Sweden, were invited and 2322 (82%) were included (at age 50 years). At the reinvestigation at age 71 years, 1221 (73%) of the 1681 invited men participated. Adipose tissue biopsy specimens were taken in a subsample of 853 men. There was no loss to follow-up. Exposures Adipose tissue proportions of 4 polyunsaturated fatty acids that were considered to mainly reflect dietary intake (linoleic acid, 18:2n-6; α-linolenic acid, 18:3n-3; eicosapentaenoic acid, 20:5n-3; and docosahexaenoic acid, 22:6n-3) comprised primary analyses, and all other available fatty acids were secondary analyses. Main Outcomes and Measures Hazard ratios (HRs) for cardiovascular and all-cause mortality using Cox proportional hazards regression analyses, performed in 2015. Results Among the 853 Swedish men, there were 605 deaths, of which 251 were cardiovascular deaths. After adjusting for risk factors, none of the 4 primary fatty acids were associated with cardiovascular mortality (HR, 0.92-1.05 for each standard deviation increase; P ≥ .27). Linoleic acid was inversely associated with all-cause mortality (HR, 0.90; 95% CI, 0.82-0.98; P = .02) and directly associated with intake (P &lt; .001). In secondary analyses, palmitoleic acid, 16:1n-7 (HR, 1.11; 95% CI, 1.02-1.21; P = .02) was associated with higher all-cause mortality, whereas heptadecanoic acid, 17:0, tended to be associated with lower all-cause mortality (HR, 0.89; 95% CI, 0.79-1.00; P = .05). Arachidonic:linoleic acid ratio was associate…","author":[{"dropping-particle":"","family":"Iggman","given":"David","non-dropping-particle":"","parse-names":false,"suffix":""},{"dropping-particle":"","family":"Ärnlöv","given":"Johan","non-dropping-particle":"","parse-names":false,"suffix":""},{"dropping-particle":"","family":"Cederholm","given":"Tommy","non-dropping-particle":"","parse-names":false,"suffix":""},{"dropping-particle":"","family":"Risérus","given":"Ulf","non-dropping-particle":"","parse-names":false,"suffix":""}],"container-title":"JAMA Cardiology","id":"ITEM-1","issue":"7","issued":{"date-parts":[["2016","10","1"]]},"page":"745-753","title":"Association of Adipose Tissue Fatty Acids With Cardiovascular and All-Cause Mortality in Elderly Men.","type":"article-journal","volume":"1"},"uris":["http://www.mendeley.com/documents/?uuid=d564c70e-3343-4caa-8d00-b6bc96a28576"]},{"id":"ITEM-2","itemData":{"DOI":"10.1007/s00394-019-02058-6","ISSN":"1436-6215","PMID":"31350637","abstract":"PURPOSE Fatty acid composition in blood and adipose tissue (AT) is a useful biomarker of dietary fat quality. However, circulating saturated fatty acids (SFA) and monounsaturated fatty acids (MUFA) have been proposed to also reflect carbohydrate-induced de novo lipogenesis (DNL) and stearoyl-CoA desaturase (SCD) activity. We aimed to test the hypothesis that high carbohydrate intake is related to SFA and MUFA in serum or AT in a Swedish population. METHODS Fatty acid composition was measured in serum phospholipids (PL) and AT by gas chromatography in 63-year-old men (n = 299). Carbohydrate and alcohol intake was assessed (validated 7-day food records) in relation to total SFA, 16:0 (palmitate), 16:1 (palmitoleate), and estimated SCD activity (16:1n-7/16:0-ratio) in serum PL and in AT, respectively. RESULTS Total carbohydrate intake was inversely associated with 16:0 in PL (P = 0.005), independently of BMI. Disaccharides were non-linearly (restricted cubic splines) and weakly associated with 16:1 and SCD activity in PL (nonlinear trend, P ≤ 0.02) but not AT. Carbohydrate intake and SCD expression were not associated (P ≥ 0.08, n = 81). Alcohol intake was, however, linearly associated with 16:0 in PL (P &lt; 0.001), and with 16:1 (P &lt; 0.001) and SCD activity (P ≤ 0.005) in both PL and AT. CONCLUSIONS Higher carbohydrate intake from sugar-rich foods or beverages was not clearly reflected by higher SFA or SCD activity in serum PL or AT. Alcohol was, however, associated with higher SFA and MUFA.","author":[{"dropping-particle":"","family":"Alsharari","given":"Zayed D.","non-dropping-particle":"","parse-names":false,"suffix":""},{"dropping-particle":"","family":"Leander","given":"Karin","non-dropping-particle":"","parse-names":false,"suffix":""},{"dropping-particle":"","family":"Sjögren","given":"Per","non-dropping-particle":"","parse-names":false,"suffix":""},{"dropping-particle":"","family":"Carlsson","given":"Axel","non-dropping-particle":"","parse-names":false,"suffix":""},{"dropping-particle":"","family":"Cederholm","given":"Tommy","non-dropping-particle":"","parse-names":false,"suffix":""},{"dropping-particle":"","family":"Faire","given":"Ulf","non-dropping-particle":"de","parse-names":false,"suffix":""},{"dropping-particle":"","family":"Hellenius","given":"Mai-Lis","non-dropping-particle":"","parse-names":false,"suffix":""},{"dropping-particle":"","family":"Marklund","given":"Matti","non-dropping-particle":"","parse-names":false,"suffix":""},{"dropping-particle":"","family":"Risérus","given":"Ulf","non-dropping-particle":"","parse-names":false,"suffix":""}],"container-title":"Eur J Nutr","id":"ITEM-2","issued":{"date-parts":[["2019","7","26"]]},"page":"(in press)","title":"Association between carbohydrate intake and fatty acids in the de novo lipogenic pathway in serum phospholipids and adipose tissue in a population of Swedish men.","type":"article-journal"},"uris":["http://www.mendeley.com/documents/?uuid=4d7754c1-466a-4b67-ba82-46903c208656"]}],"mendeley":{"formattedCitation":"[44,45]","plainTextFormattedCitation":"[44,45]","previouslyFormattedCitation":"[44,45]"},"properties":{"noteIndex":0},"schema":"https://github.com/citation-style-language/schema/raw/master/csl-citation.json"}</w:instrText>
      </w:r>
      <w:r w:rsidR="00330C9D" w:rsidRPr="00C40A28">
        <w:rPr>
          <w:rFonts w:ascii="Times New Roman" w:hAnsi="Times New Roman"/>
          <w:b w:val="0"/>
          <w:bCs/>
          <w:sz w:val="22"/>
          <w:szCs w:val="22"/>
          <w:lang w:val="en-US" w:eastAsia="ja-JP"/>
        </w:rPr>
        <w:fldChar w:fldCharType="separate"/>
      </w:r>
      <w:r w:rsidR="007416F3" w:rsidRPr="00C40A28">
        <w:rPr>
          <w:rFonts w:ascii="Times New Roman" w:hAnsi="Times New Roman"/>
          <w:b w:val="0"/>
          <w:bCs/>
          <w:noProof/>
          <w:sz w:val="22"/>
          <w:szCs w:val="22"/>
          <w:lang w:val="en-US" w:eastAsia="ja-JP"/>
        </w:rPr>
        <w:t>[44,45]</w:t>
      </w:r>
      <w:r w:rsidR="00330C9D" w:rsidRPr="00C40A28">
        <w:rPr>
          <w:rFonts w:ascii="Times New Roman" w:hAnsi="Times New Roman"/>
          <w:b w:val="0"/>
          <w:bCs/>
          <w:sz w:val="22"/>
          <w:szCs w:val="22"/>
          <w:lang w:val="en-US" w:eastAsia="ja-JP"/>
        </w:rPr>
        <w:fldChar w:fldCharType="end"/>
      </w:r>
      <w:r w:rsidR="00330C9D" w:rsidRPr="00C40A28">
        <w:rPr>
          <w:rFonts w:ascii="Times New Roman" w:hAnsi="Times New Roman"/>
          <w:b w:val="0"/>
          <w:bCs/>
          <w:sz w:val="22"/>
          <w:szCs w:val="22"/>
          <w:lang w:val="en-US" w:eastAsia="ja-JP"/>
        </w:rPr>
        <w:t xml:space="preserve">. Further </w:t>
      </w:r>
      <w:r w:rsidR="007416F3" w:rsidRPr="00C40A28">
        <w:rPr>
          <w:rFonts w:ascii="Times New Roman" w:hAnsi="Times New Roman"/>
          <w:b w:val="0"/>
          <w:bCs/>
          <w:sz w:val="22"/>
          <w:szCs w:val="22"/>
          <w:lang w:val="en-US" w:eastAsia="ja-JP"/>
        </w:rPr>
        <w:t xml:space="preserve">research should address this </w:t>
      </w:r>
      <w:r w:rsidR="00330C9D" w:rsidRPr="00C40A28">
        <w:rPr>
          <w:rFonts w:ascii="Times New Roman" w:hAnsi="Times New Roman"/>
          <w:b w:val="0"/>
          <w:bCs/>
          <w:sz w:val="22"/>
          <w:szCs w:val="22"/>
          <w:lang w:val="en-US" w:eastAsia="ja-JP"/>
        </w:rPr>
        <w:t xml:space="preserve">uncertainty </w:t>
      </w:r>
      <w:r w:rsidR="007416F3" w:rsidRPr="00C40A28">
        <w:rPr>
          <w:rFonts w:ascii="Times New Roman" w:hAnsi="Times New Roman"/>
          <w:b w:val="0"/>
          <w:bCs/>
          <w:sz w:val="22"/>
          <w:szCs w:val="22"/>
          <w:lang w:val="en-US" w:eastAsia="ja-JP"/>
        </w:rPr>
        <w:t xml:space="preserve">of dietary carbohydrates </w:t>
      </w:r>
      <w:r w:rsidR="00643925">
        <w:rPr>
          <w:rFonts w:ascii="Times New Roman" w:hAnsi="Times New Roman"/>
          <w:b w:val="0"/>
          <w:bCs/>
          <w:sz w:val="22"/>
          <w:szCs w:val="22"/>
          <w:lang w:val="en-US" w:eastAsia="ja-JP"/>
        </w:rPr>
        <w:t>and</w:t>
      </w:r>
      <w:r w:rsidR="007416F3" w:rsidRPr="00C40A28">
        <w:rPr>
          <w:rFonts w:ascii="Times New Roman" w:hAnsi="Times New Roman"/>
          <w:b w:val="0"/>
          <w:bCs/>
          <w:sz w:val="22"/>
          <w:szCs w:val="22"/>
          <w:lang w:val="en-US" w:eastAsia="ja-JP"/>
        </w:rPr>
        <w:t xml:space="preserve"> saturated fat </w:t>
      </w:r>
      <w:r w:rsidR="00643925">
        <w:rPr>
          <w:rFonts w:ascii="Times New Roman" w:hAnsi="Times New Roman"/>
          <w:b w:val="0"/>
          <w:bCs/>
          <w:sz w:val="22"/>
          <w:szCs w:val="22"/>
          <w:lang w:val="en-US" w:eastAsia="ja-JP"/>
        </w:rPr>
        <w:t>in terms of each</w:t>
      </w:r>
      <w:r w:rsidR="007416F3" w:rsidRPr="00C40A28">
        <w:rPr>
          <w:rFonts w:ascii="Times New Roman" w:hAnsi="Times New Roman"/>
          <w:b w:val="0"/>
          <w:bCs/>
          <w:sz w:val="22"/>
          <w:szCs w:val="22"/>
          <w:lang w:val="en-US" w:eastAsia="ja-JP"/>
        </w:rPr>
        <w:t xml:space="preserve"> impact on circulating concentrations of DNL-related fatty acids, genetic activity of </w:t>
      </w:r>
      <w:r w:rsidR="007416F3" w:rsidRPr="00C40A28">
        <w:rPr>
          <w:rFonts w:ascii="Times New Roman" w:hAnsi="Times New Roman"/>
          <w:b w:val="0"/>
          <w:bCs/>
          <w:i/>
          <w:sz w:val="22"/>
          <w:szCs w:val="22"/>
          <w:lang w:val="en-US" w:eastAsia="ja-JP"/>
        </w:rPr>
        <w:t>SCD</w:t>
      </w:r>
      <w:r w:rsidR="007416F3" w:rsidRPr="00C40A28">
        <w:rPr>
          <w:rFonts w:ascii="Times New Roman" w:hAnsi="Times New Roman"/>
          <w:b w:val="0"/>
          <w:bCs/>
          <w:sz w:val="22"/>
          <w:szCs w:val="22"/>
          <w:lang w:val="en-US" w:eastAsia="ja-JP"/>
        </w:rPr>
        <w:t xml:space="preserve">, and also </w:t>
      </w:r>
      <w:r w:rsidR="00643925">
        <w:rPr>
          <w:rFonts w:ascii="Times New Roman" w:hAnsi="Times New Roman"/>
          <w:b w:val="0"/>
          <w:bCs/>
          <w:sz w:val="22"/>
          <w:szCs w:val="22"/>
          <w:lang w:val="en-US" w:eastAsia="ja-JP"/>
        </w:rPr>
        <w:t>the</w:t>
      </w:r>
      <w:r w:rsidR="007416F3" w:rsidRPr="00C40A28">
        <w:rPr>
          <w:rFonts w:ascii="Times New Roman" w:hAnsi="Times New Roman"/>
          <w:b w:val="0"/>
          <w:bCs/>
          <w:sz w:val="22"/>
          <w:szCs w:val="22"/>
          <w:lang w:val="en-US" w:eastAsia="ja-JP"/>
        </w:rPr>
        <w:t xml:space="preserve"> accumulation of hepatic fat</w:t>
      </w:r>
      <w:r w:rsidR="00643925">
        <w:rPr>
          <w:rFonts w:ascii="Times New Roman" w:hAnsi="Times New Roman"/>
          <w:b w:val="0"/>
          <w:bCs/>
          <w:sz w:val="22"/>
          <w:szCs w:val="22"/>
          <w:lang w:val="en-US" w:eastAsia="ja-JP"/>
        </w:rPr>
        <w:t xml:space="preserve"> </w:t>
      </w:r>
      <w:r w:rsidR="007416F3" w:rsidRPr="00C40A28">
        <w:rPr>
          <w:rFonts w:ascii="Times New Roman" w:hAnsi="Times New Roman"/>
          <w:b w:val="0"/>
          <w:bCs/>
          <w:sz w:val="22"/>
          <w:szCs w:val="22"/>
          <w:lang w:val="en-US" w:eastAsia="ja-JP"/>
        </w:rPr>
        <w:fldChar w:fldCharType="begin" w:fldLock="1"/>
      </w:r>
      <w:r w:rsidR="00BD56DC">
        <w:rPr>
          <w:rFonts w:ascii="Times New Roman" w:hAnsi="Times New Roman"/>
          <w:b w:val="0"/>
          <w:bCs/>
          <w:sz w:val="22"/>
          <w:szCs w:val="22"/>
          <w:lang w:val="en-US" w:eastAsia="ja-JP"/>
        </w:rPr>
        <w:instrText>ADDIN CSL_CITATION {"citationItems":[{"id":"ITEM-1","itemData":{"DOI":"10.1210/jc.2019-00160","ISSN":"0021-972X","author":[{"dropping-particle":"","family":"Rosqvist","given":"Fredrik","non-dropping-particle":"","parse-names":false,"suffix":""},{"dropping-particle":"","family":"Kullberg","given":"Joel","non-dropping-particle":"","parse-names":false,"suffix":""},{"dropping-particle":"","family":"Ståhlman","given":"Marcus","non-dropping-particle":"","parse-names":false,"suffix":""},{"dropping-particle":"","family":"Cedernaes","given":"Jonathan","non-dropping-particle":"","parse-names":false,"suffix":""},{"dropping-particle":"","family":"Heurling","given":"Kerstin","non-dropping-particle":"","parse-names":false,"suffix":""},{"dropping-particle":"","family":"Johansson","given":"Hans-Erik","non-dropping-particle":"","parse-names":false,"suffix":""},{"dropping-particle":"","family":"Iggman","given":"David","non-dropping-particle":"","parse-names":false,"suffix":""},{"dropping-particle":"","family":"Wilking","given":"Helena","non-dropping-particle":"","parse-names":false,"suffix":""},{"dropping-particle":"","family":"Larsson","given":"Anders","non-dropping-particle":"","parse-names":false,"suffix":""},{"dropping-particle":"","family":"Eriksson","given":"Olof","non-dropping-particle":"","parse-names":false,"suffix":""},{"dropping-particle":"","family":"Johansson","given":"Lars","non-dropping-particle":"","parse-names":false,"suffix":""},{"dropping-particle":"","family":"Straniero","given":"Sara","non-dropping-particle":"","parse-names":false,"suffix":""},{"dropping-particle":"","family":"Rudling","given":"Mats","non-dropping-particle":"","parse-names":false,"suffix":""},{"dropping-particle":"","family":"Antoni","given":"Gunnar","non-dropping-particle":"","parse-names":false,"suffix":""},{"dropping-particle":"","family":"Lubberink","given":"Mark","non-dropping-particle":"","parse-names":false,"suffix":""},{"dropping-particle":"","family":"Orho-Melander","given":"Marju","non-dropping-particle":"","parse-names":false,"suffix":""},{"dropping-particle":"","family":"Borén","given":"Jan","non-dropping-particle":"","parse-names":false,"suffix":""},{"dropping-particle":"","family":"Ahlström","given":"Håkan","non-dropping-particle":"","parse-names":false,"suffix":""},{"dropping-particle":"","family":"Risérus","given":"Ulf","non-dropping-particle":"","parse-names":false,"suffix":""}],"container-title":"J Clin Endocrinol Metab","id":"ITEM-1","issue":"12","issued":{"date-parts":[["2019","12","1"]]},"page":"6207-6219","title":"Overeating Saturated Fat Promotes Fatty Liver and Ceramides Compared With Polyunsaturated Fat: A Randomized Trial","type":"article-journal","volume":"104"},"uris":["http://www.mendeley.com/documents/?uuid=9d3e46e7-0e38-4346-9c54-28d73f1a24cf"]},{"id":"ITEM-2","itemData":{"DOI":"10.1017/S0029665119000569","ISSN":"1475-2719","PMID":"30942685","abstract":"Non-alcoholic fatty liver disease encompasses a spectrum of conditions from hepatic steatosis through to cirrhosis; obesity is a known risk factor. The liver plays a major role in regulating fatty acid metabolism and perturbations in intrahepatic processes have potential to impact on metabolic health. It remains unclear why intra-hepatocellular fat starts to accumulate, but it likely involves an imbalance between fatty acid delivery to the liver, fatty acid synthesis and oxidation within the liver and TAG export from the liver. As man spends the majority of the day in a postprandial rather than postabsorptive state, dietary fatty acid intake should be taken into consideration when investigating why intra-hepatic fat starts to accumulate. This review will discuss the impact of the quantity and quality of dietary fatty acids on liver fat accumulation and metabolism, along with some of the potential mechanisms involved. Studies investigating the role of dietary fat in liver fat accumulation, although surprisingly limited, have clearly demonstrated that it is total energy intake, rather than fat intake per se, that is a key mediator of liver fat content; hyperenergetic diets increase liver fat whilst hypoenergetic diets decrease liver fat content irrespective of total fat content. Moreover, there is now, albeit limited evidence emerging to suggest the composition of dietary fat may also play a role in liver fat accumulation, with diets enriched in saturated fat appearing to increase liver fat content to a greater extent when compared with diets enriched in unsaturated fats.","author":[{"dropping-particle":"","family":"Hodson","given":"Leanne","non-dropping-particle":"","parse-names":false,"suffix":""},{"dropping-particle":"","family":"Rosqvist","given":"Fredrik","non-dropping-particle":"","parse-names":false,"suffix":""},{"dropping-particle":"","family":"Parry","given":"Siôn A","non-dropping-particle":"","parse-names":false,"suffix":""}],"container-title":"Proc Nutr Soc","id":"ITEM-2","issue":"1","issued":{"date-parts":[["2020","2","3"]]},"page":"30-41","title":"The influence of dietary fatty acids on liver fat content and metabolism.","type":"article-journal","volume":"79"},"uris":["http://www.mendeley.com/documents/?uuid=eee647b7-e39f-4bc2-92df-77517e57fcdf"]}],"mendeley":{"formattedCitation":"[37,40]","plainTextFormattedCitation":"[37,40]","previouslyFormattedCitation":"[37,40]"},"properties":{"noteIndex":0},"schema":"https://github.com/citation-style-language/schema/raw/master/csl-citation.json"}</w:instrText>
      </w:r>
      <w:r w:rsidR="007416F3" w:rsidRPr="00C40A28">
        <w:rPr>
          <w:rFonts w:ascii="Times New Roman" w:hAnsi="Times New Roman"/>
          <w:b w:val="0"/>
          <w:bCs/>
          <w:sz w:val="22"/>
          <w:szCs w:val="22"/>
          <w:lang w:val="en-US" w:eastAsia="ja-JP"/>
        </w:rPr>
        <w:fldChar w:fldCharType="separate"/>
      </w:r>
      <w:r w:rsidR="007416F3" w:rsidRPr="00C40A28">
        <w:rPr>
          <w:rFonts w:ascii="Times New Roman" w:hAnsi="Times New Roman"/>
          <w:b w:val="0"/>
          <w:bCs/>
          <w:noProof/>
          <w:sz w:val="22"/>
          <w:szCs w:val="22"/>
          <w:lang w:val="en-US" w:eastAsia="ja-JP"/>
        </w:rPr>
        <w:t>[37,40]</w:t>
      </w:r>
      <w:r w:rsidR="007416F3" w:rsidRPr="00C40A28">
        <w:rPr>
          <w:rFonts w:ascii="Times New Roman" w:hAnsi="Times New Roman"/>
          <w:b w:val="0"/>
          <w:bCs/>
          <w:sz w:val="22"/>
          <w:szCs w:val="22"/>
          <w:lang w:val="en-US" w:eastAsia="ja-JP"/>
        </w:rPr>
        <w:fldChar w:fldCharType="end"/>
      </w:r>
      <w:r w:rsidR="007416F3" w:rsidRPr="00C40A28">
        <w:rPr>
          <w:rFonts w:ascii="Times New Roman" w:hAnsi="Times New Roman"/>
          <w:b w:val="0"/>
          <w:bCs/>
          <w:sz w:val="22"/>
          <w:szCs w:val="22"/>
          <w:lang w:val="en-US" w:eastAsia="ja-JP"/>
        </w:rPr>
        <w:t xml:space="preserve">. </w:t>
      </w:r>
      <w:r w:rsidR="00643925">
        <w:rPr>
          <w:rFonts w:ascii="Times New Roman" w:hAnsi="Times New Roman"/>
          <w:b w:val="0"/>
          <w:bCs/>
          <w:sz w:val="22"/>
          <w:szCs w:val="22"/>
          <w:lang w:val="en-US" w:eastAsia="ja-JP"/>
        </w:rPr>
        <w:t>Further overall mechanistic evidence</w:t>
      </w:r>
      <w:r w:rsidR="007416F3" w:rsidRPr="00C40A28">
        <w:rPr>
          <w:rFonts w:ascii="Times New Roman" w:hAnsi="Times New Roman"/>
          <w:b w:val="0"/>
          <w:bCs/>
          <w:sz w:val="22"/>
          <w:szCs w:val="22"/>
          <w:lang w:val="en-US" w:eastAsia="ja-JP"/>
        </w:rPr>
        <w:t xml:space="preserve"> </w:t>
      </w:r>
      <w:r w:rsidR="00643925">
        <w:rPr>
          <w:rFonts w:ascii="Times New Roman" w:hAnsi="Times New Roman"/>
          <w:b w:val="0"/>
          <w:bCs/>
          <w:sz w:val="22"/>
          <w:szCs w:val="22"/>
          <w:lang w:val="en-US" w:eastAsia="ja-JP"/>
        </w:rPr>
        <w:t>is crucial to</w:t>
      </w:r>
      <w:r w:rsidR="007416F3" w:rsidRPr="00C40A28">
        <w:rPr>
          <w:rFonts w:ascii="Times New Roman" w:hAnsi="Times New Roman"/>
          <w:b w:val="0"/>
          <w:bCs/>
          <w:sz w:val="22"/>
          <w:szCs w:val="22"/>
          <w:lang w:val="en-US" w:eastAsia="ja-JP"/>
        </w:rPr>
        <w:t xml:space="preserve"> help interpret </w:t>
      </w:r>
      <w:r w:rsidR="00EF39DF" w:rsidRPr="00C40A28">
        <w:rPr>
          <w:rFonts w:ascii="Times New Roman" w:hAnsi="Times New Roman"/>
          <w:b w:val="0"/>
          <w:bCs/>
          <w:sz w:val="22"/>
          <w:szCs w:val="22"/>
          <w:lang w:val="en-US" w:eastAsia="ja-JP"/>
        </w:rPr>
        <w:t xml:space="preserve">the current </w:t>
      </w:r>
      <w:r w:rsidR="00330C9D" w:rsidRPr="00C40A28">
        <w:rPr>
          <w:rFonts w:ascii="Times New Roman" w:hAnsi="Times New Roman"/>
          <w:b w:val="0"/>
          <w:bCs/>
          <w:sz w:val="22"/>
          <w:szCs w:val="22"/>
          <w:lang w:val="en-US" w:eastAsia="ja-JP"/>
        </w:rPr>
        <w:t xml:space="preserve">dietary evidence: in contrast to </w:t>
      </w:r>
      <w:r w:rsidR="00643925">
        <w:rPr>
          <w:rFonts w:ascii="Times New Roman" w:hAnsi="Times New Roman" w:hint="eastAsia"/>
          <w:b w:val="0"/>
          <w:bCs/>
          <w:sz w:val="22"/>
          <w:szCs w:val="22"/>
          <w:lang w:val="en-US" w:eastAsia="ja-JP"/>
        </w:rPr>
        <w:t xml:space="preserve">our observed </w:t>
      </w:r>
      <w:r w:rsidR="00330C9D" w:rsidRPr="00C40A28">
        <w:rPr>
          <w:rFonts w:ascii="Times New Roman" w:hAnsi="Times New Roman"/>
          <w:b w:val="0"/>
          <w:bCs/>
          <w:sz w:val="22"/>
          <w:szCs w:val="22"/>
          <w:lang w:val="en-US" w:eastAsia="ja-JP"/>
        </w:rPr>
        <w:t xml:space="preserve">associations </w:t>
      </w:r>
      <w:r w:rsidR="00643925">
        <w:rPr>
          <w:rFonts w:ascii="Times New Roman" w:hAnsi="Times New Roman" w:hint="eastAsia"/>
          <w:b w:val="0"/>
          <w:bCs/>
          <w:sz w:val="22"/>
          <w:szCs w:val="22"/>
          <w:lang w:val="en-US" w:eastAsia="ja-JP"/>
        </w:rPr>
        <w:t>based on</w:t>
      </w:r>
      <w:r w:rsidR="00330C9D" w:rsidRPr="00C40A28">
        <w:rPr>
          <w:rFonts w:ascii="Times New Roman" w:hAnsi="Times New Roman"/>
          <w:b w:val="0"/>
          <w:bCs/>
          <w:sz w:val="22"/>
          <w:szCs w:val="22"/>
          <w:lang w:val="en-US" w:eastAsia="ja-JP"/>
        </w:rPr>
        <w:t xml:space="preserve"> </w:t>
      </w:r>
      <w:r w:rsidR="00330C9D" w:rsidRPr="00C40A28">
        <w:rPr>
          <w:rFonts w:ascii="Times New Roman" w:hAnsi="Times New Roman"/>
          <w:b w:val="0"/>
          <w:bCs/>
          <w:i/>
          <w:sz w:val="22"/>
          <w:szCs w:val="22"/>
          <w:lang w:val="en-US" w:eastAsia="ja-JP"/>
        </w:rPr>
        <w:t>in vivo</w:t>
      </w:r>
      <w:r w:rsidR="00330C9D" w:rsidRPr="00C40A28">
        <w:rPr>
          <w:rFonts w:ascii="Times New Roman" w:hAnsi="Times New Roman"/>
          <w:b w:val="0"/>
          <w:bCs/>
          <w:sz w:val="22"/>
          <w:szCs w:val="22"/>
          <w:lang w:val="en-US" w:eastAsia="ja-JP"/>
        </w:rPr>
        <w:t xml:space="preserve"> circulating biomarkers, dietary monounsaturated fat improves several markers of glucose-insulin homeostasis in randomized feeding trials, but dietary saturated fat has neutral effects compared with dietary carbohydrates </w:t>
      </w:r>
      <w:r w:rsidR="005F00D8" w:rsidRPr="00C40A28">
        <w:rPr>
          <w:rFonts w:ascii="Times New Roman" w:hAnsi="Times New Roman"/>
          <w:b w:val="0"/>
          <w:bCs/>
          <w:sz w:val="22"/>
          <w:szCs w:val="22"/>
          <w:lang w:val="en-US" w:eastAsia="ja-JP"/>
        </w:rPr>
        <w:fldChar w:fldCharType="begin" w:fldLock="1"/>
      </w:r>
      <w:r w:rsidR="001A6E99" w:rsidRPr="00C40A28">
        <w:rPr>
          <w:rFonts w:ascii="Times New Roman" w:hAnsi="Times New Roman"/>
          <w:b w:val="0"/>
          <w:bCs/>
          <w:sz w:val="22"/>
          <w:szCs w:val="22"/>
          <w:lang w:val="en-US" w:eastAsia="ja-JP"/>
        </w:rPr>
        <w:instrText>ADDIN CSL_CITATION {"citationItems":[{"id":"ITEM-1","itemData":{"DOI":"10.1371/journal.pmed.1002087","ISSN":"1549-1676","PMID":"27434027","author":[{"dropping-particle":"","family":"Imamura","given":"Fumiaki","non-dropping-particle":"","parse-names":false,"suffix":""},{"dropping-particle":"","family":"Micha","given":"Renata","non-dropping-particle":"","parse-names":false,"suffix":""},{"dropping-particle":"","family":"Wu","given":"Jason H. Y.","non-dropping-particle":"","parse-names":false,"suffix":""},{"dropping-particle":"","family":"Oliveira Otto","given":"Marcia C.","non-dropping-particle":"de","parse-names":false,"suffix":""},{"dropping-particle":"","family":"Otite","given":"Fadar O.","non-dropping-particle":"","parse-names":false,"suffix":""},{"dropping-particle":"","family":"Abioye","given":"Ajibola I.","non-dropping-particle":"","parse-names":false,"suffix":""},{"dropping-particle":"","family":"Mozaffarian","given":"Dariush","non-dropping-particle":"","parse-names":false,"suffix":""}],"container-title":"PLoS Med","editor":[{"dropping-particle":"","family":"Ma","given":"Ronald C. W.","non-dropping-particle":"","parse-names":false,"suffix":""}],"id":"ITEM-1","issue":"7","issued":{"date-parts":[["2016","7","19"]]},"page":"e1002087","title":"Effects of Saturated Fat, Polyunsaturated Fat, Monounsaturated Fat, and Carbohydrate on Glucose-Insulin Homeostasis: A Systematic Review and Meta-analysis of Randomised Controlled Feeding Trials","type":"article-journal","volume":"13"},"uris":["http://www.mendeley.com/documents/?uuid=44386a4e-418b-4e54-a753-bd1a82c9898e"]}],"mendeley":{"formattedCitation":"[46]","plainTextFormattedCitation":"[46]","previouslyFormattedCitation":"[46]"},"properties":{"noteIndex":0},"schema":"https://github.com/citation-style-language/schema/raw/master/csl-citation.json"}</w:instrText>
      </w:r>
      <w:r w:rsidR="005F00D8" w:rsidRPr="00C40A28">
        <w:rPr>
          <w:rFonts w:ascii="Times New Roman" w:hAnsi="Times New Roman"/>
          <w:b w:val="0"/>
          <w:bCs/>
          <w:sz w:val="22"/>
          <w:szCs w:val="22"/>
          <w:lang w:val="en-US" w:eastAsia="ja-JP"/>
        </w:rPr>
        <w:fldChar w:fldCharType="separate"/>
      </w:r>
      <w:r w:rsidR="001A6E99" w:rsidRPr="00C40A28">
        <w:rPr>
          <w:rFonts w:ascii="Times New Roman" w:hAnsi="Times New Roman"/>
          <w:b w:val="0"/>
          <w:bCs/>
          <w:noProof/>
          <w:sz w:val="22"/>
          <w:szCs w:val="22"/>
          <w:lang w:val="en-US" w:eastAsia="ja-JP"/>
        </w:rPr>
        <w:t>[46]</w:t>
      </w:r>
      <w:r w:rsidR="005F00D8" w:rsidRPr="00C40A28">
        <w:rPr>
          <w:rFonts w:ascii="Times New Roman" w:hAnsi="Times New Roman"/>
          <w:b w:val="0"/>
          <w:bCs/>
          <w:sz w:val="22"/>
          <w:szCs w:val="22"/>
          <w:lang w:val="en-US" w:eastAsia="ja-JP"/>
        </w:rPr>
        <w:fldChar w:fldCharType="end"/>
      </w:r>
      <w:r w:rsidR="00033B22" w:rsidRPr="00C40A28">
        <w:rPr>
          <w:rFonts w:ascii="Times New Roman" w:hAnsi="Times New Roman"/>
          <w:b w:val="0"/>
          <w:bCs/>
          <w:sz w:val="22"/>
          <w:szCs w:val="22"/>
          <w:lang w:val="en-US" w:eastAsia="ja-JP"/>
        </w:rPr>
        <w:t xml:space="preserve">. </w:t>
      </w:r>
    </w:p>
    <w:p w14:paraId="79A59E56" w14:textId="39B57089" w:rsidR="00814362" w:rsidRPr="00C40A28" w:rsidRDefault="00814362" w:rsidP="00924442">
      <w:pPr>
        <w:pStyle w:val="BodyTextIndent"/>
        <w:spacing w:line="480" w:lineRule="auto"/>
        <w:ind w:left="0" w:firstLine="567"/>
        <w:rPr>
          <w:rFonts w:ascii="Times New Roman" w:hAnsi="Times New Roman"/>
          <w:b w:val="0"/>
          <w:bCs/>
          <w:sz w:val="22"/>
          <w:szCs w:val="22"/>
          <w:lang w:val="en-US" w:eastAsia="ja-JP"/>
        </w:rPr>
      </w:pPr>
      <w:r w:rsidRPr="00C40A28">
        <w:rPr>
          <w:rFonts w:ascii="Times New Roman" w:hAnsi="Times New Roman"/>
          <w:b w:val="0"/>
          <w:bCs/>
          <w:sz w:val="22"/>
          <w:szCs w:val="22"/>
          <w:lang w:val="en-US" w:eastAsia="ja-JP"/>
        </w:rPr>
        <w:t xml:space="preserve">Our analysis has several strengths. </w:t>
      </w:r>
      <w:r w:rsidR="00C33C7C" w:rsidRPr="00C40A28">
        <w:rPr>
          <w:rFonts w:ascii="Times New Roman" w:hAnsi="Times New Roman"/>
          <w:b w:val="0"/>
          <w:bCs/>
          <w:sz w:val="22"/>
          <w:szCs w:val="22"/>
          <w:lang w:val="en-US" w:eastAsia="ja-JP"/>
        </w:rPr>
        <w:t xml:space="preserve">We </w:t>
      </w:r>
      <w:r w:rsidRPr="00C40A28">
        <w:rPr>
          <w:rFonts w:ascii="Times New Roman" w:hAnsi="Times New Roman"/>
          <w:b w:val="0"/>
          <w:bCs/>
          <w:sz w:val="22"/>
          <w:szCs w:val="22"/>
          <w:lang w:val="en-US" w:eastAsia="ja-JP"/>
        </w:rPr>
        <w:t>collaborative</w:t>
      </w:r>
      <w:r w:rsidR="00C33C7C" w:rsidRPr="00C40A28">
        <w:rPr>
          <w:rFonts w:ascii="Times New Roman" w:hAnsi="Times New Roman"/>
          <w:b w:val="0"/>
          <w:bCs/>
          <w:sz w:val="22"/>
          <w:szCs w:val="22"/>
          <w:lang w:val="en-US" w:eastAsia="ja-JP"/>
        </w:rPr>
        <w:t>ly</w:t>
      </w:r>
      <w:r w:rsidRPr="00C40A28">
        <w:rPr>
          <w:rFonts w:ascii="Times New Roman" w:hAnsi="Times New Roman"/>
          <w:b w:val="0"/>
          <w:bCs/>
          <w:sz w:val="22"/>
          <w:szCs w:val="22"/>
          <w:lang w:val="en-US" w:eastAsia="ja-JP"/>
        </w:rPr>
        <w:t xml:space="preserve"> pool</w:t>
      </w:r>
      <w:r w:rsidR="00C33C7C" w:rsidRPr="00C40A28">
        <w:rPr>
          <w:rFonts w:ascii="Times New Roman" w:hAnsi="Times New Roman"/>
          <w:b w:val="0"/>
          <w:bCs/>
          <w:sz w:val="22"/>
          <w:szCs w:val="22"/>
          <w:lang w:val="en-US" w:eastAsia="ja-JP"/>
        </w:rPr>
        <w:t>ed new,</w:t>
      </w:r>
      <w:r w:rsidRPr="00C40A28">
        <w:rPr>
          <w:rFonts w:ascii="Times New Roman" w:hAnsi="Times New Roman"/>
          <w:b w:val="0"/>
          <w:bCs/>
          <w:sz w:val="22"/>
          <w:szCs w:val="22"/>
          <w:lang w:val="en-US" w:eastAsia="ja-JP"/>
        </w:rPr>
        <w:t xml:space="preserve"> </w:t>
      </w:r>
      <w:r w:rsidR="00C33C7C" w:rsidRPr="00C40A28">
        <w:rPr>
          <w:rFonts w:ascii="Times New Roman" w:hAnsi="Times New Roman"/>
          <w:b w:val="0"/>
          <w:bCs/>
          <w:sz w:val="22"/>
          <w:szCs w:val="22"/>
          <w:lang w:val="en-US" w:eastAsia="ja-JP"/>
        </w:rPr>
        <w:t xml:space="preserve">standardized participant-level analyses across multiple </w:t>
      </w:r>
      <w:r w:rsidRPr="00C40A28">
        <w:rPr>
          <w:rFonts w:ascii="Times New Roman" w:hAnsi="Times New Roman"/>
          <w:b w:val="0"/>
          <w:bCs/>
          <w:sz w:val="22"/>
          <w:szCs w:val="22"/>
          <w:lang w:val="en-US" w:eastAsia="ja-JP"/>
        </w:rPr>
        <w:t xml:space="preserve">cohorts </w:t>
      </w:r>
      <w:r w:rsidR="007920BA">
        <w:rPr>
          <w:rFonts w:ascii="Times New Roman" w:hAnsi="Times New Roman"/>
          <w:b w:val="0"/>
          <w:bCs/>
          <w:sz w:val="22"/>
          <w:szCs w:val="22"/>
          <w:lang w:val="en-US" w:eastAsia="ja-JP"/>
        </w:rPr>
        <w:t>in various global regions</w:t>
      </w:r>
      <w:r w:rsidR="00C33C7C" w:rsidRPr="00C40A28">
        <w:rPr>
          <w:rFonts w:ascii="Times New Roman" w:hAnsi="Times New Roman"/>
          <w:b w:val="0"/>
          <w:bCs/>
          <w:sz w:val="22"/>
          <w:szCs w:val="22"/>
          <w:lang w:val="en-US" w:eastAsia="ja-JP"/>
        </w:rPr>
        <w:t>,</w:t>
      </w:r>
      <w:r w:rsidRPr="00C40A28">
        <w:rPr>
          <w:rFonts w:ascii="Times New Roman" w:hAnsi="Times New Roman"/>
          <w:b w:val="0"/>
          <w:bCs/>
          <w:sz w:val="22"/>
          <w:szCs w:val="22"/>
          <w:lang w:val="en-US" w:eastAsia="ja-JP"/>
        </w:rPr>
        <w:t xml:space="preserve"> </w:t>
      </w:r>
      <w:r w:rsidR="007920BA">
        <w:rPr>
          <w:rFonts w:ascii="Times New Roman" w:hAnsi="Times New Roman"/>
          <w:b w:val="0"/>
          <w:bCs/>
          <w:sz w:val="22"/>
          <w:szCs w:val="22"/>
          <w:lang w:val="en-US" w:eastAsia="ja-JP"/>
        </w:rPr>
        <w:t>improving a statistical power from a large number of studies</w:t>
      </w:r>
      <w:r w:rsidRPr="00C40A28">
        <w:rPr>
          <w:rFonts w:ascii="Times New Roman" w:hAnsi="Times New Roman"/>
          <w:b w:val="0"/>
          <w:bCs/>
          <w:sz w:val="22"/>
          <w:szCs w:val="22"/>
          <w:lang w:val="en-US" w:eastAsia="ja-JP"/>
        </w:rPr>
        <w:t xml:space="preserve">. </w:t>
      </w:r>
      <w:r w:rsidR="007920BA">
        <w:rPr>
          <w:rFonts w:ascii="Times New Roman" w:hAnsi="Times New Roman"/>
          <w:b w:val="0"/>
          <w:bCs/>
          <w:sz w:val="22"/>
          <w:szCs w:val="22"/>
          <w:lang w:val="en-US" w:eastAsia="ja-JP"/>
        </w:rPr>
        <w:t xml:space="preserve">Our consortium approach should be robust against the potential </w:t>
      </w:r>
      <w:r w:rsidRPr="00C40A28">
        <w:rPr>
          <w:rFonts w:ascii="Times New Roman" w:hAnsi="Times New Roman"/>
          <w:b w:val="0"/>
          <w:bCs/>
          <w:sz w:val="22"/>
          <w:szCs w:val="22"/>
          <w:lang w:val="en-US" w:eastAsia="ja-JP"/>
        </w:rPr>
        <w:t xml:space="preserve">publication bias. The </w:t>
      </w:r>
      <w:r w:rsidRPr="00C40A28">
        <w:rPr>
          <w:rFonts w:ascii="Times New Roman" w:hAnsi="Times New Roman"/>
          <w:b w:val="0"/>
          <w:bCs/>
          <w:sz w:val="22"/>
          <w:szCs w:val="22"/>
          <w:lang w:val="en-US" w:eastAsia="ja-JP"/>
        </w:rPr>
        <w:lastRenderedPageBreak/>
        <w:t>standardi</w:t>
      </w:r>
      <w:r w:rsidR="00353F5D" w:rsidRPr="00C40A28">
        <w:rPr>
          <w:rFonts w:ascii="Times New Roman" w:hAnsi="Times New Roman"/>
          <w:b w:val="0"/>
          <w:bCs/>
          <w:sz w:val="22"/>
          <w:szCs w:val="22"/>
          <w:lang w:val="en-US" w:eastAsia="ja-JP"/>
        </w:rPr>
        <w:t>z</w:t>
      </w:r>
      <w:r w:rsidRPr="00C40A28">
        <w:rPr>
          <w:rFonts w:ascii="Times New Roman" w:hAnsi="Times New Roman"/>
          <w:b w:val="0"/>
          <w:bCs/>
          <w:sz w:val="22"/>
          <w:szCs w:val="22"/>
          <w:lang w:val="en-US" w:eastAsia="ja-JP"/>
        </w:rPr>
        <w:t xml:space="preserve">ed </w:t>
      </w:r>
      <w:r w:rsidR="007920BA">
        <w:rPr>
          <w:rFonts w:ascii="Times New Roman" w:hAnsi="Times New Roman"/>
          <w:b w:val="0"/>
          <w:bCs/>
          <w:sz w:val="22"/>
          <w:szCs w:val="22"/>
          <w:lang w:val="en-US" w:eastAsia="ja-JP"/>
        </w:rPr>
        <w:t>approaches</w:t>
      </w:r>
      <w:r w:rsidRPr="00C40A28">
        <w:rPr>
          <w:rFonts w:ascii="Times New Roman" w:hAnsi="Times New Roman"/>
          <w:b w:val="0"/>
          <w:bCs/>
          <w:sz w:val="22"/>
          <w:szCs w:val="22"/>
          <w:lang w:val="en-US" w:eastAsia="ja-JP"/>
        </w:rPr>
        <w:t xml:space="preserve"> </w:t>
      </w:r>
      <w:r w:rsidR="007920BA">
        <w:rPr>
          <w:rFonts w:ascii="Times New Roman" w:hAnsi="Times New Roman"/>
          <w:b w:val="0"/>
          <w:bCs/>
          <w:sz w:val="22"/>
          <w:szCs w:val="22"/>
          <w:lang w:val="en-US" w:eastAsia="ja-JP"/>
        </w:rPr>
        <w:t>to defining</w:t>
      </w:r>
      <w:r w:rsidR="007920BA" w:rsidRPr="00C40A28">
        <w:rPr>
          <w:rFonts w:ascii="Times New Roman" w:hAnsi="Times New Roman"/>
          <w:b w:val="0"/>
          <w:bCs/>
          <w:sz w:val="22"/>
          <w:szCs w:val="22"/>
          <w:lang w:val="en-US" w:eastAsia="ja-JP"/>
        </w:rPr>
        <w:t xml:space="preserve"> </w:t>
      </w:r>
      <w:r w:rsidRPr="00C40A28">
        <w:rPr>
          <w:rFonts w:ascii="Times New Roman" w:hAnsi="Times New Roman"/>
          <w:b w:val="0"/>
          <w:bCs/>
          <w:sz w:val="22"/>
          <w:szCs w:val="22"/>
          <w:lang w:val="en-US" w:eastAsia="ja-JP"/>
        </w:rPr>
        <w:t xml:space="preserve">the populations, exposures, outcomes, and multivariable-adjusted analyses </w:t>
      </w:r>
      <w:r w:rsidR="005A0551" w:rsidRPr="00C40A28">
        <w:rPr>
          <w:rFonts w:ascii="Times New Roman" w:hAnsi="Times New Roman"/>
          <w:b w:val="0"/>
          <w:bCs/>
          <w:sz w:val="22"/>
          <w:szCs w:val="22"/>
          <w:lang w:val="en-US" w:eastAsia="ja-JP"/>
        </w:rPr>
        <w:t>minimized</w:t>
      </w:r>
      <w:r w:rsidRPr="00C40A28">
        <w:rPr>
          <w:rFonts w:ascii="Times New Roman" w:hAnsi="Times New Roman"/>
          <w:b w:val="0"/>
          <w:bCs/>
          <w:sz w:val="22"/>
          <w:szCs w:val="22"/>
          <w:lang w:val="en-US" w:eastAsia="ja-JP"/>
        </w:rPr>
        <w:t xml:space="preserve"> bias and heterogeneity </w:t>
      </w:r>
      <w:r w:rsidR="007920BA">
        <w:rPr>
          <w:rFonts w:ascii="Times New Roman" w:hAnsi="Times New Roman"/>
          <w:b w:val="0"/>
          <w:bCs/>
          <w:sz w:val="22"/>
          <w:szCs w:val="22"/>
          <w:lang w:val="en-US" w:eastAsia="ja-JP"/>
        </w:rPr>
        <w:t>by method</w:t>
      </w:r>
      <w:r w:rsidRPr="00C40A28">
        <w:rPr>
          <w:rFonts w:ascii="Times New Roman" w:hAnsi="Times New Roman"/>
          <w:b w:val="0"/>
          <w:bCs/>
          <w:sz w:val="22"/>
          <w:szCs w:val="22"/>
          <w:lang w:val="en-US" w:eastAsia="ja-JP"/>
        </w:rPr>
        <w:t>.</w:t>
      </w:r>
    </w:p>
    <w:p w14:paraId="07892E9A" w14:textId="47BFF9E9" w:rsidR="00525D98" w:rsidRPr="00C40A28" w:rsidRDefault="00FE228E" w:rsidP="00525D98">
      <w:pPr>
        <w:pStyle w:val="BodyTextIndent"/>
        <w:spacing w:line="480" w:lineRule="auto"/>
        <w:ind w:left="0" w:firstLine="567"/>
        <w:rPr>
          <w:rFonts w:ascii="Times New Roman" w:hAnsi="Times New Roman"/>
          <w:b w:val="0"/>
          <w:bCs/>
          <w:sz w:val="22"/>
          <w:szCs w:val="22"/>
          <w:lang w:val="en-US" w:eastAsia="ja-JP"/>
        </w:rPr>
      </w:pPr>
      <w:r w:rsidRPr="00C40A28">
        <w:rPr>
          <w:rFonts w:ascii="Times New Roman" w:hAnsi="Times New Roman"/>
          <w:b w:val="0"/>
          <w:bCs/>
          <w:sz w:val="22"/>
          <w:szCs w:val="22"/>
          <w:lang w:val="en-US" w:eastAsia="ja-JP"/>
        </w:rPr>
        <w:t xml:space="preserve">Our study also has </w:t>
      </w:r>
      <w:r w:rsidR="00814362" w:rsidRPr="00C40A28">
        <w:rPr>
          <w:rFonts w:ascii="Times New Roman" w:hAnsi="Times New Roman"/>
          <w:b w:val="0"/>
          <w:bCs/>
          <w:sz w:val="22"/>
          <w:szCs w:val="22"/>
          <w:lang w:val="en-US" w:eastAsia="ja-JP"/>
        </w:rPr>
        <w:t xml:space="preserve">limitations. The </w:t>
      </w:r>
      <w:r w:rsidR="005809EC" w:rsidRPr="00C40A28">
        <w:rPr>
          <w:rFonts w:ascii="Times New Roman" w:hAnsi="Times New Roman"/>
          <w:b w:val="0"/>
          <w:bCs/>
          <w:sz w:val="22"/>
          <w:szCs w:val="22"/>
          <w:lang w:val="en-US" w:eastAsia="ja-JP"/>
        </w:rPr>
        <w:t xml:space="preserve">diagnosis </w:t>
      </w:r>
      <w:r w:rsidR="00814362" w:rsidRPr="00C40A28">
        <w:rPr>
          <w:rFonts w:ascii="Times New Roman" w:hAnsi="Times New Roman"/>
          <w:b w:val="0"/>
          <w:bCs/>
          <w:sz w:val="22"/>
          <w:szCs w:val="22"/>
          <w:lang w:val="en-US" w:eastAsia="ja-JP"/>
        </w:rPr>
        <w:t xml:space="preserve">of T2D </w:t>
      </w:r>
      <w:r w:rsidR="003B19BE" w:rsidRPr="00C40A28">
        <w:rPr>
          <w:rFonts w:ascii="Times New Roman" w:hAnsi="Times New Roman"/>
          <w:b w:val="0"/>
          <w:bCs/>
          <w:sz w:val="22"/>
          <w:szCs w:val="22"/>
          <w:lang w:val="en-US" w:eastAsia="ja-JP"/>
        </w:rPr>
        <w:t>could</w:t>
      </w:r>
      <w:r w:rsidR="00814362" w:rsidRPr="00C40A28">
        <w:rPr>
          <w:rFonts w:ascii="Times New Roman" w:hAnsi="Times New Roman"/>
          <w:b w:val="0"/>
          <w:bCs/>
          <w:sz w:val="22"/>
          <w:szCs w:val="22"/>
          <w:lang w:val="en-US" w:eastAsia="ja-JP"/>
        </w:rPr>
        <w:t xml:space="preserve"> be </w:t>
      </w:r>
      <w:r w:rsidR="005809EC" w:rsidRPr="00C40A28">
        <w:rPr>
          <w:rFonts w:ascii="Times New Roman" w:hAnsi="Times New Roman"/>
          <w:b w:val="0"/>
          <w:bCs/>
          <w:sz w:val="22"/>
          <w:szCs w:val="22"/>
          <w:lang w:val="en-US" w:eastAsia="ja-JP"/>
        </w:rPr>
        <w:t>missed or</w:t>
      </w:r>
      <w:r w:rsidR="00814362" w:rsidRPr="00C40A28">
        <w:rPr>
          <w:rFonts w:ascii="Times New Roman" w:hAnsi="Times New Roman"/>
          <w:b w:val="0"/>
          <w:bCs/>
          <w:sz w:val="22"/>
          <w:szCs w:val="22"/>
          <w:lang w:val="en-US" w:eastAsia="ja-JP"/>
        </w:rPr>
        <w:t xml:space="preserve"> misclassifi</w:t>
      </w:r>
      <w:r w:rsidR="005809EC" w:rsidRPr="00C40A28">
        <w:rPr>
          <w:rFonts w:ascii="Times New Roman" w:hAnsi="Times New Roman"/>
          <w:b w:val="0"/>
          <w:bCs/>
          <w:sz w:val="22"/>
          <w:szCs w:val="22"/>
          <w:lang w:val="en-US" w:eastAsia="ja-JP"/>
        </w:rPr>
        <w:t>ed in some participants</w:t>
      </w:r>
      <w:r w:rsidR="00814362" w:rsidRPr="00C40A28">
        <w:rPr>
          <w:rFonts w:ascii="Times New Roman" w:hAnsi="Times New Roman"/>
          <w:b w:val="0"/>
          <w:bCs/>
          <w:sz w:val="22"/>
          <w:szCs w:val="22"/>
          <w:lang w:val="en-US" w:eastAsia="ja-JP"/>
        </w:rPr>
        <w:t xml:space="preserve">. However, most cohorts </w:t>
      </w:r>
      <w:r w:rsidR="007920BA">
        <w:rPr>
          <w:rFonts w:ascii="Times New Roman" w:hAnsi="Times New Roman"/>
          <w:b w:val="0"/>
          <w:bCs/>
          <w:sz w:val="22"/>
          <w:szCs w:val="22"/>
          <w:lang w:val="en-US" w:eastAsia="ja-JP"/>
        </w:rPr>
        <w:t>operated</w:t>
      </w:r>
      <w:r w:rsidR="007920BA" w:rsidRPr="00C40A28">
        <w:rPr>
          <w:rFonts w:ascii="Times New Roman" w:hAnsi="Times New Roman"/>
          <w:b w:val="0"/>
          <w:bCs/>
          <w:sz w:val="22"/>
          <w:szCs w:val="22"/>
          <w:lang w:val="en-US" w:eastAsia="ja-JP"/>
        </w:rPr>
        <w:t xml:space="preserve"> </w:t>
      </w:r>
      <w:r w:rsidR="00814362" w:rsidRPr="00C40A28">
        <w:rPr>
          <w:rFonts w:ascii="Times New Roman" w:hAnsi="Times New Roman"/>
          <w:b w:val="0"/>
          <w:bCs/>
          <w:sz w:val="22"/>
          <w:szCs w:val="22"/>
          <w:lang w:val="en-US" w:eastAsia="ja-JP"/>
        </w:rPr>
        <w:t>regular study visits</w:t>
      </w:r>
      <w:r w:rsidR="00353F5D" w:rsidRPr="00C40A28">
        <w:rPr>
          <w:rFonts w:ascii="Times New Roman" w:hAnsi="Times New Roman"/>
          <w:b w:val="0"/>
          <w:bCs/>
          <w:sz w:val="22"/>
          <w:szCs w:val="22"/>
          <w:lang w:val="en-US" w:eastAsia="ja-JP"/>
        </w:rPr>
        <w:t xml:space="preserve"> and </w:t>
      </w:r>
      <w:r w:rsidR="00814362" w:rsidRPr="00C40A28">
        <w:rPr>
          <w:rFonts w:ascii="Times New Roman" w:hAnsi="Times New Roman"/>
          <w:b w:val="0"/>
          <w:bCs/>
          <w:sz w:val="22"/>
          <w:szCs w:val="22"/>
          <w:lang w:val="en-US" w:eastAsia="ja-JP"/>
        </w:rPr>
        <w:t>measurements</w:t>
      </w:r>
      <w:r w:rsidR="007920BA">
        <w:rPr>
          <w:rFonts w:ascii="Times New Roman" w:hAnsi="Times New Roman"/>
          <w:b w:val="0"/>
          <w:bCs/>
          <w:sz w:val="22"/>
          <w:szCs w:val="22"/>
          <w:lang w:val="en-US" w:eastAsia="ja-JP"/>
        </w:rPr>
        <w:t xml:space="preserve"> needed for T2D ascertainment</w:t>
      </w:r>
      <w:r w:rsidR="00814362" w:rsidRPr="00C40A28">
        <w:rPr>
          <w:rFonts w:ascii="Times New Roman" w:hAnsi="Times New Roman"/>
          <w:b w:val="0"/>
          <w:bCs/>
          <w:sz w:val="22"/>
          <w:szCs w:val="22"/>
          <w:lang w:val="en-US" w:eastAsia="ja-JP"/>
        </w:rPr>
        <w:t xml:space="preserve">, reducing </w:t>
      </w:r>
      <w:r w:rsidR="007920BA">
        <w:rPr>
          <w:rFonts w:ascii="Times New Roman" w:hAnsi="Times New Roman"/>
          <w:b w:val="0"/>
          <w:bCs/>
          <w:sz w:val="22"/>
          <w:szCs w:val="22"/>
          <w:lang w:val="en-US" w:eastAsia="ja-JP"/>
        </w:rPr>
        <w:t xml:space="preserve">potential measurement error </w:t>
      </w:r>
      <w:r w:rsidR="00814362" w:rsidRPr="00C40A28">
        <w:rPr>
          <w:rFonts w:ascii="Times New Roman" w:hAnsi="Times New Roman"/>
          <w:b w:val="0"/>
          <w:bCs/>
          <w:sz w:val="22"/>
          <w:szCs w:val="22"/>
          <w:lang w:val="en-US" w:eastAsia="ja-JP"/>
        </w:rPr>
        <w:t xml:space="preserve">in </w:t>
      </w:r>
      <w:r w:rsidR="007920BA">
        <w:rPr>
          <w:rFonts w:ascii="Times New Roman" w:hAnsi="Times New Roman"/>
          <w:b w:val="0"/>
          <w:bCs/>
          <w:sz w:val="22"/>
          <w:szCs w:val="22"/>
          <w:lang w:val="en-US" w:eastAsia="ja-JP"/>
        </w:rPr>
        <w:t>the outcome ascertainment, free from bias due to health consciousness leading to T2D screening</w:t>
      </w:r>
      <w:r w:rsidR="00814362" w:rsidRPr="00C40A28">
        <w:rPr>
          <w:rFonts w:ascii="Times New Roman" w:hAnsi="Times New Roman"/>
          <w:b w:val="0"/>
          <w:bCs/>
          <w:sz w:val="22"/>
          <w:szCs w:val="22"/>
          <w:lang w:val="en-US" w:eastAsia="ja-JP"/>
        </w:rPr>
        <w:t xml:space="preserve">. </w:t>
      </w:r>
      <w:r w:rsidR="007920BA">
        <w:rPr>
          <w:rFonts w:ascii="Times New Roman" w:hAnsi="Times New Roman"/>
          <w:b w:val="0"/>
          <w:bCs/>
          <w:sz w:val="22"/>
          <w:szCs w:val="22"/>
          <w:lang w:val="en-US" w:eastAsia="ja-JP"/>
        </w:rPr>
        <w:t>Additionally</w:t>
      </w:r>
      <w:r w:rsidR="00814362" w:rsidRPr="00C40A28">
        <w:rPr>
          <w:rFonts w:ascii="Times New Roman" w:hAnsi="Times New Roman"/>
          <w:b w:val="0"/>
          <w:bCs/>
          <w:sz w:val="22"/>
          <w:szCs w:val="22"/>
          <w:lang w:val="en-US" w:eastAsia="ja-JP"/>
        </w:rPr>
        <w:t xml:space="preserve">, any </w:t>
      </w:r>
      <w:r w:rsidR="007920BA">
        <w:rPr>
          <w:rFonts w:ascii="Times New Roman" w:hAnsi="Times New Roman"/>
          <w:b w:val="0"/>
          <w:bCs/>
          <w:sz w:val="22"/>
          <w:szCs w:val="22"/>
          <w:lang w:val="en-US" w:eastAsia="ja-JP"/>
        </w:rPr>
        <w:t xml:space="preserve">outcome </w:t>
      </w:r>
      <w:r w:rsidR="005809EC" w:rsidRPr="00C40A28">
        <w:rPr>
          <w:rFonts w:ascii="Times New Roman" w:hAnsi="Times New Roman"/>
          <w:b w:val="0"/>
          <w:bCs/>
          <w:sz w:val="22"/>
          <w:szCs w:val="22"/>
          <w:lang w:val="en-US" w:eastAsia="ja-JP"/>
        </w:rPr>
        <w:t>misclassification</w:t>
      </w:r>
      <w:r w:rsidR="00814362" w:rsidRPr="00C40A28">
        <w:rPr>
          <w:rFonts w:ascii="Times New Roman" w:hAnsi="Times New Roman"/>
          <w:b w:val="0"/>
          <w:bCs/>
          <w:sz w:val="22"/>
          <w:szCs w:val="22"/>
          <w:lang w:val="en-US" w:eastAsia="ja-JP"/>
        </w:rPr>
        <w:t xml:space="preserve"> would </w:t>
      </w:r>
      <w:r w:rsidR="007920BA">
        <w:rPr>
          <w:rFonts w:ascii="Times New Roman" w:hAnsi="Times New Roman"/>
          <w:b w:val="0"/>
          <w:bCs/>
          <w:sz w:val="22"/>
          <w:szCs w:val="22"/>
          <w:lang w:val="en-US" w:eastAsia="ja-JP"/>
        </w:rPr>
        <w:t>occur</w:t>
      </w:r>
      <w:r w:rsidR="00814362" w:rsidRPr="00C40A28">
        <w:rPr>
          <w:rFonts w:ascii="Times New Roman" w:hAnsi="Times New Roman"/>
          <w:b w:val="0"/>
          <w:bCs/>
          <w:sz w:val="22"/>
          <w:szCs w:val="22"/>
          <w:lang w:val="en-US" w:eastAsia="ja-JP"/>
        </w:rPr>
        <w:t xml:space="preserve"> </w:t>
      </w:r>
      <w:r w:rsidR="00F05A15" w:rsidRPr="00C40A28">
        <w:rPr>
          <w:rFonts w:ascii="Times New Roman" w:hAnsi="Times New Roman"/>
          <w:b w:val="0"/>
          <w:bCs/>
          <w:sz w:val="22"/>
          <w:szCs w:val="22"/>
          <w:lang w:val="en-US" w:eastAsia="ja-JP"/>
        </w:rPr>
        <w:t xml:space="preserve">at </w:t>
      </w:r>
      <w:r w:rsidR="00814362" w:rsidRPr="00C40A28">
        <w:rPr>
          <w:rFonts w:ascii="Times New Roman" w:hAnsi="Times New Roman"/>
          <w:b w:val="0"/>
          <w:bCs/>
          <w:sz w:val="22"/>
          <w:szCs w:val="22"/>
          <w:lang w:val="en-US" w:eastAsia="ja-JP"/>
        </w:rPr>
        <w:t xml:space="preserve">random </w:t>
      </w:r>
      <w:r w:rsidR="007920BA">
        <w:rPr>
          <w:rFonts w:ascii="Times New Roman" w:hAnsi="Times New Roman"/>
          <w:b w:val="0"/>
          <w:bCs/>
          <w:sz w:val="22"/>
          <w:szCs w:val="22"/>
          <w:lang w:val="en-US" w:eastAsia="ja-JP"/>
        </w:rPr>
        <w:t>across</w:t>
      </w:r>
      <w:r w:rsidR="00814362" w:rsidRPr="00C40A28">
        <w:rPr>
          <w:rFonts w:ascii="Times New Roman" w:hAnsi="Times New Roman"/>
          <w:b w:val="0"/>
          <w:bCs/>
          <w:sz w:val="22"/>
          <w:szCs w:val="22"/>
          <w:lang w:val="en-US" w:eastAsia="ja-JP"/>
        </w:rPr>
        <w:t xml:space="preserve"> fatty acid </w:t>
      </w:r>
      <w:r w:rsidR="007920BA">
        <w:rPr>
          <w:rFonts w:ascii="Times New Roman" w:hAnsi="Times New Roman"/>
          <w:b w:val="0"/>
          <w:bCs/>
          <w:sz w:val="22"/>
          <w:szCs w:val="22"/>
          <w:lang w:val="en-US" w:eastAsia="ja-JP"/>
        </w:rPr>
        <w:t>measures</w:t>
      </w:r>
      <w:r w:rsidR="00814362" w:rsidRPr="00C40A28">
        <w:rPr>
          <w:rFonts w:ascii="Times New Roman" w:hAnsi="Times New Roman"/>
          <w:b w:val="0"/>
          <w:bCs/>
          <w:sz w:val="22"/>
          <w:szCs w:val="22"/>
          <w:lang w:val="en-US" w:eastAsia="ja-JP"/>
        </w:rPr>
        <w:t xml:space="preserve">. </w:t>
      </w:r>
      <w:r w:rsidR="0075078C" w:rsidRPr="00C40A28">
        <w:rPr>
          <w:rFonts w:ascii="Times New Roman" w:hAnsi="Times New Roman"/>
          <w:b w:val="0"/>
          <w:bCs/>
          <w:sz w:val="22"/>
          <w:szCs w:val="22"/>
          <w:lang w:val="en-US" w:eastAsia="ja-JP"/>
        </w:rPr>
        <w:t>As another limitation, we cannot rule out reverse causation that unmeasured diabetes pathophysiology may result in dysregulation of lipolysis, elevate DNL-related fatty acids, and further elevate incident T2D via separate causal pathways.</w:t>
      </w:r>
      <w:r w:rsidR="00433F37" w:rsidRPr="00C40A28">
        <w:rPr>
          <w:rFonts w:ascii="Times New Roman" w:hAnsi="Times New Roman"/>
          <w:b w:val="0"/>
          <w:bCs/>
          <w:sz w:val="22"/>
          <w:szCs w:val="22"/>
          <w:lang w:val="en-US" w:eastAsia="ja-JP"/>
        </w:rPr>
        <w:t xml:space="preserve"> </w:t>
      </w:r>
      <w:r w:rsidR="00D47CA5" w:rsidRPr="00C40A28">
        <w:rPr>
          <w:rFonts w:ascii="Times New Roman" w:hAnsi="Times New Roman"/>
          <w:b w:val="0"/>
          <w:bCs/>
          <w:sz w:val="22"/>
          <w:szCs w:val="22"/>
          <w:lang w:val="en-US" w:eastAsia="ja-JP"/>
        </w:rPr>
        <w:t xml:space="preserve">The 16:1n7-T2D association significantly varied by follow-up duration and this finding could be by chance or regression dilution, but </w:t>
      </w:r>
      <w:r w:rsidR="0006194D" w:rsidRPr="00C40A28">
        <w:rPr>
          <w:rFonts w:ascii="Times New Roman" w:hAnsi="Times New Roman"/>
          <w:b w:val="0"/>
          <w:bCs/>
          <w:sz w:val="22"/>
          <w:szCs w:val="22"/>
          <w:lang w:val="en-US" w:eastAsia="ja-JP"/>
        </w:rPr>
        <w:t>may indicate</w:t>
      </w:r>
      <w:r w:rsidR="00D47CA5" w:rsidRPr="00C40A28">
        <w:rPr>
          <w:rFonts w:ascii="Times New Roman" w:hAnsi="Times New Roman"/>
          <w:b w:val="0"/>
          <w:bCs/>
          <w:sz w:val="22"/>
          <w:szCs w:val="22"/>
          <w:lang w:val="en-US" w:eastAsia="ja-JP"/>
        </w:rPr>
        <w:t xml:space="preserve"> the possibility of reverse causation.</w:t>
      </w:r>
      <w:r w:rsidR="00B6197C" w:rsidRPr="00C40A28">
        <w:rPr>
          <w:rFonts w:ascii="Times New Roman" w:hAnsi="Times New Roman"/>
          <w:b w:val="0"/>
          <w:bCs/>
          <w:sz w:val="22"/>
          <w:szCs w:val="22"/>
          <w:lang w:val="en-US" w:eastAsia="ja-JP"/>
        </w:rPr>
        <w:t xml:space="preserve"> Th</w:t>
      </w:r>
      <w:r w:rsidR="00003143" w:rsidRPr="00C40A28">
        <w:rPr>
          <w:rFonts w:ascii="Times New Roman" w:hAnsi="Times New Roman"/>
          <w:b w:val="0"/>
          <w:bCs/>
          <w:sz w:val="22"/>
          <w:szCs w:val="22"/>
          <w:lang w:val="en-US" w:eastAsia="ja-JP"/>
        </w:rPr>
        <w:t>is finding only for 16:1n7</w:t>
      </w:r>
      <w:r w:rsidR="00B6197C" w:rsidRPr="00C40A28">
        <w:rPr>
          <w:rFonts w:ascii="Times New Roman" w:hAnsi="Times New Roman"/>
          <w:b w:val="0"/>
          <w:bCs/>
          <w:sz w:val="22"/>
          <w:szCs w:val="22"/>
          <w:lang w:val="en-US" w:eastAsia="ja-JP"/>
        </w:rPr>
        <w:t xml:space="preserve"> may</w:t>
      </w:r>
      <w:r w:rsidR="00D47CA5" w:rsidRPr="00C40A28">
        <w:rPr>
          <w:rFonts w:ascii="Times New Roman" w:hAnsi="Times New Roman"/>
          <w:b w:val="0"/>
          <w:bCs/>
          <w:sz w:val="22"/>
          <w:szCs w:val="22"/>
          <w:lang w:val="en-US" w:eastAsia="ja-JP"/>
        </w:rPr>
        <w:t xml:space="preserve"> also</w:t>
      </w:r>
      <w:r w:rsidR="00B6197C" w:rsidRPr="00C40A28">
        <w:rPr>
          <w:rFonts w:ascii="Times New Roman" w:hAnsi="Times New Roman"/>
          <w:b w:val="0"/>
          <w:bCs/>
          <w:sz w:val="22"/>
          <w:szCs w:val="22"/>
          <w:lang w:val="en-US" w:eastAsia="ja-JP"/>
        </w:rPr>
        <w:t xml:space="preserve"> have reflected a unique role of SCD in the development of T2D. </w:t>
      </w:r>
      <w:r w:rsidR="00433F37" w:rsidRPr="00C40A28">
        <w:rPr>
          <w:rFonts w:ascii="Times New Roman" w:hAnsi="Times New Roman"/>
          <w:b w:val="0"/>
          <w:bCs/>
          <w:sz w:val="22"/>
          <w:szCs w:val="22"/>
          <w:lang w:val="en-US" w:eastAsia="ja-JP"/>
        </w:rPr>
        <w:t>T</w:t>
      </w:r>
      <w:r w:rsidR="00003143" w:rsidRPr="00C40A28">
        <w:rPr>
          <w:rFonts w:ascii="Times New Roman" w:hAnsi="Times New Roman"/>
          <w:b w:val="0"/>
          <w:bCs/>
          <w:sz w:val="22"/>
          <w:szCs w:val="22"/>
          <w:lang w:val="en-US" w:eastAsia="ja-JP"/>
        </w:rPr>
        <w:t xml:space="preserve">he limitation, nonetheless, </w:t>
      </w:r>
      <w:r w:rsidR="0075078C" w:rsidRPr="00C40A28">
        <w:rPr>
          <w:rFonts w:ascii="Times New Roman" w:hAnsi="Times New Roman"/>
          <w:b w:val="0"/>
          <w:bCs/>
          <w:sz w:val="22"/>
          <w:szCs w:val="22"/>
          <w:lang w:val="en-US" w:eastAsia="ja-JP"/>
        </w:rPr>
        <w:t>indicates the importance of the DNL pathway as a strong non-causal indicator</w:t>
      </w:r>
      <w:r w:rsidR="00D47CA5" w:rsidRPr="00C40A28">
        <w:rPr>
          <w:rFonts w:ascii="Times New Roman" w:hAnsi="Times New Roman"/>
          <w:b w:val="0"/>
          <w:bCs/>
          <w:sz w:val="22"/>
          <w:szCs w:val="22"/>
          <w:lang w:val="en-US" w:eastAsia="ja-JP"/>
        </w:rPr>
        <w:t>,</w:t>
      </w:r>
      <w:r w:rsidR="0075078C" w:rsidRPr="00C40A28">
        <w:rPr>
          <w:rFonts w:ascii="Times New Roman" w:hAnsi="Times New Roman"/>
          <w:b w:val="0"/>
          <w:bCs/>
          <w:sz w:val="22"/>
          <w:szCs w:val="22"/>
          <w:lang w:val="en-US" w:eastAsia="ja-JP"/>
        </w:rPr>
        <w:t xml:space="preserve"> a causal determinant of T2D risk</w:t>
      </w:r>
      <w:r w:rsidR="00D47CA5" w:rsidRPr="00C40A28">
        <w:rPr>
          <w:rFonts w:ascii="Times New Roman" w:hAnsi="Times New Roman"/>
          <w:b w:val="0"/>
          <w:bCs/>
          <w:sz w:val="22"/>
          <w:szCs w:val="22"/>
          <w:lang w:val="en-US" w:eastAsia="ja-JP"/>
        </w:rPr>
        <w:t>, or both</w:t>
      </w:r>
      <w:r w:rsidR="0075078C" w:rsidRPr="00C40A28">
        <w:rPr>
          <w:rFonts w:ascii="Times New Roman" w:hAnsi="Times New Roman"/>
          <w:b w:val="0"/>
          <w:bCs/>
          <w:sz w:val="22"/>
          <w:szCs w:val="22"/>
          <w:lang w:val="en-US" w:eastAsia="ja-JP"/>
        </w:rPr>
        <w:t>.</w:t>
      </w:r>
    </w:p>
    <w:p w14:paraId="0801971F" w14:textId="1CC1BB9B" w:rsidR="006004A0" w:rsidRPr="00C40A28" w:rsidRDefault="00021AA2" w:rsidP="00525D98">
      <w:pPr>
        <w:pStyle w:val="BodyTextIndent"/>
        <w:spacing w:line="480" w:lineRule="auto"/>
        <w:ind w:left="0" w:firstLine="567"/>
        <w:rPr>
          <w:rFonts w:ascii="Times New Roman" w:hAnsi="Times New Roman"/>
          <w:b w:val="0"/>
          <w:bCs/>
          <w:sz w:val="22"/>
          <w:szCs w:val="22"/>
          <w:lang w:val="en-US" w:eastAsia="ja-JP"/>
        </w:rPr>
      </w:pPr>
      <w:r w:rsidRPr="00C40A28">
        <w:rPr>
          <w:rFonts w:ascii="Times New Roman" w:hAnsi="Times New Roman"/>
          <w:b w:val="0"/>
          <w:bCs/>
          <w:sz w:val="22"/>
          <w:szCs w:val="22"/>
          <w:lang w:val="en-US" w:eastAsia="ja-JP"/>
        </w:rPr>
        <w:t>We analyzed f</w:t>
      </w:r>
      <w:r w:rsidR="00814362" w:rsidRPr="00C40A28">
        <w:rPr>
          <w:rFonts w:ascii="Times New Roman" w:hAnsi="Times New Roman"/>
          <w:b w:val="0"/>
          <w:bCs/>
          <w:sz w:val="22"/>
          <w:szCs w:val="22"/>
          <w:lang w:val="en-US" w:eastAsia="ja-JP"/>
        </w:rPr>
        <w:t xml:space="preserve">atty acid </w:t>
      </w:r>
      <w:r w:rsidR="004D1EF8" w:rsidRPr="00C40A28">
        <w:rPr>
          <w:rFonts w:ascii="Times New Roman" w:hAnsi="Times New Roman"/>
          <w:b w:val="0"/>
          <w:bCs/>
          <w:sz w:val="22"/>
          <w:szCs w:val="22"/>
          <w:lang w:val="en-US" w:eastAsia="ja-JP"/>
        </w:rPr>
        <w:t>concentrations</w:t>
      </w:r>
      <w:r w:rsidR="00814362" w:rsidRPr="00C40A28">
        <w:rPr>
          <w:rFonts w:ascii="Times New Roman" w:hAnsi="Times New Roman"/>
          <w:b w:val="0"/>
          <w:bCs/>
          <w:sz w:val="22"/>
          <w:szCs w:val="22"/>
          <w:lang w:val="en-US" w:eastAsia="ja-JP"/>
        </w:rPr>
        <w:t xml:space="preserve"> </w:t>
      </w:r>
      <w:r w:rsidR="00F062FC" w:rsidRPr="00C40A28">
        <w:rPr>
          <w:rFonts w:ascii="Times New Roman" w:hAnsi="Times New Roman"/>
          <w:b w:val="0"/>
          <w:bCs/>
          <w:sz w:val="22"/>
          <w:szCs w:val="22"/>
          <w:lang w:val="en-US" w:eastAsia="ja-JP"/>
        </w:rPr>
        <w:t xml:space="preserve">and study covariates </w:t>
      </w:r>
      <w:r w:rsidR="004D1EF8" w:rsidRPr="00C40A28">
        <w:rPr>
          <w:rFonts w:ascii="Times New Roman" w:hAnsi="Times New Roman"/>
          <w:b w:val="0"/>
          <w:bCs/>
          <w:sz w:val="22"/>
          <w:szCs w:val="22"/>
          <w:lang w:val="en-US" w:eastAsia="ja-JP"/>
        </w:rPr>
        <w:t>measured</w:t>
      </w:r>
      <w:r w:rsidR="00814362" w:rsidRPr="00C40A28">
        <w:rPr>
          <w:rFonts w:ascii="Times New Roman" w:hAnsi="Times New Roman"/>
          <w:b w:val="0"/>
          <w:bCs/>
          <w:sz w:val="22"/>
          <w:szCs w:val="22"/>
          <w:lang w:val="en-US" w:eastAsia="ja-JP"/>
        </w:rPr>
        <w:t xml:space="preserve"> at baseline</w:t>
      </w:r>
      <w:r w:rsidRPr="00C40A28">
        <w:rPr>
          <w:rFonts w:ascii="Times New Roman" w:hAnsi="Times New Roman"/>
          <w:b w:val="0"/>
          <w:bCs/>
          <w:sz w:val="22"/>
          <w:szCs w:val="22"/>
          <w:lang w:val="en-US" w:eastAsia="ja-JP"/>
        </w:rPr>
        <w:t xml:space="preserve"> only. Those measurement errors,</w:t>
      </w:r>
      <w:r w:rsidR="00814362" w:rsidRPr="00C40A28">
        <w:rPr>
          <w:rFonts w:ascii="Times New Roman" w:hAnsi="Times New Roman"/>
          <w:b w:val="0"/>
          <w:bCs/>
          <w:sz w:val="22"/>
          <w:szCs w:val="22"/>
          <w:lang w:val="en-US" w:eastAsia="ja-JP"/>
        </w:rPr>
        <w:t xml:space="preserve"> </w:t>
      </w:r>
      <w:r w:rsidRPr="00C40A28">
        <w:rPr>
          <w:rFonts w:ascii="Times New Roman" w:hAnsi="Times New Roman"/>
          <w:b w:val="0"/>
          <w:bCs/>
          <w:sz w:val="22"/>
          <w:szCs w:val="22"/>
          <w:lang w:val="en-US" w:eastAsia="ja-JP"/>
        </w:rPr>
        <w:t xml:space="preserve">temporary </w:t>
      </w:r>
      <w:r w:rsidR="00F062FC" w:rsidRPr="00C40A28">
        <w:rPr>
          <w:rFonts w:ascii="Times New Roman" w:hAnsi="Times New Roman"/>
          <w:b w:val="0"/>
          <w:bCs/>
          <w:sz w:val="22"/>
          <w:szCs w:val="22"/>
          <w:lang w:val="en-US" w:eastAsia="ja-JP"/>
        </w:rPr>
        <w:t xml:space="preserve">variations </w:t>
      </w:r>
      <w:r w:rsidR="00814362" w:rsidRPr="00C40A28">
        <w:rPr>
          <w:rFonts w:ascii="Times New Roman" w:hAnsi="Times New Roman"/>
          <w:b w:val="0"/>
          <w:bCs/>
          <w:sz w:val="22"/>
          <w:szCs w:val="22"/>
          <w:lang w:val="en-US" w:eastAsia="ja-JP"/>
        </w:rPr>
        <w:t>over time</w:t>
      </w:r>
      <w:r w:rsidRPr="00C40A28">
        <w:rPr>
          <w:rFonts w:ascii="Times New Roman" w:hAnsi="Times New Roman"/>
          <w:b w:val="0"/>
          <w:bCs/>
          <w:sz w:val="22"/>
          <w:szCs w:val="22"/>
          <w:lang w:val="en-US" w:eastAsia="ja-JP"/>
        </w:rPr>
        <w:t>, and unmeasured confounding factors</w:t>
      </w:r>
      <w:r w:rsidR="00144214" w:rsidRPr="00C40A28">
        <w:rPr>
          <w:rFonts w:ascii="Times New Roman" w:hAnsi="Times New Roman"/>
          <w:b w:val="0"/>
          <w:bCs/>
          <w:sz w:val="22"/>
          <w:szCs w:val="22"/>
          <w:lang w:val="en-US" w:eastAsia="ja-JP"/>
        </w:rPr>
        <w:t>, such as dietary correlates with carbohydrates</w:t>
      </w:r>
      <w:r w:rsidR="00083E69" w:rsidRPr="00C40A28">
        <w:rPr>
          <w:rFonts w:ascii="Times New Roman" w:hAnsi="Times New Roman"/>
          <w:b w:val="0"/>
          <w:bCs/>
          <w:sz w:val="22"/>
          <w:szCs w:val="22"/>
          <w:lang w:val="en-US" w:eastAsia="ja-JP"/>
        </w:rPr>
        <w:t>, fat,</w:t>
      </w:r>
      <w:r w:rsidR="00144214" w:rsidRPr="00C40A28">
        <w:rPr>
          <w:rFonts w:ascii="Times New Roman" w:hAnsi="Times New Roman"/>
          <w:b w:val="0"/>
          <w:bCs/>
          <w:sz w:val="22"/>
          <w:szCs w:val="22"/>
          <w:lang w:val="en-US" w:eastAsia="ja-JP"/>
        </w:rPr>
        <w:t xml:space="preserve"> and alcohol,</w:t>
      </w:r>
      <w:r w:rsidR="00814362" w:rsidRPr="00C40A28">
        <w:rPr>
          <w:rFonts w:ascii="Times New Roman" w:hAnsi="Times New Roman"/>
          <w:b w:val="0"/>
          <w:bCs/>
          <w:sz w:val="22"/>
          <w:szCs w:val="22"/>
          <w:lang w:val="en-US" w:eastAsia="ja-JP"/>
        </w:rPr>
        <w:t xml:space="preserve"> </w:t>
      </w:r>
      <w:r w:rsidR="00144214" w:rsidRPr="00C40A28">
        <w:rPr>
          <w:rFonts w:ascii="Times New Roman" w:hAnsi="Times New Roman"/>
          <w:b w:val="0"/>
          <w:bCs/>
          <w:sz w:val="22"/>
          <w:szCs w:val="22"/>
          <w:lang w:val="en-US" w:eastAsia="ja-JP"/>
        </w:rPr>
        <w:t xml:space="preserve">could </w:t>
      </w:r>
      <w:r w:rsidR="00BA01B4" w:rsidRPr="00C40A28">
        <w:rPr>
          <w:rFonts w:ascii="Times New Roman" w:hAnsi="Times New Roman"/>
          <w:b w:val="0"/>
          <w:bCs/>
          <w:sz w:val="22"/>
          <w:szCs w:val="22"/>
          <w:lang w:val="en-US" w:eastAsia="ja-JP"/>
        </w:rPr>
        <w:t>potentially</w:t>
      </w:r>
      <w:r w:rsidR="00F062FC" w:rsidRPr="00C40A28">
        <w:rPr>
          <w:rFonts w:ascii="Times New Roman" w:hAnsi="Times New Roman"/>
          <w:b w:val="0"/>
          <w:bCs/>
          <w:sz w:val="22"/>
          <w:szCs w:val="22"/>
          <w:lang w:val="en-US" w:eastAsia="ja-JP"/>
        </w:rPr>
        <w:t xml:space="preserve"> bias our findings </w:t>
      </w:r>
      <w:r w:rsidRPr="00C40A28">
        <w:rPr>
          <w:rFonts w:ascii="Times New Roman" w:hAnsi="Times New Roman"/>
          <w:b w:val="0"/>
          <w:bCs/>
          <w:sz w:val="22"/>
          <w:szCs w:val="22"/>
          <w:lang w:val="en-US" w:eastAsia="ja-JP"/>
        </w:rPr>
        <w:t>in either direction</w:t>
      </w:r>
      <w:r w:rsidR="00814362" w:rsidRPr="00C40A28">
        <w:rPr>
          <w:rFonts w:ascii="Times New Roman" w:hAnsi="Times New Roman"/>
          <w:b w:val="0"/>
          <w:bCs/>
          <w:sz w:val="22"/>
          <w:szCs w:val="22"/>
          <w:lang w:val="en-US" w:eastAsia="ja-JP"/>
        </w:rPr>
        <w:t xml:space="preserve">. </w:t>
      </w:r>
      <w:r w:rsidR="005E0611" w:rsidRPr="00C40A28">
        <w:rPr>
          <w:rFonts w:ascii="Times New Roman" w:hAnsi="Times New Roman"/>
          <w:b w:val="0"/>
          <w:bCs/>
          <w:sz w:val="22"/>
          <w:szCs w:val="22"/>
          <w:lang w:val="en-US" w:eastAsia="ja-JP"/>
        </w:rPr>
        <w:t>Of note</w:t>
      </w:r>
      <w:r w:rsidR="00F80112" w:rsidRPr="00C40A28">
        <w:rPr>
          <w:rFonts w:ascii="Times New Roman" w:hAnsi="Times New Roman"/>
          <w:b w:val="0"/>
          <w:bCs/>
          <w:sz w:val="22"/>
          <w:szCs w:val="22"/>
          <w:lang w:val="en-US" w:eastAsia="ja-JP"/>
        </w:rPr>
        <w:t>, t</w:t>
      </w:r>
      <w:r w:rsidR="001716DC" w:rsidRPr="00C40A28">
        <w:rPr>
          <w:rFonts w:ascii="Times New Roman" w:hAnsi="Times New Roman"/>
          <w:b w:val="0"/>
          <w:bCs/>
          <w:sz w:val="22"/>
          <w:szCs w:val="22"/>
          <w:lang w:val="en-US" w:eastAsia="ja-JP"/>
        </w:rPr>
        <w:t>he exposure</w:t>
      </w:r>
      <w:r w:rsidR="005B3B36" w:rsidRPr="00C40A28">
        <w:rPr>
          <w:rFonts w:ascii="Times New Roman" w:hAnsi="Times New Roman"/>
          <w:b w:val="0"/>
          <w:bCs/>
          <w:sz w:val="22"/>
          <w:szCs w:val="22"/>
          <w:lang w:val="en-US" w:eastAsia="ja-JP"/>
        </w:rPr>
        <w:t xml:space="preserve"> duration </w:t>
      </w:r>
      <w:r w:rsidR="005E0611" w:rsidRPr="00C40A28">
        <w:rPr>
          <w:rFonts w:ascii="Times New Roman" w:hAnsi="Times New Roman"/>
          <w:b w:val="0"/>
          <w:bCs/>
          <w:sz w:val="22"/>
          <w:szCs w:val="22"/>
          <w:lang w:val="en-US" w:eastAsia="ja-JP"/>
        </w:rPr>
        <w:t xml:space="preserve">represented </w:t>
      </w:r>
      <w:r w:rsidR="00C061A2" w:rsidRPr="00C40A28">
        <w:rPr>
          <w:rFonts w:ascii="Times New Roman" w:hAnsi="Times New Roman"/>
          <w:b w:val="0"/>
          <w:bCs/>
          <w:sz w:val="22"/>
          <w:szCs w:val="22"/>
          <w:lang w:val="en-US" w:eastAsia="ja-JP"/>
        </w:rPr>
        <w:t xml:space="preserve">with a single fatty acid measurement </w:t>
      </w:r>
      <w:r w:rsidR="005B3B36" w:rsidRPr="00C40A28">
        <w:rPr>
          <w:rFonts w:ascii="Times New Roman" w:hAnsi="Times New Roman"/>
          <w:b w:val="0"/>
          <w:bCs/>
          <w:sz w:val="22"/>
          <w:szCs w:val="22"/>
          <w:lang w:val="en-US" w:eastAsia="ja-JP"/>
        </w:rPr>
        <w:t>is unclear</w:t>
      </w:r>
      <w:r w:rsidR="005E0611" w:rsidRPr="00C40A28">
        <w:rPr>
          <w:rFonts w:ascii="Times New Roman" w:hAnsi="Times New Roman"/>
          <w:b w:val="0"/>
          <w:bCs/>
          <w:sz w:val="22"/>
          <w:szCs w:val="22"/>
          <w:lang w:val="en-US" w:eastAsia="ja-JP"/>
        </w:rPr>
        <w:t xml:space="preserve"> and</w:t>
      </w:r>
      <w:r w:rsidR="00E14CC6" w:rsidRPr="00C40A28">
        <w:rPr>
          <w:rFonts w:ascii="Times New Roman" w:hAnsi="Times New Roman"/>
          <w:b w:val="0"/>
          <w:bCs/>
          <w:sz w:val="22"/>
          <w:szCs w:val="22"/>
          <w:lang w:val="en-US" w:eastAsia="ja-JP"/>
        </w:rPr>
        <w:t xml:space="preserve"> likely to vary by laboratory</w:t>
      </w:r>
      <w:r w:rsidR="005E0611" w:rsidRPr="00C40A28">
        <w:rPr>
          <w:rFonts w:ascii="Times New Roman" w:hAnsi="Times New Roman"/>
          <w:b w:val="0"/>
          <w:bCs/>
          <w:sz w:val="22"/>
          <w:szCs w:val="22"/>
          <w:lang w:val="en-US" w:eastAsia="ja-JP"/>
        </w:rPr>
        <w:t>, tissue</w:t>
      </w:r>
      <w:r w:rsidR="000554EB" w:rsidRPr="00C40A28">
        <w:rPr>
          <w:rFonts w:ascii="Times New Roman" w:hAnsi="Times New Roman"/>
          <w:b w:val="0"/>
          <w:bCs/>
          <w:sz w:val="22"/>
          <w:szCs w:val="22"/>
          <w:lang w:val="en-US" w:eastAsia="ja-JP"/>
        </w:rPr>
        <w:t>,</w:t>
      </w:r>
      <w:r w:rsidR="005E0611" w:rsidRPr="00C40A28">
        <w:rPr>
          <w:rFonts w:ascii="Times New Roman" w:hAnsi="Times New Roman"/>
          <w:b w:val="0"/>
          <w:bCs/>
          <w:sz w:val="22"/>
          <w:szCs w:val="22"/>
          <w:lang w:val="en-US" w:eastAsia="ja-JP"/>
        </w:rPr>
        <w:t xml:space="preserve"> fraction type,</w:t>
      </w:r>
      <w:r w:rsidR="00E14CC6" w:rsidRPr="00C40A28">
        <w:rPr>
          <w:rFonts w:ascii="Times New Roman" w:hAnsi="Times New Roman"/>
          <w:b w:val="0"/>
          <w:bCs/>
          <w:sz w:val="22"/>
          <w:szCs w:val="22"/>
          <w:lang w:val="en-US" w:eastAsia="ja-JP"/>
        </w:rPr>
        <w:t xml:space="preserve"> and cohort settings</w:t>
      </w:r>
      <w:r w:rsidR="00203E15" w:rsidRPr="00C40A28">
        <w:rPr>
          <w:rFonts w:ascii="Times New Roman" w:hAnsi="Times New Roman"/>
          <w:b w:val="0"/>
          <w:bCs/>
          <w:sz w:val="22"/>
          <w:szCs w:val="22"/>
          <w:lang w:val="en-US" w:eastAsia="ja-JP"/>
        </w:rPr>
        <w:t xml:space="preserve">. </w:t>
      </w:r>
      <w:r w:rsidR="00717D16" w:rsidRPr="00C40A28">
        <w:rPr>
          <w:rFonts w:ascii="Times New Roman" w:hAnsi="Times New Roman"/>
          <w:b w:val="0"/>
          <w:bCs/>
          <w:sz w:val="22"/>
          <w:szCs w:val="22"/>
          <w:lang w:val="en-US" w:eastAsia="ja-JP"/>
        </w:rPr>
        <w:t>A single measure may reflect approximately three to four weeks of a habitual diet, for instance</w:t>
      </w:r>
      <w:r w:rsidR="00E14CC6" w:rsidRPr="00C40A28">
        <w:rPr>
          <w:rFonts w:ascii="Times New Roman" w:hAnsi="Times New Roman"/>
          <w:b w:val="0"/>
          <w:bCs/>
          <w:sz w:val="22"/>
          <w:szCs w:val="22"/>
          <w:lang w:val="en-US" w:eastAsia="ja-JP"/>
        </w:rPr>
        <w:t>,</w:t>
      </w:r>
      <w:r w:rsidR="001716DC" w:rsidRPr="00C40A28">
        <w:rPr>
          <w:rFonts w:ascii="Times New Roman" w:hAnsi="Times New Roman"/>
          <w:b w:val="0"/>
          <w:bCs/>
          <w:sz w:val="22"/>
          <w:szCs w:val="22"/>
          <w:lang w:val="en-US" w:eastAsia="ja-JP"/>
        </w:rPr>
        <w:t xml:space="preserve"> a</w:t>
      </w:r>
      <w:r w:rsidR="005B3B36" w:rsidRPr="00C40A28">
        <w:rPr>
          <w:rFonts w:ascii="Times New Roman" w:hAnsi="Times New Roman"/>
          <w:b w:val="0"/>
          <w:bCs/>
          <w:sz w:val="22"/>
          <w:szCs w:val="22"/>
          <w:lang w:val="en-US" w:eastAsia="ja-JP"/>
        </w:rPr>
        <w:t xml:space="preserve">ccording to </w:t>
      </w:r>
      <w:r w:rsidR="00717D16" w:rsidRPr="00C40A28">
        <w:rPr>
          <w:rFonts w:ascii="Times New Roman" w:hAnsi="Times New Roman"/>
          <w:b w:val="0"/>
          <w:bCs/>
          <w:sz w:val="22"/>
          <w:szCs w:val="22"/>
          <w:lang w:val="en-US" w:eastAsia="ja-JP"/>
        </w:rPr>
        <w:t xml:space="preserve">published </w:t>
      </w:r>
      <w:r w:rsidR="005B3B36" w:rsidRPr="00C40A28">
        <w:rPr>
          <w:rFonts w:ascii="Times New Roman" w:hAnsi="Times New Roman"/>
          <w:b w:val="0"/>
          <w:bCs/>
          <w:sz w:val="22"/>
          <w:szCs w:val="22"/>
          <w:lang w:val="en-US" w:eastAsia="ja-JP"/>
        </w:rPr>
        <w:t>k</w:t>
      </w:r>
      <w:r w:rsidR="008366F4" w:rsidRPr="00C40A28">
        <w:rPr>
          <w:rFonts w:ascii="Times New Roman" w:hAnsi="Times New Roman"/>
          <w:b w:val="0"/>
          <w:bCs/>
          <w:sz w:val="22"/>
          <w:szCs w:val="22"/>
          <w:lang w:val="en-US" w:eastAsia="ja-JP"/>
        </w:rPr>
        <w:t>inetic</w:t>
      </w:r>
      <w:r w:rsidR="00717D16" w:rsidRPr="00C40A28">
        <w:rPr>
          <w:rFonts w:ascii="Times New Roman" w:hAnsi="Times New Roman"/>
          <w:b w:val="0"/>
          <w:bCs/>
          <w:sz w:val="22"/>
          <w:szCs w:val="22"/>
          <w:lang w:val="en-US" w:eastAsia="ja-JP"/>
        </w:rPr>
        <w:t xml:space="preserve"> studies on essential fatty acids</w:t>
      </w:r>
      <w:r w:rsidR="0084368C">
        <w:rPr>
          <w:rFonts w:ascii="Times New Roman" w:hAnsi="Times New Roman"/>
          <w:b w:val="0"/>
          <w:bCs/>
          <w:sz w:val="22"/>
          <w:szCs w:val="22"/>
          <w:lang w:val="en-US" w:eastAsia="ja-JP"/>
        </w:rPr>
        <w:t xml:space="preserve"> </w:t>
      </w:r>
      <w:r w:rsidR="00DA7604" w:rsidRPr="00C40A28">
        <w:rPr>
          <w:rFonts w:ascii="Times New Roman" w:hAnsi="Times New Roman"/>
          <w:b w:val="0"/>
          <w:bCs/>
          <w:sz w:val="22"/>
          <w:szCs w:val="22"/>
          <w:lang w:val="en-US" w:eastAsia="ja-JP"/>
        </w:rPr>
        <w:fldChar w:fldCharType="begin" w:fldLock="1"/>
      </w:r>
      <w:r w:rsidR="001A6E99" w:rsidRPr="00C40A28">
        <w:rPr>
          <w:rFonts w:ascii="Times New Roman" w:hAnsi="Times New Roman"/>
          <w:b w:val="0"/>
          <w:bCs/>
          <w:sz w:val="22"/>
          <w:szCs w:val="22"/>
          <w:lang w:val="en-US" w:eastAsia="ja-JP"/>
        </w:rPr>
        <w:instrText>ADDIN CSL_CITATION {"citationItems":[{"id":"ITEM-1","itemData":{"DOI":"10.1093/jn/136.3.565","ISSN":"0022-3166","author":[{"dropping-particle":"","family":"Skeaff","given":"C. Murray","non-dropping-particle":"","parse-names":false,"suffix":""},{"dropping-particle":"","family":"Hodson","given":"Leanne","non-dropping-particle":"","parse-names":false,"suffix":""},{"dropping-particle":"","family":"McKenzie","given":"Joanne E.","non-dropping-particle":"","parse-names":false,"suffix":""}],"container-title":"J Nutr","id":"ITEM-1","issue":"3","issued":{"date-parts":[["2006","3","1"]]},"page":"565-569","title":"Dietary-Induced Changes in Fatty Acid Composition of Human Plasma, Platelet, and Erythrocyte Lipids Follow a Similar Time Course","type":"article-journal","volume":"136"},"uris":["http://www.mendeley.com/documents/?uuid=aec61c77-f656-4bd3-8217-f2688b950529"]},{"id":"ITEM-2","itemData":{"DOI":"10.3945/ajcn.111.021907","ISSN":"0022-2275","PMID":"9374124","abstract":"Tissue levels of n-3 fatty acids reflect dietary intake, but quantitative data about rate of incorporation and levels as a function of intake are scarce. We fed 58 men 0, 3, 6, or 9 g/d of fish oil for 12 months and monitored fatty acids in serum cholesteryl esters, erythrocytes, and subcutaneous fat during and after supplementation. Eicosapentaenoic acid (EPA) in cholesteryl esters plateaued after 4-8 weeks; the incorporation half-life was 4.8 days. Steady-state levels increased by 3.9 +/- 0.3 mass % points (+/- SE) for each extra gram of EPA eaten per day. Incorporation of docosahexaenoic acid (DHA) was erratic; plateau values were 1.1 +/- 0.1 mass % higher for every g/d ingested. Incorporation of EPA into erythrocyte membranes showed a half-life of 28 days; a steady state was reached after 180 days. Each g/d increased levels by 2.1 +/- 0.1 mass %. C22:5n-3 levels increased markedly. Changes in DHA were erratic and smaller. EPA levels in adipose tissue rose also; the change after 6 months was 67% of that after 12 months in gluteal and 75% in abdominal fat. After 12 months each gram per day caused an 0.11 +/- 0.01 mass % rise in gluteal fat for EPA, 0.53 +/- 0.07 for C22:5n-3, and 0.14 +/- 0.03 for DHA. Thus, different (n-3) fatty acids were incorporated with different efficiencies, possibly because of interconversions or different affinities of the enzymatic pathways involved. EPA levels in cholesteryl esters reflect intake over the past week or two, erythrocytes over the past month or two, and adipose tissue over a period of years. These findings may help in assessing the intake of (n-3) fatty acids in epidemiological studies.","author":[{"dropping-particle":"","family":"Katan","given":"M B","non-dropping-particle":"","parse-names":false,"suffix":""},{"dropping-particle":"","family":"Deslypere","given":"J P","non-dropping-particle":"","parse-names":false,"suffix":""},{"dropping-particle":"","family":"Birgelen","given":"A P","non-dropping-particle":"van","parse-names":false,"suffix":""},{"dropping-particle":"","family":"Penders","given":"M","non-dropping-particle":"","parse-names":false,"suffix":""},{"dropping-particle":"","family":"Zegwaard","given":"M","non-dropping-particle":"","parse-names":false,"suffix":""}],"container-title":"J Lipid Res","id":"ITEM-2","issue":"10","issued":{"date-parts":[["1997","10"]]},"page":"2012-22","title":"Kinetics of the incorporation of dietary fatty acids into serum cholesteryl esters, erythrocyte membranes, and adipose tissue: an 18-month controlled study.","type":"article-journal","volume":"38"},"uris":["http://www.mendeley.com/documents/?uuid=c39e0c11-d0bd-45d2-b45f-fd8e7479891c"]}],"mendeley":{"formattedCitation":"[24,47]","plainTextFormattedCitation":"[24,47]","previouslyFormattedCitation":"[24,47]"},"properties":{"noteIndex":0},"schema":"https://github.com/citation-style-language/schema/raw/master/csl-citation.json"}</w:instrText>
      </w:r>
      <w:r w:rsidR="00DA7604" w:rsidRPr="00C40A28">
        <w:rPr>
          <w:rFonts w:ascii="Times New Roman" w:hAnsi="Times New Roman"/>
          <w:b w:val="0"/>
          <w:bCs/>
          <w:sz w:val="22"/>
          <w:szCs w:val="22"/>
          <w:lang w:val="en-US" w:eastAsia="ja-JP"/>
        </w:rPr>
        <w:fldChar w:fldCharType="separate"/>
      </w:r>
      <w:r w:rsidR="001A6E99" w:rsidRPr="00C40A28">
        <w:rPr>
          <w:rFonts w:ascii="Times New Roman" w:hAnsi="Times New Roman"/>
          <w:b w:val="0"/>
          <w:bCs/>
          <w:noProof/>
          <w:sz w:val="22"/>
          <w:szCs w:val="22"/>
          <w:lang w:val="en-US" w:eastAsia="ja-JP"/>
        </w:rPr>
        <w:t>[24,47]</w:t>
      </w:r>
      <w:r w:rsidR="00DA7604" w:rsidRPr="00C40A28">
        <w:rPr>
          <w:rFonts w:ascii="Times New Roman" w:hAnsi="Times New Roman"/>
          <w:b w:val="0"/>
          <w:bCs/>
          <w:sz w:val="22"/>
          <w:szCs w:val="22"/>
          <w:lang w:val="en-US" w:eastAsia="ja-JP"/>
        </w:rPr>
        <w:fldChar w:fldCharType="end"/>
      </w:r>
      <w:r w:rsidR="005B3B36" w:rsidRPr="00C40A28">
        <w:rPr>
          <w:rFonts w:ascii="Times New Roman" w:hAnsi="Times New Roman"/>
          <w:b w:val="0"/>
          <w:bCs/>
          <w:sz w:val="22"/>
          <w:szCs w:val="22"/>
          <w:lang w:val="en-US" w:eastAsia="ja-JP"/>
        </w:rPr>
        <w:t>.</w:t>
      </w:r>
      <w:r w:rsidR="009471A8" w:rsidRPr="00C40A28">
        <w:rPr>
          <w:rFonts w:ascii="Times New Roman" w:hAnsi="Times New Roman"/>
          <w:b w:val="0"/>
          <w:bCs/>
          <w:sz w:val="22"/>
          <w:szCs w:val="22"/>
          <w:lang w:val="en-US" w:eastAsia="ja-JP"/>
        </w:rPr>
        <w:t xml:space="preserve"> </w:t>
      </w:r>
      <w:r w:rsidR="001A6E99" w:rsidRPr="00C40A28">
        <w:rPr>
          <w:rFonts w:ascii="Times New Roman" w:hAnsi="Times New Roman"/>
          <w:b w:val="0"/>
          <w:bCs/>
          <w:sz w:val="22"/>
          <w:szCs w:val="22"/>
          <w:lang w:val="en-US" w:eastAsia="ja-JP"/>
        </w:rPr>
        <w:t xml:space="preserve">A six-month </w:t>
      </w:r>
      <w:r w:rsidR="005E0611" w:rsidRPr="00C40A28">
        <w:rPr>
          <w:rFonts w:ascii="Times New Roman" w:hAnsi="Times New Roman"/>
          <w:b w:val="0"/>
          <w:bCs/>
          <w:sz w:val="22"/>
          <w:szCs w:val="22"/>
          <w:lang w:val="en-US" w:eastAsia="ja-JP"/>
        </w:rPr>
        <w:t xml:space="preserve">high-carbohydrate diet </w:t>
      </w:r>
      <w:r w:rsidR="009471A8" w:rsidRPr="00C40A28">
        <w:rPr>
          <w:rFonts w:ascii="Times New Roman" w:hAnsi="Times New Roman"/>
          <w:b w:val="0"/>
          <w:bCs/>
          <w:sz w:val="22"/>
          <w:szCs w:val="22"/>
          <w:lang w:val="en-US" w:eastAsia="ja-JP"/>
        </w:rPr>
        <w:t xml:space="preserve">resulted in </w:t>
      </w:r>
      <w:r w:rsidR="00A6383C" w:rsidRPr="00C40A28">
        <w:rPr>
          <w:rFonts w:ascii="Times New Roman" w:hAnsi="Times New Roman"/>
          <w:b w:val="0"/>
          <w:bCs/>
          <w:sz w:val="22"/>
          <w:szCs w:val="22"/>
          <w:lang w:val="en-US" w:eastAsia="ja-JP"/>
        </w:rPr>
        <w:t xml:space="preserve">higher </w:t>
      </w:r>
      <w:r w:rsidR="009471A8" w:rsidRPr="00C40A28">
        <w:rPr>
          <w:rFonts w:ascii="Times New Roman" w:hAnsi="Times New Roman"/>
          <w:b w:val="0"/>
          <w:bCs/>
          <w:sz w:val="22"/>
          <w:szCs w:val="22"/>
          <w:lang w:val="en-US" w:eastAsia="ja-JP"/>
        </w:rPr>
        <w:t>DNL-related fatty acids</w:t>
      </w:r>
      <w:r w:rsidR="00A6383C" w:rsidRPr="00C40A28">
        <w:rPr>
          <w:rFonts w:ascii="Times New Roman" w:hAnsi="Times New Roman"/>
          <w:b w:val="0"/>
          <w:bCs/>
          <w:sz w:val="22"/>
          <w:szCs w:val="22"/>
          <w:lang w:val="en-US" w:eastAsia="ja-JP"/>
        </w:rPr>
        <w:t xml:space="preserve"> concentrations in phospholipids </w:t>
      </w:r>
      <w:r w:rsidR="006004A0" w:rsidRPr="00C40A28">
        <w:rPr>
          <w:rFonts w:ascii="Times New Roman" w:hAnsi="Times New Roman"/>
          <w:b w:val="0"/>
          <w:bCs/>
          <w:sz w:val="22"/>
          <w:szCs w:val="22"/>
          <w:lang w:val="en-US" w:eastAsia="ja-JP"/>
        </w:rPr>
        <w:t xml:space="preserve">than a </w:t>
      </w:r>
      <w:r w:rsidR="0091620E" w:rsidRPr="00C40A28">
        <w:rPr>
          <w:rFonts w:ascii="Times New Roman" w:hAnsi="Times New Roman"/>
          <w:b w:val="0"/>
          <w:bCs/>
          <w:sz w:val="22"/>
          <w:szCs w:val="22"/>
          <w:lang w:val="en-US" w:eastAsia="ja-JP"/>
        </w:rPr>
        <w:t xml:space="preserve">six-month </w:t>
      </w:r>
      <w:r w:rsidR="006004A0" w:rsidRPr="00C40A28">
        <w:rPr>
          <w:rFonts w:ascii="Times New Roman" w:hAnsi="Times New Roman"/>
          <w:b w:val="0"/>
          <w:bCs/>
          <w:sz w:val="22"/>
          <w:szCs w:val="22"/>
          <w:lang w:val="en-US" w:eastAsia="ja-JP"/>
        </w:rPr>
        <w:t>high-fat diet</w:t>
      </w:r>
      <w:r w:rsidR="001F1C0C" w:rsidRPr="00C40A28">
        <w:rPr>
          <w:rFonts w:ascii="Times New Roman" w:hAnsi="Times New Roman"/>
          <w:b w:val="0"/>
          <w:bCs/>
          <w:sz w:val="22"/>
          <w:szCs w:val="22"/>
          <w:lang w:val="en-US" w:eastAsia="ja-JP"/>
        </w:rPr>
        <w:t xml:space="preserve"> </w:t>
      </w:r>
      <w:r w:rsidR="001F1C0C" w:rsidRPr="00C40A28">
        <w:rPr>
          <w:rFonts w:ascii="Times New Roman" w:hAnsi="Times New Roman"/>
          <w:b w:val="0"/>
          <w:bCs/>
          <w:sz w:val="22"/>
          <w:szCs w:val="22"/>
          <w:lang w:val="en-US" w:eastAsia="ja-JP"/>
        </w:rPr>
        <w:fldChar w:fldCharType="begin" w:fldLock="1"/>
      </w:r>
      <w:r w:rsidR="001F1C0C" w:rsidRPr="00C40A28">
        <w:rPr>
          <w:rFonts w:ascii="Times New Roman" w:hAnsi="Times New Roman"/>
          <w:b w:val="0"/>
          <w:bCs/>
          <w:sz w:val="22"/>
          <w:szCs w:val="22"/>
          <w:lang w:val="en-US" w:eastAsia="ja-JP"/>
        </w:rPr>
        <w:instrText>ADDIN CSL_CITATION {"citationItems":[{"id":"ITEM-1","itemData":{"ISSN":"0002-9165","PMID":"16469979","abstract":"BACKGROUND: The utility of fatty acids (FAs) as biomarkers of total fat intake is unknown. OBJECTIVE: We compared FA changes in red cells (RCs), plasma phospholipids (PLs), and cholesterol esters (CEs) in response to a low-fat diet (LFD) and a moderate-fat diet (MFD) and assessed whether individual or combination of FAs predict LFD. DESIGN: Postmenopausal women (n = 66) were randomly assigned to receive an LFD (17% of energy from fat) or an MFD (34% of energy from fat) for 6 wk. All foods were provided. FAs in diets and blood were determined by gas-liquid chromatography. FA changes between baseline and end of study were compared across diets by using t tests. FA predictors of an LFD were selected by logistic regression. RESULTS: Many FAs in RCs, PLs, and CEs responded differently to the 2 diets. Changes from baseline with an LFD for palmitic acid (16:0) (3-11% increase), behenic (22:0) and lignoceric (24:0) acids (3-20% decrease, in RCs and PLs only), cis-monounsaturated FA (MUFA) (25-35% increase), linoleic acid (18:2n-6) (11-13% decrease), trans octadecanoic acids (trans 18:1) (7-20% decrease), and n-6 highly unsaturated FA (HUFA) (2-8% increase) were significantly different from changes with an MFD. Individually, 18:2n-6 and trans 18:1 were strong predictors of an LFD [receiver operating characteristic (ROC) curves: 0.92-0.80). A logistic regression model with trans 18:1, 18:2n-6, and vaccenic acid (18:1n-7) predicted an LFD with high specificity and sensitivity (ROC curves: 0.99). CONCLUSIONS: Saturated FA, cisMUFA, n-6 HUFA, and exogenous FAs greatly differed in their response to the LFD and MFD. Parallel responses were observed in RCs, PLs, and CEs. A model with a combination of FAs almost perfectly differentiated the consumption of 34% fat from that of 17% fat.","author":[{"dropping-particle":"","family":"King","given":"Irena B","non-dropping-particle":"","parse-names":false,"suffix":""},{"dropping-particle":"","family":"Lemaitre","given":"Rozenn N","non-dropping-particle":"","parse-names":false,"suffix":""},{"dropping-particle":"","family":"Kestin","given":"Mark","non-dropping-particle":"","parse-names":false,"suffix":""}],"container-title":"Am J Clin Nutr","id":"ITEM-1","issue":"2","issued":{"date-parts":[["2006","2"]]},"note":"        From Duplicate 1 (                   Effect of a low-fat diet on fatty acid composition in red cells, plasma phospholipids, and cholesterol esters: investigation of a biomarker of total fat intake.                 - King, Irena B; Lemaitre, Rozenn N; Kestin, Mark )\n                \n        From Duplicate 2 (                           Effect of a low-fat diet on fatty acid composition in red cells, plasma phospholipids, and cholesterol esters: investigation of a biomarker of total fat intake                         - King, Irena B; Lemaitre, Rozenn N; Kestin, Mark )\n                \n        \n        \n        \n        \n      ","page":"227-36","title":"Effect of a low-fat diet on fatty acid composition in red cells, plasma phospholipids, and cholesterol esters: investigation of a biomarker of total fat intake.","type":"article-journal","volume":"83"},"uris":["http://www.mendeley.com/documents/?uuid=e5817317-4189-4b45-bc52-e5e372cd76d7"]}],"mendeley":{"formattedCitation":"[9]","plainTextFormattedCitation":"[9]","previouslyFormattedCitation":"[9]"},"properties":{"noteIndex":0},"schema":"https://github.com/citation-style-language/schema/raw/master/csl-citation.json"}</w:instrText>
      </w:r>
      <w:r w:rsidR="001F1C0C" w:rsidRPr="00C40A28">
        <w:rPr>
          <w:rFonts w:ascii="Times New Roman" w:hAnsi="Times New Roman"/>
          <w:b w:val="0"/>
          <w:bCs/>
          <w:sz w:val="22"/>
          <w:szCs w:val="22"/>
          <w:lang w:val="en-US" w:eastAsia="ja-JP"/>
        </w:rPr>
        <w:fldChar w:fldCharType="separate"/>
      </w:r>
      <w:r w:rsidR="001F1C0C" w:rsidRPr="00C40A28">
        <w:rPr>
          <w:rFonts w:ascii="Times New Roman" w:hAnsi="Times New Roman"/>
          <w:b w:val="0"/>
          <w:bCs/>
          <w:noProof/>
          <w:sz w:val="22"/>
          <w:szCs w:val="22"/>
          <w:lang w:val="en-US" w:eastAsia="ja-JP"/>
        </w:rPr>
        <w:t>[9]</w:t>
      </w:r>
      <w:r w:rsidR="001F1C0C" w:rsidRPr="00C40A28">
        <w:rPr>
          <w:rFonts w:ascii="Times New Roman" w:hAnsi="Times New Roman"/>
          <w:b w:val="0"/>
          <w:bCs/>
          <w:sz w:val="22"/>
          <w:szCs w:val="22"/>
          <w:lang w:val="en-US" w:eastAsia="ja-JP"/>
        </w:rPr>
        <w:fldChar w:fldCharType="end"/>
      </w:r>
      <w:r w:rsidR="0091620E" w:rsidRPr="00C40A28">
        <w:rPr>
          <w:rFonts w:ascii="Times New Roman" w:hAnsi="Times New Roman"/>
          <w:b w:val="0"/>
          <w:bCs/>
          <w:sz w:val="22"/>
          <w:szCs w:val="22"/>
          <w:lang w:val="en-US" w:eastAsia="ja-JP"/>
        </w:rPr>
        <w:t xml:space="preserve">. </w:t>
      </w:r>
      <w:r w:rsidR="006004A0" w:rsidRPr="00C40A28">
        <w:rPr>
          <w:rFonts w:ascii="Times New Roman" w:hAnsi="Times New Roman"/>
          <w:b w:val="0"/>
          <w:bCs/>
          <w:sz w:val="22"/>
          <w:szCs w:val="22"/>
          <w:lang w:val="en-US" w:eastAsia="ja-JP"/>
        </w:rPr>
        <w:t xml:space="preserve">Isotope-labelling studies </w:t>
      </w:r>
      <w:r w:rsidR="00A7671C" w:rsidRPr="00C40A28">
        <w:rPr>
          <w:rFonts w:ascii="Times New Roman" w:hAnsi="Times New Roman"/>
          <w:b w:val="0"/>
          <w:bCs/>
          <w:sz w:val="22"/>
          <w:szCs w:val="22"/>
          <w:lang w:val="en-US" w:eastAsia="ja-JP"/>
        </w:rPr>
        <w:t xml:space="preserve">related </w:t>
      </w:r>
      <w:r w:rsidR="00433F37" w:rsidRPr="00C40A28">
        <w:rPr>
          <w:rFonts w:ascii="Times New Roman" w:hAnsi="Times New Roman"/>
          <w:b w:val="0"/>
          <w:bCs/>
          <w:sz w:val="22"/>
          <w:szCs w:val="22"/>
          <w:lang w:val="en-US" w:eastAsia="ja-JP"/>
        </w:rPr>
        <w:t xml:space="preserve">fatty acids to </w:t>
      </w:r>
      <w:r w:rsidR="00E14CC6" w:rsidRPr="00C40A28">
        <w:rPr>
          <w:rFonts w:ascii="Times New Roman" w:hAnsi="Times New Roman"/>
          <w:b w:val="0"/>
          <w:bCs/>
          <w:sz w:val="22"/>
          <w:szCs w:val="22"/>
          <w:lang w:val="en-US" w:eastAsia="ja-JP"/>
        </w:rPr>
        <w:t>hepatic</w:t>
      </w:r>
      <w:r w:rsidR="006004A0" w:rsidRPr="00C40A28">
        <w:rPr>
          <w:rFonts w:ascii="Times New Roman" w:hAnsi="Times New Roman"/>
          <w:b w:val="0"/>
          <w:bCs/>
          <w:sz w:val="22"/>
          <w:szCs w:val="22"/>
          <w:lang w:val="en-US" w:eastAsia="ja-JP"/>
        </w:rPr>
        <w:t xml:space="preserve"> DNL</w:t>
      </w:r>
      <w:r w:rsidR="00A7671C" w:rsidRPr="00C40A28">
        <w:rPr>
          <w:rFonts w:ascii="Times New Roman" w:hAnsi="Times New Roman"/>
          <w:b w:val="0"/>
          <w:bCs/>
          <w:sz w:val="22"/>
          <w:szCs w:val="22"/>
          <w:lang w:val="en-US" w:eastAsia="ja-JP"/>
        </w:rPr>
        <w:t xml:space="preserve"> activity</w:t>
      </w:r>
      <w:r w:rsidR="0075078C" w:rsidRPr="00C40A28">
        <w:rPr>
          <w:rFonts w:ascii="Times New Roman" w:hAnsi="Times New Roman"/>
          <w:b w:val="0"/>
          <w:bCs/>
          <w:sz w:val="22"/>
          <w:szCs w:val="22"/>
          <w:lang w:val="en-US" w:eastAsia="ja-JP"/>
        </w:rPr>
        <w:t xml:space="preserve"> and showed </w:t>
      </w:r>
      <w:r w:rsidR="00433F37" w:rsidRPr="00C40A28">
        <w:rPr>
          <w:rFonts w:ascii="Times New Roman" w:hAnsi="Times New Roman"/>
          <w:b w:val="0"/>
          <w:bCs/>
          <w:sz w:val="22"/>
          <w:szCs w:val="22"/>
          <w:lang w:val="en-US" w:eastAsia="ja-JP"/>
        </w:rPr>
        <w:t>variable</w:t>
      </w:r>
      <w:r w:rsidR="0075078C" w:rsidRPr="00C40A28">
        <w:rPr>
          <w:rFonts w:ascii="Times New Roman" w:hAnsi="Times New Roman"/>
          <w:b w:val="0"/>
          <w:bCs/>
          <w:sz w:val="22"/>
          <w:szCs w:val="22"/>
          <w:lang w:val="en-US" w:eastAsia="ja-JP"/>
        </w:rPr>
        <w:t xml:space="preserve"> responses </w:t>
      </w:r>
      <w:r w:rsidR="00433F37" w:rsidRPr="00C40A28">
        <w:rPr>
          <w:rFonts w:ascii="Times New Roman" w:hAnsi="Times New Roman"/>
          <w:b w:val="0"/>
          <w:bCs/>
          <w:sz w:val="22"/>
          <w:szCs w:val="22"/>
          <w:lang w:val="en-US" w:eastAsia="ja-JP"/>
        </w:rPr>
        <w:t xml:space="preserve">of specific fatty acids </w:t>
      </w:r>
      <w:r w:rsidR="0075078C" w:rsidRPr="00C40A28">
        <w:rPr>
          <w:rFonts w:ascii="Times New Roman" w:hAnsi="Times New Roman"/>
          <w:b w:val="0"/>
          <w:bCs/>
          <w:sz w:val="22"/>
          <w:szCs w:val="22"/>
          <w:lang w:val="en-US" w:eastAsia="ja-JP"/>
        </w:rPr>
        <w:t>to a diet</w:t>
      </w:r>
      <w:r w:rsidR="00E33689">
        <w:rPr>
          <w:rFonts w:ascii="Times New Roman" w:hAnsi="Times New Roman"/>
          <w:b w:val="0"/>
          <w:bCs/>
          <w:sz w:val="22"/>
          <w:szCs w:val="22"/>
          <w:lang w:val="en-US" w:eastAsia="ja-JP"/>
        </w:rPr>
        <w:t xml:space="preserve"> </w:t>
      </w:r>
      <w:r w:rsidR="001F1C0C" w:rsidRPr="00C40A28">
        <w:rPr>
          <w:rFonts w:ascii="Times New Roman" w:hAnsi="Times New Roman"/>
          <w:b w:val="0"/>
          <w:bCs/>
          <w:sz w:val="22"/>
          <w:szCs w:val="22"/>
          <w:lang w:val="en-US" w:eastAsia="ja-JP"/>
        </w:rPr>
        <w:fldChar w:fldCharType="begin" w:fldLock="1"/>
      </w:r>
      <w:r w:rsidR="001A6E99" w:rsidRPr="00C40A28">
        <w:rPr>
          <w:rFonts w:ascii="Times New Roman" w:hAnsi="Times New Roman"/>
          <w:b w:val="0"/>
          <w:bCs/>
          <w:sz w:val="22"/>
          <w:szCs w:val="22"/>
          <w:lang w:val="en-US" w:eastAsia="ja-JP"/>
        </w:rPr>
        <w:instrText>ADDIN CSL_CITATION {"citationItems":[{"id":"ITEM-1","itemData":{"DOI":"10.1093/ajcn/nqy304","ISSN":"0002-9165","author":[{"dropping-particle":"","family":"Rosqvist","given":"Fredrik","non-dropping-particle":"","parse-names":false,"suffix":""},{"dropping-particle":"","family":"McNeil","given":"Catriona A","non-dropping-particle":"","parse-names":false,"suffix":""},{"dropping-particle":"","family":"Pramfalk","given":"Camilla","non-dropping-particle":"","parse-names":false,"suffix":""},{"dropping-particle":"","family":"Parry","given":"Sion A","non-dropping-particle":"","parse-names":false,"suffix":""},{"dropping-particle":"","family":"Low","given":"Wee Suan","non-dropping-particle":"","parse-names":false,"suffix":""},{"dropping-particle":"","family":"Cornfield","given":"Thomas","non-dropping-particle":"","parse-names":false,"suffix":""},{"dropping-particle":"","family":"Fielding","given":"Barbara A","non-dropping-particle":"","parse-names":false,"suffix":""},{"dropping-particle":"","family":"Hodson","given":"Leanne","non-dropping-particle":"","parse-names":false,"suffix":""}],"container-title":"Am J Clin Nutr","id":"ITEM-1","issue":"2","issued":{"date-parts":[["2019","2","1"]]},"page":"260-268","title":"Fasting hepatic de novo lipogenesis is not reliably assessed using circulating fatty acid markers","type":"article-journal","volume":"109"},"uris":["http://www.mendeley.com/documents/?uuid=c247f50e-7b2a-4547-973d-2b021443a9d9"]}],"mendeley":{"formattedCitation":"[48]","plainTextFormattedCitation":"[48]","previouslyFormattedCitation":"[48]"},"properties":{"noteIndex":0},"schema":"https://github.com/citation-style-language/schema/raw/master/csl-citation.json"}</w:instrText>
      </w:r>
      <w:r w:rsidR="001F1C0C" w:rsidRPr="00C40A28">
        <w:rPr>
          <w:rFonts w:ascii="Times New Roman" w:hAnsi="Times New Roman"/>
          <w:b w:val="0"/>
          <w:bCs/>
          <w:sz w:val="22"/>
          <w:szCs w:val="22"/>
          <w:lang w:val="en-US" w:eastAsia="ja-JP"/>
        </w:rPr>
        <w:fldChar w:fldCharType="separate"/>
      </w:r>
      <w:r w:rsidR="001A6E99" w:rsidRPr="00C40A28">
        <w:rPr>
          <w:rFonts w:ascii="Times New Roman" w:hAnsi="Times New Roman"/>
          <w:b w:val="0"/>
          <w:bCs/>
          <w:noProof/>
          <w:sz w:val="22"/>
          <w:szCs w:val="22"/>
          <w:lang w:val="en-US" w:eastAsia="ja-JP"/>
        </w:rPr>
        <w:t>[48]</w:t>
      </w:r>
      <w:r w:rsidR="001F1C0C" w:rsidRPr="00C40A28">
        <w:rPr>
          <w:rFonts w:ascii="Times New Roman" w:hAnsi="Times New Roman"/>
          <w:b w:val="0"/>
          <w:bCs/>
          <w:sz w:val="22"/>
          <w:szCs w:val="22"/>
          <w:lang w:val="en-US" w:eastAsia="ja-JP"/>
        </w:rPr>
        <w:fldChar w:fldCharType="end"/>
      </w:r>
      <w:r w:rsidR="0075078C" w:rsidRPr="00C40A28">
        <w:rPr>
          <w:rFonts w:ascii="Times New Roman" w:hAnsi="Times New Roman"/>
          <w:b w:val="0"/>
          <w:bCs/>
          <w:sz w:val="22"/>
          <w:szCs w:val="22"/>
          <w:lang w:val="en-US" w:eastAsia="ja-JP"/>
        </w:rPr>
        <w:t>.</w:t>
      </w:r>
      <w:r w:rsidR="00433F37" w:rsidRPr="00C40A28">
        <w:rPr>
          <w:rFonts w:ascii="Times New Roman" w:hAnsi="Times New Roman"/>
          <w:b w:val="0"/>
          <w:bCs/>
          <w:sz w:val="22"/>
          <w:szCs w:val="22"/>
          <w:lang w:val="en-US" w:eastAsia="ja-JP"/>
        </w:rPr>
        <w:t xml:space="preserve"> </w:t>
      </w:r>
      <w:r w:rsidR="0075078C" w:rsidRPr="00C40A28">
        <w:rPr>
          <w:rFonts w:ascii="Times New Roman" w:hAnsi="Times New Roman"/>
          <w:b w:val="0"/>
          <w:bCs/>
          <w:sz w:val="22"/>
          <w:szCs w:val="22"/>
          <w:lang w:val="en-US" w:eastAsia="ja-JP"/>
        </w:rPr>
        <w:t xml:space="preserve">However, those </w:t>
      </w:r>
      <w:r w:rsidR="006004A0" w:rsidRPr="00C40A28">
        <w:rPr>
          <w:rFonts w:ascii="Times New Roman" w:hAnsi="Times New Roman"/>
          <w:b w:val="0"/>
          <w:bCs/>
          <w:sz w:val="22"/>
          <w:szCs w:val="22"/>
          <w:lang w:val="en-US" w:eastAsia="ja-JP"/>
        </w:rPr>
        <w:t xml:space="preserve">observations tend to have </w:t>
      </w:r>
      <w:r w:rsidR="0075078C" w:rsidRPr="00C40A28">
        <w:rPr>
          <w:rFonts w:ascii="Times New Roman" w:hAnsi="Times New Roman"/>
          <w:b w:val="0"/>
          <w:bCs/>
          <w:sz w:val="22"/>
          <w:szCs w:val="22"/>
          <w:lang w:val="en-US" w:eastAsia="ja-JP"/>
        </w:rPr>
        <w:t>been limited</w:t>
      </w:r>
      <w:r w:rsidR="006004A0" w:rsidRPr="00C40A28">
        <w:rPr>
          <w:rFonts w:ascii="Times New Roman" w:hAnsi="Times New Roman"/>
          <w:b w:val="0"/>
          <w:bCs/>
          <w:sz w:val="22"/>
          <w:szCs w:val="22"/>
          <w:lang w:val="en-US" w:eastAsia="ja-JP"/>
        </w:rPr>
        <w:t xml:space="preserve"> in size </w:t>
      </w:r>
      <w:r w:rsidR="0091620E" w:rsidRPr="00C40A28">
        <w:rPr>
          <w:rFonts w:ascii="Times New Roman" w:hAnsi="Times New Roman"/>
          <w:b w:val="0"/>
          <w:bCs/>
          <w:sz w:val="22"/>
          <w:szCs w:val="22"/>
          <w:lang w:val="en-US" w:eastAsia="ja-JP"/>
        </w:rPr>
        <w:t>(</w:t>
      </w:r>
      <w:r w:rsidR="001F1C0C" w:rsidRPr="00C40A28">
        <w:rPr>
          <w:rFonts w:ascii="Times New Roman" w:hAnsi="Times New Roman"/>
          <w:b w:val="0"/>
          <w:bCs/>
          <w:sz w:val="22"/>
          <w:szCs w:val="22"/>
          <w:lang w:val="en-US" w:eastAsia="ja-JP"/>
        </w:rPr>
        <w:t>e.g. ~</w:t>
      </w:r>
      <w:r w:rsidR="0091620E" w:rsidRPr="00C40A28">
        <w:rPr>
          <w:rFonts w:ascii="Times New Roman" w:hAnsi="Times New Roman"/>
          <w:b w:val="0"/>
          <w:bCs/>
          <w:sz w:val="22"/>
          <w:szCs w:val="22"/>
          <w:lang w:val="en-US" w:eastAsia="ja-JP"/>
        </w:rPr>
        <w:t xml:space="preserve">20 </w:t>
      </w:r>
      <w:r w:rsidR="001F1C0C" w:rsidRPr="00C40A28">
        <w:rPr>
          <w:rFonts w:ascii="Times New Roman" w:hAnsi="Times New Roman"/>
          <w:b w:val="0"/>
          <w:bCs/>
          <w:sz w:val="22"/>
          <w:szCs w:val="22"/>
          <w:lang w:val="en-US" w:eastAsia="ja-JP"/>
        </w:rPr>
        <w:t xml:space="preserve">adults </w:t>
      </w:r>
      <w:r w:rsidR="0091620E" w:rsidRPr="00C40A28">
        <w:rPr>
          <w:rFonts w:ascii="Times New Roman" w:hAnsi="Times New Roman"/>
          <w:b w:val="0"/>
          <w:bCs/>
          <w:sz w:val="22"/>
          <w:szCs w:val="22"/>
          <w:lang w:val="en-US" w:eastAsia="ja-JP"/>
        </w:rPr>
        <w:t xml:space="preserve">in detailed assessments) </w:t>
      </w:r>
      <w:r w:rsidR="006004A0" w:rsidRPr="00C40A28">
        <w:rPr>
          <w:rFonts w:ascii="Times New Roman" w:hAnsi="Times New Roman"/>
          <w:b w:val="0"/>
          <w:bCs/>
          <w:sz w:val="22"/>
          <w:szCs w:val="22"/>
          <w:lang w:val="en-US" w:eastAsia="ja-JP"/>
        </w:rPr>
        <w:t xml:space="preserve">and </w:t>
      </w:r>
      <w:r w:rsidR="005E0611" w:rsidRPr="00C40A28">
        <w:rPr>
          <w:rFonts w:ascii="Times New Roman" w:hAnsi="Times New Roman"/>
          <w:b w:val="0"/>
          <w:bCs/>
          <w:sz w:val="22"/>
          <w:szCs w:val="22"/>
          <w:lang w:val="en-US" w:eastAsia="ja-JP"/>
        </w:rPr>
        <w:t xml:space="preserve">represent </w:t>
      </w:r>
      <w:r w:rsidR="006004A0" w:rsidRPr="00C40A28">
        <w:rPr>
          <w:rFonts w:ascii="Times New Roman" w:hAnsi="Times New Roman"/>
          <w:b w:val="0"/>
          <w:bCs/>
          <w:sz w:val="22"/>
          <w:szCs w:val="22"/>
          <w:lang w:val="en-US" w:eastAsia="ja-JP"/>
        </w:rPr>
        <w:t>an acute dietary effect on hepatic DNL</w:t>
      </w:r>
      <w:r w:rsidR="00433F37" w:rsidRPr="00C40A28">
        <w:rPr>
          <w:rFonts w:ascii="Times New Roman" w:hAnsi="Times New Roman"/>
          <w:b w:val="0"/>
          <w:bCs/>
          <w:sz w:val="22"/>
          <w:szCs w:val="22"/>
          <w:lang w:val="en-US" w:eastAsia="ja-JP"/>
        </w:rPr>
        <w:t xml:space="preserve"> (a single </w:t>
      </w:r>
      <w:r w:rsidR="00E14CC6" w:rsidRPr="00C40A28">
        <w:rPr>
          <w:rFonts w:ascii="Times New Roman" w:hAnsi="Times New Roman"/>
          <w:b w:val="0"/>
          <w:bCs/>
          <w:sz w:val="22"/>
          <w:szCs w:val="22"/>
          <w:lang w:val="en-US" w:eastAsia="ja-JP"/>
        </w:rPr>
        <w:t xml:space="preserve">meal </w:t>
      </w:r>
      <w:r w:rsidR="00433F37" w:rsidRPr="00C40A28">
        <w:rPr>
          <w:rFonts w:ascii="Times New Roman" w:hAnsi="Times New Roman"/>
          <w:b w:val="0"/>
          <w:bCs/>
          <w:sz w:val="22"/>
          <w:szCs w:val="22"/>
          <w:lang w:val="en-US" w:eastAsia="ja-JP"/>
        </w:rPr>
        <w:t>to a few days)</w:t>
      </w:r>
      <w:r w:rsidR="0075078C" w:rsidRPr="00C40A28">
        <w:rPr>
          <w:rFonts w:ascii="Times New Roman" w:hAnsi="Times New Roman"/>
          <w:b w:val="0"/>
          <w:bCs/>
          <w:sz w:val="22"/>
          <w:szCs w:val="22"/>
          <w:lang w:val="en-US" w:eastAsia="ja-JP"/>
        </w:rPr>
        <w:t xml:space="preserve">, </w:t>
      </w:r>
      <w:r w:rsidR="005E0611" w:rsidRPr="00C40A28">
        <w:rPr>
          <w:rFonts w:ascii="Times New Roman" w:hAnsi="Times New Roman"/>
          <w:b w:val="0"/>
          <w:bCs/>
          <w:sz w:val="22"/>
          <w:szCs w:val="22"/>
          <w:lang w:val="en-US" w:eastAsia="ja-JP"/>
        </w:rPr>
        <w:t xml:space="preserve">not representing </w:t>
      </w:r>
      <w:r w:rsidR="00187BAF" w:rsidRPr="00C40A28">
        <w:rPr>
          <w:rFonts w:ascii="Times New Roman" w:hAnsi="Times New Roman"/>
          <w:b w:val="0"/>
          <w:bCs/>
          <w:sz w:val="22"/>
          <w:szCs w:val="22"/>
          <w:lang w:val="en-US" w:eastAsia="ja-JP"/>
        </w:rPr>
        <w:t xml:space="preserve">a long-term effect or </w:t>
      </w:r>
      <w:r w:rsidR="0075078C" w:rsidRPr="00C40A28">
        <w:rPr>
          <w:rFonts w:ascii="Times New Roman" w:hAnsi="Times New Roman"/>
          <w:b w:val="0"/>
          <w:bCs/>
          <w:sz w:val="22"/>
          <w:szCs w:val="22"/>
          <w:lang w:val="en-US" w:eastAsia="ja-JP"/>
        </w:rPr>
        <w:t xml:space="preserve">fatty acids exchanged between </w:t>
      </w:r>
      <w:r w:rsidR="00433F37" w:rsidRPr="00C40A28">
        <w:rPr>
          <w:rFonts w:ascii="Times New Roman" w:hAnsi="Times New Roman"/>
          <w:b w:val="0"/>
          <w:bCs/>
          <w:sz w:val="22"/>
          <w:szCs w:val="22"/>
          <w:lang w:val="en-US" w:eastAsia="ja-JP"/>
        </w:rPr>
        <w:t xml:space="preserve">circulating </w:t>
      </w:r>
      <w:r w:rsidR="00187BAF" w:rsidRPr="00C40A28">
        <w:rPr>
          <w:rFonts w:ascii="Times New Roman" w:hAnsi="Times New Roman"/>
          <w:b w:val="0"/>
          <w:bCs/>
          <w:sz w:val="22"/>
          <w:szCs w:val="22"/>
          <w:lang w:val="en-US" w:eastAsia="ja-JP"/>
        </w:rPr>
        <w:t>lipids</w:t>
      </w:r>
      <w:r w:rsidR="00433F37" w:rsidRPr="00C40A28">
        <w:rPr>
          <w:rFonts w:ascii="Times New Roman" w:hAnsi="Times New Roman"/>
          <w:b w:val="0"/>
          <w:bCs/>
          <w:sz w:val="22"/>
          <w:szCs w:val="22"/>
          <w:lang w:val="en-US" w:eastAsia="ja-JP"/>
        </w:rPr>
        <w:t xml:space="preserve"> and cells</w:t>
      </w:r>
      <w:r w:rsidR="001F1C0C" w:rsidRPr="00C40A28">
        <w:rPr>
          <w:rFonts w:ascii="Times New Roman" w:hAnsi="Times New Roman"/>
          <w:b w:val="0"/>
          <w:bCs/>
          <w:sz w:val="22"/>
          <w:szCs w:val="22"/>
          <w:lang w:val="en-US" w:eastAsia="ja-JP"/>
        </w:rPr>
        <w:t xml:space="preserve"> </w:t>
      </w:r>
      <w:r w:rsidR="001F1C0C" w:rsidRPr="00C40A28">
        <w:rPr>
          <w:rFonts w:ascii="Times New Roman" w:hAnsi="Times New Roman"/>
          <w:b w:val="0"/>
          <w:bCs/>
          <w:sz w:val="22"/>
          <w:szCs w:val="22"/>
          <w:lang w:val="en-US" w:eastAsia="ja-JP"/>
        </w:rPr>
        <w:fldChar w:fldCharType="begin" w:fldLock="1"/>
      </w:r>
      <w:r w:rsidR="001A6E99" w:rsidRPr="00C40A28">
        <w:rPr>
          <w:rFonts w:ascii="Times New Roman" w:hAnsi="Times New Roman"/>
          <w:b w:val="0"/>
          <w:bCs/>
          <w:sz w:val="22"/>
          <w:szCs w:val="22"/>
          <w:lang w:val="en-US" w:eastAsia="ja-JP"/>
        </w:rPr>
        <w:instrText>ADDIN CSL_CITATION {"citationItems":[{"id":"ITEM-1","itemData":{"DOI":"10.1093/ajcn/nqy304","ISSN":"0002-9165","author":[{"dropping-particle":"","family":"Rosqvist","given":"Fredrik","non-dropping-particle":"","parse-names":false,"suffix":""},{"dropping-particle":"","family":"McNeil","given":"Catriona A","non-dropping-particle":"","parse-names":false,"suffix":""},{"dropping-particle":"","family":"Pramfalk","given":"Camilla","non-dropping-particle":"","parse-names":false,"suffix":""},{"dropping-particle":"","family":"Parry","given":"Sion A","non-dropping-particle":"","parse-names":false,"suffix":""},{"dropping-particle":"","family":"Low","given":"Wee Suan","non-dropping-particle":"","parse-names":false,"suffix":""},{"dropping-particle":"","family":"Cornfield","given":"Thomas","non-dropping-particle":"","parse-names":false,"suffix":""},{"dropping-particle":"","family":"Fielding","given":"Barbara A","non-dropping-particle":"","parse-names":false,"suffix":""},{"dropping-particle":"","family":"Hodson","given":"Leanne","non-dropping-particle":"","parse-names":false,"suffix":""}],"container-title":"Am J Clin Nutr","id":"ITEM-1","issue":"2","issued":{"date-parts":[["2019","2","1"]]},"page":"260-268","title":"Fasting hepatic de novo lipogenesis is not reliably assessed using circulating fatty acid markers","type":"article-journal","volume":"109"},"uris":["http://www.mendeley.com/documents/?uuid=c247f50e-7b2a-4547-973d-2b021443a9d9"]},{"id":"ITEM-2","itemData":{"DOI":"10.1002/(SICI)1096-9888(199701)32:1&lt;81::AID-JMS454&gt;3.0.CO;2-2","ISSN":"1076-5174","PMID":"9008871","abstract":"Lipogenesis and cholesterol synthesis can be studied by measuring the incorporation into fatty acids and cholesterol of deuterium from deuterated water. This has been previously achieved in human subjects using low levels of deuterium enrichment in plasma water, and thus in fatty acids and cholesterol. For the measurement of enrichment in lipids, this required the use of isotope ratio mass spectrometry, a tedious and time-consuming technique. It is shown that these measurements can be performed using the much simpler gas chromatography/mass spectrometry if higher, but always safe, deuterium enrichments in plasma water are obtained. Normal subjects ingested deuterated water in order to obtain stable enrichment in plasma water of 0.3% during a 60 h period. Enrichment in palmitate of plasma triglycerides (TG) plateaued (0.6-0.76%) whereas plasma cholesterol enrichment increased progressively [0.32 +/- 0.08% (12 h) to 0.78 +/- 0.18% (60 h)]. Endogenous synthesis was estimated to contribute, in post-absorptive subjects, 8-10% of the plasma TG pool and 3-5% of plasma free cholesterol pool. These data agree with results obtained previously using isotope ratio mass spectrometry. The present method will be useful for studies of normal and abnormal lipid metabolism in humans.","author":[{"dropping-particle":"","family":"Diraison","given":"F","non-dropping-particle":"","parse-names":false,"suffix":""},{"dropping-particle":"","family":"Pachiaudi","given":"C","non-dropping-particle":"","parse-names":false,"suffix":""},{"dropping-particle":"","family":"Beylot","given":"M","non-dropping-particle":"","parse-names":false,"suffix":""}],"container-title":"J Mass Spectrometry","id":"ITEM-2","issue":"1","issued":{"date-parts":[["1997","1"]]},"page":"81-6","title":"Measuring lipogenesis and cholesterol synthesis in humans with deuterated water: use of simple gas chromatographic/mass spectrometric techniques.","type":"article-journal","volume":"32"},"uris":["http://www.mendeley.com/documents/?uuid=a330d71b-4b74-468c-ab3e-0cadaec50457"]}],"mendeley":{"formattedCitation":"[48,49]","plainTextFormattedCitation":"[48,49]","previouslyFormattedCitation":"[48,49]"},"properties":{"noteIndex":0},"schema":"https://github.com/citation-style-language/schema/raw/master/csl-citation.json"}</w:instrText>
      </w:r>
      <w:r w:rsidR="001F1C0C" w:rsidRPr="00C40A28">
        <w:rPr>
          <w:rFonts w:ascii="Times New Roman" w:hAnsi="Times New Roman"/>
          <w:b w:val="0"/>
          <w:bCs/>
          <w:sz w:val="22"/>
          <w:szCs w:val="22"/>
          <w:lang w:val="en-US" w:eastAsia="ja-JP"/>
        </w:rPr>
        <w:fldChar w:fldCharType="separate"/>
      </w:r>
      <w:r w:rsidR="001A6E99" w:rsidRPr="00C40A28">
        <w:rPr>
          <w:rFonts w:ascii="Times New Roman" w:hAnsi="Times New Roman"/>
          <w:b w:val="0"/>
          <w:bCs/>
          <w:noProof/>
          <w:sz w:val="22"/>
          <w:szCs w:val="22"/>
          <w:lang w:val="en-US" w:eastAsia="ja-JP"/>
        </w:rPr>
        <w:t>[48,49]</w:t>
      </w:r>
      <w:r w:rsidR="001F1C0C" w:rsidRPr="00C40A28">
        <w:rPr>
          <w:rFonts w:ascii="Times New Roman" w:hAnsi="Times New Roman"/>
          <w:b w:val="0"/>
          <w:bCs/>
          <w:sz w:val="22"/>
          <w:szCs w:val="22"/>
          <w:lang w:val="en-US" w:eastAsia="ja-JP"/>
        </w:rPr>
        <w:fldChar w:fldCharType="end"/>
      </w:r>
      <w:r w:rsidR="009471A8" w:rsidRPr="00C40A28">
        <w:rPr>
          <w:rFonts w:ascii="Times New Roman" w:hAnsi="Times New Roman"/>
          <w:b w:val="0"/>
          <w:bCs/>
          <w:sz w:val="22"/>
          <w:szCs w:val="22"/>
          <w:lang w:val="en-US" w:eastAsia="ja-JP"/>
        </w:rPr>
        <w:t>.</w:t>
      </w:r>
      <w:r w:rsidR="00895D4E" w:rsidRPr="00C40A28">
        <w:rPr>
          <w:rFonts w:ascii="Times New Roman" w:hAnsi="Times New Roman"/>
          <w:b w:val="0"/>
          <w:bCs/>
          <w:sz w:val="22"/>
          <w:szCs w:val="22"/>
          <w:lang w:val="en-US" w:eastAsia="ja-JP"/>
        </w:rPr>
        <w:t xml:space="preserve"> Additionally, </w:t>
      </w:r>
      <w:r w:rsidR="0091620E" w:rsidRPr="00C40A28">
        <w:rPr>
          <w:rFonts w:ascii="Times New Roman" w:hAnsi="Times New Roman"/>
          <w:b w:val="0"/>
          <w:bCs/>
          <w:sz w:val="22"/>
          <w:szCs w:val="22"/>
          <w:lang w:val="en-US" w:eastAsia="ja-JP"/>
        </w:rPr>
        <w:t xml:space="preserve">measures of the DNL-related fatty acids </w:t>
      </w:r>
      <w:r w:rsidR="00C972FE" w:rsidRPr="00C40A28">
        <w:rPr>
          <w:rFonts w:ascii="Times New Roman" w:hAnsi="Times New Roman"/>
          <w:b w:val="0"/>
          <w:bCs/>
          <w:sz w:val="22"/>
          <w:szCs w:val="22"/>
          <w:lang w:val="en-US" w:eastAsia="ja-JP"/>
        </w:rPr>
        <w:t>we</w:t>
      </w:r>
      <w:r w:rsidR="00895D4E" w:rsidRPr="00C40A28">
        <w:rPr>
          <w:rFonts w:ascii="Times New Roman" w:hAnsi="Times New Roman"/>
          <w:b w:val="0"/>
          <w:bCs/>
          <w:sz w:val="22"/>
          <w:szCs w:val="22"/>
          <w:lang w:val="en-US" w:eastAsia="ja-JP"/>
        </w:rPr>
        <w:t xml:space="preserve">re reproducible over years </w:t>
      </w:r>
      <w:r w:rsidR="0091620E" w:rsidRPr="00C40A28">
        <w:rPr>
          <w:rFonts w:ascii="Times New Roman" w:hAnsi="Times New Roman"/>
          <w:b w:val="0"/>
          <w:bCs/>
          <w:sz w:val="22"/>
          <w:szCs w:val="22"/>
          <w:lang w:val="en-US" w:eastAsia="ja-JP"/>
        </w:rPr>
        <w:t>(</w:t>
      </w:r>
      <w:r w:rsidR="00895D4E" w:rsidRPr="00C40A28">
        <w:rPr>
          <w:rFonts w:ascii="Times New Roman" w:hAnsi="Times New Roman"/>
          <w:b w:val="0"/>
          <w:bCs/>
          <w:sz w:val="22"/>
          <w:szCs w:val="22"/>
          <w:lang w:val="en-US" w:eastAsia="ja-JP"/>
        </w:rPr>
        <w:t xml:space="preserve">correlation </w:t>
      </w:r>
      <w:r w:rsidR="00E14CC6" w:rsidRPr="00C40A28">
        <w:rPr>
          <w:rFonts w:ascii="Times New Roman" w:hAnsi="Times New Roman"/>
          <w:b w:val="0"/>
          <w:bCs/>
          <w:sz w:val="22"/>
          <w:szCs w:val="22"/>
          <w:lang w:val="en-US" w:eastAsia="ja-JP"/>
        </w:rPr>
        <w:t>coefficients</w:t>
      </w:r>
      <w:r w:rsidR="00895D4E" w:rsidRPr="00C40A28">
        <w:rPr>
          <w:rFonts w:ascii="Times New Roman" w:hAnsi="Times New Roman"/>
          <w:b w:val="0"/>
          <w:bCs/>
          <w:sz w:val="22"/>
          <w:szCs w:val="22"/>
          <w:lang w:val="en-US" w:eastAsia="ja-JP"/>
        </w:rPr>
        <w:t>=</w:t>
      </w:r>
      <w:r w:rsidR="0091620E" w:rsidRPr="00C40A28">
        <w:rPr>
          <w:rFonts w:ascii="Times New Roman" w:hAnsi="Times New Roman"/>
          <w:b w:val="0"/>
          <w:bCs/>
          <w:sz w:val="22"/>
          <w:szCs w:val="22"/>
          <w:lang w:val="en-US" w:eastAsia="ja-JP"/>
        </w:rPr>
        <w:t xml:space="preserve">0.3 to 0.7 </w:t>
      </w:r>
      <w:r w:rsidR="0091620E" w:rsidRPr="00C40A28">
        <w:rPr>
          <w:rFonts w:ascii="Times New Roman" w:hAnsi="Times New Roman"/>
          <w:b w:val="0"/>
          <w:bCs/>
          <w:sz w:val="22"/>
          <w:szCs w:val="22"/>
          <w:lang w:val="en-US" w:eastAsia="ja-JP"/>
        </w:rPr>
        <w:lastRenderedPageBreak/>
        <w:t xml:space="preserve">over </w:t>
      </w:r>
      <w:r w:rsidR="006C6FD0" w:rsidRPr="00C40A28">
        <w:rPr>
          <w:rFonts w:ascii="Times New Roman" w:hAnsi="Times New Roman"/>
          <w:b w:val="0"/>
          <w:bCs/>
          <w:sz w:val="22"/>
          <w:szCs w:val="22"/>
          <w:lang w:val="en-US" w:eastAsia="ja-JP"/>
        </w:rPr>
        <w:t>five to eighteen</w:t>
      </w:r>
      <w:r w:rsidR="0091620E" w:rsidRPr="00C40A28">
        <w:rPr>
          <w:rFonts w:ascii="Times New Roman" w:hAnsi="Times New Roman"/>
          <w:b w:val="0"/>
          <w:bCs/>
          <w:sz w:val="22"/>
          <w:szCs w:val="22"/>
          <w:lang w:val="en-US" w:eastAsia="ja-JP"/>
        </w:rPr>
        <w:t xml:space="preserve"> years) in population-based cohorts</w:t>
      </w:r>
      <w:r w:rsidR="001F1C0C" w:rsidRPr="00C40A28">
        <w:rPr>
          <w:rFonts w:ascii="Times New Roman" w:hAnsi="Times New Roman"/>
          <w:b w:val="0"/>
          <w:bCs/>
          <w:sz w:val="22"/>
          <w:szCs w:val="22"/>
          <w:lang w:val="en-US" w:eastAsia="ja-JP"/>
        </w:rPr>
        <w:t xml:space="preserve"> </w:t>
      </w:r>
      <w:r w:rsidR="002A673B" w:rsidRPr="00C40A28">
        <w:rPr>
          <w:rFonts w:ascii="Times New Roman" w:hAnsi="Times New Roman"/>
          <w:b w:val="0"/>
          <w:bCs/>
          <w:sz w:val="22"/>
          <w:szCs w:val="22"/>
          <w:lang w:val="en-US" w:eastAsia="ja-JP"/>
        </w:rPr>
        <w:fldChar w:fldCharType="begin" w:fldLock="1"/>
      </w:r>
      <w:r w:rsidR="001A6E99" w:rsidRPr="00C40A28">
        <w:rPr>
          <w:rFonts w:ascii="Times New Roman" w:hAnsi="Times New Roman"/>
          <w:b w:val="0"/>
          <w:bCs/>
          <w:sz w:val="22"/>
          <w:szCs w:val="22"/>
          <w:lang w:val="en-US" w:eastAsia="ja-JP"/>
        </w:rPr>
        <w:instrText>ADDIN CSL_CITATION {"citationItems":[{"id":"ITEM-1","itemData":{"DOI":"10.1161/JAHA.119.012881","ISSN":"2047-9980","author":[{"dropping-particle":"","family":"Lai","given":"Heidi T.M.","non-dropping-particle":"","parse-names":false,"suffix":""},{"dropping-particle":"","family":"Oliveira Otto","given":"Marcia C.","non-dropping-particle":"de","parse-names":false,"suffix":""},{"dropping-particle":"","family":"Lee","given":"Yujin","non-dropping-particle":"","parse-names":false,"suffix":""},{"dropping-particle":"","family":"Wu","given":"Jason H.Y.","non-dropping-particle":"","parse-names":false,"suffix":""},{"dropping-particle":"","family":"Song","given":"Xiaoling","non-dropping-particle":"","parse-names":false,"suffix":""},{"dropping-particle":"","family":"King","given":"Irena B.","non-dropping-particle":"","parse-names":false,"suffix":""},{"dropping-particle":"","family":"Psaty","given":"Bruce M.","non-dropping-particle":"","parse-names":false,"suffix":""},{"dropping-particle":"","family":"Lemaitre","given":"Rozenn N.","non-dropping-particle":"","parse-names":false,"suffix":""},{"dropping-particle":"","family":"McKnight","given":"Barbara","non-dropping-particle":"","parse-names":false,"suffix":""},{"dropping-particle":"","family":"Siscovick","given":"David S.","non-dropping-particle":"","parse-names":false,"suffix":""},{"dropping-particle":"","family":"Mozaffarian","given":"Dariush","non-dropping-particle":"","parse-names":false,"suffix":""}],"container-title":"J Am Heart Assoc","id":"ITEM-1","issue":"22","issued":{"date-parts":[["2019","11","19"]]},"title":"Serial Plasma Phospholipid Fatty Acids in the De Novo Lipogenesis Pathway and Total Mortality, Cause</w:instrText>
      </w:r>
      <w:r w:rsidR="001A6E99" w:rsidRPr="00C40A28">
        <w:rPr>
          <w:rFonts w:ascii="Cambria Math" w:hAnsi="Cambria Math" w:cs="Cambria Math"/>
          <w:b w:val="0"/>
          <w:bCs/>
          <w:sz w:val="22"/>
          <w:szCs w:val="22"/>
          <w:lang w:val="en-US" w:eastAsia="ja-JP"/>
        </w:rPr>
        <w:instrText>‐</w:instrText>
      </w:r>
      <w:r w:rsidR="001A6E99" w:rsidRPr="00C40A28">
        <w:rPr>
          <w:rFonts w:ascii="Times New Roman" w:hAnsi="Times New Roman"/>
          <w:b w:val="0"/>
          <w:bCs/>
          <w:sz w:val="22"/>
          <w:szCs w:val="22"/>
          <w:lang w:val="en-US" w:eastAsia="ja-JP"/>
        </w:rPr>
        <w:instrText>Specific Mortality, and Cardiovascular Diseases in the Cardiovascular Health Study","type":"article-journal","volume":"8"},"uris":["http://www.mendeley.com/documents/?uuid=84407c36-bfae-4aaa-91d0-3c5b254a3c2e"]},{"id":"ITEM-2","itemData":{"DOI":"10.1093/ajcn/nqz030","ISSN":"0002-9165","PMID":"30982858","abstract":"BACKGROUND Saturated fatty acids (SFAs) of different chain lengths have unique metabolic and biological effects, and a small number of recent studies suggest that higher circulating concentrations of the very-long-chain SFAs (VLSFAs) arachidic acid (20:0), behenic acid (22:0), and lignoceric acid (24:0) are associated with a lower risk of diabetes. Confirmation of these findings in a large and diverse population is needed. OBJECTIVE We investigated the associations of circulating VLSFAs 20:0, 22:0, and 24:0 with incident type 2 diabetes in prospective studies. METHODS Twelve studies that are part of the Fatty Acids and Outcomes Research Consortium participated in the analysis. Using Cox or logistic regression within studies and an inverse-variance-weighted meta-analysis across studies, we examined the associations of VLSFAs 20:0, 22:0, and 24:0 with incident diabetes among 51,431 participants. RESULTS There were 14,276 cases of incident diabetes across participating studies. Higher circulating concentrations of 20:0, 22:0, and 24:0 were each associated with a lower risk of incident diabetes. Pooling across cohorts, the RR (95% CI) for incident diabetes comparing the 90th percentile to the 10th percentile was 0.78 (0.70, 0.87) for 20:0, 0.84 (0.77, 0.91) for 22:0, and 0.75 (0.69, 0.83) for 24:0 after adjustment for demographic, lifestyle, adiposity, and other health factors. Results were fully attenuated in exploratory models that adjusted for circulating 16:0 and triglycerides. CONCLUSIONS Results from this pooled analysis indicate that higher concentrations of circulating VLSFAs 20:0, 22:0, and 24:0 are each associated with a lower risk of diabetes.","author":[{"dropping-particle":"","family":"Zheng","given":"Ju-Sheng","non-dropping-particle":"","parse-names":false,"suffix":""},{"dropping-particle":"","family":"Imamura","given":"Fumiaki","non-dropping-particle":"","parse-names":false,"suffix":""},{"dropping-particle":"","family":"Sharp","given":"Stephen J","non-dropping-particle":"","parse-names":false,"suffix":""},{"dropping-particle":"","family":"Koulman","given":"Albert","non-dropping-particle":"","parse-names":false,"suffix":""},{"dropping-particle":"","family":"Griffin","given":"Julian L","non-dropping-particle":"","parse-names":false,"suffix":""},{"dropping-particle":"","family":"Mulligan","given":"Angela A","non-dropping-particle":"","parse-names":false,"suffix":""},{"dropping-particle":"","family":"Luben","given":"Robert","non-dropping-particle":"","parse-names":false,"suffix":""},{"dropping-particle":"","family":"Khaw","given":"Kay-Tee","non-dropping-particle":"","parse-names":false,"suffix":""},{"dropping-particle":"","family":"Wareham","given":"Nicholas J","non-dropping-particle":"","parse-names":false,"suffix":""},{"dropping-particle":"","family":"Forouhi","given":"Nita G","non-dropping-particle":"","parse-names":false,"suffix":""}],"container-title":"Am J Clin Nutr","id":"ITEM-2","issue":"6","issued":{"date-parts":[["2019","6","1"]]},"page":"1527-1534","title":"Changes in plasma phospholipid fatty acid profiles over 13 years and correlates of change: European Prospective Investigation into Cancer and Nutrition-Norfolk Study","type":"article-journal","volume":"109"},"uris":["http://www.mendeley.com/documents/?uuid=88152ed5-f520-4818-a13c-511deb690361"]}],"mendeley":{"formattedCitation":"[50,51]","plainTextFormattedCitation":"[50,51]","previouslyFormattedCitation":"[50,51]"},"properties":{"noteIndex":0},"schema":"https://github.com/citation-style-language/schema/raw/master/csl-citation.json"}</w:instrText>
      </w:r>
      <w:r w:rsidR="002A673B" w:rsidRPr="00C40A28">
        <w:rPr>
          <w:rFonts w:ascii="Times New Roman" w:hAnsi="Times New Roman"/>
          <w:b w:val="0"/>
          <w:bCs/>
          <w:sz w:val="22"/>
          <w:szCs w:val="22"/>
          <w:lang w:val="en-US" w:eastAsia="ja-JP"/>
        </w:rPr>
        <w:fldChar w:fldCharType="separate"/>
      </w:r>
      <w:r w:rsidR="001A6E99" w:rsidRPr="00C40A28">
        <w:rPr>
          <w:rFonts w:ascii="Times New Roman" w:hAnsi="Times New Roman"/>
          <w:b w:val="0"/>
          <w:bCs/>
          <w:noProof/>
          <w:sz w:val="22"/>
          <w:szCs w:val="22"/>
          <w:lang w:val="en-US" w:eastAsia="ja-JP"/>
        </w:rPr>
        <w:t>[50,51]</w:t>
      </w:r>
      <w:r w:rsidR="002A673B" w:rsidRPr="00C40A28">
        <w:rPr>
          <w:rFonts w:ascii="Times New Roman" w:hAnsi="Times New Roman"/>
          <w:b w:val="0"/>
          <w:bCs/>
          <w:sz w:val="22"/>
          <w:szCs w:val="22"/>
          <w:lang w:val="en-US" w:eastAsia="ja-JP"/>
        </w:rPr>
        <w:fldChar w:fldCharType="end"/>
      </w:r>
      <w:r w:rsidR="00895D4E" w:rsidRPr="00C40A28">
        <w:rPr>
          <w:rFonts w:ascii="Times New Roman" w:hAnsi="Times New Roman"/>
          <w:b w:val="0"/>
          <w:bCs/>
          <w:sz w:val="22"/>
          <w:szCs w:val="22"/>
          <w:lang w:val="en-US" w:eastAsia="ja-JP"/>
        </w:rPr>
        <w:t>. Therefore,</w:t>
      </w:r>
      <w:r w:rsidR="0091620E" w:rsidRPr="00C40A28">
        <w:rPr>
          <w:rFonts w:ascii="Times New Roman" w:hAnsi="Times New Roman"/>
          <w:b w:val="0"/>
          <w:bCs/>
          <w:sz w:val="22"/>
          <w:szCs w:val="22"/>
          <w:lang w:val="en-US" w:eastAsia="ja-JP"/>
        </w:rPr>
        <w:t xml:space="preserve"> </w:t>
      </w:r>
      <w:r w:rsidR="00C972FE" w:rsidRPr="00C40A28">
        <w:rPr>
          <w:rFonts w:ascii="Times New Roman" w:hAnsi="Times New Roman"/>
          <w:b w:val="0"/>
          <w:bCs/>
          <w:sz w:val="22"/>
          <w:szCs w:val="22"/>
          <w:lang w:val="en-US" w:eastAsia="ja-JP"/>
        </w:rPr>
        <w:t xml:space="preserve">while temporality </w:t>
      </w:r>
      <w:r w:rsidR="00672CAF" w:rsidRPr="00C40A28">
        <w:rPr>
          <w:rFonts w:ascii="Times New Roman" w:hAnsi="Times New Roman"/>
          <w:b w:val="0"/>
          <w:bCs/>
          <w:sz w:val="22"/>
          <w:szCs w:val="22"/>
          <w:lang w:val="en-US" w:eastAsia="ja-JP"/>
        </w:rPr>
        <w:t xml:space="preserve">of the DNL activity </w:t>
      </w:r>
      <w:r w:rsidR="00C972FE" w:rsidRPr="00C40A28">
        <w:rPr>
          <w:rFonts w:ascii="Times New Roman" w:hAnsi="Times New Roman"/>
          <w:b w:val="0"/>
          <w:bCs/>
          <w:sz w:val="22"/>
          <w:szCs w:val="22"/>
          <w:lang w:val="en-US" w:eastAsia="ja-JP"/>
        </w:rPr>
        <w:t xml:space="preserve">is not </w:t>
      </w:r>
      <w:r w:rsidR="001F1C0C" w:rsidRPr="00C40A28">
        <w:rPr>
          <w:rFonts w:ascii="Times New Roman" w:hAnsi="Times New Roman"/>
          <w:b w:val="0"/>
          <w:bCs/>
          <w:sz w:val="22"/>
          <w:szCs w:val="22"/>
          <w:lang w:val="en-US" w:eastAsia="ja-JP"/>
        </w:rPr>
        <w:t>clear</w:t>
      </w:r>
      <w:r w:rsidR="00E14CC6" w:rsidRPr="00C40A28">
        <w:rPr>
          <w:rFonts w:ascii="Times New Roman" w:hAnsi="Times New Roman"/>
          <w:b w:val="0"/>
          <w:bCs/>
          <w:sz w:val="22"/>
          <w:szCs w:val="22"/>
          <w:lang w:val="en-US" w:eastAsia="ja-JP"/>
        </w:rPr>
        <w:t xml:space="preserve"> </w:t>
      </w:r>
      <w:r w:rsidR="005E0611" w:rsidRPr="00C40A28">
        <w:rPr>
          <w:rFonts w:ascii="Times New Roman" w:hAnsi="Times New Roman"/>
          <w:b w:val="0"/>
          <w:bCs/>
          <w:sz w:val="22"/>
          <w:szCs w:val="22"/>
          <w:lang w:val="en-US" w:eastAsia="ja-JP"/>
        </w:rPr>
        <w:t xml:space="preserve">with </w:t>
      </w:r>
      <w:r w:rsidR="00E14CC6" w:rsidRPr="00C40A28">
        <w:rPr>
          <w:rFonts w:ascii="Times New Roman" w:hAnsi="Times New Roman"/>
          <w:b w:val="0"/>
          <w:bCs/>
          <w:sz w:val="22"/>
          <w:szCs w:val="22"/>
          <w:lang w:val="en-US" w:eastAsia="ja-JP"/>
        </w:rPr>
        <w:t>our exposure assessment</w:t>
      </w:r>
      <w:r w:rsidR="00C972FE" w:rsidRPr="00C40A28">
        <w:rPr>
          <w:rFonts w:ascii="Times New Roman" w:hAnsi="Times New Roman"/>
          <w:b w:val="0"/>
          <w:bCs/>
          <w:sz w:val="22"/>
          <w:szCs w:val="22"/>
          <w:lang w:val="en-US" w:eastAsia="ja-JP"/>
        </w:rPr>
        <w:t xml:space="preserve">, </w:t>
      </w:r>
      <w:r w:rsidR="0091620E" w:rsidRPr="00C40A28">
        <w:rPr>
          <w:rFonts w:ascii="Times New Roman" w:hAnsi="Times New Roman"/>
          <w:b w:val="0"/>
          <w:bCs/>
          <w:sz w:val="22"/>
          <w:szCs w:val="22"/>
          <w:lang w:val="en-US" w:eastAsia="ja-JP"/>
        </w:rPr>
        <w:t>the DNL-related fatty acids we evaluated are likely to</w:t>
      </w:r>
      <w:r w:rsidR="00895D4E" w:rsidRPr="00C40A28">
        <w:rPr>
          <w:rFonts w:ascii="Times New Roman" w:hAnsi="Times New Roman"/>
          <w:b w:val="0"/>
          <w:bCs/>
          <w:sz w:val="22"/>
          <w:szCs w:val="22"/>
          <w:lang w:val="en-US" w:eastAsia="ja-JP"/>
        </w:rPr>
        <w:t xml:space="preserve"> </w:t>
      </w:r>
      <w:r w:rsidR="001F1C0C" w:rsidRPr="00C40A28">
        <w:rPr>
          <w:rFonts w:ascii="Times New Roman" w:hAnsi="Times New Roman"/>
          <w:b w:val="0"/>
          <w:bCs/>
          <w:sz w:val="22"/>
          <w:szCs w:val="22"/>
          <w:lang w:val="en-US" w:eastAsia="ja-JP"/>
        </w:rPr>
        <w:t xml:space="preserve">have </w:t>
      </w:r>
      <w:r w:rsidR="00895D4E" w:rsidRPr="00C40A28">
        <w:rPr>
          <w:rFonts w:ascii="Times New Roman" w:hAnsi="Times New Roman"/>
          <w:b w:val="0"/>
          <w:bCs/>
          <w:sz w:val="22"/>
          <w:szCs w:val="22"/>
          <w:lang w:val="en-US" w:eastAsia="ja-JP"/>
        </w:rPr>
        <w:t>reflect</w:t>
      </w:r>
      <w:r w:rsidR="001F1C0C" w:rsidRPr="00C40A28">
        <w:rPr>
          <w:rFonts w:ascii="Times New Roman" w:hAnsi="Times New Roman"/>
          <w:b w:val="0"/>
          <w:bCs/>
          <w:sz w:val="22"/>
          <w:szCs w:val="22"/>
          <w:lang w:val="en-US" w:eastAsia="ja-JP"/>
        </w:rPr>
        <w:t>ed</w:t>
      </w:r>
      <w:r w:rsidR="00895D4E" w:rsidRPr="00C40A28">
        <w:rPr>
          <w:rFonts w:ascii="Times New Roman" w:hAnsi="Times New Roman"/>
          <w:b w:val="0"/>
          <w:bCs/>
          <w:sz w:val="22"/>
          <w:szCs w:val="22"/>
          <w:lang w:val="en-US" w:eastAsia="ja-JP"/>
        </w:rPr>
        <w:t xml:space="preserve"> a ‘usual’</w:t>
      </w:r>
      <w:r w:rsidR="0091620E" w:rsidRPr="00C40A28">
        <w:rPr>
          <w:rFonts w:ascii="Times New Roman" w:hAnsi="Times New Roman"/>
          <w:b w:val="0"/>
          <w:bCs/>
          <w:sz w:val="22"/>
          <w:szCs w:val="22"/>
          <w:lang w:val="en-US" w:eastAsia="ja-JP"/>
        </w:rPr>
        <w:t xml:space="preserve"> </w:t>
      </w:r>
      <w:r w:rsidR="005E0611" w:rsidRPr="00C40A28">
        <w:rPr>
          <w:rFonts w:ascii="Times New Roman" w:hAnsi="Times New Roman"/>
          <w:b w:val="0"/>
          <w:bCs/>
          <w:sz w:val="22"/>
          <w:szCs w:val="22"/>
          <w:lang w:val="en-US" w:eastAsia="ja-JP"/>
        </w:rPr>
        <w:t xml:space="preserve">or habitual lifestyle and metabolic status over </w:t>
      </w:r>
      <w:r w:rsidR="00895D4E" w:rsidRPr="00C40A28">
        <w:rPr>
          <w:rFonts w:ascii="Times New Roman" w:hAnsi="Times New Roman"/>
          <w:b w:val="0"/>
          <w:bCs/>
          <w:sz w:val="22"/>
          <w:szCs w:val="22"/>
          <w:lang w:val="en-US" w:eastAsia="ja-JP"/>
        </w:rPr>
        <w:t>years</w:t>
      </w:r>
      <w:r w:rsidR="0091620E" w:rsidRPr="00C40A28">
        <w:rPr>
          <w:rFonts w:ascii="Times New Roman" w:hAnsi="Times New Roman"/>
          <w:b w:val="0"/>
          <w:bCs/>
          <w:sz w:val="22"/>
          <w:szCs w:val="22"/>
          <w:lang w:val="en-US" w:eastAsia="ja-JP"/>
        </w:rPr>
        <w:t>.</w:t>
      </w:r>
      <w:r w:rsidR="00895D4E" w:rsidRPr="00C40A28">
        <w:rPr>
          <w:rFonts w:ascii="Times New Roman" w:hAnsi="Times New Roman"/>
          <w:b w:val="0"/>
          <w:bCs/>
          <w:sz w:val="22"/>
          <w:szCs w:val="22"/>
          <w:lang w:val="en-US" w:eastAsia="ja-JP"/>
        </w:rPr>
        <w:t xml:space="preserve"> </w:t>
      </w:r>
    </w:p>
    <w:p w14:paraId="5D8C1B3B" w14:textId="12421713" w:rsidR="00814362" w:rsidRPr="00C40A28" w:rsidRDefault="005809EC" w:rsidP="00924442">
      <w:pPr>
        <w:pStyle w:val="BodyTextIndent"/>
        <w:spacing w:line="480" w:lineRule="auto"/>
        <w:ind w:left="0" w:firstLine="567"/>
        <w:rPr>
          <w:rFonts w:ascii="Times New Roman" w:hAnsi="Times New Roman"/>
          <w:b w:val="0"/>
          <w:bCs/>
          <w:sz w:val="22"/>
          <w:szCs w:val="22"/>
          <w:lang w:val="en-US" w:eastAsia="ja-JP"/>
        </w:rPr>
      </w:pPr>
      <w:r w:rsidRPr="00C40A28">
        <w:rPr>
          <w:rFonts w:ascii="Times New Roman" w:hAnsi="Times New Roman"/>
          <w:b w:val="0"/>
          <w:bCs/>
          <w:sz w:val="22"/>
          <w:szCs w:val="22"/>
          <w:lang w:val="en-US" w:eastAsia="ja-JP"/>
        </w:rPr>
        <w:t>Statistical between</w:t>
      </w:r>
      <w:r w:rsidR="00814362" w:rsidRPr="00C40A28">
        <w:rPr>
          <w:rFonts w:ascii="Times New Roman" w:hAnsi="Times New Roman"/>
          <w:b w:val="0"/>
          <w:bCs/>
          <w:sz w:val="22"/>
          <w:szCs w:val="22"/>
          <w:lang w:val="en-US" w:eastAsia="ja-JP"/>
        </w:rPr>
        <w:t>-study heterogeneity was eviden</w:t>
      </w:r>
      <w:r w:rsidR="00992AB9" w:rsidRPr="00C40A28">
        <w:rPr>
          <w:rFonts w:ascii="Times New Roman" w:hAnsi="Times New Roman"/>
          <w:b w:val="0"/>
          <w:bCs/>
          <w:sz w:val="22"/>
          <w:szCs w:val="22"/>
          <w:lang w:val="en-US" w:eastAsia="ja-JP"/>
        </w:rPr>
        <w:t>t</w:t>
      </w:r>
      <w:r w:rsidR="00814362" w:rsidRPr="00C40A28">
        <w:rPr>
          <w:rFonts w:ascii="Times New Roman" w:hAnsi="Times New Roman"/>
          <w:b w:val="0"/>
          <w:bCs/>
          <w:sz w:val="22"/>
          <w:szCs w:val="22"/>
          <w:lang w:val="en-US" w:eastAsia="ja-JP"/>
        </w:rPr>
        <w:t xml:space="preserve"> </w:t>
      </w:r>
      <w:r w:rsidR="00992AB9" w:rsidRPr="00C40A28">
        <w:rPr>
          <w:rFonts w:ascii="Times New Roman" w:hAnsi="Times New Roman"/>
          <w:b w:val="0"/>
          <w:bCs/>
          <w:sz w:val="22"/>
          <w:szCs w:val="22"/>
          <w:lang w:val="en-US" w:eastAsia="ja-JP"/>
        </w:rPr>
        <w:t xml:space="preserve">but </w:t>
      </w:r>
      <w:r w:rsidR="00814362" w:rsidRPr="00C40A28">
        <w:rPr>
          <w:rFonts w:ascii="Times New Roman" w:hAnsi="Times New Roman"/>
          <w:b w:val="0"/>
          <w:bCs/>
          <w:sz w:val="22"/>
          <w:szCs w:val="22"/>
          <w:lang w:val="en-US" w:eastAsia="ja-JP"/>
        </w:rPr>
        <w:t>not explained</w:t>
      </w:r>
      <w:r w:rsidR="00992AB9" w:rsidRPr="00C40A28">
        <w:rPr>
          <w:rFonts w:ascii="Times New Roman" w:hAnsi="Times New Roman"/>
          <w:b w:val="0"/>
          <w:bCs/>
          <w:sz w:val="22"/>
          <w:szCs w:val="22"/>
          <w:lang w:val="en-US" w:eastAsia="ja-JP"/>
        </w:rPr>
        <w:t xml:space="preserve"> by measured characteristics</w:t>
      </w:r>
      <w:r w:rsidR="00525D98" w:rsidRPr="00C40A28">
        <w:rPr>
          <w:rFonts w:ascii="Times New Roman" w:hAnsi="Times New Roman"/>
          <w:b w:val="0"/>
          <w:bCs/>
          <w:sz w:val="22"/>
          <w:szCs w:val="22"/>
          <w:lang w:val="en-US" w:eastAsia="ja-JP"/>
        </w:rPr>
        <w:t xml:space="preserve"> except for the associations of 16:1n7 with T2D risk systematically varying by follow-up years.</w:t>
      </w:r>
      <w:r w:rsidR="00814362" w:rsidRPr="00C40A28">
        <w:rPr>
          <w:rFonts w:ascii="Times New Roman" w:hAnsi="Times New Roman"/>
          <w:b w:val="0"/>
          <w:bCs/>
          <w:sz w:val="22"/>
          <w:szCs w:val="22"/>
          <w:lang w:val="en-US" w:eastAsia="ja-JP"/>
        </w:rPr>
        <w:t xml:space="preserve"> </w:t>
      </w:r>
      <w:r w:rsidRPr="00C40A28">
        <w:rPr>
          <w:rFonts w:ascii="Times New Roman" w:hAnsi="Times New Roman"/>
          <w:b w:val="0"/>
          <w:bCs/>
          <w:sz w:val="22"/>
          <w:szCs w:val="22"/>
          <w:lang w:val="en-US" w:eastAsia="ja-JP"/>
        </w:rPr>
        <w:t>A</w:t>
      </w:r>
      <w:r w:rsidR="001612A7" w:rsidRPr="00C40A28">
        <w:rPr>
          <w:rFonts w:ascii="Times New Roman" w:hAnsi="Times New Roman"/>
          <w:b w:val="0"/>
          <w:bCs/>
          <w:sz w:val="22"/>
          <w:szCs w:val="22"/>
          <w:lang w:val="en-US" w:eastAsia="ja-JP"/>
        </w:rPr>
        <w:t xml:space="preserve"> limited number of cohorts </w:t>
      </w:r>
      <w:r w:rsidR="00D35C75" w:rsidRPr="00C40A28">
        <w:rPr>
          <w:rFonts w:ascii="Times New Roman" w:hAnsi="Times New Roman"/>
          <w:b w:val="0"/>
          <w:bCs/>
          <w:sz w:val="22"/>
          <w:szCs w:val="22"/>
          <w:lang w:val="en-US" w:eastAsia="ja-JP"/>
        </w:rPr>
        <w:t xml:space="preserve">investigated </w:t>
      </w:r>
      <w:r w:rsidRPr="00C40A28">
        <w:rPr>
          <w:rFonts w:ascii="Times New Roman" w:hAnsi="Times New Roman"/>
          <w:b w:val="0"/>
          <w:bCs/>
          <w:sz w:val="22"/>
          <w:szCs w:val="22"/>
          <w:lang w:val="en-US" w:eastAsia="ja-JP"/>
        </w:rPr>
        <w:t xml:space="preserve">certain lipid compartments such as </w:t>
      </w:r>
      <w:r w:rsidR="000057C5" w:rsidRPr="00C40A28">
        <w:rPr>
          <w:rFonts w:ascii="Times New Roman" w:hAnsi="Times New Roman"/>
          <w:b w:val="0"/>
          <w:bCs/>
          <w:sz w:val="22"/>
          <w:szCs w:val="22"/>
          <w:lang w:val="en-US" w:eastAsia="ja-JP"/>
        </w:rPr>
        <w:t xml:space="preserve">triglycerides and </w:t>
      </w:r>
      <w:r w:rsidR="00EC7DF3" w:rsidRPr="00C40A28">
        <w:rPr>
          <w:rFonts w:ascii="Times New Roman" w:hAnsi="Times New Roman"/>
          <w:b w:val="0"/>
          <w:bCs/>
          <w:sz w:val="22"/>
          <w:szCs w:val="22"/>
          <w:lang w:val="en-US" w:eastAsia="ja-JP"/>
        </w:rPr>
        <w:t>adipose tissue</w:t>
      </w:r>
      <w:r w:rsidR="0091620E" w:rsidRPr="00C40A28">
        <w:rPr>
          <w:rFonts w:ascii="Times New Roman" w:hAnsi="Times New Roman"/>
          <w:b w:val="0"/>
          <w:bCs/>
          <w:sz w:val="22"/>
          <w:szCs w:val="22"/>
          <w:lang w:val="en-US" w:eastAsia="ja-JP"/>
        </w:rPr>
        <w:t>; and laboratory settings were not standardized between cohorts</w:t>
      </w:r>
      <w:r w:rsidR="00EC7DF3" w:rsidRPr="00C40A28">
        <w:rPr>
          <w:rFonts w:ascii="Times New Roman" w:hAnsi="Times New Roman"/>
          <w:b w:val="0"/>
          <w:bCs/>
          <w:sz w:val="22"/>
          <w:szCs w:val="22"/>
          <w:lang w:val="en-US" w:eastAsia="ja-JP"/>
        </w:rPr>
        <w:t>.</w:t>
      </w:r>
      <w:r w:rsidR="006A430C">
        <w:rPr>
          <w:rFonts w:ascii="Times New Roman" w:hAnsi="Times New Roman"/>
          <w:b w:val="0"/>
          <w:bCs/>
          <w:sz w:val="22"/>
          <w:szCs w:val="22"/>
          <w:lang w:val="en-US" w:eastAsia="ja-JP"/>
        </w:rPr>
        <w:t xml:space="preserve"> </w:t>
      </w:r>
      <w:r w:rsidR="006412F6" w:rsidRPr="00C40A28">
        <w:rPr>
          <w:rFonts w:ascii="Times New Roman" w:hAnsi="Times New Roman"/>
          <w:b w:val="0"/>
          <w:bCs/>
          <w:sz w:val="22"/>
          <w:szCs w:val="22"/>
          <w:lang w:val="en-US" w:eastAsia="ja-JP"/>
        </w:rPr>
        <w:t>In addition, s</w:t>
      </w:r>
      <w:r w:rsidR="00083E69" w:rsidRPr="00C40A28">
        <w:rPr>
          <w:rFonts w:ascii="Times New Roman" w:hAnsi="Times New Roman"/>
          <w:b w:val="0"/>
          <w:bCs/>
          <w:sz w:val="22"/>
          <w:szCs w:val="22"/>
          <w:lang w:val="en-US" w:eastAsia="ja-JP"/>
        </w:rPr>
        <w:t>ome of the observed heterogeneity in this current study could reflect variation in lifestyle factors across the 17 studies.</w:t>
      </w:r>
      <w:r w:rsidR="006A430C">
        <w:rPr>
          <w:rFonts w:ascii="Times New Roman" w:hAnsi="Times New Roman"/>
          <w:b w:val="0"/>
          <w:bCs/>
          <w:sz w:val="22"/>
          <w:szCs w:val="22"/>
          <w:lang w:val="en-US" w:eastAsia="ja-JP"/>
        </w:rPr>
        <w:t xml:space="preserve"> </w:t>
      </w:r>
      <w:r w:rsidR="000057C5" w:rsidRPr="00C40A28">
        <w:rPr>
          <w:rFonts w:ascii="Times New Roman" w:hAnsi="Times New Roman"/>
          <w:b w:val="0"/>
          <w:bCs/>
          <w:sz w:val="22"/>
          <w:szCs w:val="22"/>
          <w:lang w:val="en-US" w:eastAsia="ja-JP"/>
        </w:rPr>
        <w:t xml:space="preserve">We did not </w:t>
      </w:r>
      <w:r w:rsidRPr="00C40A28">
        <w:rPr>
          <w:rFonts w:ascii="Times New Roman" w:hAnsi="Times New Roman"/>
          <w:b w:val="0"/>
          <w:bCs/>
          <w:sz w:val="22"/>
          <w:szCs w:val="22"/>
          <w:lang w:val="en-US" w:eastAsia="ja-JP"/>
        </w:rPr>
        <w:t xml:space="preserve">identify </w:t>
      </w:r>
      <w:r w:rsidR="000057C5" w:rsidRPr="00C40A28">
        <w:rPr>
          <w:rFonts w:ascii="Times New Roman" w:hAnsi="Times New Roman"/>
          <w:b w:val="0"/>
          <w:bCs/>
          <w:sz w:val="22"/>
          <w:szCs w:val="22"/>
          <w:lang w:val="en-US" w:eastAsia="ja-JP"/>
        </w:rPr>
        <w:t>significant heterogeneity by race/ethnic</w:t>
      </w:r>
      <w:r w:rsidR="00144214" w:rsidRPr="00C40A28">
        <w:rPr>
          <w:rFonts w:ascii="Times New Roman" w:hAnsi="Times New Roman"/>
          <w:b w:val="0"/>
          <w:bCs/>
          <w:sz w:val="22"/>
          <w:szCs w:val="22"/>
          <w:lang w:val="en-US" w:eastAsia="ja-JP"/>
        </w:rPr>
        <w:t>ity</w:t>
      </w:r>
      <w:r w:rsidR="000057C5" w:rsidRPr="00C40A28">
        <w:rPr>
          <w:rFonts w:ascii="Times New Roman" w:hAnsi="Times New Roman"/>
          <w:b w:val="0"/>
          <w:bCs/>
          <w:sz w:val="22"/>
          <w:szCs w:val="22"/>
          <w:lang w:val="en-US" w:eastAsia="ja-JP"/>
        </w:rPr>
        <w:t xml:space="preserve">, but </w:t>
      </w:r>
      <w:r w:rsidRPr="00C40A28">
        <w:rPr>
          <w:rFonts w:ascii="Times New Roman" w:hAnsi="Times New Roman"/>
          <w:b w:val="0"/>
          <w:bCs/>
          <w:sz w:val="22"/>
          <w:szCs w:val="22"/>
          <w:lang w:val="en-US" w:eastAsia="ja-JP"/>
        </w:rPr>
        <w:t>the number of participants of</w:t>
      </w:r>
      <w:r w:rsidR="000057C5" w:rsidRPr="00C40A28">
        <w:rPr>
          <w:rFonts w:ascii="Times New Roman" w:hAnsi="Times New Roman"/>
          <w:b w:val="0"/>
          <w:bCs/>
          <w:sz w:val="22"/>
          <w:szCs w:val="22"/>
          <w:lang w:val="en-US" w:eastAsia="ja-JP"/>
        </w:rPr>
        <w:t xml:space="preserve"> </w:t>
      </w:r>
      <w:r w:rsidR="00814362" w:rsidRPr="00C40A28">
        <w:rPr>
          <w:rFonts w:ascii="Times New Roman" w:hAnsi="Times New Roman"/>
          <w:b w:val="0"/>
          <w:bCs/>
          <w:sz w:val="22"/>
          <w:szCs w:val="22"/>
          <w:lang w:val="en-US" w:eastAsia="ja-JP"/>
        </w:rPr>
        <w:t>non</w:t>
      </w:r>
      <w:r w:rsidR="00CB4BEA" w:rsidRPr="00C40A28">
        <w:rPr>
          <w:rFonts w:ascii="Times New Roman" w:hAnsi="Times New Roman"/>
          <w:b w:val="0"/>
          <w:bCs/>
          <w:sz w:val="22"/>
          <w:szCs w:val="22"/>
          <w:lang w:val="en-US" w:eastAsia="ja-JP"/>
        </w:rPr>
        <w:t>-</w:t>
      </w:r>
      <w:r w:rsidR="00BA01B4" w:rsidRPr="00C40A28">
        <w:rPr>
          <w:rFonts w:ascii="Times New Roman" w:hAnsi="Times New Roman"/>
          <w:b w:val="0"/>
          <w:bCs/>
          <w:sz w:val="22"/>
          <w:szCs w:val="22"/>
          <w:lang w:val="en-US" w:eastAsia="ja-JP"/>
        </w:rPr>
        <w:t>European descent</w:t>
      </w:r>
      <w:r w:rsidR="00814362" w:rsidRPr="00C40A28">
        <w:rPr>
          <w:rFonts w:ascii="Times New Roman" w:hAnsi="Times New Roman"/>
          <w:b w:val="0"/>
          <w:bCs/>
          <w:sz w:val="22"/>
          <w:szCs w:val="22"/>
          <w:lang w:val="en-US" w:eastAsia="ja-JP"/>
        </w:rPr>
        <w:t xml:space="preserve"> </w:t>
      </w:r>
      <w:r w:rsidRPr="00C40A28">
        <w:rPr>
          <w:rFonts w:ascii="Times New Roman" w:hAnsi="Times New Roman"/>
          <w:b w:val="0"/>
          <w:bCs/>
          <w:sz w:val="22"/>
          <w:szCs w:val="22"/>
          <w:lang w:val="en-US" w:eastAsia="ja-JP"/>
        </w:rPr>
        <w:t>was relatively</w:t>
      </w:r>
      <w:r w:rsidR="000057C5" w:rsidRPr="00C40A28">
        <w:rPr>
          <w:rFonts w:ascii="Times New Roman" w:hAnsi="Times New Roman"/>
          <w:b w:val="0"/>
          <w:bCs/>
          <w:sz w:val="22"/>
          <w:szCs w:val="22"/>
          <w:lang w:val="en-US" w:eastAsia="ja-JP"/>
        </w:rPr>
        <w:t xml:space="preserve"> limited</w:t>
      </w:r>
      <w:r w:rsidR="00691713" w:rsidRPr="00C40A28">
        <w:rPr>
          <w:rFonts w:ascii="Times New Roman" w:hAnsi="Times New Roman"/>
          <w:b w:val="0"/>
          <w:bCs/>
          <w:sz w:val="22"/>
          <w:szCs w:val="22"/>
          <w:lang w:val="en-US" w:eastAsia="ja-JP"/>
        </w:rPr>
        <w:t>.</w:t>
      </w:r>
      <w:r w:rsidR="00DB78DC" w:rsidRPr="00C40A28">
        <w:rPr>
          <w:rFonts w:ascii="Times New Roman" w:hAnsi="Times New Roman"/>
          <w:b w:val="0"/>
          <w:bCs/>
          <w:sz w:val="22"/>
          <w:szCs w:val="22"/>
          <w:lang w:val="en-US" w:eastAsia="ja-JP"/>
        </w:rPr>
        <w:t xml:space="preserve"> </w:t>
      </w:r>
      <w:r w:rsidR="005E0611" w:rsidRPr="00C40A28">
        <w:rPr>
          <w:rFonts w:ascii="Times New Roman" w:hAnsi="Times New Roman"/>
          <w:b w:val="0"/>
          <w:bCs/>
          <w:sz w:val="22"/>
          <w:szCs w:val="22"/>
          <w:lang w:val="en-US" w:eastAsia="ja-JP"/>
        </w:rPr>
        <w:t xml:space="preserve">The inclusion of only a few cohorts of non-European descent and unknown sources of heterogeneity of the observed associations limit the generalizability of our findings. To better understand the generalizability of our findings and to understand sources of heterogeneity, </w:t>
      </w:r>
      <w:r w:rsidR="00083E69" w:rsidRPr="00C40A28">
        <w:rPr>
          <w:rFonts w:ascii="Times New Roman" w:hAnsi="Times New Roman"/>
          <w:b w:val="0"/>
          <w:bCs/>
          <w:sz w:val="22"/>
          <w:szCs w:val="22"/>
          <w:lang w:val="en-US" w:eastAsia="ja-JP"/>
        </w:rPr>
        <w:t>research</w:t>
      </w:r>
      <w:r w:rsidR="005E0611" w:rsidRPr="00C40A28">
        <w:rPr>
          <w:rFonts w:ascii="Times New Roman" w:hAnsi="Times New Roman"/>
          <w:b w:val="0"/>
          <w:bCs/>
          <w:sz w:val="22"/>
          <w:szCs w:val="22"/>
          <w:lang w:val="en-US" w:eastAsia="ja-JP"/>
        </w:rPr>
        <w:t xml:space="preserve"> in different populations with varying dietary practices</w:t>
      </w:r>
      <w:r w:rsidR="00083E69" w:rsidRPr="00C40A28">
        <w:rPr>
          <w:rFonts w:ascii="Times New Roman" w:hAnsi="Times New Roman"/>
          <w:b w:val="0"/>
          <w:bCs/>
          <w:sz w:val="22"/>
          <w:szCs w:val="22"/>
          <w:lang w:val="en-US" w:eastAsia="ja-JP"/>
        </w:rPr>
        <w:t xml:space="preserve"> is required</w:t>
      </w:r>
      <w:r w:rsidR="005E0611" w:rsidRPr="00C40A28">
        <w:rPr>
          <w:rFonts w:ascii="Times New Roman" w:hAnsi="Times New Roman"/>
          <w:b w:val="0"/>
          <w:bCs/>
          <w:sz w:val="22"/>
          <w:szCs w:val="22"/>
          <w:lang w:val="en-US" w:eastAsia="ja-JP"/>
        </w:rPr>
        <w:t>.</w:t>
      </w:r>
    </w:p>
    <w:p w14:paraId="1377A9C2" w14:textId="46681915" w:rsidR="009B203B" w:rsidRPr="00C40A28" w:rsidRDefault="00814362" w:rsidP="009B203B">
      <w:pPr>
        <w:pStyle w:val="BodyTextIndent"/>
        <w:spacing w:line="480" w:lineRule="auto"/>
        <w:ind w:left="0" w:firstLine="567"/>
        <w:rPr>
          <w:rFonts w:ascii="Times New Roman" w:hAnsi="Times New Roman"/>
          <w:bCs/>
          <w:sz w:val="22"/>
          <w:szCs w:val="22"/>
          <w:lang w:val="en-US" w:eastAsia="ja-JP"/>
        </w:rPr>
      </w:pPr>
      <w:r w:rsidRPr="00C40A28">
        <w:rPr>
          <w:rFonts w:ascii="Times New Roman" w:hAnsi="Times New Roman"/>
          <w:b w:val="0"/>
          <w:bCs/>
          <w:sz w:val="22"/>
          <w:szCs w:val="22"/>
          <w:lang w:val="en-US" w:eastAsia="ja-JP"/>
        </w:rPr>
        <w:t xml:space="preserve">In summary, </w:t>
      </w:r>
      <w:r w:rsidR="00BA01B4" w:rsidRPr="00C40A28">
        <w:rPr>
          <w:rFonts w:ascii="Times New Roman" w:hAnsi="Times New Roman"/>
          <w:b w:val="0"/>
          <w:bCs/>
          <w:sz w:val="22"/>
          <w:szCs w:val="22"/>
          <w:lang w:val="en-US" w:eastAsia="ja-JP"/>
        </w:rPr>
        <w:t xml:space="preserve">the </w:t>
      </w:r>
      <w:r w:rsidR="009974D7" w:rsidRPr="00C40A28">
        <w:rPr>
          <w:rFonts w:ascii="Times New Roman" w:hAnsi="Times New Roman"/>
          <w:b w:val="0"/>
          <w:bCs/>
          <w:sz w:val="22"/>
          <w:szCs w:val="22"/>
          <w:lang w:val="en-US" w:eastAsia="ja-JP"/>
        </w:rPr>
        <w:t xml:space="preserve">current </w:t>
      </w:r>
      <w:r w:rsidR="00BA01B4" w:rsidRPr="00C40A28">
        <w:rPr>
          <w:rFonts w:ascii="Times New Roman" w:hAnsi="Times New Roman"/>
          <w:b w:val="0"/>
          <w:bCs/>
          <w:sz w:val="22"/>
          <w:szCs w:val="22"/>
          <w:lang w:val="en-US" w:eastAsia="ja-JP"/>
        </w:rPr>
        <w:t>FORCE</w:t>
      </w:r>
      <w:r w:rsidRPr="00C40A28">
        <w:rPr>
          <w:rFonts w:ascii="Times New Roman" w:hAnsi="Times New Roman"/>
          <w:b w:val="0"/>
          <w:bCs/>
          <w:sz w:val="22"/>
          <w:szCs w:val="22"/>
          <w:lang w:val="en-US" w:eastAsia="ja-JP"/>
        </w:rPr>
        <w:t xml:space="preserve"> consortium </w:t>
      </w:r>
      <w:r w:rsidR="009974D7" w:rsidRPr="00C40A28">
        <w:rPr>
          <w:rFonts w:ascii="Times New Roman" w:hAnsi="Times New Roman"/>
          <w:b w:val="0"/>
          <w:bCs/>
          <w:sz w:val="22"/>
          <w:szCs w:val="22"/>
          <w:lang w:val="en-US" w:eastAsia="ja-JP"/>
        </w:rPr>
        <w:t>study including</w:t>
      </w:r>
      <w:r w:rsidRPr="00C40A28">
        <w:rPr>
          <w:rFonts w:ascii="Times New Roman" w:hAnsi="Times New Roman"/>
          <w:b w:val="0"/>
          <w:bCs/>
          <w:sz w:val="22"/>
          <w:szCs w:val="22"/>
          <w:lang w:val="en-US" w:eastAsia="ja-JP"/>
        </w:rPr>
        <w:t xml:space="preserve"> 1</w:t>
      </w:r>
      <w:r w:rsidR="00691713" w:rsidRPr="00C40A28">
        <w:rPr>
          <w:rFonts w:ascii="Times New Roman" w:hAnsi="Times New Roman"/>
          <w:b w:val="0"/>
          <w:bCs/>
          <w:sz w:val="22"/>
          <w:szCs w:val="22"/>
          <w:lang w:val="en-US" w:eastAsia="ja-JP"/>
        </w:rPr>
        <w:t>7</w:t>
      </w:r>
      <w:r w:rsidRPr="00C40A28">
        <w:rPr>
          <w:rFonts w:ascii="Times New Roman" w:hAnsi="Times New Roman"/>
          <w:b w:val="0"/>
          <w:bCs/>
          <w:sz w:val="22"/>
          <w:szCs w:val="22"/>
          <w:lang w:val="en-US" w:eastAsia="ja-JP"/>
        </w:rPr>
        <w:t xml:space="preserve"> prospective cohort</w:t>
      </w:r>
      <w:r w:rsidR="009974D7" w:rsidRPr="00C40A28">
        <w:rPr>
          <w:rFonts w:ascii="Times New Roman" w:hAnsi="Times New Roman"/>
          <w:b w:val="0"/>
          <w:bCs/>
          <w:sz w:val="22"/>
          <w:szCs w:val="22"/>
          <w:lang w:val="en-US" w:eastAsia="ja-JP"/>
        </w:rPr>
        <w:t xml:space="preserve">s </w:t>
      </w:r>
      <w:r w:rsidRPr="00C40A28">
        <w:rPr>
          <w:rFonts w:ascii="Times New Roman" w:hAnsi="Times New Roman"/>
          <w:b w:val="0"/>
          <w:bCs/>
          <w:sz w:val="22"/>
          <w:szCs w:val="22"/>
          <w:lang w:val="en-US" w:eastAsia="ja-JP"/>
        </w:rPr>
        <w:t xml:space="preserve">identified significant associations of higher concentrations of </w:t>
      </w:r>
      <w:r w:rsidR="00691713" w:rsidRPr="00C40A28">
        <w:rPr>
          <w:rFonts w:ascii="Times New Roman" w:hAnsi="Times New Roman"/>
          <w:b w:val="0"/>
          <w:bCs/>
          <w:sz w:val="22"/>
          <w:szCs w:val="22"/>
          <w:lang w:val="en-US" w:eastAsia="ja-JP"/>
        </w:rPr>
        <w:t xml:space="preserve">fatty acids </w:t>
      </w:r>
      <w:r w:rsidR="00EC7DF3" w:rsidRPr="00C40A28">
        <w:rPr>
          <w:rFonts w:ascii="Times New Roman" w:hAnsi="Times New Roman"/>
          <w:b w:val="0"/>
          <w:bCs/>
          <w:sz w:val="22"/>
          <w:szCs w:val="22"/>
          <w:lang w:val="en-US" w:eastAsia="ja-JP"/>
        </w:rPr>
        <w:t xml:space="preserve">related to </w:t>
      </w:r>
      <w:r w:rsidR="00691713" w:rsidRPr="00C40A28">
        <w:rPr>
          <w:rFonts w:ascii="Times New Roman" w:hAnsi="Times New Roman"/>
          <w:b w:val="0"/>
          <w:bCs/>
          <w:sz w:val="22"/>
          <w:szCs w:val="22"/>
          <w:lang w:val="en-US" w:eastAsia="ja-JP"/>
        </w:rPr>
        <w:t>DNL</w:t>
      </w:r>
      <w:r w:rsidR="005809EC" w:rsidRPr="00C40A28">
        <w:rPr>
          <w:rFonts w:ascii="Times New Roman" w:hAnsi="Times New Roman"/>
          <w:b w:val="0"/>
          <w:bCs/>
          <w:sz w:val="22"/>
          <w:szCs w:val="22"/>
          <w:lang w:val="en-US" w:eastAsia="ja-JP"/>
        </w:rPr>
        <w:t>, especially 16-carbon fatty acids, in relation to</w:t>
      </w:r>
      <w:r w:rsidR="00691713" w:rsidRPr="00C40A28">
        <w:rPr>
          <w:rFonts w:ascii="Times New Roman" w:hAnsi="Times New Roman"/>
          <w:b w:val="0"/>
          <w:bCs/>
          <w:sz w:val="22"/>
          <w:szCs w:val="22"/>
          <w:lang w:val="en-US" w:eastAsia="ja-JP"/>
        </w:rPr>
        <w:t xml:space="preserve"> </w:t>
      </w:r>
      <w:r w:rsidRPr="00C40A28">
        <w:rPr>
          <w:rFonts w:ascii="Times New Roman" w:hAnsi="Times New Roman"/>
          <w:b w:val="0"/>
          <w:bCs/>
          <w:sz w:val="22"/>
          <w:szCs w:val="22"/>
          <w:lang w:val="en-US" w:eastAsia="ja-JP"/>
        </w:rPr>
        <w:t xml:space="preserve">incidence of T2D. These findings </w:t>
      </w:r>
      <w:r w:rsidR="00691713" w:rsidRPr="00C40A28">
        <w:rPr>
          <w:rFonts w:ascii="Times New Roman" w:hAnsi="Times New Roman"/>
          <w:b w:val="0"/>
          <w:bCs/>
          <w:sz w:val="22"/>
          <w:szCs w:val="22"/>
          <w:lang w:val="en-US" w:eastAsia="ja-JP"/>
        </w:rPr>
        <w:t xml:space="preserve">highlight </w:t>
      </w:r>
      <w:r w:rsidR="00CC488B" w:rsidRPr="00C40A28">
        <w:rPr>
          <w:rFonts w:ascii="Times New Roman" w:hAnsi="Times New Roman"/>
          <w:b w:val="0"/>
          <w:bCs/>
          <w:sz w:val="22"/>
          <w:szCs w:val="22"/>
          <w:lang w:val="en-US" w:eastAsia="ja-JP"/>
        </w:rPr>
        <w:t xml:space="preserve">the potential </w:t>
      </w:r>
      <w:r w:rsidR="00691713" w:rsidRPr="00C40A28">
        <w:rPr>
          <w:rFonts w:ascii="Times New Roman" w:hAnsi="Times New Roman"/>
          <w:b w:val="0"/>
          <w:bCs/>
          <w:sz w:val="22"/>
          <w:szCs w:val="22"/>
          <w:lang w:val="en-US" w:eastAsia="ja-JP"/>
        </w:rPr>
        <w:t xml:space="preserve">importance of </w:t>
      </w:r>
      <w:r w:rsidR="00CC488B" w:rsidRPr="00C40A28">
        <w:rPr>
          <w:rFonts w:ascii="Times New Roman" w:hAnsi="Times New Roman"/>
          <w:b w:val="0"/>
          <w:bCs/>
          <w:sz w:val="22"/>
          <w:szCs w:val="22"/>
          <w:lang w:val="en-US" w:eastAsia="ja-JP"/>
        </w:rPr>
        <w:t>DNL</w:t>
      </w:r>
      <w:r w:rsidR="00691713" w:rsidRPr="00C40A28">
        <w:rPr>
          <w:rFonts w:ascii="Times New Roman" w:hAnsi="Times New Roman"/>
          <w:b w:val="0"/>
          <w:bCs/>
          <w:sz w:val="22"/>
          <w:szCs w:val="22"/>
          <w:lang w:val="en-US" w:eastAsia="ja-JP"/>
        </w:rPr>
        <w:t xml:space="preserve"> </w:t>
      </w:r>
      <w:r w:rsidR="00350071" w:rsidRPr="00C40A28">
        <w:rPr>
          <w:rFonts w:ascii="Times New Roman" w:hAnsi="Times New Roman"/>
          <w:b w:val="0"/>
          <w:bCs/>
          <w:sz w:val="22"/>
          <w:szCs w:val="22"/>
          <w:lang w:val="en-US" w:eastAsia="ja-JP"/>
        </w:rPr>
        <w:t xml:space="preserve">and </w:t>
      </w:r>
      <w:r w:rsidR="00CC488B" w:rsidRPr="00C40A28">
        <w:rPr>
          <w:rFonts w:ascii="Times New Roman" w:hAnsi="Times New Roman"/>
          <w:b w:val="0"/>
          <w:bCs/>
          <w:sz w:val="22"/>
          <w:szCs w:val="22"/>
          <w:lang w:val="en-US" w:eastAsia="ja-JP"/>
        </w:rPr>
        <w:t>these</w:t>
      </w:r>
      <w:r w:rsidR="00350071" w:rsidRPr="00C40A28">
        <w:rPr>
          <w:rFonts w:ascii="Times New Roman" w:hAnsi="Times New Roman"/>
          <w:b w:val="0"/>
          <w:bCs/>
          <w:sz w:val="22"/>
          <w:szCs w:val="22"/>
          <w:lang w:val="en-US" w:eastAsia="ja-JP"/>
        </w:rPr>
        <w:t xml:space="preserve"> individual fatty acids </w:t>
      </w:r>
      <w:r w:rsidR="00691713" w:rsidRPr="00C40A28">
        <w:rPr>
          <w:rFonts w:ascii="Times New Roman" w:hAnsi="Times New Roman"/>
          <w:b w:val="0"/>
          <w:bCs/>
          <w:sz w:val="22"/>
          <w:szCs w:val="22"/>
          <w:lang w:val="en-US" w:eastAsia="ja-JP"/>
        </w:rPr>
        <w:t>in the development of T2D</w:t>
      </w:r>
      <w:r w:rsidR="009974D7" w:rsidRPr="00C40A28">
        <w:rPr>
          <w:rFonts w:ascii="Times New Roman" w:hAnsi="Times New Roman"/>
          <w:b w:val="0"/>
          <w:bCs/>
          <w:sz w:val="22"/>
          <w:szCs w:val="22"/>
          <w:lang w:val="en-US" w:eastAsia="ja-JP"/>
        </w:rPr>
        <w:t>,</w:t>
      </w:r>
      <w:r w:rsidR="00691713" w:rsidRPr="00C40A28">
        <w:rPr>
          <w:rFonts w:ascii="Times New Roman" w:hAnsi="Times New Roman"/>
          <w:b w:val="0"/>
          <w:bCs/>
          <w:sz w:val="22"/>
          <w:szCs w:val="22"/>
          <w:lang w:val="en-US" w:eastAsia="ja-JP"/>
        </w:rPr>
        <w:t xml:space="preserve"> and</w:t>
      </w:r>
      <w:r w:rsidRPr="00C40A28">
        <w:rPr>
          <w:rFonts w:ascii="Times New Roman" w:hAnsi="Times New Roman"/>
          <w:b w:val="0"/>
          <w:bCs/>
          <w:sz w:val="22"/>
          <w:szCs w:val="22"/>
          <w:lang w:val="en-US" w:eastAsia="ja-JP"/>
        </w:rPr>
        <w:t xml:space="preserve"> the need for </w:t>
      </w:r>
      <w:r w:rsidR="00992AB9" w:rsidRPr="00C40A28">
        <w:rPr>
          <w:rFonts w:ascii="Times New Roman" w:hAnsi="Times New Roman"/>
          <w:b w:val="0"/>
          <w:bCs/>
          <w:sz w:val="22"/>
          <w:szCs w:val="22"/>
          <w:lang w:val="en-US" w:eastAsia="ja-JP"/>
        </w:rPr>
        <w:t xml:space="preserve">further </w:t>
      </w:r>
      <w:r w:rsidR="00691713" w:rsidRPr="00C40A28">
        <w:rPr>
          <w:rFonts w:ascii="Times New Roman" w:hAnsi="Times New Roman"/>
          <w:b w:val="0"/>
          <w:bCs/>
          <w:sz w:val="22"/>
          <w:szCs w:val="22"/>
          <w:lang w:val="en-US" w:eastAsia="ja-JP"/>
        </w:rPr>
        <w:t xml:space="preserve">investigations on </w:t>
      </w:r>
      <w:r w:rsidR="008E6E16" w:rsidRPr="00C40A28">
        <w:rPr>
          <w:rFonts w:ascii="Times New Roman" w:hAnsi="Times New Roman"/>
          <w:b w:val="0"/>
          <w:bCs/>
          <w:sz w:val="22"/>
          <w:szCs w:val="22"/>
          <w:lang w:val="en-US" w:eastAsia="ja-JP"/>
        </w:rPr>
        <w:t xml:space="preserve">how lifestyle </w:t>
      </w:r>
      <w:r w:rsidR="00891F77" w:rsidRPr="00C40A28">
        <w:rPr>
          <w:rFonts w:ascii="Times New Roman" w:hAnsi="Times New Roman"/>
          <w:b w:val="0"/>
          <w:bCs/>
          <w:sz w:val="22"/>
          <w:szCs w:val="22"/>
          <w:lang w:val="en-US" w:eastAsia="ja-JP"/>
        </w:rPr>
        <w:t xml:space="preserve">behavioral </w:t>
      </w:r>
      <w:r w:rsidR="00992AB9" w:rsidRPr="00C40A28">
        <w:rPr>
          <w:rFonts w:ascii="Times New Roman" w:hAnsi="Times New Roman"/>
          <w:b w:val="0"/>
          <w:bCs/>
          <w:sz w:val="22"/>
          <w:szCs w:val="22"/>
          <w:lang w:val="en-US" w:eastAsia="ja-JP"/>
        </w:rPr>
        <w:t>factors</w:t>
      </w:r>
      <w:r w:rsidR="008E6E16" w:rsidRPr="00C40A28">
        <w:rPr>
          <w:rFonts w:ascii="Times New Roman" w:hAnsi="Times New Roman"/>
          <w:b w:val="0"/>
          <w:bCs/>
          <w:sz w:val="22"/>
          <w:szCs w:val="22"/>
          <w:lang w:val="en-US" w:eastAsia="ja-JP"/>
        </w:rPr>
        <w:t xml:space="preserve"> </w:t>
      </w:r>
      <w:r w:rsidR="00CC488B" w:rsidRPr="00C40A28">
        <w:rPr>
          <w:rFonts w:ascii="Times New Roman" w:hAnsi="Times New Roman"/>
          <w:b w:val="0"/>
          <w:bCs/>
          <w:sz w:val="22"/>
          <w:szCs w:val="22"/>
          <w:lang w:val="en-US" w:eastAsia="ja-JP"/>
        </w:rPr>
        <w:t xml:space="preserve">and potential interventions may </w:t>
      </w:r>
      <w:r w:rsidR="008E6E16" w:rsidRPr="00C40A28">
        <w:rPr>
          <w:rFonts w:ascii="Times New Roman" w:hAnsi="Times New Roman"/>
          <w:b w:val="0"/>
          <w:bCs/>
          <w:sz w:val="22"/>
          <w:szCs w:val="22"/>
          <w:lang w:val="en-US" w:eastAsia="ja-JP"/>
        </w:rPr>
        <w:t xml:space="preserve">influence </w:t>
      </w:r>
      <w:r w:rsidR="00CC488B" w:rsidRPr="00C40A28">
        <w:rPr>
          <w:rFonts w:ascii="Times New Roman" w:hAnsi="Times New Roman"/>
          <w:b w:val="0"/>
          <w:bCs/>
          <w:sz w:val="22"/>
          <w:szCs w:val="22"/>
          <w:lang w:val="en-US" w:eastAsia="ja-JP"/>
        </w:rPr>
        <w:t>levels of</w:t>
      </w:r>
      <w:r w:rsidR="008E6E16" w:rsidRPr="00C40A28">
        <w:rPr>
          <w:rFonts w:ascii="Times New Roman" w:hAnsi="Times New Roman"/>
          <w:b w:val="0"/>
          <w:bCs/>
          <w:sz w:val="22"/>
          <w:szCs w:val="22"/>
          <w:lang w:val="en-US" w:eastAsia="ja-JP"/>
        </w:rPr>
        <w:t xml:space="preserve"> th</w:t>
      </w:r>
      <w:r w:rsidR="00CC488B" w:rsidRPr="00C40A28">
        <w:rPr>
          <w:rFonts w:ascii="Times New Roman" w:hAnsi="Times New Roman"/>
          <w:b w:val="0"/>
          <w:bCs/>
          <w:sz w:val="22"/>
          <w:szCs w:val="22"/>
          <w:lang w:val="en-US" w:eastAsia="ja-JP"/>
        </w:rPr>
        <w:t>e</w:t>
      </w:r>
      <w:r w:rsidR="00350071" w:rsidRPr="00C40A28">
        <w:rPr>
          <w:rFonts w:ascii="Times New Roman" w:hAnsi="Times New Roman"/>
          <w:b w:val="0"/>
          <w:bCs/>
          <w:sz w:val="22"/>
          <w:szCs w:val="22"/>
          <w:lang w:val="en-US" w:eastAsia="ja-JP"/>
        </w:rPr>
        <w:t>se fatty acids</w:t>
      </w:r>
      <w:r w:rsidR="00CC488B" w:rsidRPr="00C40A28">
        <w:rPr>
          <w:rFonts w:ascii="Times New Roman" w:hAnsi="Times New Roman"/>
          <w:b w:val="0"/>
          <w:bCs/>
          <w:sz w:val="22"/>
          <w:szCs w:val="22"/>
          <w:lang w:val="en-US" w:eastAsia="ja-JP"/>
        </w:rPr>
        <w:t xml:space="preserve"> and </w:t>
      </w:r>
      <w:r w:rsidR="00350071" w:rsidRPr="00C40A28">
        <w:rPr>
          <w:rFonts w:ascii="Times New Roman" w:hAnsi="Times New Roman"/>
          <w:b w:val="0"/>
          <w:bCs/>
          <w:sz w:val="22"/>
          <w:szCs w:val="22"/>
          <w:lang w:val="en-US" w:eastAsia="ja-JP"/>
        </w:rPr>
        <w:t>DNL</w:t>
      </w:r>
      <w:r w:rsidRPr="00C40A28">
        <w:rPr>
          <w:rFonts w:ascii="Times New Roman" w:hAnsi="Times New Roman"/>
          <w:b w:val="0"/>
          <w:bCs/>
          <w:sz w:val="22"/>
          <w:szCs w:val="22"/>
          <w:lang w:val="en-US" w:eastAsia="ja-JP"/>
        </w:rPr>
        <w:t>.</w:t>
      </w:r>
      <w:r w:rsidR="009B203B" w:rsidRPr="00C40A28">
        <w:rPr>
          <w:rFonts w:ascii="Times New Roman" w:hAnsi="Times New Roman"/>
          <w:b w:val="0"/>
          <w:bCs/>
          <w:sz w:val="22"/>
          <w:szCs w:val="22"/>
          <w:lang w:val="en-US" w:eastAsia="ja-JP"/>
        </w:rPr>
        <w:br w:type="page"/>
      </w:r>
    </w:p>
    <w:p w14:paraId="16AD85D3" w14:textId="262F0E6E" w:rsidR="006E5407" w:rsidRPr="00C40A28" w:rsidRDefault="005F7401" w:rsidP="009B203B">
      <w:pPr>
        <w:pStyle w:val="BodyTextIndent"/>
        <w:spacing w:line="480" w:lineRule="auto"/>
        <w:rPr>
          <w:rFonts w:ascii="Times New Roman" w:hAnsi="Times New Roman"/>
          <w:b w:val="0"/>
          <w:bCs/>
          <w:sz w:val="22"/>
          <w:szCs w:val="22"/>
          <w:lang w:val="en-US" w:eastAsia="ja-JP"/>
        </w:rPr>
      </w:pPr>
      <w:r>
        <w:rPr>
          <w:rFonts w:ascii="Times New Roman" w:hAnsi="Times New Roman"/>
          <w:sz w:val="22"/>
          <w:szCs w:val="22"/>
          <w:lang w:val="en-US" w:eastAsia="ja-JP"/>
        </w:rPr>
        <w:lastRenderedPageBreak/>
        <w:t>Acknowledgements</w:t>
      </w:r>
    </w:p>
    <w:p w14:paraId="241D0D49" w14:textId="39BA2CD8" w:rsidR="00CB3199" w:rsidRPr="005F7401" w:rsidRDefault="00CD6A22" w:rsidP="005F7401">
      <w:pPr>
        <w:spacing w:line="480" w:lineRule="auto"/>
        <w:ind w:firstLine="720"/>
        <w:rPr>
          <w:sz w:val="22"/>
          <w:szCs w:val="22"/>
          <w:shd w:val="clear" w:color="auto" w:fill="FFFFFF"/>
          <w:lang w:val="en-US"/>
        </w:rPr>
      </w:pPr>
      <w:bookmarkStart w:id="0" w:name="_GoBack"/>
      <w:bookmarkEnd w:id="0"/>
      <w:r w:rsidRPr="00C40A28">
        <w:rPr>
          <w:sz w:val="22"/>
          <w:szCs w:val="22"/>
          <w:shd w:val="clear" w:color="auto" w:fill="FFFFFF"/>
          <w:lang w:val="en-US"/>
        </w:rPr>
        <w:t>The lead author affirms that the manuscript is an honest, accurate, and transparent account of the study being reported; that no important aspects of the study have been omitted; and that any discrepancies from the study as planned have been explained.</w:t>
      </w:r>
      <w:r w:rsidR="00741C84" w:rsidRPr="00C40A28">
        <w:rPr>
          <w:sz w:val="22"/>
          <w:szCs w:val="22"/>
          <w:lang w:val="en-US" w:eastAsia="ja-JP"/>
        </w:rPr>
        <w:br/>
      </w:r>
    </w:p>
    <w:p w14:paraId="75620624" w14:textId="77777777" w:rsidR="005B39CD" w:rsidRPr="00C40A28" w:rsidRDefault="005B39CD" w:rsidP="009F53DD">
      <w:pPr>
        <w:tabs>
          <w:tab w:val="left" w:pos="426"/>
        </w:tabs>
        <w:spacing w:line="480" w:lineRule="auto"/>
        <w:rPr>
          <w:b/>
          <w:sz w:val="22"/>
          <w:szCs w:val="22"/>
          <w:lang w:val="en-US"/>
        </w:rPr>
      </w:pPr>
      <w:r w:rsidRPr="00C40A28">
        <w:rPr>
          <w:b/>
          <w:sz w:val="22"/>
          <w:szCs w:val="22"/>
          <w:lang w:val="en-US"/>
        </w:rPr>
        <w:t>REFERENCES</w:t>
      </w:r>
    </w:p>
    <w:p w14:paraId="4C929454" w14:textId="77777777" w:rsidR="005B39CD" w:rsidRPr="00C40A28" w:rsidRDefault="005B39CD" w:rsidP="009F53DD">
      <w:pPr>
        <w:pStyle w:val="NormalWeb"/>
        <w:tabs>
          <w:tab w:val="left" w:pos="426"/>
        </w:tabs>
        <w:spacing w:before="0" w:beforeAutospacing="0" w:after="0" w:afterAutospacing="0" w:line="480" w:lineRule="auto"/>
        <w:divId w:val="683483678"/>
        <w:rPr>
          <w:sz w:val="22"/>
          <w:szCs w:val="22"/>
          <w:lang w:val="en-US"/>
        </w:rPr>
        <w:sectPr w:rsidR="005B39CD" w:rsidRPr="00C40A28" w:rsidSect="00275EA4">
          <w:headerReference w:type="default" r:id="rId11"/>
          <w:pgSz w:w="12240" w:h="15840"/>
          <w:pgMar w:top="1440" w:right="1440" w:bottom="1440" w:left="1440" w:header="720" w:footer="274" w:gutter="0"/>
          <w:lnNumType w:countBy="1" w:restart="continuous"/>
          <w:cols w:space="720"/>
          <w:docGrid w:linePitch="360"/>
        </w:sectPr>
      </w:pPr>
    </w:p>
    <w:p w14:paraId="1F2E6CFA" w14:textId="390CAE4D" w:rsidR="00BD56DC" w:rsidRPr="00BD56DC" w:rsidRDefault="00044D13" w:rsidP="006219C3">
      <w:pPr>
        <w:widowControl w:val="0"/>
        <w:tabs>
          <w:tab w:val="left" w:pos="426"/>
        </w:tabs>
        <w:autoSpaceDE w:val="0"/>
        <w:autoSpaceDN w:val="0"/>
        <w:adjustRightInd w:val="0"/>
        <w:spacing w:line="480" w:lineRule="auto"/>
        <w:rPr>
          <w:noProof/>
          <w:sz w:val="22"/>
        </w:rPr>
      </w:pPr>
      <w:r w:rsidRPr="00C40A28">
        <w:rPr>
          <w:sz w:val="22"/>
          <w:szCs w:val="22"/>
          <w:lang w:val="en-US"/>
        </w:rPr>
        <w:fldChar w:fldCharType="begin" w:fldLock="1"/>
      </w:r>
      <w:r w:rsidRPr="00C40A28">
        <w:rPr>
          <w:sz w:val="22"/>
          <w:szCs w:val="22"/>
          <w:lang w:val="en-US"/>
        </w:rPr>
        <w:instrText xml:space="preserve">ADDIN Mendeley Bibliography CSL_BIBLIOGRAPHY </w:instrText>
      </w:r>
      <w:r w:rsidRPr="00C40A28">
        <w:rPr>
          <w:sz w:val="22"/>
          <w:szCs w:val="22"/>
          <w:lang w:val="en-US"/>
        </w:rPr>
        <w:fldChar w:fldCharType="separate"/>
      </w:r>
      <w:r w:rsidR="00BD56DC" w:rsidRPr="00BD56DC">
        <w:rPr>
          <w:noProof/>
          <w:sz w:val="22"/>
        </w:rPr>
        <w:t xml:space="preserve">1. </w:t>
      </w:r>
      <w:r w:rsidR="00BD56DC" w:rsidRPr="00BD56DC">
        <w:rPr>
          <w:noProof/>
          <w:sz w:val="22"/>
        </w:rPr>
        <w:tab/>
        <w:t>Ameer F, Scandiuzzi L, Hasnain S, Kalbacher H, Zaidi N. De novo lipogenesis in health and disease. Metabolism. 2014;63(7):895–902. doi:10.1016/j.metabol.2014.04.003</w:t>
      </w:r>
    </w:p>
    <w:p w14:paraId="531778CD"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2. </w:t>
      </w:r>
      <w:r w:rsidRPr="00BD56DC">
        <w:rPr>
          <w:noProof/>
          <w:sz w:val="22"/>
        </w:rPr>
        <w:tab/>
        <w:t>Lodhi IJ, Wei X, Semenkovich CF. Lipoexpediency: de novo lipogenesis as a metabolic signal transmitter. Trends Endocrinol Metab. 2011;22(1):1–8. doi:10.1016/j.tem.2010.09.002</w:t>
      </w:r>
    </w:p>
    <w:p w14:paraId="46824356"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3. </w:t>
      </w:r>
      <w:r w:rsidRPr="00BD56DC">
        <w:rPr>
          <w:noProof/>
          <w:sz w:val="22"/>
        </w:rPr>
        <w:tab/>
        <w:t>Borkman M, Storlien LH, Pan DA, Jenkins AB, Chisholm DJ, Campbell L V. The relation between insulin sensitivity and the fatty-acid composition of skeletal-muscle phospholipids. New Engl J Med. 1993;328(4):238–44. doi:10.1056/NEJM199301283280404</w:t>
      </w:r>
    </w:p>
    <w:p w14:paraId="0E5E258B"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4. </w:t>
      </w:r>
      <w:r w:rsidRPr="00BD56DC">
        <w:rPr>
          <w:noProof/>
          <w:sz w:val="22"/>
        </w:rPr>
        <w:tab/>
        <w:t xml:space="preserve">Maedler K, Spinas GA, Dyntar D, Moritz W, Kaiser N, Donath MY. Distinct effects of saturated and monounsaturated fatty acids on beta-cell turnover and function. Diabetes. 2001;50(1):69–76. </w:t>
      </w:r>
    </w:p>
    <w:p w14:paraId="4CD2FD2B"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5. </w:t>
      </w:r>
      <w:r w:rsidRPr="00BD56DC">
        <w:rPr>
          <w:noProof/>
          <w:sz w:val="22"/>
        </w:rPr>
        <w:tab/>
        <w:t>Maedler K, Oberholzer J, Bucher P, Spinas GA, Donath MY. Monounsaturated Fatty Acids Prevent the Deleterious Effects of Palmitate and High Glucose on Human Pancreatic -Cell Turnover and Function. Diabetes. 2003;52(3):726–33. doi:10.2337/diabetes.52.3.726</w:t>
      </w:r>
    </w:p>
    <w:p w14:paraId="554732E3"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6. </w:t>
      </w:r>
      <w:r w:rsidRPr="00BD56DC">
        <w:rPr>
          <w:noProof/>
          <w:sz w:val="22"/>
        </w:rPr>
        <w:tab/>
        <w:t>Shi H, Kokoeva M V, Inouye K, Tzameli I, Yin H, Flier JS. TLR4 links innate immunity and fatty acid – induced insulin resistance. J Clin Invest. 2006;116(11):3015–25. doi:10.1172/JCI28898.TLRs</w:t>
      </w:r>
    </w:p>
    <w:p w14:paraId="27780742"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7. </w:t>
      </w:r>
      <w:r w:rsidRPr="00BD56DC">
        <w:rPr>
          <w:noProof/>
          <w:sz w:val="22"/>
        </w:rPr>
        <w:tab/>
        <w:t xml:space="preserve">Cnop M, Hannaert JC, Hoorens A, Eizirik DL, Pipeleers DG. Inverse relationship between cytotoxicity of free fatty acids in pancreatic islet cells and cellular triglyceride accumulation. Diabetes. 2001;50(8):1771–7. </w:t>
      </w:r>
    </w:p>
    <w:p w14:paraId="42BB2BD2"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8. </w:t>
      </w:r>
      <w:r w:rsidRPr="00BD56DC">
        <w:rPr>
          <w:noProof/>
          <w:sz w:val="22"/>
        </w:rPr>
        <w:tab/>
        <w:t>Wu JHY, Lemaitre RN, Imamura F, King IB, Song X, Spiegelman D, et al. Fatty acids in the de novo lipogenesis pathway and risk of coronary heart disease: the Cardiovascular Health Study. Am J Clin Nutr. 2011;94(2):431–8. doi:10.3945/ajcn.111.012054.1</w:t>
      </w:r>
    </w:p>
    <w:p w14:paraId="218CDDA6"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lastRenderedPageBreak/>
        <w:t xml:space="preserve">9. </w:t>
      </w:r>
      <w:r w:rsidRPr="00BD56DC">
        <w:rPr>
          <w:noProof/>
          <w:sz w:val="22"/>
        </w:rPr>
        <w:tab/>
        <w:t xml:space="preserve">King IB, Lemaitre RN, Kestin M. Effect of a low-fat diet on fatty acid composition in red cells, plasma phospholipids, and cholesterol esters: investigation of a biomarker of total fat intake. Am J Clin Nutr. 2006;83(2):227–36. </w:t>
      </w:r>
    </w:p>
    <w:p w14:paraId="341FF249"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10. </w:t>
      </w:r>
      <w:r w:rsidRPr="00BD56DC">
        <w:rPr>
          <w:noProof/>
          <w:sz w:val="22"/>
        </w:rPr>
        <w:tab/>
        <w:t>Louvet A, Mathurin P. Alcoholic liver disease: mechanisms of injury and targeted treatment. Nat Rev Gastroenterol Hepatol. 2015;12(4):231–42. doi:10.1038/nrgastro.2015.35</w:t>
      </w:r>
    </w:p>
    <w:p w14:paraId="489EB136"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11. </w:t>
      </w:r>
      <w:r w:rsidRPr="00BD56DC">
        <w:rPr>
          <w:noProof/>
          <w:sz w:val="22"/>
        </w:rPr>
        <w:tab/>
        <w:t>Krachler B, Norberg M, Eriksson JW, Hallmans G, Johansson I, Vessby B, et al. Fatty acid profile of the erythrocyte membrane preceding development of Type 2 diabetes mellitus. Nutr Metab Cardiovasc Dis. 2008;18(7):503–10. doi:http://dx.doi.org/10.1016/j.numecd.2007.04.005</w:t>
      </w:r>
    </w:p>
    <w:p w14:paraId="0B014487"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12. </w:t>
      </w:r>
      <w:r w:rsidRPr="00BD56DC">
        <w:rPr>
          <w:noProof/>
          <w:sz w:val="22"/>
        </w:rPr>
        <w:tab/>
        <w:t xml:space="preserve">Patel PS, Sharp SJ, Jansen E, Luben RN, Khaw K-T, Wareham NJ, et al. Fatty acids measured in plasma and erythrocyte-membrane phospholipids and derived by food-frequency questionnaire and the risk of new-onset type 2 diabetes: a pilot study in the European Prospective Investigation into Cancer and Nutrition (EPIC)–Norfolk. Am J Clin Nutr. 2010;92(5):1214–22. </w:t>
      </w:r>
    </w:p>
    <w:p w14:paraId="4AAEB5B3"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13. </w:t>
      </w:r>
      <w:r w:rsidRPr="00BD56DC">
        <w:rPr>
          <w:noProof/>
          <w:sz w:val="22"/>
        </w:rPr>
        <w:tab/>
        <w:t>Kröger J, Zietemann V, Enzenbach C, Weikert C, Jansen EH, Döring F, et al. Erythrocyte membrane phospholipid fatty acids, desaturase activity, and dietary fatty acids in relation to risk of type 2 diabetes in the European Prospective Investigation into Cancer and Nutrition (EPIC)-Potsdam Study. Am J Clin Nutr. 2011;93(1):127–42. doi:10.3945/ajcn.110.005447</w:t>
      </w:r>
    </w:p>
    <w:p w14:paraId="2B7D78E2"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14. </w:t>
      </w:r>
      <w:r w:rsidRPr="00BD56DC">
        <w:rPr>
          <w:noProof/>
          <w:sz w:val="22"/>
        </w:rPr>
        <w:tab/>
        <w:t>Hodge AM, English DR, O’Dea K, Sinclair AJ, Makrides M, Gibson RA, et al. Plasma phospholipid and dietary fatty acids as predictors of type 2 diabetes: interpreting the role of linoleic acid. Am J Clin Nutr. 2007;86(1):189-97. doi:10.1093/ajcn/86.1.189</w:t>
      </w:r>
    </w:p>
    <w:p w14:paraId="07933C50"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15. </w:t>
      </w:r>
      <w:r w:rsidRPr="00BD56DC">
        <w:rPr>
          <w:noProof/>
          <w:sz w:val="22"/>
        </w:rPr>
        <w:tab/>
        <w:t xml:space="preserve">Wang L, Folsom AR, Zheng Z-JJ, Pankow JS, Eckfeldt JH. Plasma fatty acid composition and incidence of diabetes in middle-aged adults: the Atherosclerosis Risk in Communities (ARIC) Study. Am J Clin Nutr. 2003;78(1):91-8. </w:t>
      </w:r>
    </w:p>
    <w:p w14:paraId="367D841B" w14:textId="0B156EF5"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16. </w:t>
      </w:r>
      <w:r w:rsidRPr="00BD56DC">
        <w:rPr>
          <w:noProof/>
          <w:sz w:val="22"/>
        </w:rPr>
        <w:tab/>
        <w:t>Harris WS, Luo J, Pottala J V., Margolis KL, Espeland MA, Robinson JG. Red Blood Cell Fatty Acids and Incident Diabetes Mellitus in the Women’s Health Initiative Memory Study. PLoS One. 2016;11(2):e0147894. doi:10.1371/journal.pone.0147894</w:t>
      </w:r>
    </w:p>
    <w:p w14:paraId="0841DEBF" w14:textId="695A9CE4"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17. </w:t>
      </w:r>
      <w:r w:rsidRPr="00BD56DC">
        <w:rPr>
          <w:noProof/>
          <w:sz w:val="22"/>
        </w:rPr>
        <w:tab/>
        <w:t xml:space="preserve">Forouhi NG, Koulman A, Sharp SJ, Imamura F, Kröger J, Schulze MB, et al. Differences in the </w:t>
      </w:r>
      <w:r w:rsidRPr="00BD56DC">
        <w:rPr>
          <w:noProof/>
          <w:sz w:val="22"/>
        </w:rPr>
        <w:lastRenderedPageBreak/>
        <w:t>prospective association between individual plasma phospholipid saturated fatty acids and incident type 2 diabetes: the EPIC-InterAct case-cohort study. Lancet Diab</w:t>
      </w:r>
      <w:r w:rsidR="006219C3">
        <w:rPr>
          <w:noProof/>
          <w:sz w:val="22"/>
        </w:rPr>
        <w:t>etes</w:t>
      </w:r>
      <w:r w:rsidRPr="00BD56DC">
        <w:rPr>
          <w:noProof/>
          <w:sz w:val="22"/>
        </w:rPr>
        <w:t xml:space="preserve"> Endocrinol. 2014;2(10):810–8. doi:10.1016/S2213-8587(14)70146-9</w:t>
      </w:r>
    </w:p>
    <w:p w14:paraId="620AFE2E"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18. </w:t>
      </w:r>
      <w:r w:rsidRPr="00BD56DC">
        <w:rPr>
          <w:noProof/>
          <w:sz w:val="22"/>
        </w:rPr>
        <w:tab/>
        <w:t>Lankinen M a., Stančáková A, Uusitupa M, Ågren J, Pihlajamäki J, Kuusisto J, et al. Plasma fatty acids as predictors of glycaemia and type 2 diabetes. Diabetologia. 2015;58(11):2533–44. doi:10.1007/s00125-015-3730-5</w:t>
      </w:r>
    </w:p>
    <w:p w14:paraId="5AC61EC6"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19. </w:t>
      </w:r>
      <w:r w:rsidRPr="00BD56DC">
        <w:rPr>
          <w:noProof/>
          <w:sz w:val="22"/>
        </w:rPr>
        <w:tab/>
        <w:t>Del Gobbo LC, Imamura F, Aslibekyan S, Marklund M, Virtanen JK, Wennberg M, et al. ω-3 Polyunsaturated Fatty Acid Biomarkers and Coronary Heart Disease. JAMA Intern Med. 2016;176(8):1155. doi:10.1001/jamainternmed.2016.2925</w:t>
      </w:r>
    </w:p>
    <w:p w14:paraId="7D9779A1"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20. </w:t>
      </w:r>
      <w:r w:rsidRPr="00BD56DC">
        <w:rPr>
          <w:noProof/>
          <w:sz w:val="22"/>
        </w:rPr>
        <w:tab/>
        <w:t>Wu JHY, Marklund M, Imamura F, Tintle N, Ardisson Korat A V, de Goede J, et al. Omega-6 fatty acid biomarkers and incident type 2 diabetes: pooled analysis of individual-level data for 39 740 adults from 20 prospective cohort studies. Lancet Diabetes Endocrinol. 2017;5(12):965–74. doi:10.1016/S2213-8587(17)30307-8</w:t>
      </w:r>
    </w:p>
    <w:p w14:paraId="3721FE50"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21. </w:t>
      </w:r>
      <w:r w:rsidRPr="00BD56DC">
        <w:rPr>
          <w:noProof/>
          <w:sz w:val="22"/>
        </w:rPr>
        <w:tab/>
        <w:t xml:space="preserve">Imamura F, Fretts A, Marklund M, Ardisson Korat A V, Yang W-S, Lankinen M, et al. Fatty acid biomarkers of dairy fat consumption and incidence of type 2 diabetes: a pooled analysis of prospective cohort studies. PLoS Med. 2018;15(10):e1002670. </w:t>
      </w:r>
    </w:p>
    <w:p w14:paraId="2E262166" w14:textId="610916C9"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22. </w:t>
      </w:r>
      <w:r w:rsidRPr="00BD56DC">
        <w:rPr>
          <w:noProof/>
          <w:sz w:val="22"/>
        </w:rPr>
        <w:tab/>
        <w:t xml:space="preserve">Kromhout D, Giltay EJ, Geleijnse JM, Alpha Omega Trial Group. n-3 fatty acids and cardiovascular events after myocardial infarction. New Engl </w:t>
      </w:r>
      <w:r w:rsidR="00E06527">
        <w:rPr>
          <w:noProof/>
          <w:sz w:val="22"/>
        </w:rPr>
        <w:t>J Med</w:t>
      </w:r>
      <w:r w:rsidRPr="00BD56DC">
        <w:rPr>
          <w:noProof/>
          <w:sz w:val="22"/>
        </w:rPr>
        <w:t>. 2010;363(21):2015–26. doi:10.1056/NEJMoa1003603</w:t>
      </w:r>
    </w:p>
    <w:p w14:paraId="07DC13D6"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23. </w:t>
      </w:r>
      <w:r w:rsidRPr="00BD56DC">
        <w:rPr>
          <w:noProof/>
          <w:sz w:val="22"/>
        </w:rPr>
        <w:tab/>
        <w:t>Higgins JP, Thompson SG. Quantifying heterogeneity in a meta-analysis. Stat Med. 2002;21(11):1539–58. doi:10.1002/sim.1186</w:t>
      </w:r>
    </w:p>
    <w:p w14:paraId="20F19AB0"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24. </w:t>
      </w:r>
      <w:r w:rsidRPr="00BD56DC">
        <w:rPr>
          <w:noProof/>
          <w:sz w:val="22"/>
        </w:rPr>
        <w:tab/>
        <w:t>Katan MB, Deslypere JP, van Birgelen AP, Penders M, Zegwaard M. Kinetics of the incorporation of dietary fatty acids into serum cholesteryl esters, erythrocyte membranes, and adipose tissue: an 18-month controlled study. J Lipid Res. 1997;38(10):2012–22. doi:10.3945/ajcn.111.021907</w:t>
      </w:r>
    </w:p>
    <w:p w14:paraId="6FC81046"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25. </w:t>
      </w:r>
      <w:r w:rsidRPr="00BD56DC">
        <w:rPr>
          <w:noProof/>
          <w:sz w:val="22"/>
        </w:rPr>
        <w:tab/>
        <w:t>Zhang J, Yu KF. What’s the relative risk? A method of correcting the odds ratio in cohort studies of common outcomes. JAMA. 1998;280(19):1690. doi:10.1001/jama.280.19.1690</w:t>
      </w:r>
    </w:p>
    <w:p w14:paraId="6925526D"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lastRenderedPageBreak/>
        <w:t xml:space="preserve">26. </w:t>
      </w:r>
      <w:r w:rsidRPr="00BD56DC">
        <w:rPr>
          <w:noProof/>
          <w:sz w:val="22"/>
        </w:rPr>
        <w:tab/>
        <w:t>Cao H, Gerhold K, Mayers JR, Wiest MM, Watkins SM, Hotamisligil GS. Identification of a lipokine, a lipid hormone linking adipose tissue to systemic metabolism. Cell. 2008;134(6):933–44. doi:10.1016/j.cell.2008.07.048</w:t>
      </w:r>
    </w:p>
    <w:p w14:paraId="57D80952"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27. </w:t>
      </w:r>
      <w:r w:rsidRPr="00BD56DC">
        <w:rPr>
          <w:noProof/>
          <w:sz w:val="22"/>
        </w:rPr>
        <w:tab/>
        <w:t>Hla T, Kolesnick R. C16:0-Ceramide Signals Insulin Resistance. Cell Metab. 2014;20(5):703–5. doi:10.1016/j.cmet.2014.10.017</w:t>
      </w:r>
    </w:p>
    <w:p w14:paraId="15EA73F2"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28. </w:t>
      </w:r>
      <w:r w:rsidRPr="00BD56DC">
        <w:rPr>
          <w:noProof/>
          <w:sz w:val="22"/>
        </w:rPr>
        <w:tab/>
        <w:t>Erion DM, Shulman GI. Diacylglycerol-mediated insulin resistance. Nat Med. 2010;16(4):400–2. doi:10.1038/nm0410-400</w:t>
      </w:r>
    </w:p>
    <w:p w14:paraId="5E6EC6A1"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29. </w:t>
      </w:r>
      <w:r w:rsidRPr="00BD56DC">
        <w:rPr>
          <w:noProof/>
          <w:sz w:val="22"/>
        </w:rPr>
        <w:tab/>
        <w:t>Brown JM, Chung S, Sawyer JK, Degirolamo C, Alger HM, Nguyen T, et al. Inhibition of Stearoyl-Coenzyme A Desaturase 1 Dissociates Insulin Resistance and Obesity From Atherosclerosis. Circulation. 2008;118(14):1467–75. doi:10.1161/circulationaha.108.793182</w:t>
      </w:r>
    </w:p>
    <w:p w14:paraId="5AC705C6"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30. </w:t>
      </w:r>
      <w:r w:rsidRPr="00BD56DC">
        <w:rPr>
          <w:noProof/>
          <w:sz w:val="22"/>
        </w:rPr>
        <w:tab/>
        <w:t>Stanhope KL. Role of fructose-containing sugars in the epidemics of obesity and metabolic syndrome. Annu Rev Med. 2012;63:329–43. doi:10.1146/annurev-med-042010-113026</w:t>
      </w:r>
    </w:p>
    <w:p w14:paraId="20355D5D"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31. </w:t>
      </w:r>
      <w:r w:rsidRPr="00BD56DC">
        <w:rPr>
          <w:noProof/>
          <w:sz w:val="22"/>
        </w:rPr>
        <w:tab/>
        <w:t>Livesey G, Taylor R, Livesey H, Liu S. Is there a dose-response relation of dietary glycemic load to risk of type 2 diabetes? Meta-analysis of prospective cohort studies. Am J Clin Nutr. 2013;97(3):584–96. doi:10.3945/ajcn.112.041467</w:t>
      </w:r>
    </w:p>
    <w:p w14:paraId="3A4B89DC"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32. </w:t>
      </w:r>
      <w:r w:rsidRPr="00BD56DC">
        <w:rPr>
          <w:noProof/>
          <w:sz w:val="22"/>
        </w:rPr>
        <w:tab/>
        <w:t>Eissing L, Scherer T, Tödter K, Knippschild U, Greve JW, Buurman WA, et al. De novo lipogenesis in human fat and liver is linked to ChREBP-β and metabolic health. Nature Comm. 2013;4:1528. doi:10.1038/ncomms2537</w:t>
      </w:r>
    </w:p>
    <w:p w14:paraId="7EF484ED"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33. </w:t>
      </w:r>
      <w:r w:rsidRPr="00BD56DC">
        <w:rPr>
          <w:noProof/>
          <w:sz w:val="22"/>
        </w:rPr>
        <w:tab/>
        <w:t>Ding M, Bhupathiraju SN, Chen M, van Dam RM, Hu FB. Caffeinated and decaffeinated coffee consumption and risk of type 2 diabetes: a systematic review and a dose-response meta-analysis. Diabetes Care. 2014;37(2):569–86. doi:10.2337/dc13-1203</w:t>
      </w:r>
    </w:p>
    <w:p w14:paraId="059C674C"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34. </w:t>
      </w:r>
      <w:r w:rsidRPr="00BD56DC">
        <w:rPr>
          <w:noProof/>
          <w:sz w:val="22"/>
        </w:rPr>
        <w:tab/>
        <w:t>Jacobs S, Kroger J, Floegel A, Boeing H, Drogan D, Pischon T, et al. Evaluation of various biomarkers as potential mediators of the association between coffee consumption and incident type 2 diabetes in the EPIC-Potsdam Study. Am J Clin Nutr. 2014;100(3):891–900. doi:10.3945/ajcn.113.080317</w:t>
      </w:r>
    </w:p>
    <w:p w14:paraId="5C337100"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35. </w:t>
      </w:r>
      <w:r w:rsidRPr="00BD56DC">
        <w:rPr>
          <w:noProof/>
          <w:sz w:val="22"/>
        </w:rPr>
        <w:tab/>
        <w:t xml:space="preserve">Jump DB. N-3 polyunsaturated fatty acid regulation of hepatic gene transcription. Curr Opin Lipidol. </w:t>
      </w:r>
      <w:r w:rsidRPr="00BD56DC">
        <w:rPr>
          <w:noProof/>
          <w:sz w:val="22"/>
        </w:rPr>
        <w:lastRenderedPageBreak/>
        <w:t xml:space="preserve">2008;19(3):242-7. </w:t>
      </w:r>
    </w:p>
    <w:p w14:paraId="3C82F527"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36. </w:t>
      </w:r>
      <w:r w:rsidRPr="00BD56DC">
        <w:rPr>
          <w:noProof/>
          <w:sz w:val="22"/>
        </w:rPr>
        <w:tab/>
        <w:t>Forouhi NG, Imamura F, Sharp SJ, Koulman A, Schulze MB, Zheng J, et al. Association of Plasma Phospholipid n-3 and n-6 Polyunsaturated Fatty Acids with Type 2 Diabetes: The EPIC-InterAct Case-Cohort Study. PLoS Med. 2016;13(7):e1002094. doi:10.1371/journal.pmed.1002094</w:t>
      </w:r>
    </w:p>
    <w:p w14:paraId="07039F14"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37. </w:t>
      </w:r>
      <w:r w:rsidRPr="00BD56DC">
        <w:rPr>
          <w:noProof/>
          <w:sz w:val="22"/>
        </w:rPr>
        <w:tab/>
        <w:t>Rosqvist F, Kullberg J, Ståhlman M, Cedernaes J, Heurling K, Johansson H-E, et al. Overeating Saturated Fat Promotes Fatty Liver and Ceramides Compared With Polyunsaturated Fat: A Randomized Trial. J Clin Endocrinol Metab. 2019;104(12):6207–19. doi:10.1210/jc.2019-00160</w:t>
      </w:r>
    </w:p>
    <w:p w14:paraId="30FA87CD" w14:textId="61775AC2"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38. </w:t>
      </w:r>
      <w:r w:rsidRPr="00BD56DC">
        <w:rPr>
          <w:noProof/>
          <w:sz w:val="22"/>
        </w:rPr>
        <w:tab/>
        <w:t xml:space="preserve">Wu JHY, Lemaitre RN, Manichaikul A, Guan W, Tanaka T, Foy M, et al. Genome-wide association study identifies novel loci associated with concentrations of four plasma phospholipid fatty acids in the de novo lipogenesis pathway: results from the Cohorts for Heart and Aging Research in Genomic Epidemiology </w:t>
      </w:r>
      <w:r w:rsidR="00E06527">
        <w:rPr>
          <w:noProof/>
          <w:sz w:val="22"/>
        </w:rPr>
        <w:t>(CHARGE) consortiu. Circulation</w:t>
      </w:r>
      <w:r w:rsidRPr="00BD56DC">
        <w:rPr>
          <w:noProof/>
          <w:sz w:val="22"/>
        </w:rPr>
        <w:t xml:space="preserve"> Cardiovasc Genet. 2013;6(2):171–83. doi:10.1161/CIRCGENETICS.112.964619</w:t>
      </w:r>
    </w:p>
    <w:p w14:paraId="16388C88"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39. </w:t>
      </w:r>
      <w:r w:rsidRPr="00BD56DC">
        <w:rPr>
          <w:noProof/>
          <w:sz w:val="22"/>
        </w:rPr>
        <w:tab/>
        <w:t>Hodson L, Skeaff CM, Fielding BA. Fatty acid composition of adipose tissue and blood in humans and its use as a biomarker of dietary intake. Prog Lipid Res. 2008;47(5):348–80. doi:10.1016/j.plipres.2008.03.003</w:t>
      </w:r>
    </w:p>
    <w:p w14:paraId="1273F4B5"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40. </w:t>
      </w:r>
      <w:r w:rsidRPr="00BD56DC">
        <w:rPr>
          <w:noProof/>
          <w:sz w:val="22"/>
        </w:rPr>
        <w:tab/>
        <w:t>Hodson L, Rosqvist F, Parry SA. The influence of dietary fatty acids on liver fat content and metabolism. Proc Nutr Soc. 2020;79(1):30–41. doi:10.1017/S0029665119000569</w:t>
      </w:r>
    </w:p>
    <w:p w14:paraId="057F792F"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41. </w:t>
      </w:r>
      <w:r w:rsidRPr="00BD56DC">
        <w:rPr>
          <w:noProof/>
          <w:sz w:val="22"/>
        </w:rPr>
        <w:tab/>
        <w:t>Song X, Huang Y, Neuhouser ML, Tinker LF, Vitolins MZ, Prentice RL, et al. Dietary long-chain fatty acids and carbohydrate biomarker evaluation in a controlled feeding study in participants from the Women’s Health Initiative cohort. Am J Clin Nutr. 2017;105:1272–82. doi:10.3945/ajcn.117.153072</w:t>
      </w:r>
    </w:p>
    <w:p w14:paraId="0658A0BF"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42. </w:t>
      </w:r>
      <w:r w:rsidRPr="00BD56DC">
        <w:rPr>
          <w:noProof/>
          <w:sz w:val="22"/>
        </w:rPr>
        <w:tab/>
        <w:t>Forsythe CE, Phinney SD, Fernandez ML, Quann EE, Wood RJ, Bibus DM, et al. Comparison of Low Fat and Low Carbohydrate Diets on Circulating Fatty Acid Composition and Markers of Inflammation. Lipids. 2008;43(1):65–77. doi:10.1007/s11745-007-3132-7</w:t>
      </w:r>
    </w:p>
    <w:p w14:paraId="111B7A5C"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43. </w:t>
      </w:r>
      <w:r w:rsidRPr="00BD56DC">
        <w:rPr>
          <w:noProof/>
          <w:sz w:val="22"/>
        </w:rPr>
        <w:tab/>
        <w:t>Hodson L, Fielding BA. Stearoyl-CoA desaturase: rogue or innocent bystander? Prog Lipid Res. 2013;52(1):15–42. doi:10.1016/j.plipres.2012.08.002</w:t>
      </w:r>
    </w:p>
    <w:p w14:paraId="6631CD06" w14:textId="0EC85592"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44. </w:t>
      </w:r>
      <w:r w:rsidRPr="00BD56DC">
        <w:rPr>
          <w:noProof/>
          <w:sz w:val="22"/>
        </w:rPr>
        <w:tab/>
        <w:t xml:space="preserve">Iggman D, Ärnlöv J, Cederholm T, Risérus U. Association of Adipose Tissue Fatty Acids With </w:t>
      </w:r>
      <w:r w:rsidRPr="00BD56DC">
        <w:rPr>
          <w:noProof/>
          <w:sz w:val="22"/>
        </w:rPr>
        <w:lastRenderedPageBreak/>
        <w:t>Cardiovascular and All-Cause Mortality in Elderly Men. JAMA Cardiol. 2016;1(7):745–53. doi:10.1001/jamacardio.2016.2259</w:t>
      </w:r>
    </w:p>
    <w:p w14:paraId="1F934276" w14:textId="2AE349F8"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45. </w:t>
      </w:r>
      <w:r w:rsidRPr="00BD56DC">
        <w:rPr>
          <w:noProof/>
          <w:sz w:val="22"/>
        </w:rPr>
        <w:tab/>
        <w:t>Alsharari ZD, Leander K, Sjögren P, Carlsson A, Cederholm T, de Faire U, et al. Association between carbohydrate intake and fatty acids in the de novo lipogenic pathway in serum phospholipids and adipose tissue in a population of Swedish men. Eur J Nutr. 2019</w:t>
      </w:r>
      <w:r w:rsidR="002C1F5A">
        <w:rPr>
          <w:noProof/>
          <w:sz w:val="22"/>
        </w:rPr>
        <w:t xml:space="preserve"> </w:t>
      </w:r>
      <w:r w:rsidRPr="00BD56DC">
        <w:rPr>
          <w:noProof/>
          <w:sz w:val="22"/>
        </w:rPr>
        <w:t>doi:10.1007/s00394-019-02058-6</w:t>
      </w:r>
    </w:p>
    <w:p w14:paraId="6F697631"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46. </w:t>
      </w:r>
      <w:r w:rsidRPr="00BD56DC">
        <w:rPr>
          <w:noProof/>
          <w:sz w:val="22"/>
        </w:rPr>
        <w:tab/>
        <w:t>Imamura F, Micha R, Wu JHY, de Oliveira Otto MC, Otite FO, Abioye AI, et al. Effects of Saturated Fat, Polyunsaturated Fat, Monounsaturated Fat, and Carbohydrate on Glucose-Insulin Homeostasis: A Systematic Review and Meta-analysis of Randomised Controlled Feeding Trials. Ma RCW, editor. PLoS Med. 2016;13(7):e1002087. doi:10.1371/journal.pmed.1002087</w:t>
      </w:r>
    </w:p>
    <w:p w14:paraId="3BE82106"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47. </w:t>
      </w:r>
      <w:r w:rsidRPr="00BD56DC">
        <w:rPr>
          <w:noProof/>
          <w:sz w:val="22"/>
        </w:rPr>
        <w:tab/>
        <w:t>Skeaff CM, Hodson L, McKenzie JE. Dietary-Induced Changes in Fatty Acid Composition of Human Plasma, Platelet, and Erythrocyte Lipids Follow a Similar Time Course. J Nutr. 2006;136(3):565–9. doi:10.1093/jn/136.3.565</w:t>
      </w:r>
    </w:p>
    <w:p w14:paraId="5347BA52"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48. </w:t>
      </w:r>
      <w:r w:rsidRPr="00BD56DC">
        <w:rPr>
          <w:noProof/>
          <w:sz w:val="22"/>
        </w:rPr>
        <w:tab/>
        <w:t>Rosqvist F, McNeil CA, Pramfalk C, Parry SA, Low WS, Cornfield T, et al. Fasting hepatic de novo lipogenesis is not reliably assessed using circulating fatty acid markers. Am J Clin Nutr. 2019;109(2):260–8. doi:10.1093/ajcn/nqy304</w:t>
      </w:r>
    </w:p>
    <w:p w14:paraId="01C3BF26"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49. </w:t>
      </w:r>
      <w:r w:rsidRPr="00BD56DC">
        <w:rPr>
          <w:noProof/>
          <w:sz w:val="22"/>
        </w:rPr>
        <w:tab/>
        <w:t>Diraison F, Pachiaudi C, Beylot M. Measuring lipogenesis and cholesterol synthesis in humans with deuterated water: use of simple gas chromatographic/mass spectrometric techniques. J Mass Spectrometry. 1997;32(1):81–6. doi:10.1002/(SICI)1096-9888(199701)32:1&lt;81::AID-JMS454&gt;3.0.CO;2-2</w:t>
      </w:r>
    </w:p>
    <w:p w14:paraId="4D88C2BC" w14:textId="77777777" w:rsidR="00BD56DC" w:rsidRPr="00BD56DC" w:rsidRDefault="00BD56DC" w:rsidP="006219C3">
      <w:pPr>
        <w:widowControl w:val="0"/>
        <w:tabs>
          <w:tab w:val="left" w:pos="426"/>
        </w:tabs>
        <w:autoSpaceDE w:val="0"/>
        <w:autoSpaceDN w:val="0"/>
        <w:adjustRightInd w:val="0"/>
        <w:spacing w:line="480" w:lineRule="auto"/>
        <w:rPr>
          <w:noProof/>
          <w:sz w:val="22"/>
        </w:rPr>
      </w:pPr>
      <w:r w:rsidRPr="00BD56DC">
        <w:rPr>
          <w:noProof/>
          <w:sz w:val="22"/>
        </w:rPr>
        <w:t xml:space="preserve">50. </w:t>
      </w:r>
      <w:r w:rsidRPr="00BD56DC">
        <w:rPr>
          <w:noProof/>
          <w:sz w:val="22"/>
        </w:rPr>
        <w:tab/>
        <w:t>Lai HTM, de Oliveira Otto MC, Lee Y, Wu JHY, Song X, King IB, et al. Serial Plasma Phospholipid Fatty Acids in the De Novo Lipogenesis Pathway and Total Mortality, Cause</w:t>
      </w:r>
      <w:r w:rsidRPr="00BD56DC">
        <w:rPr>
          <w:rFonts w:ascii="Cambria Math" w:hAnsi="Cambria Math" w:cs="Cambria Math"/>
          <w:noProof/>
          <w:sz w:val="22"/>
        </w:rPr>
        <w:t>‐</w:t>
      </w:r>
      <w:r w:rsidRPr="00BD56DC">
        <w:rPr>
          <w:noProof/>
          <w:sz w:val="22"/>
        </w:rPr>
        <w:t>Specific Mortality, and Cardiovascular Diseases in the Cardiovascular Health Study. J Am Heart Assoc. 2019;8(22). doi:10.1161/JAHA.119.012881</w:t>
      </w:r>
    </w:p>
    <w:p w14:paraId="7E969799" w14:textId="51323D8F" w:rsidR="00606DF9" w:rsidRPr="00C40A28" w:rsidRDefault="00BD56DC" w:rsidP="006219C3">
      <w:pPr>
        <w:widowControl w:val="0"/>
        <w:tabs>
          <w:tab w:val="left" w:pos="426"/>
        </w:tabs>
        <w:autoSpaceDE w:val="0"/>
        <w:autoSpaceDN w:val="0"/>
        <w:adjustRightInd w:val="0"/>
        <w:spacing w:line="480" w:lineRule="auto"/>
        <w:rPr>
          <w:sz w:val="22"/>
          <w:szCs w:val="22"/>
          <w:lang w:val="en-US"/>
        </w:rPr>
      </w:pPr>
      <w:r w:rsidRPr="00BD56DC">
        <w:rPr>
          <w:noProof/>
          <w:sz w:val="22"/>
        </w:rPr>
        <w:t xml:space="preserve">51. </w:t>
      </w:r>
      <w:r w:rsidRPr="00BD56DC">
        <w:rPr>
          <w:noProof/>
          <w:sz w:val="22"/>
        </w:rPr>
        <w:tab/>
        <w:t xml:space="preserve">Zheng J-S, Imamura F, Sharp SJ, Koulman A, Griffin JL, Mulligan AA, et al. Changes in plasma phospholipid fatty acid profiles over 13 years and correlates of change: European Prospective Investigation into Cancer and Nutrition-Norfolk Study. Am J Clin Nutr. 2019;109(6):1527–34. </w:t>
      </w:r>
      <w:r w:rsidRPr="00BD56DC">
        <w:rPr>
          <w:noProof/>
          <w:sz w:val="22"/>
        </w:rPr>
        <w:lastRenderedPageBreak/>
        <w:t>doi:10.1093/ajcn/nqz030</w:t>
      </w:r>
      <w:r w:rsidR="00044D13" w:rsidRPr="00C40A28">
        <w:rPr>
          <w:sz w:val="22"/>
          <w:szCs w:val="22"/>
          <w:lang w:val="en-US"/>
        </w:rPr>
        <w:fldChar w:fldCharType="end"/>
      </w:r>
      <w:r w:rsidR="00606DF9" w:rsidRPr="00C40A28">
        <w:rPr>
          <w:sz w:val="22"/>
          <w:szCs w:val="22"/>
          <w:lang w:val="en-US"/>
        </w:rPr>
        <w:br w:type="page"/>
      </w:r>
    </w:p>
    <w:p w14:paraId="0B11998F" w14:textId="0BDB234F" w:rsidR="00623637" w:rsidRPr="00C40A28" w:rsidRDefault="00CB2A0F" w:rsidP="00F23F45">
      <w:pPr>
        <w:widowControl w:val="0"/>
        <w:autoSpaceDE w:val="0"/>
        <w:autoSpaceDN w:val="0"/>
        <w:adjustRightInd w:val="0"/>
        <w:spacing w:line="480" w:lineRule="auto"/>
        <w:rPr>
          <w:rFonts w:eastAsiaTheme="minorEastAsia"/>
          <w:sz w:val="22"/>
          <w:szCs w:val="22"/>
          <w:lang w:val="en-US" w:eastAsia="ja-JP"/>
        </w:rPr>
      </w:pPr>
      <w:r w:rsidRPr="00C40A28">
        <w:rPr>
          <w:rFonts w:eastAsiaTheme="minorEastAsia"/>
          <w:b/>
          <w:sz w:val="22"/>
          <w:szCs w:val="22"/>
          <w:lang w:val="en-US" w:eastAsia="ja-JP"/>
        </w:rPr>
        <w:lastRenderedPageBreak/>
        <w:t>Supporting information</w:t>
      </w:r>
      <w:r w:rsidRPr="00C40A28">
        <w:rPr>
          <w:rFonts w:eastAsiaTheme="minorEastAsia"/>
          <w:sz w:val="22"/>
          <w:szCs w:val="22"/>
          <w:lang w:val="en-US" w:eastAsia="ja-JP"/>
        </w:rPr>
        <w:t>:</w:t>
      </w:r>
      <w:r w:rsidR="00623637" w:rsidRPr="00C40A28">
        <w:rPr>
          <w:rFonts w:eastAsiaTheme="minorEastAsia"/>
          <w:sz w:val="22"/>
          <w:szCs w:val="22"/>
          <w:lang w:val="en-US" w:eastAsia="ja-JP"/>
        </w:rPr>
        <w:t xml:space="preserve"> </w:t>
      </w:r>
    </w:p>
    <w:p w14:paraId="232DCCD1" w14:textId="5E0AC548" w:rsidR="00CB2A0F" w:rsidRPr="00C40A28" w:rsidRDefault="00CB2A0F" w:rsidP="004218EA">
      <w:pPr>
        <w:widowControl w:val="0"/>
        <w:autoSpaceDE w:val="0"/>
        <w:autoSpaceDN w:val="0"/>
        <w:adjustRightInd w:val="0"/>
        <w:spacing w:line="480" w:lineRule="auto"/>
        <w:rPr>
          <w:rFonts w:eastAsiaTheme="minorEastAsia"/>
          <w:sz w:val="22"/>
          <w:szCs w:val="22"/>
          <w:lang w:val="en-US" w:eastAsia="ja-JP"/>
        </w:rPr>
      </w:pPr>
      <w:r w:rsidRPr="00C40A28">
        <w:rPr>
          <w:rFonts w:eastAsiaTheme="minorEastAsia"/>
          <w:b/>
          <w:sz w:val="22"/>
          <w:szCs w:val="22"/>
          <w:lang w:val="en-US" w:eastAsia="ja-JP"/>
        </w:rPr>
        <w:t>S1 Table</w:t>
      </w:r>
      <w:r w:rsidRPr="00C40A28">
        <w:rPr>
          <w:rFonts w:eastAsiaTheme="minorEastAsia"/>
          <w:sz w:val="22"/>
          <w:szCs w:val="22"/>
          <w:lang w:val="en-US" w:eastAsia="ja-JP"/>
        </w:rPr>
        <w:t>. Correlations between fatty acids in the de novo lipogenesis pathway</w:t>
      </w:r>
    </w:p>
    <w:p w14:paraId="2F17309D" w14:textId="7269065D" w:rsidR="00CB2A0F" w:rsidRPr="00C40A28" w:rsidRDefault="00CB2A0F" w:rsidP="004218EA">
      <w:pPr>
        <w:widowControl w:val="0"/>
        <w:autoSpaceDE w:val="0"/>
        <w:autoSpaceDN w:val="0"/>
        <w:adjustRightInd w:val="0"/>
        <w:spacing w:line="480" w:lineRule="auto"/>
        <w:rPr>
          <w:rFonts w:eastAsiaTheme="minorEastAsia"/>
          <w:sz w:val="22"/>
          <w:szCs w:val="22"/>
          <w:lang w:val="en-US" w:eastAsia="ja-JP"/>
        </w:rPr>
      </w:pPr>
      <w:r w:rsidRPr="00C40A28">
        <w:rPr>
          <w:rFonts w:eastAsiaTheme="minorEastAsia"/>
          <w:b/>
          <w:sz w:val="22"/>
          <w:szCs w:val="22"/>
          <w:lang w:val="en-US" w:eastAsia="ja-JP"/>
        </w:rPr>
        <w:t>S1 Fig</w:t>
      </w:r>
      <w:r w:rsidRPr="00C40A28">
        <w:rPr>
          <w:rFonts w:eastAsiaTheme="minorEastAsia"/>
          <w:sz w:val="22"/>
          <w:szCs w:val="22"/>
          <w:lang w:val="en-US" w:eastAsia="ja-JP"/>
        </w:rPr>
        <w:t>. Prospective associations of fatty acids in the de novo lipogenesis (DNL) pathway with the risk of type 2 diabetes mellitus</w:t>
      </w:r>
    </w:p>
    <w:p w14:paraId="27B0C3D7" w14:textId="5108A125" w:rsidR="00CB2A0F" w:rsidRPr="00C40A28" w:rsidRDefault="00CB2A0F" w:rsidP="004218EA">
      <w:pPr>
        <w:widowControl w:val="0"/>
        <w:autoSpaceDE w:val="0"/>
        <w:autoSpaceDN w:val="0"/>
        <w:adjustRightInd w:val="0"/>
        <w:spacing w:line="480" w:lineRule="auto"/>
        <w:rPr>
          <w:rFonts w:eastAsiaTheme="minorEastAsia"/>
          <w:sz w:val="22"/>
          <w:szCs w:val="22"/>
          <w:lang w:val="en-US" w:eastAsia="ja-JP"/>
        </w:rPr>
      </w:pPr>
      <w:r w:rsidRPr="00C40A28">
        <w:rPr>
          <w:rFonts w:eastAsiaTheme="minorEastAsia"/>
          <w:b/>
          <w:sz w:val="22"/>
          <w:szCs w:val="22"/>
          <w:lang w:val="en-US" w:eastAsia="ja-JP"/>
        </w:rPr>
        <w:t>S2 Fig</w:t>
      </w:r>
      <w:r w:rsidRPr="00C40A28">
        <w:rPr>
          <w:rFonts w:eastAsiaTheme="minorEastAsia"/>
          <w:sz w:val="22"/>
          <w:szCs w:val="22"/>
          <w:lang w:val="en-US" w:eastAsia="ja-JP"/>
        </w:rPr>
        <w:t xml:space="preserve">. </w:t>
      </w:r>
      <w:r w:rsidR="0028163A">
        <w:rPr>
          <w:rFonts w:eastAsiaTheme="minorEastAsia" w:hint="eastAsia"/>
          <w:sz w:val="22"/>
          <w:szCs w:val="22"/>
          <w:lang w:val="en-US" w:eastAsia="ja-JP"/>
        </w:rPr>
        <w:t>A</w:t>
      </w:r>
      <w:r w:rsidR="0028163A" w:rsidRPr="00C40A28">
        <w:rPr>
          <w:rFonts w:eastAsiaTheme="minorEastAsia"/>
          <w:sz w:val="22"/>
          <w:szCs w:val="22"/>
          <w:lang w:val="en-US" w:eastAsia="ja-JP"/>
        </w:rPr>
        <w:t xml:space="preserve">ssociations </w:t>
      </w:r>
      <w:r w:rsidRPr="00C40A28">
        <w:rPr>
          <w:rFonts w:eastAsiaTheme="minorEastAsia"/>
          <w:sz w:val="22"/>
          <w:szCs w:val="22"/>
          <w:lang w:val="en-US" w:eastAsia="ja-JP"/>
        </w:rPr>
        <w:t>of fatty acids in the de novo lipogenesis pathway with the risk of type 2 diabetes mellitus after adjustment for 16:0 (for 16:1 n-7, 18:0, 18:1 n-9) and triglycerides</w:t>
      </w:r>
    </w:p>
    <w:p w14:paraId="4355C98D" w14:textId="531AEAD2" w:rsidR="00CB2A0F" w:rsidRPr="00C40A28" w:rsidRDefault="00CB2A0F" w:rsidP="004218EA">
      <w:pPr>
        <w:widowControl w:val="0"/>
        <w:autoSpaceDE w:val="0"/>
        <w:autoSpaceDN w:val="0"/>
        <w:adjustRightInd w:val="0"/>
        <w:spacing w:line="480" w:lineRule="auto"/>
        <w:rPr>
          <w:rFonts w:eastAsiaTheme="minorEastAsia"/>
          <w:sz w:val="22"/>
          <w:szCs w:val="22"/>
          <w:lang w:val="en-US" w:eastAsia="ja-JP"/>
        </w:rPr>
      </w:pPr>
      <w:r w:rsidRPr="00C40A28">
        <w:rPr>
          <w:rFonts w:eastAsiaTheme="minorEastAsia"/>
          <w:b/>
          <w:sz w:val="22"/>
          <w:szCs w:val="22"/>
          <w:lang w:val="en-US" w:eastAsia="ja-JP"/>
        </w:rPr>
        <w:t>S3 Fig</w:t>
      </w:r>
      <w:r w:rsidRPr="00C40A28">
        <w:rPr>
          <w:rFonts w:eastAsiaTheme="minorEastAsia"/>
          <w:sz w:val="22"/>
          <w:szCs w:val="22"/>
          <w:lang w:val="en-US" w:eastAsia="ja-JP"/>
        </w:rPr>
        <w:t xml:space="preserve">. </w:t>
      </w:r>
      <w:r w:rsidR="0028163A">
        <w:rPr>
          <w:rFonts w:eastAsiaTheme="minorEastAsia" w:hint="eastAsia"/>
          <w:sz w:val="22"/>
          <w:szCs w:val="22"/>
          <w:lang w:val="en-US" w:eastAsia="ja-JP"/>
        </w:rPr>
        <w:t>A</w:t>
      </w:r>
      <w:r w:rsidR="0028163A" w:rsidRPr="00C40A28">
        <w:rPr>
          <w:rFonts w:eastAsiaTheme="minorEastAsia"/>
          <w:sz w:val="22"/>
          <w:szCs w:val="22"/>
          <w:lang w:val="en-US" w:eastAsia="ja-JP"/>
        </w:rPr>
        <w:t xml:space="preserve">ssociations </w:t>
      </w:r>
      <w:r w:rsidRPr="00C40A28">
        <w:rPr>
          <w:rFonts w:eastAsiaTheme="minorEastAsia"/>
          <w:sz w:val="22"/>
          <w:szCs w:val="22"/>
          <w:lang w:val="en-US" w:eastAsia="ja-JP"/>
        </w:rPr>
        <w:t>of palmitic acid (16:0), one of the fatty acids in the de novo lipogenesis pathway, with the risk of type 2 diabetes mellitus: pooled analysis stratified by lipid fraction</w:t>
      </w:r>
    </w:p>
    <w:p w14:paraId="4D21F3C6" w14:textId="4AAF6716" w:rsidR="00CB2A0F" w:rsidRPr="00C40A28" w:rsidRDefault="00CB2A0F" w:rsidP="004218EA">
      <w:pPr>
        <w:widowControl w:val="0"/>
        <w:autoSpaceDE w:val="0"/>
        <w:autoSpaceDN w:val="0"/>
        <w:adjustRightInd w:val="0"/>
        <w:spacing w:line="480" w:lineRule="auto"/>
        <w:rPr>
          <w:rFonts w:eastAsiaTheme="minorEastAsia"/>
          <w:sz w:val="22"/>
          <w:szCs w:val="22"/>
          <w:lang w:val="en-US" w:eastAsia="ja-JP"/>
        </w:rPr>
      </w:pPr>
      <w:r w:rsidRPr="00C40A28">
        <w:rPr>
          <w:rFonts w:eastAsiaTheme="minorEastAsia"/>
          <w:b/>
          <w:sz w:val="22"/>
          <w:szCs w:val="22"/>
          <w:lang w:val="en-US" w:eastAsia="ja-JP"/>
        </w:rPr>
        <w:t>S4 Fig</w:t>
      </w:r>
      <w:r w:rsidRPr="00C40A28">
        <w:rPr>
          <w:rFonts w:eastAsiaTheme="minorEastAsia"/>
          <w:sz w:val="22"/>
          <w:szCs w:val="22"/>
          <w:lang w:val="en-US" w:eastAsia="ja-JP"/>
        </w:rPr>
        <w:t xml:space="preserve">. </w:t>
      </w:r>
      <w:r w:rsidR="0028163A">
        <w:rPr>
          <w:rFonts w:eastAsiaTheme="minorEastAsia" w:hint="eastAsia"/>
          <w:sz w:val="22"/>
          <w:szCs w:val="22"/>
          <w:lang w:val="en-US" w:eastAsia="ja-JP"/>
        </w:rPr>
        <w:t>A</w:t>
      </w:r>
      <w:r w:rsidR="0028163A" w:rsidRPr="00C40A28">
        <w:rPr>
          <w:rFonts w:eastAsiaTheme="minorEastAsia"/>
          <w:sz w:val="22"/>
          <w:szCs w:val="22"/>
          <w:lang w:val="en-US" w:eastAsia="ja-JP"/>
        </w:rPr>
        <w:t xml:space="preserve">ssociations </w:t>
      </w:r>
      <w:r w:rsidRPr="00C40A28">
        <w:rPr>
          <w:rFonts w:eastAsiaTheme="minorEastAsia"/>
          <w:sz w:val="22"/>
          <w:szCs w:val="22"/>
          <w:lang w:val="en-US" w:eastAsia="ja-JP"/>
        </w:rPr>
        <w:t>of palmitoleic acid (16:1 n-7), one of the fatty acids in the de novo lipogenesis pathway, with the risk of type 2 diabetes mellitus: pooled analysis stratified by lipid fraction</w:t>
      </w:r>
    </w:p>
    <w:p w14:paraId="2A91CCB2" w14:textId="461286F1" w:rsidR="00CB2A0F" w:rsidRPr="00C40A28" w:rsidRDefault="00CB2A0F" w:rsidP="004218EA">
      <w:pPr>
        <w:widowControl w:val="0"/>
        <w:autoSpaceDE w:val="0"/>
        <w:autoSpaceDN w:val="0"/>
        <w:adjustRightInd w:val="0"/>
        <w:spacing w:line="480" w:lineRule="auto"/>
        <w:rPr>
          <w:rFonts w:eastAsiaTheme="minorEastAsia"/>
          <w:sz w:val="22"/>
          <w:szCs w:val="22"/>
          <w:lang w:val="en-US" w:eastAsia="ja-JP"/>
        </w:rPr>
      </w:pPr>
      <w:r w:rsidRPr="00C40A28">
        <w:rPr>
          <w:rFonts w:eastAsiaTheme="minorEastAsia"/>
          <w:b/>
          <w:sz w:val="22"/>
          <w:szCs w:val="22"/>
          <w:lang w:val="en-US" w:eastAsia="ja-JP"/>
        </w:rPr>
        <w:t>S5 Fig</w:t>
      </w:r>
      <w:r w:rsidRPr="00C40A28">
        <w:rPr>
          <w:rFonts w:eastAsiaTheme="minorEastAsia"/>
          <w:sz w:val="22"/>
          <w:szCs w:val="22"/>
          <w:lang w:val="en-US" w:eastAsia="ja-JP"/>
        </w:rPr>
        <w:t xml:space="preserve">. </w:t>
      </w:r>
      <w:r w:rsidR="0028163A">
        <w:rPr>
          <w:rFonts w:eastAsiaTheme="minorEastAsia" w:hint="eastAsia"/>
          <w:sz w:val="22"/>
          <w:szCs w:val="22"/>
          <w:lang w:val="en-US" w:eastAsia="ja-JP"/>
        </w:rPr>
        <w:t>A</w:t>
      </w:r>
      <w:r w:rsidR="0028163A" w:rsidRPr="00C40A28">
        <w:rPr>
          <w:rFonts w:eastAsiaTheme="minorEastAsia"/>
          <w:sz w:val="22"/>
          <w:szCs w:val="22"/>
          <w:lang w:val="en-US" w:eastAsia="ja-JP"/>
        </w:rPr>
        <w:t xml:space="preserve">ssociations </w:t>
      </w:r>
      <w:r w:rsidRPr="00C40A28">
        <w:rPr>
          <w:rFonts w:eastAsiaTheme="minorEastAsia"/>
          <w:sz w:val="22"/>
          <w:szCs w:val="22"/>
          <w:lang w:val="en-US" w:eastAsia="ja-JP"/>
        </w:rPr>
        <w:t>of stearic acid (18:0), one of the fatty acids in the de novo lipogenesis pathway, with the risk of type 2 diabetes mellitus: pooled analysis stratified by lipid fraction</w:t>
      </w:r>
    </w:p>
    <w:p w14:paraId="3666935E" w14:textId="4FCF9E1F" w:rsidR="00CB2A0F" w:rsidRPr="00C40A28" w:rsidRDefault="00CB2A0F" w:rsidP="004218EA">
      <w:pPr>
        <w:widowControl w:val="0"/>
        <w:autoSpaceDE w:val="0"/>
        <w:autoSpaceDN w:val="0"/>
        <w:adjustRightInd w:val="0"/>
        <w:spacing w:line="480" w:lineRule="auto"/>
        <w:rPr>
          <w:rFonts w:eastAsiaTheme="minorEastAsia"/>
          <w:sz w:val="22"/>
          <w:szCs w:val="22"/>
          <w:lang w:val="en-US" w:eastAsia="ja-JP"/>
        </w:rPr>
      </w:pPr>
      <w:r w:rsidRPr="00C40A28">
        <w:rPr>
          <w:rFonts w:eastAsiaTheme="minorEastAsia"/>
          <w:b/>
          <w:sz w:val="22"/>
          <w:szCs w:val="22"/>
          <w:lang w:val="en-US" w:eastAsia="ja-JP"/>
        </w:rPr>
        <w:t>S6 Fig</w:t>
      </w:r>
      <w:r w:rsidRPr="00C40A28">
        <w:rPr>
          <w:rFonts w:eastAsiaTheme="minorEastAsia"/>
          <w:sz w:val="22"/>
          <w:szCs w:val="22"/>
          <w:lang w:val="en-US" w:eastAsia="ja-JP"/>
        </w:rPr>
        <w:t xml:space="preserve">. </w:t>
      </w:r>
      <w:r w:rsidR="0028163A">
        <w:rPr>
          <w:rFonts w:eastAsiaTheme="minorEastAsia" w:hint="eastAsia"/>
          <w:sz w:val="22"/>
          <w:szCs w:val="22"/>
          <w:lang w:val="en-US" w:eastAsia="ja-JP"/>
        </w:rPr>
        <w:t>A</w:t>
      </w:r>
      <w:r w:rsidR="0028163A" w:rsidRPr="00C40A28">
        <w:rPr>
          <w:rFonts w:eastAsiaTheme="minorEastAsia"/>
          <w:sz w:val="22"/>
          <w:szCs w:val="22"/>
          <w:lang w:val="en-US" w:eastAsia="ja-JP"/>
        </w:rPr>
        <w:t xml:space="preserve">ssociations </w:t>
      </w:r>
      <w:r w:rsidRPr="00C40A28">
        <w:rPr>
          <w:rFonts w:eastAsiaTheme="minorEastAsia"/>
          <w:sz w:val="22"/>
          <w:szCs w:val="22"/>
          <w:lang w:val="en-US" w:eastAsia="ja-JP"/>
        </w:rPr>
        <w:t>of stearic acid (18:1 n-9), one of the fatty acids in the de novo lipogenesis pathway, with the risk of type 2 diabetes mellitus: pooled analysis stratified by lipid fraction</w:t>
      </w:r>
    </w:p>
    <w:p w14:paraId="218542BC" w14:textId="6F155E59" w:rsidR="00F23F45" w:rsidRPr="00C40A28" w:rsidRDefault="00CB2A0F" w:rsidP="00F23F45">
      <w:pPr>
        <w:widowControl w:val="0"/>
        <w:autoSpaceDE w:val="0"/>
        <w:autoSpaceDN w:val="0"/>
        <w:adjustRightInd w:val="0"/>
        <w:spacing w:line="480" w:lineRule="auto"/>
        <w:rPr>
          <w:rFonts w:eastAsiaTheme="minorEastAsia"/>
          <w:sz w:val="22"/>
          <w:szCs w:val="22"/>
          <w:lang w:val="en-US" w:eastAsia="ja-JP"/>
        </w:rPr>
      </w:pPr>
      <w:r w:rsidRPr="00C40A28">
        <w:rPr>
          <w:rFonts w:eastAsiaTheme="minorEastAsia"/>
          <w:b/>
          <w:sz w:val="22"/>
          <w:szCs w:val="22"/>
          <w:lang w:val="en-US" w:eastAsia="ja-JP"/>
        </w:rPr>
        <w:t>S2 Table</w:t>
      </w:r>
      <w:r w:rsidR="0038531B" w:rsidRPr="00C40A28">
        <w:rPr>
          <w:rFonts w:eastAsiaTheme="minorEastAsia"/>
          <w:sz w:val="22"/>
          <w:szCs w:val="22"/>
          <w:lang w:val="en-US" w:eastAsia="ja-JP"/>
        </w:rPr>
        <w:t>. Exploratory analyses of the associations of fatty acids in the de novo lipogenesis pathway with incident type 2 diabetes</w:t>
      </w:r>
    </w:p>
    <w:p w14:paraId="3C1BC9E8" w14:textId="477A3C7E" w:rsidR="0038531B" w:rsidRPr="00C40A28" w:rsidRDefault="0038531B" w:rsidP="00F23F45">
      <w:pPr>
        <w:widowControl w:val="0"/>
        <w:autoSpaceDE w:val="0"/>
        <w:autoSpaceDN w:val="0"/>
        <w:adjustRightInd w:val="0"/>
        <w:spacing w:line="480" w:lineRule="auto"/>
        <w:rPr>
          <w:rFonts w:eastAsiaTheme="minorEastAsia"/>
          <w:sz w:val="22"/>
          <w:szCs w:val="22"/>
          <w:lang w:val="en-US" w:eastAsia="ja-JP"/>
        </w:rPr>
      </w:pPr>
      <w:r w:rsidRPr="00C40A28">
        <w:rPr>
          <w:rFonts w:eastAsiaTheme="minorEastAsia"/>
          <w:b/>
          <w:sz w:val="22"/>
          <w:szCs w:val="22"/>
          <w:lang w:val="en-US" w:eastAsia="ja-JP"/>
        </w:rPr>
        <w:t>S7 Fig</w:t>
      </w:r>
      <w:r w:rsidRPr="00C40A28">
        <w:rPr>
          <w:rFonts w:eastAsiaTheme="minorEastAsia"/>
          <w:sz w:val="22"/>
          <w:szCs w:val="22"/>
          <w:lang w:val="en-US" w:eastAsia="ja-JP"/>
        </w:rPr>
        <w:t>. Forest plots of exp(β) of statistical interaction terms by age, sex, and BMI for an association of each of the fatty acids (16:0, 16:1n7, 18:0, and 18:1n9) related to de novo lipogenesis with incidence of type 2 diabetes</w:t>
      </w:r>
    </w:p>
    <w:p w14:paraId="105DD9B3" w14:textId="2DA9CA7A" w:rsidR="00F23F45" w:rsidRPr="00C40A28" w:rsidRDefault="00F23F45" w:rsidP="00F23F45">
      <w:pPr>
        <w:widowControl w:val="0"/>
        <w:autoSpaceDE w:val="0"/>
        <w:autoSpaceDN w:val="0"/>
        <w:adjustRightInd w:val="0"/>
        <w:spacing w:line="480" w:lineRule="auto"/>
        <w:rPr>
          <w:rFonts w:eastAsiaTheme="minorEastAsia"/>
          <w:sz w:val="22"/>
          <w:szCs w:val="22"/>
          <w:lang w:val="en-US" w:eastAsia="ja-JP"/>
        </w:rPr>
      </w:pPr>
      <w:r w:rsidRPr="00C40A28">
        <w:rPr>
          <w:rFonts w:eastAsiaTheme="minorEastAsia"/>
          <w:b/>
          <w:sz w:val="22"/>
          <w:szCs w:val="22"/>
          <w:lang w:val="en-US" w:eastAsia="ja-JP"/>
        </w:rPr>
        <w:t>S1 Text</w:t>
      </w:r>
      <w:r w:rsidRPr="00C40A28">
        <w:rPr>
          <w:rFonts w:eastAsiaTheme="minorEastAsia"/>
          <w:sz w:val="22"/>
          <w:szCs w:val="22"/>
          <w:lang w:val="en-US" w:eastAsia="ja-JP"/>
        </w:rPr>
        <w:t>. Characteristics and references of prospective cohorts evaluating associations between fatty acids related to the de novo lipogenesis pathway and the risk of developing type 2 diabetes.</w:t>
      </w:r>
    </w:p>
    <w:p w14:paraId="783148EC" w14:textId="1FD7D77A" w:rsidR="00970D2A" w:rsidRPr="00C40A28" w:rsidRDefault="00F23F45" w:rsidP="00970D2A">
      <w:pPr>
        <w:widowControl w:val="0"/>
        <w:autoSpaceDE w:val="0"/>
        <w:autoSpaceDN w:val="0"/>
        <w:adjustRightInd w:val="0"/>
        <w:spacing w:line="480" w:lineRule="auto"/>
        <w:rPr>
          <w:rFonts w:eastAsiaTheme="minorEastAsia"/>
          <w:sz w:val="22"/>
          <w:szCs w:val="22"/>
          <w:lang w:val="en-US" w:eastAsia="ja-JP"/>
        </w:rPr>
      </w:pPr>
      <w:r w:rsidRPr="00C40A28">
        <w:rPr>
          <w:rFonts w:eastAsiaTheme="minorEastAsia"/>
          <w:b/>
          <w:sz w:val="22"/>
          <w:szCs w:val="22"/>
          <w:lang w:val="en-US" w:eastAsia="ja-JP"/>
        </w:rPr>
        <w:t>S2 Text</w:t>
      </w:r>
      <w:r w:rsidRPr="00C40A28">
        <w:rPr>
          <w:rFonts w:eastAsiaTheme="minorEastAsia"/>
          <w:sz w:val="22"/>
          <w:szCs w:val="22"/>
          <w:lang w:val="en-US" w:eastAsia="ja-JP"/>
        </w:rPr>
        <w:t>. Study protocol</w:t>
      </w:r>
      <w:r w:rsidR="00970D2A" w:rsidRPr="00970D2A">
        <w:rPr>
          <w:rFonts w:eastAsiaTheme="minorEastAsia"/>
          <w:sz w:val="22"/>
          <w:szCs w:val="22"/>
          <w:lang w:val="en-US" w:eastAsia="ja-JP"/>
        </w:rPr>
        <w:t xml:space="preserve"> </w:t>
      </w:r>
    </w:p>
    <w:p w14:paraId="586B41A5" w14:textId="2EBC7292" w:rsidR="00CB2A0F" w:rsidRPr="00C40A28" w:rsidRDefault="00970D2A" w:rsidP="00623637">
      <w:pPr>
        <w:widowControl w:val="0"/>
        <w:autoSpaceDE w:val="0"/>
        <w:autoSpaceDN w:val="0"/>
        <w:adjustRightInd w:val="0"/>
        <w:spacing w:line="480" w:lineRule="auto"/>
        <w:rPr>
          <w:rFonts w:eastAsiaTheme="minorEastAsia"/>
          <w:sz w:val="22"/>
          <w:szCs w:val="22"/>
          <w:lang w:val="en-US" w:eastAsia="ja-JP"/>
        </w:rPr>
      </w:pPr>
      <w:r>
        <w:rPr>
          <w:rFonts w:eastAsiaTheme="minorEastAsia"/>
          <w:b/>
          <w:sz w:val="22"/>
          <w:szCs w:val="22"/>
          <w:lang w:val="en-US" w:eastAsia="ja-JP"/>
        </w:rPr>
        <w:t>S1</w:t>
      </w:r>
      <w:r w:rsidR="007249C4">
        <w:rPr>
          <w:rFonts w:eastAsiaTheme="minorEastAsia"/>
          <w:b/>
          <w:sz w:val="22"/>
          <w:szCs w:val="22"/>
          <w:lang w:val="en-US" w:eastAsia="ja-JP"/>
        </w:rPr>
        <w:t xml:space="preserve"> PRISMA </w:t>
      </w:r>
      <w:r>
        <w:rPr>
          <w:rFonts w:eastAsiaTheme="minorEastAsia"/>
          <w:b/>
          <w:sz w:val="22"/>
          <w:szCs w:val="22"/>
          <w:lang w:val="en-US" w:eastAsia="ja-JP"/>
        </w:rPr>
        <w:t>Checklist</w:t>
      </w:r>
      <w:r w:rsidRPr="00C40A28">
        <w:rPr>
          <w:rFonts w:eastAsiaTheme="minorEastAsia"/>
          <w:sz w:val="22"/>
          <w:szCs w:val="22"/>
          <w:lang w:val="en-US" w:eastAsia="ja-JP"/>
        </w:rPr>
        <w:t xml:space="preserve">. </w:t>
      </w:r>
      <w:r>
        <w:rPr>
          <w:rFonts w:eastAsiaTheme="minorEastAsia"/>
          <w:sz w:val="22"/>
          <w:szCs w:val="22"/>
          <w:lang w:val="en-US" w:eastAsia="ja-JP"/>
        </w:rPr>
        <w:t>The PRISMA Guideline Checklist</w:t>
      </w:r>
    </w:p>
    <w:sectPr w:rsidR="00CB2A0F" w:rsidRPr="00C40A28" w:rsidSect="00275EA4">
      <w:type w:val="continuous"/>
      <w:pgSz w:w="12240" w:h="15840"/>
      <w:pgMar w:top="1440" w:right="1440" w:bottom="1440" w:left="1440" w:header="720" w:footer="274"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87D72" w14:textId="77777777" w:rsidR="0078560E" w:rsidRDefault="0078560E" w:rsidP="006A33F7">
      <w:r>
        <w:separator/>
      </w:r>
    </w:p>
    <w:p w14:paraId="76C126B9" w14:textId="77777777" w:rsidR="0078560E" w:rsidRDefault="0078560E"/>
  </w:endnote>
  <w:endnote w:type="continuationSeparator" w:id="0">
    <w:p w14:paraId="3533A771" w14:textId="77777777" w:rsidR="0078560E" w:rsidRDefault="0078560E" w:rsidP="006A33F7">
      <w:r>
        <w:continuationSeparator/>
      </w:r>
    </w:p>
    <w:p w14:paraId="19AB74F1" w14:textId="77777777" w:rsidR="0078560E" w:rsidRDefault="0078560E"/>
  </w:endnote>
  <w:endnote w:type="continuationNotice" w:id="1">
    <w:p w14:paraId="04F7A95D" w14:textId="77777777" w:rsidR="0078560E" w:rsidRDefault="0078560E"/>
    <w:p w14:paraId="2C2901E5" w14:textId="77777777" w:rsidR="0078560E" w:rsidRDefault="00785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GillSans">
    <w:altName w:val="Times New Roman"/>
    <w:charset w:val="B1"/>
    <w:family w:val="swiss"/>
    <w:pitch w:val="variable"/>
    <w:sig w:usb0="80000A67" w:usb1="00000000" w:usb2="00000000" w:usb3="00000000" w:csb0="000001F7" w:csb1="00000000"/>
  </w:font>
  <w:font w:name="Lucida Grande">
    <w:altName w:val="Segoe UI"/>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9575F" w14:textId="77777777" w:rsidR="0078560E" w:rsidRDefault="0078560E" w:rsidP="006A33F7">
      <w:r>
        <w:separator/>
      </w:r>
    </w:p>
    <w:p w14:paraId="2069AD15" w14:textId="77777777" w:rsidR="0078560E" w:rsidRDefault="0078560E"/>
  </w:footnote>
  <w:footnote w:type="continuationSeparator" w:id="0">
    <w:p w14:paraId="5738AAC5" w14:textId="77777777" w:rsidR="0078560E" w:rsidRDefault="0078560E" w:rsidP="006A33F7">
      <w:r>
        <w:continuationSeparator/>
      </w:r>
    </w:p>
    <w:p w14:paraId="33FC26CD" w14:textId="77777777" w:rsidR="0078560E" w:rsidRDefault="0078560E"/>
  </w:footnote>
  <w:footnote w:type="continuationNotice" w:id="1">
    <w:p w14:paraId="43DA57A8" w14:textId="77777777" w:rsidR="0078560E" w:rsidRDefault="0078560E"/>
    <w:p w14:paraId="2A61B14F" w14:textId="77777777" w:rsidR="0078560E" w:rsidRDefault="007856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14:paraId="6A262B87" w14:textId="6D64A125" w:rsidR="007A7E80" w:rsidRDefault="007A7E80">
        <w:pPr>
          <w:pStyle w:val="Header"/>
          <w:jc w:val="right"/>
        </w:pPr>
        <w:r>
          <w:t xml:space="preserve">Page </w:t>
        </w:r>
        <w:r>
          <w:rPr>
            <w:b/>
            <w:bCs/>
          </w:rPr>
          <w:fldChar w:fldCharType="begin"/>
        </w:r>
        <w:r>
          <w:rPr>
            <w:b/>
            <w:bCs/>
          </w:rPr>
          <w:instrText xml:space="preserve"> PAGE </w:instrText>
        </w:r>
        <w:r>
          <w:rPr>
            <w:b/>
            <w:bCs/>
          </w:rPr>
          <w:fldChar w:fldCharType="separate"/>
        </w:r>
        <w:r w:rsidR="00663F9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63F9F">
          <w:rPr>
            <w:b/>
            <w:bCs/>
            <w:noProof/>
          </w:rPr>
          <w:t>28</w:t>
        </w:r>
        <w:r>
          <w:rPr>
            <w:b/>
            <w:bCs/>
          </w:rPr>
          <w:fldChar w:fldCharType="end"/>
        </w:r>
      </w:p>
    </w:sdtContent>
  </w:sdt>
  <w:p w14:paraId="2EA9C1E5" w14:textId="77777777" w:rsidR="007A7E80" w:rsidRDefault="007A7E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30935" w14:textId="2F75FD43" w:rsidR="007A7E80" w:rsidRDefault="007A7E80" w:rsidP="00AB1874">
    <w:pPr>
      <w:pStyle w:val="Header"/>
      <w:jc w:val="right"/>
    </w:pPr>
    <w:r>
      <w:fldChar w:fldCharType="begin"/>
    </w:r>
    <w:r w:rsidRPr="00AB1874">
      <w:instrText xml:space="preserve"> PAGE   \* MERGEFORMAT </w:instrText>
    </w:r>
    <w:r>
      <w:fldChar w:fldCharType="separate"/>
    </w:r>
    <w:r w:rsidR="00663F9F">
      <w:rPr>
        <w:noProof/>
      </w:rPr>
      <w:t>13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259310"/>
      <w:docPartObj>
        <w:docPartGallery w:val="Page Numbers (Top of Page)"/>
        <w:docPartUnique/>
      </w:docPartObj>
    </w:sdtPr>
    <w:sdtEndPr/>
    <w:sdtContent>
      <w:p w14:paraId="159C9760" w14:textId="5FC9E615" w:rsidR="007A7E80" w:rsidRDefault="007A7E80">
        <w:pPr>
          <w:pStyle w:val="Header"/>
          <w:jc w:val="right"/>
        </w:pPr>
        <w:r>
          <w:t xml:space="preserve">Page </w:t>
        </w:r>
        <w:r>
          <w:rPr>
            <w:b/>
            <w:bCs/>
          </w:rPr>
          <w:fldChar w:fldCharType="begin"/>
        </w:r>
        <w:r>
          <w:rPr>
            <w:b/>
            <w:bCs/>
          </w:rPr>
          <w:instrText xml:space="preserve"> PAGE </w:instrText>
        </w:r>
        <w:r>
          <w:rPr>
            <w:b/>
            <w:bCs/>
          </w:rPr>
          <w:fldChar w:fldCharType="separate"/>
        </w:r>
        <w:r w:rsidR="00663F9F">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663F9F">
          <w:rPr>
            <w:b/>
            <w:bCs/>
            <w:noProof/>
          </w:rPr>
          <w:t>28</w:t>
        </w:r>
        <w:r>
          <w:rPr>
            <w:b/>
            <w:bCs/>
          </w:rPr>
          <w:fldChar w:fldCharType="end"/>
        </w:r>
      </w:p>
    </w:sdtContent>
  </w:sdt>
  <w:p w14:paraId="3367EC68" w14:textId="77777777" w:rsidR="007A7E80" w:rsidRDefault="007A7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3F5C"/>
    <w:multiLevelType w:val="hybridMultilevel"/>
    <w:tmpl w:val="DCEA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F781D"/>
    <w:multiLevelType w:val="hybridMultilevel"/>
    <w:tmpl w:val="741A8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6C1443"/>
    <w:multiLevelType w:val="hybridMultilevel"/>
    <w:tmpl w:val="08EA3D38"/>
    <w:lvl w:ilvl="0" w:tplc="20663BF0">
      <w:start w:val="1"/>
      <w:numFmt w:val="bullet"/>
      <w:lvlText w:val=""/>
      <w:lvlJc w:val="left"/>
      <w:pPr>
        <w:ind w:left="360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1A211302"/>
    <w:multiLevelType w:val="hybridMultilevel"/>
    <w:tmpl w:val="C732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75A68"/>
    <w:multiLevelType w:val="hybridMultilevel"/>
    <w:tmpl w:val="3DDEE840"/>
    <w:lvl w:ilvl="0" w:tplc="10EA4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B0846"/>
    <w:multiLevelType w:val="hybridMultilevel"/>
    <w:tmpl w:val="394452E2"/>
    <w:lvl w:ilvl="0" w:tplc="20663BF0">
      <w:start w:val="1"/>
      <w:numFmt w:val="bullet"/>
      <w:lvlText w:val=""/>
      <w:lvlJc w:val="left"/>
      <w:pPr>
        <w:ind w:left="36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C399D"/>
    <w:multiLevelType w:val="hybridMultilevel"/>
    <w:tmpl w:val="D756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C2408"/>
    <w:multiLevelType w:val="hybridMultilevel"/>
    <w:tmpl w:val="132E36CE"/>
    <w:lvl w:ilvl="0" w:tplc="200A99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F7765"/>
    <w:multiLevelType w:val="hybridMultilevel"/>
    <w:tmpl w:val="6874C770"/>
    <w:lvl w:ilvl="0" w:tplc="20663BF0">
      <w:start w:val="1"/>
      <w:numFmt w:val="bullet"/>
      <w:lvlText w:val=""/>
      <w:lvlJc w:val="left"/>
      <w:pPr>
        <w:ind w:left="3656" w:hanging="360"/>
      </w:pPr>
      <w:rPr>
        <w:rFonts w:ascii="Symbol" w:hAnsi="Symbol" w:hint="default"/>
        <w:color w:val="auto"/>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9" w15:restartNumberingAfterBreak="0">
    <w:nsid w:val="2E663F7C"/>
    <w:multiLevelType w:val="hybridMultilevel"/>
    <w:tmpl w:val="56E2AB6A"/>
    <w:lvl w:ilvl="0" w:tplc="5A4686E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77F3D3F"/>
    <w:multiLevelType w:val="hybridMultilevel"/>
    <w:tmpl w:val="9816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8501F"/>
    <w:multiLevelType w:val="hybridMultilevel"/>
    <w:tmpl w:val="E3C0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F2492"/>
    <w:multiLevelType w:val="hybridMultilevel"/>
    <w:tmpl w:val="95D4887E"/>
    <w:lvl w:ilvl="0" w:tplc="EE9A4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F6DCE"/>
    <w:multiLevelType w:val="hybridMultilevel"/>
    <w:tmpl w:val="918AC606"/>
    <w:lvl w:ilvl="0" w:tplc="8AD2170A">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0A64F9"/>
    <w:multiLevelType w:val="hybridMultilevel"/>
    <w:tmpl w:val="C2609284"/>
    <w:lvl w:ilvl="0" w:tplc="6336A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D13EDC"/>
    <w:multiLevelType w:val="hybridMultilevel"/>
    <w:tmpl w:val="074C3874"/>
    <w:lvl w:ilvl="0" w:tplc="034E48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3FC1F18"/>
    <w:multiLevelType w:val="hybridMultilevel"/>
    <w:tmpl w:val="6E24C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85FF0"/>
    <w:multiLevelType w:val="hybridMultilevel"/>
    <w:tmpl w:val="7282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20018"/>
    <w:multiLevelType w:val="hybridMultilevel"/>
    <w:tmpl w:val="21704B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764871D1"/>
    <w:multiLevelType w:val="hybridMultilevel"/>
    <w:tmpl w:val="838883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794823F1"/>
    <w:multiLevelType w:val="hybridMultilevel"/>
    <w:tmpl w:val="07D017C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1" w15:restartNumberingAfterBreak="0">
    <w:nsid w:val="79F5114B"/>
    <w:multiLevelType w:val="hybridMultilevel"/>
    <w:tmpl w:val="4716A068"/>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E66929"/>
    <w:multiLevelType w:val="hybridMultilevel"/>
    <w:tmpl w:val="B2EA311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7E7B18F4"/>
    <w:multiLevelType w:val="hybridMultilevel"/>
    <w:tmpl w:val="119007FA"/>
    <w:lvl w:ilvl="0" w:tplc="EAF44AF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num>
  <w:num w:numId="8">
    <w:abstractNumId w:val="4"/>
  </w:num>
  <w:num w:numId="9">
    <w:abstractNumId w:val="14"/>
  </w:num>
  <w:num w:numId="10">
    <w:abstractNumId w:val="18"/>
  </w:num>
  <w:num w:numId="11">
    <w:abstractNumId w:val="9"/>
  </w:num>
  <w:num w:numId="12">
    <w:abstractNumId w:val="7"/>
  </w:num>
  <w:num w:numId="13">
    <w:abstractNumId w:val="21"/>
  </w:num>
  <w:num w:numId="14">
    <w:abstractNumId w:val="0"/>
  </w:num>
  <w:num w:numId="15">
    <w:abstractNumId w:val="11"/>
  </w:num>
  <w:num w:numId="16">
    <w:abstractNumId w:val="3"/>
  </w:num>
  <w:num w:numId="17">
    <w:abstractNumId w:val="16"/>
  </w:num>
  <w:num w:numId="18">
    <w:abstractNumId w:val="6"/>
  </w:num>
  <w:num w:numId="19">
    <w:abstractNumId w:val="10"/>
  </w:num>
  <w:num w:numId="20">
    <w:abstractNumId w:val="1"/>
  </w:num>
  <w:num w:numId="21">
    <w:abstractNumId w:val="17"/>
  </w:num>
  <w:num w:numId="22">
    <w:abstractNumId w:val="22"/>
  </w:num>
  <w:num w:numId="23">
    <w:abstractNumId w:val="20"/>
  </w:num>
  <w:num w:numId="24">
    <w:abstractNumId w:val="2"/>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rA0NDQzsrS0MDU2szBQ0lEKTi0uzszPAykwrgUATSQvwSwAAAA="/>
    <w:docVar w:name="EN.InstantFormat" w:val="&lt;ENInstantFormat&gt;&lt;Enabled&gt;1&lt;/Enabled&gt;&lt;ScanUnformatted&gt;1&lt;/ScanUnformatted&gt;&lt;ScanChanges&gt;1&lt;/ScanChanges&gt;&lt;Suspended&gt;1&lt;/Suspended&gt;&lt;/ENInstantFormat&gt;"/>
    <w:docVar w:name="EN.Layout" w:val="&lt;ENLayout&gt;&lt;Style&gt;NI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d5xx5dpep5tvaerf95xav22wes5epverrrv&quot;&gt;CHARGE VLCSFA and DM&lt;record-ids&gt;&lt;item&gt;1&lt;/item&gt;&lt;item&gt;2&lt;/item&gt;&lt;item&gt;5&lt;/item&gt;&lt;item&gt;6&lt;/item&gt;&lt;item&gt;7&lt;/item&gt;&lt;item&gt;8&lt;/item&gt;&lt;item&gt;10&lt;/item&gt;&lt;item&gt;15&lt;/item&gt;&lt;item&gt;20&lt;/item&gt;&lt;item&gt;21&lt;/item&gt;&lt;item&gt;22&lt;/item&gt;&lt;/record-ids&gt;&lt;/item&gt;&lt;/Libraries&gt;"/>
  </w:docVars>
  <w:rsids>
    <w:rsidRoot w:val="005D1454"/>
    <w:rsid w:val="00000E2A"/>
    <w:rsid w:val="00002793"/>
    <w:rsid w:val="00003143"/>
    <w:rsid w:val="0000408B"/>
    <w:rsid w:val="000048D2"/>
    <w:rsid w:val="000057C5"/>
    <w:rsid w:val="00007191"/>
    <w:rsid w:val="00007F33"/>
    <w:rsid w:val="000100C9"/>
    <w:rsid w:val="000105DF"/>
    <w:rsid w:val="0001274A"/>
    <w:rsid w:val="00012AEF"/>
    <w:rsid w:val="0001320E"/>
    <w:rsid w:val="00014617"/>
    <w:rsid w:val="00014B23"/>
    <w:rsid w:val="00014B48"/>
    <w:rsid w:val="0001693E"/>
    <w:rsid w:val="000179DF"/>
    <w:rsid w:val="00017AC4"/>
    <w:rsid w:val="00021872"/>
    <w:rsid w:val="00021A9D"/>
    <w:rsid w:val="00021AA2"/>
    <w:rsid w:val="00021C13"/>
    <w:rsid w:val="0002331D"/>
    <w:rsid w:val="0002366B"/>
    <w:rsid w:val="00025519"/>
    <w:rsid w:val="00025EF9"/>
    <w:rsid w:val="00027716"/>
    <w:rsid w:val="00030027"/>
    <w:rsid w:val="00030898"/>
    <w:rsid w:val="00030E4E"/>
    <w:rsid w:val="00031C5F"/>
    <w:rsid w:val="00033B22"/>
    <w:rsid w:val="0003669D"/>
    <w:rsid w:val="0003738C"/>
    <w:rsid w:val="00037989"/>
    <w:rsid w:val="00037AE3"/>
    <w:rsid w:val="000410E5"/>
    <w:rsid w:val="0004133C"/>
    <w:rsid w:val="0004156F"/>
    <w:rsid w:val="00044D13"/>
    <w:rsid w:val="00044DEA"/>
    <w:rsid w:val="00045CAB"/>
    <w:rsid w:val="000473A9"/>
    <w:rsid w:val="00047C43"/>
    <w:rsid w:val="0005161F"/>
    <w:rsid w:val="00051ADB"/>
    <w:rsid w:val="00052809"/>
    <w:rsid w:val="00055478"/>
    <w:rsid w:val="000554EB"/>
    <w:rsid w:val="00055901"/>
    <w:rsid w:val="00057364"/>
    <w:rsid w:val="00060CDE"/>
    <w:rsid w:val="0006101C"/>
    <w:rsid w:val="0006194D"/>
    <w:rsid w:val="00062177"/>
    <w:rsid w:val="000626AB"/>
    <w:rsid w:val="00062E75"/>
    <w:rsid w:val="00063260"/>
    <w:rsid w:val="0006328C"/>
    <w:rsid w:val="000641C1"/>
    <w:rsid w:val="00064CCF"/>
    <w:rsid w:val="00067582"/>
    <w:rsid w:val="00067C07"/>
    <w:rsid w:val="00067CBC"/>
    <w:rsid w:val="000709B7"/>
    <w:rsid w:val="00070D85"/>
    <w:rsid w:val="00071B31"/>
    <w:rsid w:val="00075BAA"/>
    <w:rsid w:val="00075BF7"/>
    <w:rsid w:val="00075C75"/>
    <w:rsid w:val="00075D04"/>
    <w:rsid w:val="0007618B"/>
    <w:rsid w:val="000802AD"/>
    <w:rsid w:val="00081042"/>
    <w:rsid w:val="0008119D"/>
    <w:rsid w:val="00081421"/>
    <w:rsid w:val="000831B4"/>
    <w:rsid w:val="0008385A"/>
    <w:rsid w:val="00083E69"/>
    <w:rsid w:val="000845A0"/>
    <w:rsid w:val="00086095"/>
    <w:rsid w:val="000869B9"/>
    <w:rsid w:val="00086AEF"/>
    <w:rsid w:val="0008736F"/>
    <w:rsid w:val="000874EB"/>
    <w:rsid w:val="000875FB"/>
    <w:rsid w:val="00087BD3"/>
    <w:rsid w:val="0009015B"/>
    <w:rsid w:val="00091B61"/>
    <w:rsid w:val="000934EA"/>
    <w:rsid w:val="00093977"/>
    <w:rsid w:val="00094010"/>
    <w:rsid w:val="00094275"/>
    <w:rsid w:val="0009456E"/>
    <w:rsid w:val="00094F88"/>
    <w:rsid w:val="00095C6B"/>
    <w:rsid w:val="0009737F"/>
    <w:rsid w:val="000974D5"/>
    <w:rsid w:val="000A03B1"/>
    <w:rsid w:val="000A229C"/>
    <w:rsid w:val="000A22B3"/>
    <w:rsid w:val="000A3FC9"/>
    <w:rsid w:val="000A4D0A"/>
    <w:rsid w:val="000A5E84"/>
    <w:rsid w:val="000A7170"/>
    <w:rsid w:val="000A7C6E"/>
    <w:rsid w:val="000A7DB9"/>
    <w:rsid w:val="000B1502"/>
    <w:rsid w:val="000B1708"/>
    <w:rsid w:val="000B2BA3"/>
    <w:rsid w:val="000B32C9"/>
    <w:rsid w:val="000B5205"/>
    <w:rsid w:val="000B65C0"/>
    <w:rsid w:val="000B668E"/>
    <w:rsid w:val="000B7819"/>
    <w:rsid w:val="000C06F3"/>
    <w:rsid w:val="000C16DA"/>
    <w:rsid w:val="000C19BD"/>
    <w:rsid w:val="000C4871"/>
    <w:rsid w:val="000C6E21"/>
    <w:rsid w:val="000C6FD2"/>
    <w:rsid w:val="000C7F68"/>
    <w:rsid w:val="000D0F1A"/>
    <w:rsid w:val="000D1D7D"/>
    <w:rsid w:val="000D1FF1"/>
    <w:rsid w:val="000D21AB"/>
    <w:rsid w:val="000D2900"/>
    <w:rsid w:val="000D31DE"/>
    <w:rsid w:val="000D5F54"/>
    <w:rsid w:val="000D74FE"/>
    <w:rsid w:val="000D752A"/>
    <w:rsid w:val="000E08E5"/>
    <w:rsid w:val="000E16A0"/>
    <w:rsid w:val="000E1779"/>
    <w:rsid w:val="000E3223"/>
    <w:rsid w:val="000E3748"/>
    <w:rsid w:val="000E40D6"/>
    <w:rsid w:val="000E5179"/>
    <w:rsid w:val="000E5B0B"/>
    <w:rsid w:val="000E677C"/>
    <w:rsid w:val="000F095D"/>
    <w:rsid w:val="000F2644"/>
    <w:rsid w:val="000F4F08"/>
    <w:rsid w:val="000F6A2E"/>
    <w:rsid w:val="000F7CC0"/>
    <w:rsid w:val="0010144A"/>
    <w:rsid w:val="00105735"/>
    <w:rsid w:val="0010683D"/>
    <w:rsid w:val="00107708"/>
    <w:rsid w:val="0010778C"/>
    <w:rsid w:val="00107E77"/>
    <w:rsid w:val="00110583"/>
    <w:rsid w:val="00110ADB"/>
    <w:rsid w:val="00110DA9"/>
    <w:rsid w:val="00111045"/>
    <w:rsid w:val="001116A4"/>
    <w:rsid w:val="001118B6"/>
    <w:rsid w:val="00111BEA"/>
    <w:rsid w:val="001125C0"/>
    <w:rsid w:val="0011260D"/>
    <w:rsid w:val="00112C8F"/>
    <w:rsid w:val="001143AF"/>
    <w:rsid w:val="00115633"/>
    <w:rsid w:val="00115ADE"/>
    <w:rsid w:val="0011681F"/>
    <w:rsid w:val="00120254"/>
    <w:rsid w:val="00121801"/>
    <w:rsid w:val="0012415A"/>
    <w:rsid w:val="00124F35"/>
    <w:rsid w:val="00126713"/>
    <w:rsid w:val="00130D97"/>
    <w:rsid w:val="001337E0"/>
    <w:rsid w:val="00134068"/>
    <w:rsid w:val="00135B70"/>
    <w:rsid w:val="00136017"/>
    <w:rsid w:val="00142150"/>
    <w:rsid w:val="001426C5"/>
    <w:rsid w:val="00143687"/>
    <w:rsid w:val="00144214"/>
    <w:rsid w:val="0014453B"/>
    <w:rsid w:val="00145353"/>
    <w:rsid w:val="0014625C"/>
    <w:rsid w:val="001468C2"/>
    <w:rsid w:val="0014757F"/>
    <w:rsid w:val="001505EE"/>
    <w:rsid w:val="00150C1D"/>
    <w:rsid w:val="00153565"/>
    <w:rsid w:val="00154837"/>
    <w:rsid w:val="001552C4"/>
    <w:rsid w:val="00155496"/>
    <w:rsid w:val="00157617"/>
    <w:rsid w:val="00157BBA"/>
    <w:rsid w:val="001603A1"/>
    <w:rsid w:val="0016082C"/>
    <w:rsid w:val="001612A7"/>
    <w:rsid w:val="00164AA5"/>
    <w:rsid w:val="00166D12"/>
    <w:rsid w:val="00167B5D"/>
    <w:rsid w:val="00170EE9"/>
    <w:rsid w:val="001711C8"/>
    <w:rsid w:val="0017143B"/>
    <w:rsid w:val="001716DC"/>
    <w:rsid w:val="00171869"/>
    <w:rsid w:val="0017263D"/>
    <w:rsid w:val="00182FDF"/>
    <w:rsid w:val="00183989"/>
    <w:rsid w:val="00183B83"/>
    <w:rsid w:val="001856A5"/>
    <w:rsid w:val="0018592E"/>
    <w:rsid w:val="001859E6"/>
    <w:rsid w:val="001866F1"/>
    <w:rsid w:val="0018750B"/>
    <w:rsid w:val="0018777D"/>
    <w:rsid w:val="00187BAF"/>
    <w:rsid w:val="00190836"/>
    <w:rsid w:val="001919BA"/>
    <w:rsid w:val="00191D16"/>
    <w:rsid w:val="00193C34"/>
    <w:rsid w:val="00193C97"/>
    <w:rsid w:val="00193DD6"/>
    <w:rsid w:val="0019457B"/>
    <w:rsid w:val="00195B09"/>
    <w:rsid w:val="001964A6"/>
    <w:rsid w:val="00196C47"/>
    <w:rsid w:val="00197AD4"/>
    <w:rsid w:val="001A1366"/>
    <w:rsid w:val="001A198C"/>
    <w:rsid w:val="001A515E"/>
    <w:rsid w:val="001A6E99"/>
    <w:rsid w:val="001A6F51"/>
    <w:rsid w:val="001B3314"/>
    <w:rsid w:val="001B4551"/>
    <w:rsid w:val="001B655A"/>
    <w:rsid w:val="001B67C7"/>
    <w:rsid w:val="001B797E"/>
    <w:rsid w:val="001B7ABF"/>
    <w:rsid w:val="001B7F4A"/>
    <w:rsid w:val="001C0F82"/>
    <w:rsid w:val="001C2C76"/>
    <w:rsid w:val="001C41A5"/>
    <w:rsid w:val="001C4BC1"/>
    <w:rsid w:val="001C65AB"/>
    <w:rsid w:val="001C6A10"/>
    <w:rsid w:val="001D0A11"/>
    <w:rsid w:val="001D0C06"/>
    <w:rsid w:val="001D1D68"/>
    <w:rsid w:val="001D27A3"/>
    <w:rsid w:val="001D4D71"/>
    <w:rsid w:val="001D5C0D"/>
    <w:rsid w:val="001D7E40"/>
    <w:rsid w:val="001E1859"/>
    <w:rsid w:val="001E228E"/>
    <w:rsid w:val="001E2857"/>
    <w:rsid w:val="001E5127"/>
    <w:rsid w:val="001E61A0"/>
    <w:rsid w:val="001E6C79"/>
    <w:rsid w:val="001F00B5"/>
    <w:rsid w:val="001F0DA6"/>
    <w:rsid w:val="001F1C0C"/>
    <w:rsid w:val="001F25FC"/>
    <w:rsid w:val="001F2A05"/>
    <w:rsid w:val="001F3BEA"/>
    <w:rsid w:val="001F3CF8"/>
    <w:rsid w:val="001F4451"/>
    <w:rsid w:val="001F536E"/>
    <w:rsid w:val="001F5BE5"/>
    <w:rsid w:val="001F668F"/>
    <w:rsid w:val="001F743F"/>
    <w:rsid w:val="001F75E0"/>
    <w:rsid w:val="00202F13"/>
    <w:rsid w:val="00203DB4"/>
    <w:rsid w:val="00203E15"/>
    <w:rsid w:val="00205054"/>
    <w:rsid w:val="00205DA7"/>
    <w:rsid w:val="00206616"/>
    <w:rsid w:val="00207B87"/>
    <w:rsid w:val="00210934"/>
    <w:rsid w:val="00210A72"/>
    <w:rsid w:val="0021610E"/>
    <w:rsid w:val="002170BC"/>
    <w:rsid w:val="0021731E"/>
    <w:rsid w:val="00222124"/>
    <w:rsid w:val="0022271B"/>
    <w:rsid w:val="0022457B"/>
    <w:rsid w:val="002255D7"/>
    <w:rsid w:val="00226D0B"/>
    <w:rsid w:val="00227A8F"/>
    <w:rsid w:val="00230B92"/>
    <w:rsid w:val="00230C6F"/>
    <w:rsid w:val="00236603"/>
    <w:rsid w:val="002368E5"/>
    <w:rsid w:val="002369A6"/>
    <w:rsid w:val="0023759A"/>
    <w:rsid w:val="00237D66"/>
    <w:rsid w:val="00240A1A"/>
    <w:rsid w:val="00240CA9"/>
    <w:rsid w:val="002434DF"/>
    <w:rsid w:val="00246C5B"/>
    <w:rsid w:val="002475C9"/>
    <w:rsid w:val="002475EF"/>
    <w:rsid w:val="00253F0C"/>
    <w:rsid w:val="00254C49"/>
    <w:rsid w:val="0025553F"/>
    <w:rsid w:val="002559E8"/>
    <w:rsid w:val="00257F2C"/>
    <w:rsid w:val="002608BF"/>
    <w:rsid w:val="00261252"/>
    <w:rsid w:val="00261265"/>
    <w:rsid w:val="00261A5C"/>
    <w:rsid w:val="00263511"/>
    <w:rsid w:val="0026444D"/>
    <w:rsid w:val="00266EB1"/>
    <w:rsid w:val="0026723C"/>
    <w:rsid w:val="00267E04"/>
    <w:rsid w:val="00270284"/>
    <w:rsid w:val="00271632"/>
    <w:rsid w:val="0027256F"/>
    <w:rsid w:val="00275EA4"/>
    <w:rsid w:val="00275FF1"/>
    <w:rsid w:val="0027662C"/>
    <w:rsid w:val="00276920"/>
    <w:rsid w:val="00277128"/>
    <w:rsid w:val="00277854"/>
    <w:rsid w:val="00280774"/>
    <w:rsid w:val="0028163A"/>
    <w:rsid w:val="00284FDD"/>
    <w:rsid w:val="002854CD"/>
    <w:rsid w:val="002911E1"/>
    <w:rsid w:val="002916A6"/>
    <w:rsid w:val="002918D6"/>
    <w:rsid w:val="00293186"/>
    <w:rsid w:val="00293225"/>
    <w:rsid w:val="00296C35"/>
    <w:rsid w:val="002A0EA6"/>
    <w:rsid w:val="002A40ED"/>
    <w:rsid w:val="002A43E6"/>
    <w:rsid w:val="002A5221"/>
    <w:rsid w:val="002A673B"/>
    <w:rsid w:val="002A68E6"/>
    <w:rsid w:val="002B085C"/>
    <w:rsid w:val="002B190E"/>
    <w:rsid w:val="002B6C0B"/>
    <w:rsid w:val="002B7E45"/>
    <w:rsid w:val="002C07FF"/>
    <w:rsid w:val="002C1908"/>
    <w:rsid w:val="002C1F5A"/>
    <w:rsid w:val="002C397F"/>
    <w:rsid w:val="002C4114"/>
    <w:rsid w:val="002C420E"/>
    <w:rsid w:val="002C487A"/>
    <w:rsid w:val="002C4D5E"/>
    <w:rsid w:val="002C55E9"/>
    <w:rsid w:val="002C594F"/>
    <w:rsid w:val="002C5C30"/>
    <w:rsid w:val="002C5DEB"/>
    <w:rsid w:val="002C7635"/>
    <w:rsid w:val="002D48A9"/>
    <w:rsid w:val="002D51A8"/>
    <w:rsid w:val="002D56B4"/>
    <w:rsid w:val="002D5F8F"/>
    <w:rsid w:val="002D6589"/>
    <w:rsid w:val="002D72A1"/>
    <w:rsid w:val="002D7976"/>
    <w:rsid w:val="002E2428"/>
    <w:rsid w:val="002E24E3"/>
    <w:rsid w:val="002E2BEA"/>
    <w:rsid w:val="002E3BB4"/>
    <w:rsid w:val="002E3CF1"/>
    <w:rsid w:val="002E4F0E"/>
    <w:rsid w:val="002E6359"/>
    <w:rsid w:val="002E7560"/>
    <w:rsid w:val="002F0101"/>
    <w:rsid w:val="002F087A"/>
    <w:rsid w:val="002F0EB9"/>
    <w:rsid w:val="002F420A"/>
    <w:rsid w:val="002F5CB0"/>
    <w:rsid w:val="002F6ECA"/>
    <w:rsid w:val="0030158E"/>
    <w:rsid w:val="00302114"/>
    <w:rsid w:val="0030298B"/>
    <w:rsid w:val="00302B14"/>
    <w:rsid w:val="003052A2"/>
    <w:rsid w:val="00306030"/>
    <w:rsid w:val="003067D5"/>
    <w:rsid w:val="00307046"/>
    <w:rsid w:val="0030735C"/>
    <w:rsid w:val="00310351"/>
    <w:rsid w:val="003104F3"/>
    <w:rsid w:val="00311882"/>
    <w:rsid w:val="00311CEC"/>
    <w:rsid w:val="00311ED8"/>
    <w:rsid w:val="00312AFC"/>
    <w:rsid w:val="00313EBE"/>
    <w:rsid w:val="003154D3"/>
    <w:rsid w:val="00315627"/>
    <w:rsid w:val="00317111"/>
    <w:rsid w:val="00320B38"/>
    <w:rsid w:val="0032206D"/>
    <w:rsid w:val="0032377A"/>
    <w:rsid w:val="00324CC2"/>
    <w:rsid w:val="0032568B"/>
    <w:rsid w:val="00326931"/>
    <w:rsid w:val="00326BDC"/>
    <w:rsid w:val="00327FF1"/>
    <w:rsid w:val="0033018E"/>
    <w:rsid w:val="00330574"/>
    <w:rsid w:val="00330C9D"/>
    <w:rsid w:val="003315BD"/>
    <w:rsid w:val="0033190F"/>
    <w:rsid w:val="00335E0C"/>
    <w:rsid w:val="003367CC"/>
    <w:rsid w:val="00337486"/>
    <w:rsid w:val="003375F1"/>
    <w:rsid w:val="00340839"/>
    <w:rsid w:val="00341788"/>
    <w:rsid w:val="00342134"/>
    <w:rsid w:val="0034233F"/>
    <w:rsid w:val="003431C5"/>
    <w:rsid w:val="0034624C"/>
    <w:rsid w:val="0034698F"/>
    <w:rsid w:val="00347E5D"/>
    <w:rsid w:val="0035003C"/>
    <w:rsid w:val="00350071"/>
    <w:rsid w:val="003509B8"/>
    <w:rsid w:val="00351FDF"/>
    <w:rsid w:val="00352681"/>
    <w:rsid w:val="00353547"/>
    <w:rsid w:val="00353642"/>
    <w:rsid w:val="00353B81"/>
    <w:rsid w:val="00353F5D"/>
    <w:rsid w:val="00356D37"/>
    <w:rsid w:val="00361AB5"/>
    <w:rsid w:val="003629CC"/>
    <w:rsid w:val="00362BCB"/>
    <w:rsid w:val="00363BC2"/>
    <w:rsid w:val="003650F8"/>
    <w:rsid w:val="003667BC"/>
    <w:rsid w:val="0036686E"/>
    <w:rsid w:val="00366CAF"/>
    <w:rsid w:val="00367851"/>
    <w:rsid w:val="0037012F"/>
    <w:rsid w:val="00373912"/>
    <w:rsid w:val="00382248"/>
    <w:rsid w:val="00384FEC"/>
    <w:rsid w:val="0038531B"/>
    <w:rsid w:val="00386565"/>
    <w:rsid w:val="00386944"/>
    <w:rsid w:val="0038787D"/>
    <w:rsid w:val="00390FBE"/>
    <w:rsid w:val="00391050"/>
    <w:rsid w:val="00392D73"/>
    <w:rsid w:val="0039359E"/>
    <w:rsid w:val="003937B2"/>
    <w:rsid w:val="00395A3E"/>
    <w:rsid w:val="00396A87"/>
    <w:rsid w:val="003A1FBE"/>
    <w:rsid w:val="003A2F15"/>
    <w:rsid w:val="003A5262"/>
    <w:rsid w:val="003A53CC"/>
    <w:rsid w:val="003B19B9"/>
    <w:rsid w:val="003B19BE"/>
    <w:rsid w:val="003B2A70"/>
    <w:rsid w:val="003B2C65"/>
    <w:rsid w:val="003B32DA"/>
    <w:rsid w:val="003B3F4C"/>
    <w:rsid w:val="003B58CA"/>
    <w:rsid w:val="003B647E"/>
    <w:rsid w:val="003C1041"/>
    <w:rsid w:val="003C1E2E"/>
    <w:rsid w:val="003C3A2F"/>
    <w:rsid w:val="003C5601"/>
    <w:rsid w:val="003C615F"/>
    <w:rsid w:val="003C6512"/>
    <w:rsid w:val="003C7DC1"/>
    <w:rsid w:val="003D0743"/>
    <w:rsid w:val="003D0F4D"/>
    <w:rsid w:val="003D3D1D"/>
    <w:rsid w:val="003D3EC2"/>
    <w:rsid w:val="003D4B91"/>
    <w:rsid w:val="003D7DF8"/>
    <w:rsid w:val="003E0153"/>
    <w:rsid w:val="003E0306"/>
    <w:rsid w:val="003E0E91"/>
    <w:rsid w:val="003E303F"/>
    <w:rsid w:val="003E4C12"/>
    <w:rsid w:val="003E4E2B"/>
    <w:rsid w:val="003E5256"/>
    <w:rsid w:val="003E57F8"/>
    <w:rsid w:val="003E6F84"/>
    <w:rsid w:val="003E7650"/>
    <w:rsid w:val="003E7B69"/>
    <w:rsid w:val="003F177E"/>
    <w:rsid w:val="003F1D56"/>
    <w:rsid w:val="003F4671"/>
    <w:rsid w:val="003F5423"/>
    <w:rsid w:val="003F583E"/>
    <w:rsid w:val="003F67FD"/>
    <w:rsid w:val="003F6C53"/>
    <w:rsid w:val="004000F4"/>
    <w:rsid w:val="0040160A"/>
    <w:rsid w:val="004018C2"/>
    <w:rsid w:val="00402528"/>
    <w:rsid w:val="004030FB"/>
    <w:rsid w:val="004032B6"/>
    <w:rsid w:val="00403BD5"/>
    <w:rsid w:val="00403E13"/>
    <w:rsid w:val="00403FCD"/>
    <w:rsid w:val="004051C8"/>
    <w:rsid w:val="00406227"/>
    <w:rsid w:val="00406D7A"/>
    <w:rsid w:val="0041028B"/>
    <w:rsid w:val="0041203F"/>
    <w:rsid w:val="00412BBB"/>
    <w:rsid w:val="004149F9"/>
    <w:rsid w:val="00417146"/>
    <w:rsid w:val="0041719C"/>
    <w:rsid w:val="004204EF"/>
    <w:rsid w:val="004218EA"/>
    <w:rsid w:val="00421FBB"/>
    <w:rsid w:val="0042343A"/>
    <w:rsid w:val="00425D48"/>
    <w:rsid w:val="00425DF6"/>
    <w:rsid w:val="00425E6A"/>
    <w:rsid w:val="00426991"/>
    <w:rsid w:val="00426D9F"/>
    <w:rsid w:val="0042765E"/>
    <w:rsid w:val="00427CDD"/>
    <w:rsid w:val="004307CB"/>
    <w:rsid w:val="00431D25"/>
    <w:rsid w:val="00431F16"/>
    <w:rsid w:val="004335CD"/>
    <w:rsid w:val="00433F37"/>
    <w:rsid w:val="00436F8C"/>
    <w:rsid w:val="00437D39"/>
    <w:rsid w:val="00441412"/>
    <w:rsid w:val="00441CF6"/>
    <w:rsid w:val="0044280E"/>
    <w:rsid w:val="0044333F"/>
    <w:rsid w:val="00443B2D"/>
    <w:rsid w:val="004444AD"/>
    <w:rsid w:val="004446DD"/>
    <w:rsid w:val="00446984"/>
    <w:rsid w:val="004475B2"/>
    <w:rsid w:val="00452997"/>
    <w:rsid w:val="00453E80"/>
    <w:rsid w:val="00460771"/>
    <w:rsid w:val="0046344E"/>
    <w:rsid w:val="00463A4C"/>
    <w:rsid w:val="00464AE4"/>
    <w:rsid w:val="00467CD9"/>
    <w:rsid w:val="00470916"/>
    <w:rsid w:val="00470DB6"/>
    <w:rsid w:val="00471082"/>
    <w:rsid w:val="004717AC"/>
    <w:rsid w:val="00471DB7"/>
    <w:rsid w:val="00472A9E"/>
    <w:rsid w:val="00473AFE"/>
    <w:rsid w:val="004744A3"/>
    <w:rsid w:val="004766DB"/>
    <w:rsid w:val="00477AFE"/>
    <w:rsid w:val="00480784"/>
    <w:rsid w:val="00480E25"/>
    <w:rsid w:val="0048258E"/>
    <w:rsid w:val="004832BB"/>
    <w:rsid w:val="0048334B"/>
    <w:rsid w:val="004840D3"/>
    <w:rsid w:val="00484103"/>
    <w:rsid w:val="00486E5E"/>
    <w:rsid w:val="004875BA"/>
    <w:rsid w:val="0049012E"/>
    <w:rsid w:val="0049051A"/>
    <w:rsid w:val="00491903"/>
    <w:rsid w:val="00492523"/>
    <w:rsid w:val="00492A48"/>
    <w:rsid w:val="0049345F"/>
    <w:rsid w:val="00494BCD"/>
    <w:rsid w:val="004951E3"/>
    <w:rsid w:val="004A04F6"/>
    <w:rsid w:val="004A18A6"/>
    <w:rsid w:val="004A1B98"/>
    <w:rsid w:val="004A698C"/>
    <w:rsid w:val="004A6A40"/>
    <w:rsid w:val="004A731A"/>
    <w:rsid w:val="004A7B31"/>
    <w:rsid w:val="004A7EB1"/>
    <w:rsid w:val="004B05C7"/>
    <w:rsid w:val="004B245C"/>
    <w:rsid w:val="004B256B"/>
    <w:rsid w:val="004B5C38"/>
    <w:rsid w:val="004B7574"/>
    <w:rsid w:val="004C0F02"/>
    <w:rsid w:val="004C1468"/>
    <w:rsid w:val="004C2310"/>
    <w:rsid w:val="004C2ABD"/>
    <w:rsid w:val="004C2B9B"/>
    <w:rsid w:val="004C2DA5"/>
    <w:rsid w:val="004C3110"/>
    <w:rsid w:val="004C3FC7"/>
    <w:rsid w:val="004C4850"/>
    <w:rsid w:val="004C53F3"/>
    <w:rsid w:val="004C5CDF"/>
    <w:rsid w:val="004C5E47"/>
    <w:rsid w:val="004C640A"/>
    <w:rsid w:val="004C7963"/>
    <w:rsid w:val="004C7B4B"/>
    <w:rsid w:val="004D0453"/>
    <w:rsid w:val="004D0D75"/>
    <w:rsid w:val="004D0DDF"/>
    <w:rsid w:val="004D1EF8"/>
    <w:rsid w:val="004D2AC6"/>
    <w:rsid w:val="004D31E8"/>
    <w:rsid w:val="004D34CB"/>
    <w:rsid w:val="004D3AE3"/>
    <w:rsid w:val="004D4541"/>
    <w:rsid w:val="004D6B28"/>
    <w:rsid w:val="004D6DB3"/>
    <w:rsid w:val="004D70B2"/>
    <w:rsid w:val="004D778D"/>
    <w:rsid w:val="004D7DB1"/>
    <w:rsid w:val="004E07C9"/>
    <w:rsid w:val="004E16C8"/>
    <w:rsid w:val="004E1910"/>
    <w:rsid w:val="004E34DF"/>
    <w:rsid w:val="004E3F41"/>
    <w:rsid w:val="004E44A6"/>
    <w:rsid w:val="004E558B"/>
    <w:rsid w:val="004E62C1"/>
    <w:rsid w:val="004E7623"/>
    <w:rsid w:val="004E77A2"/>
    <w:rsid w:val="004E7AE7"/>
    <w:rsid w:val="004F228A"/>
    <w:rsid w:val="004F32AC"/>
    <w:rsid w:val="004F4465"/>
    <w:rsid w:val="004F63B2"/>
    <w:rsid w:val="00500299"/>
    <w:rsid w:val="00501545"/>
    <w:rsid w:val="0050184B"/>
    <w:rsid w:val="005025FC"/>
    <w:rsid w:val="00502699"/>
    <w:rsid w:val="005031F8"/>
    <w:rsid w:val="00507562"/>
    <w:rsid w:val="00510ED4"/>
    <w:rsid w:val="00511931"/>
    <w:rsid w:val="005119BC"/>
    <w:rsid w:val="00511B36"/>
    <w:rsid w:val="00511D07"/>
    <w:rsid w:val="00511F26"/>
    <w:rsid w:val="00512819"/>
    <w:rsid w:val="00514FA9"/>
    <w:rsid w:val="00515316"/>
    <w:rsid w:val="00515B70"/>
    <w:rsid w:val="005170AB"/>
    <w:rsid w:val="00517265"/>
    <w:rsid w:val="00517F08"/>
    <w:rsid w:val="005205DD"/>
    <w:rsid w:val="005240E5"/>
    <w:rsid w:val="00525D98"/>
    <w:rsid w:val="00526584"/>
    <w:rsid w:val="00526E1D"/>
    <w:rsid w:val="00530153"/>
    <w:rsid w:val="005335E5"/>
    <w:rsid w:val="00534205"/>
    <w:rsid w:val="0053794D"/>
    <w:rsid w:val="00537E8C"/>
    <w:rsid w:val="00541B34"/>
    <w:rsid w:val="00541B5F"/>
    <w:rsid w:val="005424D2"/>
    <w:rsid w:val="00542AEF"/>
    <w:rsid w:val="00542DF7"/>
    <w:rsid w:val="005441AD"/>
    <w:rsid w:val="00544474"/>
    <w:rsid w:val="005448A4"/>
    <w:rsid w:val="0054587C"/>
    <w:rsid w:val="00545B8A"/>
    <w:rsid w:val="00545F6A"/>
    <w:rsid w:val="005463D3"/>
    <w:rsid w:val="00547C8C"/>
    <w:rsid w:val="00547CEB"/>
    <w:rsid w:val="00551F2F"/>
    <w:rsid w:val="00551FA5"/>
    <w:rsid w:val="00552516"/>
    <w:rsid w:val="00552E1F"/>
    <w:rsid w:val="005530A2"/>
    <w:rsid w:val="00553BCF"/>
    <w:rsid w:val="00556D10"/>
    <w:rsid w:val="00557963"/>
    <w:rsid w:val="00557BFA"/>
    <w:rsid w:val="005605A6"/>
    <w:rsid w:val="005657A9"/>
    <w:rsid w:val="00566CEB"/>
    <w:rsid w:val="00567831"/>
    <w:rsid w:val="00570218"/>
    <w:rsid w:val="00572E94"/>
    <w:rsid w:val="00573A62"/>
    <w:rsid w:val="00577DBA"/>
    <w:rsid w:val="005809EC"/>
    <w:rsid w:val="00581421"/>
    <w:rsid w:val="00581D25"/>
    <w:rsid w:val="0058404A"/>
    <w:rsid w:val="005845A4"/>
    <w:rsid w:val="00585CD9"/>
    <w:rsid w:val="00587481"/>
    <w:rsid w:val="00590964"/>
    <w:rsid w:val="00590B83"/>
    <w:rsid w:val="005915DD"/>
    <w:rsid w:val="005916F5"/>
    <w:rsid w:val="00594135"/>
    <w:rsid w:val="005952C3"/>
    <w:rsid w:val="005966C4"/>
    <w:rsid w:val="00596C44"/>
    <w:rsid w:val="005A0551"/>
    <w:rsid w:val="005A10F5"/>
    <w:rsid w:val="005A14D1"/>
    <w:rsid w:val="005A1D8F"/>
    <w:rsid w:val="005A2DF9"/>
    <w:rsid w:val="005A46B3"/>
    <w:rsid w:val="005A4746"/>
    <w:rsid w:val="005A78FA"/>
    <w:rsid w:val="005B10DF"/>
    <w:rsid w:val="005B1477"/>
    <w:rsid w:val="005B1AF0"/>
    <w:rsid w:val="005B39CD"/>
    <w:rsid w:val="005B3B36"/>
    <w:rsid w:val="005B4683"/>
    <w:rsid w:val="005B5EE6"/>
    <w:rsid w:val="005B6AC2"/>
    <w:rsid w:val="005B7BFD"/>
    <w:rsid w:val="005C078A"/>
    <w:rsid w:val="005C15DD"/>
    <w:rsid w:val="005C1A74"/>
    <w:rsid w:val="005C1AED"/>
    <w:rsid w:val="005C40E2"/>
    <w:rsid w:val="005C495F"/>
    <w:rsid w:val="005C5753"/>
    <w:rsid w:val="005C5A88"/>
    <w:rsid w:val="005C6612"/>
    <w:rsid w:val="005D0850"/>
    <w:rsid w:val="005D1454"/>
    <w:rsid w:val="005D1E44"/>
    <w:rsid w:val="005D2079"/>
    <w:rsid w:val="005D33D5"/>
    <w:rsid w:val="005D3D7D"/>
    <w:rsid w:val="005D3F7E"/>
    <w:rsid w:val="005D5511"/>
    <w:rsid w:val="005D57B0"/>
    <w:rsid w:val="005E0611"/>
    <w:rsid w:val="005E07DE"/>
    <w:rsid w:val="005E1F02"/>
    <w:rsid w:val="005E2CFB"/>
    <w:rsid w:val="005E5046"/>
    <w:rsid w:val="005E6DAA"/>
    <w:rsid w:val="005E729E"/>
    <w:rsid w:val="005E7608"/>
    <w:rsid w:val="005E7678"/>
    <w:rsid w:val="005F00D8"/>
    <w:rsid w:val="005F2D2C"/>
    <w:rsid w:val="005F32A7"/>
    <w:rsid w:val="005F391C"/>
    <w:rsid w:val="005F49AA"/>
    <w:rsid w:val="005F651B"/>
    <w:rsid w:val="005F697B"/>
    <w:rsid w:val="005F7401"/>
    <w:rsid w:val="006004A0"/>
    <w:rsid w:val="00600A0F"/>
    <w:rsid w:val="006012F2"/>
    <w:rsid w:val="0060161B"/>
    <w:rsid w:val="00601A38"/>
    <w:rsid w:val="00603C15"/>
    <w:rsid w:val="006046B5"/>
    <w:rsid w:val="006064FB"/>
    <w:rsid w:val="006068ED"/>
    <w:rsid w:val="00606DF9"/>
    <w:rsid w:val="00607538"/>
    <w:rsid w:val="00612CF2"/>
    <w:rsid w:val="00613468"/>
    <w:rsid w:val="00613533"/>
    <w:rsid w:val="006153BA"/>
    <w:rsid w:val="00615598"/>
    <w:rsid w:val="00617640"/>
    <w:rsid w:val="00617DFC"/>
    <w:rsid w:val="00620896"/>
    <w:rsid w:val="0062141B"/>
    <w:rsid w:val="00621558"/>
    <w:rsid w:val="0062175C"/>
    <w:rsid w:val="006219C3"/>
    <w:rsid w:val="00621E0D"/>
    <w:rsid w:val="00621E82"/>
    <w:rsid w:val="00621E85"/>
    <w:rsid w:val="00623637"/>
    <w:rsid w:val="00626EB3"/>
    <w:rsid w:val="00627694"/>
    <w:rsid w:val="00627E42"/>
    <w:rsid w:val="006339FB"/>
    <w:rsid w:val="00633C0F"/>
    <w:rsid w:val="0063416C"/>
    <w:rsid w:val="00636843"/>
    <w:rsid w:val="00637116"/>
    <w:rsid w:val="00637CCE"/>
    <w:rsid w:val="0064094C"/>
    <w:rsid w:val="006410C4"/>
    <w:rsid w:val="006412F6"/>
    <w:rsid w:val="006424AD"/>
    <w:rsid w:val="006425F5"/>
    <w:rsid w:val="00643403"/>
    <w:rsid w:val="00643925"/>
    <w:rsid w:val="006447E0"/>
    <w:rsid w:val="00646946"/>
    <w:rsid w:val="0065036D"/>
    <w:rsid w:val="00651B94"/>
    <w:rsid w:val="00651CCF"/>
    <w:rsid w:val="00654AF6"/>
    <w:rsid w:val="006550A0"/>
    <w:rsid w:val="006558B6"/>
    <w:rsid w:val="006571C3"/>
    <w:rsid w:val="00657401"/>
    <w:rsid w:val="0065758F"/>
    <w:rsid w:val="00657DD8"/>
    <w:rsid w:val="00660475"/>
    <w:rsid w:val="00662EE5"/>
    <w:rsid w:val="006635A6"/>
    <w:rsid w:val="00663F9F"/>
    <w:rsid w:val="00664E66"/>
    <w:rsid w:val="00672539"/>
    <w:rsid w:val="006727EB"/>
    <w:rsid w:val="00672CAF"/>
    <w:rsid w:val="00672F4F"/>
    <w:rsid w:val="0067313F"/>
    <w:rsid w:val="00673949"/>
    <w:rsid w:val="0068300D"/>
    <w:rsid w:val="00684449"/>
    <w:rsid w:val="00685C16"/>
    <w:rsid w:val="00685DB0"/>
    <w:rsid w:val="00686F4F"/>
    <w:rsid w:val="00691713"/>
    <w:rsid w:val="00692A40"/>
    <w:rsid w:val="00695B58"/>
    <w:rsid w:val="006966ED"/>
    <w:rsid w:val="00697008"/>
    <w:rsid w:val="006A1115"/>
    <w:rsid w:val="006A1751"/>
    <w:rsid w:val="006A1ECE"/>
    <w:rsid w:val="006A27F8"/>
    <w:rsid w:val="006A33F7"/>
    <w:rsid w:val="006A430C"/>
    <w:rsid w:val="006A5743"/>
    <w:rsid w:val="006A5966"/>
    <w:rsid w:val="006A6F2F"/>
    <w:rsid w:val="006A7780"/>
    <w:rsid w:val="006A79D6"/>
    <w:rsid w:val="006B053F"/>
    <w:rsid w:val="006B06D4"/>
    <w:rsid w:val="006B328E"/>
    <w:rsid w:val="006B355E"/>
    <w:rsid w:val="006B4368"/>
    <w:rsid w:val="006B4780"/>
    <w:rsid w:val="006B5E39"/>
    <w:rsid w:val="006B6074"/>
    <w:rsid w:val="006C03C1"/>
    <w:rsid w:val="006C19B6"/>
    <w:rsid w:val="006C48CE"/>
    <w:rsid w:val="006C5FF1"/>
    <w:rsid w:val="006C6FD0"/>
    <w:rsid w:val="006C73D2"/>
    <w:rsid w:val="006D1A21"/>
    <w:rsid w:val="006D1C82"/>
    <w:rsid w:val="006D3224"/>
    <w:rsid w:val="006D355E"/>
    <w:rsid w:val="006D372E"/>
    <w:rsid w:val="006D401E"/>
    <w:rsid w:val="006D44CB"/>
    <w:rsid w:val="006E0AEE"/>
    <w:rsid w:val="006E15F2"/>
    <w:rsid w:val="006E2DCA"/>
    <w:rsid w:val="006E4985"/>
    <w:rsid w:val="006E5407"/>
    <w:rsid w:val="006E5B40"/>
    <w:rsid w:val="006E6309"/>
    <w:rsid w:val="006E6FD6"/>
    <w:rsid w:val="006F3D88"/>
    <w:rsid w:val="006F7C28"/>
    <w:rsid w:val="00700E47"/>
    <w:rsid w:val="00700EFD"/>
    <w:rsid w:val="0070368F"/>
    <w:rsid w:val="007051EE"/>
    <w:rsid w:val="00706DB8"/>
    <w:rsid w:val="007105F7"/>
    <w:rsid w:val="0071214C"/>
    <w:rsid w:val="0071258C"/>
    <w:rsid w:val="007129F2"/>
    <w:rsid w:val="00712E69"/>
    <w:rsid w:val="00713CF7"/>
    <w:rsid w:val="00715A10"/>
    <w:rsid w:val="00715ECD"/>
    <w:rsid w:val="00716E39"/>
    <w:rsid w:val="007171D5"/>
    <w:rsid w:val="00717D16"/>
    <w:rsid w:val="00720E73"/>
    <w:rsid w:val="00724172"/>
    <w:rsid w:val="007249C4"/>
    <w:rsid w:val="007260EC"/>
    <w:rsid w:val="00727AA1"/>
    <w:rsid w:val="00730F55"/>
    <w:rsid w:val="007324EB"/>
    <w:rsid w:val="0073294E"/>
    <w:rsid w:val="007334F1"/>
    <w:rsid w:val="00740974"/>
    <w:rsid w:val="007416F3"/>
    <w:rsid w:val="007419FE"/>
    <w:rsid w:val="00741C84"/>
    <w:rsid w:val="0074392D"/>
    <w:rsid w:val="00746270"/>
    <w:rsid w:val="00746E7E"/>
    <w:rsid w:val="0075078C"/>
    <w:rsid w:val="00752A36"/>
    <w:rsid w:val="00753299"/>
    <w:rsid w:val="0075378D"/>
    <w:rsid w:val="007539AF"/>
    <w:rsid w:val="0075493A"/>
    <w:rsid w:val="0075535B"/>
    <w:rsid w:val="007556CE"/>
    <w:rsid w:val="00756511"/>
    <w:rsid w:val="00757C0B"/>
    <w:rsid w:val="00761B1A"/>
    <w:rsid w:val="007631D8"/>
    <w:rsid w:val="0076467B"/>
    <w:rsid w:val="00764AE1"/>
    <w:rsid w:val="0076530A"/>
    <w:rsid w:val="00770E41"/>
    <w:rsid w:val="00771200"/>
    <w:rsid w:val="00771995"/>
    <w:rsid w:val="00775F57"/>
    <w:rsid w:val="00775FD8"/>
    <w:rsid w:val="00776879"/>
    <w:rsid w:val="007803CA"/>
    <w:rsid w:val="0078096E"/>
    <w:rsid w:val="00780DBF"/>
    <w:rsid w:val="007820CC"/>
    <w:rsid w:val="0078325F"/>
    <w:rsid w:val="0078358B"/>
    <w:rsid w:val="0078483E"/>
    <w:rsid w:val="00784A84"/>
    <w:rsid w:val="00784CAB"/>
    <w:rsid w:val="0078560E"/>
    <w:rsid w:val="00785810"/>
    <w:rsid w:val="00787CE8"/>
    <w:rsid w:val="007920BA"/>
    <w:rsid w:val="00792A38"/>
    <w:rsid w:val="007946B2"/>
    <w:rsid w:val="00794B97"/>
    <w:rsid w:val="00795077"/>
    <w:rsid w:val="00796594"/>
    <w:rsid w:val="007970D4"/>
    <w:rsid w:val="007A104E"/>
    <w:rsid w:val="007A225F"/>
    <w:rsid w:val="007A4278"/>
    <w:rsid w:val="007A4CC1"/>
    <w:rsid w:val="007A545B"/>
    <w:rsid w:val="007A55BE"/>
    <w:rsid w:val="007A57E6"/>
    <w:rsid w:val="007A5E90"/>
    <w:rsid w:val="007A7B0E"/>
    <w:rsid w:val="007A7E80"/>
    <w:rsid w:val="007B22D3"/>
    <w:rsid w:val="007B2D79"/>
    <w:rsid w:val="007B5B77"/>
    <w:rsid w:val="007B5FA0"/>
    <w:rsid w:val="007B6578"/>
    <w:rsid w:val="007B6685"/>
    <w:rsid w:val="007B6BEC"/>
    <w:rsid w:val="007C03A1"/>
    <w:rsid w:val="007C18E5"/>
    <w:rsid w:val="007C2780"/>
    <w:rsid w:val="007C29B9"/>
    <w:rsid w:val="007C62C0"/>
    <w:rsid w:val="007C6C38"/>
    <w:rsid w:val="007D15D0"/>
    <w:rsid w:val="007D37C3"/>
    <w:rsid w:val="007D5568"/>
    <w:rsid w:val="007D66B2"/>
    <w:rsid w:val="007D760C"/>
    <w:rsid w:val="007E0342"/>
    <w:rsid w:val="007E0AE6"/>
    <w:rsid w:val="007E0F27"/>
    <w:rsid w:val="007E1E0F"/>
    <w:rsid w:val="007E35F3"/>
    <w:rsid w:val="007E3C34"/>
    <w:rsid w:val="007E50A0"/>
    <w:rsid w:val="007E694F"/>
    <w:rsid w:val="007F064A"/>
    <w:rsid w:val="007F0D11"/>
    <w:rsid w:val="007F1DEE"/>
    <w:rsid w:val="007F26AA"/>
    <w:rsid w:val="007F3601"/>
    <w:rsid w:val="00800194"/>
    <w:rsid w:val="00802ECE"/>
    <w:rsid w:val="008040AB"/>
    <w:rsid w:val="00804EBF"/>
    <w:rsid w:val="008062F5"/>
    <w:rsid w:val="008110F1"/>
    <w:rsid w:val="008123A3"/>
    <w:rsid w:val="00812743"/>
    <w:rsid w:val="00812785"/>
    <w:rsid w:val="00814362"/>
    <w:rsid w:val="008148D2"/>
    <w:rsid w:val="008155DD"/>
    <w:rsid w:val="0081561C"/>
    <w:rsid w:val="008164B5"/>
    <w:rsid w:val="0081693F"/>
    <w:rsid w:val="00816A39"/>
    <w:rsid w:val="00820575"/>
    <w:rsid w:val="00820DF7"/>
    <w:rsid w:val="008219B7"/>
    <w:rsid w:val="008230F4"/>
    <w:rsid w:val="0082311B"/>
    <w:rsid w:val="008238C4"/>
    <w:rsid w:val="008248CC"/>
    <w:rsid w:val="00824A17"/>
    <w:rsid w:val="00824A66"/>
    <w:rsid w:val="008254EB"/>
    <w:rsid w:val="0082571A"/>
    <w:rsid w:val="0082595C"/>
    <w:rsid w:val="00826E96"/>
    <w:rsid w:val="00826FBB"/>
    <w:rsid w:val="0083028B"/>
    <w:rsid w:val="00832B31"/>
    <w:rsid w:val="008337DD"/>
    <w:rsid w:val="008349DC"/>
    <w:rsid w:val="008366F4"/>
    <w:rsid w:val="0084066E"/>
    <w:rsid w:val="0084237F"/>
    <w:rsid w:val="0084368C"/>
    <w:rsid w:val="008438FD"/>
    <w:rsid w:val="00843F8D"/>
    <w:rsid w:val="00845711"/>
    <w:rsid w:val="00852636"/>
    <w:rsid w:val="008542A3"/>
    <w:rsid w:val="008545AD"/>
    <w:rsid w:val="00855397"/>
    <w:rsid w:val="00856876"/>
    <w:rsid w:val="00857660"/>
    <w:rsid w:val="008602F1"/>
    <w:rsid w:val="0086051E"/>
    <w:rsid w:val="00860C64"/>
    <w:rsid w:val="00860E5C"/>
    <w:rsid w:val="00861411"/>
    <w:rsid w:val="00863C1B"/>
    <w:rsid w:val="00864D72"/>
    <w:rsid w:val="00864FE3"/>
    <w:rsid w:val="00866819"/>
    <w:rsid w:val="008716F1"/>
    <w:rsid w:val="00872B28"/>
    <w:rsid w:val="00873E61"/>
    <w:rsid w:val="008773BD"/>
    <w:rsid w:val="00880477"/>
    <w:rsid w:val="00880B78"/>
    <w:rsid w:val="00881256"/>
    <w:rsid w:val="008815DD"/>
    <w:rsid w:val="00881EAD"/>
    <w:rsid w:val="00883C81"/>
    <w:rsid w:val="008854C9"/>
    <w:rsid w:val="00885B01"/>
    <w:rsid w:val="00885CB1"/>
    <w:rsid w:val="00885E4F"/>
    <w:rsid w:val="00886AA7"/>
    <w:rsid w:val="00891F77"/>
    <w:rsid w:val="00893874"/>
    <w:rsid w:val="00894D34"/>
    <w:rsid w:val="00895D4E"/>
    <w:rsid w:val="008961A2"/>
    <w:rsid w:val="008965E2"/>
    <w:rsid w:val="00897497"/>
    <w:rsid w:val="00897FE3"/>
    <w:rsid w:val="008A0EB5"/>
    <w:rsid w:val="008A2014"/>
    <w:rsid w:val="008A25F6"/>
    <w:rsid w:val="008A2C50"/>
    <w:rsid w:val="008A2D5B"/>
    <w:rsid w:val="008A4455"/>
    <w:rsid w:val="008A4ED8"/>
    <w:rsid w:val="008A5996"/>
    <w:rsid w:val="008A5D2B"/>
    <w:rsid w:val="008A6E2F"/>
    <w:rsid w:val="008B1324"/>
    <w:rsid w:val="008B1901"/>
    <w:rsid w:val="008B4962"/>
    <w:rsid w:val="008B612A"/>
    <w:rsid w:val="008C15C5"/>
    <w:rsid w:val="008C4ECF"/>
    <w:rsid w:val="008C59BE"/>
    <w:rsid w:val="008D03FA"/>
    <w:rsid w:val="008D0B8A"/>
    <w:rsid w:val="008D11C9"/>
    <w:rsid w:val="008D1619"/>
    <w:rsid w:val="008D1D59"/>
    <w:rsid w:val="008D1F38"/>
    <w:rsid w:val="008D38EE"/>
    <w:rsid w:val="008D3EAF"/>
    <w:rsid w:val="008D5DCC"/>
    <w:rsid w:val="008D67D4"/>
    <w:rsid w:val="008D6940"/>
    <w:rsid w:val="008D6EB6"/>
    <w:rsid w:val="008D7F5A"/>
    <w:rsid w:val="008E0310"/>
    <w:rsid w:val="008E11F1"/>
    <w:rsid w:val="008E15BB"/>
    <w:rsid w:val="008E394A"/>
    <w:rsid w:val="008E601E"/>
    <w:rsid w:val="008E6E16"/>
    <w:rsid w:val="008F06AE"/>
    <w:rsid w:val="008F0E0B"/>
    <w:rsid w:val="008F1FDA"/>
    <w:rsid w:val="008F4778"/>
    <w:rsid w:val="008F4FD4"/>
    <w:rsid w:val="008F5ECB"/>
    <w:rsid w:val="008F626E"/>
    <w:rsid w:val="008F67A1"/>
    <w:rsid w:val="009023CC"/>
    <w:rsid w:val="00902ACA"/>
    <w:rsid w:val="00904938"/>
    <w:rsid w:val="009066EF"/>
    <w:rsid w:val="00906C50"/>
    <w:rsid w:val="00906FF5"/>
    <w:rsid w:val="00907444"/>
    <w:rsid w:val="00907B9C"/>
    <w:rsid w:val="009116B6"/>
    <w:rsid w:val="00912470"/>
    <w:rsid w:val="0091310E"/>
    <w:rsid w:val="00913764"/>
    <w:rsid w:val="00913C51"/>
    <w:rsid w:val="009158F9"/>
    <w:rsid w:val="0091620E"/>
    <w:rsid w:val="0091769B"/>
    <w:rsid w:val="00920F82"/>
    <w:rsid w:val="00921F44"/>
    <w:rsid w:val="00922764"/>
    <w:rsid w:val="00924442"/>
    <w:rsid w:val="00925FA7"/>
    <w:rsid w:val="0092772F"/>
    <w:rsid w:val="00927A30"/>
    <w:rsid w:val="00927E23"/>
    <w:rsid w:val="009301CE"/>
    <w:rsid w:val="0093046A"/>
    <w:rsid w:val="009324A0"/>
    <w:rsid w:val="009331F5"/>
    <w:rsid w:val="009347CE"/>
    <w:rsid w:val="00934BD4"/>
    <w:rsid w:val="00934FDA"/>
    <w:rsid w:val="00935C53"/>
    <w:rsid w:val="00940BBA"/>
    <w:rsid w:val="00940DF8"/>
    <w:rsid w:val="009410DE"/>
    <w:rsid w:val="00941399"/>
    <w:rsid w:val="00941562"/>
    <w:rsid w:val="00941D38"/>
    <w:rsid w:val="00942D93"/>
    <w:rsid w:val="00943B20"/>
    <w:rsid w:val="009443E0"/>
    <w:rsid w:val="009446DA"/>
    <w:rsid w:val="0094563D"/>
    <w:rsid w:val="009471A8"/>
    <w:rsid w:val="009472EE"/>
    <w:rsid w:val="009476E9"/>
    <w:rsid w:val="00950EAB"/>
    <w:rsid w:val="00951331"/>
    <w:rsid w:val="00951F71"/>
    <w:rsid w:val="00955CFA"/>
    <w:rsid w:val="00956718"/>
    <w:rsid w:val="00957AF0"/>
    <w:rsid w:val="009602FE"/>
    <w:rsid w:val="00960EB4"/>
    <w:rsid w:val="009610A3"/>
    <w:rsid w:val="00962668"/>
    <w:rsid w:val="00962FD2"/>
    <w:rsid w:val="0096316B"/>
    <w:rsid w:val="00963BC1"/>
    <w:rsid w:val="00967CD6"/>
    <w:rsid w:val="00970544"/>
    <w:rsid w:val="00970D2A"/>
    <w:rsid w:val="00971024"/>
    <w:rsid w:val="0097132E"/>
    <w:rsid w:val="009739ED"/>
    <w:rsid w:val="009742FB"/>
    <w:rsid w:val="00974414"/>
    <w:rsid w:val="0097479E"/>
    <w:rsid w:val="00985BFD"/>
    <w:rsid w:val="00987C2F"/>
    <w:rsid w:val="00990503"/>
    <w:rsid w:val="00990545"/>
    <w:rsid w:val="0099090E"/>
    <w:rsid w:val="00990E76"/>
    <w:rsid w:val="00991530"/>
    <w:rsid w:val="00991980"/>
    <w:rsid w:val="0099246E"/>
    <w:rsid w:val="00992AB9"/>
    <w:rsid w:val="00992AF5"/>
    <w:rsid w:val="0099328A"/>
    <w:rsid w:val="009944C8"/>
    <w:rsid w:val="009974D7"/>
    <w:rsid w:val="009A4F88"/>
    <w:rsid w:val="009A5357"/>
    <w:rsid w:val="009A5458"/>
    <w:rsid w:val="009B06A2"/>
    <w:rsid w:val="009B1BC9"/>
    <w:rsid w:val="009B203B"/>
    <w:rsid w:val="009B2830"/>
    <w:rsid w:val="009B56D8"/>
    <w:rsid w:val="009B5A7C"/>
    <w:rsid w:val="009B6D6F"/>
    <w:rsid w:val="009B7309"/>
    <w:rsid w:val="009B7DAD"/>
    <w:rsid w:val="009B7E04"/>
    <w:rsid w:val="009C0219"/>
    <w:rsid w:val="009C13A9"/>
    <w:rsid w:val="009C2026"/>
    <w:rsid w:val="009C2383"/>
    <w:rsid w:val="009C4C0E"/>
    <w:rsid w:val="009C4F0B"/>
    <w:rsid w:val="009C538A"/>
    <w:rsid w:val="009D0310"/>
    <w:rsid w:val="009D2FA9"/>
    <w:rsid w:val="009D32C8"/>
    <w:rsid w:val="009D4140"/>
    <w:rsid w:val="009D4800"/>
    <w:rsid w:val="009D48AF"/>
    <w:rsid w:val="009D4D58"/>
    <w:rsid w:val="009D7297"/>
    <w:rsid w:val="009D734B"/>
    <w:rsid w:val="009D7C89"/>
    <w:rsid w:val="009E191D"/>
    <w:rsid w:val="009E20DA"/>
    <w:rsid w:val="009E40A5"/>
    <w:rsid w:val="009E4638"/>
    <w:rsid w:val="009E5496"/>
    <w:rsid w:val="009E5EAE"/>
    <w:rsid w:val="009E729D"/>
    <w:rsid w:val="009F1966"/>
    <w:rsid w:val="009F1B90"/>
    <w:rsid w:val="009F1C6A"/>
    <w:rsid w:val="009F20CE"/>
    <w:rsid w:val="009F2A85"/>
    <w:rsid w:val="009F3057"/>
    <w:rsid w:val="009F4B19"/>
    <w:rsid w:val="009F4E0B"/>
    <w:rsid w:val="009F53DD"/>
    <w:rsid w:val="009F5EDA"/>
    <w:rsid w:val="009F603C"/>
    <w:rsid w:val="009F76FD"/>
    <w:rsid w:val="00A01381"/>
    <w:rsid w:val="00A01566"/>
    <w:rsid w:val="00A04DA2"/>
    <w:rsid w:val="00A05198"/>
    <w:rsid w:val="00A05229"/>
    <w:rsid w:val="00A10F40"/>
    <w:rsid w:val="00A1146A"/>
    <w:rsid w:val="00A126C6"/>
    <w:rsid w:val="00A13EA2"/>
    <w:rsid w:val="00A17236"/>
    <w:rsid w:val="00A17346"/>
    <w:rsid w:val="00A21154"/>
    <w:rsid w:val="00A2200C"/>
    <w:rsid w:val="00A22C4D"/>
    <w:rsid w:val="00A23101"/>
    <w:rsid w:val="00A23767"/>
    <w:rsid w:val="00A24338"/>
    <w:rsid w:val="00A24991"/>
    <w:rsid w:val="00A26D42"/>
    <w:rsid w:val="00A26E76"/>
    <w:rsid w:val="00A32E77"/>
    <w:rsid w:val="00A37881"/>
    <w:rsid w:val="00A4049F"/>
    <w:rsid w:val="00A409A4"/>
    <w:rsid w:val="00A40CC7"/>
    <w:rsid w:val="00A416B4"/>
    <w:rsid w:val="00A42309"/>
    <w:rsid w:val="00A429C7"/>
    <w:rsid w:val="00A44145"/>
    <w:rsid w:val="00A46B56"/>
    <w:rsid w:val="00A47C17"/>
    <w:rsid w:val="00A50F74"/>
    <w:rsid w:val="00A51454"/>
    <w:rsid w:val="00A51B7B"/>
    <w:rsid w:val="00A52ADE"/>
    <w:rsid w:val="00A53CDD"/>
    <w:rsid w:val="00A542A5"/>
    <w:rsid w:val="00A55846"/>
    <w:rsid w:val="00A55EE0"/>
    <w:rsid w:val="00A57A12"/>
    <w:rsid w:val="00A607BF"/>
    <w:rsid w:val="00A61399"/>
    <w:rsid w:val="00A624E1"/>
    <w:rsid w:val="00A62851"/>
    <w:rsid w:val="00A6334B"/>
    <w:rsid w:val="00A63444"/>
    <w:rsid w:val="00A6383C"/>
    <w:rsid w:val="00A63BB6"/>
    <w:rsid w:val="00A645B4"/>
    <w:rsid w:val="00A663B2"/>
    <w:rsid w:val="00A66AB5"/>
    <w:rsid w:val="00A66DE9"/>
    <w:rsid w:val="00A716E8"/>
    <w:rsid w:val="00A71FE0"/>
    <w:rsid w:val="00A7247E"/>
    <w:rsid w:val="00A73588"/>
    <w:rsid w:val="00A744FB"/>
    <w:rsid w:val="00A74BA6"/>
    <w:rsid w:val="00A74C75"/>
    <w:rsid w:val="00A75918"/>
    <w:rsid w:val="00A75FA0"/>
    <w:rsid w:val="00A7671C"/>
    <w:rsid w:val="00A767AF"/>
    <w:rsid w:val="00A773DD"/>
    <w:rsid w:val="00A80B8D"/>
    <w:rsid w:val="00A80B96"/>
    <w:rsid w:val="00A81042"/>
    <w:rsid w:val="00A8131A"/>
    <w:rsid w:val="00A825B3"/>
    <w:rsid w:val="00A828C5"/>
    <w:rsid w:val="00A835DC"/>
    <w:rsid w:val="00A836B7"/>
    <w:rsid w:val="00A83E94"/>
    <w:rsid w:val="00A8440E"/>
    <w:rsid w:val="00A848CC"/>
    <w:rsid w:val="00A85489"/>
    <w:rsid w:val="00A870F3"/>
    <w:rsid w:val="00A87F64"/>
    <w:rsid w:val="00A87FB5"/>
    <w:rsid w:val="00A90AD8"/>
    <w:rsid w:val="00A92438"/>
    <w:rsid w:val="00A92D32"/>
    <w:rsid w:val="00A937F5"/>
    <w:rsid w:val="00A94432"/>
    <w:rsid w:val="00A9667E"/>
    <w:rsid w:val="00A97758"/>
    <w:rsid w:val="00AA2D5E"/>
    <w:rsid w:val="00AA4F25"/>
    <w:rsid w:val="00AA5AC7"/>
    <w:rsid w:val="00AA6B9A"/>
    <w:rsid w:val="00AA6F81"/>
    <w:rsid w:val="00AA715B"/>
    <w:rsid w:val="00AB0D98"/>
    <w:rsid w:val="00AB1874"/>
    <w:rsid w:val="00AB2839"/>
    <w:rsid w:val="00AB286E"/>
    <w:rsid w:val="00AB2D84"/>
    <w:rsid w:val="00AB3539"/>
    <w:rsid w:val="00AB4948"/>
    <w:rsid w:val="00AB6368"/>
    <w:rsid w:val="00AB6B67"/>
    <w:rsid w:val="00AB7522"/>
    <w:rsid w:val="00AB7E60"/>
    <w:rsid w:val="00AC261D"/>
    <w:rsid w:val="00AC2C9A"/>
    <w:rsid w:val="00AC3A88"/>
    <w:rsid w:val="00AC4732"/>
    <w:rsid w:val="00AC7852"/>
    <w:rsid w:val="00AD10CD"/>
    <w:rsid w:val="00AD23D7"/>
    <w:rsid w:val="00AD37AF"/>
    <w:rsid w:val="00AD4CAE"/>
    <w:rsid w:val="00AD7F62"/>
    <w:rsid w:val="00AE03A0"/>
    <w:rsid w:val="00AE0831"/>
    <w:rsid w:val="00AE0A66"/>
    <w:rsid w:val="00AE2CD5"/>
    <w:rsid w:val="00AE3707"/>
    <w:rsid w:val="00AE747C"/>
    <w:rsid w:val="00AE7A62"/>
    <w:rsid w:val="00AF2567"/>
    <w:rsid w:val="00AF28DC"/>
    <w:rsid w:val="00AF295E"/>
    <w:rsid w:val="00AF5176"/>
    <w:rsid w:val="00AF5332"/>
    <w:rsid w:val="00AF6CFC"/>
    <w:rsid w:val="00B0343D"/>
    <w:rsid w:val="00B0473D"/>
    <w:rsid w:val="00B04AE0"/>
    <w:rsid w:val="00B06EFB"/>
    <w:rsid w:val="00B10965"/>
    <w:rsid w:val="00B11449"/>
    <w:rsid w:val="00B140C7"/>
    <w:rsid w:val="00B1650A"/>
    <w:rsid w:val="00B1708B"/>
    <w:rsid w:val="00B17A9A"/>
    <w:rsid w:val="00B20E23"/>
    <w:rsid w:val="00B21F42"/>
    <w:rsid w:val="00B223C0"/>
    <w:rsid w:val="00B22DA6"/>
    <w:rsid w:val="00B2518F"/>
    <w:rsid w:val="00B3179B"/>
    <w:rsid w:val="00B3391C"/>
    <w:rsid w:val="00B33B79"/>
    <w:rsid w:val="00B34EE4"/>
    <w:rsid w:val="00B36357"/>
    <w:rsid w:val="00B36D7B"/>
    <w:rsid w:val="00B379B6"/>
    <w:rsid w:val="00B4117C"/>
    <w:rsid w:val="00B41C2E"/>
    <w:rsid w:val="00B41F07"/>
    <w:rsid w:val="00B42D16"/>
    <w:rsid w:val="00B43BA9"/>
    <w:rsid w:val="00B44008"/>
    <w:rsid w:val="00B50AE8"/>
    <w:rsid w:val="00B51111"/>
    <w:rsid w:val="00B520D9"/>
    <w:rsid w:val="00B525A4"/>
    <w:rsid w:val="00B5515F"/>
    <w:rsid w:val="00B552D7"/>
    <w:rsid w:val="00B55C7B"/>
    <w:rsid w:val="00B572C5"/>
    <w:rsid w:val="00B6019A"/>
    <w:rsid w:val="00B60739"/>
    <w:rsid w:val="00B60B72"/>
    <w:rsid w:val="00B6146D"/>
    <w:rsid w:val="00B6176C"/>
    <w:rsid w:val="00B6197C"/>
    <w:rsid w:val="00B62F7D"/>
    <w:rsid w:val="00B637E9"/>
    <w:rsid w:val="00B63917"/>
    <w:rsid w:val="00B64333"/>
    <w:rsid w:val="00B643A8"/>
    <w:rsid w:val="00B64A67"/>
    <w:rsid w:val="00B653EE"/>
    <w:rsid w:val="00B6567F"/>
    <w:rsid w:val="00B65A47"/>
    <w:rsid w:val="00B669B4"/>
    <w:rsid w:val="00B66A16"/>
    <w:rsid w:val="00B66B0A"/>
    <w:rsid w:val="00B70EB5"/>
    <w:rsid w:val="00B70EFB"/>
    <w:rsid w:val="00B712CF"/>
    <w:rsid w:val="00B7413F"/>
    <w:rsid w:val="00B742DA"/>
    <w:rsid w:val="00B753FB"/>
    <w:rsid w:val="00B75448"/>
    <w:rsid w:val="00B754FB"/>
    <w:rsid w:val="00B759B9"/>
    <w:rsid w:val="00B76AD2"/>
    <w:rsid w:val="00B76BD8"/>
    <w:rsid w:val="00B77BE8"/>
    <w:rsid w:val="00B80763"/>
    <w:rsid w:val="00B81BCF"/>
    <w:rsid w:val="00B81D1B"/>
    <w:rsid w:val="00B82389"/>
    <w:rsid w:val="00B82B35"/>
    <w:rsid w:val="00B82F9B"/>
    <w:rsid w:val="00B83585"/>
    <w:rsid w:val="00B84CD0"/>
    <w:rsid w:val="00B85ED4"/>
    <w:rsid w:val="00B86704"/>
    <w:rsid w:val="00B90FA5"/>
    <w:rsid w:val="00B92927"/>
    <w:rsid w:val="00B944F6"/>
    <w:rsid w:val="00B94E91"/>
    <w:rsid w:val="00B95DBF"/>
    <w:rsid w:val="00B962BC"/>
    <w:rsid w:val="00BA01B4"/>
    <w:rsid w:val="00BA0F08"/>
    <w:rsid w:val="00BA215F"/>
    <w:rsid w:val="00BA2B42"/>
    <w:rsid w:val="00BA2CB3"/>
    <w:rsid w:val="00BA49A9"/>
    <w:rsid w:val="00BA5E9D"/>
    <w:rsid w:val="00BA682B"/>
    <w:rsid w:val="00BA7F0A"/>
    <w:rsid w:val="00BB1ECC"/>
    <w:rsid w:val="00BB25B5"/>
    <w:rsid w:val="00BB3B2B"/>
    <w:rsid w:val="00BB717B"/>
    <w:rsid w:val="00BB7B72"/>
    <w:rsid w:val="00BC0F92"/>
    <w:rsid w:val="00BC23D7"/>
    <w:rsid w:val="00BC3590"/>
    <w:rsid w:val="00BC4054"/>
    <w:rsid w:val="00BC4807"/>
    <w:rsid w:val="00BC6756"/>
    <w:rsid w:val="00BC6E75"/>
    <w:rsid w:val="00BC7316"/>
    <w:rsid w:val="00BD0AB4"/>
    <w:rsid w:val="00BD241A"/>
    <w:rsid w:val="00BD34F4"/>
    <w:rsid w:val="00BD4F9E"/>
    <w:rsid w:val="00BD56DC"/>
    <w:rsid w:val="00BD5F1B"/>
    <w:rsid w:val="00BE0B0F"/>
    <w:rsid w:val="00BE1DCD"/>
    <w:rsid w:val="00BE24D8"/>
    <w:rsid w:val="00BE30D6"/>
    <w:rsid w:val="00BE3DC8"/>
    <w:rsid w:val="00BE44C6"/>
    <w:rsid w:val="00BE47A1"/>
    <w:rsid w:val="00BE4FB1"/>
    <w:rsid w:val="00BF0600"/>
    <w:rsid w:val="00BF082E"/>
    <w:rsid w:val="00BF140D"/>
    <w:rsid w:val="00BF1D91"/>
    <w:rsid w:val="00BF3AB4"/>
    <w:rsid w:val="00BF5050"/>
    <w:rsid w:val="00BF57CD"/>
    <w:rsid w:val="00BF6B5B"/>
    <w:rsid w:val="00BF7E98"/>
    <w:rsid w:val="00C01499"/>
    <w:rsid w:val="00C01868"/>
    <w:rsid w:val="00C01C1F"/>
    <w:rsid w:val="00C02002"/>
    <w:rsid w:val="00C02BEC"/>
    <w:rsid w:val="00C02E71"/>
    <w:rsid w:val="00C02F0A"/>
    <w:rsid w:val="00C03819"/>
    <w:rsid w:val="00C061A2"/>
    <w:rsid w:val="00C063B0"/>
    <w:rsid w:val="00C063CC"/>
    <w:rsid w:val="00C068FB"/>
    <w:rsid w:val="00C0713C"/>
    <w:rsid w:val="00C071BC"/>
    <w:rsid w:val="00C121A6"/>
    <w:rsid w:val="00C1370A"/>
    <w:rsid w:val="00C13B24"/>
    <w:rsid w:val="00C148C8"/>
    <w:rsid w:val="00C168D7"/>
    <w:rsid w:val="00C208EF"/>
    <w:rsid w:val="00C21294"/>
    <w:rsid w:val="00C219AF"/>
    <w:rsid w:val="00C21EFE"/>
    <w:rsid w:val="00C22524"/>
    <w:rsid w:val="00C235E4"/>
    <w:rsid w:val="00C251A3"/>
    <w:rsid w:val="00C26868"/>
    <w:rsid w:val="00C27034"/>
    <w:rsid w:val="00C271F1"/>
    <w:rsid w:val="00C27E25"/>
    <w:rsid w:val="00C30728"/>
    <w:rsid w:val="00C3253D"/>
    <w:rsid w:val="00C329DC"/>
    <w:rsid w:val="00C334B9"/>
    <w:rsid w:val="00C33C7C"/>
    <w:rsid w:val="00C33E21"/>
    <w:rsid w:val="00C33F63"/>
    <w:rsid w:val="00C3421E"/>
    <w:rsid w:val="00C34BC2"/>
    <w:rsid w:val="00C358E9"/>
    <w:rsid w:val="00C37F2E"/>
    <w:rsid w:val="00C40523"/>
    <w:rsid w:val="00C409B0"/>
    <w:rsid w:val="00C40A28"/>
    <w:rsid w:val="00C40E11"/>
    <w:rsid w:val="00C4144A"/>
    <w:rsid w:val="00C4154F"/>
    <w:rsid w:val="00C41FD5"/>
    <w:rsid w:val="00C43092"/>
    <w:rsid w:val="00C438FB"/>
    <w:rsid w:val="00C43AE2"/>
    <w:rsid w:val="00C449D2"/>
    <w:rsid w:val="00C45449"/>
    <w:rsid w:val="00C45631"/>
    <w:rsid w:val="00C46EED"/>
    <w:rsid w:val="00C5130E"/>
    <w:rsid w:val="00C53082"/>
    <w:rsid w:val="00C54179"/>
    <w:rsid w:val="00C54576"/>
    <w:rsid w:val="00C55A7F"/>
    <w:rsid w:val="00C62674"/>
    <w:rsid w:val="00C62F77"/>
    <w:rsid w:val="00C63F48"/>
    <w:rsid w:val="00C660C7"/>
    <w:rsid w:val="00C670DD"/>
    <w:rsid w:val="00C70824"/>
    <w:rsid w:val="00C7300B"/>
    <w:rsid w:val="00C7552F"/>
    <w:rsid w:val="00C760A0"/>
    <w:rsid w:val="00C765C9"/>
    <w:rsid w:val="00C77216"/>
    <w:rsid w:val="00C812B9"/>
    <w:rsid w:val="00C83F9B"/>
    <w:rsid w:val="00C847C3"/>
    <w:rsid w:val="00C848EF"/>
    <w:rsid w:val="00C85FDA"/>
    <w:rsid w:val="00C87322"/>
    <w:rsid w:val="00C913E4"/>
    <w:rsid w:val="00C914A3"/>
    <w:rsid w:val="00C91EE3"/>
    <w:rsid w:val="00C931EB"/>
    <w:rsid w:val="00C96044"/>
    <w:rsid w:val="00C97232"/>
    <w:rsid w:val="00C972FE"/>
    <w:rsid w:val="00CA0160"/>
    <w:rsid w:val="00CA09AA"/>
    <w:rsid w:val="00CA3C11"/>
    <w:rsid w:val="00CB037F"/>
    <w:rsid w:val="00CB18C0"/>
    <w:rsid w:val="00CB29C7"/>
    <w:rsid w:val="00CB2A0F"/>
    <w:rsid w:val="00CB3199"/>
    <w:rsid w:val="00CB37E3"/>
    <w:rsid w:val="00CB3E6B"/>
    <w:rsid w:val="00CB4BEA"/>
    <w:rsid w:val="00CB6EB1"/>
    <w:rsid w:val="00CB7951"/>
    <w:rsid w:val="00CC22A1"/>
    <w:rsid w:val="00CC2D5F"/>
    <w:rsid w:val="00CC2D7D"/>
    <w:rsid w:val="00CC31EF"/>
    <w:rsid w:val="00CC364B"/>
    <w:rsid w:val="00CC4472"/>
    <w:rsid w:val="00CC488A"/>
    <w:rsid w:val="00CC488B"/>
    <w:rsid w:val="00CC4910"/>
    <w:rsid w:val="00CC6DC4"/>
    <w:rsid w:val="00CC7057"/>
    <w:rsid w:val="00CD00FF"/>
    <w:rsid w:val="00CD0F4D"/>
    <w:rsid w:val="00CD168A"/>
    <w:rsid w:val="00CD264C"/>
    <w:rsid w:val="00CD306C"/>
    <w:rsid w:val="00CD42AA"/>
    <w:rsid w:val="00CD5A71"/>
    <w:rsid w:val="00CD5B2F"/>
    <w:rsid w:val="00CD6A22"/>
    <w:rsid w:val="00CE0802"/>
    <w:rsid w:val="00CE1315"/>
    <w:rsid w:val="00CE6588"/>
    <w:rsid w:val="00CF0D4A"/>
    <w:rsid w:val="00CF0DAD"/>
    <w:rsid w:val="00CF3BA8"/>
    <w:rsid w:val="00CF4881"/>
    <w:rsid w:val="00CF5B8B"/>
    <w:rsid w:val="00CF72D2"/>
    <w:rsid w:val="00CF79F1"/>
    <w:rsid w:val="00D00534"/>
    <w:rsid w:val="00D00988"/>
    <w:rsid w:val="00D01EE4"/>
    <w:rsid w:val="00D047B8"/>
    <w:rsid w:val="00D076D7"/>
    <w:rsid w:val="00D07DFA"/>
    <w:rsid w:val="00D10829"/>
    <w:rsid w:val="00D15616"/>
    <w:rsid w:val="00D165B5"/>
    <w:rsid w:val="00D17FF4"/>
    <w:rsid w:val="00D22287"/>
    <w:rsid w:val="00D23B32"/>
    <w:rsid w:val="00D25688"/>
    <w:rsid w:val="00D26C24"/>
    <w:rsid w:val="00D3112E"/>
    <w:rsid w:val="00D31E82"/>
    <w:rsid w:val="00D32445"/>
    <w:rsid w:val="00D324DC"/>
    <w:rsid w:val="00D331B0"/>
    <w:rsid w:val="00D33569"/>
    <w:rsid w:val="00D352F9"/>
    <w:rsid w:val="00D35BC4"/>
    <w:rsid w:val="00D35C75"/>
    <w:rsid w:val="00D36076"/>
    <w:rsid w:val="00D36385"/>
    <w:rsid w:val="00D36A91"/>
    <w:rsid w:val="00D3755A"/>
    <w:rsid w:val="00D37694"/>
    <w:rsid w:val="00D405A5"/>
    <w:rsid w:val="00D4082D"/>
    <w:rsid w:val="00D41096"/>
    <w:rsid w:val="00D44BE2"/>
    <w:rsid w:val="00D45173"/>
    <w:rsid w:val="00D4624B"/>
    <w:rsid w:val="00D46468"/>
    <w:rsid w:val="00D47CA5"/>
    <w:rsid w:val="00D47F5B"/>
    <w:rsid w:val="00D50126"/>
    <w:rsid w:val="00D52BF9"/>
    <w:rsid w:val="00D53AE6"/>
    <w:rsid w:val="00D54AEE"/>
    <w:rsid w:val="00D56C6C"/>
    <w:rsid w:val="00D61513"/>
    <w:rsid w:val="00D62F3D"/>
    <w:rsid w:val="00D63BD5"/>
    <w:rsid w:val="00D6715B"/>
    <w:rsid w:val="00D705E9"/>
    <w:rsid w:val="00D72DD5"/>
    <w:rsid w:val="00D72E59"/>
    <w:rsid w:val="00D733CC"/>
    <w:rsid w:val="00D7389E"/>
    <w:rsid w:val="00D761D4"/>
    <w:rsid w:val="00D801DE"/>
    <w:rsid w:val="00D817F9"/>
    <w:rsid w:val="00D81A78"/>
    <w:rsid w:val="00D8344E"/>
    <w:rsid w:val="00D83662"/>
    <w:rsid w:val="00D84F07"/>
    <w:rsid w:val="00D858F8"/>
    <w:rsid w:val="00D871E0"/>
    <w:rsid w:val="00D90865"/>
    <w:rsid w:val="00D93967"/>
    <w:rsid w:val="00D93FBF"/>
    <w:rsid w:val="00D9556F"/>
    <w:rsid w:val="00DA1AFC"/>
    <w:rsid w:val="00DA45EE"/>
    <w:rsid w:val="00DA7604"/>
    <w:rsid w:val="00DA7F3C"/>
    <w:rsid w:val="00DB05CB"/>
    <w:rsid w:val="00DB07E0"/>
    <w:rsid w:val="00DB0DAC"/>
    <w:rsid w:val="00DB159D"/>
    <w:rsid w:val="00DB17B1"/>
    <w:rsid w:val="00DB25A5"/>
    <w:rsid w:val="00DB272C"/>
    <w:rsid w:val="00DB4F0D"/>
    <w:rsid w:val="00DB78DC"/>
    <w:rsid w:val="00DB7C58"/>
    <w:rsid w:val="00DC162C"/>
    <w:rsid w:val="00DC1C5E"/>
    <w:rsid w:val="00DC3485"/>
    <w:rsid w:val="00DC3ADD"/>
    <w:rsid w:val="00DC4E57"/>
    <w:rsid w:val="00DC645B"/>
    <w:rsid w:val="00DC7C84"/>
    <w:rsid w:val="00DD0650"/>
    <w:rsid w:val="00DD153E"/>
    <w:rsid w:val="00DD1BA0"/>
    <w:rsid w:val="00DD35F1"/>
    <w:rsid w:val="00DD5446"/>
    <w:rsid w:val="00DD5BB2"/>
    <w:rsid w:val="00DD6E78"/>
    <w:rsid w:val="00DE575D"/>
    <w:rsid w:val="00DE7950"/>
    <w:rsid w:val="00DF1115"/>
    <w:rsid w:val="00DF154E"/>
    <w:rsid w:val="00DF37B7"/>
    <w:rsid w:val="00DF4160"/>
    <w:rsid w:val="00DF4BBC"/>
    <w:rsid w:val="00DF5281"/>
    <w:rsid w:val="00DF77F1"/>
    <w:rsid w:val="00DF7A90"/>
    <w:rsid w:val="00E02989"/>
    <w:rsid w:val="00E029E4"/>
    <w:rsid w:val="00E037E5"/>
    <w:rsid w:val="00E03CC9"/>
    <w:rsid w:val="00E045AA"/>
    <w:rsid w:val="00E04B31"/>
    <w:rsid w:val="00E04F49"/>
    <w:rsid w:val="00E06527"/>
    <w:rsid w:val="00E07255"/>
    <w:rsid w:val="00E07AC9"/>
    <w:rsid w:val="00E10C9F"/>
    <w:rsid w:val="00E12098"/>
    <w:rsid w:val="00E14CC6"/>
    <w:rsid w:val="00E157B8"/>
    <w:rsid w:val="00E169F3"/>
    <w:rsid w:val="00E175D8"/>
    <w:rsid w:val="00E21B60"/>
    <w:rsid w:val="00E23255"/>
    <w:rsid w:val="00E237B1"/>
    <w:rsid w:val="00E2382C"/>
    <w:rsid w:val="00E23AC3"/>
    <w:rsid w:val="00E3009E"/>
    <w:rsid w:val="00E30293"/>
    <w:rsid w:val="00E31FEE"/>
    <w:rsid w:val="00E33689"/>
    <w:rsid w:val="00E33C14"/>
    <w:rsid w:val="00E35C28"/>
    <w:rsid w:val="00E379D0"/>
    <w:rsid w:val="00E37D39"/>
    <w:rsid w:val="00E4028A"/>
    <w:rsid w:val="00E41F3E"/>
    <w:rsid w:val="00E42248"/>
    <w:rsid w:val="00E423DC"/>
    <w:rsid w:val="00E42E2C"/>
    <w:rsid w:val="00E437A3"/>
    <w:rsid w:val="00E45F9A"/>
    <w:rsid w:val="00E46505"/>
    <w:rsid w:val="00E46B49"/>
    <w:rsid w:val="00E46E5B"/>
    <w:rsid w:val="00E47538"/>
    <w:rsid w:val="00E5010D"/>
    <w:rsid w:val="00E50816"/>
    <w:rsid w:val="00E5145E"/>
    <w:rsid w:val="00E53350"/>
    <w:rsid w:val="00E5394F"/>
    <w:rsid w:val="00E54505"/>
    <w:rsid w:val="00E55862"/>
    <w:rsid w:val="00E55BA9"/>
    <w:rsid w:val="00E564D7"/>
    <w:rsid w:val="00E5656A"/>
    <w:rsid w:val="00E565FD"/>
    <w:rsid w:val="00E56A9F"/>
    <w:rsid w:val="00E57E04"/>
    <w:rsid w:val="00E60B29"/>
    <w:rsid w:val="00E62930"/>
    <w:rsid w:val="00E62DC2"/>
    <w:rsid w:val="00E62E00"/>
    <w:rsid w:val="00E637F2"/>
    <w:rsid w:val="00E65C83"/>
    <w:rsid w:val="00E65FF1"/>
    <w:rsid w:val="00E662AF"/>
    <w:rsid w:val="00E669C4"/>
    <w:rsid w:val="00E67218"/>
    <w:rsid w:val="00E678A4"/>
    <w:rsid w:val="00E7168F"/>
    <w:rsid w:val="00E71A42"/>
    <w:rsid w:val="00E71E69"/>
    <w:rsid w:val="00E73664"/>
    <w:rsid w:val="00E7413B"/>
    <w:rsid w:val="00E76B51"/>
    <w:rsid w:val="00E771EF"/>
    <w:rsid w:val="00E775CF"/>
    <w:rsid w:val="00E77770"/>
    <w:rsid w:val="00E77B5A"/>
    <w:rsid w:val="00E841A5"/>
    <w:rsid w:val="00E85345"/>
    <w:rsid w:val="00E872D5"/>
    <w:rsid w:val="00E872FE"/>
    <w:rsid w:val="00E878D4"/>
    <w:rsid w:val="00E91DBD"/>
    <w:rsid w:val="00E9379C"/>
    <w:rsid w:val="00E9497C"/>
    <w:rsid w:val="00E94E23"/>
    <w:rsid w:val="00E9512A"/>
    <w:rsid w:val="00E9525F"/>
    <w:rsid w:val="00EA0106"/>
    <w:rsid w:val="00EA0145"/>
    <w:rsid w:val="00EA09D5"/>
    <w:rsid w:val="00EA171E"/>
    <w:rsid w:val="00EA2AC7"/>
    <w:rsid w:val="00EA4A02"/>
    <w:rsid w:val="00EA5FD2"/>
    <w:rsid w:val="00EA6F5D"/>
    <w:rsid w:val="00EB089D"/>
    <w:rsid w:val="00EB17FF"/>
    <w:rsid w:val="00EB1A2E"/>
    <w:rsid w:val="00EB2F26"/>
    <w:rsid w:val="00EB3139"/>
    <w:rsid w:val="00EB3742"/>
    <w:rsid w:val="00EB3872"/>
    <w:rsid w:val="00EB3D87"/>
    <w:rsid w:val="00EB4337"/>
    <w:rsid w:val="00EB4657"/>
    <w:rsid w:val="00EB54C7"/>
    <w:rsid w:val="00EB558D"/>
    <w:rsid w:val="00EB7474"/>
    <w:rsid w:val="00EB7B0E"/>
    <w:rsid w:val="00EC0F8C"/>
    <w:rsid w:val="00EC1475"/>
    <w:rsid w:val="00EC14FE"/>
    <w:rsid w:val="00EC189B"/>
    <w:rsid w:val="00EC31B7"/>
    <w:rsid w:val="00EC3DAF"/>
    <w:rsid w:val="00EC4DDD"/>
    <w:rsid w:val="00EC5A7C"/>
    <w:rsid w:val="00EC5E07"/>
    <w:rsid w:val="00EC685D"/>
    <w:rsid w:val="00EC6AF6"/>
    <w:rsid w:val="00EC706C"/>
    <w:rsid w:val="00EC7DF3"/>
    <w:rsid w:val="00ED00A5"/>
    <w:rsid w:val="00ED0EBF"/>
    <w:rsid w:val="00ED11AC"/>
    <w:rsid w:val="00ED132C"/>
    <w:rsid w:val="00ED1886"/>
    <w:rsid w:val="00ED1E66"/>
    <w:rsid w:val="00ED2693"/>
    <w:rsid w:val="00ED35D1"/>
    <w:rsid w:val="00ED4BBB"/>
    <w:rsid w:val="00EE11DA"/>
    <w:rsid w:val="00EE14BC"/>
    <w:rsid w:val="00EE1735"/>
    <w:rsid w:val="00EE47AE"/>
    <w:rsid w:val="00EF053F"/>
    <w:rsid w:val="00EF10C4"/>
    <w:rsid w:val="00EF39DF"/>
    <w:rsid w:val="00EF4B54"/>
    <w:rsid w:val="00EF4FF2"/>
    <w:rsid w:val="00EF714C"/>
    <w:rsid w:val="00F00A8F"/>
    <w:rsid w:val="00F0139C"/>
    <w:rsid w:val="00F0294F"/>
    <w:rsid w:val="00F04B0C"/>
    <w:rsid w:val="00F05828"/>
    <w:rsid w:val="00F05A15"/>
    <w:rsid w:val="00F062FC"/>
    <w:rsid w:val="00F06D07"/>
    <w:rsid w:val="00F06EFE"/>
    <w:rsid w:val="00F075CC"/>
    <w:rsid w:val="00F111DC"/>
    <w:rsid w:val="00F1318F"/>
    <w:rsid w:val="00F1339D"/>
    <w:rsid w:val="00F14C47"/>
    <w:rsid w:val="00F14C80"/>
    <w:rsid w:val="00F15694"/>
    <w:rsid w:val="00F16786"/>
    <w:rsid w:val="00F17B62"/>
    <w:rsid w:val="00F208DE"/>
    <w:rsid w:val="00F221DB"/>
    <w:rsid w:val="00F2240B"/>
    <w:rsid w:val="00F2295F"/>
    <w:rsid w:val="00F23030"/>
    <w:rsid w:val="00F23E20"/>
    <w:rsid w:val="00F23F45"/>
    <w:rsid w:val="00F24EC8"/>
    <w:rsid w:val="00F262E7"/>
    <w:rsid w:val="00F26EFE"/>
    <w:rsid w:val="00F31AD0"/>
    <w:rsid w:val="00F33DE0"/>
    <w:rsid w:val="00F374D5"/>
    <w:rsid w:val="00F4081B"/>
    <w:rsid w:val="00F4090D"/>
    <w:rsid w:val="00F429C4"/>
    <w:rsid w:val="00F43256"/>
    <w:rsid w:val="00F441CD"/>
    <w:rsid w:val="00F444D3"/>
    <w:rsid w:val="00F44895"/>
    <w:rsid w:val="00F44F1B"/>
    <w:rsid w:val="00F45CD0"/>
    <w:rsid w:val="00F50C6D"/>
    <w:rsid w:val="00F51F69"/>
    <w:rsid w:val="00F524FC"/>
    <w:rsid w:val="00F57C6B"/>
    <w:rsid w:val="00F621C7"/>
    <w:rsid w:val="00F662F7"/>
    <w:rsid w:val="00F671D8"/>
    <w:rsid w:val="00F71759"/>
    <w:rsid w:val="00F72E3F"/>
    <w:rsid w:val="00F72EBD"/>
    <w:rsid w:val="00F7381E"/>
    <w:rsid w:val="00F73F77"/>
    <w:rsid w:val="00F73F79"/>
    <w:rsid w:val="00F751B7"/>
    <w:rsid w:val="00F75217"/>
    <w:rsid w:val="00F77941"/>
    <w:rsid w:val="00F80112"/>
    <w:rsid w:val="00F80676"/>
    <w:rsid w:val="00F8306E"/>
    <w:rsid w:val="00F86C42"/>
    <w:rsid w:val="00F87B5B"/>
    <w:rsid w:val="00F915E6"/>
    <w:rsid w:val="00F92167"/>
    <w:rsid w:val="00F925AC"/>
    <w:rsid w:val="00F943E5"/>
    <w:rsid w:val="00F9539C"/>
    <w:rsid w:val="00F96FD3"/>
    <w:rsid w:val="00F97867"/>
    <w:rsid w:val="00F97C1F"/>
    <w:rsid w:val="00F97CB9"/>
    <w:rsid w:val="00FA04D0"/>
    <w:rsid w:val="00FA0B1E"/>
    <w:rsid w:val="00FA0E5B"/>
    <w:rsid w:val="00FA1832"/>
    <w:rsid w:val="00FA1926"/>
    <w:rsid w:val="00FA3037"/>
    <w:rsid w:val="00FA4212"/>
    <w:rsid w:val="00FA49D6"/>
    <w:rsid w:val="00FA7E34"/>
    <w:rsid w:val="00FB08BA"/>
    <w:rsid w:val="00FB1E10"/>
    <w:rsid w:val="00FB3F8D"/>
    <w:rsid w:val="00FB4408"/>
    <w:rsid w:val="00FB49A4"/>
    <w:rsid w:val="00FB6941"/>
    <w:rsid w:val="00FC166F"/>
    <w:rsid w:val="00FC197A"/>
    <w:rsid w:val="00FC2DEE"/>
    <w:rsid w:val="00FC31AB"/>
    <w:rsid w:val="00FC3B63"/>
    <w:rsid w:val="00FC3F95"/>
    <w:rsid w:val="00FC40B3"/>
    <w:rsid w:val="00FC4F86"/>
    <w:rsid w:val="00FC5214"/>
    <w:rsid w:val="00FC5ED0"/>
    <w:rsid w:val="00FC65ED"/>
    <w:rsid w:val="00FC6EE2"/>
    <w:rsid w:val="00FC76C4"/>
    <w:rsid w:val="00FD0D99"/>
    <w:rsid w:val="00FD1E73"/>
    <w:rsid w:val="00FD1FEA"/>
    <w:rsid w:val="00FD2FE7"/>
    <w:rsid w:val="00FD36CF"/>
    <w:rsid w:val="00FD3D18"/>
    <w:rsid w:val="00FD3D8E"/>
    <w:rsid w:val="00FD7306"/>
    <w:rsid w:val="00FE1B53"/>
    <w:rsid w:val="00FE228E"/>
    <w:rsid w:val="00FE2AE6"/>
    <w:rsid w:val="00FE6D12"/>
    <w:rsid w:val="00FE7300"/>
    <w:rsid w:val="00FF22AB"/>
    <w:rsid w:val="00FF2B6E"/>
    <w:rsid w:val="00FF2DBB"/>
    <w:rsid w:val="00FF3CD3"/>
    <w:rsid w:val="00FF480D"/>
    <w:rsid w:val="00FF509E"/>
    <w:rsid w:val="00FF6171"/>
    <w:rsid w:val="00FF66B2"/>
    <w:rsid w:val="00FF7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FD2349"/>
  <w15:docId w15:val="{6FC7108B-E9DE-401D-85AD-0C71A9D6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454"/>
    <w:pPr>
      <w:spacing w:after="0" w:line="240" w:lineRule="auto"/>
    </w:pPr>
    <w:rPr>
      <w:rFonts w:ascii="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5D1454"/>
    <w:pPr>
      <w:ind w:left="360" w:hanging="360"/>
    </w:pPr>
    <w:rPr>
      <w:rFonts w:ascii="GillSans" w:hAnsi="GillSans"/>
      <w:b/>
      <w:szCs w:val="20"/>
    </w:rPr>
  </w:style>
  <w:style w:type="character" w:customStyle="1" w:styleId="BodyTextIndentChar">
    <w:name w:val="Body Text Indent Char"/>
    <w:basedOn w:val="DefaultParagraphFont"/>
    <w:link w:val="BodyTextIndent"/>
    <w:rsid w:val="005D1454"/>
    <w:rPr>
      <w:rFonts w:ascii="GillSans" w:eastAsia="ＭＳ 明朝" w:hAnsi="GillSans" w:cs="Times New Roman"/>
      <w:b/>
      <w:sz w:val="24"/>
      <w:szCs w:val="20"/>
    </w:rPr>
  </w:style>
  <w:style w:type="paragraph" w:styleId="ListParagraph">
    <w:name w:val="List Paragraph"/>
    <w:basedOn w:val="Normal"/>
    <w:uiPriority w:val="34"/>
    <w:qFormat/>
    <w:rsid w:val="005D1454"/>
    <w:pPr>
      <w:ind w:left="720"/>
      <w:contextualSpacing/>
    </w:pPr>
  </w:style>
  <w:style w:type="character" w:styleId="Hyperlink">
    <w:name w:val="Hyperlink"/>
    <w:basedOn w:val="DefaultParagraphFont"/>
    <w:uiPriority w:val="99"/>
    <w:unhideWhenUsed/>
    <w:rsid w:val="005D1454"/>
    <w:rPr>
      <w:color w:val="0000FF"/>
      <w:u w:val="single"/>
    </w:rPr>
  </w:style>
  <w:style w:type="paragraph" w:styleId="Header">
    <w:name w:val="header"/>
    <w:basedOn w:val="Normal"/>
    <w:link w:val="HeaderChar"/>
    <w:uiPriority w:val="99"/>
    <w:unhideWhenUsed/>
    <w:rsid w:val="006A33F7"/>
    <w:pPr>
      <w:tabs>
        <w:tab w:val="center" w:pos="4680"/>
        <w:tab w:val="right" w:pos="9360"/>
      </w:tabs>
    </w:pPr>
  </w:style>
  <w:style w:type="character" w:customStyle="1" w:styleId="HeaderChar">
    <w:name w:val="Header Char"/>
    <w:basedOn w:val="DefaultParagraphFont"/>
    <w:link w:val="Header"/>
    <w:uiPriority w:val="99"/>
    <w:rsid w:val="006A33F7"/>
    <w:rPr>
      <w:rFonts w:ascii="Times New Roman" w:eastAsia="ＭＳ 明朝" w:hAnsi="Times New Roman" w:cs="Times New Roman"/>
      <w:sz w:val="24"/>
      <w:szCs w:val="24"/>
    </w:rPr>
  </w:style>
  <w:style w:type="paragraph" w:styleId="Footer">
    <w:name w:val="footer"/>
    <w:basedOn w:val="Normal"/>
    <w:link w:val="FooterChar"/>
    <w:uiPriority w:val="99"/>
    <w:unhideWhenUsed/>
    <w:rsid w:val="006A33F7"/>
    <w:pPr>
      <w:tabs>
        <w:tab w:val="center" w:pos="4680"/>
        <w:tab w:val="right" w:pos="9360"/>
      </w:tabs>
    </w:pPr>
  </w:style>
  <w:style w:type="character" w:customStyle="1" w:styleId="FooterChar">
    <w:name w:val="Footer Char"/>
    <w:basedOn w:val="DefaultParagraphFont"/>
    <w:link w:val="Footer"/>
    <w:uiPriority w:val="99"/>
    <w:rsid w:val="006A33F7"/>
    <w:rPr>
      <w:rFonts w:ascii="Times New Roman" w:eastAsia="ＭＳ 明朝" w:hAnsi="Times New Roman" w:cs="Times New Roman"/>
      <w:sz w:val="24"/>
      <w:szCs w:val="24"/>
    </w:rPr>
  </w:style>
  <w:style w:type="paragraph" w:styleId="BalloonText">
    <w:name w:val="Balloon Text"/>
    <w:basedOn w:val="Normal"/>
    <w:link w:val="BalloonTextChar"/>
    <w:uiPriority w:val="99"/>
    <w:semiHidden/>
    <w:unhideWhenUsed/>
    <w:rsid w:val="0083028B"/>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28B"/>
    <w:rPr>
      <w:rFonts w:ascii="Lucida Grande" w:eastAsia="ＭＳ 明朝" w:hAnsi="Lucida Grande" w:cs="Times New Roman"/>
      <w:sz w:val="18"/>
      <w:szCs w:val="18"/>
    </w:rPr>
  </w:style>
  <w:style w:type="character" w:styleId="CommentReference">
    <w:name w:val="annotation reference"/>
    <w:basedOn w:val="DefaultParagraphFont"/>
    <w:uiPriority w:val="99"/>
    <w:semiHidden/>
    <w:unhideWhenUsed/>
    <w:rsid w:val="0083028B"/>
    <w:rPr>
      <w:sz w:val="18"/>
      <w:szCs w:val="18"/>
    </w:rPr>
  </w:style>
  <w:style w:type="paragraph" w:styleId="CommentText">
    <w:name w:val="annotation text"/>
    <w:basedOn w:val="Normal"/>
    <w:link w:val="CommentTextChar"/>
    <w:uiPriority w:val="99"/>
    <w:unhideWhenUsed/>
    <w:rsid w:val="0083028B"/>
  </w:style>
  <w:style w:type="character" w:customStyle="1" w:styleId="CommentTextChar">
    <w:name w:val="Comment Text Char"/>
    <w:basedOn w:val="DefaultParagraphFont"/>
    <w:link w:val="CommentText"/>
    <w:uiPriority w:val="99"/>
    <w:rsid w:val="0083028B"/>
    <w:rPr>
      <w:rFonts w:ascii="Times New Roman" w:eastAsia="ＭＳ 明朝"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3028B"/>
    <w:rPr>
      <w:b/>
      <w:bCs/>
      <w:sz w:val="20"/>
      <w:szCs w:val="20"/>
    </w:rPr>
  </w:style>
  <w:style w:type="character" w:customStyle="1" w:styleId="CommentSubjectChar">
    <w:name w:val="Comment Subject Char"/>
    <w:basedOn w:val="CommentTextChar"/>
    <w:link w:val="CommentSubject"/>
    <w:uiPriority w:val="99"/>
    <w:semiHidden/>
    <w:rsid w:val="0083028B"/>
    <w:rPr>
      <w:rFonts w:ascii="Times New Roman" w:eastAsia="ＭＳ 明朝" w:hAnsi="Times New Roman" w:cs="Times New Roman"/>
      <w:b/>
      <w:bCs/>
      <w:sz w:val="20"/>
      <w:szCs w:val="20"/>
    </w:rPr>
  </w:style>
  <w:style w:type="paragraph" w:styleId="NormalWeb">
    <w:name w:val="Normal (Web)"/>
    <w:basedOn w:val="Normal"/>
    <w:uiPriority w:val="99"/>
    <w:unhideWhenUsed/>
    <w:rsid w:val="00044D13"/>
    <w:pPr>
      <w:spacing w:before="100" w:beforeAutospacing="1" w:after="100" w:afterAutospacing="1"/>
    </w:pPr>
    <w:rPr>
      <w:rFonts w:eastAsiaTheme="minorEastAsia"/>
      <w:lang w:eastAsia="ja-JP"/>
    </w:rPr>
  </w:style>
  <w:style w:type="character" w:styleId="FollowedHyperlink">
    <w:name w:val="FollowedHyperlink"/>
    <w:basedOn w:val="DefaultParagraphFont"/>
    <w:uiPriority w:val="99"/>
    <w:semiHidden/>
    <w:unhideWhenUsed/>
    <w:rsid w:val="00067CBC"/>
    <w:rPr>
      <w:color w:val="800080" w:themeColor="followedHyperlink"/>
      <w:u w:val="single"/>
    </w:rPr>
  </w:style>
  <w:style w:type="paragraph" w:styleId="PlainText">
    <w:name w:val="Plain Text"/>
    <w:basedOn w:val="Normal"/>
    <w:link w:val="PlainTextChar"/>
    <w:uiPriority w:val="99"/>
    <w:semiHidden/>
    <w:unhideWhenUsed/>
    <w:rsid w:val="00EC5E07"/>
    <w:rPr>
      <w:rFonts w:ascii="Calibri" w:eastAsiaTheme="minorEastAsia" w:hAnsi="Calibri"/>
      <w:sz w:val="22"/>
      <w:szCs w:val="22"/>
      <w:lang w:eastAsia="ja-JP"/>
    </w:rPr>
  </w:style>
  <w:style w:type="character" w:customStyle="1" w:styleId="PlainTextChar">
    <w:name w:val="Plain Text Char"/>
    <w:basedOn w:val="DefaultParagraphFont"/>
    <w:link w:val="PlainText"/>
    <w:uiPriority w:val="99"/>
    <w:semiHidden/>
    <w:rsid w:val="00EC5E07"/>
    <w:rPr>
      <w:rFonts w:ascii="Calibri" w:eastAsiaTheme="minorEastAsia" w:hAnsi="Calibri" w:cs="Times New Roman"/>
      <w:lang w:val="en-GB" w:eastAsia="ja-JP"/>
    </w:rPr>
  </w:style>
  <w:style w:type="paragraph" w:styleId="Revision">
    <w:name w:val="Revision"/>
    <w:hidden/>
    <w:uiPriority w:val="99"/>
    <w:semiHidden/>
    <w:rsid w:val="00590B83"/>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4000F4"/>
    <w:rPr>
      <w:b/>
      <w:bCs/>
    </w:rPr>
  </w:style>
  <w:style w:type="character" w:styleId="LineNumber">
    <w:name w:val="line number"/>
    <w:basedOn w:val="DefaultParagraphFont"/>
    <w:uiPriority w:val="99"/>
    <w:semiHidden/>
    <w:unhideWhenUsed/>
    <w:rsid w:val="00275EA4"/>
  </w:style>
  <w:style w:type="paragraph" w:styleId="TOC1">
    <w:name w:val="toc 1"/>
    <w:basedOn w:val="Normal"/>
    <w:next w:val="Normal"/>
    <w:autoRedefine/>
    <w:uiPriority w:val="39"/>
    <w:unhideWhenUsed/>
    <w:rsid w:val="008E0310"/>
    <w:pPr>
      <w:tabs>
        <w:tab w:val="right" w:leader="dot" w:pos="9072"/>
      </w:tabs>
      <w:spacing w:after="100"/>
      <w:ind w:right="804"/>
    </w:pPr>
    <w:rPr>
      <w:rFonts w:eastAsia="Calibri"/>
      <w:sz w:val="22"/>
      <w:szCs w:val="22"/>
      <w:lang w:val="en-US"/>
    </w:rPr>
  </w:style>
  <w:style w:type="character" w:styleId="Emphasis">
    <w:name w:val="Emphasis"/>
    <w:basedOn w:val="DefaultParagraphFont"/>
    <w:uiPriority w:val="20"/>
    <w:qFormat/>
    <w:rsid w:val="00CB3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31868">
      <w:bodyDiv w:val="1"/>
      <w:marLeft w:val="0"/>
      <w:marRight w:val="0"/>
      <w:marTop w:val="0"/>
      <w:marBottom w:val="0"/>
      <w:divBdr>
        <w:top w:val="none" w:sz="0" w:space="0" w:color="auto"/>
        <w:left w:val="none" w:sz="0" w:space="0" w:color="auto"/>
        <w:bottom w:val="none" w:sz="0" w:space="0" w:color="auto"/>
        <w:right w:val="none" w:sz="0" w:space="0" w:color="auto"/>
      </w:divBdr>
    </w:div>
    <w:div w:id="510216474">
      <w:bodyDiv w:val="1"/>
      <w:marLeft w:val="0"/>
      <w:marRight w:val="0"/>
      <w:marTop w:val="0"/>
      <w:marBottom w:val="0"/>
      <w:divBdr>
        <w:top w:val="none" w:sz="0" w:space="0" w:color="auto"/>
        <w:left w:val="none" w:sz="0" w:space="0" w:color="auto"/>
        <w:bottom w:val="none" w:sz="0" w:space="0" w:color="auto"/>
        <w:right w:val="none" w:sz="0" w:space="0" w:color="auto"/>
      </w:divBdr>
    </w:div>
    <w:div w:id="606278925">
      <w:bodyDiv w:val="1"/>
      <w:marLeft w:val="0"/>
      <w:marRight w:val="0"/>
      <w:marTop w:val="0"/>
      <w:marBottom w:val="0"/>
      <w:divBdr>
        <w:top w:val="none" w:sz="0" w:space="0" w:color="auto"/>
        <w:left w:val="none" w:sz="0" w:space="0" w:color="auto"/>
        <w:bottom w:val="none" w:sz="0" w:space="0" w:color="auto"/>
        <w:right w:val="none" w:sz="0" w:space="0" w:color="auto"/>
      </w:divBdr>
    </w:div>
    <w:div w:id="897546381">
      <w:bodyDiv w:val="1"/>
      <w:marLeft w:val="0"/>
      <w:marRight w:val="0"/>
      <w:marTop w:val="0"/>
      <w:marBottom w:val="0"/>
      <w:divBdr>
        <w:top w:val="none" w:sz="0" w:space="0" w:color="auto"/>
        <w:left w:val="none" w:sz="0" w:space="0" w:color="auto"/>
        <w:bottom w:val="none" w:sz="0" w:space="0" w:color="auto"/>
        <w:right w:val="none" w:sz="0" w:space="0" w:color="auto"/>
      </w:divBdr>
      <w:divsChild>
        <w:div w:id="1534343483">
          <w:marLeft w:val="0"/>
          <w:marRight w:val="0"/>
          <w:marTop w:val="0"/>
          <w:marBottom w:val="0"/>
          <w:divBdr>
            <w:top w:val="none" w:sz="0" w:space="0" w:color="auto"/>
            <w:left w:val="none" w:sz="0" w:space="0" w:color="auto"/>
            <w:bottom w:val="none" w:sz="0" w:space="0" w:color="auto"/>
            <w:right w:val="none" w:sz="0" w:space="0" w:color="auto"/>
          </w:divBdr>
          <w:divsChild>
            <w:div w:id="1844471756">
              <w:marLeft w:val="0"/>
              <w:marRight w:val="0"/>
              <w:marTop w:val="0"/>
              <w:marBottom w:val="0"/>
              <w:divBdr>
                <w:top w:val="none" w:sz="0" w:space="0" w:color="auto"/>
                <w:left w:val="none" w:sz="0" w:space="0" w:color="auto"/>
                <w:bottom w:val="none" w:sz="0" w:space="0" w:color="auto"/>
                <w:right w:val="none" w:sz="0" w:space="0" w:color="auto"/>
              </w:divBdr>
              <w:divsChild>
                <w:div w:id="644311857">
                  <w:marLeft w:val="0"/>
                  <w:marRight w:val="0"/>
                  <w:marTop w:val="0"/>
                  <w:marBottom w:val="0"/>
                  <w:divBdr>
                    <w:top w:val="none" w:sz="0" w:space="0" w:color="auto"/>
                    <w:left w:val="none" w:sz="0" w:space="0" w:color="auto"/>
                    <w:bottom w:val="none" w:sz="0" w:space="0" w:color="auto"/>
                    <w:right w:val="none" w:sz="0" w:space="0" w:color="auto"/>
                  </w:divBdr>
                  <w:divsChild>
                    <w:div w:id="1318606871">
                      <w:marLeft w:val="0"/>
                      <w:marRight w:val="0"/>
                      <w:marTop w:val="0"/>
                      <w:marBottom w:val="0"/>
                      <w:divBdr>
                        <w:top w:val="none" w:sz="0" w:space="0" w:color="auto"/>
                        <w:left w:val="none" w:sz="0" w:space="0" w:color="auto"/>
                        <w:bottom w:val="none" w:sz="0" w:space="0" w:color="auto"/>
                        <w:right w:val="none" w:sz="0" w:space="0" w:color="auto"/>
                      </w:divBdr>
                      <w:divsChild>
                        <w:div w:id="2091005843">
                          <w:marLeft w:val="0"/>
                          <w:marRight w:val="0"/>
                          <w:marTop w:val="0"/>
                          <w:marBottom w:val="0"/>
                          <w:divBdr>
                            <w:top w:val="none" w:sz="0" w:space="0" w:color="auto"/>
                            <w:left w:val="none" w:sz="0" w:space="0" w:color="auto"/>
                            <w:bottom w:val="none" w:sz="0" w:space="0" w:color="auto"/>
                            <w:right w:val="none" w:sz="0" w:space="0" w:color="auto"/>
                          </w:divBdr>
                          <w:divsChild>
                            <w:div w:id="408038240">
                              <w:marLeft w:val="0"/>
                              <w:marRight w:val="0"/>
                              <w:marTop w:val="0"/>
                              <w:marBottom w:val="0"/>
                              <w:divBdr>
                                <w:top w:val="none" w:sz="0" w:space="0" w:color="auto"/>
                                <w:left w:val="none" w:sz="0" w:space="0" w:color="auto"/>
                                <w:bottom w:val="none" w:sz="0" w:space="0" w:color="auto"/>
                                <w:right w:val="none" w:sz="0" w:space="0" w:color="auto"/>
                              </w:divBdr>
                              <w:divsChild>
                                <w:div w:id="698776453">
                                  <w:marLeft w:val="0"/>
                                  <w:marRight w:val="0"/>
                                  <w:marTop w:val="0"/>
                                  <w:marBottom w:val="0"/>
                                  <w:divBdr>
                                    <w:top w:val="none" w:sz="0" w:space="0" w:color="auto"/>
                                    <w:left w:val="none" w:sz="0" w:space="0" w:color="auto"/>
                                    <w:bottom w:val="none" w:sz="0" w:space="0" w:color="auto"/>
                                    <w:right w:val="none" w:sz="0" w:space="0" w:color="auto"/>
                                  </w:divBdr>
                                  <w:divsChild>
                                    <w:div w:id="504443061">
                                      <w:marLeft w:val="0"/>
                                      <w:marRight w:val="0"/>
                                      <w:marTop w:val="0"/>
                                      <w:marBottom w:val="0"/>
                                      <w:divBdr>
                                        <w:top w:val="none" w:sz="0" w:space="0" w:color="auto"/>
                                        <w:left w:val="none" w:sz="0" w:space="0" w:color="auto"/>
                                        <w:bottom w:val="none" w:sz="0" w:space="0" w:color="auto"/>
                                        <w:right w:val="none" w:sz="0" w:space="0" w:color="auto"/>
                                      </w:divBdr>
                                      <w:divsChild>
                                        <w:div w:id="78336876">
                                          <w:marLeft w:val="0"/>
                                          <w:marRight w:val="0"/>
                                          <w:marTop w:val="0"/>
                                          <w:marBottom w:val="0"/>
                                          <w:divBdr>
                                            <w:top w:val="none" w:sz="0" w:space="0" w:color="auto"/>
                                            <w:left w:val="none" w:sz="0" w:space="0" w:color="auto"/>
                                            <w:bottom w:val="none" w:sz="0" w:space="0" w:color="auto"/>
                                            <w:right w:val="none" w:sz="0" w:space="0" w:color="auto"/>
                                          </w:divBdr>
                                          <w:divsChild>
                                            <w:div w:id="558902873">
                                              <w:marLeft w:val="0"/>
                                              <w:marRight w:val="0"/>
                                              <w:marTop w:val="0"/>
                                              <w:marBottom w:val="0"/>
                                              <w:divBdr>
                                                <w:top w:val="none" w:sz="0" w:space="0" w:color="auto"/>
                                                <w:left w:val="none" w:sz="0" w:space="0" w:color="auto"/>
                                                <w:bottom w:val="none" w:sz="0" w:space="0" w:color="auto"/>
                                                <w:right w:val="none" w:sz="0" w:space="0" w:color="auto"/>
                                              </w:divBdr>
                                              <w:divsChild>
                                                <w:div w:id="803427803">
                                                  <w:marLeft w:val="0"/>
                                                  <w:marRight w:val="0"/>
                                                  <w:marTop w:val="0"/>
                                                  <w:marBottom w:val="0"/>
                                                  <w:divBdr>
                                                    <w:top w:val="none" w:sz="0" w:space="0" w:color="auto"/>
                                                    <w:left w:val="none" w:sz="0" w:space="0" w:color="auto"/>
                                                    <w:bottom w:val="none" w:sz="0" w:space="0" w:color="auto"/>
                                                    <w:right w:val="none" w:sz="0" w:space="0" w:color="auto"/>
                                                  </w:divBdr>
                                                  <w:divsChild>
                                                    <w:div w:id="1686008614">
                                                      <w:marLeft w:val="0"/>
                                                      <w:marRight w:val="0"/>
                                                      <w:marTop w:val="0"/>
                                                      <w:marBottom w:val="0"/>
                                                      <w:divBdr>
                                                        <w:top w:val="none" w:sz="0" w:space="0" w:color="auto"/>
                                                        <w:left w:val="none" w:sz="0" w:space="0" w:color="auto"/>
                                                        <w:bottom w:val="none" w:sz="0" w:space="0" w:color="auto"/>
                                                        <w:right w:val="none" w:sz="0" w:space="0" w:color="auto"/>
                                                      </w:divBdr>
                                                      <w:divsChild>
                                                        <w:div w:id="1849831816">
                                                          <w:marLeft w:val="0"/>
                                                          <w:marRight w:val="0"/>
                                                          <w:marTop w:val="0"/>
                                                          <w:marBottom w:val="0"/>
                                                          <w:divBdr>
                                                            <w:top w:val="none" w:sz="0" w:space="0" w:color="auto"/>
                                                            <w:left w:val="none" w:sz="0" w:space="0" w:color="auto"/>
                                                            <w:bottom w:val="none" w:sz="0" w:space="0" w:color="auto"/>
                                                            <w:right w:val="none" w:sz="0" w:space="0" w:color="auto"/>
                                                          </w:divBdr>
                                                          <w:divsChild>
                                                            <w:div w:id="1132282917">
                                                              <w:marLeft w:val="0"/>
                                                              <w:marRight w:val="0"/>
                                                              <w:marTop w:val="0"/>
                                                              <w:marBottom w:val="0"/>
                                                              <w:divBdr>
                                                                <w:top w:val="none" w:sz="0" w:space="0" w:color="auto"/>
                                                                <w:left w:val="none" w:sz="0" w:space="0" w:color="auto"/>
                                                                <w:bottom w:val="none" w:sz="0" w:space="0" w:color="auto"/>
                                                                <w:right w:val="none" w:sz="0" w:space="0" w:color="auto"/>
                                                              </w:divBdr>
                                                              <w:divsChild>
                                                                <w:div w:id="684787180">
                                                                  <w:marLeft w:val="0"/>
                                                                  <w:marRight w:val="0"/>
                                                                  <w:marTop w:val="0"/>
                                                                  <w:marBottom w:val="0"/>
                                                                  <w:divBdr>
                                                                    <w:top w:val="none" w:sz="0" w:space="0" w:color="auto"/>
                                                                    <w:left w:val="none" w:sz="0" w:space="0" w:color="auto"/>
                                                                    <w:bottom w:val="none" w:sz="0" w:space="0" w:color="auto"/>
                                                                    <w:right w:val="none" w:sz="0" w:space="0" w:color="auto"/>
                                                                  </w:divBdr>
                                                                  <w:divsChild>
                                                                    <w:div w:id="2113550221">
                                                                      <w:marLeft w:val="0"/>
                                                                      <w:marRight w:val="0"/>
                                                                      <w:marTop w:val="0"/>
                                                                      <w:marBottom w:val="0"/>
                                                                      <w:divBdr>
                                                                        <w:top w:val="none" w:sz="0" w:space="0" w:color="auto"/>
                                                                        <w:left w:val="none" w:sz="0" w:space="0" w:color="auto"/>
                                                                        <w:bottom w:val="none" w:sz="0" w:space="0" w:color="auto"/>
                                                                        <w:right w:val="none" w:sz="0" w:space="0" w:color="auto"/>
                                                                      </w:divBdr>
                                                                      <w:divsChild>
                                                                        <w:div w:id="137117920">
                                                                          <w:marLeft w:val="0"/>
                                                                          <w:marRight w:val="0"/>
                                                                          <w:marTop w:val="0"/>
                                                                          <w:marBottom w:val="0"/>
                                                                          <w:divBdr>
                                                                            <w:top w:val="none" w:sz="0" w:space="0" w:color="auto"/>
                                                                            <w:left w:val="none" w:sz="0" w:space="0" w:color="auto"/>
                                                                            <w:bottom w:val="none" w:sz="0" w:space="0" w:color="auto"/>
                                                                            <w:right w:val="none" w:sz="0" w:space="0" w:color="auto"/>
                                                                          </w:divBdr>
                                                                        </w:div>
                                                                        <w:div w:id="545414685">
                                                                          <w:marLeft w:val="0"/>
                                                                          <w:marRight w:val="0"/>
                                                                          <w:marTop w:val="0"/>
                                                                          <w:marBottom w:val="0"/>
                                                                          <w:divBdr>
                                                                            <w:top w:val="none" w:sz="0" w:space="0" w:color="auto"/>
                                                                            <w:left w:val="none" w:sz="0" w:space="0" w:color="auto"/>
                                                                            <w:bottom w:val="none" w:sz="0" w:space="0" w:color="auto"/>
                                                                            <w:right w:val="none" w:sz="0" w:space="0" w:color="auto"/>
                                                                          </w:divBdr>
                                                                          <w:divsChild>
                                                                            <w:div w:id="518155132">
                                                                              <w:marLeft w:val="0"/>
                                                                              <w:marRight w:val="0"/>
                                                                              <w:marTop w:val="0"/>
                                                                              <w:marBottom w:val="0"/>
                                                                              <w:divBdr>
                                                                                <w:top w:val="none" w:sz="0" w:space="0" w:color="auto"/>
                                                                                <w:left w:val="none" w:sz="0" w:space="0" w:color="auto"/>
                                                                                <w:bottom w:val="none" w:sz="0" w:space="0" w:color="auto"/>
                                                                                <w:right w:val="none" w:sz="0" w:space="0" w:color="auto"/>
                                                                              </w:divBdr>
                                                                              <w:divsChild>
                                                                                <w:div w:id="351029296">
                                                                                  <w:marLeft w:val="0"/>
                                                                                  <w:marRight w:val="0"/>
                                                                                  <w:marTop w:val="0"/>
                                                                                  <w:marBottom w:val="0"/>
                                                                                  <w:divBdr>
                                                                                    <w:top w:val="none" w:sz="0" w:space="0" w:color="auto"/>
                                                                                    <w:left w:val="none" w:sz="0" w:space="0" w:color="auto"/>
                                                                                    <w:bottom w:val="none" w:sz="0" w:space="0" w:color="auto"/>
                                                                                    <w:right w:val="none" w:sz="0" w:space="0" w:color="auto"/>
                                                                                  </w:divBdr>
                                                                                  <w:divsChild>
                                                                                    <w:div w:id="1641231884">
                                                                                      <w:marLeft w:val="0"/>
                                                                                      <w:marRight w:val="0"/>
                                                                                      <w:marTop w:val="0"/>
                                                                                      <w:marBottom w:val="0"/>
                                                                                      <w:divBdr>
                                                                                        <w:top w:val="none" w:sz="0" w:space="0" w:color="auto"/>
                                                                                        <w:left w:val="none" w:sz="0" w:space="0" w:color="auto"/>
                                                                                        <w:bottom w:val="none" w:sz="0" w:space="0" w:color="auto"/>
                                                                                        <w:right w:val="none" w:sz="0" w:space="0" w:color="auto"/>
                                                                                      </w:divBdr>
                                                                                      <w:divsChild>
                                                                                        <w:div w:id="272174343">
                                                                                          <w:marLeft w:val="0"/>
                                                                                          <w:marRight w:val="0"/>
                                                                                          <w:marTop w:val="0"/>
                                                                                          <w:marBottom w:val="0"/>
                                                                                          <w:divBdr>
                                                                                            <w:top w:val="none" w:sz="0" w:space="0" w:color="auto"/>
                                                                                            <w:left w:val="none" w:sz="0" w:space="0" w:color="auto"/>
                                                                                            <w:bottom w:val="none" w:sz="0" w:space="0" w:color="auto"/>
                                                                                            <w:right w:val="none" w:sz="0" w:space="0" w:color="auto"/>
                                                                                          </w:divBdr>
                                                                                          <w:divsChild>
                                                                                            <w:div w:id="1240137777">
                                                                                              <w:marLeft w:val="0"/>
                                                                                              <w:marRight w:val="0"/>
                                                                                              <w:marTop w:val="0"/>
                                                                                              <w:marBottom w:val="0"/>
                                                                                              <w:divBdr>
                                                                                                <w:top w:val="none" w:sz="0" w:space="0" w:color="auto"/>
                                                                                                <w:left w:val="none" w:sz="0" w:space="0" w:color="auto"/>
                                                                                                <w:bottom w:val="none" w:sz="0" w:space="0" w:color="auto"/>
                                                                                                <w:right w:val="none" w:sz="0" w:space="0" w:color="auto"/>
                                                                                              </w:divBdr>
                                                                                              <w:divsChild>
                                                                                                <w:div w:id="991907177">
                                                                                                  <w:marLeft w:val="0"/>
                                                                                                  <w:marRight w:val="0"/>
                                                                                                  <w:marTop w:val="0"/>
                                                                                                  <w:marBottom w:val="0"/>
                                                                                                  <w:divBdr>
                                                                                                    <w:top w:val="none" w:sz="0" w:space="0" w:color="auto"/>
                                                                                                    <w:left w:val="none" w:sz="0" w:space="0" w:color="auto"/>
                                                                                                    <w:bottom w:val="none" w:sz="0" w:space="0" w:color="auto"/>
                                                                                                    <w:right w:val="none" w:sz="0" w:space="0" w:color="auto"/>
                                                                                                  </w:divBdr>
                                                                                                  <w:divsChild>
                                                                                                    <w:div w:id="437986838">
                                                                                                      <w:marLeft w:val="0"/>
                                                                                                      <w:marRight w:val="0"/>
                                                                                                      <w:marTop w:val="0"/>
                                                                                                      <w:marBottom w:val="0"/>
                                                                                                      <w:divBdr>
                                                                                                        <w:top w:val="none" w:sz="0" w:space="0" w:color="auto"/>
                                                                                                        <w:left w:val="none" w:sz="0" w:space="0" w:color="auto"/>
                                                                                                        <w:bottom w:val="none" w:sz="0" w:space="0" w:color="auto"/>
                                                                                                        <w:right w:val="none" w:sz="0" w:space="0" w:color="auto"/>
                                                                                                      </w:divBdr>
                                                                                                      <w:divsChild>
                                                                                                        <w:div w:id="1329018062">
                                                                                                          <w:marLeft w:val="0"/>
                                                                                                          <w:marRight w:val="0"/>
                                                                                                          <w:marTop w:val="0"/>
                                                                                                          <w:marBottom w:val="0"/>
                                                                                                          <w:divBdr>
                                                                                                            <w:top w:val="none" w:sz="0" w:space="0" w:color="auto"/>
                                                                                                            <w:left w:val="none" w:sz="0" w:space="0" w:color="auto"/>
                                                                                                            <w:bottom w:val="none" w:sz="0" w:space="0" w:color="auto"/>
                                                                                                            <w:right w:val="none" w:sz="0" w:space="0" w:color="auto"/>
                                                                                                          </w:divBdr>
                                                                                                          <w:divsChild>
                                                                                                            <w:div w:id="1123964837">
                                                                                                              <w:marLeft w:val="0"/>
                                                                                                              <w:marRight w:val="0"/>
                                                                                                              <w:marTop w:val="0"/>
                                                                                                              <w:marBottom w:val="0"/>
                                                                                                              <w:divBdr>
                                                                                                                <w:top w:val="none" w:sz="0" w:space="0" w:color="auto"/>
                                                                                                                <w:left w:val="none" w:sz="0" w:space="0" w:color="auto"/>
                                                                                                                <w:bottom w:val="none" w:sz="0" w:space="0" w:color="auto"/>
                                                                                                                <w:right w:val="none" w:sz="0" w:space="0" w:color="auto"/>
                                                                                                              </w:divBdr>
                                                                                                              <w:divsChild>
                                                                                                                <w:div w:id="683483678">
                                                                                                                  <w:marLeft w:val="0"/>
                                                                                                                  <w:marRight w:val="0"/>
                                                                                                                  <w:marTop w:val="0"/>
                                                                                                                  <w:marBottom w:val="0"/>
                                                                                                                  <w:divBdr>
                                                                                                                    <w:top w:val="none" w:sz="0" w:space="0" w:color="auto"/>
                                                                                                                    <w:left w:val="none" w:sz="0" w:space="0" w:color="auto"/>
                                                                                                                    <w:bottom w:val="none" w:sz="0" w:space="0" w:color="auto"/>
                                                                                                                    <w:right w:val="none" w:sz="0" w:space="0" w:color="auto"/>
                                                                                                                  </w:divBdr>
                                                                                                                  <w:divsChild>
                                                                                                                    <w:div w:id="18962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340130">
      <w:bodyDiv w:val="1"/>
      <w:marLeft w:val="0"/>
      <w:marRight w:val="0"/>
      <w:marTop w:val="0"/>
      <w:marBottom w:val="0"/>
      <w:divBdr>
        <w:top w:val="none" w:sz="0" w:space="0" w:color="auto"/>
        <w:left w:val="none" w:sz="0" w:space="0" w:color="auto"/>
        <w:bottom w:val="none" w:sz="0" w:space="0" w:color="auto"/>
        <w:right w:val="none" w:sz="0" w:space="0" w:color="auto"/>
      </w:divBdr>
    </w:div>
    <w:div w:id="1438453382">
      <w:bodyDiv w:val="1"/>
      <w:marLeft w:val="0"/>
      <w:marRight w:val="0"/>
      <w:marTop w:val="0"/>
      <w:marBottom w:val="0"/>
      <w:divBdr>
        <w:top w:val="none" w:sz="0" w:space="0" w:color="auto"/>
        <w:left w:val="none" w:sz="0" w:space="0" w:color="auto"/>
        <w:bottom w:val="none" w:sz="0" w:space="0" w:color="auto"/>
        <w:right w:val="none" w:sz="0" w:space="0" w:color="auto"/>
      </w:divBdr>
    </w:div>
    <w:div w:id="1927424807">
      <w:bodyDiv w:val="1"/>
      <w:marLeft w:val="0"/>
      <w:marRight w:val="0"/>
      <w:marTop w:val="0"/>
      <w:marBottom w:val="0"/>
      <w:divBdr>
        <w:top w:val="none" w:sz="0" w:space="0" w:color="auto"/>
        <w:left w:val="none" w:sz="0" w:space="0" w:color="auto"/>
        <w:bottom w:val="none" w:sz="0" w:space="0" w:color="auto"/>
        <w:right w:val="none" w:sz="0" w:space="0" w:color="auto"/>
      </w:divBdr>
    </w:div>
    <w:div w:id="20484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miaki.imamura@mrc-epid.ca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7656F3D-5347-4BD7-B978-E98AD657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46531</Words>
  <Characters>265230</Characters>
  <Application>Microsoft Office Word</Application>
  <DocSecurity>0</DocSecurity>
  <Lines>2210</Lines>
  <Paragraphs>622</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MRC</Company>
  <LinksUpToDate>false</LinksUpToDate>
  <CharactersWithSpaces>311139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Fumiaki.Imamura@mrc-epid.cam.ac.uk</dc:creator>
  <cp:lastModifiedBy>Fumiaki Imamura</cp:lastModifiedBy>
  <cp:revision>2</cp:revision>
  <cp:lastPrinted>2018-11-07T19:40:00Z</cp:lastPrinted>
  <dcterms:created xsi:type="dcterms:W3CDTF">2020-04-21T01:38:00Z</dcterms:created>
  <dcterms:modified xsi:type="dcterms:W3CDTF">2020-04-21T01:38:00Z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http://csl.mendeley.com/styles/24276651/PLoSMed-FI</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http://csl.mendeley.com/styles/24276651/bmj</vt:lpwstr>
  </property>
  <property fmtid="{D5CDD505-2E9C-101B-9397-08002B2CF9AE}" pid="7" name="Mendeley Recent Style Name 1_1">
    <vt:lpwstr>BMJ - FI</vt:lpwstr>
  </property>
  <property fmtid="{D5CDD505-2E9C-101B-9397-08002B2CF9AE}" pid="8" name="Mendeley Recent Style Id 2_1">
    <vt:lpwstr>http://csl.mendeley.com/styles/24276651/JAMA-FI</vt:lpwstr>
  </property>
  <property fmtid="{D5CDD505-2E9C-101B-9397-08002B2CF9AE}" pid="9" name="Mendeley Recent Style Name 2_1">
    <vt:lpwstr>JAMA-FI</vt:lpwstr>
  </property>
  <property fmtid="{D5CDD505-2E9C-101B-9397-08002B2CF9AE}" pid="10" name="Mendeley Recent Style Id 3_1">
    <vt:lpwstr>http://www.zotero.org/styles/modern-humanities-research-association</vt:lpwstr>
  </property>
  <property fmtid="{D5CDD505-2E9C-101B-9397-08002B2CF9AE}" pid="11" name="Mendeley Recent Style Name 3_1">
    <vt:lpwstr>Modern Humanities Research Association 3rd edition (note with bibliography)</vt:lpwstr>
  </property>
  <property fmtid="{D5CDD505-2E9C-101B-9397-08002B2CF9AE}" pid="12" name="Mendeley Recent Style Id 4_1">
    <vt:lpwstr>http://www.zotero.org/styles/modern-language-association</vt:lpwstr>
  </property>
  <property fmtid="{D5CDD505-2E9C-101B-9397-08002B2CF9AE}" pid="13" name="Mendeley Recent Style Name 4_1">
    <vt:lpwstr>Modern Language Association 8th edition</vt:lpwstr>
  </property>
  <property fmtid="{D5CDD505-2E9C-101B-9397-08002B2CF9AE}" pid="14" name="Mendeley Recent Style Id 5_1">
    <vt:lpwstr>http://www.zotero.org/styles/nature</vt:lpwstr>
  </property>
  <property fmtid="{D5CDD505-2E9C-101B-9397-08002B2CF9AE}" pid="15" name="Mendeley Recent Style Name 5_1">
    <vt:lpwstr>Nature</vt:lpwstr>
  </property>
  <property fmtid="{D5CDD505-2E9C-101B-9397-08002B2CF9AE}" pid="16" name="Mendeley Recent Style Id 6_1">
    <vt:lpwstr>http://csl.mendeley.com/styles/24276651/PLoSMed-FI</vt:lpwstr>
  </property>
  <property fmtid="{D5CDD505-2E9C-101B-9397-08002B2CF9AE}" pid="17" name="Mendeley Recent Style Name 6_1">
    <vt:lpwstr>PLoSMed FI</vt:lpwstr>
  </property>
  <property fmtid="{D5CDD505-2E9C-101B-9397-08002B2CF9AE}" pid="18" name="Mendeley Recent Style Id 7_1">
    <vt:lpwstr>http://csl.mendeley.com/styles/24276651/pnas-fi</vt:lpwstr>
  </property>
  <property fmtid="{D5CDD505-2E9C-101B-9397-08002B2CF9AE}" pid="19" name="Mendeley Recent Style Name 7_1">
    <vt:lpwstr>PNAS FI</vt:lpwstr>
  </property>
  <property fmtid="{D5CDD505-2E9C-101B-9397-08002B2CF9AE}" pid="20" name="Mendeley Recent Style Id 8_1">
    <vt:lpwstr>http://www.zotero.org/styles/the-lancet</vt:lpwstr>
  </property>
  <property fmtid="{D5CDD505-2E9C-101B-9397-08002B2CF9AE}" pid="21" name="Mendeley Recent Style Name 8_1">
    <vt:lpwstr>The Lancet</vt:lpwstr>
  </property>
  <property fmtid="{D5CDD505-2E9C-101B-9397-08002B2CF9AE}" pid="22" name="Mendeley Recent Style Id 9_1">
    <vt:lpwstr>http://csl.mendeley.com/styles/24276651/WHOeLENA</vt:lpwstr>
  </property>
  <property fmtid="{D5CDD505-2E9C-101B-9397-08002B2CF9AE}" pid="23" name="Mendeley Recent Style Name 9_1">
    <vt:lpwstr>WHO eLENA</vt:lpwstr>
  </property>
  <property fmtid="{D5CDD505-2E9C-101B-9397-08002B2CF9AE}" pid="24" name="Mendeley Unique User Id_1">
    <vt:lpwstr>3cfd4e96-0566-3ee6-b35f-abd376c8773e</vt:lpwstr>
  </property>
</Properties>
</file>