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8F" w:rsidRPr="00E6578F" w:rsidRDefault="00E6578F" w:rsidP="00E6578F">
      <w:pPr>
        <w:spacing w:line="480" w:lineRule="auto"/>
        <w:rPr>
          <w:b/>
          <w:sz w:val="22"/>
          <w:szCs w:val="22"/>
          <w:lang w:val="en-US" w:eastAsia="ja-JP"/>
        </w:rPr>
      </w:pPr>
      <w:r w:rsidRPr="00E6578F">
        <w:rPr>
          <w:b/>
          <w:sz w:val="22"/>
          <w:szCs w:val="22"/>
          <w:lang w:val="en-US" w:eastAsia="ja-JP"/>
        </w:rPr>
        <w:t>Financial Disclosure</w:t>
      </w:r>
    </w:p>
    <w:p w:rsidR="00E6578F" w:rsidRDefault="00E6578F" w:rsidP="00E6578F">
      <w:pPr>
        <w:spacing w:line="480" w:lineRule="auto"/>
        <w:ind w:firstLine="720"/>
        <w:rPr>
          <w:sz w:val="22"/>
          <w:szCs w:val="22"/>
          <w:lang w:val="en-US" w:eastAsia="ja-JP"/>
        </w:rPr>
      </w:pPr>
      <w:r w:rsidRPr="0051001E">
        <w:rPr>
          <w:sz w:val="22"/>
          <w:szCs w:val="22"/>
          <w:lang w:val="en-US" w:eastAsia="ja-JP"/>
        </w:rPr>
        <w:t>No specific funding was received for this study. This manuscript does not reflect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lang w:val="en-US" w:eastAsia="ja-JP"/>
        </w:rPr>
        <w:t>opinions or conclusions of any funding agency. No funding bodies had any role in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study design, data collection and analysis, decision to publish, or preparation of the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manuscript. The lead author affirms that the manuscript is an honest, accurate, and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transparent account of the study being reported; that no important aspects of the study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have been omitted; and that any discrepancies from the study as planned (and, if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relevant, registered) have been explained.</w:t>
      </w:r>
      <w:r>
        <w:rPr>
          <w:sz w:val="22"/>
          <w:szCs w:val="22"/>
          <w:lang w:val="en-US" w:eastAsia="ja-JP"/>
        </w:rPr>
        <w:t xml:space="preserve"> </w:t>
      </w:r>
    </w:p>
    <w:p w:rsidR="00E6578F" w:rsidRDefault="00E6578F" w:rsidP="00E6578F">
      <w:pPr>
        <w:spacing w:line="480" w:lineRule="auto"/>
        <w:ind w:firstLine="720"/>
        <w:rPr>
          <w:sz w:val="22"/>
          <w:szCs w:val="22"/>
          <w:shd w:val="clear" w:color="auto" w:fill="FFFFFF"/>
          <w:lang w:val="en-US"/>
        </w:rPr>
      </w:pPr>
      <w:r w:rsidRPr="0051001E">
        <w:rPr>
          <w:sz w:val="22"/>
          <w:szCs w:val="22"/>
          <w:lang w:val="en-US" w:eastAsia="ja-JP"/>
        </w:rPr>
        <w:t>FI, NGF, and NJW were funded by the United Kingdom Medical Research Council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Epidemiology Unit core grant (MC_UU_12015/5 and MC_UU_12015/1); NJW, NGF and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AK acknowledge National Institute for Health Research (NIHR) Biomedical Research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Centre Cambridge (IS-BRC-1215-20014); NJW is an NIHR Senior Investigator; IAB, by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the European Union (FP7 and Horizon2020) and the Dutch Scientific Organization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(</w:t>
      </w:r>
      <w:proofErr w:type="spellStart"/>
      <w:r w:rsidRPr="0051001E">
        <w:rPr>
          <w:sz w:val="22"/>
          <w:szCs w:val="22"/>
          <w:lang w:val="en-US" w:eastAsia="ja-JP"/>
        </w:rPr>
        <w:t>ZonMW</w:t>
      </w:r>
      <w:proofErr w:type="spellEnd"/>
      <w:r w:rsidRPr="0051001E">
        <w:rPr>
          <w:sz w:val="22"/>
          <w:szCs w:val="22"/>
          <w:lang w:val="en-US" w:eastAsia="ja-JP"/>
        </w:rPr>
        <w:t>); CS, by the Foundation Plan Alzheimer; and AAK, by the NIH training grant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(3T32DK007703). Alpha Omega Cohort was funded by the Netherlands Heart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Foundation (grant 2000T401), the NIH (NIH/ National Heart, Lung, and Blood Institute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[NHLBI], and ODS, grant R01HL- 076200), and Unilever R&amp;D, Vlaardingen (margarine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 xml:space="preserve">production and distribution). The authors acknowledge </w:t>
      </w:r>
      <w:proofErr w:type="spellStart"/>
      <w:r w:rsidRPr="0051001E">
        <w:rPr>
          <w:sz w:val="22"/>
          <w:szCs w:val="22"/>
          <w:lang w:val="en-US" w:eastAsia="ja-JP"/>
        </w:rPr>
        <w:t>Kamalita</w:t>
      </w:r>
      <w:proofErr w:type="spellEnd"/>
      <w:r w:rsidRPr="0051001E">
        <w:rPr>
          <w:sz w:val="22"/>
          <w:szCs w:val="22"/>
          <w:lang w:val="en-US" w:eastAsia="ja-JP"/>
        </w:rPr>
        <w:t xml:space="preserve"> Pertiwi, </w:t>
      </w:r>
      <w:proofErr w:type="spellStart"/>
      <w:r w:rsidRPr="0051001E">
        <w:rPr>
          <w:sz w:val="22"/>
          <w:szCs w:val="22"/>
          <w:lang w:val="en-US" w:eastAsia="ja-JP"/>
        </w:rPr>
        <w:t>Wageningen</w:t>
      </w:r>
      <w:proofErr w:type="spellEnd"/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 xml:space="preserve">University, </w:t>
      </w:r>
      <w:proofErr w:type="gramStart"/>
      <w:r w:rsidRPr="0051001E">
        <w:rPr>
          <w:sz w:val="22"/>
          <w:szCs w:val="22"/>
          <w:lang w:val="en-US" w:eastAsia="ja-JP"/>
        </w:rPr>
        <w:t>the</w:t>
      </w:r>
      <w:proofErr w:type="gramEnd"/>
      <w:r w:rsidRPr="0051001E">
        <w:rPr>
          <w:sz w:val="22"/>
          <w:szCs w:val="22"/>
          <w:lang w:val="en-US" w:eastAsia="ja-JP"/>
        </w:rPr>
        <w:t xml:space="preserve"> Netherlands, for analyses of data from the Alpha Omega Cohort. Age,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Gene/Environment Susceptibility Study Reykjavik was funded by Office of Dietary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Supplements, the United States National Institute of Health (NIH) contract N01-AG012100, the National Institute of Aging (NIA) Intramural Research Program,</w:t>
      </w:r>
      <w:r>
        <w:rPr>
          <w:sz w:val="22"/>
          <w:szCs w:val="22"/>
          <w:lang w:val="en-US" w:eastAsia="ja-JP"/>
        </w:rPr>
        <w:t xml:space="preserve"> </w:t>
      </w:r>
      <w:proofErr w:type="spellStart"/>
      <w:r w:rsidRPr="0051001E">
        <w:rPr>
          <w:sz w:val="22"/>
          <w:szCs w:val="22"/>
          <w:lang w:val="en-US" w:eastAsia="ja-JP"/>
        </w:rPr>
        <w:t>Hjartavernd</w:t>
      </w:r>
      <w:proofErr w:type="spellEnd"/>
      <w:r w:rsidRPr="0051001E">
        <w:rPr>
          <w:sz w:val="22"/>
          <w:szCs w:val="22"/>
          <w:lang w:val="en-US" w:eastAsia="ja-JP"/>
        </w:rPr>
        <w:t xml:space="preserve"> (the Icelandic Heart Association), and the </w:t>
      </w:r>
      <w:proofErr w:type="spellStart"/>
      <w:r w:rsidRPr="0051001E">
        <w:rPr>
          <w:sz w:val="22"/>
          <w:szCs w:val="22"/>
          <w:lang w:val="en-US" w:eastAsia="ja-JP"/>
        </w:rPr>
        <w:t>Althingi</w:t>
      </w:r>
      <w:proofErr w:type="spellEnd"/>
      <w:r w:rsidRPr="0051001E">
        <w:rPr>
          <w:sz w:val="22"/>
          <w:szCs w:val="22"/>
          <w:lang w:val="en-US" w:eastAsia="ja-JP"/>
        </w:rPr>
        <w:t xml:space="preserve"> (the Icelandic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Parliament). Additional support was provided by the Michael Smith Foundation for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Medical Research (#17644) and the Canadian Cancer Society (grant #704735). Chin-Shan Community Cardiovascular Study was funded by Ministry of Science and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Technology and National Taiwan University, Taiwan (MOST 103-2314-B-00</w:t>
      </w:r>
      <w:r>
        <w:rPr>
          <w:sz w:val="22"/>
          <w:szCs w:val="22"/>
          <w:lang w:val="en-US" w:eastAsia="ja-JP"/>
        </w:rPr>
        <w:t>2 -135</w:t>
      </w:r>
      <w:r w:rsidRPr="0051001E">
        <w:rPr>
          <w:rFonts w:hint="eastAsia"/>
          <w:sz w:val="22"/>
          <w:szCs w:val="22"/>
          <w:lang w:val="en-US" w:eastAsia="ja-JP"/>
        </w:rPr>
        <w:t>–</w:t>
      </w:r>
      <w:r w:rsidRPr="0051001E">
        <w:rPr>
          <w:sz w:val="22"/>
          <w:szCs w:val="22"/>
          <w:lang w:val="en-US" w:eastAsia="ja-JP"/>
        </w:rPr>
        <w:t xml:space="preserve">MY3, NSC 100-2314-B-002 -113 –MY3, NTUH </w:t>
      </w:r>
      <w:r>
        <w:rPr>
          <w:sz w:val="22"/>
          <w:szCs w:val="22"/>
          <w:lang w:val="en-US" w:eastAsia="ja-JP"/>
        </w:rPr>
        <w:t xml:space="preserve">105-S3120, NTUH 106-S3453). The </w:t>
      </w:r>
      <w:r w:rsidRPr="0051001E">
        <w:rPr>
          <w:sz w:val="22"/>
          <w:szCs w:val="22"/>
          <w:lang w:val="en-US" w:eastAsia="ja-JP"/>
        </w:rPr>
        <w:t xml:space="preserve">Cardiovascular Health Study (CHS) was supported </w:t>
      </w:r>
      <w:r w:rsidRPr="0051001E">
        <w:rPr>
          <w:sz w:val="22"/>
          <w:szCs w:val="22"/>
          <w:lang w:val="en-US" w:eastAsia="ja-JP"/>
        </w:rPr>
        <w:lastRenderedPageBreak/>
        <w:t>by contracts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HHSN268201200036C, HHSN268200800007C, HHSN268201800001C,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N01HC55222, N01HC85079, N01HC85080, N01HC85081, N01HC85082,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N01HC85083, N01HC85086, and grants R01-HL-085710, U01HL080295 and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lang w:val="en-US" w:eastAsia="ja-JP"/>
        </w:rPr>
        <w:t>U01HL130114 from the NHLBI, with additional contribution from the National Institute</w:t>
      </w:r>
      <w:r>
        <w:rPr>
          <w:sz w:val="22"/>
          <w:szCs w:val="22"/>
          <w:lang w:val="en-US" w:eastAsia="ja-JP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of Neurological Disorders and Stroke (NINDS). Add</w:t>
      </w:r>
      <w:r>
        <w:rPr>
          <w:sz w:val="22"/>
          <w:szCs w:val="22"/>
          <w:shd w:val="clear" w:color="auto" w:fill="FFFFFF"/>
          <w:lang w:val="en-US"/>
        </w:rPr>
        <w:t xml:space="preserve">itional support was provided by </w:t>
      </w:r>
      <w:r w:rsidRPr="0051001E">
        <w:rPr>
          <w:sz w:val="22"/>
          <w:szCs w:val="22"/>
          <w:shd w:val="clear" w:color="auto" w:fill="FFFFFF"/>
          <w:lang w:val="en-US"/>
        </w:rPr>
        <w:t>R01AG023629 from NIA. The Framingham Heart Study was supported by the NHLBI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in collaboration with Boston University (Contract No. N01-HC-25195). The Health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Professionals Follow-up Study was funded by UM1 CA167552, R01 HL35464,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AA11181, HL35464, CA55075, HL60712, and P30 DK46200 from the NIH. The Insulin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Resistance Atherosclerosis Study was funded by grants U01-HL-47892, U01-HL-47902, DK-29867, R01-58329, and DK-079888 from NHLBI and grant M01-RR-43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from the NIH. The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InterAct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project was funded by the EU FP6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programme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(grant no.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LSHM_CT_2006_037197). The Kuopio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Ischaemic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Heart Disease Risk Factor Study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was supported mainly by the funding from the Academy of Finland to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Jukka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T.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Salonen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>. The Melbourne Collaborative Cohort Study was funded by VicHealth and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Cancer Council Victoria; and by grants 209057 and 126403 from Australia’s National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Health and Medical Research Council and by infrastructure provided by Cancer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Council Victoria. Multi-ethnic Study of Atherosclerosis was funded by contracts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HHSN268201500003I, N01-HC-95159, N01-HC-95160, N01-HC-95161, N01-HC-95162, N01-HC-95163, N01-HC-95164, N01-HC-95165, N01-HC-95166, N01-HC-95167, N01-HC-95168 and N01-HC-95169 from the NHLBI and by grants UL1-TR-000040 and UL1-TR-001079 from NCRR. The Metabolic Syndrome in Men Study was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funded by the grants from the European Union, the Academy of Finland, and the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Juselius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Foundation. The Nurses’ Health Study was funded by the NIH (CA186107,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CA87969, CA49449, HL34594, HL35464, CA167552, HL60712, and HL088521).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Prospective Investigation of the Vasculature in Uppsala Seniors was supported by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Uppsala University Hospital and the Swedish Research Council for Health, Working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Life and Welfare. The Tree City Study was conducted under a partnership agreement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between the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Institut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National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lastRenderedPageBreak/>
        <w:t>Sante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et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Recherche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Medicale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>, the University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Bordeaux 2 Victor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Segalen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, and Sanofi; and funded by the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Fondation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pour la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Recherche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Medicale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, the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Caisse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Nationale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Maladie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des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Travailleurs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Salaries, Direction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Generale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Sante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, MGEN,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Institut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Longevite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Conseils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Regionaux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d’Aquitaine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et Bourgogne,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Fondation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de France, Ministry of Research–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Institut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National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Sante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and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Recherche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Medicale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Programme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Cohortes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, grant COGINUT ANR-06-PNRA-005 from the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Agence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Nationale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de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Recherche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>, grant FCS 2009-2012 from the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Fondation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Plan Alzheimer, and the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Caisse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Nationale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pour la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Solidarite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l’Autonomie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>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The Uppsala Longitudinal Studies of Adult Men 50 and 70 were funded by the Swedish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Research Council for Health, Working Life and Welfare, Uppsala City Council, Swedish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Research Council, and Swedish Diabetes Foundation (UR). The Women’s Health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Initiative was funded by the NHLBI, NIH, U.S. Department of Health and Human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Services through contracts HHSN268201600018C, HHSN268201600001C,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HHSN268201600002C, HHSN268201600003C, and HHSN268201600004C. A full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listing of each of CHS, MESA, and WHI investigators can be found at http://www.CHSNHLBI.org, http://www.mesa-nhlbi.org, and </w:t>
      </w:r>
      <w:hyperlink r:id="rId4" w:history="1">
        <w:r w:rsidRPr="003A5A91">
          <w:rPr>
            <w:rStyle w:val="Hyperlink"/>
            <w:sz w:val="22"/>
            <w:szCs w:val="22"/>
            <w:shd w:val="clear" w:color="auto" w:fill="FFFFFF"/>
            <w:lang w:val="en-US"/>
          </w:rPr>
          <w:t>http://www.whi.org/researchers/</w:t>
        </w:r>
      </w:hyperlink>
      <w:r w:rsidRPr="0051001E">
        <w:rPr>
          <w:sz w:val="22"/>
          <w:szCs w:val="22"/>
          <w:shd w:val="clear" w:color="auto" w:fill="FFFFFF"/>
          <w:lang w:val="en-US"/>
        </w:rPr>
        <w:t>,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respectively.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The funders had no role in study design, data collection and analysis, decision to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publish, or preparation of the manuscript.</w:t>
      </w:r>
    </w:p>
    <w:p w:rsidR="00E6578F" w:rsidRDefault="00E6578F" w:rsidP="00E6578F">
      <w:pPr>
        <w:spacing w:line="480" w:lineRule="auto"/>
        <w:rPr>
          <w:sz w:val="22"/>
          <w:szCs w:val="22"/>
          <w:shd w:val="clear" w:color="auto" w:fill="FFFFFF"/>
          <w:lang w:val="en-US"/>
        </w:rPr>
      </w:pPr>
    </w:p>
    <w:p w:rsidR="00E6578F" w:rsidRPr="00E6578F" w:rsidRDefault="00E6578F" w:rsidP="00E6578F">
      <w:pPr>
        <w:spacing w:line="480" w:lineRule="auto"/>
        <w:rPr>
          <w:b/>
          <w:sz w:val="22"/>
          <w:szCs w:val="22"/>
          <w:shd w:val="clear" w:color="auto" w:fill="FFFFFF"/>
          <w:lang w:val="en-US"/>
        </w:rPr>
      </w:pPr>
      <w:r w:rsidRPr="00E6578F">
        <w:rPr>
          <w:b/>
          <w:sz w:val="22"/>
          <w:szCs w:val="22"/>
          <w:shd w:val="clear" w:color="auto" w:fill="FFFFFF"/>
          <w:lang w:val="en-US"/>
        </w:rPr>
        <w:t>Conflict of Interest</w:t>
      </w:r>
    </w:p>
    <w:p w:rsidR="00E6578F" w:rsidRDefault="00E6578F" w:rsidP="00E6578F">
      <w:pPr>
        <w:spacing w:line="480" w:lineRule="auto"/>
        <w:ind w:firstLine="720"/>
        <w:rPr>
          <w:sz w:val="22"/>
          <w:szCs w:val="22"/>
          <w:shd w:val="clear" w:color="auto" w:fill="FFFFFF"/>
          <w:lang w:val="en-US"/>
        </w:rPr>
      </w:pPr>
      <w:r w:rsidRPr="0051001E">
        <w:rPr>
          <w:sz w:val="22"/>
          <w:szCs w:val="22"/>
          <w:shd w:val="clear" w:color="auto" w:fill="FFFFFF"/>
          <w:lang w:val="en-US"/>
        </w:rPr>
        <w:t>JYW and RM report research support from Unilever f</w:t>
      </w:r>
      <w:r>
        <w:rPr>
          <w:sz w:val="22"/>
          <w:szCs w:val="22"/>
          <w:shd w:val="clear" w:color="auto" w:fill="FFFFFF"/>
          <w:lang w:val="en-US"/>
        </w:rPr>
        <w:t xml:space="preserve">or other projects on fatty acid </w:t>
      </w:r>
      <w:r w:rsidRPr="0051001E">
        <w:rPr>
          <w:sz w:val="22"/>
          <w:szCs w:val="22"/>
          <w:shd w:val="clear" w:color="auto" w:fill="FFFFFF"/>
          <w:lang w:val="en-US"/>
        </w:rPr>
        <w:t>biomarkers. LCDG reported receiving ad hoc consulting fees from the Life Sciences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Research Organization. CH reported receiving fees for a conference from Novartis. IAB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reported involvement in a research project partly funded by Unilever. JGR received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research grants from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Amarin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and Astra-Zeneca. DM reported receiving ad hoc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honoraria from Bunge, Pollock Institute, and Quaker Oats; ad hoc consulting for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Foodminds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, Life Sciences Research Organization, Nutrition Impact,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Amarin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>,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AstraZeneca, Winston, and Strawn LLP; membership in Unilever North America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Scientific Advisory Board; and chapter royalties from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UpToDate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. </w:t>
      </w:r>
      <w:r w:rsidRPr="0051001E">
        <w:rPr>
          <w:sz w:val="22"/>
          <w:szCs w:val="22"/>
          <w:shd w:val="clear" w:color="auto" w:fill="FFFFFF"/>
          <w:lang w:val="en-US"/>
        </w:rPr>
        <w:lastRenderedPageBreak/>
        <w:t>SSSM reported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receiving an international award and unrestricted grants for meta-analysis work on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 xml:space="preserve">dairy foods and </w:t>
      </w:r>
      <w:proofErr w:type="spellStart"/>
      <w:r w:rsidRPr="0051001E">
        <w:rPr>
          <w:sz w:val="22"/>
          <w:szCs w:val="22"/>
          <w:shd w:val="clear" w:color="auto" w:fill="FFFFFF"/>
          <w:lang w:val="en-US"/>
        </w:rPr>
        <w:t>cardiometabolic</w:t>
      </w:r>
      <w:proofErr w:type="spellEnd"/>
      <w:r w:rsidRPr="0051001E">
        <w:rPr>
          <w:sz w:val="22"/>
          <w:szCs w:val="22"/>
          <w:shd w:val="clear" w:color="auto" w:fill="FFFFFF"/>
          <w:lang w:val="en-US"/>
        </w:rPr>
        <w:t xml:space="preserve"> diseases from Global and Dutch Dairy Associations.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51001E">
        <w:rPr>
          <w:sz w:val="22"/>
          <w:szCs w:val="22"/>
          <w:shd w:val="clear" w:color="auto" w:fill="FFFFFF"/>
          <w:lang w:val="en-US"/>
        </w:rPr>
        <w:t>Other authors do not have any conflict of interest to declare.</w:t>
      </w:r>
    </w:p>
    <w:p w:rsidR="00B640AF" w:rsidRDefault="00B640AF" w:rsidP="00B640AF">
      <w:pPr>
        <w:spacing w:line="480" w:lineRule="auto"/>
        <w:rPr>
          <w:sz w:val="22"/>
          <w:szCs w:val="22"/>
          <w:shd w:val="clear" w:color="auto" w:fill="FFFFFF"/>
          <w:lang w:val="en-US"/>
        </w:rPr>
      </w:pPr>
    </w:p>
    <w:p w:rsidR="00B640AF" w:rsidRDefault="00B640AF" w:rsidP="00B640AF">
      <w:pPr>
        <w:spacing w:line="480" w:lineRule="auto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  <w:lang w:val="en-US"/>
        </w:rPr>
        <w:t>Data availability</w:t>
      </w:r>
    </w:p>
    <w:p w:rsidR="00B640AF" w:rsidRPr="005F7401" w:rsidRDefault="00B640AF" w:rsidP="00B640AF">
      <w:pPr>
        <w:spacing w:line="480" w:lineRule="auto"/>
        <w:ind w:firstLine="720"/>
        <w:rPr>
          <w:sz w:val="22"/>
          <w:szCs w:val="22"/>
          <w:shd w:val="clear" w:color="auto" w:fill="FFFFFF"/>
          <w:lang w:val="en-US"/>
        </w:rPr>
      </w:pPr>
      <w:r w:rsidRPr="00B640AF">
        <w:rPr>
          <w:sz w:val="22"/>
          <w:szCs w:val="22"/>
          <w:shd w:val="clear" w:color="auto" w:fill="FFFFFF"/>
          <w:lang w:val="en-US"/>
        </w:rPr>
        <w:t>The institutional IRB approvals and data sharing agreements for the participating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B640AF">
        <w:rPr>
          <w:sz w:val="22"/>
          <w:szCs w:val="22"/>
          <w:shd w:val="clear" w:color="auto" w:fill="FFFFFF"/>
          <w:lang w:val="en-US"/>
        </w:rPr>
        <w:t>cohorts allowed us to share cohort results. Individual participant data are owned by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B640AF">
        <w:rPr>
          <w:sz w:val="22"/>
          <w:szCs w:val="22"/>
          <w:shd w:val="clear" w:color="auto" w:fill="FFFFFF"/>
          <w:lang w:val="en-US"/>
        </w:rPr>
        <w:t>individual participating cohorts and are available to researchers consented from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B640AF">
        <w:rPr>
          <w:sz w:val="22"/>
          <w:szCs w:val="22"/>
          <w:shd w:val="clear" w:color="auto" w:fill="FFFFFF"/>
          <w:lang w:val="en-US"/>
        </w:rPr>
        <w:t xml:space="preserve">participating cohorts. For further queries or requests, please contact </w:t>
      </w:r>
      <w:hyperlink r:id="rId5" w:history="1">
        <w:r w:rsidRPr="003A5A91">
          <w:rPr>
            <w:rStyle w:val="Hyperlink"/>
            <w:sz w:val="22"/>
            <w:szCs w:val="22"/>
            <w:shd w:val="clear" w:color="auto" w:fill="FFFFFF"/>
            <w:lang w:val="en-US"/>
          </w:rPr>
          <w:t>force@tufts.edu</w:t>
        </w:r>
      </w:hyperlink>
      <w:r w:rsidRPr="00B640AF">
        <w:rPr>
          <w:sz w:val="22"/>
          <w:szCs w:val="22"/>
          <w:shd w:val="clear" w:color="auto" w:fill="FFFFFF"/>
          <w:lang w:val="en-US"/>
        </w:rPr>
        <w:t>.</w:t>
      </w:r>
      <w:r>
        <w:rPr>
          <w:sz w:val="22"/>
          <w:szCs w:val="22"/>
          <w:shd w:val="clear" w:color="auto" w:fill="FFFFFF"/>
          <w:lang w:val="en-US"/>
        </w:rPr>
        <w:t xml:space="preserve"> </w:t>
      </w:r>
      <w:r w:rsidRPr="00B640AF">
        <w:rPr>
          <w:sz w:val="22"/>
          <w:szCs w:val="22"/>
          <w:shd w:val="clear" w:color="auto" w:fill="FFFFFF"/>
          <w:lang w:val="en-US"/>
        </w:rPr>
        <w:t>Further details are available at the FORCE website: http://force.nutrition.tufts.edu/.</w:t>
      </w:r>
      <w:bookmarkStart w:id="0" w:name="_GoBack"/>
      <w:bookmarkEnd w:id="0"/>
    </w:p>
    <w:p w:rsidR="00B42E3F" w:rsidRDefault="00B640AF"/>
    <w:sectPr w:rsidR="00B42E3F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9"/>
    <w:rsid w:val="00160BF2"/>
    <w:rsid w:val="00B23DE9"/>
    <w:rsid w:val="00B640AF"/>
    <w:rsid w:val="00E6578F"/>
    <w:rsid w:val="00ED0E31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FF80B-1515-4B36-BBBC-8FAE4C2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8F"/>
    <w:pPr>
      <w:spacing w:after="0" w:line="240" w:lineRule="auto"/>
    </w:pPr>
    <w:rPr>
      <w:rFonts w:ascii="Times New Roman" w:eastAsia="ＭＳ 明朝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ce@tufts.edu" TargetMode="External"/><Relationship Id="rId4" Type="http://schemas.openxmlformats.org/officeDocument/2006/relationships/hyperlink" Target="http://www.whi.org/resear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 Imamura</dc:creator>
  <cp:keywords/>
  <dc:description/>
  <cp:lastModifiedBy>Fumiaki Imamura</cp:lastModifiedBy>
  <cp:revision>3</cp:revision>
  <dcterms:created xsi:type="dcterms:W3CDTF">2020-04-30T02:02:00Z</dcterms:created>
  <dcterms:modified xsi:type="dcterms:W3CDTF">2020-04-30T02:04:00Z</dcterms:modified>
</cp:coreProperties>
</file>