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E56EA1" w14:textId="77777777" w:rsidR="003C2E1F" w:rsidRPr="003B0E69" w:rsidRDefault="003C2E1F" w:rsidP="003C2E1F">
      <w:pPr>
        <w:spacing w:after="0" w:line="360" w:lineRule="auto"/>
        <w:contextualSpacing/>
        <w:jc w:val="both"/>
        <w:rPr>
          <w:rFonts w:ascii="Arial" w:hAnsi="Arial" w:cs="Arial"/>
          <w:b/>
          <w:bCs/>
          <w:sz w:val="24"/>
          <w:szCs w:val="24"/>
        </w:rPr>
      </w:pPr>
      <w:bookmarkStart w:id="0" w:name="_Hlk31715328"/>
      <w:bookmarkStart w:id="1" w:name="_Hlk32592005"/>
      <w:bookmarkStart w:id="2" w:name="_Hlk32946060"/>
      <w:r w:rsidRPr="003B0E69">
        <w:rPr>
          <w:rFonts w:ascii="Arial" w:hAnsi="Arial" w:cs="Arial"/>
          <w:b/>
          <w:bCs/>
          <w:sz w:val="24"/>
          <w:szCs w:val="24"/>
        </w:rPr>
        <w:t>Incentives and voluntary stopping: the intentional hand task</w:t>
      </w:r>
    </w:p>
    <w:bookmarkEnd w:id="2"/>
    <w:p w14:paraId="55D1EB62" w14:textId="77777777" w:rsidR="003C2E1F" w:rsidRPr="003B0E69" w:rsidRDefault="003C2E1F" w:rsidP="003C2E1F">
      <w:pPr>
        <w:spacing w:after="0" w:line="360" w:lineRule="auto"/>
        <w:contextualSpacing/>
        <w:jc w:val="both"/>
        <w:rPr>
          <w:rFonts w:ascii="Arial" w:hAnsi="Arial" w:cs="Arial"/>
          <w:sz w:val="20"/>
          <w:szCs w:val="20"/>
        </w:rPr>
      </w:pPr>
      <w:r w:rsidRPr="003B0E69">
        <w:rPr>
          <w:rFonts w:ascii="Arial" w:hAnsi="Arial" w:cs="Arial"/>
          <w:sz w:val="20"/>
          <w:szCs w:val="20"/>
        </w:rPr>
        <w:t xml:space="preserve">Kathrin Weidacker </w:t>
      </w:r>
      <w:r w:rsidRPr="003B0E69">
        <w:rPr>
          <w:rFonts w:ascii="Arial" w:hAnsi="Arial" w:cs="Arial"/>
          <w:sz w:val="20"/>
          <w:szCs w:val="20"/>
          <w:vertAlign w:val="superscript"/>
        </w:rPr>
        <w:t xml:space="preserve">a </w:t>
      </w:r>
      <w:r w:rsidRPr="003B0E69">
        <w:rPr>
          <w:rFonts w:ascii="Arial" w:hAnsi="Arial" w:cs="Arial"/>
          <w:sz w:val="20"/>
          <w:szCs w:val="20"/>
        </w:rPr>
        <w:t xml:space="preserve">*, Timo L. Kvamme </w:t>
      </w:r>
      <w:r w:rsidRPr="003B0E69">
        <w:rPr>
          <w:rFonts w:ascii="Arial" w:hAnsi="Arial" w:cs="Arial"/>
          <w:sz w:val="20"/>
          <w:szCs w:val="20"/>
          <w:vertAlign w:val="superscript"/>
        </w:rPr>
        <w:t xml:space="preserve">a,d </w:t>
      </w:r>
      <w:r w:rsidRPr="003B0E69">
        <w:rPr>
          <w:rFonts w:ascii="Arial" w:hAnsi="Arial" w:cs="Arial"/>
          <w:sz w:val="20"/>
          <w:szCs w:val="20"/>
        </w:rPr>
        <w:t>*, Seb Whiteford, Natalie Valle Guzman</w:t>
      </w:r>
      <w:r w:rsidRPr="003B0E69">
        <w:rPr>
          <w:rFonts w:ascii="Arial" w:hAnsi="Arial" w:cs="Arial"/>
          <w:sz w:val="20"/>
          <w:szCs w:val="20"/>
          <w:vertAlign w:val="superscript"/>
        </w:rPr>
        <w:t xml:space="preserve"> a</w:t>
      </w:r>
      <w:r w:rsidRPr="003B0E69">
        <w:rPr>
          <w:rFonts w:ascii="Arial" w:hAnsi="Arial" w:cs="Arial"/>
          <w:sz w:val="20"/>
          <w:szCs w:val="20"/>
        </w:rPr>
        <w:t xml:space="preserve">, Valerie Voon </w:t>
      </w:r>
      <w:r w:rsidRPr="003B0E69">
        <w:rPr>
          <w:rFonts w:ascii="Arial" w:hAnsi="Arial" w:cs="Arial"/>
          <w:sz w:val="20"/>
          <w:szCs w:val="20"/>
          <w:vertAlign w:val="superscript"/>
        </w:rPr>
        <w:t>a,b,c</w:t>
      </w:r>
    </w:p>
    <w:p w14:paraId="713FE0B8" w14:textId="77777777" w:rsidR="003C2E1F" w:rsidRPr="003B0E69" w:rsidRDefault="003C2E1F" w:rsidP="003C2E1F">
      <w:pPr>
        <w:spacing w:line="240" w:lineRule="auto"/>
        <w:jc w:val="both"/>
        <w:rPr>
          <w:rFonts w:ascii="Arial" w:hAnsi="Arial" w:cs="Arial"/>
          <w:color w:val="000000" w:themeColor="text1"/>
          <w:sz w:val="16"/>
          <w:szCs w:val="16"/>
        </w:rPr>
      </w:pPr>
      <w:r w:rsidRPr="003B0E69">
        <w:rPr>
          <w:rFonts w:ascii="Arial" w:hAnsi="Arial" w:cs="Arial"/>
          <w:b/>
          <w:bCs/>
          <w:color w:val="000000" w:themeColor="text1"/>
          <w:sz w:val="16"/>
          <w:szCs w:val="16"/>
          <w:vertAlign w:val="superscript"/>
        </w:rPr>
        <w:t>a</w:t>
      </w:r>
      <w:r w:rsidRPr="003B0E69">
        <w:rPr>
          <w:rFonts w:ascii="Arial" w:hAnsi="Arial" w:cs="Arial"/>
          <w:color w:val="000000" w:themeColor="text1"/>
          <w:sz w:val="16"/>
          <w:szCs w:val="16"/>
        </w:rPr>
        <w:t xml:space="preserve"> Department of Psychiatry, University of Cambridge, Cambridge, United Kingdom</w:t>
      </w:r>
      <w:r>
        <w:rPr>
          <w:rFonts w:ascii="Arial" w:hAnsi="Arial" w:cs="Arial"/>
          <w:color w:val="000000" w:themeColor="text1"/>
          <w:sz w:val="16"/>
          <w:szCs w:val="16"/>
        </w:rPr>
        <w:t>.</w:t>
      </w:r>
    </w:p>
    <w:p w14:paraId="3A9CF60B" w14:textId="77777777" w:rsidR="003C2E1F" w:rsidRPr="003B0E69" w:rsidRDefault="003C2E1F" w:rsidP="003C2E1F">
      <w:pPr>
        <w:spacing w:line="240" w:lineRule="auto"/>
        <w:jc w:val="both"/>
        <w:rPr>
          <w:rFonts w:ascii="Arial" w:hAnsi="Arial" w:cs="Arial"/>
          <w:b/>
          <w:bCs/>
          <w:color w:val="000000" w:themeColor="text1"/>
          <w:sz w:val="16"/>
          <w:szCs w:val="16"/>
        </w:rPr>
      </w:pPr>
      <w:r w:rsidRPr="003B0E69">
        <w:rPr>
          <w:rFonts w:ascii="Arial" w:hAnsi="Arial" w:cs="Arial"/>
          <w:b/>
          <w:bCs/>
          <w:color w:val="000000" w:themeColor="text1"/>
          <w:sz w:val="16"/>
          <w:szCs w:val="16"/>
          <w:vertAlign w:val="superscript"/>
        </w:rPr>
        <w:t>b</w:t>
      </w:r>
      <w:r w:rsidRPr="003B0E69">
        <w:rPr>
          <w:rFonts w:ascii="Arial" w:hAnsi="Arial" w:cs="Arial"/>
          <w:b/>
          <w:bCs/>
          <w:color w:val="000000" w:themeColor="text1"/>
          <w:sz w:val="16"/>
          <w:szCs w:val="16"/>
        </w:rPr>
        <w:t xml:space="preserve"> </w:t>
      </w:r>
      <w:r w:rsidRPr="003B0E69">
        <w:rPr>
          <w:rFonts w:ascii="Arial" w:hAnsi="Arial" w:cs="Arial"/>
          <w:color w:val="000000" w:themeColor="text1"/>
          <w:sz w:val="16"/>
          <w:szCs w:val="16"/>
        </w:rPr>
        <w:t>Behavioural and Clinical Neurosciences Institute, University of Cambridge, Cambridge, United Kingdom</w:t>
      </w:r>
      <w:r>
        <w:rPr>
          <w:rFonts w:ascii="Arial" w:hAnsi="Arial" w:cs="Arial"/>
          <w:color w:val="000000" w:themeColor="text1"/>
          <w:sz w:val="16"/>
          <w:szCs w:val="16"/>
        </w:rPr>
        <w:t>.</w:t>
      </w:r>
      <w:r w:rsidRPr="003B0E69">
        <w:rPr>
          <w:rFonts w:ascii="Arial" w:hAnsi="Arial" w:cs="Arial"/>
          <w:color w:val="000000" w:themeColor="text1"/>
          <w:sz w:val="16"/>
          <w:szCs w:val="16"/>
        </w:rPr>
        <w:t xml:space="preserve"> </w:t>
      </w:r>
    </w:p>
    <w:p w14:paraId="3297DFEF" w14:textId="77777777" w:rsidR="003C2E1F" w:rsidRPr="003B0E69" w:rsidRDefault="003C2E1F" w:rsidP="003C2E1F">
      <w:pPr>
        <w:spacing w:line="240" w:lineRule="auto"/>
        <w:jc w:val="both"/>
        <w:rPr>
          <w:rFonts w:ascii="Arial" w:hAnsi="Arial" w:cs="Arial"/>
          <w:color w:val="000000" w:themeColor="text1"/>
          <w:sz w:val="16"/>
          <w:szCs w:val="16"/>
          <w:shd w:val="clear" w:color="auto" w:fill="FFFFFF"/>
        </w:rPr>
      </w:pPr>
      <w:r w:rsidRPr="003B0E69">
        <w:rPr>
          <w:rFonts w:ascii="Arial" w:hAnsi="Arial" w:cs="Arial"/>
          <w:b/>
          <w:bCs/>
          <w:color w:val="000000" w:themeColor="text1"/>
          <w:sz w:val="16"/>
          <w:szCs w:val="16"/>
          <w:vertAlign w:val="superscript"/>
        </w:rPr>
        <w:t>c</w:t>
      </w:r>
      <w:r w:rsidRPr="003B0E69">
        <w:rPr>
          <w:rFonts w:ascii="Arial" w:hAnsi="Arial" w:cs="Arial"/>
          <w:b/>
          <w:bCs/>
          <w:color w:val="000000" w:themeColor="text1"/>
          <w:sz w:val="16"/>
          <w:szCs w:val="16"/>
        </w:rPr>
        <w:t xml:space="preserve"> </w:t>
      </w:r>
      <w:r w:rsidRPr="003B0E69">
        <w:rPr>
          <w:rFonts w:ascii="Arial" w:hAnsi="Arial" w:cs="Arial"/>
          <w:color w:val="000000" w:themeColor="text1"/>
          <w:sz w:val="16"/>
          <w:szCs w:val="16"/>
          <w:shd w:val="clear" w:color="auto" w:fill="FFFFFF"/>
        </w:rPr>
        <w:t>NIHR Biomedical Research Council University of Cambridge.</w:t>
      </w:r>
    </w:p>
    <w:p w14:paraId="0776A8CC" w14:textId="77777777" w:rsidR="003C2E1F" w:rsidRPr="003B0E69" w:rsidRDefault="003C2E1F" w:rsidP="003C2E1F">
      <w:pPr>
        <w:spacing w:line="240" w:lineRule="auto"/>
        <w:jc w:val="both"/>
        <w:rPr>
          <w:rFonts w:ascii="Arial" w:hAnsi="Arial" w:cs="Arial"/>
          <w:color w:val="000000" w:themeColor="text1"/>
          <w:sz w:val="16"/>
          <w:szCs w:val="16"/>
        </w:rPr>
      </w:pPr>
      <w:r w:rsidRPr="003B0E69">
        <w:rPr>
          <w:rFonts w:ascii="Arial" w:hAnsi="Arial" w:cs="Arial"/>
          <w:b/>
          <w:bCs/>
          <w:color w:val="000000" w:themeColor="text1"/>
          <w:sz w:val="16"/>
          <w:szCs w:val="16"/>
          <w:shd w:val="clear" w:color="auto" w:fill="FFFFFF"/>
          <w:vertAlign w:val="superscript"/>
        </w:rPr>
        <w:t>d</w:t>
      </w:r>
      <w:r w:rsidRPr="003B0E69">
        <w:rPr>
          <w:rFonts w:ascii="Arial" w:hAnsi="Arial" w:cs="Arial"/>
          <w:color w:val="000000" w:themeColor="text1"/>
          <w:sz w:val="16"/>
          <w:szCs w:val="16"/>
          <w:shd w:val="clear" w:color="auto" w:fill="FFFFFF"/>
        </w:rPr>
        <w:t xml:space="preserve"> Cognitive Neuroscience Research Unit, CFIN/MINDLab, Aarhus University, Aarhus, Denmark</w:t>
      </w:r>
      <w:r>
        <w:rPr>
          <w:rFonts w:ascii="Arial" w:hAnsi="Arial" w:cs="Arial"/>
          <w:color w:val="000000" w:themeColor="text1"/>
          <w:sz w:val="16"/>
          <w:szCs w:val="16"/>
          <w:shd w:val="clear" w:color="auto" w:fill="FFFFFF"/>
        </w:rPr>
        <w:t>.</w:t>
      </w:r>
    </w:p>
    <w:p w14:paraId="6E364CD5" w14:textId="77777777" w:rsidR="003C2E1F" w:rsidRPr="003B0E69" w:rsidRDefault="003C2E1F" w:rsidP="003C2E1F">
      <w:pPr>
        <w:spacing w:after="0" w:line="360" w:lineRule="auto"/>
        <w:contextualSpacing/>
        <w:jc w:val="both"/>
        <w:rPr>
          <w:rFonts w:ascii="Arial" w:hAnsi="Arial" w:cs="Arial"/>
          <w:sz w:val="20"/>
          <w:szCs w:val="20"/>
        </w:rPr>
      </w:pPr>
    </w:p>
    <w:p w14:paraId="342E8675" w14:textId="77777777" w:rsidR="003C2E1F" w:rsidRPr="003B0E69" w:rsidRDefault="003C2E1F" w:rsidP="003C2E1F">
      <w:pPr>
        <w:spacing w:line="360" w:lineRule="auto"/>
        <w:jc w:val="both"/>
        <w:rPr>
          <w:rFonts w:ascii="Arial" w:hAnsi="Arial" w:cs="Arial"/>
          <w:sz w:val="18"/>
          <w:szCs w:val="18"/>
        </w:rPr>
      </w:pPr>
      <w:r w:rsidRPr="003B0E69">
        <w:rPr>
          <w:rFonts w:ascii="Arial" w:hAnsi="Arial" w:cs="Arial"/>
          <w:b/>
          <w:bCs/>
          <w:sz w:val="18"/>
          <w:szCs w:val="18"/>
        </w:rPr>
        <w:t xml:space="preserve">Keywords: </w:t>
      </w:r>
      <w:r w:rsidRPr="003B0E69">
        <w:rPr>
          <w:rFonts w:ascii="Arial" w:hAnsi="Arial" w:cs="Arial"/>
          <w:sz w:val="18"/>
          <w:szCs w:val="18"/>
        </w:rPr>
        <w:t>Inhibition, Intention, Reward, Action, Volition</w:t>
      </w:r>
      <w:r>
        <w:rPr>
          <w:rFonts w:ascii="Arial" w:hAnsi="Arial" w:cs="Arial"/>
          <w:sz w:val="18"/>
          <w:szCs w:val="18"/>
        </w:rPr>
        <w:t>.</w:t>
      </w:r>
    </w:p>
    <w:p w14:paraId="77E912BD" w14:textId="77777777" w:rsidR="003C2E1F" w:rsidRPr="003B0E69" w:rsidRDefault="003C2E1F" w:rsidP="003C2E1F">
      <w:pPr>
        <w:spacing w:line="360" w:lineRule="auto"/>
        <w:jc w:val="both"/>
        <w:rPr>
          <w:rFonts w:ascii="Arial" w:hAnsi="Arial" w:cs="Arial"/>
          <w:i/>
          <w:iCs/>
          <w:sz w:val="18"/>
          <w:szCs w:val="18"/>
        </w:rPr>
      </w:pPr>
      <w:r w:rsidRPr="003B0E69">
        <w:rPr>
          <w:rFonts w:ascii="Arial" w:hAnsi="Arial" w:cs="Arial"/>
          <w:i/>
          <w:iCs/>
          <w:sz w:val="18"/>
          <w:szCs w:val="18"/>
        </w:rPr>
        <w:t>* Both authors contributed equally</w:t>
      </w:r>
      <w:r>
        <w:rPr>
          <w:rFonts w:ascii="Arial" w:hAnsi="Arial" w:cs="Arial"/>
          <w:i/>
          <w:iCs/>
          <w:sz w:val="18"/>
          <w:szCs w:val="18"/>
        </w:rPr>
        <w:t>.</w:t>
      </w:r>
    </w:p>
    <w:p w14:paraId="4380CD81" w14:textId="77777777" w:rsidR="003C2E1F" w:rsidRDefault="003C2E1F" w:rsidP="003C2E1F">
      <w:pPr>
        <w:tabs>
          <w:tab w:val="left" w:pos="7655"/>
        </w:tabs>
        <w:spacing w:line="360" w:lineRule="auto"/>
        <w:jc w:val="both"/>
        <w:rPr>
          <w:rFonts w:ascii="Arial" w:hAnsi="Arial" w:cs="Arial"/>
          <w:i/>
          <w:sz w:val="18"/>
          <w:szCs w:val="18"/>
        </w:rPr>
      </w:pPr>
      <w:r w:rsidRPr="003B0E69">
        <w:rPr>
          <w:rFonts w:ascii="Arial" w:hAnsi="Arial" w:cs="Arial"/>
          <w:i/>
          <w:sz w:val="18"/>
          <w:szCs w:val="18"/>
        </w:rPr>
        <w:t xml:space="preserve">Corresponding Author: Department of Psychiatry, University of Cambridge, Addenbrookes Hospital, Level E4, Box 189, Hills Road, Cambridge CB2 0QQ, United Kingdom.; E-mail: </w:t>
      </w:r>
      <w:r w:rsidRPr="003B0E69">
        <w:rPr>
          <w:rFonts w:ascii="Arial" w:hAnsi="Arial" w:cs="Arial"/>
          <w:i/>
          <w:color w:val="0B5294" w:themeColor="accent1" w:themeShade="BF"/>
          <w:sz w:val="18"/>
          <w:szCs w:val="18"/>
          <w:u w:val="single"/>
        </w:rPr>
        <w:t>vv247@cam.ac.uk</w:t>
      </w:r>
      <w:r w:rsidRPr="003B0E69">
        <w:rPr>
          <w:rFonts w:ascii="Arial" w:hAnsi="Arial" w:cs="Arial"/>
          <w:i/>
          <w:color w:val="0B5294" w:themeColor="accent1" w:themeShade="BF"/>
          <w:sz w:val="18"/>
          <w:szCs w:val="18"/>
        </w:rPr>
        <w:t xml:space="preserve"> </w:t>
      </w:r>
      <w:r w:rsidRPr="003B0E69">
        <w:rPr>
          <w:rFonts w:ascii="Arial" w:hAnsi="Arial" w:cs="Arial"/>
          <w:i/>
          <w:sz w:val="18"/>
          <w:szCs w:val="18"/>
        </w:rPr>
        <w:t>(V. Voon)</w:t>
      </w:r>
      <w:r>
        <w:rPr>
          <w:rFonts w:ascii="Arial" w:hAnsi="Arial" w:cs="Arial"/>
          <w:i/>
          <w:sz w:val="18"/>
          <w:szCs w:val="18"/>
        </w:rPr>
        <w:t>.</w:t>
      </w:r>
    </w:p>
    <w:p w14:paraId="19CCEC78" w14:textId="77777777" w:rsidR="003C2E1F" w:rsidRDefault="003C2E1F" w:rsidP="00655F3A">
      <w:pPr>
        <w:spacing w:after="0" w:line="360" w:lineRule="auto"/>
        <w:contextualSpacing/>
        <w:jc w:val="both"/>
        <w:rPr>
          <w:rFonts w:ascii="Arial" w:hAnsi="Arial" w:cs="Arial"/>
          <w:b/>
          <w:sz w:val="20"/>
          <w:szCs w:val="20"/>
        </w:rPr>
      </w:pPr>
      <w:bookmarkStart w:id="3" w:name="_GoBack"/>
      <w:bookmarkEnd w:id="3"/>
    </w:p>
    <w:p w14:paraId="35A587C9" w14:textId="77777777" w:rsidR="003C2E1F" w:rsidRDefault="003C2E1F" w:rsidP="00655F3A">
      <w:pPr>
        <w:spacing w:after="0" w:line="360" w:lineRule="auto"/>
        <w:contextualSpacing/>
        <w:jc w:val="both"/>
        <w:rPr>
          <w:rFonts w:ascii="Arial" w:hAnsi="Arial" w:cs="Arial"/>
          <w:b/>
          <w:sz w:val="20"/>
          <w:szCs w:val="20"/>
        </w:rPr>
      </w:pPr>
    </w:p>
    <w:p w14:paraId="7F135F6C" w14:textId="77777777" w:rsidR="003C2E1F" w:rsidRDefault="003C2E1F" w:rsidP="00655F3A">
      <w:pPr>
        <w:spacing w:after="0" w:line="360" w:lineRule="auto"/>
        <w:contextualSpacing/>
        <w:jc w:val="both"/>
        <w:rPr>
          <w:rFonts w:ascii="Arial" w:hAnsi="Arial" w:cs="Arial"/>
          <w:b/>
          <w:sz w:val="20"/>
          <w:szCs w:val="20"/>
        </w:rPr>
      </w:pPr>
    </w:p>
    <w:p w14:paraId="171D788E" w14:textId="4E8929BF" w:rsidR="00655F3A" w:rsidRPr="00362EC0" w:rsidRDefault="00655F3A" w:rsidP="00655F3A">
      <w:pPr>
        <w:spacing w:after="0" w:line="360" w:lineRule="auto"/>
        <w:contextualSpacing/>
        <w:jc w:val="both"/>
        <w:rPr>
          <w:rFonts w:ascii="Arial" w:hAnsi="Arial" w:cs="Arial"/>
          <w:b/>
          <w:sz w:val="20"/>
          <w:szCs w:val="20"/>
        </w:rPr>
      </w:pPr>
      <w:r w:rsidRPr="00362EC0">
        <w:rPr>
          <w:rFonts w:ascii="Arial" w:hAnsi="Arial" w:cs="Arial"/>
          <w:b/>
          <w:sz w:val="20"/>
          <w:szCs w:val="20"/>
        </w:rPr>
        <w:t>Abstract</w:t>
      </w:r>
    </w:p>
    <w:p w14:paraId="5662AABA" w14:textId="1A262145" w:rsidR="00FF509D" w:rsidRDefault="00FF509D" w:rsidP="00655F3A">
      <w:pPr>
        <w:spacing w:after="0" w:line="360" w:lineRule="auto"/>
        <w:contextualSpacing/>
        <w:jc w:val="both"/>
        <w:rPr>
          <w:rFonts w:ascii="Arial" w:hAnsi="Arial" w:cs="Arial"/>
          <w:sz w:val="20"/>
          <w:szCs w:val="20"/>
        </w:rPr>
      </w:pPr>
    </w:p>
    <w:p w14:paraId="60A6ABB6" w14:textId="7E367570" w:rsidR="00655F3A" w:rsidRPr="00362EC0" w:rsidRDefault="00FF509D" w:rsidP="00655F3A">
      <w:pPr>
        <w:spacing w:after="0" w:line="360" w:lineRule="auto"/>
        <w:contextualSpacing/>
        <w:jc w:val="both"/>
        <w:rPr>
          <w:rFonts w:ascii="Arial" w:hAnsi="Arial" w:cs="Arial"/>
          <w:sz w:val="20"/>
          <w:szCs w:val="20"/>
        </w:rPr>
      </w:pPr>
      <w:r w:rsidRPr="00FF509D">
        <w:rPr>
          <w:rFonts w:ascii="Arial" w:hAnsi="Arial" w:cs="Arial"/>
          <w:sz w:val="20"/>
          <w:szCs w:val="20"/>
        </w:rPr>
        <w:t>Intentional inhibition</w:t>
      </w:r>
      <w:r>
        <w:rPr>
          <w:rFonts w:ascii="Arial" w:hAnsi="Arial" w:cs="Arial"/>
          <w:sz w:val="20"/>
          <w:szCs w:val="20"/>
        </w:rPr>
        <w:t>,</w:t>
      </w:r>
      <w:r w:rsidRPr="00FF509D">
        <w:rPr>
          <w:rFonts w:ascii="Arial" w:hAnsi="Arial" w:cs="Arial"/>
          <w:sz w:val="20"/>
          <w:szCs w:val="20"/>
        </w:rPr>
        <w:t xml:space="preserve"> the endogenous decision to stop or cancel an action</w:t>
      </w:r>
      <w:r>
        <w:rPr>
          <w:rFonts w:ascii="Arial" w:hAnsi="Arial" w:cs="Arial"/>
          <w:sz w:val="20"/>
          <w:szCs w:val="20"/>
        </w:rPr>
        <w:t>,</w:t>
      </w:r>
      <w:r w:rsidRPr="00FF509D">
        <w:rPr>
          <w:rFonts w:ascii="Arial" w:hAnsi="Arial" w:cs="Arial"/>
          <w:sz w:val="20"/>
          <w:szCs w:val="20"/>
        </w:rPr>
        <w:t xml:space="preserve"> is arguably a more ecologically valid process than automatized, reactive</w:t>
      </w:r>
      <w:r>
        <w:rPr>
          <w:rFonts w:ascii="Arial" w:hAnsi="Arial" w:cs="Arial"/>
          <w:sz w:val="20"/>
          <w:szCs w:val="20"/>
        </w:rPr>
        <w:t>,</w:t>
      </w:r>
      <w:r w:rsidRPr="00FF509D">
        <w:rPr>
          <w:rFonts w:ascii="Arial" w:hAnsi="Arial" w:cs="Arial"/>
          <w:sz w:val="20"/>
          <w:szCs w:val="20"/>
        </w:rPr>
        <w:t xml:space="preserve"> inhibition which occurs in response to an external stop signal</w:t>
      </w:r>
      <w:r>
        <w:rPr>
          <w:rFonts w:ascii="Arial" w:hAnsi="Arial" w:cs="Arial"/>
          <w:sz w:val="20"/>
          <w:szCs w:val="20"/>
        </w:rPr>
        <w:t xml:space="preserve"> without active decision making at the moment of inhibition</w:t>
      </w:r>
      <w:r w:rsidRPr="00FF509D">
        <w:rPr>
          <w:rFonts w:ascii="Arial" w:hAnsi="Arial" w:cs="Arial"/>
          <w:sz w:val="20"/>
          <w:szCs w:val="20"/>
        </w:rPr>
        <w:t>.</w:t>
      </w:r>
      <w:r>
        <w:rPr>
          <w:rFonts w:ascii="Arial" w:hAnsi="Arial" w:cs="Arial"/>
          <w:sz w:val="20"/>
          <w:szCs w:val="20"/>
        </w:rPr>
        <w:t xml:space="preserve"> </w:t>
      </w:r>
      <w:r w:rsidR="00655F3A" w:rsidRPr="00362EC0">
        <w:rPr>
          <w:rFonts w:ascii="Arial" w:hAnsi="Arial" w:cs="Arial"/>
          <w:sz w:val="20"/>
          <w:szCs w:val="20"/>
        </w:rPr>
        <w:t xml:space="preserve">Choosing to stop an act of opening the fridge door, or of reaching for a bottle of alcohol may therefore extend beyond a reactive inhibitory process, e.g. stopping at a red traffic light. Existing paradigms of intentional inhibition focus on the proportions of intentional stops. Here we developed the Intentional Hand Task, which provides stop response times for intentional and instructed trials. Participants move a cursor by initiating an arm movement, after which a Go, Stop or Choice trial occurs. In Go trials, participants are instructed to make </w:t>
      </w:r>
      <w:r w:rsidR="00A60326" w:rsidRPr="00362EC0">
        <w:rPr>
          <w:rFonts w:ascii="Arial" w:hAnsi="Arial" w:cs="Arial"/>
          <w:sz w:val="20"/>
          <w:szCs w:val="20"/>
        </w:rPr>
        <w:t xml:space="preserve">a </w:t>
      </w:r>
      <w:r w:rsidR="00655F3A" w:rsidRPr="00362EC0">
        <w:rPr>
          <w:rFonts w:ascii="Arial" w:hAnsi="Arial" w:cs="Arial"/>
          <w:sz w:val="20"/>
          <w:szCs w:val="20"/>
        </w:rPr>
        <w:t xml:space="preserve">speeded continuation of their arm movement towards a target whereas in the Stop trials participants are instructed to rapidly stop the already initiated movement. In Choice trials, participants chose whether to continue or stop the movement. By comparing response times when movement was stopped, we found that intentionally stopping took significantly longer than externally instructed stopping. We further investigated the influence of reward incentives, by cueing trials with either the prospect of No, Low or High reward for correctly continuing in Go trials, stopping in Stop trials or achieving a random balance of intentional </w:t>
      </w:r>
      <w:r>
        <w:rPr>
          <w:rFonts w:ascii="Arial" w:hAnsi="Arial" w:cs="Arial"/>
          <w:sz w:val="20"/>
          <w:szCs w:val="20"/>
        </w:rPr>
        <w:t>G</w:t>
      </w:r>
      <w:r w:rsidR="00655F3A" w:rsidRPr="00362EC0">
        <w:rPr>
          <w:rFonts w:ascii="Arial" w:hAnsi="Arial" w:cs="Arial"/>
          <w:sz w:val="20"/>
          <w:szCs w:val="20"/>
        </w:rPr>
        <w:t xml:space="preserve">o and </w:t>
      </w:r>
      <w:r>
        <w:rPr>
          <w:rFonts w:ascii="Arial" w:hAnsi="Arial" w:cs="Arial"/>
          <w:sz w:val="20"/>
          <w:szCs w:val="20"/>
        </w:rPr>
        <w:t>S</w:t>
      </w:r>
      <w:r w:rsidR="00655F3A" w:rsidRPr="00362EC0">
        <w:rPr>
          <w:rFonts w:ascii="Arial" w:hAnsi="Arial" w:cs="Arial"/>
          <w:sz w:val="20"/>
          <w:szCs w:val="20"/>
        </w:rPr>
        <w:t>tops in Choice trials. Reward incentives led to greater approach behaviours, indicated by significantly higher Go accuracy in instructed Go trials and faster response times across both Go trial types. The presence of reward incentives led to significantly fewer intentional stop choices. Our findings suggest intentional inhibition of an ongoing action may require a further decisional process. Furthermore, monetary incentives may implicitly trigger an appetitive system thus facilitating approach rather than intentional inhibitory behaviour. These findings are particularly relevant to cue-related relapse in disorders of addiction which may facilitate approach behaviours to the detriment of intentional inhibitory control avoidance behaviours.</w:t>
      </w:r>
    </w:p>
    <w:p w14:paraId="751653EF" w14:textId="77777777" w:rsidR="00655F3A" w:rsidRPr="00362EC0" w:rsidRDefault="00655F3A" w:rsidP="00655F3A">
      <w:pPr>
        <w:spacing w:after="0" w:line="360" w:lineRule="auto"/>
        <w:contextualSpacing/>
        <w:jc w:val="both"/>
        <w:rPr>
          <w:rFonts w:ascii="Arial" w:hAnsi="Arial" w:cs="Arial"/>
          <w:sz w:val="20"/>
          <w:szCs w:val="20"/>
        </w:rPr>
      </w:pPr>
    </w:p>
    <w:p w14:paraId="749EEA76" w14:textId="77777777" w:rsidR="00655F3A" w:rsidRPr="00362EC0" w:rsidRDefault="00655F3A" w:rsidP="00655F3A">
      <w:pPr>
        <w:spacing w:after="0" w:line="360" w:lineRule="auto"/>
        <w:contextualSpacing/>
        <w:jc w:val="both"/>
        <w:rPr>
          <w:rFonts w:ascii="Arial" w:hAnsi="Arial" w:cs="Arial"/>
          <w:sz w:val="20"/>
          <w:szCs w:val="20"/>
        </w:rPr>
      </w:pPr>
    </w:p>
    <w:p w14:paraId="0F95ADC7" w14:textId="77777777" w:rsidR="00655F3A" w:rsidRPr="00362EC0" w:rsidRDefault="00655F3A" w:rsidP="00655F3A">
      <w:pPr>
        <w:spacing w:after="0" w:line="360" w:lineRule="auto"/>
        <w:contextualSpacing/>
        <w:jc w:val="both"/>
        <w:rPr>
          <w:rFonts w:ascii="Arial" w:hAnsi="Arial" w:cs="Arial"/>
          <w:sz w:val="20"/>
          <w:szCs w:val="20"/>
        </w:rPr>
      </w:pPr>
    </w:p>
    <w:p w14:paraId="7C3856F9" w14:textId="77777777" w:rsidR="00655F3A" w:rsidRPr="00362EC0" w:rsidRDefault="00655F3A" w:rsidP="00655F3A">
      <w:pPr>
        <w:spacing w:after="0" w:line="360" w:lineRule="auto"/>
        <w:contextualSpacing/>
        <w:jc w:val="both"/>
        <w:rPr>
          <w:rFonts w:ascii="Arial" w:hAnsi="Arial" w:cs="Arial"/>
          <w:sz w:val="20"/>
          <w:szCs w:val="20"/>
        </w:rPr>
      </w:pPr>
    </w:p>
    <w:p w14:paraId="186D8AB1" w14:textId="77777777" w:rsidR="00655F3A" w:rsidRPr="00362EC0" w:rsidRDefault="00655F3A" w:rsidP="00655F3A">
      <w:pPr>
        <w:spacing w:after="0" w:line="360" w:lineRule="auto"/>
        <w:contextualSpacing/>
        <w:jc w:val="both"/>
        <w:rPr>
          <w:rFonts w:ascii="Arial" w:hAnsi="Arial" w:cs="Arial"/>
          <w:sz w:val="20"/>
          <w:szCs w:val="20"/>
        </w:rPr>
      </w:pPr>
    </w:p>
    <w:p w14:paraId="3D6E6212" w14:textId="77777777" w:rsidR="00655F3A" w:rsidRPr="00362EC0" w:rsidRDefault="00655F3A" w:rsidP="00655F3A">
      <w:pPr>
        <w:spacing w:after="0" w:line="360" w:lineRule="auto"/>
        <w:contextualSpacing/>
        <w:jc w:val="both"/>
        <w:rPr>
          <w:rFonts w:ascii="Arial" w:hAnsi="Arial" w:cs="Arial"/>
          <w:sz w:val="20"/>
          <w:szCs w:val="20"/>
        </w:rPr>
      </w:pPr>
    </w:p>
    <w:p w14:paraId="4EB5281A" w14:textId="77777777" w:rsidR="00655F3A" w:rsidRPr="00362EC0" w:rsidRDefault="00655F3A" w:rsidP="00655F3A">
      <w:pPr>
        <w:spacing w:after="0" w:line="360" w:lineRule="auto"/>
        <w:contextualSpacing/>
        <w:jc w:val="both"/>
        <w:rPr>
          <w:rFonts w:ascii="Arial" w:hAnsi="Arial" w:cs="Arial"/>
          <w:sz w:val="20"/>
          <w:szCs w:val="20"/>
        </w:rPr>
      </w:pPr>
    </w:p>
    <w:p w14:paraId="16D045F0" w14:textId="77777777" w:rsidR="00655F3A" w:rsidRPr="00362EC0" w:rsidRDefault="00655F3A" w:rsidP="00655F3A">
      <w:pPr>
        <w:spacing w:after="0" w:line="360" w:lineRule="auto"/>
        <w:contextualSpacing/>
        <w:jc w:val="both"/>
        <w:rPr>
          <w:rFonts w:ascii="Arial" w:hAnsi="Arial" w:cs="Arial"/>
          <w:sz w:val="20"/>
          <w:szCs w:val="20"/>
        </w:rPr>
      </w:pPr>
    </w:p>
    <w:p w14:paraId="4F17CF85" w14:textId="77777777" w:rsidR="00655F3A" w:rsidRPr="00362EC0" w:rsidRDefault="00655F3A" w:rsidP="00655F3A">
      <w:pPr>
        <w:spacing w:after="0" w:line="360" w:lineRule="auto"/>
        <w:contextualSpacing/>
        <w:jc w:val="both"/>
        <w:rPr>
          <w:rFonts w:ascii="Arial" w:hAnsi="Arial" w:cs="Arial"/>
          <w:sz w:val="20"/>
          <w:szCs w:val="20"/>
        </w:rPr>
      </w:pPr>
    </w:p>
    <w:p w14:paraId="5F80F828" w14:textId="77777777" w:rsidR="00655F3A" w:rsidRPr="00362EC0" w:rsidRDefault="00655F3A" w:rsidP="00655F3A">
      <w:pPr>
        <w:spacing w:after="0" w:line="360" w:lineRule="auto"/>
        <w:contextualSpacing/>
        <w:jc w:val="both"/>
        <w:rPr>
          <w:rFonts w:ascii="Arial" w:hAnsi="Arial" w:cs="Arial"/>
          <w:sz w:val="20"/>
          <w:szCs w:val="20"/>
        </w:rPr>
      </w:pPr>
    </w:p>
    <w:p w14:paraId="71BD0460" w14:textId="77777777" w:rsidR="00655F3A" w:rsidRPr="00362EC0" w:rsidRDefault="00655F3A" w:rsidP="00655F3A">
      <w:pPr>
        <w:spacing w:after="0" w:line="360" w:lineRule="auto"/>
        <w:contextualSpacing/>
        <w:jc w:val="both"/>
        <w:rPr>
          <w:rFonts w:ascii="Arial" w:hAnsi="Arial" w:cs="Arial"/>
          <w:b/>
          <w:sz w:val="20"/>
          <w:szCs w:val="20"/>
        </w:rPr>
      </w:pPr>
    </w:p>
    <w:p w14:paraId="7B5DBBA6" w14:textId="77777777" w:rsidR="00655F3A" w:rsidRPr="00362EC0" w:rsidRDefault="00655F3A" w:rsidP="00655F3A">
      <w:pPr>
        <w:spacing w:after="0" w:line="360" w:lineRule="auto"/>
        <w:contextualSpacing/>
        <w:jc w:val="both"/>
        <w:rPr>
          <w:rFonts w:ascii="Arial" w:hAnsi="Arial" w:cs="Arial"/>
          <w:b/>
          <w:sz w:val="20"/>
          <w:szCs w:val="20"/>
        </w:rPr>
      </w:pPr>
    </w:p>
    <w:p w14:paraId="55F4DB58" w14:textId="77777777" w:rsidR="00655F3A" w:rsidRPr="00362EC0" w:rsidRDefault="00655F3A" w:rsidP="00655F3A">
      <w:pPr>
        <w:spacing w:after="0" w:line="360" w:lineRule="auto"/>
        <w:contextualSpacing/>
        <w:jc w:val="both"/>
        <w:rPr>
          <w:rFonts w:ascii="Arial" w:hAnsi="Arial" w:cs="Arial"/>
          <w:b/>
          <w:sz w:val="20"/>
          <w:szCs w:val="20"/>
        </w:rPr>
      </w:pPr>
    </w:p>
    <w:p w14:paraId="2D8FAB8B" w14:textId="77777777" w:rsidR="00655F3A" w:rsidRPr="00362EC0" w:rsidRDefault="00655F3A" w:rsidP="00655F3A">
      <w:pPr>
        <w:spacing w:after="0" w:line="360" w:lineRule="auto"/>
        <w:contextualSpacing/>
        <w:jc w:val="both"/>
        <w:rPr>
          <w:rFonts w:ascii="Arial" w:hAnsi="Arial" w:cs="Arial"/>
          <w:b/>
          <w:sz w:val="20"/>
          <w:szCs w:val="20"/>
        </w:rPr>
      </w:pPr>
    </w:p>
    <w:p w14:paraId="7BB4AE89" w14:textId="77777777" w:rsidR="00655F3A" w:rsidRPr="00362EC0" w:rsidRDefault="00655F3A" w:rsidP="00655F3A">
      <w:pPr>
        <w:spacing w:after="0" w:line="360" w:lineRule="auto"/>
        <w:contextualSpacing/>
        <w:jc w:val="both"/>
        <w:rPr>
          <w:rFonts w:ascii="Arial" w:hAnsi="Arial" w:cs="Arial"/>
          <w:b/>
          <w:sz w:val="20"/>
          <w:szCs w:val="20"/>
        </w:rPr>
      </w:pPr>
    </w:p>
    <w:p w14:paraId="5D98C311" w14:textId="77777777" w:rsidR="00655F3A" w:rsidRPr="00362EC0" w:rsidRDefault="00655F3A" w:rsidP="00655F3A">
      <w:pPr>
        <w:spacing w:after="0" w:line="360" w:lineRule="auto"/>
        <w:contextualSpacing/>
        <w:jc w:val="both"/>
        <w:rPr>
          <w:rFonts w:ascii="Arial" w:hAnsi="Arial" w:cs="Arial"/>
          <w:b/>
          <w:sz w:val="20"/>
          <w:szCs w:val="20"/>
        </w:rPr>
      </w:pPr>
    </w:p>
    <w:p w14:paraId="48804269" w14:textId="77777777" w:rsidR="00655F3A" w:rsidRPr="00362EC0" w:rsidRDefault="00655F3A" w:rsidP="00655F3A">
      <w:pPr>
        <w:spacing w:after="0" w:line="360" w:lineRule="auto"/>
        <w:contextualSpacing/>
        <w:jc w:val="both"/>
        <w:rPr>
          <w:rFonts w:ascii="Arial" w:hAnsi="Arial" w:cs="Arial"/>
          <w:b/>
          <w:sz w:val="20"/>
          <w:szCs w:val="20"/>
        </w:rPr>
      </w:pPr>
    </w:p>
    <w:p w14:paraId="7B808ACF" w14:textId="77777777" w:rsidR="00655F3A" w:rsidRPr="00362EC0" w:rsidRDefault="00655F3A" w:rsidP="00655F3A">
      <w:pPr>
        <w:spacing w:after="0" w:line="360" w:lineRule="auto"/>
        <w:contextualSpacing/>
        <w:jc w:val="both"/>
        <w:rPr>
          <w:rFonts w:ascii="Arial" w:hAnsi="Arial" w:cs="Arial"/>
          <w:b/>
          <w:sz w:val="20"/>
          <w:szCs w:val="20"/>
        </w:rPr>
      </w:pPr>
      <w:r w:rsidRPr="00362EC0">
        <w:rPr>
          <w:rFonts w:ascii="Arial" w:hAnsi="Arial" w:cs="Arial"/>
          <w:b/>
          <w:sz w:val="20"/>
          <w:szCs w:val="20"/>
        </w:rPr>
        <w:t>1 Introduction</w:t>
      </w:r>
    </w:p>
    <w:p w14:paraId="0D5A3125" w14:textId="55F72056" w:rsidR="00655F3A" w:rsidRPr="00362EC0" w:rsidRDefault="00655F3A" w:rsidP="00655F3A">
      <w:pPr>
        <w:spacing w:after="0" w:line="360" w:lineRule="auto"/>
        <w:ind w:firstLine="720"/>
        <w:contextualSpacing/>
        <w:jc w:val="both"/>
        <w:rPr>
          <w:rFonts w:ascii="Arial" w:hAnsi="Arial" w:cs="Arial"/>
          <w:sz w:val="20"/>
          <w:szCs w:val="20"/>
        </w:rPr>
      </w:pPr>
      <w:bookmarkStart w:id="4" w:name="_Hlk45110847"/>
      <w:r w:rsidRPr="00362EC0">
        <w:rPr>
          <w:rFonts w:ascii="Arial" w:hAnsi="Arial" w:cs="Arial"/>
          <w:sz w:val="20"/>
          <w:szCs w:val="20"/>
        </w:rPr>
        <w:t>The ability to inhibit actions is a core feature of optimal daily life, but comes in a variety of forms. Inhibition can be categorized based on the amount of intentionality involved at the moment of the inhibition</w:t>
      </w:r>
      <w:r w:rsidR="00E67B80">
        <w:rPr>
          <w:rFonts w:ascii="Arial" w:hAnsi="Arial" w:cs="Arial"/>
          <w:sz w:val="20"/>
          <w:szCs w:val="20"/>
        </w:rPr>
        <w:t xml:space="preserve"> </w:t>
      </w:r>
      <w:r w:rsidRPr="00362EC0">
        <w:rPr>
          <w:rFonts w:ascii="Arial" w:hAnsi="Arial" w:cs="Arial"/>
          <w:sz w:val="20"/>
          <w:szCs w:val="20"/>
        </w:rPr>
        <w:t>(Ridderinkhof et al., 2014) and research investigating differences between following predetermined instructions, e.g. stopping at a red light, and intentional inhibition, e.g. deciding to stop at a yellow light,  found strong neural evidence for additional processing when inhibition is internally guided (</w:t>
      </w:r>
      <w:r w:rsidRPr="00362EC0">
        <w:rPr>
          <w:rFonts w:ascii="Arial" w:hAnsi="Arial" w:cs="Arial"/>
          <w:noProof/>
          <w:sz w:val="20"/>
          <w:szCs w:val="20"/>
          <w:lang w:val="en-US"/>
        </w:rPr>
        <w:t>Filevich et al., 2012; Schel et al., 2014</w:t>
      </w:r>
      <w:r w:rsidRPr="00362EC0">
        <w:rPr>
          <w:rFonts w:ascii="Arial" w:hAnsi="Arial" w:cs="Arial"/>
          <w:sz w:val="20"/>
          <w:szCs w:val="20"/>
        </w:rPr>
        <w:t xml:space="preserve">). Similarly, when driving and approaching the traffic lights, the presentation of a yellow light might lead some to increase pressure on the gas if one is late for a meeting, whereas the presence of a police vehicle might lead to an inhibition of that response. As these examples illustrate, the expected value of certain outcomes can play an important role in shaping the decision to intentional inhibit or perform an on-going action. </w:t>
      </w:r>
    </w:p>
    <w:p w14:paraId="581C1B5A" w14:textId="21A21BA5" w:rsidR="00655F3A" w:rsidRPr="00362EC0" w:rsidRDefault="00655F3A" w:rsidP="00655F3A">
      <w:pPr>
        <w:spacing w:after="0" w:line="360" w:lineRule="auto"/>
        <w:contextualSpacing/>
        <w:jc w:val="both"/>
        <w:rPr>
          <w:rFonts w:ascii="Arial" w:hAnsi="Arial" w:cs="Arial"/>
          <w:sz w:val="20"/>
          <w:szCs w:val="20"/>
        </w:rPr>
      </w:pPr>
      <w:r w:rsidRPr="00362EC0">
        <w:rPr>
          <w:rFonts w:ascii="Arial" w:hAnsi="Arial" w:cs="Arial"/>
          <w:sz w:val="20"/>
          <w:szCs w:val="20"/>
        </w:rPr>
        <w:tab/>
        <w:t xml:space="preserve">Classical inhibition tasks such as the Go/No-go task and the Stop Signal Task (SST; Logan et al., 1984) focus exclusively on externally guided inhibition processes </w:t>
      </w:r>
      <w:r w:rsidRPr="00362EC0">
        <w:rPr>
          <w:rFonts w:ascii="Arial" w:hAnsi="Arial" w:cs="Arial"/>
          <w:sz w:val="20"/>
          <w:szCs w:val="20"/>
        </w:rPr>
        <w:fldChar w:fldCharType="begin" w:fldLock="1"/>
      </w:r>
      <w:r w:rsidR="00616451">
        <w:rPr>
          <w:rFonts w:ascii="Arial" w:hAnsi="Arial" w:cs="Arial"/>
          <w:sz w:val="20"/>
          <w:szCs w:val="20"/>
        </w:rPr>
        <w:instrText>ADDIN CSL_CITATION {"citationItems":[{"id":"ITEM-1","itemData":{"ISSN":"1939-1277","author":[{"dropping-particle":"","family":"Logan","given":"Gordon D","non-dropping-particle":"","parse-names":false,"suffix":""},{"dropping-particle":"","family":"Cowan","given":"William B","non-dropping-particle":"","parse-names":false,"suffix":""},{"dropping-particle":"","family":"Davis","given":"Kenneth A","non-dropping-particle":"","parse-names":false,"suffix":""}],"container-title":"Journal of Experimental Psychology: Human Perception and Performance","id":"ITEM-1","issue":"2","issued":{"date-parts":[["1984"]]},"page":"276","publisher":"American Psychological Association","title":"On the ability to inhibit simple and choice reaction time responses: a model and a method.","type":"article-journal","volume":"10"},"uris":["http://www.mendeley.com/documents/?uuid=875bb7e1-731c-4176-ba28-c9466f09f59f"]}],"mendeley":{"formattedCitation":"(Logan et al., 1984)","manualFormatting":"(Ridderinkhof et al., 2014)","plainTextFormattedCitation":"(Logan et al., 1984)","previouslyFormattedCitation":"(Logan et al., 1984)"},"properties":{"noteIndex":0},"schema":"https://github.com/citation-style-language/schema/raw/master/csl-citation.json"}</w:instrText>
      </w:r>
      <w:r w:rsidRPr="00362EC0">
        <w:rPr>
          <w:rFonts w:ascii="Arial" w:hAnsi="Arial" w:cs="Arial"/>
          <w:sz w:val="20"/>
          <w:szCs w:val="20"/>
        </w:rPr>
        <w:fldChar w:fldCharType="separate"/>
      </w:r>
      <w:r w:rsidRPr="00362EC0">
        <w:rPr>
          <w:rFonts w:ascii="Arial" w:hAnsi="Arial" w:cs="Arial"/>
          <w:noProof/>
          <w:sz w:val="20"/>
          <w:szCs w:val="20"/>
        </w:rPr>
        <w:t>(Ridderinkhof et al., 2014)</w:t>
      </w:r>
      <w:r w:rsidRPr="00362EC0">
        <w:rPr>
          <w:rFonts w:ascii="Arial" w:hAnsi="Arial" w:cs="Arial"/>
          <w:sz w:val="20"/>
          <w:szCs w:val="20"/>
        </w:rPr>
        <w:fldChar w:fldCharType="end"/>
      </w:r>
      <w:r w:rsidRPr="00362EC0">
        <w:rPr>
          <w:rFonts w:ascii="Arial" w:hAnsi="Arial" w:cs="Arial"/>
          <w:sz w:val="20"/>
          <w:szCs w:val="20"/>
        </w:rPr>
        <w:t xml:space="preserve">. In other </w:t>
      </w:r>
      <w:r w:rsidR="00BF6B05">
        <w:rPr>
          <w:rFonts w:ascii="Arial" w:hAnsi="Arial" w:cs="Arial"/>
          <w:sz w:val="20"/>
          <w:szCs w:val="20"/>
        </w:rPr>
        <w:t>frf</w:t>
      </w:r>
      <w:r w:rsidRPr="00362EC0">
        <w:rPr>
          <w:rFonts w:ascii="Arial" w:hAnsi="Arial" w:cs="Arial"/>
          <w:sz w:val="20"/>
          <w:szCs w:val="20"/>
        </w:rPr>
        <w:t xml:space="preserve">words, they assess response inhibition when it is externally instructed and not freely decided at the moment of the stimulus appearance, e.g. stopping the car when the traffic light turns red. In the Go/No-go task, the instructions predefine unambiguously which visual stimulus requires a speeded button press (Go trials) and which second stimulus indicates the task requirement to inhibit the prepotent button press (No-go trials). Similarly in the SST, speeded motoric responses are ascribed to a visual stimulus and the withholding of the response is required upon presentation of a stop signal </w:t>
      </w:r>
      <w:r w:rsidRPr="00362EC0">
        <w:rPr>
          <w:rFonts w:ascii="Arial" w:hAnsi="Arial" w:cs="Arial"/>
          <w:sz w:val="20"/>
          <w:szCs w:val="20"/>
        </w:rPr>
        <w:fldChar w:fldCharType="begin" w:fldLock="1"/>
      </w:r>
      <w:r w:rsidRPr="00362EC0">
        <w:rPr>
          <w:rFonts w:ascii="Arial" w:hAnsi="Arial" w:cs="Arial"/>
          <w:sz w:val="20"/>
          <w:szCs w:val="20"/>
        </w:rPr>
        <w:instrText>ADDIN CSL_CITATION {"citationItems":[{"id":"ITEM-1","itemData":{"ISSN":"1939-1277","author":[{"dropping-particle":"","family":"Logan","given":"Gordon D","non-dropping-particle":"","parse-names":false,"suffix":""},{"dropping-particle":"","family":"Cowan","given":"William B","non-dropping-particle":"","parse-names":false,"suffix":""},{"dropping-particle":"","family":"Davis","given":"Kenneth A","non-dropping-particle":"","parse-names":false,"suffix":""}],"container-title":"Journal of Experimental Psychology: Human Perception and Performance","id":"ITEM-1","issue":"2","issued":{"date-parts":[["1984"]]},"page":"276","publisher":"American Psychological Association","title":"On the ability to inhibit simple and choice reaction time responses: a model and a method.","type":"article-journal","volume":"10"},"uris":["http://www.mendeley.com/documents/?uuid=875bb7e1-731c-4176-ba28-c9466f09f59f"]}],"mendeley":{"formattedCitation":"(Logan et al., 1984)","plainTextFormattedCitation":"(Logan et al., 1984)","previouslyFormattedCitation":"(Logan et al., 1984)"},"properties":{"noteIndex":0},"schema":"https://github.com/citation-style-language/schema/raw/master/csl-citation.json"}</w:instrText>
      </w:r>
      <w:r w:rsidRPr="00362EC0">
        <w:rPr>
          <w:rFonts w:ascii="Arial" w:hAnsi="Arial" w:cs="Arial"/>
          <w:sz w:val="20"/>
          <w:szCs w:val="20"/>
        </w:rPr>
        <w:fldChar w:fldCharType="separate"/>
      </w:r>
      <w:r w:rsidRPr="00362EC0">
        <w:rPr>
          <w:rFonts w:ascii="Arial" w:hAnsi="Arial" w:cs="Arial"/>
          <w:noProof/>
          <w:sz w:val="20"/>
          <w:szCs w:val="20"/>
        </w:rPr>
        <w:t>(Logan et al., 1984)</w:t>
      </w:r>
      <w:r w:rsidRPr="00362EC0">
        <w:rPr>
          <w:rFonts w:ascii="Arial" w:hAnsi="Arial" w:cs="Arial"/>
          <w:sz w:val="20"/>
          <w:szCs w:val="20"/>
        </w:rPr>
        <w:fldChar w:fldCharType="end"/>
      </w:r>
      <w:r w:rsidRPr="00362EC0">
        <w:rPr>
          <w:rFonts w:ascii="Arial" w:hAnsi="Arial" w:cs="Arial"/>
          <w:sz w:val="20"/>
          <w:szCs w:val="20"/>
        </w:rPr>
        <w:t>. In both tasks, the decision whether or not to manually respond to a visual stimulus is based on externally guided, unambiguous, task instructions without any decision or choice required at the moment of execution.</w:t>
      </w:r>
      <w:r w:rsidRPr="00362EC0">
        <w:rPr>
          <w:rFonts w:ascii="Arial" w:hAnsi="Arial" w:cs="Arial"/>
          <w:sz w:val="20"/>
          <w:szCs w:val="20"/>
          <w:shd w:val="clear" w:color="auto" w:fill="FFFFFF"/>
        </w:rPr>
        <w:t xml:space="preserve"> While these approaches measure the ability to respond to a clear unambiguous stop or go signal, e.g. a red traffic light indicates stopping and green indicates going, external signals in daily life often are more complex and involve context-based decision making. Keeping with the traffic </w:t>
      </w:r>
      <w:r w:rsidRPr="00362EC0">
        <w:rPr>
          <w:rFonts w:ascii="Arial" w:hAnsi="Arial" w:cs="Arial"/>
          <w:sz w:val="20"/>
          <w:szCs w:val="20"/>
          <w:shd w:val="clear" w:color="auto" w:fill="FFFFFF"/>
        </w:rPr>
        <w:lastRenderedPageBreak/>
        <w:t xml:space="preserve">light example, when for example seeing a yellow light, one must decide based on additional evidence whether to continue with the initiated motor response or whether stopping would be more valuable to the desired outcome. </w:t>
      </w:r>
      <w:r w:rsidRPr="00362EC0">
        <w:rPr>
          <w:rFonts w:ascii="Arial" w:hAnsi="Arial" w:cs="Arial"/>
          <w:sz w:val="20"/>
          <w:szCs w:val="20"/>
        </w:rPr>
        <w:t xml:space="preserve">Thus, it has been argued that classical experimental paradigms measuring response inhibition lack ecological validity </w:t>
      </w:r>
      <w:r w:rsidRPr="00362EC0">
        <w:rPr>
          <w:rFonts w:ascii="Arial" w:hAnsi="Arial" w:cs="Arial"/>
          <w:sz w:val="20"/>
          <w:szCs w:val="20"/>
        </w:rPr>
        <w:fldChar w:fldCharType="begin" w:fldLock="1"/>
      </w:r>
      <w:r w:rsidRPr="00362EC0">
        <w:rPr>
          <w:rFonts w:ascii="Arial" w:hAnsi="Arial" w:cs="Arial"/>
          <w:sz w:val="20"/>
          <w:szCs w:val="20"/>
        </w:rPr>
        <w:instrText>ADDIN CSL_CITATION {"citationItems":[{"id":"ITEM-1","itemData":{"DOI":"10.1016/j.neuropsychologia.2014.09.005","ISSN":"0028-3932","author":[{"dropping-particle":"","family":"Ridderinkhof","given":"K Richard","non-dropping-particle":"","parse-names":false,"suffix":""},{"dropping-particle":"Van Den","family":"Wildenberg","given":"Wery P M","non-dropping-particle":"","parse-names":false,"suffix":""},{"dropping-particle":"","family":"Brass","given":"Marcel","non-dropping-particle":"","parse-names":false,"suffix":""}],"container-title":"Neuropsychologia","id":"ITEM-1","issued":{"date-parts":[["2014"]]},"page":"1-8","publisher":"Elsevier","title":"Neuropsychologia “ Don ' t ” versus “ Won ' t ” : Principles , mechanisms , and intention in action inhibition","type":"article-journal"},"uris":["http://www.mendeley.com/documents/?uuid=f7a61a5b-b3f1-4d35-99c2-78c074d28a77"]}],"mendeley":{"formattedCitation":"(Ridderinkhof et al., 2014)","plainTextFormattedCitation":"(Ridderinkhof et al., 2014)","previouslyFormattedCitation":"(Ridderinkhof et al., 2014)"},"properties":{"noteIndex":0},"schema":"https://github.com/citation-style-language/schema/raw/master/csl-citation.json"}</w:instrText>
      </w:r>
      <w:r w:rsidRPr="00362EC0">
        <w:rPr>
          <w:rFonts w:ascii="Arial" w:hAnsi="Arial" w:cs="Arial"/>
          <w:sz w:val="20"/>
          <w:szCs w:val="20"/>
        </w:rPr>
        <w:fldChar w:fldCharType="separate"/>
      </w:r>
      <w:r w:rsidRPr="00362EC0">
        <w:rPr>
          <w:rFonts w:ascii="Arial" w:hAnsi="Arial" w:cs="Arial"/>
          <w:noProof/>
          <w:sz w:val="20"/>
          <w:szCs w:val="20"/>
        </w:rPr>
        <w:t>(Ridderinkhof et al., 2014)</w:t>
      </w:r>
      <w:r w:rsidRPr="00362EC0">
        <w:rPr>
          <w:rFonts w:ascii="Arial" w:hAnsi="Arial" w:cs="Arial"/>
          <w:sz w:val="20"/>
          <w:szCs w:val="20"/>
        </w:rPr>
        <w:fldChar w:fldCharType="end"/>
      </w:r>
      <w:r w:rsidRPr="00362EC0">
        <w:rPr>
          <w:rFonts w:ascii="Arial" w:hAnsi="Arial" w:cs="Arial"/>
          <w:sz w:val="20"/>
          <w:szCs w:val="20"/>
        </w:rPr>
        <w:t xml:space="preserve">. </w:t>
      </w:r>
    </w:p>
    <w:p w14:paraId="49522D67" w14:textId="020663ED" w:rsidR="00655F3A" w:rsidRPr="00362EC0" w:rsidRDefault="00655F3A" w:rsidP="00655F3A">
      <w:pPr>
        <w:spacing w:after="0" w:line="360" w:lineRule="auto"/>
        <w:ind w:firstLine="720"/>
        <w:contextualSpacing/>
        <w:jc w:val="both"/>
        <w:rPr>
          <w:rFonts w:ascii="Arial" w:hAnsi="Arial" w:cs="Arial"/>
          <w:sz w:val="20"/>
          <w:szCs w:val="20"/>
        </w:rPr>
      </w:pPr>
      <w:r w:rsidRPr="00362EC0">
        <w:rPr>
          <w:rFonts w:ascii="Arial" w:hAnsi="Arial" w:cs="Arial"/>
          <w:sz w:val="20"/>
          <w:szCs w:val="20"/>
        </w:rPr>
        <w:t xml:space="preserve">Early research into intentional action and inhibition adapted the standard Go/No-go paradigm to include a free choice component, in which participants were able to choose whether or not to execute the motor response </w:t>
      </w:r>
      <w:r w:rsidRPr="00362EC0">
        <w:rPr>
          <w:rFonts w:ascii="Arial" w:hAnsi="Arial" w:cs="Arial"/>
          <w:sz w:val="20"/>
          <w:szCs w:val="20"/>
        </w:rPr>
        <w:fldChar w:fldCharType="begin" w:fldLock="1"/>
      </w:r>
      <w:r w:rsidRPr="00362EC0">
        <w:rPr>
          <w:rFonts w:ascii="Arial" w:hAnsi="Arial" w:cs="Arial"/>
          <w:sz w:val="20"/>
          <w:szCs w:val="20"/>
        </w:rPr>
        <w:instrText>ADDIN CSL_CITATION {"citationItems":[{"id":"ITEM-1","itemData":{"ISSN":"1053-8119","author":[{"dropping-particle":"","family":"Kühn","given":"Simone","non-dropping-particle":"","parse-names":false,"suffix":""},{"dropping-particle":"","family":"Brass","given":"Marcel","non-dropping-particle":"","parse-names":false,"suffix":""}],"container-title":"Neuroimage","id":"ITEM-1","issue":"4","issued":{"date-parts":[["2009"]]},"page":"1187-1193","publisher":"Elsevier","title":"When doing nothing is an option: the neural correlates of deciding whether to act or not","type":"article-journal","volume":"46"},"uris":["http://www.mendeley.com/documents/?uuid=fe18862f-90be-43a0-b653-9b5c99f20efe"]}],"mendeley":{"formattedCitation":"(Kühn &amp; Brass, 2009)","plainTextFormattedCitation":"(Kühn &amp; Brass, 2009)","previouslyFormattedCitation":"(Kühn &amp; Brass, 2009)"},"properties":{"noteIndex":0},"schema":"https://github.com/citation-style-language/schema/raw/master/csl-citation.json"}</w:instrText>
      </w:r>
      <w:r w:rsidRPr="00362EC0">
        <w:rPr>
          <w:rFonts w:ascii="Arial" w:hAnsi="Arial" w:cs="Arial"/>
          <w:sz w:val="20"/>
          <w:szCs w:val="20"/>
        </w:rPr>
        <w:fldChar w:fldCharType="separate"/>
      </w:r>
      <w:r w:rsidRPr="00362EC0">
        <w:rPr>
          <w:rFonts w:ascii="Arial" w:hAnsi="Arial" w:cs="Arial"/>
          <w:noProof/>
          <w:sz w:val="20"/>
          <w:szCs w:val="20"/>
        </w:rPr>
        <w:t>(Kühn &amp; Brass, 2009)</w:t>
      </w:r>
      <w:r w:rsidRPr="00362EC0">
        <w:rPr>
          <w:rFonts w:ascii="Arial" w:hAnsi="Arial" w:cs="Arial"/>
          <w:sz w:val="20"/>
          <w:szCs w:val="20"/>
        </w:rPr>
        <w:fldChar w:fldCharType="end"/>
      </w:r>
      <w:r w:rsidRPr="00362EC0">
        <w:rPr>
          <w:rFonts w:ascii="Arial" w:hAnsi="Arial" w:cs="Arial"/>
          <w:sz w:val="20"/>
          <w:szCs w:val="20"/>
        </w:rPr>
        <w:t xml:space="preserve">. This has led to the development of the Parkinson’s Go/No-go task </w:t>
      </w:r>
      <w:r w:rsidRPr="00362EC0">
        <w:rPr>
          <w:rFonts w:ascii="Arial" w:hAnsi="Arial" w:cs="Arial"/>
          <w:sz w:val="20"/>
          <w:szCs w:val="20"/>
        </w:rPr>
        <w:fldChar w:fldCharType="begin" w:fldLock="1"/>
      </w:r>
      <w:r w:rsidRPr="00362EC0">
        <w:rPr>
          <w:rFonts w:ascii="Arial" w:hAnsi="Arial" w:cs="Arial"/>
          <w:sz w:val="20"/>
          <w:szCs w:val="20"/>
        </w:rPr>
        <w:instrText>ADDIN CSL_CITATION {"citationItems":[{"id":"ITEM-1","itemData":{"ISSN":"1530-7026","author":[{"dropping-particle":"","family":"Parkinson","given":"Jim","non-dropping-particle":"","parse-names":false,"suffix":""},{"dropping-particle":"","family":"Garfinkel","given":"Sarah","non-dropping-particle":"","parse-names":false,"suffix":""},{"dropping-particle":"","family":"Critchley","given":"Hugo","non-dropping-particle":"","parse-names":false,"suffix":""},{"dropping-particle":"","family":"Dienes","given":"Zoltan","non-dropping-particle":"","parse-names":false,"suffix":""},{"dropping-particle":"","family":"Seth","given":"Anil K","non-dropping-particle":"","parse-names":false,"suffix":""}],"container-title":"Cognitive, Affective, &amp; Behavioral Neuroscience","id":"ITEM-1","issue":"2","issued":{"date-parts":[["2017"]]},"page":"252-268","publisher":"Springer","title":"Don’t make me angry, you wouldn’t like me when I’m angry: volitional choices to act or inhibit are modulated by subliminal perception of emotional faces","type":"article-journal","volume":"17"},"uris":["http://www.mendeley.com/documents/?uuid=60ed1a1b-b414-4e07-8f42-edb7c0e923a5"]}],"mendeley":{"formattedCitation":"(Parkinson et al., 2017)","plainTextFormattedCitation":"(Parkinson et al., 2017)","previouslyFormattedCitation":"(Parkinson et al., 2017)"},"properties":{"noteIndex":0},"schema":"https://github.com/citation-style-language/schema/raw/master/csl-citation.json"}</w:instrText>
      </w:r>
      <w:r w:rsidRPr="00362EC0">
        <w:rPr>
          <w:rFonts w:ascii="Arial" w:hAnsi="Arial" w:cs="Arial"/>
          <w:sz w:val="20"/>
          <w:szCs w:val="20"/>
        </w:rPr>
        <w:fldChar w:fldCharType="separate"/>
      </w:r>
      <w:r w:rsidRPr="00362EC0">
        <w:rPr>
          <w:rFonts w:ascii="Arial" w:hAnsi="Arial" w:cs="Arial"/>
          <w:noProof/>
          <w:sz w:val="20"/>
          <w:szCs w:val="20"/>
        </w:rPr>
        <w:t>(Parkinson et al., 2017)</w:t>
      </w:r>
      <w:r w:rsidRPr="00362EC0">
        <w:rPr>
          <w:rFonts w:ascii="Arial" w:hAnsi="Arial" w:cs="Arial"/>
          <w:sz w:val="20"/>
          <w:szCs w:val="20"/>
        </w:rPr>
        <w:fldChar w:fldCharType="end"/>
      </w:r>
      <w:r w:rsidRPr="00362EC0">
        <w:rPr>
          <w:rFonts w:ascii="Arial" w:hAnsi="Arial" w:cs="Arial"/>
          <w:sz w:val="20"/>
          <w:szCs w:val="20"/>
        </w:rPr>
        <w:t xml:space="preserve">, which contains instructed Go (e.g. press a button when a green circle appears onscreen), instructed Stop (e.g. do not press a button when a red circle appears onscreen), and Choice trials. During Choice trials, participants are commonly advised to balance the number of performed intentional Go and intentional Stop trials, not to alternate their responses and to make their decision after a specified signal (e.g. yellow circle). Intentional actions are associated with longer response times relative to externally cued actions </w:t>
      </w:r>
      <w:r w:rsidRPr="00362EC0">
        <w:rPr>
          <w:rFonts w:ascii="Arial" w:hAnsi="Arial" w:cs="Arial"/>
          <w:sz w:val="20"/>
          <w:szCs w:val="20"/>
        </w:rPr>
        <w:fldChar w:fldCharType="begin" w:fldLock="1"/>
      </w:r>
      <w:r w:rsidRPr="00362EC0">
        <w:rPr>
          <w:rFonts w:ascii="Arial" w:hAnsi="Arial" w:cs="Arial"/>
          <w:sz w:val="20"/>
          <w:szCs w:val="20"/>
        </w:rPr>
        <w:instrText>ADDIN CSL_CITATION {"citationItems":[{"id":"ITEM-1","itemData":{"ISSN":"1065-9471","author":[{"dropping-particle":"","family":"Karch","given":"Susanne","non-dropping-particle":"","parse-names":false,"suffix":""},{"dropping-particle":"","family":"Mulert","given":"Christoph","non-dropping-particle":"","parse-names":false,"suffix":""},{"dropping-particle":"","family":"Thalmeier","given":"Tobias","non-dropping-particle":"","parse-names":false,"suffix":""},{"dropping-particle":"","family":"Lutz","given":"Jürgen","non-dropping-particle":"","parse-names":false,"suffix":""},{"dropping-particle":"","family":"Leicht","given":"Gregor","non-dropping-particle":"","parse-names":false,"suffix":""},{"dropping-particle":"","family":"Meindl","given":"Thomas","non-dropping-particle":"","parse-names":false,"suffix":""},{"dropping-particle":"","family":"Möller","given":"Hans</w:instrText>
      </w:r>
      <w:r w:rsidRPr="00362EC0">
        <w:rPr>
          <w:rFonts w:ascii="Cambria Math" w:hAnsi="Cambria Math" w:cs="Cambria Math"/>
          <w:sz w:val="20"/>
          <w:szCs w:val="20"/>
        </w:rPr>
        <w:instrText>‐</w:instrText>
      </w:r>
      <w:r w:rsidRPr="00362EC0">
        <w:rPr>
          <w:rFonts w:ascii="Arial" w:hAnsi="Arial" w:cs="Arial"/>
          <w:sz w:val="20"/>
          <w:szCs w:val="20"/>
        </w:rPr>
        <w:instrText>Jürgen","non-dropping-particle":"","parse-names":false,"suffix":""},{"dropping-particle":"","family":"Jäger","given":"Lorenz","non-dropping-particle":"","parse-names":false,"suffix":""},{"dropping-particle":"","family":"Pogarell","given":"Oliver","non-dropping-particle":"","parse-names":false,"suffix":""}],"container-title":"Human brain mapping","id":"ITEM-1","issue":"9","issued":{"date-parts":[["2009"]]},"page":"2971-2985","publisher":"Wiley Online Library","title":"The free choice whether or not to respond after stimulus presentation","type":"article-journal","volume":"30"},"uris":["http://www.mendeley.com/documents/?uuid=008cd4fe-d63b-46bf-aa14-1f6dc84a09ed"]},{"id":"ITEM-2","itemData":{"ISSN":"1053-8119","author":[{"dropping-particle":"","family":"Kühn","given":"Simone","non-dropping-particle":"","parse-names":false,"suffix":""},{"dropping-particle":"","family":"Brass","given":"Marcel","non-dropping-particle":"","parse-names":false,"suffix":""}],"container-title":"Neuroimage","id":"ITEM-2","issue":"4","issued":{"date-parts":[["2009"]]},"page":"1187-1193","publisher":"Elsevier","title":"When doing nothing is an option: the neural correlates of deciding whether to act or not","type":"article-journal","volume":"46"},"uris":["http://www.mendeley.com/documents/?uuid=fe18862f-90be-43a0-b653-9b5c99f20efe"]},{"id":"ITEM-3","itemData":{"author":[{"dropping-particle":"","family":"Parkinson","given":"Jim","non-dropping-particle":"","parse-names":false,"suffix":""},{"dropping-particle":"","family":"Haggard","given":"Patrick","non-dropping-particle":"","parse-names":false,"suffix":""}],"container-title":"Journal of cognitive neuroscience","id":"ITEM-3","issued":{"date-parts":[["2015"]]},"publisher":"MIT Press","title":"Choosing to stop: Responses evoked by externally triggered and internally generated inhibition identify a neural mechanism of will","type":"article-journal"},"uris":["http://www.mendeley.com/documents/?uuid=d02c03da-9976-4977-9978-21a5d1c4a35b"]}],"mendeley":{"formattedCitation":"(Karch et al., 2009; Kühn &amp; Brass, 2009; Parkinson &amp; Haggard, 2015)","plainTextFormattedCitation":"(Karch et al., 2009; Kühn &amp; Brass, 2009; Parkinson &amp; Haggard, 2015)","previouslyFormattedCitation":"(Karch et al., 2009; Kühn &amp; Brass, 2009; Parkinson &amp; Haggard, 2015)"},"properties":{"noteIndex":0},"schema":"https://github.com/citation-style-language/schema/raw/master/csl-citation.json"}</w:instrText>
      </w:r>
      <w:r w:rsidRPr="00362EC0">
        <w:rPr>
          <w:rFonts w:ascii="Arial" w:hAnsi="Arial" w:cs="Arial"/>
          <w:sz w:val="20"/>
          <w:szCs w:val="20"/>
        </w:rPr>
        <w:fldChar w:fldCharType="separate"/>
      </w:r>
      <w:r w:rsidRPr="00362EC0">
        <w:rPr>
          <w:rFonts w:ascii="Arial" w:hAnsi="Arial" w:cs="Arial"/>
          <w:noProof/>
          <w:sz w:val="20"/>
          <w:szCs w:val="20"/>
        </w:rPr>
        <w:t>(Karch et al., 2009; Kühn &amp; Brass, 2009; Parkinson &amp; Haggard, 2015)</w:t>
      </w:r>
      <w:r w:rsidRPr="00362EC0">
        <w:rPr>
          <w:rFonts w:ascii="Arial" w:hAnsi="Arial" w:cs="Arial"/>
          <w:sz w:val="20"/>
          <w:szCs w:val="20"/>
        </w:rPr>
        <w:fldChar w:fldCharType="end"/>
      </w:r>
      <w:r w:rsidR="002B2483" w:rsidRPr="00362EC0">
        <w:rPr>
          <w:rFonts w:ascii="Arial" w:hAnsi="Arial" w:cs="Arial"/>
          <w:sz w:val="20"/>
          <w:szCs w:val="20"/>
        </w:rPr>
        <w:t>,</w:t>
      </w:r>
      <w:r w:rsidRPr="00362EC0">
        <w:rPr>
          <w:rFonts w:ascii="Arial" w:hAnsi="Arial" w:cs="Arial"/>
          <w:sz w:val="20"/>
          <w:szCs w:val="20"/>
        </w:rPr>
        <w:t xml:space="preserve"> an observation taken to indicate evidence of an intentional decision process </w:t>
      </w:r>
      <w:r w:rsidRPr="00362EC0">
        <w:rPr>
          <w:rFonts w:ascii="Arial" w:hAnsi="Arial" w:cs="Arial"/>
          <w:sz w:val="20"/>
          <w:szCs w:val="20"/>
        </w:rPr>
        <w:fldChar w:fldCharType="begin" w:fldLock="1"/>
      </w:r>
      <w:r w:rsidRPr="00362EC0">
        <w:rPr>
          <w:rFonts w:ascii="Arial" w:hAnsi="Arial" w:cs="Arial"/>
          <w:sz w:val="20"/>
          <w:szCs w:val="20"/>
        </w:rPr>
        <w:instrText>ADDIN CSL_CITATION {"citationItems":[{"id":"ITEM-1","itemData":{"author":[{"dropping-particle":"","family":"Parkinson","given":"Jim","non-dropping-particle":"","parse-names":false,"suffix":""},{"dropping-particle":"","family":"Haggard","given":"Patrick","non-dropping-particle":"","parse-names":false,"suffix":""}],"container-title":"Journal of cognitive neuroscience","id":"ITEM-1","issued":{"date-parts":[["2015"]]},"publisher":"MIT Press","title":"Choosing to stop: Responses evoked by externally triggered and internally generated inhibition identify a neural mechanism of will","type":"article-journal"},"uris":["http://www.mendeley.com/documents/?uuid=d02c03da-9976-4977-9978-21a5d1c4a35b"]}],"mendeley":{"formattedCitation":"(Parkinson &amp; Haggard, 2015)","plainTextFormattedCitation":"(Parkinson &amp; Haggard, 2015)","previouslyFormattedCitation":"(Parkinson &amp; Haggard, 2015)"},"properties":{"noteIndex":0},"schema":"https://github.com/citation-style-language/schema/raw/master/csl-citation.json"}</w:instrText>
      </w:r>
      <w:r w:rsidRPr="00362EC0">
        <w:rPr>
          <w:rFonts w:ascii="Arial" w:hAnsi="Arial" w:cs="Arial"/>
          <w:sz w:val="20"/>
          <w:szCs w:val="20"/>
        </w:rPr>
        <w:fldChar w:fldCharType="separate"/>
      </w:r>
      <w:r w:rsidRPr="00362EC0">
        <w:rPr>
          <w:rFonts w:ascii="Arial" w:hAnsi="Arial" w:cs="Arial"/>
          <w:noProof/>
          <w:sz w:val="20"/>
          <w:szCs w:val="20"/>
        </w:rPr>
        <w:t>(Parkinson &amp; Haggard, 2015)</w:t>
      </w:r>
      <w:r w:rsidRPr="00362EC0">
        <w:rPr>
          <w:rFonts w:ascii="Arial" w:hAnsi="Arial" w:cs="Arial"/>
          <w:sz w:val="20"/>
          <w:szCs w:val="20"/>
        </w:rPr>
        <w:fldChar w:fldCharType="end"/>
      </w:r>
      <w:r w:rsidRPr="00362EC0">
        <w:rPr>
          <w:rFonts w:ascii="Arial" w:hAnsi="Arial" w:cs="Arial"/>
          <w:sz w:val="20"/>
          <w:szCs w:val="20"/>
        </w:rPr>
        <w:t>. However, this effect of intentionality on response times is usually confined to Go trials, since intentional inhibition trials are only characterizable by their percentage performed among Choice trials. While the SST design is able to estimate</w:t>
      </w:r>
      <w:r w:rsidR="002B2483" w:rsidRPr="00362EC0">
        <w:rPr>
          <w:rFonts w:ascii="Arial" w:hAnsi="Arial" w:cs="Arial"/>
          <w:sz w:val="20"/>
          <w:szCs w:val="20"/>
        </w:rPr>
        <w:t xml:space="preserve"> stop signal reaction times </w:t>
      </w:r>
      <w:r w:rsidRPr="00362EC0">
        <w:rPr>
          <w:rFonts w:ascii="Arial" w:hAnsi="Arial" w:cs="Arial"/>
          <w:sz w:val="20"/>
          <w:szCs w:val="20"/>
        </w:rPr>
        <w:t xml:space="preserve">(SSRTs), this involves the presentation of extraneous stop signals and is as such not applicable as a design feature for studying the effect of intentionality on inhibition. Taking a different approach to studying intentionality, the </w:t>
      </w:r>
      <w:r w:rsidR="00B867E0" w:rsidRPr="00B867E0">
        <w:rPr>
          <w:rFonts w:ascii="Arial" w:hAnsi="Arial" w:cs="Arial"/>
          <w:sz w:val="20"/>
          <w:szCs w:val="20"/>
        </w:rPr>
        <w:t>Chasing</w:t>
      </w:r>
      <w:r w:rsidRPr="00362EC0">
        <w:rPr>
          <w:rFonts w:ascii="Arial" w:hAnsi="Arial" w:cs="Arial"/>
          <w:sz w:val="20"/>
          <w:szCs w:val="20"/>
        </w:rPr>
        <w:t xml:space="preserve"> </w:t>
      </w:r>
      <w:r w:rsidR="00B867E0">
        <w:rPr>
          <w:rFonts w:ascii="Arial" w:hAnsi="Arial" w:cs="Arial"/>
          <w:sz w:val="20"/>
          <w:szCs w:val="20"/>
        </w:rPr>
        <w:t>M</w:t>
      </w:r>
      <w:r w:rsidRPr="00362EC0">
        <w:rPr>
          <w:rFonts w:ascii="Arial" w:hAnsi="Arial" w:cs="Arial"/>
          <w:sz w:val="20"/>
          <w:szCs w:val="20"/>
        </w:rPr>
        <w:t xml:space="preserve">emo task </w:t>
      </w:r>
      <w:r w:rsidR="00616451">
        <w:rPr>
          <w:rFonts w:ascii="Arial" w:hAnsi="Arial" w:cs="Arial"/>
          <w:sz w:val="20"/>
          <w:szCs w:val="20"/>
        </w:rPr>
        <w:fldChar w:fldCharType="begin" w:fldLock="1"/>
      </w:r>
      <w:r w:rsidR="00616451">
        <w:rPr>
          <w:rFonts w:ascii="Arial" w:hAnsi="Arial" w:cs="Arial"/>
          <w:sz w:val="20"/>
          <w:szCs w:val="20"/>
        </w:rPr>
        <w:instrText>ADDIN CSL_CITATION {"citationItems":[{"id":"ITEM-1","itemData":{"DOI":"10.1186/s40359-019-0367-z","ISBN":"4035901903","ISSN":"20507283","PMID":"31910907","abstract":"Background : Response inhibition can be classified into stimulus-driven inhibition and intentional inhibition based on the degree of endogenous volition involved. In the past decades, abundant research efforts to study the effects of alcohol on inhibition have focused exclusively on stimulus-driven inhibition. The novel Chasing Memo task measures stimulus-driven and intentional inhibition within the same paradigm. Combined with the stop-signal task, we investigated how alcohol use affects behavioral and psychophysiological correlates of intentional inhibition, as well as stimulus-driven inhibition. Methods: Experiment I focused on intentional inhibition and stimulus-driven inhibition in relation to past-year alcohol use. The Chasing Memo task, the stop-signal task, and questionnaires related to substance use and impulsivity were administered to 60 undergraduate students (18-25 years old). Experiment II focused on behavioral and neural correlates acute alcohol use on performance on the Chasing Memo task by means of electroencephalography (EEG). Sixteen young male adults (21-28 years old) performed the Chasing Memo task once under placebo and once under the influence of alcohol (blood alcohol concentration around 0.05%), while EEG was recorded. Results: In experiment I, AUDIT (Alcohol Use Disorder Identification Test) total score did not significantly predict stimulus-driven inhibition or intentional inhibition performance. In experiment II, the placebo condition and the alcohol condition were comparable in terms of behavioral indices of stimulus-driven inhibition and intentional inhibition as well as task-related EEG patterns. Interestingly, a slow negative readiness potential (RP) was observed with an onset of about 1.2 s, exclusively before participants stopped intentionally. Conclusions: These findings suggest that both past-year increases in risky alcohol consumption and moderate acute alcohol use have limited effects on stimulus-driven inhibition and intentional inhibition. These conclusions cannot be generalized to alcohol use disorder and high intoxication levels. The RP might reflect processes involved in the formation of an intention in general.","author":[{"dropping-particle":"","family":"Liu","given":"Yang","non-dropping-particle":"","parse-names":false,"suffix":""},{"dropping-particle":"","family":"Wildenberg","given":"Wery P.M.","non-dropping-particle":"Van Den","parse-names":false,"suffix":""},{"dropping-particle":"","family":"González","given":"Gorka Fraga","non-dropping-particle":"","parse-names":false,"suffix":""},{"dropping-particle":"","family":"Rigoni","given":"Davide","non-dropping-particle":"","parse-names":false,"suffix":""},{"dropping-particle":"","family":"Brass","given":"Marcel","non-dropping-particle":"","parse-names":false,"suffix":""},{"dropping-particle":"","family":"Wiers","given":"Reinout W.","non-dropping-particle":"","parse-names":false,"suffix":""},{"dropping-particle":"","family":"Ridderinkhof","given":"K. Richard","non-dropping-particle":"","parse-names":false,"suffix":""}],"container-title":"BMC Psychology","id":"ITEM-1","issue":"1","issued":{"date-parts":[["2020"]]},"publisher":"BMC Psychology","title":"\"free won't\" after a beer or two: Chronic and acute effects of alcohol on neural and behavioral indices of intentional inhibition","type":"article-journal","volume":"8"},"uris":["http://www.mendeley.com/documents/?uuid=69ea1950-c227-46aa-bd17-4b66052fa9b3"]}],"mendeley":{"formattedCitation":"(Liu et al., 2020)","plainTextFormattedCitation":"(Liu et al., 2020)","previouslyFormattedCitation":"(Liu et al., 2020)"},"properties":{"noteIndex":0},"schema":"https://github.com/citation-style-language/schema/raw/master/csl-citation.json"}</w:instrText>
      </w:r>
      <w:r w:rsidR="00616451">
        <w:rPr>
          <w:rFonts w:ascii="Arial" w:hAnsi="Arial" w:cs="Arial"/>
          <w:sz w:val="20"/>
          <w:szCs w:val="20"/>
        </w:rPr>
        <w:fldChar w:fldCharType="separate"/>
      </w:r>
      <w:r w:rsidR="00616451" w:rsidRPr="00616451">
        <w:rPr>
          <w:rFonts w:ascii="Arial" w:hAnsi="Arial" w:cs="Arial"/>
          <w:noProof/>
          <w:sz w:val="20"/>
          <w:szCs w:val="20"/>
        </w:rPr>
        <w:t>(Liu et al., 2020)</w:t>
      </w:r>
      <w:r w:rsidR="00616451">
        <w:rPr>
          <w:rFonts w:ascii="Arial" w:hAnsi="Arial" w:cs="Arial"/>
          <w:sz w:val="20"/>
          <w:szCs w:val="20"/>
        </w:rPr>
        <w:fldChar w:fldCharType="end"/>
      </w:r>
      <w:r w:rsidR="00616451">
        <w:rPr>
          <w:rFonts w:ascii="Arial" w:hAnsi="Arial" w:cs="Arial"/>
          <w:sz w:val="20"/>
          <w:szCs w:val="20"/>
        </w:rPr>
        <w:t>,</w:t>
      </w:r>
      <w:r w:rsidR="004E5F0F">
        <w:rPr>
          <w:rFonts w:ascii="Arial" w:hAnsi="Arial" w:cs="Arial"/>
          <w:sz w:val="20"/>
          <w:szCs w:val="20"/>
        </w:rPr>
        <w:t xml:space="preserve"> </w:t>
      </w:r>
      <w:r w:rsidRPr="00362EC0">
        <w:rPr>
          <w:rFonts w:ascii="Arial" w:hAnsi="Arial" w:cs="Arial"/>
          <w:sz w:val="20"/>
          <w:szCs w:val="20"/>
        </w:rPr>
        <w:t>found response time effects of intentionality in Stop, but not Go trials. Here, Go responses were operationalised as the time taken to initiate the mouse-based tracking of a moving target, and no difference between instructed and intentional Go response times were found. Instead, Liu et al.</w:t>
      </w:r>
      <w:r w:rsidR="00616451">
        <w:rPr>
          <w:rFonts w:ascii="Arial" w:hAnsi="Arial" w:cs="Arial"/>
          <w:sz w:val="20"/>
          <w:szCs w:val="20"/>
        </w:rPr>
        <w:t xml:space="preserve"> (2020)</w:t>
      </w:r>
      <w:r w:rsidRPr="00362EC0">
        <w:rPr>
          <w:rFonts w:ascii="Arial" w:hAnsi="Arial" w:cs="Arial"/>
          <w:sz w:val="20"/>
          <w:szCs w:val="20"/>
        </w:rPr>
        <w:t xml:space="preserve"> reported longer response times during intentional than instructed </w:t>
      </w:r>
      <w:r w:rsidR="004E5F0F">
        <w:rPr>
          <w:rFonts w:ascii="Arial" w:hAnsi="Arial" w:cs="Arial"/>
          <w:sz w:val="20"/>
          <w:szCs w:val="20"/>
        </w:rPr>
        <w:t>S</w:t>
      </w:r>
      <w:r w:rsidR="004E5F0F" w:rsidRPr="00362EC0">
        <w:rPr>
          <w:rFonts w:ascii="Arial" w:hAnsi="Arial" w:cs="Arial"/>
          <w:sz w:val="20"/>
          <w:szCs w:val="20"/>
        </w:rPr>
        <w:t xml:space="preserve">top </w:t>
      </w:r>
      <w:r w:rsidRPr="00362EC0">
        <w:rPr>
          <w:rFonts w:ascii="Arial" w:hAnsi="Arial" w:cs="Arial"/>
          <w:sz w:val="20"/>
          <w:szCs w:val="20"/>
        </w:rPr>
        <w:t>trials, when response times reflected the time at which the participants decided to stop tracking the target without imposed time restrictions. Besides behavioural differences in response times, neural activity further differentiates between intentional and externally guided inhibitory processes</w:t>
      </w:r>
      <w:r w:rsidR="008A625D" w:rsidRPr="00362EC0">
        <w:rPr>
          <w:rFonts w:ascii="Arial" w:hAnsi="Arial" w:cs="Arial"/>
          <w:sz w:val="20"/>
          <w:szCs w:val="20"/>
        </w:rPr>
        <w:t>, with intentional inhibition</w:t>
      </w:r>
      <w:r w:rsidRPr="00362EC0">
        <w:rPr>
          <w:rFonts w:ascii="Arial" w:hAnsi="Arial" w:cs="Arial"/>
          <w:sz w:val="20"/>
          <w:szCs w:val="20"/>
        </w:rPr>
        <w:t xml:space="preserve"> </w:t>
      </w:r>
      <w:r w:rsidR="008A625D" w:rsidRPr="00362EC0">
        <w:rPr>
          <w:rFonts w:ascii="Arial" w:hAnsi="Arial" w:cs="Arial"/>
          <w:sz w:val="20"/>
          <w:szCs w:val="20"/>
        </w:rPr>
        <w:t xml:space="preserve">increasing </w:t>
      </w:r>
      <w:r w:rsidRPr="00362EC0">
        <w:rPr>
          <w:rFonts w:ascii="Arial" w:hAnsi="Arial" w:cs="Arial"/>
          <w:sz w:val="20"/>
          <w:szCs w:val="20"/>
        </w:rPr>
        <w:t xml:space="preserve">neural activation in regions involved in </w:t>
      </w:r>
      <w:r w:rsidRPr="00362EC0">
        <w:rPr>
          <w:rFonts w:ascii="Arial" w:hAnsi="Arial" w:cs="Arial"/>
          <w:iCs/>
          <w:sz w:val="20"/>
          <w:szCs w:val="20"/>
        </w:rPr>
        <w:t>voluntary selection</w:t>
      </w:r>
      <w:r w:rsidRPr="00362EC0">
        <w:rPr>
          <w:rFonts w:ascii="Arial" w:hAnsi="Arial" w:cs="Arial"/>
          <w:sz w:val="20"/>
          <w:szCs w:val="20"/>
        </w:rPr>
        <w:t xml:space="preserve"> such as the medial frontal gyrus and bilateral inferior parietal areas </w:t>
      </w:r>
      <w:r w:rsidRPr="00362EC0">
        <w:rPr>
          <w:rFonts w:ascii="Arial" w:hAnsi="Arial" w:cs="Arial"/>
          <w:sz w:val="20"/>
          <w:szCs w:val="20"/>
        </w:rPr>
        <w:fldChar w:fldCharType="begin" w:fldLock="1"/>
      </w:r>
      <w:r w:rsidRPr="00362EC0">
        <w:rPr>
          <w:rFonts w:ascii="Arial" w:hAnsi="Arial" w:cs="Arial"/>
          <w:sz w:val="20"/>
          <w:szCs w:val="20"/>
        </w:rPr>
        <w:instrText>ADDIN CSL_CITATION {"citationItems":[{"id":"ITEM-1","itemData":{"ISSN":"1065-9471","author":[{"dropping-particle":"","family":"Karch","given":"Susanne","non-dropping-particle":"","parse-names":false,"suffix":""},{"dropping-particle":"","family":"Mulert","given":"Christoph","non-dropping-particle":"","parse-names":false,"suffix":""},{"dropping-particle":"","family":"Thalmeier","given":"Tobias","non-dropping-particle":"","parse-names":false,"suffix":""},{"dropping-particle":"","family":"Lutz","given":"Jürgen","non-dropping-particle":"","parse-names":false,"suffix":""},{"dropping-particle":"","family":"Leicht","given":"Gregor","non-dropping-particle":"","parse-names":false,"suffix":""},{"dropping-particle":"","family":"Meindl","given":"Thomas","non-dropping-particle":"","parse-names":false,"suffix":""},{"dropping-particle":"","family":"Möller","given":"Hans</w:instrText>
      </w:r>
      <w:r w:rsidRPr="00362EC0">
        <w:rPr>
          <w:rFonts w:ascii="Cambria Math" w:hAnsi="Cambria Math" w:cs="Cambria Math"/>
          <w:sz w:val="20"/>
          <w:szCs w:val="20"/>
        </w:rPr>
        <w:instrText>‐</w:instrText>
      </w:r>
      <w:r w:rsidRPr="00362EC0">
        <w:rPr>
          <w:rFonts w:ascii="Arial" w:hAnsi="Arial" w:cs="Arial"/>
          <w:sz w:val="20"/>
          <w:szCs w:val="20"/>
        </w:rPr>
        <w:instrText>Jürgen","non-dropping-particle":"","parse-names":false,"suffix":""},{"dropping-particle":"","family":"Jäger","given":"Lorenz","non-dropping-particle":"","parse-names":false,"suffix":""},{"dropping-particle":"","family":"Pogarell","given":"Oliver","non-dropping-particle":"","parse-names":false,"suffix":""}],"container-title":"Human brain mapping","id":"ITEM-1","issue":"9","issued":{"date-parts":[["2009"]]},"page":"2971-2985","publisher":"Wiley Online Library","title":"The free choice whether or not to respond after stimulus presentation","type":"article-journal","volume":"30"},"uris":["http://www.mendeley.com/documents/?uuid=008cd4fe-d63b-46bf-aa14-1f6dc84a09ed"]}],"mendeley":{"formattedCitation":"(Karch et al., 2009)","plainTextFormattedCitation":"(Karch et al., 2009)","previouslyFormattedCitation":"(Karch et al., 2009)"},"properties":{"noteIndex":0},"schema":"https://github.com/citation-style-language/schema/raw/master/csl-citation.json"}</w:instrText>
      </w:r>
      <w:r w:rsidRPr="00362EC0">
        <w:rPr>
          <w:rFonts w:ascii="Arial" w:hAnsi="Arial" w:cs="Arial"/>
          <w:sz w:val="20"/>
          <w:szCs w:val="20"/>
        </w:rPr>
        <w:fldChar w:fldCharType="separate"/>
      </w:r>
      <w:r w:rsidRPr="00362EC0">
        <w:rPr>
          <w:rFonts w:ascii="Arial" w:hAnsi="Arial" w:cs="Arial"/>
          <w:noProof/>
          <w:sz w:val="20"/>
          <w:szCs w:val="20"/>
        </w:rPr>
        <w:t>(Karch et al., 2009)</w:t>
      </w:r>
      <w:r w:rsidRPr="00362EC0">
        <w:rPr>
          <w:rFonts w:ascii="Arial" w:hAnsi="Arial" w:cs="Arial"/>
          <w:sz w:val="20"/>
          <w:szCs w:val="20"/>
        </w:rPr>
        <w:fldChar w:fldCharType="end"/>
      </w:r>
      <w:r w:rsidRPr="00362EC0">
        <w:rPr>
          <w:rFonts w:ascii="Arial" w:hAnsi="Arial" w:cs="Arial"/>
          <w:sz w:val="20"/>
          <w:szCs w:val="20"/>
        </w:rPr>
        <w:t xml:space="preserve">. Similarly intentional inhibition of an adapted SST showed greater activity in the rostral cingulate, bilateral insular, bilateral thalamus and bilateral dorsolateral prefrontal cortex during intentional relative to externally guided stop trials </w:t>
      </w:r>
      <w:r w:rsidRPr="00362EC0">
        <w:rPr>
          <w:rFonts w:ascii="Arial" w:hAnsi="Arial" w:cs="Arial"/>
          <w:sz w:val="20"/>
          <w:szCs w:val="20"/>
        </w:rPr>
        <w:fldChar w:fldCharType="begin" w:fldLock="1"/>
      </w:r>
      <w:r w:rsidRPr="00362EC0">
        <w:rPr>
          <w:rFonts w:ascii="Arial" w:hAnsi="Arial" w:cs="Arial"/>
          <w:sz w:val="20"/>
          <w:szCs w:val="20"/>
        </w:rPr>
        <w:instrText>ADDIN CSL_CITATION {"citationItems":[{"id":"ITEM-1","itemData":{"ISSN":"1053-8119","author":[{"dropping-particle":"","family":"Kühn","given":"Simone","non-dropping-particle":"","parse-names":false,"suffix":""},{"dropping-particle":"","family":"Brass","given":"Marcel","non-dropping-particle":"","parse-names":false,"suffix":""}],"container-title":"Neuroimage","id":"ITEM-1","issue":"4","issued":{"date-parts":[["2009"]]},"page":"1187-1193","publisher":"Elsevier","title":"When doing nothing is an option: the neural correlates of deciding whether to act or not","type":"article-journal","volume":"46"},"uris":["http://www.mendeley.com/documents/?uuid=fe18862f-90be-43a0-b653-9b5c99f20efe"]}],"mendeley":{"formattedCitation":"(Kühn &amp; Brass, 2009)","plainTextFormattedCitation":"(Kühn &amp; Brass, 2009)","previouslyFormattedCitation":"(Kühn &amp; Brass, 2009)"},"properties":{"noteIndex":0},"schema":"https://github.com/citation-style-language/schema/raw/master/csl-citation.json"}</w:instrText>
      </w:r>
      <w:r w:rsidRPr="00362EC0">
        <w:rPr>
          <w:rFonts w:ascii="Arial" w:hAnsi="Arial" w:cs="Arial"/>
          <w:sz w:val="20"/>
          <w:szCs w:val="20"/>
        </w:rPr>
        <w:fldChar w:fldCharType="separate"/>
      </w:r>
      <w:r w:rsidRPr="00362EC0">
        <w:rPr>
          <w:rFonts w:ascii="Arial" w:hAnsi="Arial" w:cs="Arial"/>
          <w:noProof/>
          <w:sz w:val="20"/>
          <w:szCs w:val="20"/>
        </w:rPr>
        <w:t>(Kühn &amp; Brass, 2009)</w:t>
      </w:r>
      <w:r w:rsidRPr="00362EC0">
        <w:rPr>
          <w:rFonts w:ascii="Arial" w:hAnsi="Arial" w:cs="Arial"/>
          <w:sz w:val="20"/>
          <w:szCs w:val="20"/>
        </w:rPr>
        <w:fldChar w:fldCharType="end"/>
      </w:r>
      <w:r w:rsidRPr="00362EC0">
        <w:rPr>
          <w:rFonts w:ascii="Arial" w:hAnsi="Arial" w:cs="Arial"/>
          <w:sz w:val="20"/>
          <w:szCs w:val="20"/>
        </w:rPr>
        <w:t>.</w:t>
      </w:r>
    </w:p>
    <w:p w14:paraId="70A49CDC" w14:textId="413D1D54" w:rsidR="00655F3A" w:rsidRPr="00362EC0" w:rsidRDefault="00655F3A" w:rsidP="000437E8">
      <w:pPr>
        <w:spacing w:after="0" w:line="360" w:lineRule="auto"/>
        <w:ind w:firstLine="720"/>
        <w:contextualSpacing/>
        <w:jc w:val="both"/>
        <w:rPr>
          <w:rFonts w:ascii="Arial" w:hAnsi="Arial" w:cs="Arial"/>
          <w:sz w:val="20"/>
          <w:szCs w:val="20"/>
        </w:rPr>
      </w:pPr>
      <w:r w:rsidRPr="00362EC0">
        <w:rPr>
          <w:rFonts w:ascii="Arial" w:hAnsi="Arial" w:cs="Arial"/>
          <w:sz w:val="20"/>
          <w:szCs w:val="20"/>
        </w:rPr>
        <w:t xml:space="preserve">Intentional action and inhibition can also be manipulated by conscious contingencies (e.g. reward incentives) and unconscious information (e.g. subliminal primes). Introducing monetary incentives usually reduces response times </w:t>
      </w:r>
      <w:r w:rsidRPr="00362EC0">
        <w:rPr>
          <w:rFonts w:ascii="Arial" w:hAnsi="Arial" w:cs="Arial"/>
          <w:sz w:val="20"/>
          <w:szCs w:val="20"/>
        </w:rPr>
        <w:fldChar w:fldCharType="begin" w:fldLock="1"/>
      </w:r>
      <w:r w:rsidRPr="00362EC0">
        <w:rPr>
          <w:rFonts w:ascii="Arial" w:hAnsi="Arial" w:cs="Arial"/>
          <w:sz w:val="20"/>
          <w:szCs w:val="20"/>
        </w:rPr>
        <w:instrText>ADDIN CSL_CITATION {"citationItems":[{"id":"ITEM-1","itemData":{"ISSN":"2474-7394","author":[{"dropping-particle":"","family":"Hoofs","given":"Vincentius","non-dropping-particle":"","parse-names":false,"suffix":""},{"dropping-particle":"","family":"Böhler","given":"Nico","non-dropping-particle":"","parse-names":false,"suffix":""},{"dropping-particle":"","family":"Krebs","given":"Ruth","non-dropping-particle":"","parse-names":false,"suffix":""}],"container-title":"COLLABRA-PSYCHOLOGY","id":"ITEM-1","issue":"1","issued":{"date-parts":[["2019"]]},"title":"Biasing actions by incentive valence in an approach/avoidance Task","type":"article-journal","volume":"5"},"uris":["http://www.mendeley.com/documents/?uuid=dd5584c9-976b-4d1e-8fe1-c660beeb8354"]}],"mendeley":{"formattedCitation":"(Hoofs et al., 2019)","plainTextFormattedCitation":"(Hoofs et al., 2019)","previouslyFormattedCitation":"(Hoofs et al., 2019)"},"properties":{"noteIndex":0},"schema":"https://github.com/citation-style-language/schema/raw/master/csl-citation.json"}</w:instrText>
      </w:r>
      <w:r w:rsidRPr="00362EC0">
        <w:rPr>
          <w:rFonts w:ascii="Arial" w:hAnsi="Arial" w:cs="Arial"/>
          <w:sz w:val="20"/>
          <w:szCs w:val="20"/>
        </w:rPr>
        <w:fldChar w:fldCharType="separate"/>
      </w:r>
      <w:r w:rsidRPr="00362EC0">
        <w:rPr>
          <w:rFonts w:ascii="Arial" w:hAnsi="Arial" w:cs="Arial"/>
          <w:noProof/>
          <w:sz w:val="20"/>
          <w:szCs w:val="20"/>
        </w:rPr>
        <w:t>(Hoofs et al., 2019)</w:t>
      </w:r>
      <w:r w:rsidRPr="00362EC0">
        <w:rPr>
          <w:rFonts w:ascii="Arial" w:hAnsi="Arial" w:cs="Arial"/>
          <w:sz w:val="20"/>
          <w:szCs w:val="20"/>
        </w:rPr>
        <w:fldChar w:fldCharType="end"/>
      </w:r>
      <w:r w:rsidRPr="00362EC0">
        <w:rPr>
          <w:rFonts w:ascii="Arial" w:hAnsi="Arial" w:cs="Arial"/>
          <w:sz w:val="20"/>
          <w:szCs w:val="20"/>
        </w:rPr>
        <w:t xml:space="preserve"> and induces approach behaviour by enhancing motivational responding </w:t>
      </w:r>
      <w:r w:rsidRPr="00362EC0">
        <w:rPr>
          <w:rFonts w:ascii="Arial" w:hAnsi="Arial" w:cs="Arial"/>
          <w:sz w:val="20"/>
          <w:szCs w:val="20"/>
        </w:rPr>
        <w:fldChar w:fldCharType="begin" w:fldLock="1"/>
      </w:r>
      <w:r w:rsidRPr="00362EC0">
        <w:rPr>
          <w:rFonts w:ascii="Arial" w:hAnsi="Arial" w:cs="Arial"/>
          <w:sz w:val="20"/>
          <w:szCs w:val="20"/>
        </w:rPr>
        <w:instrText>ADDIN CSL_CITATION {"citationItems":[{"id":"ITEM-1","itemData":{"DOI":"10.1016/j.cub.2015.05.038","ISSN":"09609822","abstract":"Speed-accuracy trade-off is an intensively studied law governing almost all behavioral tasks across species. Here we show that motivation by reward breaks this law, by simultaneously invigorating movement and improving response precision. We devised a model to explain this paradoxical effect of reward by considering a new factor: the cost of control. Exerting control to improve response precision might itself come at a cost - a cost to attenuate a proportion of intrinsic neural noise. Applying a noise-reduction cost to optimal motor control predicted that reward can increase both velocity and accuracy. Similarly, application to decision-making predicted that reward reduces reaction times and errors in cognitive control. We used a novel saccadic distraction task to quantify the speed and accuracy of both movements and decisions under varying reward. Both faster speeds and smaller errors were observed with higher incentives, with the results best fitted by a model including a precision cost. Recent theories consider dopamine to be a key neuromodulator in mediating motivational effects of reward. We therefore examined how Parkinson's disease (PD), a condition associated with dopamine depletion, alters the effects of reward. Individuals with PD showed reduced reward sensitivity in their speed and accuracy, consistent in our model with higher noise-control costs. Including a cost of control over noise explains how reward may allow apparent performance limits to be surpassed. On this view, the pattern of reduced reward sensitivity in PD patients can specifically be accounted for by a higher cost for controlling noise.","author":[{"dropping-particle":"","family":"Manohar","given":"Sanjay G.","non-dropping-particle":"","parse-names":false,"suffix":""},{"dropping-particle":"","family":"Chong","given":"Trevor T.J.","non-dropping-particle":"","parse-names":false,"suffix":""},{"dropping-particle":"","family":"Apps","given":"Matthew A.J.","non-dropping-particle":"","parse-names":false,"suffix":""},{"dropping-particle":"","family":"Batla","given":"Amit","non-dropping-particle":"","parse-names":false,"suffix":""},{"dropping-particle":"","family":"Stamelou","given":"Maria","non-dropping-particle":"","parse-names":false,"suffix":""},{"dropping-particle":"","family":"Jarman","given":"Paul R.","non-dropping-particle":"","parse-names":false,"suffix":""},{"dropping-particle":"","family":"Bhatia","given":"Kailash P.","non-dropping-particle":"","parse-names":false,"suffix":""},{"dropping-particle":"","family":"Husain","given":"Masud","non-dropping-particle":"","parse-names":false,"suffix":""}],"container-title":"Current Biology","id":"ITEM-1","issue":"13","issued":{"date-parts":[["2015"]]},"page":"1707-1716","publisher":"Elsevier","title":"Reward Pays the Cost of Noise Reduction in Motor and Cognitive Control","type":"article-journal","volume":"25"},"uris":["http://www.mendeley.com/documents/?uuid=ce217fb2-1a94-4d6c-889a-7ba3025fdb67"]}],"mendeley":{"formattedCitation":"(Manohar et al., 2015)","plainTextFormattedCitation":"(Manohar et al., 2015)","previouslyFormattedCitation":"(Manohar et al., 2015)"},"properties":{"noteIndex":0},"schema":"https://github.com/citation-style-language/schema/raw/master/csl-citation.json"}</w:instrText>
      </w:r>
      <w:r w:rsidRPr="00362EC0">
        <w:rPr>
          <w:rFonts w:ascii="Arial" w:hAnsi="Arial" w:cs="Arial"/>
          <w:sz w:val="20"/>
          <w:szCs w:val="20"/>
        </w:rPr>
        <w:fldChar w:fldCharType="separate"/>
      </w:r>
      <w:r w:rsidRPr="00362EC0">
        <w:rPr>
          <w:rFonts w:ascii="Arial" w:hAnsi="Arial" w:cs="Arial"/>
          <w:noProof/>
          <w:sz w:val="20"/>
          <w:szCs w:val="20"/>
        </w:rPr>
        <w:t>(Manohar et al., 2015)</w:t>
      </w:r>
      <w:r w:rsidRPr="00362EC0">
        <w:rPr>
          <w:rFonts w:ascii="Arial" w:hAnsi="Arial" w:cs="Arial"/>
          <w:sz w:val="20"/>
          <w:szCs w:val="20"/>
        </w:rPr>
        <w:fldChar w:fldCharType="end"/>
      </w:r>
      <w:r w:rsidRPr="00362EC0">
        <w:rPr>
          <w:rFonts w:ascii="Arial" w:hAnsi="Arial" w:cs="Arial"/>
          <w:sz w:val="20"/>
          <w:szCs w:val="20"/>
        </w:rPr>
        <w:t>. Incentivized instructed Go trials hasten response times (</w:t>
      </w:r>
      <w:r w:rsidRPr="00362EC0">
        <w:rPr>
          <w:rFonts w:ascii="Arial" w:hAnsi="Arial" w:cs="Arial"/>
          <w:sz w:val="20"/>
          <w:szCs w:val="20"/>
        </w:rPr>
        <w:fldChar w:fldCharType="begin" w:fldLock="1"/>
      </w:r>
      <w:r w:rsidR="00616451">
        <w:rPr>
          <w:rFonts w:ascii="Arial" w:hAnsi="Arial" w:cs="Arial"/>
          <w:sz w:val="20"/>
          <w:szCs w:val="20"/>
        </w:rPr>
        <w:instrText>ADDIN CSL_CITATION {"citationItems":[{"id":"ITEM-1","itemData":{"author":[{"dropping-particle":"","family":"Filevich","given":"Elisa","non-dropping-particle":"","parse-names":false,"suffix":""},{"dropping-particle":"","family":"Kühn","given":"Simone","non-dropping-particle":"","parse-names":false,"suffix":""},{"dropping-particle":"","family":"Haggard","given":"Patrick","non-dropping-particle":"","parse-names":false,"suffix":""}],"container-title":"PloS one","id":"ITEM-1","issue":"2","issued":{"date-parts":[["2013"]]},"publisher":"Public Library of Science","title":"There is no free won’t: Antecedent brain activity predicts decisions to inhibit","type":"article-journal","volume":"8"},"uris":["http://www.mendeley.com/documents/?uuid=796f7a02-41d3-4da2-97cb-98ff9ae33cc2"]}],"mendeley":{"formattedCitation":"(Filevich et al., 2013)","manualFormatting":"Filevich, Kühn, and Haggard, 2013)","plainTextFormattedCitation":"(Filevich et al., 2013)","previouslyFormattedCitation":"(Filevich et al., 2013)"},"properties":{"noteIndex":0},"schema":"https://github.com/citation-style-language/schema/raw/master/csl-citation.json"}</w:instrText>
      </w:r>
      <w:r w:rsidRPr="00362EC0">
        <w:rPr>
          <w:rFonts w:ascii="Arial" w:hAnsi="Arial" w:cs="Arial"/>
          <w:sz w:val="20"/>
          <w:szCs w:val="20"/>
        </w:rPr>
        <w:fldChar w:fldCharType="separate"/>
      </w:r>
      <w:r w:rsidRPr="00362EC0">
        <w:rPr>
          <w:rFonts w:ascii="Arial" w:hAnsi="Arial" w:cs="Arial"/>
          <w:noProof/>
          <w:sz w:val="20"/>
          <w:szCs w:val="20"/>
        </w:rPr>
        <w:t>Filevich, Kühn, and Haggard</w:t>
      </w:r>
      <w:r w:rsidR="00616451">
        <w:rPr>
          <w:rFonts w:ascii="Arial" w:hAnsi="Arial" w:cs="Arial"/>
          <w:noProof/>
          <w:sz w:val="20"/>
          <w:szCs w:val="20"/>
        </w:rPr>
        <w:t xml:space="preserve">, </w:t>
      </w:r>
      <w:r w:rsidRPr="00362EC0">
        <w:rPr>
          <w:rFonts w:ascii="Arial" w:hAnsi="Arial" w:cs="Arial"/>
          <w:noProof/>
          <w:sz w:val="20"/>
          <w:szCs w:val="20"/>
        </w:rPr>
        <w:t>2013)</w:t>
      </w:r>
      <w:r w:rsidRPr="00362EC0">
        <w:rPr>
          <w:rFonts w:ascii="Arial" w:hAnsi="Arial" w:cs="Arial"/>
          <w:sz w:val="20"/>
          <w:szCs w:val="20"/>
        </w:rPr>
        <w:fldChar w:fldCharType="end"/>
      </w:r>
      <w:r w:rsidRPr="00362EC0">
        <w:rPr>
          <w:rFonts w:ascii="Arial" w:hAnsi="Arial" w:cs="Arial"/>
          <w:sz w:val="20"/>
          <w:szCs w:val="20"/>
        </w:rPr>
        <w:t xml:space="preserve"> and externally guided Stop behaviour is similarly affected by introduction of monetary rewards </w:t>
      </w:r>
      <w:r w:rsidRPr="00362EC0">
        <w:rPr>
          <w:rFonts w:ascii="Arial" w:hAnsi="Arial" w:cs="Arial"/>
          <w:sz w:val="20"/>
          <w:szCs w:val="20"/>
        </w:rPr>
        <w:fldChar w:fldCharType="begin" w:fldLock="1"/>
      </w:r>
      <w:r w:rsidRPr="00362EC0">
        <w:rPr>
          <w:rFonts w:ascii="Arial" w:hAnsi="Arial" w:cs="Arial"/>
          <w:sz w:val="20"/>
          <w:szCs w:val="20"/>
        </w:rPr>
        <w:instrText>ADDIN CSL_CITATION {"citationItems":[{"id":"ITEM-1","itemData":{"ISSN":"1939-1277","author":[{"dropping-particle":"","family":"Leotti","given":"Lauren A","non-dropping-particle":"","parse-names":false,"suffix":""},{"dropping-particle":"","family":"Wager","given":"Tor D","non-dropping-particle":"","parse-names":false,"suffix":""}],"container-title":"Journal of Experimental Psychology: Human Perception and Performance","id":"ITEM-1","issue":"2","issued":{"date-parts":[["2010"]]},"page":"430","publisher":"American Psychological Association","title":"Motivational influences on response inhibition measures.","type":"article-journal","volume":"36"},"uris":["http://www.mendeley.com/documents/?uuid=6c8b9151-2f53-423c-9d88-7fced370e65e"]}],"mendeley":{"formattedCitation":"(Leotti &amp; Wager, 2010)","plainTextFormattedCitation":"(Leotti &amp; Wager, 2010)","previouslyFormattedCitation":"(Leotti &amp; Wager, 2010)"},"properties":{"noteIndex":0},"schema":"https://github.com/citation-style-language/schema/raw/master/csl-citation.json"}</w:instrText>
      </w:r>
      <w:r w:rsidRPr="00362EC0">
        <w:rPr>
          <w:rFonts w:ascii="Arial" w:hAnsi="Arial" w:cs="Arial"/>
          <w:sz w:val="20"/>
          <w:szCs w:val="20"/>
        </w:rPr>
        <w:fldChar w:fldCharType="separate"/>
      </w:r>
      <w:r w:rsidRPr="00362EC0">
        <w:rPr>
          <w:rFonts w:ascii="Arial" w:hAnsi="Arial" w:cs="Arial"/>
          <w:noProof/>
          <w:sz w:val="20"/>
          <w:szCs w:val="20"/>
        </w:rPr>
        <w:t>(Leotti &amp; Wager, 2010)</w:t>
      </w:r>
      <w:r w:rsidRPr="00362EC0">
        <w:rPr>
          <w:rFonts w:ascii="Arial" w:hAnsi="Arial" w:cs="Arial"/>
          <w:sz w:val="20"/>
          <w:szCs w:val="20"/>
        </w:rPr>
        <w:fldChar w:fldCharType="end"/>
      </w:r>
      <w:r w:rsidRPr="00362EC0">
        <w:rPr>
          <w:rFonts w:ascii="Arial" w:hAnsi="Arial" w:cs="Arial"/>
          <w:sz w:val="20"/>
          <w:szCs w:val="20"/>
        </w:rPr>
        <w:t xml:space="preserve">. When monetary incentives favour stopping accuracy over speed in the SST, stopping accuracy increases and SSRTs are lower </w:t>
      </w:r>
      <w:r w:rsidRPr="00362EC0">
        <w:rPr>
          <w:rFonts w:ascii="Arial" w:hAnsi="Arial" w:cs="Arial"/>
          <w:sz w:val="20"/>
          <w:szCs w:val="20"/>
        </w:rPr>
        <w:fldChar w:fldCharType="begin" w:fldLock="1"/>
      </w:r>
      <w:r w:rsidRPr="00362EC0">
        <w:rPr>
          <w:rFonts w:ascii="Arial" w:hAnsi="Arial" w:cs="Arial"/>
          <w:sz w:val="20"/>
          <w:szCs w:val="20"/>
        </w:rPr>
        <w:instrText>ADDIN CSL_CITATION {"citationItems":[{"id":"ITEM-1","itemData":{"ISSN":"1939-1277","author":[{"dropping-particle":"","family":"Leotti","given":"Lauren A","non-dropping-particle":"","parse-names":false,"suffix":""},{"dropping-particle":"","family":"Wager","given":"Tor D","non-dropping-particle":"","parse-names":false,"suffix":""}],"container-title":"Journal of Experimental Psychology: Human Perception and Performance","id":"ITEM-1","issue":"2","issued":{"date-parts":[["2010"]]},"page":"430","publisher":"American Psychological Association","title":"Motivational influences on response inhibition measures.","type":"article-journal","volume":"36"},"uris":["http://www.mendeley.com/documents/?uuid=6c8b9151-2f53-423c-9d88-7fced370e65e"]}],"mendeley":{"formattedCitation":"(Leotti &amp; Wager, 2010)","plainTextFormattedCitation":"(Leotti &amp; Wager, 2010)","previouslyFormattedCitation":"(Leotti &amp; Wager, 2010)"},"properties":{"noteIndex":0},"schema":"https://github.com/citation-style-language/schema/raw/master/csl-citation.json"}</w:instrText>
      </w:r>
      <w:r w:rsidRPr="00362EC0">
        <w:rPr>
          <w:rFonts w:ascii="Arial" w:hAnsi="Arial" w:cs="Arial"/>
          <w:sz w:val="20"/>
          <w:szCs w:val="20"/>
        </w:rPr>
        <w:fldChar w:fldCharType="separate"/>
      </w:r>
      <w:r w:rsidRPr="00362EC0">
        <w:rPr>
          <w:rFonts w:ascii="Arial" w:hAnsi="Arial" w:cs="Arial"/>
          <w:noProof/>
          <w:sz w:val="20"/>
          <w:szCs w:val="20"/>
        </w:rPr>
        <w:t>(Leotti &amp; Wager, 2010)</w:t>
      </w:r>
      <w:r w:rsidRPr="00362EC0">
        <w:rPr>
          <w:rFonts w:ascii="Arial" w:hAnsi="Arial" w:cs="Arial"/>
          <w:sz w:val="20"/>
          <w:szCs w:val="20"/>
        </w:rPr>
        <w:fldChar w:fldCharType="end"/>
      </w:r>
      <w:r w:rsidRPr="00362EC0">
        <w:rPr>
          <w:rFonts w:ascii="Arial" w:hAnsi="Arial" w:cs="Arial"/>
          <w:sz w:val="20"/>
          <w:szCs w:val="20"/>
        </w:rPr>
        <w:t xml:space="preserve"> and stopping accuracy also increases when comparing high to no and low reward incentives </w:t>
      </w:r>
      <w:r w:rsidRPr="00362EC0">
        <w:rPr>
          <w:rFonts w:ascii="Arial" w:hAnsi="Arial" w:cs="Arial"/>
          <w:sz w:val="20"/>
          <w:szCs w:val="20"/>
        </w:rPr>
        <w:fldChar w:fldCharType="begin" w:fldLock="1"/>
      </w:r>
      <w:r w:rsidRPr="00362EC0">
        <w:rPr>
          <w:rFonts w:ascii="Arial" w:hAnsi="Arial" w:cs="Arial"/>
          <w:sz w:val="20"/>
          <w:szCs w:val="20"/>
        </w:rPr>
        <w:instrText>ADDIN CSL_CITATION {"citationItems":[{"id":"ITEM-1","itemData":{"ISSN":"1939-0599","author":[{"dropping-particle":"","family":"Sinopoli","given":"Katia J","non-dropping-particle":"","parse-names":false,"suffix":""},{"dropping-particle":"","family":"Schachar","given":"Russell","non-dropping-particle":"","parse-names":false,"suffix":""},{"dropping-particle":"","family":"Dennis","given":"Maureen","non-dropping-particle":"","parse-names":false,"suffix":""}],"container-title":"Developmental psychology","id":"ITEM-1","issue":"5","issued":{"date-parts":[["2011"]]},"page":"1479","publisher":"American Psychological Association","title":"Reward improves cancellation and restraint inhibition across childhood and adolescence.","type":"article-journal","volume":"47"},"uris":["http://www.mendeley.com/documents/?uuid=0663433e-716c-47da-a6f3-97e0ec622174"]}],"mendeley":{"formattedCitation":"(Sinopoli et al., 2011)","plainTextFormattedCitation":"(Sinopoli et al., 2011)","previouslyFormattedCitation":"(Sinopoli et al., 2011)"},"properties":{"noteIndex":0},"schema":"https://github.com/citation-style-language/schema/raw/master/csl-citation.json"}</w:instrText>
      </w:r>
      <w:r w:rsidRPr="00362EC0">
        <w:rPr>
          <w:rFonts w:ascii="Arial" w:hAnsi="Arial" w:cs="Arial"/>
          <w:sz w:val="20"/>
          <w:szCs w:val="20"/>
        </w:rPr>
        <w:fldChar w:fldCharType="separate"/>
      </w:r>
      <w:r w:rsidRPr="00362EC0">
        <w:rPr>
          <w:rFonts w:ascii="Arial" w:hAnsi="Arial" w:cs="Arial"/>
          <w:noProof/>
          <w:sz w:val="20"/>
          <w:szCs w:val="20"/>
        </w:rPr>
        <w:t>(Sinopoli et al., 2011)</w:t>
      </w:r>
      <w:r w:rsidRPr="00362EC0">
        <w:rPr>
          <w:rFonts w:ascii="Arial" w:hAnsi="Arial" w:cs="Arial"/>
          <w:sz w:val="20"/>
          <w:szCs w:val="20"/>
        </w:rPr>
        <w:fldChar w:fldCharType="end"/>
      </w:r>
      <w:r w:rsidRPr="00362EC0">
        <w:rPr>
          <w:rFonts w:ascii="Arial" w:hAnsi="Arial" w:cs="Arial"/>
          <w:sz w:val="20"/>
          <w:szCs w:val="20"/>
        </w:rPr>
        <w:t xml:space="preserve">. Thus, instructed behaviour appears to increase in accuracy and speed </w:t>
      </w:r>
      <w:r w:rsidRPr="00362EC0">
        <w:rPr>
          <w:rFonts w:ascii="Arial" w:hAnsi="Arial" w:cs="Arial"/>
          <w:sz w:val="20"/>
          <w:szCs w:val="20"/>
        </w:rPr>
        <w:lastRenderedPageBreak/>
        <w:t xml:space="preserve">when monetary incentives are aligned, potentially due to increased approach behaviour </w:t>
      </w:r>
      <w:r w:rsidR="000437E8" w:rsidRPr="00362EC0">
        <w:rPr>
          <w:rFonts w:ascii="Arial" w:hAnsi="Arial" w:cs="Arial"/>
          <w:sz w:val="20"/>
          <w:szCs w:val="20"/>
        </w:rPr>
        <w:t>for</w:t>
      </w:r>
      <w:r w:rsidRPr="00362EC0">
        <w:rPr>
          <w:rFonts w:ascii="Arial" w:hAnsi="Arial" w:cs="Arial"/>
          <w:sz w:val="20"/>
          <w:szCs w:val="20"/>
        </w:rPr>
        <w:t xml:space="preserve"> rewarded outcomes. The influence of monetary incentives on intentional action and inhibition has not yet been reported.</w:t>
      </w:r>
    </w:p>
    <w:p w14:paraId="762298F5" w14:textId="609AF4B6" w:rsidR="00655F3A" w:rsidRPr="00362EC0" w:rsidRDefault="00655F3A" w:rsidP="000437E8">
      <w:pPr>
        <w:spacing w:after="0" w:line="360" w:lineRule="auto"/>
        <w:ind w:firstLine="720"/>
        <w:contextualSpacing/>
        <w:jc w:val="both"/>
        <w:rPr>
          <w:rFonts w:ascii="Arial" w:hAnsi="Arial" w:cs="Arial"/>
          <w:sz w:val="20"/>
          <w:szCs w:val="20"/>
        </w:rPr>
      </w:pPr>
      <w:r w:rsidRPr="00362EC0">
        <w:rPr>
          <w:rFonts w:ascii="Arial" w:hAnsi="Arial" w:cs="Arial"/>
          <w:sz w:val="20"/>
          <w:szCs w:val="20"/>
        </w:rPr>
        <w:t xml:space="preserve">While reward contingencies are usually presented explicitly, unconscious processing also affects inhibition and action selection. For example, in a study of subliminally presented incongruent arrow primes in an action selection task, the congruent arrow prime hastened intentional response times and increased the proportion of congruent actions chosen relative to the incongruent prime </w:t>
      </w:r>
      <w:r w:rsidRPr="00362EC0">
        <w:rPr>
          <w:rFonts w:ascii="Arial" w:hAnsi="Arial" w:cs="Arial"/>
          <w:sz w:val="20"/>
          <w:szCs w:val="20"/>
        </w:rPr>
        <w:fldChar w:fldCharType="begin" w:fldLock="1"/>
      </w:r>
      <w:r w:rsidRPr="00362EC0">
        <w:rPr>
          <w:rFonts w:ascii="Arial" w:hAnsi="Arial" w:cs="Arial"/>
          <w:sz w:val="20"/>
          <w:szCs w:val="20"/>
        </w:rPr>
        <w:instrText>ADDIN CSL_CITATION {"citationItems":[{"id":"ITEM-1","itemData":{"ISSN":"0010-0277","author":[{"dropping-particle":"","family":"Mattler","given":"Uwe","non-dropping-particle":"","parse-names":false,"suffix":""},{"dropping-particle":"","family":"Palmer","given":"Simon","non-dropping-particle":"","parse-names":false,"suffix":""}],"container-title":"Cognition","id":"ITEM-1","issue":"3","issued":{"date-parts":[["2012"]]},"page":"347-360","publisher":"Elsevier","title":"Time course of free-choice priming effects explained by a simple accumulator model","type":"article-journal","volume":"123"},"uris":["http://www.mendeley.com/documents/?uuid=1096d116-d4d6-4c84-b6a1-ba8c3eb91461"]}],"mendeley":{"formattedCitation":"(Mattler &amp; Palmer, 2012)","plainTextFormattedCitation":"(Mattler &amp; Palmer, 2012)","previouslyFormattedCitation":"(Mattler &amp; Palmer, 2012)"},"properties":{"noteIndex":0},"schema":"https://github.com/citation-style-language/schema/raw/master/csl-citation.json"}</w:instrText>
      </w:r>
      <w:r w:rsidRPr="00362EC0">
        <w:rPr>
          <w:rFonts w:ascii="Arial" w:hAnsi="Arial" w:cs="Arial"/>
          <w:sz w:val="20"/>
          <w:szCs w:val="20"/>
        </w:rPr>
        <w:fldChar w:fldCharType="separate"/>
      </w:r>
      <w:r w:rsidRPr="00362EC0">
        <w:rPr>
          <w:rFonts w:ascii="Arial" w:hAnsi="Arial" w:cs="Arial"/>
          <w:noProof/>
          <w:sz w:val="20"/>
          <w:szCs w:val="20"/>
        </w:rPr>
        <w:t>(Mattler &amp; Palmer, 2012)</w:t>
      </w:r>
      <w:r w:rsidRPr="00362EC0">
        <w:rPr>
          <w:rFonts w:ascii="Arial" w:hAnsi="Arial" w:cs="Arial"/>
          <w:sz w:val="20"/>
          <w:szCs w:val="20"/>
        </w:rPr>
        <w:fldChar w:fldCharType="end"/>
      </w:r>
      <w:r w:rsidRPr="00362EC0">
        <w:rPr>
          <w:rFonts w:ascii="Arial" w:hAnsi="Arial" w:cs="Arial"/>
          <w:sz w:val="20"/>
          <w:szCs w:val="20"/>
        </w:rPr>
        <w:t xml:space="preserve">. Internally guided action and inhibition are also affected by unconscious processing. For example, </w:t>
      </w:r>
      <w:r w:rsidRPr="00362EC0">
        <w:rPr>
          <w:rFonts w:ascii="Arial" w:hAnsi="Arial" w:cs="Arial"/>
          <w:sz w:val="20"/>
          <w:szCs w:val="20"/>
        </w:rPr>
        <w:fldChar w:fldCharType="begin" w:fldLock="1"/>
      </w:r>
      <w:r w:rsidRPr="00362EC0">
        <w:rPr>
          <w:rFonts w:ascii="Arial" w:hAnsi="Arial" w:cs="Arial"/>
          <w:sz w:val="20"/>
          <w:szCs w:val="20"/>
        </w:rPr>
        <w:instrText>ADDIN CSL_CITATION {"citationItems":[{"id":"ITEM-1","itemData":{"author":[{"dropping-particle":"","family":"Parkinson","given":"Jim","non-dropping-particle":"","parse-names":false,"suffix":""},{"dropping-particle":"","family":"Haggard","given":"Patrick","non-dropping-particle":"","parse-names":false,"suffix":""}],"container-title":"Journal of cognitive neuroscience","id":"ITEM-1","issued":{"date-parts":[["2015"]]},"publisher":"MIT Press","title":"Choosing to stop: Responses evoked by externally triggered and internally generated inhibition identify a neural mechanism of will","type":"article-journal"},"uris":["http://www.mendeley.com/documents/?uuid=d02c03da-9976-4977-9978-21a5d1c4a35b"]}],"mendeley":{"formattedCitation":"(Parkinson &amp; Haggard, 2015)","manualFormatting":"Parkinson and Haggard (2015)","plainTextFormattedCitation":"(Parkinson &amp; Haggard, 2015)","previouslyFormattedCitation":"(Parkinson &amp; Haggard, 2015)"},"properties":{"noteIndex":0},"schema":"https://github.com/citation-style-language/schema/raw/master/csl-citation.json"}</w:instrText>
      </w:r>
      <w:r w:rsidRPr="00362EC0">
        <w:rPr>
          <w:rFonts w:ascii="Arial" w:hAnsi="Arial" w:cs="Arial"/>
          <w:sz w:val="20"/>
          <w:szCs w:val="20"/>
        </w:rPr>
        <w:fldChar w:fldCharType="separate"/>
      </w:r>
      <w:r w:rsidRPr="00362EC0">
        <w:rPr>
          <w:rFonts w:ascii="Arial" w:hAnsi="Arial" w:cs="Arial"/>
          <w:noProof/>
          <w:sz w:val="20"/>
          <w:szCs w:val="20"/>
        </w:rPr>
        <w:t>Parkinson and Haggard (2015)</w:t>
      </w:r>
      <w:r w:rsidRPr="00362EC0">
        <w:rPr>
          <w:rFonts w:ascii="Arial" w:hAnsi="Arial" w:cs="Arial"/>
          <w:sz w:val="20"/>
          <w:szCs w:val="20"/>
        </w:rPr>
        <w:fldChar w:fldCharType="end"/>
      </w:r>
      <w:r w:rsidRPr="00362EC0">
        <w:rPr>
          <w:rFonts w:ascii="Arial" w:hAnsi="Arial" w:cs="Arial"/>
          <w:sz w:val="20"/>
          <w:szCs w:val="20"/>
        </w:rPr>
        <w:t xml:space="preserve"> designed an intentional inhibition paradigm in which a double-sided arrow indicated Choice trial, a right arrow referred to instructed Go trials and a left arrow instructed Stop trials. Masked cues were presented subliminally at different time points prior to the experimental stimuli, to test effects of positive and negative compatibility in which early congruent subliminal primes facilitate </w:t>
      </w:r>
      <w:r w:rsidR="000437E8" w:rsidRPr="00362EC0">
        <w:rPr>
          <w:rFonts w:ascii="Arial" w:hAnsi="Arial" w:cs="Arial"/>
          <w:sz w:val="20"/>
          <w:szCs w:val="20"/>
        </w:rPr>
        <w:t xml:space="preserve">(e.g., a Go prime leads to faster Go responses) </w:t>
      </w:r>
      <w:r w:rsidRPr="00362EC0">
        <w:rPr>
          <w:rFonts w:ascii="Arial" w:hAnsi="Arial" w:cs="Arial"/>
          <w:sz w:val="20"/>
          <w:szCs w:val="20"/>
        </w:rPr>
        <w:t xml:space="preserve">responses </w:t>
      </w:r>
      <w:r w:rsidRPr="00362EC0">
        <w:rPr>
          <w:rFonts w:ascii="Arial" w:hAnsi="Arial" w:cs="Arial"/>
          <w:sz w:val="20"/>
          <w:szCs w:val="20"/>
        </w:rPr>
        <w:fldChar w:fldCharType="begin" w:fldLock="1"/>
      </w:r>
      <w:r w:rsidRPr="00362EC0">
        <w:rPr>
          <w:rFonts w:ascii="Arial" w:hAnsi="Arial" w:cs="Arial"/>
          <w:sz w:val="20"/>
          <w:szCs w:val="20"/>
        </w:rPr>
        <w:instrText>ADDIN CSL_CITATION {"citationItems":[{"id":"ITEM-1","itemData":{"author":[{"dropping-particle":"","family":"Neumann","given":"Odmar","non-dropping-particle":"","parse-names":false,"suffix":""},{"dropping-particle":"","family":"Klotz","given":"Werner","non-dropping-particle":"","parse-names":false,"suffix":""}],"container-title":"Attention and performance XV: Conscious and nonconscious information processing","id":"ITEM-1","issued":{"date-parts":[["1994"]]},"page":"123-150","title":"Motor responses to nonreportable, masked stimuli: Where is the limit of direct parameter specification","type":"article-journal"},"uris":["http://www.mendeley.com/documents/?uuid=7e8366c5-e669-4098-9c35-70305f2eb794"]}],"mendeley":{"formattedCitation":"(Neumann &amp; Klotz, 1994)","plainTextFormattedCitation":"(Neumann &amp; Klotz, 1994)","previouslyFormattedCitation":"(Neumann &amp; Klotz, 1994)"},"properties":{"noteIndex":0},"schema":"https://github.com/citation-style-language/schema/raw/master/csl-citation.json"}</w:instrText>
      </w:r>
      <w:r w:rsidRPr="00362EC0">
        <w:rPr>
          <w:rFonts w:ascii="Arial" w:hAnsi="Arial" w:cs="Arial"/>
          <w:sz w:val="20"/>
          <w:szCs w:val="20"/>
        </w:rPr>
        <w:fldChar w:fldCharType="separate"/>
      </w:r>
      <w:r w:rsidRPr="00362EC0">
        <w:rPr>
          <w:rFonts w:ascii="Arial" w:hAnsi="Arial" w:cs="Arial"/>
          <w:noProof/>
          <w:sz w:val="20"/>
          <w:szCs w:val="20"/>
        </w:rPr>
        <w:t>(Neumann &amp; Klotz, 1994)</w:t>
      </w:r>
      <w:r w:rsidRPr="00362EC0">
        <w:rPr>
          <w:rFonts w:ascii="Arial" w:hAnsi="Arial" w:cs="Arial"/>
          <w:sz w:val="20"/>
          <w:szCs w:val="20"/>
        </w:rPr>
        <w:fldChar w:fldCharType="end"/>
      </w:r>
      <w:r w:rsidRPr="00362EC0">
        <w:rPr>
          <w:rFonts w:ascii="Arial" w:hAnsi="Arial" w:cs="Arial"/>
          <w:sz w:val="20"/>
          <w:szCs w:val="20"/>
        </w:rPr>
        <w:t xml:space="preserve"> or later incongruent primes interfere with responses (e.g., a Go prime leads to slower Go responses) respectively </w:t>
      </w:r>
      <w:r w:rsidRPr="00362EC0">
        <w:rPr>
          <w:rFonts w:ascii="Arial" w:hAnsi="Arial" w:cs="Arial"/>
          <w:sz w:val="20"/>
          <w:szCs w:val="20"/>
        </w:rPr>
        <w:fldChar w:fldCharType="begin" w:fldLock="1"/>
      </w:r>
      <w:r w:rsidRPr="00362EC0">
        <w:rPr>
          <w:rFonts w:ascii="Arial" w:hAnsi="Arial" w:cs="Arial"/>
          <w:sz w:val="20"/>
          <w:szCs w:val="20"/>
        </w:rPr>
        <w:instrText>ADDIN CSL_CITATION {"citationItems":[{"id":"ITEM-1","itemData":{"ISSN":"1939-1277","author":[{"dropping-particle":"","family":"Eimer","given":"Martin","non-dropping-particle":"","parse-names":false,"suffix":""},{"dropping-particle":"","family":"Schlaghecken","given":"Friederike","non-dropping-particle":"","parse-names":false,"suffix":""}],"container-title":"Journal of Experimental Psychology: Human Perception and Performance","id":"ITEM-1","issue":"6","issued":{"date-parts":[["1998"]]},"page":"1737","publisher":"American Psychological Association","title":"Effects of masked stimuli on motor activation: Behavioral and electrophysiological evidence.","type":"article-journal","volume":"24"},"uris":["http://www.mendeley.com/documents/?uuid=21caeaf1-fbe9-4914-92b9-e18faa819cdc"]}],"mendeley":{"formattedCitation":"(Eimer &amp; Schlaghecken, 1998)","plainTextFormattedCitation":"(Eimer &amp; Schlaghecken, 1998)","previouslyFormattedCitation":"(Eimer &amp; Schlaghecken, 1998)"},"properties":{"noteIndex":0},"schema":"https://github.com/citation-style-language/schema/raw/master/csl-citation.json"}</w:instrText>
      </w:r>
      <w:r w:rsidRPr="00362EC0">
        <w:rPr>
          <w:rFonts w:ascii="Arial" w:hAnsi="Arial" w:cs="Arial"/>
          <w:sz w:val="20"/>
          <w:szCs w:val="20"/>
        </w:rPr>
        <w:fldChar w:fldCharType="separate"/>
      </w:r>
      <w:r w:rsidRPr="00362EC0">
        <w:rPr>
          <w:rFonts w:ascii="Arial" w:hAnsi="Arial" w:cs="Arial"/>
          <w:noProof/>
          <w:sz w:val="20"/>
          <w:szCs w:val="20"/>
        </w:rPr>
        <w:t>(Eimer &amp; Schlaghecken, 1998)</w:t>
      </w:r>
      <w:r w:rsidRPr="00362EC0">
        <w:rPr>
          <w:rFonts w:ascii="Arial" w:hAnsi="Arial" w:cs="Arial"/>
          <w:sz w:val="20"/>
          <w:szCs w:val="20"/>
        </w:rPr>
        <w:fldChar w:fldCharType="end"/>
      </w:r>
      <w:r w:rsidRPr="00362EC0">
        <w:rPr>
          <w:rFonts w:ascii="Arial" w:hAnsi="Arial" w:cs="Arial"/>
          <w:sz w:val="20"/>
          <w:szCs w:val="20"/>
        </w:rPr>
        <w:t xml:space="preserve">. The positive and negative compatibility effects were observed on response time during both internally and externally guided actions. The only measure for intentional inhibition, the percentage of Choice Go trials, showed a negative compatibility (late Go primes reduced the percentage of intentional actions) but not a positive compatibility effect on choice behaviour </w:t>
      </w:r>
      <w:r w:rsidRPr="00362EC0">
        <w:rPr>
          <w:rFonts w:ascii="Arial" w:hAnsi="Arial" w:cs="Arial"/>
          <w:sz w:val="20"/>
          <w:szCs w:val="20"/>
        </w:rPr>
        <w:fldChar w:fldCharType="begin" w:fldLock="1"/>
      </w:r>
      <w:r w:rsidRPr="00362EC0">
        <w:rPr>
          <w:rFonts w:ascii="Arial" w:hAnsi="Arial" w:cs="Arial"/>
          <w:sz w:val="20"/>
          <w:szCs w:val="20"/>
        </w:rPr>
        <w:instrText>ADDIN CSL_CITATION {"citationItems":[{"id":"ITEM-1","itemData":{"DOI":"10.1016/j.cognition.2013.11.005","ISBN":"0010-0277","ISSN":"18737838","PMID":"24334316","abstract":"Intentional choice is an important process underlying human behaviour. Intentional inhibition refers to the capacity to endogenously cancel an about-to-be-executed action at the last moment. Previous research suggested that such intentional inhibitory control requires conscious effort and awareness.Here we show that intentional decisions to inhibit are nevertheless influenced by unconscious processing. In a novel version of the Go/No-Go task, participants made speeded keypress actions to a Go target, or withheld responses to a No-Go target, or made free, spontaneous choices whether to execute or inhibit a keypress when presented with a free-choice target. Prior to each target, subliminal masked prime arrows were presented. Primes could be congruent with the Go or No-Go arrows, or neutral. Response times and proportion of action choices were measured. Primes were presented at latencies that would give either positive or negative compatibility effects (PCE, Experiment 1, and NCE, Experiment 2, respectively), based on previous literature.Go-primes at positive-compatibility latencies facilitated speeded response times as expected, but did not influence number of choices to act on free-choice trials. However, when Go primes were presented at negative-compatibility latencies, \"free\" decisions to inhibit were significantly increased. Decisions to act or not can be unconsciously manipulated, at least by inhibitory mechanisms. The cognitive mechanisms for intentionally withholding an action can be influenced by unconscious processing. We discuss possible moral and legal implications of these findings. ?? 2013 The Auhors.","author":[{"dropping-particle":"","family":"Parkinson","given":"Jim","non-dropping-particle":"","parse-names":false,"suffix":""},{"dropping-particle":"","family":"Haggard","given":"Patrick","non-dropping-particle":"","parse-names":false,"suffix":""}],"container-title":"Cognition","id":"ITEM-1","issue":"2","issued":{"date-parts":[["2014"]]},"page":"255-265","publisher":"Elsevier B.V.","title":"Subliminal priming of intentional inhibition","type":"article-journal","volume":"130"},"uris":["http://www.mendeley.com/documents/?uuid=37cc42db-5d60-4681-b247-851c9fe916f7"]}],"mendeley":{"formattedCitation":"(Parkinson &amp; Haggard, 2014)","plainTextFormattedCitation":"(Parkinson &amp; Haggard, 2014)","previouslyFormattedCitation":"(Parkinson &amp; Haggard, 2014)"},"properties":{"noteIndex":0},"schema":"https://github.com/citation-style-language/schema/raw/master/csl-citation.json"}</w:instrText>
      </w:r>
      <w:r w:rsidRPr="00362EC0">
        <w:rPr>
          <w:rFonts w:ascii="Arial" w:hAnsi="Arial" w:cs="Arial"/>
          <w:sz w:val="20"/>
          <w:szCs w:val="20"/>
        </w:rPr>
        <w:fldChar w:fldCharType="separate"/>
      </w:r>
      <w:r w:rsidRPr="00362EC0">
        <w:rPr>
          <w:rFonts w:ascii="Arial" w:hAnsi="Arial" w:cs="Arial"/>
          <w:noProof/>
          <w:sz w:val="20"/>
          <w:szCs w:val="20"/>
        </w:rPr>
        <w:t>(Parkinson &amp; Haggard, 2014)</w:t>
      </w:r>
      <w:r w:rsidRPr="00362EC0">
        <w:rPr>
          <w:rFonts w:ascii="Arial" w:hAnsi="Arial" w:cs="Arial"/>
          <w:sz w:val="20"/>
          <w:szCs w:val="20"/>
        </w:rPr>
        <w:fldChar w:fldCharType="end"/>
      </w:r>
      <w:r w:rsidRPr="00362EC0">
        <w:rPr>
          <w:rFonts w:ascii="Arial" w:hAnsi="Arial" w:cs="Arial"/>
          <w:sz w:val="20"/>
          <w:szCs w:val="20"/>
        </w:rPr>
        <w:t>.</w:t>
      </w:r>
    </w:p>
    <w:p w14:paraId="2852E4B8" w14:textId="6D6A52FD" w:rsidR="00655F3A" w:rsidRPr="00362EC0" w:rsidRDefault="00655F3A" w:rsidP="00655F3A">
      <w:pPr>
        <w:spacing w:after="0" w:line="360" w:lineRule="auto"/>
        <w:ind w:firstLine="720"/>
        <w:contextualSpacing/>
        <w:jc w:val="both"/>
        <w:rPr>
          <w:rFonts w:ascii="Arial" w:hAnsi="Arial" w:cs="Arial"/>
          <w:sz w:val="20"/>
          <w:szCs w:val="20"/>
        </w:rPr>
      </w:pPr>
      <w:r w:rsidRPr="00362EC0">
        <w:rPr>
          <w:rFonts w:ascii="Arial" w:hAnsi="Arial" w:cs="Arial"/>
          <w:sz w:val="20"/>
          <w:szCs w:val="20"/>
        </w:rPr>
        <w:t xml:space="preserve">Despite neural evidence for a distinction between intentional and externally guided inhibition </w:t>
      </w:r>
      <w:r w:rsidRPr="00362EC0">
        <w:rPr>
          <w:rFonts w:ascii="Arial" w:hAnsi="Arial" w:cs="Arial"/>
          <w:sz w:val="20"/>
          <w:szCs w:val="20"/>
        </w:rPr>
        <w:fldChar w:fldCharType="begin" w:fldLock="1"/>
      </w:r>
      <w:r w:rsidRPr="00362EC0">
        <w:rPr>
          <w:rFonts w:ascii="Arial" w:hAnsi="Arial" w:cs="Arial"/>
          <w:sz w:val="20"/>
          <w:szCs w:val="20"/>
        </w:rPr>
        <w:instrText>ADDIN CSL_CITATION {"citationItems":[{"id":"ITEM-1","itemData":{"ISSN":"1065-9471","author":[{"dropping-particle":"","family":"Karch","given":"Susanne","non-dropping-particle":"","parse-names":false,"suffix":""},{"dropping-particle":"","family":"Mulert","given":"Christoph","non-dropping-particle":"","parse-names":false,"suffix":""},{"dropping-particle":"","family":"Thalmeier","given":"Tobias","non-dropping-particle":"","parse-names":false,"suffix":""},{"dropping-particle":"","family":"Lutz","given":"Jürgen","non-dropping-particle":"","parse-names":false,"suffix":""},{"dropping-particle":"","family":"Leicht","given":"Gregor","non-dropping-particle":"","parse-names":false,"suffix":""},{"dropping-particle":"","family":"Meindl","given":"Thomas","non-dropping-particle":"","parse-names":false,"suffix":""},{"dropping-particle":"","family":"Möller","given":"Hans</w:instrText>
      </w:r>
      <w:r w:rsidRPr="00362EC0">
        <w:rPr>
          <w:rFonts w:ascii="Cambria Math" w:hAnsi="Cambria Math" w:cs="Cambria Math"/>
          <w:sz w:val="20"/>
          <w:szCs w:val="20"/>
        </w:rPr>
        <w:instrText>‐</w:instrText>
      </w:r>
      <w:r w:rsidRPr="00362EC0">
        <w:rPr>
          <w:rFonts w:ascii="Arial" w:hAnsi="Arial" w:cs="Arial"/>
          <w:sz w:val="20"/>
          <w:szCs w:val="20"/>
        </w:rPr>
        <w:instrText>Jürgen","non-dropping-particle":"","parse-names":false,"suffix":""},{"dropping-particle":"","family":"Jäger","given":"Lorenz","non-dropping-particle":"","parse-names":false,"suffix":""},{"dropping-particle":"","family":"Pogarell","given":"Oliver","non-dropping-particle":"","parse-names":false,"suffix":""}],"container-title":"Human brain mapping","id":"ITEM-1","issue":"9","issued":{"date-parts":[["2009"]]},"page":"2971-2985","publisher":"Wiley Online Library","title":"The free choice whether or not to respond after stimulus presentation","type":"article-journal","volume":"30"},"uris":["http://www.mendeley.com/documents/?uuid=008cd4fe-d63b-46bf-aa14-1f6dc84a09ed"]},{"id":"ITEM-2","itemData":{"ISSN":"1053-8119","author":[{"dropping-particle":"","family":"Kühn","given":"Simone","non-dropping-particle":"","parse-names":false,"suffix":""},{"dropping-particle":"","family":"Brass","given":"Marcel","non-dropping-particle":"","parse-names":false,"suffix":""}],"container-title":"Neuroimage","id":"ITEM-2","issue":"4","issued":{"date-parts":[["2009"]]},"page":"1187-1193","publisher":"Elsevier","title":"When doing nothing is an option: the neural correlates of deciding whether to act or not","type":"article-journal","volume":"46"},"uris":["http://www.mendeley.com/documents/?uuid=fe18862f-90be-43a0-b653-9b5c99f20efe"]}],"mendeley":{"formattedCitation":"(Karch et al., 2009; Kühn &amp; Brass, 2009)","plainTextFormattedCitation":"(Karch et al., 2009; Kühn &amp; Brass, 2009)","previouslyFormattedCitation":"(Karch et al., 2009; Kühn &amp; Brass, 2009)"},"properties":{"noteIndex":0},"schema":"https://github.com/citation-style-language/schema/raw/master/csl-citation.json"}</w:instrText>
      </w:r>
      <w:r w:rsidRPr="00362EC0">
        <w:rPr>
          <w:rFonts w:ascii="Arial" w:hAnsi="Arial" w:cs="Arial"/>
          <w:sz w:val="20"/>
          <w:szCs w:val="20"/>
        </w:rPr>
        <w:fldChar w:fldCharType="separate"/>
      </w:r>
      <w:r w:rsidRPr="00362EC0">
        <w:rPr>
          <w:rFonts w:ascii="Arial" w:hAnsi="Arial" w:cs="Arial"/>
          <w:noProof/>
          <w:sz w:val="20"/>
          <w:szCs w:val="20"/>
        </w:rPr>
        <w:t>(Karch et al., 2009; Kühn &amp; Brass, 2009)</w:t>
      </w:r>
      <w:r w:rsidRPr="00362EC0">
        <w:rPr>
          <w:rFonts w:ascii="Arial" w:hAnsi="Arial" w:cs="Arial"/>
          <w:sz w:val="20"/>
          <w:szCs w:val="20"/>
        </w:rPr>
        <w:fldChar w:fldCharType="end"/>
      </w:r>
      <w:r w:rsidRPr="00362EC0">
        <w:rPr>
          <w:rFonts w:ascii="Arial" w:hAnsi="Arial" w:cs="Arial"/>
          <w:sz w:val="20"/>
          <w:szCs w:val="20"/>
        </w:rPr>
        <w:t xml:space="preserve"> and behavioural evidence for a distinction between externally and internally guided actions </w:t>
      </w:r>
      <w:r w:rsidRPr="00362EC0">
        <w:rPr>
          <w:rFonts w:ascii="Arial" w:hAnsi="Arial" w:cs="Arial"/>
          <w:sz w:val="20"/>
          <w:szCs w:val="20"/>
        </w:rPr>
        <w:fldChar w:fldCharType="begin" w:fldLock="1"/>
      </w:r>
      <w:r w:rsidRPr="00362EC0">
        <w:rPr>
          <w:rFonts w:ascii="Arial" w:hAnsi="Arial" w:cs="Arial"/>
          <w:sz w:val="20"/>
          <w:szCs w:val="20"/>
        </w:rPr>
        <w:instrText>ADDIN CSL_CITATION {"citationItems":[{"id":"ITEM-1","itemData":{"ISSN":"1053-8119","author":[{"dropping-particle":"","family":"Kühn","given":"Simone","non-dropping-particle":"","parse-names":false,"suffix":""},{"dropping-particle":"","family":"Brass","given":"Marcel","non-dropping-particle":"","parse-names":false,"suffix":""}],"container-title":"Neuroimage","id":"ITEM-1","issue":"4","issued":{"date-parts":[["2009"]]},"page":"1187-1193","publisher":"Elsevier","title":"When doing nothing is an option: the neural correlates of deciding whether to act or not","type":"article-journal","volume":"46"},"uris":["http://www.mendeley.com/documents/?uuid=fe18862f-90be-43a0-b653-9b5c99f20efe"]},{"id":"ITEM-2","itemData":{"author":[{"dropping-particle":"","family":"Parkinson","given":"Jim","non-dropping-particle":"","parse-names":false,"suffix":""},{"dropping-particle":"","family":"Haggard","given":"Patrick","non-dropping-particle":"","parse-names":false,"suffix":""}],"container-title":"Journal of cognitive neuroscience","id":"ITEM-2","issued":{"date-parts":[["2015"]]},"publisher":"MIT Press","title":"Choosing to stop: Responses evoked by externally triggered and internally generated inhibition identify a neural mechanism of will","type":"article-journal"},"uris":["http://www.mendeley.com/documents/?uuid=d02c03da-9976-4977-9978-21a5d1c4a35b"]}],"mendeley":{"formattedCitation":"(Kühn &amp; Brass, 2009; Parkinson &amp; Haggard, 2015)","plainTextFormattedCitation":"(Kühn &amp; Brass, 2009; Parkinson &amp; Haggard, 2015)","previouslyFormattedCitation":"(Kühn &amp; Brass, 2009; Parkinson &amp; Haggard, 2015)"},"properties":{"noteIndex":0},"schema":"https://github.com/citation-style-language/schema/raw/master/csl-citation.json"}</w:instrText>
      </w:r>
      <w:r w:rsidRPr="00362EC0">
        <w:rPr>
          <w:rFonts w:ascii="Arial" w:hAnsi="Arial" w:cs="Arial"/>
          <w:sz w:val="20"/>
          <w:szCs w:val="20"/>
        </w:rPr>
        <w:fldChar w:fldCharType="separate"/>
      </w:r>
      <w:r w:rsidRPr="00362EC0">
        <w:rPr>
          <w:rFonts w:ascii="Arial" w:hAnsi="Arial" w:cs="Arial"/>
          <w:noProof/>
          <w:sz w:val="20"/>
          <w:szCs w:val="20"/>
        </w:rPr>
        <w:t>(Kühn &amp; Brass, 2009; Parkinson &amp; Haggard, 2015)</w:t>
      </w:r>
      <w:r w:rsidRPr="00362EC0">
        <w:rPr>
          <w:rFonts w:ascii="Arial" w:hAnsi="Arial" w:cs="Arial"/>
          <w:sz w:val="20"/>
          <w:szCs w:val="20"/>
        </w:rPr>
        <w:fldChar w:fldCharType="end"/>
      </w:r>
      <w:r w:rsidRPr="00362EC0">
        <w:rPr>
          <w:rFonts w:ascii="Arial" w:hAnsi="Arial" w:cs="Arial"/>
          <w:sz w:val="20"/>
          <w:szCs w:val="20"/>
        </w:rPr>
        <w:t xml:space="preserve">, research on intentional (as well as externally guided) inhibition is constrained by the inherent lack of outcome measures during intentional Stop trials. In intentional inhibition research, the sole focus is on the proportion of intentional </w:t>
      </w:r>
      <w:r w:rsidR="004E5F0F">
        <w:rPr>
          <w:rFonts w:ascii="Arial" w:hAnsi="Arial" w:cs="Arial"/>
          <w:sz w:val="20"/>
          <w:szCs w:val="20"/>
        </w:rPr>
        <w:t>G</w:t>
      </w:r>
      <w:r w:rsidR="004E5F0F" w:rsidRPr="00362EC0">
        <w:rPr>
          <w:rFonts w:ascii="Arial" w:hAnsi="Arial" w:cs="Arial"/>
          <w:sz w:val="20"/>
          <w:szCs w:val="20"/>
        </w:rPr>
        <w:t xml:space="preserve">o </w:t>
      </w:r>
      <w:r w:rsidRPr="00362EC0">
        <w:rPr>
          <w:rFonts w:ascii="Arial" w:hAnsi="Arial" w:cs="Arial"/>
          <w:sz w:val="20"/>
          <w:szCs w:val="20"/>
        </w:rPr>
        <w:t xml:space="preserve">versus </w:t>
      </w:r>
      <w:r w:rsidR="004E5F0F">
        <w:rPr>
          <w:rFonts w:ascii="Arial" w:hAnsi="Arial" w:cs="Arial"/>
          <w:sz w:val="20"/>
          <w:szCs w:val="20"/>
        </w:rPr>
        <w:t>S</w:t>
      </w:r>
      <w:r w:rsidR="004E5F0F" w:rsidRPr="00362EC0">
        <w:rPr>
          <w:rFonts w:ascii="Arial" w:hAnsi="Arial" w:cs="Arial"/>
          <w:sz w:val="20"/>
          <w:szCs w:val="20"/>
        </w:rPr>
        <w:t xml:space="preserve">top </w:t>
      </w:r>
      <w:r w:rsidRPr="00362EC0">
        <w:rPr>
          <w:rFonts w:ascii="Arial" w:hAnsi="Arial" w:cs="Arial"/>
          <w:sz w:val="20"/>
          <w:szCs w:val="20"/>
        </w:rPr>
        <w:t xml:space="preserve">choices to characterise inhibition. Here we further developed Parkinson’s Go/No-go task </w:t>
      </w:r>
      <w:r w:rsidRPr="00362EC0">
        <w:rPr>
          <w:rFonts w:ascii="Arial" w:hAnsi="Arial" w:cs="Arial"/>
          <w:sz w:val="20"/>
          <w:szCs w:val="20"/>
        </w:rPr>
        <w:fldChar w:fldCharType="begin" w:fldLock="1"/>
      </w:r>
      <w:r w:rsidRPr="00362EC0">
        <w:rPr>
          <w:rFonts w:ascii="Arial" w:hAnsi="Arial" w:cs="Arial"/>
          <w:sz w:val="20"/>
          <w:szCs w:val="20"/>
        </w:rPr>
        <w:instrText>ADDIN CSL_CITATION {"citationItems":[{"id":"ITEM-1","itemData":{"ISSN":"1530-7026","author":[{"dropping-particle":"","family":"Parkinson","given":"Jim","non-dropping-particle":"","parse-names":false,"suffix":""},{"dropping-particle":"","family":"Garfinkel","given":"Sarah","non-dropping-particle":"","parse-names":false,"suffix":""},{"dropping-particle":"","family":"Critchley","given":"Hugo","non-dropping-particle":"","parse-names":false,"suffix":""},{"dropping-particle":"","family":"Dienes","given":"Zoltan","non-dropping-particle":"","parse-names":false,"suffix":""},{"dropping-particle":"","family":"Seth","given":"Anil K","non-dropping-particle":"","parse-names":false,"suffix":""}],"container-title":"Cognitive, Affective, &amp; Behavioral Neuroscience","id":"ITEM-1","issue":"2","issued":{"date-parts":[["2017"]]},"page":"252-268","publisher":"Springer","title":"Don’t make me angry, you wouldn’t like me when I’m angry: volitional choices to act or inhibit are modulated by subliminal perception of emotional faces","type":"article-journal","volume":"17"},"uris":["http://www.mendeley.com/documents/?uuid=60ed1a1b-b414-4e07-8f42-edb7c0e923a5"]}],"mendeley":{"formattedCitation":"(Parkinson et al., 2017)","plainTextFormattedCitation":"(Parkinson et al., 2017)","previouslyFormattedCitation":"(Parkinson et al., 2017)"},"properties":{"noteIndex":0},"schema":"https://github.com/citation-style-language/schema/raw/master/csl-citation.json"}</w:instrText>
      </w:r>
      <w:r w:rsidRPr="00362EC0">
        <w:rPr>
          <w:rFonts w:ascii="Arial" w:hAnsi="Arial" w:cs="Arial"/>
          <w:sz w:val="20"/>
          <w:szCs w:val="20"/>
        </w:rPr>
        <w:fldChar w:fldCharType="separate"/>
      </w:r>
      <w:r w:rsidRPr="00362EC0">
        <w:rPr>
          <w:rFonts w:ascii="Arial" w:hAnsi="Arial" w:cs="Arial"/>
          <w:noProof/>
          <w:sz w:val="20"/>
          <w:szCs w:val="20"/>
        </w:rPr>
        <w:t>(Parkinson et al., 2017)</w:t>
      </w:r>
      <w:r w:rsidRPr="00362EC0">
        <w:rPr>
          <w:rFonts w:ascii="Arial" w:hAnsi="Arial" w:cs="Arial"/>
          <w:sz w:val="20"/>
          <w:szCs w:val="20"/>
        </w:rPr>
        <w:fldChar w:fldCharType="end"/>
      </w:r>
      <w:r w:rsidRPr="00362EC0">
        <w:rPr>
          <w:rFonts w:ascii="Arial" w:hAnsi="Arial" w:cs="Arial"/>
          <w:sz w:val="20"/>
          <w:szCs w:val="20"/>
        </w:rPr>
        <w:t xml:space="preserve"> to measure response times for all trial types. </w:t>
      </w:r>
      <w:bookmarkStart w:id="5" w:name="_Hlk32589621"/>
      <w:r w:rsidRPr="00362EC0">
        <w:rPr>
          <w:rFonts w:ascii="Arial" w:hAnsi="Arial" w:cs="Arial"/>
          <w:sz w:val="20"/>
          <w:szCs w:val="20"/>
        </w:rPr>
        <w:t xml:space="preserve">In the Intentional Hand Task, participants initiate an arm movement (start to move the computer mouse from A to B). After motor initiation, a visual signal indicates additional instructions about the current trial type. A green signal indicates rapid movement to point B (Instructed Go trial); a red signal indicates to stop as quickly as possible (Instructed Stop trial); and a yellow signal indicates to choose between finishing the movement to B (Intentional Go trials) or stopping the movement as fast as possible (Intentional Stop trials). This design assesses inhibition of an ongoing movement and allows measures of response times to Go and Stop trials and clearly indicates an inhibitory process as compared to standard tasks in which the lack of an observable action </w:t>
      </w:r>
      <w:r w:rsidR="004E5F0F">
        <w:rPr>
          <w:rFonts w:ascii="Arial" w:hAnsi="Arial" w:cs="Arial"/>
          <w:sz w:val="20"/>
          <w:szCs w:val="20"/>
        </w:rPr>
        <w:t>following</w:t>
      </w:r>
      <w:r w:rsidR="004E5F0F" w:rsidRPr="00362EC0">
        <w:rPr>
          <w:rFonts w:ascii="Arial" w:hAnsi="Arial" w:cs="Arial"/>
          <w:sz w:val="20"/>
          <w:szCs w:val="20"/>
        </w:rPr>
        <w:t xml:space="preserve"> </w:t>
      </w:r>
      <w:r w:rsidRPr="00362EC0">
        <w:rPr>
          <w:rFonts w:ascii="Arial" w:hAnsi="Arial" w:cs="Arial"/>
          <w:sz w:val="20"/>
          <w:szCs w:val="20"/>
        </w:rPr>
        <w:t xml:space="preserve">the Stop cue may indicate either an inhibitory process or lack of motor initiation. To assess the influence of monetary reward on stopping behaviour, each trial type is presented equally </w:t>
      </w:r>
      <w:r w:rsidR="004E5F0F">
        <w:rPr>
          <w:rFonts w:ascii="Arial" w:hAnsi="Arial" w:cs="Arial"/>
          <w:sz w:val="20"/>
          <w:szCs w:val="20"/>
        </w:rPr>
        <w:t xml:space="preserve">often </w:t>
      </w:r>
      <w:r w:rsidRPr="00362EC0">
        <w:rPr>
          <w:rFonts w:ascii="Arial" w:hAnsi="Arial" w:cs="Arial"/>
          <w:sz w:val="20"/>
          <w:szCs w:val="20"/>
        </w:rPr>
        <w:t xml:space="preserve">under three types of explicit reward conditions (no reward, low = £1, high = £5). </w:t>
      </w:r>
      <w:r w:rsidR="00A737B7">
        <w:rPr>
          <w:rFonts w:ascii="Arial" w:hAnsi="Arial" w:cs="Arial"/>
          <w:sz w:val="20"/>
          <w:szCs w:val="20"/>
        </w:rPr>
        <w:t xml:space="preserve">In Instructed trials, accuracy was incentivized, e.g. </w:t>
      </w:r>
      <w:r w:rsidR="00A737B7" w:rsidRPr="00362EC0">
        <w:rPr>
          <w:rFonts w:ascii="Arial" w:hAnsi="Arial" w:cs="Arial"/>
          <w:sz w:val="20"/>
          <w:szCs w:val="20"/>
        </w:rPr>
        <w:t>correct inhibition or correctly performed Go responses</w:t>
      </w:r>
      <w:r w:rsidR="00A737B7">
        <w:rPr>
          <w:rFonts w:ascii="Arial" w:hAnsi="Arial" w:cs="Arial"/>
          <w:sz w:val="20"/>
          <w:szCs w:val="20"/>
        </w:rPr>
        <w:t xml:space="preserve">,  </w:t>
      </w:r>
      <w:r w:rsidRPr="00362EC0">
        <w:rPr>
          <w:rFonts w:ascii="Arial" w:hAnsi="Arial" w:cs="Arial"/>
          <w:sz w:val="20"/>
          <w:szCs w:val="20"/>
        </w:rPr>
        <w:t xml:space="preserve">whereas in the Choice trials </w:t>
      </w:r>
      <w:r w:rsidR="00A737B7">
        <w:rPr>
          <w:rFonts w:ascii="Arial" w:hAnsi="Arial" w:cs="Arial"/>
          <w:sz w:val="20"/>
          <w:szCs w:val="20"/>
        </w:rPr>
        <w:t>participants were told that a</w:t>
      </w:r>
      <w:r w:rsidRPr="00362EC0">
        <w:rPr>
          <w:rFonts w:ascii="Arial" w:hAnsi="Arial" w:cs="Arial"/>
          <w:sz w:val="20"/>
          <w:szCs w:val="20"/>
        </w:rPr>
        <w:t xml:space="preserve"> balanced proportion of Go and Stop (50% intentional Go and 50% intentional Stop)</w:t>
      </w:r>
      <w:r w:rsidR="00A737B7">
        <w:rPr>
          <w:rFonts w:ascii="Arial" w:hAnsi="Arial" w:cs="Arial"/>
          <w:sz w:val="20"/>
          <w:szCs w:val="20"/>
        </w:rPr>
        <w:t xml:space="preserve"> across all Choice trials leads to higher chances of receiving rewards during rewarded trials</w:t>
      </w:r>
      <w:r w:rsidRPr="00362EC0">
        <w:rPr>
          <w:rFonts w:ascii="Arial" w:hAnsi="Arial" w:cs="Arial"/>
          <w:sz w:val="20"/>
          <w:szCs w:val="20"/>
        </w:rPr>
        <w:t>.</w:t>
      </w:r>
    </w:p>
    <w:bookmarkEnd w:id="5"/>
    <w:p w14:paraId="0F1D281C" w14:textId="22FEAA73" w:rsidR="00655F3A" w:rsidRPr="00362EC0" w:rsidRDefault="00655F3A" w:rsidP="00655F3A">
      <w:pPr>
        <w:spacing w:after="0" w:line="360" w:lineRule="auto"/>
        <w:ind w:firstLine="720"/>
        <w:contextualSpacing/>
        <w:jc w:val="both"/>
        <w:rPr>
          <w:rFonts w:ascii="Arial" w:hAnsi="Arial" w:cs="Arial"/>
          <w:sz w:val="20"/>
          <w:szCs w:val="20"/>
        </w:rPr>
      </w:pPr>
      <w:r w:rsidRPr="00362EC0">
        <w:rPr>
          <w:rFonts w:ascii="Arial" w:hAnsi="Arial" w:cs="Arial"/>
          <w:sz w:val="20"/>
          <w:szCs w:val="20"/>
        </w:rPr>
        <w:lastRenderedPageBreak/>
        <w:t>Based on previous research on the influence of reward on externally guided inhibition and action, we hypothesized that response times and accuracy rates to instructed Go trials are fastest and highest during high reward trials. In terms of intentional inhibition, the potential effect of monetary reward on stopping performance is less clear. Previous research on monetary reward and externally guided action and inhibition found behavioural performance to be more aligned with the rewarded outcome. In our task design, the participants are instructed that Choice trials are rewarded depending on how close their overall performance matches randomness. However, given that monetary reward usually elicits approach behaviour, we hypothesize</w:t>
      </w:r>
      <w:r w:rsidR="005D64BD">
        <w:rPr>
          <w:rFonts w:ascii="Arial" w:hAnsi="Arial" w:cs="Arial"/>
          <w:sz w:val="20"/>
          <w:szCs w:val="20"/>
        </w:rPr>
        <w:t>d</w:t>
      </w:r>
      <w:r w:rsidRPr="00362EC0">
        <w:rPr>
          <w:rFonts w:ascii="Arial" w:hAnsi="Arial" w:cs="Arial"/>
          <w:sz w:val="20"/>
          <w:szCs w:val="20"/>
        </w:rPr>
        <w:t xml:space="preserve"> intentional stopping to be less common during high reward trials.</w:t>
      </w:r>
    </w:p>
    <w:p w14:paraId="6C9875AA" w14:textId="77777777" w:rsidR="00655F3A" w:rsidRPr="00362EC0" w:rsidRDefault="00655F3A" w:rsidP="00655F3A">
      <w:pPr>
        <w:spacing w:after="0" w:line="360" w:lineRule="auto"/>
        <w:ind w:firstLine="720"/>
        <w:contextualSpacing/>
        <w:jc w:val="both"/>
        <w:rPr>
          <w:rFonts w:ascii="Arial" w:hAnsi="Arial" w:cs="Arial"/>
          <w:sz w:val="20"/>
          <w:szCs w:val="20"/>
        </w:rPr>
      </w:pPr>
    </w:p>
    <w:bookmarkEnd w:id="0"/>
    <w:bookmarkEnd w:id="4"/>
    <w:p w14:paraId="00A37ECC" w14:textId="5843F6F4" w:rsidR="00705A36" w:rsidRPr="00362EC0" w:rsidRDefault="00327AD6" w:rsidP="001B3FF2">
      <w:pPr>
        <w:spacing w:after="0" w:line="360" w:lineRule="auto"/>
        <w:contextualSpacing/>
        <w:jc w:val="both"/>
        <w:rPr>
          <w:rFonts w:ascii="Arial" w:hAnsi="Arial" w:cs="Arial"/>
          <w:b/>
          <w:sz w:val="20"/>
          <w:szCs w:val="20"/>
        </w:rPr>
      </w:pPr>
      <w:r w:rsidRPr="00362EC0">
        <w:rPr>
          <w:rFonts w:ascii="Arial" w:hAnsi="Arial" w:cs="Arial"/>
          <w:b/>
          <w:sz w:val="20"/>
          <w:szCs w:val="20"/>
        </w:rPr>
        <w:t xml:space="preserve">2 </w:t>
      </w:r>
      <w:r w:rsidR="009817AA" w:rsidRPr="00362EC0">
        <w:rPr>
          <w:rFonts w:ascii="Arial" w:hAnsi="Arial" w:cs="Arial"/>
          <w:b/>
          <w:sz w:val="20"/>
          <w:szCs w:val="20"/>
        </w:rPr>
        <w:t>Methods</w:t>
      </w:r>
    </w:p>
    <w:p w14:paraId="1B4418DA" w14:textId="0F234CBF" w:rsidR="00705A36" w:rsidRPr="00362EC0" w:rsidRDefault="00705A36" w:rsidP="008A0CA8">
      <w:pPr>
        <w:spacing w:line="360" w:lineRule="auto"/>
        <w:jc w:val="both"/>
        <w:rPr>
          <w:rFonts w:ascii="Arial" w:hAnsi="Arial" w:cs="Arial"/>
          <w:b/>
          <w:bCs/>
          <w:sz w:val="20"/>
          <w:szCs w:val="20"/>
        </w:rPr>
      </w:pPr>
      <w:r w:rsidRPr="00362EC0">
        <w:rPr>
          <w:rFonts w:ascii="Arial" w:hAnsi="Arial" w:cs="Arial"/>
          <w:b/>
          <w:bCs/>
          <w:sz w:val="20"/>
          <w:szCs w:val="20"/>
        </w:rPr>
        <w:t>2.</w:t>
      </w:r>
      <w:r w:rsidR="0055504E" w:rsidRPr="00362EC0">
        <w:rPr>
          <w:rFonts w:ascii="Arial" w:hAnsi="Arial" w:cs="Arial"/>
          <w:b/>
          <w:bCs/>
          <w:sz w:val="20"/>
          <w:szCs w:val="20"/>
        </w:rPr>
        <w:t>1</w:t>
      </w:r>
      <w:r w:rsidRPr="00362EC0">
        <w:rPr>
          <w:rFonts w:ascii="Arial" w:hAnsi="Arial" w:cs="Arial"/>
          <w:b/>
          <w:bCs/>
          <w:sz w:val="20"/>
          <w:szCs w:val="20"/>
        </w:rPr>
        <w:t xml:space="preserve"> </w:t>
      </w:r>
      <w:r w:rsidRPr="00362EC0">
        <w:rPr>
          <w:rFonts w:ascii="Arial" w:hAnsi="Arial" w:cs="Arial"/>
          <w:b/>
          <w:bCs/>
          <w:iCs/>
          <w:sz w:val="20"/>
          <w:szCs w:val="20"/>
        </w:rPr>
        <w:t>Intentional</w:t>
      </w:r>
      <w:r w:rsidRPr="00362EC0">
        <w:rPr>
          <w:rFonts w:ascii="Arial" w:hAnsi="Arial" w:cs="Arial"/>
          <w:b/>
          <w:iCs/>
          <w:sz w:val="20"/>
          <w:szCs w:val="20"/>
        </w:rPr>
        <w:t xml:space="preserve"> Hand Task - Reward (IHT-R)</w:t>
      </w:r>
    </w:p>
    <w:p w14:paraId="4A6D2E57" w14:textId="0AC83036" w:rsidR="00635C5F" w:rsidRPr="00362EC0" w:rsidRDefault="00705A36" w:rsidP="00635C5F">
      <w:pPr>
        <w:spacing w:after="0" w:line="360" w:lineRule="auto"/>
        <w:ind w:firstLine="720"/>
        <w:contextualSpacing/>
        <w:jc w:val="both"/>
        <w:rPr>
          <w:rFonts w:ascii="Arial" w:hAnsi="Arial" w:cs="Arial"/>
          <w:sz w:val="20"/>
          <w:szCs w:val="20"/>
        </w:rPr>
      </w:pPr>
      <w:r w:rsidRPr="00362EC0">
        <w:rPr>
          <w:rFonts w:ascii="Arial" w:hAnsi="Arial" w:cs="Arial"/>
          <w:sz w:val="20"/>
          <w:szCs w:val="20"/>
        </w:rPr>
        <w:t>The Intentional Hand Task for Reward was adapted from</w:t>
      </w:r>
      <w:r w:rsidR="00616451">
        <w:rPr>
          <w:rFonts w:ascii="Arial" w:hAnsi="Arial" w:cs="Arial"/>
          <w:sz w:val="20"/>
          <w:szCs w:val="20"/>
        </w:rPr>
        <w:t xml:space="preserve"> </w:t>
      </w:r>
      <w:r w:rsidR="00616451">
        <w:rPr>
          <w:rFonts w:ascii="Arial" w:hAnsi="Arial" w:cs="Arial"/>
          <w:sz w:val="20"/>
          <w:szCs w:val="20"/>
        </w:rPr>
        <w:fldChar w:fldCharType="begin" w:fldLock="1"/>
      </w:r>
      <w:r w:rsidR="00F97A24">
        <w:rPr>
          <w:rFonts w:ascii="Arial" w:hAnsi="Arial" w:cs="Arial"/>
          <w:sz w:val="20"/>
          <w:szCs w:val="20"/>
        </w:rPr>
        <w:instrText>ADDIN CSL_CITATION {"citationItems":[{"id":"ITEM-1","itemData":{"ISSN":"1530-7026","author":[{"dropping-particle":"","family":"Parkinson","given":"Jim","non-dropping-particle":"","parse-names":false,"suffix":""},{"dropping-particle":"","family":"Garfinkel","given":"Sarah","non-dropping-particle":"","parse-names":false,"suffix":""},{"dropping-particle":"","family":"Critchley","given":"Hugo","non-dropping-particle":"","parse-names":false,"suffix":""},{"dropping-particle":"","family":"Dienes","given":"Zoltan","non-dropping-particle":"","parse-names":false,"suffix":""},{"dropping-particle":"","family":"Seth","given":"Anil K","non-dropping-particle":"","parse-names":false,"suffix":""}],"container-title":"Cognitive, Affective, &amp; Behavioral Neuroscience","id":"ITEM-1","issue":"2","issued":{"date-parts":[["2017"]]},"page":"252-268","publisher":"Springer","title":"Don’t make me angry, you wouldn’t like me when I’m angry: volitional choices to act or inhibit are modulated by subliminal perception of emotional faces","type":"article-journal","volume":"17"},"uris":["http://www.mendeley.com/documents/?uuid=60ed1a1b-b414-4e07-8f42-edb7c0e923a5"]}],"mendeley":{"formattedCitation":"(Parkinson et al., 2017)","plainTextFormattedCitation":"(Parkinson et al., 2017)","previouslyFormattedCitation":"(Parkinson et al., 2017)"},"properties":{"noteIndex":0},"schema":"https://github.com/citation-style-language/schema/raw/master/csl-citation.json"}</w:instrText>
      </w:r>
      <w:r w:rsidR="00616451">
        <w:rPr>
          <w:rFonts w:ascii="Arial" w:hAnsi="Arial" w:cs="Arial"/>
          <w:sz w:val="20"/>
          <w:szCs w:val="20"/>
        </w:rPr>
        <w:fldChar w:fldCharType="separate"/>
      </w:r>
      <w:r w:rsidR="00616451" w:rsidRPr="00616451">
        <w:rPr>
          <w:rFonts w:ascii="Arial" w:hAnsi="Arial" w:cs="Arial"/>
          <w:noProof/>
          <w:sz w:val="20"/>
          <w:szCs w:val="20"/>
        </w:rPr>
        <w:t>(Parkinson et al., 2017)</w:t>
      </w:r>
      <w:r w:rsidR="00616451">
        <w:rPr>
          <w:rFonts w:ascii="Arial" w:hAnsi="Arial" w:cs="Arial"/>
          <w:sz w:val="20"/>
          <w:szCs w:val="20"/>
        </w:rPr>
        <w:fldChar w:fldCharType="end"/>
      </w:r>
      <w:r w:rsidR="002A4166" w:rsidRPr="00362EC0">
        <w:rPr>
          <w:rFonts w:ascii="Arial" w:hAnsi="Arial" w:cs="Arial"/>
          <w:sz w:val="20"/>
          <w:szCs w:val="20"/>
        </w:rPr>
        <w:t xml:space="preserve"> and programmed using the software Presentation (Version 20.0, Neurobehavioral Systems, Inc., Berkeley, CA,</w:t>
      </w:r>
      <w:r w:rsidR="00362EC0" w:rsidRPr="00362EC0">
        <w:rPr>
          <w:rFonts w:ascii="Arial" w:hAnsi="Arial" w:cs="Arial"/>
          <w:sz w:val="20"/>
          <w:szCs w:val="20"/>
        </w:rPr>
        <w:t xml:space="preserve"> http://www.neurobs.com</w:t>
      </w:r>
      <w:r w:rsidR="002A4166" w:rsidRPr="00362EC0">
        <w:rPr>
          <w:rFonts w:ascii="Arial" w:hAnsi="Arial" w:cs="Arial"/>
          <w:sz w:val="20"/>
          <w:szCs w:val="20"/>
        </w:rPr>
        <w:t>)</w:t>
      </w:r>
      <w:r w:rsidR="00B01B2A" w:rsidRPr="00362EC0">
        <w:rPr>
          <w:rFonts w:ascii="Arial" w:hAnsi="Arial" w:cs="Arial"/>
          <w:sz w:val="20"/>
          <w:szCs w:val="20"/>
        </w:rPr>
        <w:t xml:space="preserve">. </w:t>
      </w:r>
      <w:r w:rsidRPr="00362EC0">
        <w:rPr>
          <w:rFonts w:ascii="Arial" w:hAnsi="Arial" w:cs="Arial"/>
          <w:sz w:val="20"/>
          <w:szCs w:val="20"/>
        </w:rPr>
        <w:t xml:space="preserve">In this task participants </w:t>
      </w:r>
      <w:bookmarkStart w:id="6" w:name="_Hlk32946838"/>
      <w:r w:rsidR="00FF3D2B" w:rsidRPr="00362EC0">
        <w:rPr>
          <w:rFonts w:ascii="Arial" w:hAnsi="Arial" w:cs="Arial"/>
          <w:sz w:val="20"/>
          <w:szCs w:val="20"/>
        </w:rPr>
        <w:t>moved</w:t>
      </w:r>
      <w:r w:rsidRPr="00362EC0">
        <w:rPr>
          <w:rFonts w:ascii="Arial" w:hAnsi="Arial" w:cs="Arial"/>
          <w:sz w:val="20"/>
          <w:szCs w:val="20"/>
        </w:rPr>
        <w:t xml:space="preserve"> a computer mouse on a </w:t>
      </w:r>
      <w:r w:rsidR="00FF3D2B" w:rsidRPr="00362EC0">
        <w:rPr>
          <w:rFonts w:ascii="Arial" w:hAnsi="Arial" w:cs="Arial"/>
          <w:sz w:val="20"/>
          <w:szCs w:val="20"/>
        </w:rPr>
        <w:t xml:space="preserve">specially created </w:t>
      </w:r>
      <w:r w:rsidRPr="00362EC0">
        <w:rPr>
          <w:rFonts w:ascii="Arial" w:hAnsi="Arial" w:cs="Arial"/>
          <w:sz w:val="20"/>
          <w:szCs w:val="20"/>
        </w:rPr>
        <w:t xml:space="preserve">wooden sliding board </w:t>
      </w:r>
      <w:bookmarkEnd w:id="6"/>
      <w:r w:rsidRPr="00362EC0">
        <w:rPr>
          <w:rFonts w:ascii="Arial" w:hAnsi="Arial" w:cs="Arial"/>
          <w:sz w:val="20"/>
          <w:szCs w:val="20"/>
        </w:rPr>
        <w:t>(allowing only mouse movements in the horizontal plane) with their right hand</w:t>
      </w:r>
      <w:r w:rsidR="00635C5F" w:rsidRPr="00362EC0">
        <w:rPr>
          <w:rFonts w:ascii="Arial" w:hAnsi="Arial" w:cs="Arial"/>
          <w:sz w:val="20"/>
          <w:szCs w:val="20"/>
        </w:rPr>
        <w:t xml:space="preserve"> (see </w:t>
      </w:r>
      <w:r w:rsidR="00635C5F" w:rsidRPr="00362EC0">
        <w:rPr>
          <w:rFonts w:ascii="Arial" w:hAnsi="Arial" w:cs="Arial"/>
          <w:b/>
          <w:bCs/>
          <w:sz w:val="20"/>
          <w:szCs w:val="20"/>
        </w:rPr>
        <w:t>Fig. 1</w:t>
      </w:r>
      <w:r w:rsidR="00635C5F" w:rsidRPr="00362EC0">
        <w:rPr>
          <w:rFonts w:ascii="Arial" w:hAnsi="Arial" w:cs="Arial"/>
          <w:sz w:val="20"/>
          <w:szCs w:val="20"/>
        </w:rPr>
        <w:t>)</w:t>
      </w:r>
      <w:r w:rsidRPr="00362EC0">
        <w:rPr>
          <w:rFonts w:ascii="Arial" w:hAnsi="Arial" w:cs="Arial"/>
          <w:sz w:val="20"/>
          <w:szCs w:val="20"/>
        </w:rPr>
        <w:t xml:space="preserve">. Trials commenced (see </w:t>
      </w:r>
      <w:r w:rsidRPr="00362EC0">
        <w:rPr>
          <w:rFonts w:ascii="Arial" w:hAnsi="Arial" w:cs="Arial"/>
          <w:b/>
          <w:bCs/>
          <w:sz w:val="20"/>
          <w:szCs w:val="20"/>
        </w:rPr>
        <w:t xml:space="preserve">Fig. </w:t>
      </w:r>
      <w:r w:rsidR="00635C5F" w:rsidRPr="00362EC0">
        <w:rPr>
          <w:rFonts w:ascii="Arial" w:hAnsi="Arial" w:cs="Arial"/>
          <w:b/>
          <w:bCs/>
          <w:sz w:val="20"/>
          <w:szCs w:val="20"/>
        </w:rPr>
        <w:t>2</w:t>
      </w:r>
      <w:r w:rsidRPr="00362EC0">
        <w:rPr>
          <w:rFonts w:ascii="Arial" w:hAnsi="Arial" w:cs="Arial"/>
          <w:sz w:val="20"/>
          <w:szCs w:val="20"/>
        </w:rPr>
        <w:t>) with the presentation of a white cursor hand at the left of the screen on top of a bigger white hand (start hand, marked with an X). The bigger hand changed colour to green</w:t>
      </w:r>
      <w:r w:rsidR="00720B8A" w:rsidRPr="00362EC0">
        <w:rPr>
          <w:rFonts w:ascii="Arial" w:hAnsi="Arial" w:cs="Arial"/>
          <w:sz w:val="20"/>
          <w:szCs w:val="20"/>
        </w:rPr>
        <w:t xml:space="preserve"> indicating the Trial Start</w:t>
      </w:r>
      <w:r w:rsidRPr="00362EC0">
        <w:rPr>
          <w:rFonts w:ascii="Arial" w:hAnsi="Arial" w:cs="Arial"/>
          <w:sz w:val="20"/>
          <w:szCs w:val="20"/>
        </w:rPr>
        <w:t xml:space="preserve"> (the delay between the </w:t>
      </w:r>
      <w:r w:rsidR="00FF3D2B" w:rsidRPr="00362EC0">
        <w:rPr>
          <w:rFonts w:ascii="Arial" w:hAnsi="Arial" w:cs="Arial"/>
          <w:sz w:val="20"/>
          <w:szCs w:val="20"/>
        </w:rPr>
        <w:t xml:space="preserve">onset of the white hand and </w:t>
      </w:r>
      <w:r w:rsidRPr="00362EC0">
        <w:rPr>
          <w:rFonts w:ascii="Arial" w:hAnsi="Arial" w:cs="Arial"/>
          <w:sz w:val="20"/>
          <w:szCs w:val="20"/>
        </w:rPr>
        <w:t>appearance of the green hand was random</w:t>
      </w:r>
      <w:r w:rsidR="00FF3D2B" w:rsidRPr="00362EC0">
        <w:rPr>
          <w:rFonts w:ascii="Arial" w:hAnsi="Arial" w:cs="Arial"/>
          <w:sz w:val="20"/>
          <w:szCs w:val="20"/>
        </w:rPr>
        <w:t xml:space="preserve">ly </w:t>
      </w:r>
      <w:r w:rsidRPr="00362EC0">
        <w:rPr>
          <w:rFonts w:ascii="Arial" w:hAnsi="Arial" w:cs="Arial"/>
          <w:sz w:val="20"/>
          <w:szCs w:val="20"/>
        </w:rPr>
        <w:t>jittered between 500 ms and 1 sec, in steps of 50 ms)</w:t>
      </w:r>
      <w:r w:rsidR="00720B8A" w:rsidRPr="00362EC0">
        <w:rPr>
          <w:rFonts w:ascii="Arial" w:hAnsi="Arial" w:cs="Arial"/>
          <w:sz w:val="20"/>
          <w:szCs w:val="20"/>
        </w:rPr>
        <w:t xml:space="preserve"> at which point participants were to </w:t>
      </w:r>
      <w:r w:rsidRPr="00362EC0">
        <w:rPr>
          <w:rFonts w:ascii="Arial" w:hAnsi="Arial" w:cs="Arial"/>
          <w:sz w:val="20"/>
          <w:szCs w:val="20"/>
        </w:rPr>
        <w:t xml:space="preserve">move the white cursor hand towards the </w:t>
      </w:r>
      <w:r w:rsidR="00FF3D2B" w:rsidRPr="00362EC0">
        <w:rPr>
          <w:rFonts w:ascii="Arial" w:hAnsi="Arial" w:cs="Arial"/>
          <w:sz w:val="20"/>
          <w:szCs w:val="20"/>
        </w:rPr>
        <w:t xml:space="preserve">square located on the </w:t>
      </w:r>
      <w:r w:rsidRPr="00362EC0">
        <w:rPr>
          <w:rFonts w:ascii="Arial" w:hAnsi="Arial" w:cs="Arial"/>
          <w:sz w:val="20"/>
          <w:szCs w:val="20"/>
        </w:rPr>
        <w:t>right of the screen</w:t>
      </w:r>
      <w:r w:rsidR="00FF3D2B" w:rsidRPr="00362EC0">
        <w:rPr>
          <w:rFonts w:ascii="Arial" w:hAnsi="Arial" w:cs="Arial"/>
          <w:sz w:val="20"/>
          <w:szCs w:val="20"/>
        </w:rPr>
        <w:t>.</w:t>
      </w:r>
      <w:r w:rsidR="00635C5F" w:rsidRPr="00362EC0">
        <w:rPr>
          <w:rFonts w:ascii="Arial" w:hAnsi="Arial" w:cs="Arial"/>
          <w:sz w:val="20"/>
          <w:szCs w:val="20"/>
        </w:rPr>
        <w:t xml:space="preserve"> </w:t>
      </w:r>
      <w:r w:rsidR="00720B8A" w:rsidRPr="00362EC0">
        <w:rPr>
          <w:rFonts w:ascii="Arial" w:hAnsi="Arial" w:cs="Arial"/>
          <w:sz w:val="20"/>
          <w:szCs w:val="20"/>
        </w:rPr>
        <w:t>Crossing t</w:t>
      </w:r>
      <w:r w:rsidR="00A842DD" w:rsidRPr="00362EC0">
        <w:rPr>
          <w:rFonts w:ascii="Arial" w:hAnsi="Arial" w:cs="Arial"/>
          <w:sz w:val="20"/>
          <w:szCs w:val="20"/>
        </w:rPr>
        <w:t xml:space="preserve">he </w:t>
      </w:r>
      <w:r w:rsidRPr="00362EC0">
        <w:rPr>
          <w:rFonts w:ascii="Arial" w:hAnsi="Arial" w:cs="Arial"/>
          <w:sz w:val="20"/>
          <w:szCs w:val="20"/>
        </w:rPr>
        <w:t xml:space="preserve">left </w:t>
      </w:r>
      <w:r w:rsidR="00FF3D2B" w:rsidRPr="00362EC0">
        <w:rPr>
          <w:rFonts w:ascii="Arial" w:hAnsi="Arial" w:cs="Arial"/>
          <w:sz w:val="20"/>
          <w:szCs w:val="20"/>
        </w:rPr>
        <w:t>border</w:t>
      </w:r>
      <w:r w:rsidRPr="00362EC0">
        <w:rPr>
          <w:rFonts w:ascii="Arial" w:hAnsi="Arial" w:cs="Arial"/>
          <w:sz w:val="20"/>
          <w:szCs w:val="20"/>
        </w:rPr>
        <w:t xml:space="preserve"> </w:t>
      </w:r>
      <w:r w:rsidR="00FF3D2B" w:rsidRPr="00362EC0">
        <w:rPr>
          <w:rFonts w:ascii="Arial" w:hAnsi="Arial" w:cs="Arial"/>
          <w:sz w:val="20"/>
          <w:szCs w:val="20"/>
        </w:rPr>
        <w:t xml:space="preserve">of </w:t>
      </w:r>
      <w:r w:rsidRPr="00362EC0">
        <w:rPr>
          <w:rFonts w:ascii="Arial" w:hAnsi="Arial" w:cs="Arial"/>
          <w:sz w:val="20"/>
          <w:szCs w:val="20"/>
        </w:rPr>
        <w:t xml:space="preserve">the square marked the </w:t>
      </w:r>
      <w:r w:rsidR="00720B8A" w:rsidRPr="00362EC0">
        <w:rPr>
          <w:rFonts w:ascii="Arial" w:hAnsi="Arial" w:cs="Arial"/>
          <w:sz w:val="20"/>
          <w:szCs w:val="20"/>
        </w:rPr>
        <w:t>end point</w:t>
      </w:r>
      <w:r w:rsidR="00FF3D2B" w:rsidRPr="00362EC0">
        <w:rPr>
          <w:rFonts w:ascii="Arial" w:hAnsi="Arial" w:cs="Arial"/>
          <w:sz w:val="20"/>
          <w:szCs w:val="20"/>
        </w:rPr>
        <w:t xml:space="preserve"> for the Go trials.</w:t>
      </w:r>
      <w:r w:rsidR="00EA0028" w:rsidRPr="00362EC0">
        <w:rPr>
          <w:rFonts w:ascii="Arial" w:hAnsi="Arial" w:cs="Arial"/>
          <w:sz w:val="20"/>
          <w:szCs w:val="20"/>
        </w:rPr>
        <w:t xml:space="preserve"> </w:t>
      </w:r>
    </w:p>
    <w:p w14:paraId="0BE368D4" w14:textId="48971097" w:rsidR="002869FB" w:rsidRPr="00362EC0" w:rsidRDefault="00705A36" w:rsidP="00635C5F">
      <w:pPr>
        <w:spacing w:after="0" w:line="360" w:lineRule="auto"/>
        <w:ind w:firstLine="720"/>
        <w:contextualSpacing/>
        <w:jc w:val="both"/>
        <w:rPr>
          <w:rFonts w:ascii="Arial" w:hAnsi="Arial" w:cs="Arial"/>
          <w:sz w:val="20"/>
          <w:szCs w:val="20"/>
        </w:rPr>
      </w:pPr>
      <w:r w:rsidRPr="00362EC0">
        <w:rPr>
          <w:rFonts w:ascii="Arial" w:hAnsi="Arial" w:cs="Arial"/>
          <w:sz w:val="20"/>
          <w:szCs w:val="20"/>
        </w:rPr>
        <w:t>Premature responses were defined as mov</w:t>
      </w:r>
      <w:r w:rsidR="00720B8A" w:rsidRPr="00362EC0">
        <w:rPr>
          <w:rFonts w:ascii="Arial" w:hAnsi="Arial" w:cs="Arial"/>
          <w:sz w:val="20"/>
          <w:szCs w:val="20"/>
        </w:rPr>
        <w:t>ement of</w:t>
      </w:r>
      <w:r w:rsidRPr="00362EC0">
        <w:rPr>
          <w:rFonts w:ascii="Arial" w:hAnsi="Arial" w:cs="Arial"/>
          <w:sz w:val="20"/>
          <w:szCs w:val="20"/>
        </w:rPr>
        <w:t xml:space="preserve"> the cursor hand before the </w:t>
      </w:r>
      <w:r w:rsidR="00720B8A" w:rsidRPr="00362EC0">
        <w:rPr>
          <w:rFonts w:ascii="Arial" w:hAnsi="Arial" w:cs="Arial"/>
          <w:sz w:val="20"/>
          <w:szCs w:val="20"/>
        </w:rPr>
        <w:t>Trial Start (</w:t>
      </w:r>
      <w:r w:rsidR="00A737B7">
        <w:rPr>
          <w:rFonts w:ascii="Arial" w:hAnsi="Arial" w:cs="Arial"/>
          <w:sz w:val="20"/>
          <w:szCs w:val="20"/>
        </w:rPr>
        <w:t>before</w:t>
      </w:r>
      <w:r w:rsidR="00A737B7" w:rsidRPr="00362EC0">
        <w:rPr>
          <w:rFonts w:ascii="Arial" w:hAnsi="Arial" w:cs="Arial"/>
          <w:sz w:val="20"/>
          <w:szCs w:val="20"/>
        </w:rPr>
        <w:t xml:space="preserve"> </w:t>
      </w:r>
      <w:r w:rsidR="00720B8A" w:rsidRPr="00362EC0">
        <w:rPr>
          <w:rFonts w:ascii="Arial" w:hAnsi="Arial" w:cs="Arial"/>
          <w:sz w:val="20"/>
          <w:szCs w:val="20"/>
        </w:rPr>
        <w:t xml:space="preserve">the </w:t>
      </w:r>
      <w:r w:rsidR="00AE6F66" w:rsidRPr="00362EC0">
        <w:rPr>
          <w:rFonts w:ascii="Arial" w:hAnsi="Arial" w:cs="Arial"/>
          <w:sz w:val="20"/>
          <w:szCs w:val="20"/>
        </w:rPr>
        <w:t>bigger</w:t>
      </w:r>
      <w:r w:rsidRPr="00362EC0">
        <w:rPr>
          <w:rFonts w:ascii="Arial" w:hAnsi="Arial" w:cs="Arial"/>
          <w:sz w:val="20"/>
          <w:szCs w:val="20"/>
        </w:rPr>
        <w:t xml:space="preserve"> hand turned green</w:t>
      </w:r>
      <w:r w:rsidR="00720B8A" w:rsidRPr="00362EC0">
        <w:rPr>
          <w:rFonts w:ascii="Arial" w:hAnsi="Arial" w:cs="Arial"/>
          <w:sz w:val="20"/>
          <w:szCs w:val="20"/>
        </w:rPr>
        <w:t>)</w:t>
      </w:r>
      <w:r w:rsidRPr="00362EC0">
        <w:rPr>
          <w:rFonts w:ascii="Arial" w:hAnsi="Arial" w:cs="Arial"/>
          <w:sz w:val="20"/>
          <w:szCs w:val="20"/>
        </w:rPr>
        <w:t xml:space="preserve"> </w:t>
      </w:r>
      <w:r w:rsidR="00720B8A" w:rsidRPr="00362EC0">
        <w:rPr>
          <w:rFonts w:ascii="Arial" w:hAnsi="Arial" w:cs="Arial"/>
          <w:sz w:val="20"/>
          <w:szCs w:val="20"/>
        </w:rPr>
        <w:t>leading to an aborted trial with</w:t>
      </w:r>
      <w:r w:rsidR="00EA0028" w:rsidRPr="00362EC0">
        <w:rPr>
          <w:rFonts w:ascii="Arial" w:hAnsi="Arial" w:cs="Arial"/>
          <w:sz w:val="20"/>
          <w:szCs w:val="20"/>
        </w:rPr>
        <w:t xml:space="preserve"> </w:t>
      </w:r>
      <w:r w:rsidR="00720B8A" w:rsidRPr="00362EC0">
        <w:rPr>
          <w:rFonts w:ascii="Arial" w:hAnsi="Arial" w:cs="Arial"/>
          <w:sz w:val="20"/>
          <w:szCs w:val="20"/>
        </w:rPr>
        <w:t>feedback</w:t>
      </w:r>
      <w:r w:rsidRPr="00362EC0">
        <w:rPr>
          <w:rFonts w:ascii="Arial" w:hAnsi="Arial" w:cs="Arial"/>
          <w:sz w:val="20"/>
          <w:szCs w:val="20"/>
        </w:rPr>
        <w:t xml:space="preserve">: "You moved the mouse too early. Move the mouse back to the start position and click the left button" </w:t>
      </w:r>
      <w:r w:rsidR="00720B8A" w:rsidRPr="00362EC0">
        <w:rPr>
          <w:rFonts w:ascii="Arial" w:hAnsi="Arial" w:cs="Arial"/>
          <w:sz w:val="20"/>
          <w:szCs w:val="20"/>
        </w:rPr>
        <w:t>followed by a restart of the trial.</w:t>
      </w:r>
      <w:r w:rsidR="00EA0028" w:rsidRPr="00362EC0">
        <w:rPr>
          <w:rFonts w:ascii="Arial" w:hAnsi="Arial" w:cs="Arial"/>
          <w:sz w:val="20"/>
          <w:szCs w:val="20"/>
        </w:rPr>
        <w:t xml:space="preserve"> </w:t>
      </w:r>
      <w:r w:rsidR="00720B8A" w:rsidRPr="00362EC0">
        <w:rPr>
          <w:rFonts w:ascii="Arial" w:hAnsi="Arial" w:cs="Arial"/>
          <w:sz w:val="20"/>
          <w:szCs w:val="20"/>
        </w:rPr>
        <w:t xml:space="preserve">Following a successful </w:t>
      </w:r>
      <w:r w:rsidR="00A737B7">
        <w:rPr>
          <w:rFonts w:ascii="Arial" w:hAnsi="Arial" w:cs="Arial"/>
          <w:sz w:val="20"/>
          <w:szCs w:val="20"/>
        </w:rPr>
        <w:t>Trial Start</w:t>
      </w:r>
      <w:r w:rsidR="00720B8A" w:rsidRPr="00362EC0">
        <w:rPr>
          <w:rFonts w:ascii="Arial" w:hAnsi="Arial" w:cs="Arial"/>
          <w:sz w:val="20"/>
          <w:szCs w:val="20"/>
        </w:rPr>
        <w:t xml:space="preserve"> </w:t>
      </w:r>
      <w:r w:rsidRPr="00362EC0">
        <w:rPr>
          <w:rFonts w:ascii="Arial" w:hAnsi="Arial" w:cs="Arial"/>
          <w:sz w:val="20"/>
          <w:szCs w:val="20"/>
        </w:rPr>
        <w:t xml:space="preserve">the cursor hand changed colour </w:t>
      </w:r>
      <w:r w:rsidR="00015138" w:rsidRPr="00362EC0">
        <w:rPr>
          <w:rFonts w:ascii="Arial" w:hAnsi="Arial" w:cs="Arial"/>
          <w:sz w:val="20"/>
          <w:szCs w:val="20"/>
        </w:rPr>
        <w:t xml:space="preserve">to green, red or yellow </w:t>
      </w:r>
      <w:r w:rsidRPr="00362EC0">
        <w:rPr>
          <w:rFonts w:ascii="Arial" w:hAnsi="Arial" w:cs="Arial"/>
          <w:sz w:val="20"/>
          <w:szCs w:val="20"/>
        </w:rPr>
        <w:t>at a random location (</w:t>
      </w:r>
      <w:r w:rsidR="006D1979" w:rsidRPr="00362EC0">
        <w:rPr>
          <w:rFonts w:ascii="Arial" w:hAnsi="Arial" w:cs="Arial"/>
          <w:sz w:val="20"/>
          <w:szCs w:val="20"/>
        </w:rPr>
        <w:t xml:space="preserve">with </w:t>
      </w:r>
      <w:r w:rsidRPr="00362EC0">
        <w:rPr>
          <w:rFonts w:ascii="Arial" w:hAnsi="Arial" w:cs="Arial"/>
          <w:sz w:val="20"/>
          <w:szCs w:val="20"/>
        </w:rPr>
        <w:t>equal distance</w:t>
      </w:r>
      <w:r w:rsidR="002A4166" w:rsidRPr="00362EC0">
        <w:rPr>
          <w:rFonts w:ascii="Arial" w:hAnsi="Arial" w:cs="Arial"/>
          <w:sz w:val="20"/>
          <w:szCs w:val="20"/>
        </w:rPr>
        <w:t xml:space="preserve"> </w:t>
      </w:r>
      <w:r w:rsidRPr="00362EC0">
        <w:rPr>
          <w:rFonts w:ascii="Arial" w:hAnsi="Arial" w:cs="Arial"/>
          <w:sz w:val="20"/>
          <w:szCs w:val="20"/>
        </w:rPr>
        <w:t xml:space="preserve">to the end line </w:t>
      </w:r>
      <w:r w:rsidR="003E680D" w:rsidRPr="00362EC0">
        <w:rPr>
          <w:rFonts w:ascii="Arial" w:hAnsi="Arial" w:cs="Arial"/>
          <w:sz w:val="20"/>
          <w:szCs w:val="20"/>
        </w:rPr>
        <w:t>for</w:t>
      </w:r>
      <w:r w:rsidR="006D1979" w:rsidRPr="00362EC0">
        <w:rPr>
          <w:rFonts w:ascii="Arial" w:hAnsi="Arial" w:cs="Arial"/>
          <w:sz w:val="20"/>
          <w:szCs w:val="20"/>
        </w:rPr>
        <w:t xml:space="preserve"> all</w:t>
      </w:r>
      <w:r w:rsidRPr="00362EC0">
        <w:rPr>
          <w:rFonts w:ascii="Arial" w:hAnsi="Arial" w:cs="Arial"/>
          <w:sz w:val="20"/>
          <w:szCs w:val="20"/>
        </w:rPr>
        <w:t xml:space="preserve"> trials)</w:t>
      </w:r>
      <w:r w:rsidR="001831BD" w:rsidRPr="00362EC0">
        <w:rPr>
          <w:rFonts w:ascii="Arial" w:hAnsi="Arial" w:cs="Arial"/>
          <w:sz w:val="20"/>
          <w:szCs w:val="20"/>
        </w:rPr>
        <w:t xml:space="preserve"> </w:t>
      </w:r>
      <w:r w:rsidR="009F707E" w:rsidRPr="00362EC0">
        <w:rPr>
          <w:rFonts w:ascii="Arial" w:hAnsi="Arial" w:cs="Arial"/>
          <w:sz w:val="20"/>
          <w:szCs w:val="20"/>
        </w:rPr>
        <w:t xml:space="preserve">indicating </w:t>
      </w:r>
      <w:r w:rsidR="00015138" w:rsidRPr="00362EC0">
        <w:rPr>
          <w:rFonts w:ascii="Arial" w:hAnsi="Arial" w:cs="Arial"/>
          <w:sz w:val="20"/>
          <w:szCs w:val="20"/>
        </w:rPr>
        <w:t>either an</w:t>
      </w:r>
      <w:r w:rsidR="009F707E" w:rsidRPr="00362EC0">
        <w:rPr>
          <w:rFonts w:ascii="Arial" w:hAnsi="Arial" w:cs="Arial"/>
          <w:sz w:val="20"/>
          <w:szCs w:val="20"/>
        </w:rPr>
        <w:t xml:space="preserve"> instructed Go, instructed Stop or Choice trial</w:t>
      </w:r>
      <w:r w:rsidR="00015138" w:rsidRPr="00362EC0">
        <w:rPr>
          <w:rFonts w:ascii="Arial" w:hAnsi="Arial" w:cs="Arial"/>
          <w:sz w:val="20"/>
          <w:szCs w:val="20"/>
        </w:rPr>
        <w:t xml:space="preserve"> respectively</w:t>
      </w:r>
      <w:r w:rsidR="009F707E" w:rsidRPr="00362EC0">
        <w:rPr>
          <w:rFonts w:ascii="Arial" w:hAnsi="Arial" w:cs="Arial"/>
          <w:sz w:val="20"/>
          <w:szCs w:val="20"/>
        </w:rPr>
        <w:t xml:space="preserve">. </w:t>
      </w:r>
      <w:bookmarkStart w:id="7" w:name="_Hlk46751616"/>
    </w:p>
    <w:p w14:paraId="45B884BA" w14:textId="139D845E" w:rsidR="00705A36" w:rsidRPr="00362EC0" w:rsidRDefault="000437E8" w:rsidP="000437E8">
      <w:pPr>
        <w:spacing w:after="0" w:line="360" w:lineRule="auto"/>
        <w:ind w:firstLine="720"/>
        <w:contextualSpacing/>
        <w:rPr>
          <w:rFonts w:ascii="Arial" w:hAnsi="Arial" w:cs="Arial"/>
          <w:sz w:val="20"/>
          <w:szCs w:val="20"/>
        </w:rPr>
      </w:pPr>
      <w:r w:rsidRPr="00362EC0">
        <w:rPr>
          <w:rFonts w:ascii="Arial" w:hAnsi="Arial" w:cs="Arial"/>
          <w:sz w:val="20"/>
          <w:szCs w:val="20"/>
        </w:rPr>
        <w:t xml:space="preserve">In </w:t>
      </w:r>
      <w:r w:rsidR="009916DB" w:rsidRPr="00362EC0">
        <w:rPr>
          <w:rFonts w:ascii="Arial" w:hAnsi="Arial" w:cs="Arial"/>
          <w:sz w:val="20"/>
          <w:szCs w:val="20"/>
        </w:rPr>
        <w:t>Go trials, the goal was to move the green cursor hand past the end point as fast as possible, and correct Go response times reflect the time taken from the appearance of the Cue to when the participants moved the cursor past the end point (in other words, past the left border of the square). In the Stop trials, the goal was to stop the red cursor as fast as possible before reaching the end line, and Stop response times reflect the time from the appearance of the Cue to completely stopping the cursor (defined as not changing cursor location for at least one refresh rate = 16 ms) and this stopping location had to be before the end point defined for Go trials.</w:t>
      </w:r>
    </w:p>
    <w:bookmarkEnd w:id="7"/>
    <w:p w14:paraId="2D1E878E" w14:textId="6664411A" w:rsidR="002C1634" w:rsidRPr="00362EC0" w:rsidRDefault="00705A36" w:rsidP="000437E8">
      <w:pPr>
        <w:spacing w:after="0" w:line="360" w:lineRule="auto"/>
        <w:ind w:firstLine="720"/>
        <w:contextualSpacing/>
        <w:jc w:val="both"/>
        <w:rPr>
          <w:rFonts w:ascii="Arial" w:hAnsi="Arial" w:cs="Arial"/>
          <w:sz w:val="20"/>
          <w:szCs w:val="20"/>
        </w:rPr>
      </w:pPr>
      <w:r w:rsidRPr="00362EC0">
        <w:rPr>
          <w:rFonts w:ascii="Arial" w:hAnsi="Arial" w:cs="Arial"/>
          <w:sz w:val="20"/>
          <w:szCs w:val="20"/>
        </w:rPr>
        <w:t xml:space="preserve">In </w:t>
      </w:r>
      <w:r w:rsidR="00015138" w:rsidRPr="00362EC0">
        <w:rPr>
          <w:rFonts w:ascii="Arial" w:hAnsi="Arial" w:cs="Arial"/>
          <w:sz w:val="20"/>
          <w:szCs w:val="20"/>
        </w:rPr>
        <w:t>C</w:t>
      </w:r>
      <w:r w:rsidRPr="00362EC0">
        <w:rPr>
          <w:rFonts w:ascii="Arial" w:hAnsi="Arial" w:cs="Arial"/>
          <w:sz w:val="20"/>
          <w:szCs w:val="20"/>
        </w:rPr>
        <w:t xml:space="preserve">hoice trials, the participants </w:t>
      </w:r>
      <w:r w:rsidR="00A842DD" w:rsidRPr="00362EC0">
        <w:rPr>
          <w:rFonts w:ascii="Arial" w:hAnsi="Arial" w:cs="Arial"/>
          <w:sz w:val="20"/>
          <w:szCs w:val="20"/>
        </w:rPr>
        <w:t>were</w:t>
      </w:r>
      <w:r w:rsidRPr="00362EC0">
        <w:rPr>
          <w:rFonts w:ascii="Arial" w:hAnsi="Arial" w:cs="Arial"/>
          <w:sz w:val="20"/>
          <w:szCs w:val="20"/>
        </w:rPr>
        <w:t xml:space="preserve"> instructed to decide between stopping t</w:t>
      </w:r>
      <w:r w:rsidR="00020865" w:rsidRPr="00362EC0">
        <w:rPr>
          <w:rFonts w:ascii="Arial" w:hAnsi="Arial" w:cs="Arial"/>
          <w:sz w:val="20"/>
          <w:szCs w:val="20"/>
        </w:rPr>
        <w:t>he movement of</w:t>
      </w:r>
      <w:r w:rsidRPr="00362EC0">
        <w:rPr>
          <w:rFonts w:ascii="Arial" w:hAnsi="Arial" w:cs="Arial"/>
          <w:sz w:val="20"/>
          <w:szCs w:val="20"/>
        </w:rPr>
        <w:t xml:space="preserve"> the </w:t>
      </w:r>
      <w:r w:rsidR="00AE6F66" w:rsidRPr="00362EC0">
        <w:rPr>
          <w:rFonts w:ascii="Arial" w:hAnsi="Arial" w:cs="Arial"/>
          <w:sz w:val="20"/>
          <w:szCs w:val="20"/>
        </w:rPr>
        <w:t xml:space="preserve">yellow </w:t>
      </w:r>
      <w:r w:rsidRPr="00362EC0">
        <w:rPr>
          <w:rFonts w:ascii="Arial" w:hAnsi="Arial" w:cs="Arial"/>
          <w:sz w:val="20"/>
          <w:szCs w:val="20"/>
        </w:rPr>
        <w:t>cursor mouse as quickly as possible (</w:t>
      </w:r>
      <w:r w:rsidR="000437E8" w:rsidRPr="00362EC0">
        <w:rPr>
          <w:rFonts w:ascii="Arial" w:hAnsi="Arial" w:cs="Arial"/>
          <w:sz w:val="20"/>
          <w:szCs w:val="20"/>
        </w:rPr>
        <w:t xml:space="preserve">Intentional </w:t>
      </w:r>
      <w:r w:rsidR="00A91FEB" w:rsidRPr="00362EC0">
        <w:rPr>
          <w:rFonts w:ascii="Arial" w:hAnsi="Arial" w:cs="Arial"/>
          <w:sz w:val="20"/>
          <w:szCs w:val="20"/>
        </w:rPr>
        <w:t>S</w:t>
      </w:r>
      <w:r w:rsidRPr="00362EC0">
        <w:rPr>
          <w:rFonts w:ascii="Arial" w:hAnsi="Arial" w:cs="Arial"/>
          <w:sz w:val="20"/>
          <w:szCs w:val="20"/>
        </w:rPr>
        <w:t xml:space="preserve">top trials) or </w:t>
      </w:r>
      <w:r w:rsidR="00020865" w:rsidRPr="00362EC0">
        <w:rPr>
          <w:rFonts w:ascii="Arial" w:hAnsi="Arial" w:cs="Arial"/>
          <w:sz w:val="20"/>
          <w:szCs w:val="20"/>
        </w:rPr>
        <w:t xml:space="preserve">to </w:t>
      </w:r>
      <w:r w:rsidRPr="00362EC0">
        <w:rPr>
          <w:rFonts w:ascii="Arial" w:hAnsi="Arial" w:cs="Arial"/>
          <w:sz w:val="20"/>
          <w:szCs w:val="20"/>
        </w:rPr>
        <w:t xml:space="preserve">move </w:t>
      </w:r>
      <w:r w:rsidR="00CC19B8" w:rsidRPr="00362EC0">
        <w:rPr>
          <w:rFonts w:ascii="Arial" w:hAnsi="Arial" w:cs="Arial"/>
          <w:sz w:val="20"/>
          <w:szCs w:val="20"/>
        </w:rPr>
        <w:t xml:space="preserve">the cursor </w:t>
      </w:r>
      <w:r w:rsidRPr="00362EC0">
        <w:rPr>
          <w:rFonts w:ascii="Arial" w:hAnsi="Arial" w:cs="Arial"/>
          <w:sz w:val="20"/>
          <w:szCs w:val="20"/>
        </w:rPr>
        <w:t>as fast as possible past the end line (</w:t>
      </w:r>
      <w:r w:rsidR="000437E8" w:rsidRPr="00362EC0">
        <w:rPr>
          <w:rFonts w:ascii="Arial" w:hAnsi="Arial" w:cs="Arial"/>
          <w:sz w:val="20"/>
          <w:szCs w:val="20"/>
        </w:rPr>
        <w:t xml:space="preserve">Intentional </w:t>
      </w:r>
      <w:r w:rsidR="00A91FEB" w:rsidRPr="00362EC0">
        <w:rPr>
          <w:rFonts w:ascii="Arial" w:hAnsi="Arial" w:cs="Arial"/>
          <w:sz w:val="20"/>
          <w:szCs w:val="20"/>
        </w:rPr>
        <w:t>G</w:t>
      </w:r>
      <w:r w:rsidRPr="00362EC0">
        <w:rPr>
          <w:rFonts w:ascii="Arial" w:hAnsi="Arial" w:cs="Arial"/>
          <w:sz w:val="20"/>
          <w:szCs w:val="20"/>
        </w:rPr>
        <w:t xml:space="preserve">o trials). </w:t>
      </w:r>
      <w:r w:rsidR="00020865" w:rsidRPr="00362EC0">
        <w:rPr>
          <w:rFonts w:ascii="Arial" w:hAnsi="Arial" w:cs="Arial"/>
          <w:sz w:val="20"/>
          <w:szCs w:val="20"/>
        </w:rPr>
        <w:t xml:space="preserve">Similar to </w:t>
      </w:r>
      <w:r w:rsidR="000437E8" w:rsidRPr="00362EC0">
        <w:rPr>
          <w:rFonts w:ascii="Arial" w:hAnsi="Arial" w:cs="Arial"/>
          <w:sz w:val="20"/>
          <w:szCs w:val="20"/>
        </w:rPr>
        <w:t xml:space="preserve">previous </w:t>
      </w:r>
      <w:r w:rsidR="00020865" w:rsidRPr="00362EC0">
        <w:rPr>
          <w:rFonts w:ascii="Arial" w:hAnsi="Arial" w:cs="Arial"/>
          <w:sz w:val="20"/>
          <w:szCs w:val="20"/>
        </w:rPr>
        <w:t xml:space="preserve">intentional inhibition task designs </w:t>
      </w:r>
      <w:r w:rsidR="00020865" w:rsidRPr="00362EC0">
        <w:rPr>
          <w:rFonts w:ascii="Arial" w:hAnsi="Arial" w:cs="Arial"/>
          <w:sz w:val="20"/>
          <w:szCs w:val="20"/>
        </w:rPr>
        <w:fldChar w:fldCharType="begin" w:fldLock="1"/>
      </w:r>
      <w:r w:rsidR="00020865" w:rsidRPr="00362EC0">
        <w:rPr>
          <w:rFonts w:ascii="Arial" w:hAnsi="Arial" w:cs="Arial"/>
          <w:sz w:val="20"/>
          <w:szCs w:val="20"/>
        </w:rPr>
        <w:instrText>ADDIN CSL_CITATION {"citationItems":[{"id":"ITEM-1","itemData":{"ISSN":"1530-7026","author":[{"dropping-particle":"","family":"Parkinson","given":"Jim","non-dropping-particle":"","parse-names":false,"suffix":""},{"dropping-particle":"","family":"Garfinkel","given":"Sarah","non-dropping-particle":"","parse-names":false,"suffix":""},{"dropping-particle":"","family":"Critchley","given":"Hugo","non-dropping-particle":"","parse-names":false,"suffix":""},{"dropping-particle":"","family":"Dienes","given":"Zoltan","non-dropping-particle":"","parse-names":false,"suffix":""},{"dropping-particle":"","family":"Seth","given":"Anil K","non-dropping-particle":"","parse-names":false,"suffix":""}],"container-title":"Cognitive, Affective, &amp; Behavioral Neuroscience","id":"ITEM-1","issue":"2","issued":{"date-parts":[["2017"]]},"page":"252-268","publisher":"Springer","title":"Don’t make me angry, you wouldn’t like me when I’m angry: volitional choices to act or inhibit are modulated by subliminal perception of emotional faces","type":"article-journal","volume":"17"},"uris":["http://www.mendeley.com/documents/?uuid=60ed1a1b-b414-4e07-8f42-edb7c0e923a5"]}],"mendeley":{"formattedCitation":"(Parkinson et al., 2017)","plainTextFormattedCitation":"(Parkinson et al., 2017)","previouslyFormattedCitation":"(Parkinson et al., 2017)"},"properties":{"noteIndex":0},"schema":"https://github.com/citation-style-language/schema/raw/master/csl-citation.json"}</w:instrText>
      </w:r>
      <w:r w:rsidR="00020865" w:rsidRPr="00362EC0">
        <w:rPr>
          <w:rFonts w:ascii="Arial" w:hAnsi="Arial" w:cs="Arial"/>
          <w:sz w:val="20"/>
          <w:szCs w:val="20"/>
        </w:rPr>
        <w:fldChar w:fldCharType="separate"/>
      </w:r>
      <w:r w:rsidR="00020865" w:rsidRPr="00362EC0">
        <w:rPr>
          <w:rFonts w:ascii="Arial" w:hAnsi="Arial" w:cs="Arial"/>
          <w:noProof/>
          <w:sz w:val="20"/>
          <w:szCs w:val="20"/>
        </w:rPr>
        <w:t>(Parkinson et al., 2017)</w:t>
      </w:r>
      <w:r w:rsidR="00020865" w:rsidRPr="00362EC0">
        <w:rPr>
          <w:rFonts w:ascii="Arial" w:hAnsi="Arial" w:cs="Arial"/>
          <w:sz w:val="20"/>
          <w:szCs w:val="20"/>
        </w:rPr>
        <w:fldChar w:fldCharType="end"/>
      </w:r>
      <w:r w:rsidR="00020865" w:rsidRPr="00362EC0">
        <w:rPr>
          <w:rFonts w:ascii="Arial" w:hAnsi="Arial" w:cs="Arial"/>
          <w:sz w:val="20"/>
          <w:szCs w:val="20"/>
        </w:rPr>
        <w:t xml:space="preserve">, </w:t>
      </w:r>
      <w:bookmarkStart w:id="8" w:name="_Hlk46592139"/>
      <w:r w:rsidR="00020865" w:rsidRPr="00362EC0">
        <w:rPr>
          <w:rFonts w:ascii="Arial" w:hAnsi="Arial" w:cs="Arial"/>
          <w:sz w:val="20"/>
          <w:szCs w:val="20"/>
        </w:rPr>
        <w:t>C</w:t>
      </w:r>
      <w:r w:rsidRPr="00362EC0">
        <w:rPr>
          <w:rFonts w:ascii="Arial" w:hAnsi="Arial" w:cs="Arial"/>
          <w:sz w:val="20"/>
          <w:szCs w:val="20"/>
        </w:rPr>
        <w:t xml:space="preserve">hoice trials were given the additional instruction of </w:t>
      </w:r>
      <w:r w:rsidR="00020865" w:rsidRPr="00362EC0">
        <w:rPr>
          <w:rFonts w:ascii="Arial" w:hAnsi="Arial" w:cs="Arial"/>
          <w:sz w:val="20"/>
          <w:szCs w:val="20"/>
        </w:rPr>
        <w:t>attempting</w:t>
      </w:r>
      <w:r w:rsidRPr="00362EC0">
        <w:rPr>
          <w:rFonts w:ascii="Arial" w:hAnsi="Arial" w:cs="Arial"/>
          <w:sz w:val="20"/>
          <w:szCs w:val="20"/>
        </w:rPr>
        <w:t xml:space="preserve"> to balance the decision 50:50 between stopping and going without </w:t>
      </w:r>
      <w:r w:rsidR="00AB5AD7" w:rsidRPr="00362EC0">
        <w:rPr>
          <w:rFonts w:ascii="Arial" w:hAnsi="Arial" w:cs="Arial"/>
          <w:sz w:val="20"/>
          <w:szCs w:val="20"/>
        </w:rPr>
        <w:t xml:space="preserve">preconceived strategies such as </w:t>
      </w:r>
      <w:r w:rsidRPr="00362EC0">
        <w:rPr>
          <w:rFonts w:ascii="Arial" w:hAnsi="Arial" w:cs="Arial"/>
          <w:sz w:val="20"/>
          <w:szCs w:val="20"/>
        </w:rPr>
        <w:t>counting or alternating choices</w:t>
      </w:r>
      <w:r w:rsidR="00AB5AD7" w:rsidRPr="00362EC0">
        <w:rPr>
          <w:rFonts w:ascii="Arial" w:hAnsi="Arial" w:cs="Arial"/>
          <w:sz w:val="20"/>
          <w:szCs w:val="20"/>
        </w:rPr>
        <w:t xml:space="preserve">, and instead </w:t>
      </w:r>
      <w:r w:rsidR="000437E8" w:rsidRPr="00362EC0">
        <w:rPr>
          <w:rFonts w:ascii="Arial" w:hAnsi="Arial" w:cs="Arial"/>
          <w:sz w:val="20"/>
          <w:szCs w:val="20"/>
        </w:rPr>
        <w:t xml:space="preserve">to </w:t>
      </w:r>
      <w:r w:rsidR="00AB5AD7" w:rsidRPr="00362EC0">
        <w:rPr>
          <w:rFonts w:ascii="Arial" w:hAnsi="Arial" w:cs="Arial"/>
          <w:sz w:val="20"/>
          <w:szCs w:val="20"/>
        </w:rPr>
        <w:t>base their decision on what they want to do in this specific moment</w:t>
      </w:r>
      <w:r w:rsidRPr="00362EC0">
        <w:rPr>
          <w:rFonts w:ascii="Arial" w:hAnsi="Arial" w:cs="Arial"/>
          <w:sz w:val="20"/>
          <w:szCs w:val="20"/>
        </w:rPr>
        <w:t xml:space="preserve">. </w:t>
      </w:r>
      <w:bookmarkEnd w:id="8"/>
      <w:r w:rsidR="00A737B7">
        <w:rPr>
          <w:rFonts w:ascii="Arial" w:hAnsi="Arial" w:cs="Arial"/>
          <w:sz w:val="20"/>
          <w:szCs w:val="20"/>
        </w:rPr>
        <w:lastRenderedPageBreak/>
        <w:t>Upon trial completion, p</w:t>
      </w:r>
      <w:r w:rsidRPr="00362EC0">
        <w:rPr>
          <w:rFonts w:ascii="Arial" w:hAnsi="Arial" w:cs="Arial"/>
          <w:sz w:val="20"/>
          <w:szCs w:val="20"/>
        </w:rPr>
        <w:t>articipants were instructed to move the mouse back to the starting position on the sliding board (the cursor hand was automatically set to its predefined starting point on the screen).</w:t>
      </w:r>
    </w:p>
    <w:p w14:paraId="09E4AE42" w14:textId="1B03CF0E" w:rsidR="00635C5F" w:rsidRPr="00362EC0" w:rsidRDefault="00635C5F" w:rsidP="00635C5F">
      <w:pPr>
        <w:spacing w:after="0" w:line="360" w:lineRule="auto"/>
        <w:ind w:firstLine="720"/>
        <w:contextualSpacing/>
        <w:jc w:val="both"/>
        <w:rPr>
          <w:rFonts w:ascii="Arial" w:hAnsi="Arial" w:cs="Arial"/>
          <w:sz w:val="20"/>
          <w:szCs w:val="20"/>
        </w:rPr>
      </w:pPr>
      <w:r w:rsidRPr="00362EC0">
        <w:rPr>
          <w:rFonts w:ascii="Arial" w:hAnsi="Arial" w:cs="Arial"/>
          <w:sz w:val="20"/>
          <w:szCs w:val="20"/>
        </w:rPr>
        <w:t>In respect to the Presentation software coordinate system, with x = 0 indicating the center of the screen, the following locations were set on the x Axis: Start hand at -870, Cue appearance varied randomly between -180 and 160 in steps of 10</w:t>
      </w:r>
      <w:r w:rsidR="00807028" w:rsidRPr="00362EC0">
        <w:rPr>
          <w:rFonts w:ascii="Arial" w:hAnsi="Arial" w:cs="Arial"/>
          <w:sz w:val="20"/>
          <w:szCs w:val="20"/>
        </w:rPr>
        <w:t>, to avoid anticipation</w:t>
      </w:r>
      <w:r w:rsidRPr="00362EC0">
        <w:rPr>
          <w:rFonts w:ascii="Arial" w:hAnsi="Arial" w:cs="Arial"/>
          <w:sz w:val="20"/>
          <w:szCs w:val="20"/>
        </w:rPr>
        <w:t>, and the end point was kept in equal distance to the Cue position across trials (varying Cue position + 675). Mouse speed was scaled in Presentation by .06 and the mouse DPI was set to 1000 Hz per sec.</w:t>
      </w:r>
    </w:p>
    <w:p w14:paraId="5B166A2F" w14:textId="77777777" w:rsidR="00635C5F" w:rsidRPr="00362EC0" w:rsidRDefault="00635C5F" w:rsidP="00635C5F">
      <w:pPr>
        <w:rPr>
          <w:rFonts w:ascii="Arial" w:hAnsi="Arial" w:cs="Arial"/>
          <w:sz w:val="20"/>
          <w:szCs w:val="20"/>
        </w:rPr>
      </w:pPr>
      <w:r w:rsidRPr="00362EC0">
        <w:rPr>
          <w:rFonts w:ascii="Arial" w:hAnsi="Arial" w:cs="Arial"/>
          <w:noProof/>
          <w:sz w:val="20"/>
          <w:szCs w:val="20"/>
        </w:rPr>
        <w:drawing>
          <wp:inline distT="0" distB="0" distL="0" distR="0" wp14:anchorId="1036217B" wp14:editId="07AF16B2">
            <wp:extent cx="5731510" cy="3130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ard.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130550"/>
                    </a:xfrm>
                    <a:prstGeom prst="rect">
                      <a:avLst/>
                    </a:prstGeom>
                  </pic:spPr>
                </pic:pic>
              </a:graphicData>
            </a:graphic>
          </wp:inline>
        </w:drawing>
      </w:r>
    </w:p>
    <w:p w14:paraId="05F48244" w14:textId="63A73CCA" w:rsidR="00635C5F" w:rsidRPr="00362EC0" w:rsidRDefault="00635C5F" w:rsidP="008A0CA8">
      <w:pPr>
        <w:spacing w:line="360" w:lineRule="auto"/>
        <w:rPr>
          <w:rFonts w:ascii="Arial" w:hAnsi="Arial" w:cs="Arial"/>
          <w:sz w:val="20"/>
          <w:szCs w:val="20"/>
        </w:rPr>
      </w:pPr>
      <w:r w:rsidRPr="00362EC0">
        <w:rPr>
          <w:rFonts w:ascii="Arial" w:hAnsi="Arial" w:cs="Arial"/>
          <w:b/>
          <w:bCs/>
          <w:sz w:val="20"/>
          <w:szCs w:val="20"/>
        </w:rPr>
        <w:t>Fig. 1 Hardware set-up of the IHT-R.</w:t>
      </w:r>
      <w:r w:rsidRPr="00362EC0">
        <w:rPr>
          <w:rFonts w:ascii="Arial" w:hAnsi="Arial" w:cs="Arial"/>
          <w:sz w:val="20"/>
          <w:szCs w:val="20"/>
        </w:rPr>
        <w:t xml:space="preserve"> Shown are the dimension of the sliding board, the holding of the mouse and utilised screen dimensions (in inch). </w:t>
      </w:r>
    </w:p>
    <w:p w14:paraId="1CAF6CF9" w14:textId="47AF5A0D" w:rsidR="00705A36" w:rsidRPr="00362EC0" w:rsidRDefault="00705A36" w:rsidP="002C1634">
      <w:pPr>
        <w:spacing w:after="0" w:line="360" w:lineRule="auto"/>
        <w:ind w:firstLine="720"/>
        <w:contextualSpacing/>
        <w:jc w:val="both"/>
        <w:rPr>
          <w:rFonts w:ascii="Arial" w:hAnsi="Arial" w:cs="Arial"/>
          <w:sz w:val="20"/>
          <w:szCs w:val="20"/>
        </w:rPr>
      </w:pPr>
      <w:r w:rsidRPr="00362EC0">
        <w:rPr>
          <w:rFonts w:ascii="Arial" w:hAnsi="Arial" w:cs="Arial"/>
          <w:noProof/>
          <w:sz w:val="20"/>
          <w:szCs w:val="20"/>
        </w:rPr>
        <w:lastRenderedPageBreak/>
        <w:drawing>
          <wp:inline distT="0" distB="0" distL="0" distR="0" wp14:anchorId="232C8E5D" wp14:editId="62CA3583">
            <wp:extent cx="3897419" cy="6788989"/>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03833" cy="6800162"/>
                    </a:xfrm>
                    <a:prstGeom prst="rect">
                      <a:avLst/>
                    </a:prstGeom>
                  </pic:spPr>
                </pic:pic>
              </a:graphicData>
            </a:graphic>
          </wp:inline>
        </w:drawing>
      </w:r>
    </w:p>
    <w:p w14:paraId="10F454EA" w14:textId="1ECE7093" w:rsidR="00705A36" w:rsidRPr="00362EC0" w:rsidRDefault="00705A36" w:rsidP="001B3FF2">
      <w:pPr>
        <w:spacing w:after="0" w:line="360" w:lineRule="auto"/>
        <w:contextualSpacing/>
        <w:jc w:val="both"/>
        <w:rPr>
          <w:rFonts w:ascii="Arial" w:hAnsi="Arial" w:cs="Arial"/>
          <w:sz w:val="20"/>
          <w:szCs w:val="20"/>
        </w:rPr>
      </w:pPr>
      <w:r w:rsidRPr="00362EC0">
        <w:rPr>
          <w:rFonts w:ascii="Arial" w:hAnsi="Arial" w:cs="Arial"/>
          <w:b/>
          <w:sz w:val="20"/>
          <w:szCs w:val="20"/>
        </w:rPr>
        <w:t xml:space="preserve">Fig. </w:t>
      </w:r>
      <w:r w:rsidR="00635C5F" w:rsidRPr="00362EC0">
        <w:rPr>
          <w:rFonts w:ascii="Arial" w:hAnsi="Arial" w:cs="Arial"/>
          <w:b/>
          <w:sz w:val="20"/>
          <w:szCs w:val="20"/>
        </w:rPr>
        <w:t>2</w:t>
      </w:r>
      <w:r w:rsidR="00635C5F" w:rsidRPr="00362EC0">
        <w:rPr>
          <w:rFonts w:ascii="Arial" w:hAnsi="Arial" w:cs="Arial"/>
          <w:sz w:val="20"/>
          <w:szCs w:val="20"/>
        </w:rPr>
        <w:t xml:space="preserve"> </w:t>
      </w:r>
      <w:r w:rsidRPr="00362EC0">
        <w:rPr>
          <w:rFonts w:ascii="Arial" w:hAnsi="Arial" w:cs="Arial"/>
          <w:b/>
          <w:sz w:val="20"/>
          <w:szCs w:val="20"/>
        </w:rPr>
        <w:t xml:space="preserve">| Example trial types and structure for the </w:t>
      </w:r>
      <w:r w:rsidR="008B2204" w:rsidRPr="00362EC0">
        <w:rPr>
          <w:rFonts w:ascii="Arial" w:hAnsi="Arial" w:cs="Arial"/>
          <w:b/>
          <w:sz w:val="20"/>
          <w:szCs w:val="20"/>
        </w:rPr>
        <w:t>Intentional Hand Task for Reward (</w:t>
      </w:r>
      <w:r w:rsidRPr="00362EC0">
        <w:rPr>
          <w:rFonts w:ascii="Arial" w:hAnsi="Arial" w:cs="Arial"/>
          <w:b/>
          <w:sz w:val="20"/>
          <w:szCs w:val="20"/>
        </w:rPr>
        <w:t>IHT-R</w:t>
      </w:r>
      <w:r w:rsidR="008B2204" w:rsidRPr="00362EC0">
        <w:rPr>
          <w:rFonts w:ascii="Arial" w:hAnsi="Arial" w:cs="Arial"/>
          <w:b/>
          <w:sz w:val="20"/>
          <w:szCs w:val="20"/>
        </w:rPr>
        <w:t>)</w:t>
      </w:r>
      <w:r w:rsidRPr="00362EC0">
        <w:rPr>
          <w:rFonts w:ascii="Arial" w:hAnsi="Arial" w:cs="Arial"/>
          <w:b/>
          <w:sz w:val="20"/>
          <w:szCs w:val="20"/>
        </w:rPr>
        <w:t>.</w:t>
      </w:r>
      <w:r w:rsidRPr="00362EC0">
        <w:rPr>
          <w:rFonts w:ascii="Arial" w:hAnsi="Arial" w:cs="Arial"/>
          <w:sz w:val="20"/>
          <w:szCs w:val="20"/>
        </w:rPr>
        <w:t xml:space="preserve"> At </w:t>
      </w:r>
      <w:r w:rsidR="008B2204" w:rsidRPr="00362EC0">
        <w:rPr>
          <w:rFonts w:ascii="Arial" w:hAnsi="Arial" w:cs="Arial"/>
          <w:sz w:val="20"/>
          <w:szCs w:val="20"/>
        </w:rPr>
        <w:t>Trial Start,</w:t>
      </w:r>
      <w:r w:rsidRPr="00362EC0">
        <w:rPr>
          <w:rFonts w:ascii="Arial" w:hAnsi="Arial" w:cs="Arial"/>
          <w:sz w:val="20"/>
          <w:szCs w:val="20"/>
        </w:rPr>
        <w:t xml:space="preserve"> the </w:t>
      </w:r>
      <w:r w:rsidR="004856E8" w:rsidRPr="00362EC0">
        <w:rPr>
          <w:rFonts w:ascii="Arial" w:hAnsi="Arial" w:cs="Arial"/>
          <w:sz w:val="20"/>
          <w:szCs w:val="20"/>
        </w:rPr>
        <w:t xml:space="preserve">small </w:t>
      </w:r>
      <w:r w:rsidRPr="00362EC0">
        <w:rPr>
          <w:rFonts w:ascii="Arial" w:hAnsi="Arial" w:cs="Arial"/>
          <w:sz w:val="20"/>
          <w:szCs w:val="20"/>
        </w:rPr>
        <w:t xml:space="preserve">cursor hand is initially white </w:t>
      </w:r>
      <w:r w:rsidR="00374258" w:rsidRPr="00362EC0">
        <w:rPr>
          <w:rFonts w:ascii="Arial" w:hAnsi="Arial" w:cs="Arial"/>
          <w:sz w:val="20"/>
          <w:szCs w:val="20"/>
        </w:rPr>
        <w:t xml:space="preserve">and </w:t>
      </w:r>
      <w:r w:rsidRPr="00362EC0">
        <w:rPr>
          <w:rFonts w:ascii="Arial" w:hAnsi="Arial" w:cs="Arial"/>
          <w:sz w:val="20"/>
          <w:szCs w:val="20"/>
        </w:rPr>
        <w:t>presented on top of a larger green hand. After the participant moves the cursor hand rightward</w:t>
      </w:r>
      <w:r w:rsidR="008B2204" w:rsidRPr="00362EC0">
        <w:rPr>
          <w:rFonts w:ascii="Arial" w:hAnsi="Arial" w:cs="Arial"/>
          <w:sz w:val="20"/>
          <w:szCs w:val="20"/>
        </w:rPr>
        <w:t>, the cursor hand</w:t>
      </w:r>
      <w:r w:rsidRPr="00362EC0">
        <w:rPr>
          <w:rFonts w:ascii="Arial" w:hAnsi="Arial" w:cs="Arial"/>
          <w:sz w:val="20"/>
          <w:szCs w:val="20"/>
        </w:rPr>
        <w:t xml:space="preserve"> changes colour depending on the trial type: green for </w:t>
      </w:r>
      <w:r w:rsidR="00374258" w:rsidRPr="00362EC0">
        <w:rPr>
          <w:rFonts w:ascii="Arial" w:hAnsi="Arial" w:cs="Arial"/>
          <w:sz w:val="20"/>
          <w:szCs w:val="20"/>
        </w:rPr>
        <w:t>I</w:t>
      </w:r>
      <w:r w:rsidRPr="00362EC0">
        <w:rPr>
          <w:rFonts w:ascii="Arial" w:hAnsi="Arial" w:cs="Arial"/>
          <w:sz w:val="20"/>
          <w:szCs w:val="20"/>
        </w:rPr>
        <w:t xml:space="preserve">nstructed Go trials, red for </w:t>
      </w:r>
      <w:r w:rsidR="00374258" w:rsidRPr="00362EC0">
        <w:rPr>
          <w:rFonts w:ascii="Arial" w:hAnsi="Arial" w:cs="Arial"/>
          <w:sz w:val="20"/>
          <w:szCs w:val="20"/>
        </w:rPr>
        <w:t xml:space="preserve">Instructed </w:t>
      </w:r>
      <w:r w:rsidRPr="00362EC0">
        <w:rPr>
          <w:rFonts w:ascii="Arial" w:hAnsi="Arial" w:cs="Arial"/>
          <w:sz w:val="20"/>
          <w:szCs w:val="20"/>
        </w:rPr>
        <w:t xml:space="preserve">Stop, and yellow for </w:t>
      </w:r>
      <w:r w:rsidR="00AE6F66" w:rsidRPr="00362EC0">
        <w:rPr>
          <w:rFonts w:ascii="Arial" w:hAnsi="Arial" w:cs="Arial"/>
          <w:sz w:val="20"/>
          <w:szCs w:val="20"/>
        </w:rPr>
        <w:t>C</w:t>
      </w:r>
      <w:r w:rsidRPr="00362EC0">
        <w:rPr>
          <w:rFonts w:ascii="Arial" w:hAnsi="Arial" w:cs="Arial"/>
          <w:sz w:val="20"/>
          <w:szCs w:val="20"/>
        </w:rPr>
        <w:t>hoice trials. The trial ends</w:t>
      </w:r>
      <w:r w:rsidR="00374258" w:rsidRPr="00362EC0">
        <w:rPr>
          <w:rFonts w:ascii="Arial" w:hAnsi="Arial" w:cs="Arial"/>
          <w:sz w:val="20"/>
          <w:szCs w:val="20"/>
        </w:rPr>
        <w:t xml:space="preserve"> </w:t>
      </w:r>
      <w:r w:rsidRPr="00362EC0">
        <w:rPr>
          <w:rFonts w:ascii="Arial" w:hAnsi="Arial" w:cs="Arial"/>
          <w:sz w:val="20"/>
          <w:szCs w:val="20"/>
        </w:rPr>
        <w:t xml:space="preserve">when the cursor hand is moved </w:t>
      </w:r>
      <w:r w:rsidR="00374258" w:rsidRPr="00362EC0">
        <w:rPr>
          <w:rFonts w:ascii="Arial" w:hAnsi="Arial" w:cs="Arial"/>
          <w:sz w:val="20"/>
          <w:szCs w:val="20"/>
        </w:rPr>
        <w:t>past the left border of the square (counted as Go) or is not moved for at least one refresh rate.</w:t>
      </w:r>
    </w:p>
    <w:p w14:paraId="1215D5FA" w14:textId="54A7B0D9" w:rsidR="00AE6F66" w:rsidRDefault="00AE6F66" w:rsidP="008A0CA8">
      <w:pPr>
        <w:spacing w:line="360" w:lineRule="auto"/>
        <w:jc w:val="both"/>
        <w:rPr>
          <w:rFonts w:ascii="Arial" w:hAnsi="Arial" w:cs="Arial"/>
          <w:sz w:val="20"/>
          <w:szCs w:val="20"/>
        </w:rPr>
      </w:pPr>
    </w:p>
    <w:p w14:paraId="403863F3" w14:textId="77777777" w:rsidR="00FC24CE" w:rsidRPr="00362EC0" w:rsidRDefault="00FC24CE" w:rsidP="008A0CA8">
      <w:pPr>
        <w:spacing w:line="360" w:lineRule="auto"/>
        <w:jc w:val="both"/>
        <w:rPr>
          <w:rFonts w:ascii="Arial" w:hAnsi="Arial" w:cs="Arial"/>
          <w:sz w:val="20"/>
          <w:szCs w:val="20"/>
        </w:rPr>
      </w:pPr>
    </w:p>
    <w:p w14:paraId="742303E9" w14:textId="0F8D0F2D" w:rsidR="00705A36" w:rsidRPr="00362EC0" w:rsidRDefault="00705A36" w:rsidP="008A0CA8">
      <w:pPr>
        <w:spacing w:line="360" w:lineRule="auto"/>
        <w:jc w:val="both"/>
        <w:rPr>
          <w:rFonts w:ascii="Arial" w:hAnsi="Arial" w:cs="Arial"/>
          <w:sz w:val="20"/>
          <w:szCs w:val="20"/>
        </w:rPr>
      </w:pPr>
      <w:r w:rsidRPr="00362EC0">
        <w:rPr>
          <w:rFonts w:ascii="Arial" w:hAnsi="Arial" w:cs="Arial"/>
          <w:b/>
          <w:bCs/>
          <w:sz w:val="20"/>
          <w:szCs w:val="20"/>
        </w:rPr>
        <w:lastRenderedPageBreak/>
        <w:t>2.</w:t>
      </w:r>
      <w:r w:rsidR="0055504E" w:rsidRPr="00362EC0">
        <w:rPr>
          <w:rFonts w:ascii="Arial" w:hAnsi="Arial" w:cs="Arial"/>
          <w:b/>
          <w:bCs/>
          <w:sz w:val="20"/>
          <w:szCs w:val="20"/>
        </w:rPr>
        <w:t>2</w:t>
      </w:r>
      <w:r w:rsidRPr="00362EC0">
        <w:rPr>
          <w:rFonts w:ascii="Arial" w:hAnsi="Arial" w:cs="Arial"/>
          <w:b/>
          <w:bCs/>
          <w:sz w:val="20"/>
          <w:szCs w:val="20"/>
        </w:rPr>
        <w:t xml:space="preserve"> </w:t>
      </w:r>
      <w:r w:rsidRPr="00362EC0">
        <w:rPr>
          <w:rFonts w:ascii="Arial" w:hAnsi="Arial" w:cs="Arial"/>
          <w:b/>
          <w:iCs/>
          <w:sz w:val="20"/>
          <w:szCs w:val="20"/>
        </w:rPr>
        <w:t xml:space="preserve">Reward </w:t>
      </w:r>
      <w:r w:rsidR="00AB5AD7" w:rsidRPr="00362EC0">
        <w:rPr>
          <w:rFonts w:ascii="Arial" w:hAnsi="Arial" w:cs="Arial"/>
          <w:b/>
          <w:iCs/>
          <w:sz w:val="20"/>
          <w:szCs w:val="20"/>
        </w:rPr>
        <w:t>Component</w:t>
      </w:r>
    </w:p>
    <w:p w14:paraId="7E59EC0A" w14:textId="28D67D3A" w:rsidR="00705A36" w:rsidRPr="00362EC0" w:rsidRDefault="00705A36" w:rsidP="00923B1D">
      <w:pPr>
        <w:spacing w:after="0" w:line="360" w:lineRule="auto"/>
        <w:ind w:firstLine="720"/>
        <w:contextualSpacing/>
        <w:jc w:val="both"/>
        <w:rPr>
          <w:rFonts w:ascii="Arial" w:hAnsi="Arial" w:cs="Arial"/>
          <w:sz w:val="20"/>
          <w:szCs w:val="20"/>
        </w:rPr>
      </w:pPr>
      <w:r w:rsidRPr="00362EC0">
        <w:rPr>
          <w:rFonts w:ascii="Arial" w:hAnsi="Arial" w:cs="Arial"/>
          <w:sz w:val="20"/>
          <w:szCs w:val="20"/>
        </w:rPr>
        <w:t xml:space="preserve">Before each trial, participants were cued with the reward type </w:t>
      </w:r>
      <w:r w:rsidR="002B2D0D" w:rsidRPr="00362EC0">
        <w:rPr>
          <w:rFonts w:ascii="Arial" w:hAnsi="Arial" w:cs="Arial"/>
          <w:sz w:val="20"/>
          <w:szCs w:val="20"/>
        </w:rPr>
        <w:t>(no, low and high reward) for</w:t>
      </w:r>
      <w:r w:rsidRPr="00362EC0">
        <w:rPr>
          <w:rFonts w:ascii="Arial" w:hAnsi="Arial" w:cs="Arial"/>
          <w:sz w:val="20"/>
          <w:szCs w:val="20"/>
        </w:rPr>
        <w:t xml:space="preserve"> the upcoming trial, e.g. “Now you can get a low reward” paired with </w:t>
      </w:r>
      <w:r w:rsidR="009C1EF8" w:rsidRPr="00362EC0">
        <w:rPr>
          <w:rFonts w:ascii="Arial" w:hAnsi="Arial" w:cs="Arial"/>
          <w:sz w:val="20"/>
          <w:szCs w:val="20"/>
        </w:rPr>
        <w:t>one</w:t>
      </w:r>
      <w:r w:rsidR="000C61CB" w:rsidRPr="00362EC0">
        <w:rPr>
          <w:rFonts w:ascii="Arial" w:hAnsi="Arial" w:cs="Arial"/>
          <w:sz w:val="20"/>
          <w:szCs w:val="20"/>
        </w:rPr>
        <w:t xml:space="preserve"> </w:t>
      </w:r>
      <w:r w:rsidR="009C1EF8" w:rsidRPr="00362EC0">
        <w:rPr>
          <w:rFonts w:ascii="Arial" w:hAnsi="Arial" w:cs="Arial"/>
          <w:sz w:val="20"/>
          <w:szCs w:val="20"/>
        </w:rPr>
        <w:t>“</w:t>
      </w:r>
      <w:r w:rsidR="000C61CB" w:rsidRPr="00362EC0">
        <w:rPr>
          <w:rFonts w:ascii="Arial" w:hAnsi="Arial" w:cs="Arial"/>
          <w:sz w:val="20"/>
          <w:szCs w:val="20"/>
        </w:rPr>
        <w:t>£</w:t>
      </w:r>
      <w:r w:rsidR="009C1EF8" w:rsidRPr="00362EC0">
        <w:rPr>
          <w:rFonts w:ascii="Arial" w:hAnsi="Arial" w:cs="Arial"/>
          <w:sz w:val="20"/>
          <w:szCs w:val="20"/>
        </w:rPr>
        <w:t>”</w:t>
      </w:r>
      <w:r w:rsidR="000C61CB" w:rsidRPr="00362EC0">
        <w:rPr>
          <w:rFonts w:ascii="Arial" w:hAnsi="Arial" w:cs="Arial"/>
          <w:sz w:val="20"/>
          <w:szCs w:val="20"/>
        </w:rPr>
        <w:t xml:space="preserve"> </w:t>
      </w:r>
      <w:r w:rsidR="009C1EF8" w:rsidRPr="00362EC0">
        <w:rPr>
          <w:rFonts w:ascii="Arial" w:hAnsi="Arial" w:cs="Arial"/>
          <w:sz w:val="20"/>
          <w:szCs w:val="20"/>
        </w:rPr>
        <w:t>sign</w:t>
      </w:r>
      <w:r w:rsidRPr="00362EC0">
        <w:rPr>
          <w:rFonts w:ascii="Arial" w:hAnsi="Arial" w:cs="Arial"/>
          <w:sz w:val="20"/>
          <w:szCs w:val="20"/>
        </w:rPr>
        <w:t xml:space="preserve"> in a blue square. For the high reward cue, </w:t>
      </w:r>
      <w:r w:rsidR="009D08E5" w:rsidRPr="00362EC0">
        <w:rPr>
          <w:rFonts w:ascii="Arial" w:hAnsi="Arial" w:cs="Arial"/>
          <w:sz w:val="20"/>
          <w:szCs w:val="20"/>
        </w:rPr>
        <w:t>“£££££”</w:t>
      </w:r>
      <w:r w:rsidR="00374258" w:rsidRPr="00362EC0">
        <w:rPr>
          <w:rFonts w:ascii="Arial" w:hAnsi="Arial" w:cs="Arial"/>
          <w:sz w:val="20"/>
          <w:szCs w:val="20"/>
        </w:rPr>
        <w:t xml:space="preserve"> </w:t>
      </w:r>
      <w:r w:rsidR="009D08E5" w:rsidRPr="00362EC0">
        <w:rPr>
          <w:rFonts w:ascii="Arial" w:hAnsi="Arial" w:cs="Arial"/>
          <w:sz w:val="20"/>
          <w:szCs w:val="20"/>
        </w:rPr>
        <w:t>was shown</w:t>
      </w:r>
      <w:r w:rsidRPr="00362EC0">
        <w:rPr>
          <w:rFonts w:ascii="Arial" w:hAnsi="Arial" w:cs="Arial"/>
          <w:sz w:val="20"/>
          <w:szCs w:val="20"/>
        </w:rPr>
        <w:t xml:space="preserve"> in a pink square, whereas in </w:t>
      </w:r>
      <w:r w:rsidR="000C61CB" w:rsidRPr="00362EC0">
        <w:rPr>
          <w:rFonts w:ascii="Arial" w:hAnsi="Arial" w:cs="Arial"/>
          <w:sz w:val="20"/>
          <w:szCs w:val="20"/>
        </w:rPr>
        <w:t xml:space="preserve">the </w:t>
      </w:r>
      <w:r w:rsidRPr="00362EC0">
        <w:rPr>
          <w:rFonts w:ascii="Arial" w:hAnsi="Arial" w:cs="Arial"/>
          <w:sz w:val="20"/>
          <w:szCs w:val="20"/>
        </w:rPr>
        <w:t>no reward c</w:t>
      </w:r>
      <w:r w:rsidR="001E7F4C" w:rsidRPr="00362EC0">
        <w:rPr>
          <w:rFonts w:ascii="Arial" w:hAnsi="Arial" w:cs="Arial"/>
          <w:sz w:val="20"/>
          <w:szCs w:val="20"/>
        </w:rPr>
        <w:t>ondition</w:t>
      </w:r>
      <w:r w:rsidRPr="00362EC0">
        <w:rPr>
          <w:rFonts w:ascii="Arial" w:hAnsi="Arial" w:cs="Arial"/>
          <w:sz w:val="20"/>
          <w:szCs w:val="20"/>
        </w:rPr>
        <w:t xml:space="preserve">, </w:t>
      </w:r>
      <w:r w:rsidR="001E7F4C" w:rsidRPr="00362EC0">
        <w:rPr>
          <w:rFonts w:ascii="Arial" w:hAnsi="Arial" w:cs="Arial"/>
          <w:sz w:val="20"/>
          <w:szCs w:val="20"/>
        </w:rPr>
        <w:t xml:space="preserve">the text “Now you cannot get a reward” was accompanied by an empty </w:t>
      </w:r>
      <w:r w:rsidRPr="00362EC0">
        <w:rPr>
          <w:rFonts w:ascii="Arial" w:hAnsi="Arial" w:cs="Arial"/>
          <w:sz w:val="20"/>
          <w:szCs w:val="20"/>
        </w:rPr>
        <w:t xml:space="preserve">grey square. The corresponding reward type picture was also shown </w:t>
      </w:r>
      <w:r w:rsidR="000C61CB" w:rsidRPr="00362EC0">
        <w:rPr>
          <w:rFonts w:ascii="Arial" w:hAnsi="Arial" w:cs="Arial"/>
          <w:sz w:val="20"/>
          <w:szCs w:val="20"/>
        </w:rPr>
        <w:t>in the</w:t>
      </w:r>
      <w:r w:rsidRPr="00362EC0">
        <w:rPr>
          <w:rFonts w:ascii="Arial" w:hAnsi="Arial" w:cs="Arial"/>
          <w:sz w:val="20"/>
          <w:szCs w:val="20"/>
        </w:rPr>
        <w:t xml:space="preserve"> end square, e.g. </w:t>
      </w:r>
      <w:r w:rsidR="000C61CB" w:rsidRPr="00362EC0">
        <w:rPr>
          <w:rFonts w:ascii="Arial" w:hAnsi="Arial" w:cs="Arial"/>
          <w:sz w:val="20"/>
          <w:szCs w:val="20"/>
        </w:rPr>
        <w:t>in</w:t>
      </w:r>
      <w:r w:rsidRPr="00362EC0">
        <w:rPr>
          <w:rFonts w:ascii="Arial" w:hAnsi="Arial" w:cs="Arial"/>
          <w:sz w:val="20"/>
          <w:szCs w:val="20"/>
        </w:rPr>
        <w:t xml:space="preserve"> trials </w:t>
      </w:r>
      <w:r w:rsidR="000C61CB" w:rsidRPr="00362EC0">
        <w:rPr>
          <w:rFonts w:ascii="Arial" w:hAnsi="Arial" w:cs="Arial"/>
          <w:sz w:val="20"/>
          <w:szCs w:val="20"/>
        </w:rPr>
        <w:t>of</w:t>
      </w:r>
      <w:r w:rsidRPr="00362EC0">
        <w:rPr>
          <w:rFonts w:ascii="Arial" w:hAnsi="Arial" w:cs="Arial"/>
          <w:sz w:val="20"/>
          <w:szCs w:val="20"/>
        </w:rPr>
        <w:t xml:space="preserve"> high reward, the square at the far right was pink and contained </w:t>
      </w:r>
      <w:r w:rsidR="002A68DF" w:rsidRPr="00362EC0">
        <w:rPr>
          <w:rFonts w:ascii="Arial" w:hAnsi="Arial" w:cs="Arial"/>
          <w:sz w:val="20"/>
          <w:szCs w:val="20"/>
        </w:rPr>
        <w:t>“£</w:t>
      </w:r>
      <w:r w:rsidR="009D08E5" w:rsidRPr="00362EC0">
        <w:rPr>
          <w:rFonts w:ascii="Arial" w:hAnsi="Arial" w:cs="Arial"/>
          <w:sz w:val="20"/>
          <w:szCs w:val="20"/>
        </w:rPr>
        <w:t>££££</w:t>
      </w:r>
      <w:r w:rsidR="002A68DF" w:rsidRPr="00362EC0">
        <w:rPr>
          <w:rFonts w:ascii="Arial" w:hAnsi="Arial" w:cs="Arial"/>
          <w:sz w:val="20"/>
          <w:szCs w:val="20"/>
        </w:rPr>
        <w:t>”</w:t>
      </w:r>
      <w:r w:rsidRPr="00362EC0">
        <w:rPr>
          <w:rFonts w:ascii="Arial" w:hAnsi="Arial" w:cs="Arial"/>
          <w:sz w:val="20"/>
          <w:szCs w:val="20"/>
        </w:rPr>
        <w:t>. Upon reaching the end line irrespective of trial type, the square changed colour to a light grey to provide visual feedback about the success of their mo</w:t>
      </w:r>
      <w:r w:rsidR="000C61CB" w:rsidRPr="00362EC0">
        <w:rPr>
          <w:rFonts w:ascii="Arial" w:hAnsi="Arial" w:cs="Arial"/>
          <w:sz w:val="20"/>
          <w:szCs w:val="20"/>
        </w:rPr>
        <w:t>vement</w:t>
      </w:r>
      <w:r w:rsidRPr="00362EC0">
        <w:rPr>
          <w:rFonts w:ascii="Arial" w:hAnsi="Arial" w:cs="Arial"/>
          <w:sz w:val="20"/>
          <w:szCs w:val="20"/>
        </w:rPr>
        <w:t>.</w:t>
      </w:r>
    </w:p>
    <w:p w14:paraId="7520E722" w14:textId="4AE2A0BB" w:rsidR="002B2D0D" w:rsidRPr="00362EC0" w:rsidRDefault="00705A36" w:rsidP="00D8730A">
      <w:pPr>
        <w:pStyle w:val="NormalWeb"/>
        <w:spacing w:before="0" w:beforeAutospacing="0" w:after="0" w:afterAutospacing="0" w:line="360" w:lineRule="auto"/>
        <w:ind w:firstLine="720"/>
        <w:jc w:val="both"/>
        <w:rPr>
          <w:rFonts w:ascii="Arial" w:hAnsi="Arial" w:cs="Arial"/>
          <w:sz w:val="20"/>
          <w:szCs w:val="20"/>
          <w:lang w:val="en-GB" w:eastAsia="de-DE"/>
        </w:rPr>
      </w:pPr>
      <w:bookmarkStart w:id="9" w:name="_Hlk46592228"/>
      <w:r w:rsidRPr="00362EC0">
        <w:rPr>
          <w:rFonts w:ascii="Arial" w:hAnsi="Arial" w:cs="Arial"/>
          <w:sz w:val="20"/>
          <w:szCs w:val="20"/>
        </w:rPr>
        <w:t xml:space="preserve">The participants were instructed that </w:t>
      </w:r>
      <w:r w:rsidR="002A68DF" w:rsidRPr="00362EC0">
        <w:rPr>
          <w:rFonts w:ascii="Arial" w:hAnsi="Arial" w:cs="Arial"/>
          <w:sz w:val="20"/>
          <w:szCs w:val="20"/>
        </w:rPr>
        <w:t>money would be banked in the following conditions: successfully passing the end line for</w:t>
      </w:r>
      <w:r w:rsidRPr="00362EC0">
        <w:rPr>
          <w:rFonts w:ascii="Arial" w:hAnsi="Arial" w:cs="Arial"/>
          <w:sz w:val="20"/>
          <w:szCs w:val="20"/>
        </w:rPr>
        <w:t xml:space="preserve"> correct instructed Go trials</w:t>
      </w:r>
      <w:r w:rsidR="002A68DF" w:rsidRPr="00362EC0">
        <w:rPr>
          <w:rFonts w:ascii="Arial" w:hAnsi="Arial" w:cs="Arial"/>
          <w:sz w:val="20"/>
          <w:szCs w:val="20"/>
        </w:rPr>
        <w:t xml:space="preserve">, stopping before the end line for </w:t>
      </w:r>
      <w:r w:rsidRPr="00362EC0">
        <w:rPr>
          <w:rFonts w:ascii="Arial" w:hAnsi="Arial" w:cs="Arial"/>
          <w:sz w:val="20"/>
          <w:szCs w:val="20"/>
        </w:rPr>
        <w:t xml:space="preserve">instructed Stop trials, </w:t>
      </w:r>
      <w:r w:rsidR="002A68DF" w:rsidRPr="00362EC0">
        <w:rPr>
          <w:rFonts w:ascii="Arial" w:hAnsi="Arial" w:cs="Arial"/>
          <w:sz w:val="20"/>
          <w:szCs w:val="20"/>
        </w:rPr>
        <w:t xml:space="preserve">and being close to balancing 50:50 decisions </w:t>
      </w:r>
      <w:r w:rsidRPr="00362EC0">
        <w:rPr>
          <w:rFonts w:ascii="Arial" w:hAnsi="Arial" w:cs="Arial"/>
          <w:sz w:val="20"/>
          <w:szCs w:val="20"/>
        </w:rPr>
        <w:t xml:space="preserve">in </w:t>
      </w:r>
      <w:r w:rsidR="002A68DF" w:rsidRPr="00362EC0">
        <w:rPr>
          <w:rFonts w:ascii="Arial" w:hAnsi="Arial" w:cs="Arial"/>
          <w:sz w:val="20"/>
          <w:szCs w:val="20"/>
        </w:rPr>
        <w:t>C</w:t>
      </w:r>
      <w:r w:rsidRPr="00362EC0">
        <w:rPr>
          <w:rFonts w:ascii="Arial" w:hAnsi="Arial" w:cs="Arial"/>
          <w:sz w:val="20"/>
          <w:szCs w:val="20"/>
        </w:rPr>
        <w:t>hoice trials</w:t>
      </w:r>
      <w:r w:rsidR="006A4816" w:rsidRPr="00362EC0">
        <w:rPr>
          <w:rFonts w:ascii="Arial" w:hAnsi="Arial" w:cs="Arial"/>
          <w:sz w:val="20"/>
          <w:szCs w:val="20"/>
        </w:rPr>
        <w:t xml:space="preserve"> (across all Choice trials: no, low and high reward trials; even though pay-out occurs only during low or high reward trials)</w:t>
      </w:r>
      <w:r w:rsidRPr="00362EC0">
        <w:rPr>
          <w:rFonts w:ascii="Arial" w:hAnsi="Arial" w:cs="Arial"/>
          <w:sz w:val="20"/>
          <w:szCs w:val="20"/>
        </w:rPr>
        <w:t xml:space="preserve">. </w:t>
      </w:r>
      <w:bookmarkEnd w:id="9"/>
      <w:r w:rsidRPr="00362EC0">
        <w:rPr>
          <w:rFonts w:ascii="Arial" w:hAnsi="Arial" w:cs="Arial"/>
          <w:sz w:val="20"/>
          <w:szCs w:val="20"/>
        </w:rPr>
        <w:t xml:space="preserve">In practice, money was </w:t>
      </w:r>
      <w:r w:rsidR="0028639A" w:rsidRPr="00362EC0">
        <w:rPr>
          <w:rFonts w:ascii="Arial" w:hAnsi="Arial" w:cs="Arial"/>
          <w:sz w:val="20"/>
          <w:szCs w:val="20"/>
        </w:rPr>
        <w:t xml:space="preserve">randomly </w:t>
      </w:r>
      <w:r w:rsidRPr="00362EC0">
        <w:rPr>
          <w:rFonts w:ascii="Arial" w:hAnsi="Arial" w:cs="Arial"/>
          <w:sz w:val="20"/>
          <w:szCs w:val="20"/>
        </w:rPr>
        <w:t xml:space="preserve">banked </w:t>
      </w:r>
      <w:r w:rsidR="00B70DC8" w:rsidRPr="00362EC0">
        <w:rPr>
          <w:rFonts w:ascii="Arial" w:hAnsi="Arial" w:cs="Arial"/>
          <w:sz w:val="20"/>
          <w:szCs w:val="20"/>
        </w:rPr>
        <w:t>in</w:t>
      </w:r>
      <w:r w:rsidRPr="00362EC0">
        <w:rPr>
          <w:rFonts w:ascii="Arial" w:hAnsi="Arial" w:cs="Arial"/>
          <w:sz w:val="20"/>
          <w:szCs w:val="20"/>
        </w:rPr>
        <w:t xml:space="preserve"> 50% of </w:t>
      </w:r>
      <w:r w:rsidR="00374258" w:rsidRPr="00362EC0">
        <w:rPr>
          <w:rFonts w:ascii="Arial" w:hAnsi="Arial" w:cs="Arial"/>
          <w:sz w:val="20"/>
          <w:szCs w:val="20"/>
        </w:rPr>
        <w:t xml:space="preserve">Choice </w:t>
      </w:r>
      <w:r w:rsidRPr="00362EC0">
        <w:rPr>
          <w:rFonts w:ascii="Arial" w:hAnsi="Arial" w:cs="Arial"/>
          <w:sz w:val="20"/>
          <w:szCs w:val="20"/>
        </w:rPr>
        <w:t xml:space="preserve">trials, regardless of the participants’ intention to Stop or Go. Participants were told that a proportion of the money earned during this task </w:t>
      </w:r>
      <w:r w:rsidR="00A15CEE" w:rsidRPr="00362EC0">
        <w:rPr>
          <w:rFonts w:ascii="Arial" w:hAnsi="Arial" w:cs="Arial"/>
          <w:sz w:val="20"/>
          <w:szCs w:val="20"/>
        </w:rPr>
        <w:t xml:space="preserve">was </w:t>
      </w:r>
      <w:r w:rsidRPr="00362EC0">
        <w:rPr>
          <w:rFonts w:ascii="Arial" w:hAnsi="Arial" w:cs="Arial"/>
          <w:sz w:val="20"/>
          <w:szCs w:val="20"/>
        </w:rPr>
        <w:t>added to their participant payment</w:t>
      </w:r>
      <w:r w:rsidR="0028639A" w:rsidRPr="00362EC0">
        <w:rPr>
          <w:rFonts w:ascii="Arial" w:hAnsi="Arial" w:cs="Arial"/>
          <w:sz w:val="20"/>
          <w:szCs w:val="20"/>
        </w:rPr>
        <w:t xml:space="preserve">, in reality, all participants were given an additional </w:t>
      </w:r>
      <w:r w:rsidR="00840BC3" w:rsidRPr="00362EC0">
        <w:rPr>
          <w:rFonts w:ascii="Arial" w:hAnsi="Arial" w:cs="Arial"/>
          <w:sz w:val="20"/>
          <w:szCs w:val="20"/>
          <w:shd w:val="clear" w:color="auto" w:fill="FFFFFF"/>
        </w:rPr>
        <w:t>£</w:t>
      </w:r>
      <w:r w:rsidR="0028639A" w:rsidRPr="00362EC0">
        <w:rPr>
          <w:rFonts w:ascii="Arial" w:hAnsi="Arial" w:cs="Arial"/>
          <w:sz w:val="20"/>
          <w:szCs w:val="20"/>
        </w:rPr>
        <w:t xml:space="preserve">5 </w:t>
      </w:r>
      <w:r w:rsidR="0028639A" w:rsidRPr="00362EC0">
        <w:rPr>
          <w:rFonts w:ascii="Arial" w:hAnsi="Arial" w:cs="Arial"/>
          <w:sz w:val="20"/>
          <w:szCs w:val="20"/>
          <w:shd w:val="clear" w:color="auto" w:fill="FFFFFF"/>
        </w:rPr>
        <w:t>for their participation</w:t>
      </w:r>
      <w:r w:rsidRPr="00362EC0">
        <w:rPr>
          <w:rFonts w:ascii="Arial" w:hAnsi="Arial" w:cs="Arial"/>
          <w:sz w:val="20"/>
          <w:szCs w:val="20"/>
        </w:rPr>
        <w:t xml:space="preserve">. </w:t>
      </w:r>
      <w:r w:rsidR="00D8730A" w:rsidRPr="00362EC0">
        <w:rPr>
          <w:rFonts w:ascii="Arial" w:hAnsi="Arial" w:cs="Arial"/>
          <w:sz w:val="20"/>
          <w:szCs w:val="20"/>
          <w:shd w:val="clear" w:color="auto" w:fill="FFFFFF"/>
        </w:rPr>
        <w:t>Participants were thus aware before the start of the task that they would not receive “£1” or “£5” as shown on screen, but that it translates into a smaller percentage of the respective rewards, maintaining the magnitude difference between reward types. At the end of each trial, participants saw the number of pounds banked during that trial, and the total amount of pounds collected. The resulting total amount of earned reward varied between 171 and 288 pounds across participants (</w:t>
      </w:r>
      <w:r w:rsidR="00D8730A" w:rsidRPr="00362EC0">
        <w:rPr>
          <w:rFonts w:ascii="Arial" w:hAnsi="Arial" w:cs="Arial"/>
          <w:i/>
          <w:iCs/>
          <w:sz w:val="20"/>
          <w:szCs w:val="20"/>
          <w:shd w:val="clear" w:color="auto" w:fill="FFFFFF"/>
        </w:rPr>
        <w:t>M</w:t>
      </w:r>
      <w:r w:rsidR="00D8730A" w:rsidRPr="00362EC0">
        <w:rPr>
          <w:rFonts w:ascii="Arial" w:hAnsi="Arial" w:cs="Arial"/>
          <w:sz w:val="20"/>
          <w:szCs w:val="20"/>
          <w:shd w:val="clear" w:color="auto" w:fill="FFFFFF"/>
        </w:rPr>
        <w:t xml:space="preserve"> = 238.64, </w:t>
      </w:r>
      <w:r w:rsidR="00D8730A" w:rsidRPr="00362EC0">
        <w:rPr>
          <w:rFonts w:ascii="Arial" w:hAnsi="Arial" w:cs="Arial"/>
          <w:i/>
          <w:iCs/>
          <w:sz w:val="20"/>
          <w:szCs w:val="20"/>
          <w:shd w:val="clear" w:color="auto" w:fill="FFFFFF"/>
        </w:rPr>
        <w:t>SD</w:t>
      </w:r>
      <w:r w:rsidR="00D8730A" w:rsidRPr="00362EC0">
        <w:rPr>
          <w:rFonts w:ascii="Arial" w:hAnsi="Arial" w:cs="Arial"/>
          <w:sz w:val="20"/>
          <w:szCs w:val="20"/>
          <w:shd w:val="clear" w:color="auto" w:fill="FFFFFF"/>
        </w:rPr>
        <w:t xml:space="preserve"> = 27.77).</w:t>
      </w:r>
    </w:p>
    <w:p w14:paraId="41B9D725" w14:textId="77777777" w:rsidR="00705A36" w:rsidRPr="00362EC0" w:rsidRDefault="00705A36" w:rsidP="001B3FF2">
      <w:pPr>
        <w:spacing w:after="0" w:line="360" w:lineRule="auto"/>
        <w:contextualSpacing/>
        <w:jc w:val="both"/>
        <w:rPr>
          <w:rFonts w:ascii="Arial" w:hAnsi="Arial" w:cs="Arial"/>
          <w:sz w:val="20"/>
          <w:szCs w:val="20"/>
        </w:rPr>
      </w:pPr>
    </w:p>
    <w:p w14:paraId="117F81B5" w14:textId="52E017F9" w:rsidR="00705A36" w:rsidRPr="00362EC0" w:rsidRDefault="00705A36" w:rsidP="001B3FF2">
      <w:pPr>
        <w:spacing w:after="0" w:line="360" w:lineRule="auto"/>
        <w:contextualSpacing/>
        <w:jc w:val="both"/>
        <w:rPr>
          <w:rFonts w:ascii="Arial" w:hAnsi="Arial" w:cs="Arial"/>
          <w:b/>
          <w:bCs/>
          <w:sz w:val="20"/>
          <w:szCs w:val="20"/>
        </w:rPr>
      </w:pPr>
      <w:r w:rsidRPr="00362EC0">
        <w:rPr>
          <w:rFonts w:ascii="Arial" w:hAnsi="Arial" w:cs="Arial"/>
          <w:b/>
          <w:bCs/>
          <w:sz w:val="20"/>
          <w:szCs w:val="20"/>
        </w:rPr>
        <w:t>2.</w:t>
      </w:r>
      <w:r w:rsidR="0055504E" w:rsidRPr="00362EC0">
        <w:rPr>
          <w:rFonts w:ascii="Arial" w:hAnsi="Arial" w:cs="Arial"/>
          <w:b/>
          <w:bCs/>
          <w:sz w:val="20"/>
          <w:szCs w:val="20"/>
        </w:rPr>
        <w:t>3</w:t>
      </w:r>
      <w:r w:rsidRPr="00362EC0">
        <w:rPr>
          <w:rFonts w:ascii="Arial" w:hAnsi="Arial" w:cs="Arial"/>
          <w:b/>
          <w:bCs/>
          <w:sz w:val="20"/>
          <w:szCs w:val="20"/>
        </w:rPr>
        <w:t xml:space="preserve"> Procedure </w:t>
      </w:r>
    </w:p>
    <w:p w14:paraId="639FB95E" w14:textId="62AB1B3A" w:rsidR="00705A36" w:rsidRPr="00362EC0" w:rsidRDefault="00705A36" w:rsidP="001B3FF2">
      <w:pPr>
        <w:spacing w:after="0" w:line="360" w:lineRule="auto"/>
        <w:ind w:firstLine="720"/>
        <w:contextualSpacing/>
        <w:jc w:val="both"/>
        <w:rPr>
          <w:rFonts w:ascii="Arial" w:hAnsi="Arial" w:cs="Arial"/>
          <w:sz w:val="20"/>
          <w:szCs w:val="20"/>
        </w:rPr>
      </w:pPr>
      <w:r w:rsidRPr="00362EC0">
        <w:rPr>
          <w:rFonts w:ascii="Arial" w:hAnsi="Arial" w:cs="Arial"/>
          <w:sz w:val="20"/>
          <w:szCs w:val="20"/>
        </w:rPr>
        <w:t xml:space="preserve"> The experiment consisted of 180 trials in total, of which 45 </w:t>
      </w:r>
      <w:r w:rsidR="00374258" w:rsidRPr="00362EC0">
        <w:rPr>
          <w:rFonts w:ascii="Arial" w:hAnsi="Arial" w:cs="Arial"/>
          <w:sz w:val="20"/>
          <w:szCs w:val="20"/>
        </w:rPr>
        <w:t xml:space="preserve">were Instructed </w:t>
      </w:r>
      <w:r w:rsidRPr="00362EC0">
        <w:rPr>
          <w:rFonts w:ascii="Arial" w:hAnsi="Arial" w:cs="Arial"/>
          <w:sz w:val="20"/>
          <w:szCs w:val="20"/>
        </w:rPr>
        <w:t xml:space="preserve">Stop, 45 instructed Go and 90 </w:t>
      </w:r>
      <w:r w:rsidR="00374258" w:rsidRPr="00362EC0">
        <w:rPr>
          <w:rFonts w:ascii="Arial" w:hAnsi="Arial" w:cs="Arial"/>
          <w:sz w:val="20"/>
          <w:szCs w:val="20"/>
        </w:rPr>
        <w:t xml:space="preserve">Choice </w:t>
      </w:r>
      <w:r w:rsidRPr="00362EC0">
        <w:rPr>
          <w:rFonts w:ascii="Arial" w:hAnsi="Arial" w:cs="Arial"/>
          <w:sz w:val="20"/>
          <w:szCs w:val="20"/>
        </w:rPr>
        <w:t>trials. Per trial type (</w:t>
      </w:r>
      <w:r w:rsidR="00374258" w:rsidRPr="00362EC0">
        <w:rPr>
          <w:rFonts w:ascii="Arial" w:hAnsi="Arial" w:cs="Arial"/>
          <w:sz w:val="20"/>
          <w:szCs w:val="20"/>
        </w:rPr>
        <w:t xml:space="preserve">Instructed </w:t>
      </w:r>
      <w:r w:rsidRPr="00362EC0">
        <w:rPr>
          <w:rFonts w:ascii="Arial" w:hAnsi="Arial" w:cs="Arial"/>
          <w:sz w:val="20"/>
          <w:szCs w:val="20"/>
        </w:rPr>
        <w:t xml:space="preserve">Stop, </w:t>
      </w:r>
      <w:r w:rsidR="00374258" w:rsidRPr="00362EC0">
        <w:rPr>
          <w:rFonts w:ascii="Arial" w:hAnsi="Arial" w:cs="Arial"/>
          <w:sz w:val="20"/>
          <w:szCs w:val="20"/>
        </w:rPr>
        <w:t xml:space="preserve">Instructed </w:t>
      </w:r>
      <w:r w:rsidRPr="00362EC0">
        <w:rPr>
          <w:rFonts w:ascii="Arial" w:hAnsi="Arial" w:cs="Arial"/>
          <w:sz w:val="20"/>
          <w:szCs w:val="20"/>
        </w:rPr>
        <w:t xml:space="preserve">Go, </w:t>
      </w:r>
      <w:r w:rsidR="008A2BAE" w:rsidRPr="00362EC0">
        <w:rPr>
          <w:rFonts w:ascii="Arial" w:hAnsi="Arial" w:cs="Arial"/>
          <w:sz w:val="20"/>
          <w:szCs w:val="20"/>
        </w:rPr>
        <w:t>and C</w:t>
      </w:r>
      <w:r w:rsidRPr="00362EC0">
        <w:rPr>
          <w:rFonts w:ascii="Arial" w:hAnsi="Arial" w:cs="Arial"/>
          <w:sz w:val="20"/>
          <w:szCs w:val="20"/>
        </w:rPr>
        <w:t xml:space="preserve">hoice) there was an equal proportion of no reward, low reward and high reward </w:t>
      </w:r>
      <w:r w:rsidR="00374258" w:rsidRPr="00362EC0">
        <w:rPr>
          <w:rFonts w:ascii="Arial" w:hAnsi="Arial" w:cs="Arial"/>
          <w:sz w:val="20"/>
          <w:szCs w:val="20"/>
        </w:rPr>
        <w:t>trials</w:t>
      </w:r>
      <w:r w:rsidRPr="00362EC0">
        <w:rPr>
          <w:rFonts w:ascii="Arial" w:hAnsi="Arial" w:cs="Arial"/>
          <w:sz w:val="20"/>
          <w:szCs w:val="20"/>
        </w:rPr>
        <w:t xml:space="preserve">. Trial presentation was pseudo-randomized with the restriction to not present more than five trials of the same trial type in a row. Before the experiment, two practice sessions were performed. First, 15 practice trials were performed with an equal amount of trials per trial type to familiarize the participants with the mouse motion and the task layout. Second, the </w:t>
      </w:r>
      <w:r w:rsidR="00374258" w:rsidRPr="00362EC0">
        <w:rPr>
          <w:rFonts w:ascii="Arial" w:hAnsi="Arial" w:cs="Arial"/>
          <w:sz w:val="20"/>
          <w:szCs w:val="20"/>
        </w:rPr>
        <w:t xml:space="preserve">Choice </w:t>
      </w:r>
      <w:r w:rsidRPr="00362EC0">
        <w:rPr>
          <w:rFonts w:ascii="Arial" w:hAnsi="Arial" w:cs="Arial"/>
          <w:sz w:val="20"/>
          <w:szCs w:val="20"/>
        </w:rPr>
        <w:t xml:space="preserve">trials were practiced for 15 trials to further familiarize the participants with the task design, motion required and multi-tasking requirement (deciding while keeping the cursor hand moving). In both practice sessions, participants received feedback upon completion of a trial. For </w:t>
      </w:r>
      <w:r w:rsidR="00374258" w:rsidRPr="00362EC0">
        <w:rPr>
          <w:rFonts w:ascii="Arial" w:hAnsi="Arial" w:cs="Arial"/>
          <w:sz w:val="20"/>
          <w:szCs w:val="20"/>
        </w:rPr>
        <w:t>I</w:t>
      </w:r>
      <w:r w:rsidRPr="00362EC0">
        <w:rPr>
          <w:rFonts w:ascii="Arial" w:hAnsi="Arial" w:cs="Arial"/>
          <w:sz w:val="20"/>
          <w:szCs w:val="20"/>
        </w:rPr>
        <w:t xml:space="preserve">nstructed trials the feedback was based on the correctness of the response and for </w:t>
      </w:r>
      <w:r w:rsidR="00374258" w:rsidRPr="00362EC0">
        <w:rPr>
          <w:rFonts w:ascii="Arial" w:hAnsi="Arial" w:cs="Arial"/>
          <w:sz w:val="20"/>
          <w:szCs w:val="20"/>
        </w:rPr>
        <w:t xml:space="preserve">Choice </w:t>
      </w:r>
      <w:r w:rsidRPr="00362EC0">
        <w:rPr>
          <w:rFonts w:ascii="Arial" w:hAnsi="Arial" w:cs="Arial"/>
          <w:sz w:val="20"/>
          <w:szCs w:val="20"/>
        </w:rPr>
        <w:t xml:space="preserve">trials the feedback incorporated their choice and a counter reflecting the total number of choices made towards Go and Stop trials. </w:t>
      </w:r>
    </w:p>
    <w:p w14:paraId="01974955" w14:textId="7A049D7F" w:rsidR="00705A36" w:rsidRPr="00362EC0" w:rsidRDefault="00705A36" w:rsidP="001B3FF2">
      <w:pPr>
        <w:spacing w:after="0" w:line="360" w:lineRule="auto"/>
        <w:contextualSpacing/>
        <w:jc w:val="both"/>
        <w:rPr>
          <w:rFonts w:ascii="Arial" w:hAnsi="Arial" w:cs="Arial"/>
          <w:sz w:val="20"/>
          <w:szCs w:val="20"/>
        </w:rPr>
      </w:pPr>
    </w:p>
    <w:p w14:paraId="0C55EC4F" w14:textId="109F01B6" w:rsidR="0055504E" w:rsidRPr="00362EC0" w:rsidRDefault="0055504E" w:rsidP="001B3FF2">
      <w:pPr>
        <w:spacing w:after="0" w:line="360" w:lineRule="auto"/>
        <w:contextualSpacing/>
        <w:jc w:val="both"/>
        <w:rPr>
          <w:rFonts w:ascii="Arial" w:hAnsi="Arial" w:cs="Arial"/>
          <w:b/>
          <w:bCs/>
          <w:sz w:val="20"/>
          <w:szCs w:val="20"/>
        </w:rPr>
      </w:pPr>
      <w:r w:rsidRPr="00362EC0">
        <w:rPr>
          <w:rFonts w:ascii="Arial" w:hAnsi="Arial" w:cs="Arial"/>
          <w:b/>
          <w:bCs/>
          <w:sz w:val="20"/>
          <w:szCs w:val="20"/>
        </w:rPr>
        <w:t>2.4 Participants</w:t>
      </w:r>
    </w:p>
    <w:p w14:paraId="1E1AFC83" w14:textId="49FDBA42" w:rsidR="0055504E" w:rsidRPr="00362EC0" w:rsidRDefault="0055504E" w:rsidP="001B3FF2">
      <w:pPr>
        <w:spacing w:after="0" w:line="360" w:lineRule="auto"/>
        <w:ind w:firstLine="720"/>
        <w:contextualSpacing/>
        <w:jc w:val="both"/>
        <w:rPr>
          <w:rFonts w:ascii="Arial" w:hAnsi="Arial" w:cs="Arial"/>
          <w:sz w:val="20"/>
          <w:szCs w:val="20"/>
        </w:rPr>
      </w:pPr>
      <w:r w:rsidRPr="00362EC0">
        <w:rPr>
          <w:rFonts w:ascii="Arial" w:hAnsi="Arial" w:cs="Arial"/>
          <w:sz w:val="20"/>
          <w:szCs w:val="20"/>
        </w:rPr>
        <w:t xml:space="preserve">Participants were recruited from the general public </w:t>
      </w:r>
      <w:r w:rsidR="008C313C" w:rsidRPr="00362EC0">
        <w:rPr>
          <w:rFonts w:ascii="Arial" w:hAnsi="Arial" w:cs="Arial"/>
          <w:sz w:val="20"/>
          <w:szCs w:val="20"/>
        </w:rPr>
        <w:t xml:space="preserve">and </w:t>
      </w:r>
      <w:r w:rsidRPr="00362EC0">
        <w:rPr>
          <w:rFonts w:ascii="Arial" w:hAnsi="Arial" w:cs="Arial"/>
          <w:sz w:val="20"/>
          <w:szCs w:val="20"/>
        </w:rPr>
        <w:t>provided informed consent before participation which was approved by the local ethics committee</w:t>
      </w:r>
      <w:r w:rsidR="008C313C" w:rsidRPr="00362EC0">
        <w:rPr>
          <w:rFonts w:ascii="Arial" w:hAnsi="Arial" w:cs="Arial"/>
          <w:sz w:val="20"/>
          <w:szCs w:val="20"/>
        </w:rPr>
        <w:t xml:space="preserve"> in accordance with the 1964 Helsinki declaration</w:t>
      </w:r>
      <w:r w:rsidR="00290AF7" w:rsidRPr="00362EC0">
        <w:rPr>
          <w:rFonts w:ascii="Arial" w:hAnsi="Arial" w:cs="Arial"/>
          <w:sz w:val="20"/>
          <w:szCs w:val="20"/>
        </w:rPr>
        <w:t xml:space="preserve"> (reference number</w:t>
      </w:r>
      <w:r w:rsidR="00290AF7" w:rsidRPr="00362EC0">
        <w:rPr>
          <w:rFonts w:ascii="Arial" w:hAnsi="Arial" w:cs="Arial"/>
          <w:color w:val="000000" w:themeColor="text1"/>
          <w:sz w:val="20"/>
          <w:szCs w:val="20"/>
        </w:rPr>
        <w:t>:</w:t>
      </w:r>
      <w:r w:rsidR="00A86654" w:rsidRPr="00362EC0">
        <w:rPr>
          <w:rFonts w:ascii="Arial" w:hAnsi="Arial" w:cs="Arial"/>
          <w:color w:val="000000" w:themeColor="text1"/>
          <w:sz w:val="20"/>
          <w:szCs w:val="20"/>
        </w:rPr>
        <w:t xml:space="preserve"> </w:t>
      </w:r>
      <w:r w:rsidR="00290AF7" w:rsidRPr="00362EC0">
        <w:rPr>
          <w:rFonts w:ascii="Arial" w:hAnsi="Arial" w:cs="Arial"/>
          <w:color w:val="000000" w:themeColor="text1"/>
          <w:sz w:val="20"/>
          <w:szCs w:val="20"/>
          <w:shd w:val="clear" w:color="auto" w:fill="FFFFFF"/>
        </w:rPr>
        <w:t>11/EE/0198</w:t>
      </w:r>
      <w:r w:rsidR="00290AF7" w:rsidRPr="00362EC0">
        <w:rPr>
          <w:rFonts w:ascii="Arial" w:hAnsi="Arial" w:cs="Arial"/>
          <w:sz w:val="20"/>
          <w:szCs w:val="20"/>
        </w:rPr>
        <w:t>)</w:t>
      </w:r>
      <w:r w:rsidRPr="00362EC0">
        <w:rPr>
          <w:rFonts w:ascii="Arial" w:hAnsi="Arial" w:cs="Arial"/>
          <w:sz w:val="20"/>
          <w:szCs w:val="20"/>
        </w:rPr>
        <w:t>. All participants reported no psychiatric or neurological disorders and were paid £</w:t>
      </w:r>
      <w:r w:rsidR="00E65EE9" w:rsidRPr="00362EC0">
        <w:rPr>
          <w:rFonts w:ascii="Arial" w:hAnsi="Arial" w:cs="Arial"/>
          <w:sz w:val="20"/>
          <w:szCs w:val="20"/>
        </w:rPr>
        <w:t xml:space="preserve">10 </w:t>
      </w:r>
      <w:r w:rsidRPr="00362EC0">
        <w:rPr>
          <w:rFonts w:ascii="Arial" w:hAnsi="Arial" w:cs="Arial"/>
          <w:sz w:val="20"/>
          <w:szCs w:val="20"/>
        </w:rPr>
        <w:t xml:space="preserve">for participation. From </w:t>
      </w:r>
      <w:r w:rsidR="00647DCE" w:rsidRPr="00362EC0">
        <w:rPr>
          <w:rFonts w:ascii="Arial" w:hAnsi="Arial" w:cs="Arial"/>
          <w:sz w:val="20"/>
          <w:szCs w:val="20"/>
        </w:rPr>
        <w:t xml:space="preserve">an </w:t>
      </w:r>
      <w:r w:rsidRPr="00362EC0">
        <w:rPr>
          <w:rFonts w:ascii="Arial" w:hAnsi="Arial" w:cs="Arial"/>
          <w:sz w:val="20"/>
          <w:szCs w:val="20"/>
        </w:rPr>
        <w:t>initial sample of 45 participants, two</w:t>
      </w:r>
      <w:r w:rsidR="00647DCE" w:rsidRPr="00362EC0">
        <w:rPr>
          <w:rFonts w:ascii="Arial" w:hAnsi="Arial" w:cs="Arial"/>
          <w:sz w:val="20"/>
          <w:szCs w:val="20"/>
        </w:rPr>
        <w:t xml:space="preserve"> participants</w:t>
      </w:r>
      <w:r w:rsidR="00EA0028" w:rsidRPr="00362EC0">
        <w:rPr>
          <w:rFonts w:ascii="Arial" w:hAnsi="Arial" w:cs="Arial"/>
          <w:sz w:val="20"/>
          <w:szCs w:val="20"/>
        </w:rPr>
        <w:t xml:space="preserve"> </w:t>
      </w:r>
      <w:r w:rsidRPr="00362EC0">
        <w:rPr>
          <w:rFonts w:ascii="Arial" w:hAnsi="Arial" w:cs="Arial"/>
          <w:sz w:val="20"/>
          <w:szCs w:val="20"/>
        </w:rPr>
        <w:lastRenderedPageBreak/>
        <w:t xml:space="preserve">were excluded due to </w:t>
      </w:r>
      <w:r w:rsidR="00647DCE" w:rsidRPr="00362EC0">
        <w:rPr>
          <w:rFonts w:ascii="Arial" w:hAnsi="Arial" w:cs="Arial"/>
          <w:sz w:val="20"/>
          <w:szCs w:val="20"/>
        </w:rPr>
        <w:t xml:space="preserve">excessively </w:t>
      </w:r>
      <w:r w:rsidRPr="00362EC0">
        <w:rPr>
          <w:rFonts w:ascii="Arial" w:hAnsi="Arial" w:cs="Arial"/>
          <w:sz w:val="20"/>
          <w:szCs w:val="20"/>
        </w:rPr>
        <w:t>slow response times</w:t>
      </w:r>
      <w:r w:rsidR="00647DCE" w:rsidRPr="00362EC0">
        <w:rPr>
          <w:rFonts w:ascii="Arial" w:hAnsi="Arial" w:cs="Arial"/>
          <w:sz w:val="20"/>
          <w:szCs w:val="20"/>
        </w:rPr>
        <w:t xml:space="preserve"> (&gt;2 standard deviations</w:t>
      </w:r>
      <w:r w:rsidR="0021030F" w:rsidRPr="00362EC0">
        <w:rPr>
          <w:rFonts w:ascii="Arial" w:hAnsi="Arial" w:cs="Arial"/>
          <w:sz w:val="20"/>
          <w:szCs w:val="20"/>
        </w:rPr>
        <w:t xml:space="preserve">, </w:t>
      </w:r>
      <w:r w:rsidR="0021030F" w:rsidRPr="00362EC0">
        <w:rPr>
          <w:rFonts w:ascii="Arial" w:hAnsi="Arial" w:cs="Arial"/>
          <w:i/>
          <w:iCs/>
          <w:sz w:val="20"/>
          <w:szCs w:val="20"/>
        </w:rPr>
        <w:t>SD</w:t>
      </w:r>
      <w:r w:rsidR="0021030F" w:rsidRPr="00362EC0">
        <w:rPr>
          <w:rFonts w:ascii="Arial" w:hAnsi="Arial" w:cs="Arial"/>
          <w:sz w:val="20"/>
          <w:szCs w:val="20"/>
        </w:rPr>
        <w:t>,</w:t>
      </w:r>
      <w:r w:rsidR="00647DCE" w:rsidRPr="00362EC0">
        <w:rPr>
          <w:rFonts w:ascii="Arial" w:hAnsi="Arial" w:cs="Arial"/>
          <w:sz w:val="20"/>
          <w:szCs w:val="20"/>
        </w:rPr>
        <w:t xml:space="preserve"> from group mean)</w:t>
      </w:r>
      <w:r w:rsidRPr="00362EC0">
        <w:rPr>
          <w:rFonts w:ascii="Arial" w:hAnsi="Arial" w:cs="Arial"/>
          <w:sz w:val="20"/>
          <w:szCs w:val="20"/>
        </w:rPr>
        <w:t xml:space="preserve"> during </w:t>
      </w:r>
      <w:r w:rsidR="00374258" w:rsidRPr="00362EC0">
        <w:rPr>
          <w:rFonts w:ascii="Arial" w:hAnsi="Arial" w:cs="Arial"/>
          <w:sz w:val="20"/>
          <w:szCs w:val="20"/>
        </w:rPr>
        <w:t>Instructed</w:t>
      </w:r>
      <w:r w:rsidRPr="00362EC0">
        <w:rPr>
          <w:rFonts w:ascii="Arial" w:hAnsi="Arial" w:cs="Arial"/>
          <w:sz w:val="20"/>
          <w:szCs w:val="20"/>
        </w:rPr>
        <w:t xml:space="preserve">, non-rewarded, </w:t>
      </w:r>
      <w:r w:rsidR="00374258" w:rsidRPr="00362EC0">
        <w:rPr>
          <w:rFonts w:ascii="Arial" w:hAnsi="Arial" w:cs="Arial"/>
          <w:sz w:val="20"/>
          <w:szCs w:val="20"/>
        </w:rPr>
        <w:t xml:space="preserve">Go </w:t>
      </w:r>
      <w:r w:rsidRPr="00362EC0">
        <w:rPr>
          <w:rFonts w:ascii="Arial" w:hAnsi="Arial" w:cs="Arial"/>
          <w:sz w:val="20"/>
          <w:szCs w:val="20"/>
        </w:rPr>
        <w:t xml:space="preserve">trials and four participants </w:t>
      </w:r>
      <w:r w:rsidR="00647DCE" w:rsidRPr="00362EC0">
        <w:rPr>
          <w:rFonts w:ascii="Arial" w:hAnsi="Arial" w:cs="Arial"/>
          <w:sz w:val="20"/>
          <w:szCs w:val="20"/>
        </w:rPr>
        <w:t xml:space="preserve">due to </w:t>
      </w:r>
      <w:r w:rsidR="0021030F" w:rsidRPr="00362EC0">
        <w:rPr>
          <w:rFonts w:ascii="Arial" w:hAnsi="Arial" w:cs="Arial"/>
          <w:sz w:val="20"/>
          <w:szCs w:val="20"/>
        </w:rPr>
        <w:t xml:space="preserve">too low accuracy rates </w:t>
      </w:r>
      <w:r w:rsidR="00647DCE" w:rsidRPr="00362EC0">
        <w:rPr>
          <w:rFonts w:ascii="Arial" w:hAnsi="Arial" w:cs="Arial"/>
          <w:sz w:val="20"/>
          <w:szCs w:val="20"/>
        </w:rPr>
        <w:t xml:space="preserve">(&gt;2 </w:t>
      </w:r>
      <w:r w:rsidR="0021030F" w:rsidRPr="00362EC0">
        <w:rPr>
          <w:rFonts w:ascii="Arial" w:hAnsi="Arial" w:cs="Arial"/>
          <w:i/>
          <w:iCs/>
          <w:sz w:val="20"/>
          <w:szCs w:val="20"/>
        </w:rPr>
        <w:t>SDs</w:t>
      </w:r>
      <w:r w:rsidR="00647DCE" w:rsidRPr="00362EC0">
        <w:rPr>
          <w:rFonts w:ascii="Arial" w:hAnsi="Arial" w:cs="Arial"/>
          <w:sz w:val="20"/>
          <w:szCs w:val="20"/>
        </w:rPr>
        <w:t xml:space="preserve"> from group mean) </w:t>
      </w:r>
      <w:r w:rsidRPr="00362EC0">
        <w:rPr>
          <w:rFonts w:ascii="Arial" w:hAnsi="Arial" w:cs="Arial"/>
          <w:sz w:val="20"/>
          <w:szCs w:val="20"/>
        </w:rPr>
        <w:t xml:space="preserve">during </w:t>
      </w:r>
      <w:r w:rsidR="00374258" w:rsidRPr="00362EC0">
        <w:rPr>
          <w:rFonts w:ascii="Arial" w:hAnsi="Arial" w:cs="Arial"/>
          <w:sz w:val="20"/>
          <w:szCs w:val="20"/>
        </w:rPr>
        <w:t>Instructed</w:t>
      </w:r>
      <w:r w:rsidRPr="00362EC0">
        <w:rPr>
          <w:rFonts w:ascii="Arial" w:hAnsi="Arial" w:cs="Arial"/>
          <w:sz w:val="20"/>
          <w:szCs w:val="20"/>
        </w:rPr>
        <w:t xml:space="preserve">, non-rewarded, </w:t>
      </w:r>
      <w:r w:rsidR="00374258" w:rsidRPr="00362EC0">
        <w:rPr>
          <w:rFonts w:ascii="Arial" w:hAnsi="Arial" w:cs="Arial"/>
          <w:sz w:val="20"/>
          <w:szCs w:val="20"/>
        </w:rPr>
        <w:t xml:space="preserve">Go </w:t>
      </w:r>
      <w:r w:rsidR="00647DCE" w:rsidRPr="00362EC0">
        <w:rPr>
          <w:rFonts w:ascii="Arial" w:hAnsi="Arial" w:cs="Arial"/>
          <w:sz w:val="20"/>
          <w:szCs w:val="20"/>
        </w:rPr>
        <w:t xml:space="preserve">or </w:t>
      </w:r>
      <w:r w:rsidR="00374258" w:rsidRPr="00362EC0">
        <w:rPr>
          <w:rFonts w:ascii="Arial" w:hAnsi="Arial" w:cs="Arial"/>
          <w:sz w:val="20"/>
          <w:szCs w:val="20"/>
        </w:rPr>
        <w:t xml:space="preserve">Stop </w:t>
      </w:r>
      <w:r w:rsidRPr="00362EC0">
        <w:rPr>
          <w:rFonts w:ascii="Arial" w:hAnsi="Arial" w:cs="Arial"/>
          <w:sz w:val="20"/>
          <w:szCs w:val="20"/>
        </w:rPr>
        <w:t>trial</w:t>
      </w:r>
      <w:r w:rsidR="00647DCE" w:rsidRPr="00362EC0">
        <w:rPr>
          <w:rFonts w:ascii="Arial" w:hAnsi="Arial" w:cs="Arial"/>
          <w:sz w:val="20"/>
          <w:szCs w:val="20"/>
        </w:rPr>
        <w:t>s</w:t>
      </w:r>
      <w:r w:rsidRPr="00362EC0">
        <w:rPr>
          <w:rFonts w:ascii="Arial" w:hAnsi="Arial" w:cs="Arial"/>
          <w:sz w:val="20"/>
          <w:szCs w:val="20"/>
        </w:rPr>
        <w:t>. The final sample thus comprised 39 right-handed participants (8 male) with a mean age of 30.08 years (</w:t>
      </w:r>
      <w:r w:rsidRPr="00362EC0">
        <w:rPr>
          <w:rFonts w:ascii="Arial" w:hAnsi="Arial" w:cs="Arial"/>
          <w:i/>
          <w:iCs/>
          <w:sz w:val="20"/>
          <w:szCs w:val="20"/>
        </w:rPr>
        <w:t>SD</w:t>
      </w:r>
      <w:r w:rsidRPr="00362EC0">
        <w:rPr>
          <w:rFonts w:ascii="Arial" w:hAnsi="Arial" w:cs="Arial"/>
          <w:sz w:val="20"/>
          <w:szCs w:val="20"/>
        </w:rPr>
        <w:t xml:space="preserve"> = 10.17, range between 19 and 59 years). </w:t>
      </w:r>
    </w:p>
    <w:p w14:paraId="23E4F0DC" w14:textId="77777777" w:rsidR="00705A36" w:rsidRPr="00362EC0" w:rsidRDefault="00705A36" w:rsidP="001B3FF2">
      <w:pPr>
        <w:spacing w:after="0" w:line="360" w:lineRule="auto"/>
        <w:contextualSpacing/>
        <w:jc w:val="both"/>
        <w:rPr>
          <w:rFonts w:ascii="Arial" w:hAnsi="Arial" w:cs="Arial"/>
          <w:sz w:val="20"/>
          <w:szCs w:val="20"/>
        </w:rPr>
      </w:pPr>
    </w:p>
    <w:p w14:paraId="20F8FD7E" w14:textId="73D6DA91" w:rsidR="00705A36" w:rsidRPr="00362EC0" w:rsidRDefault="00705A36" w:rsidP="001B3FF2">
      <w:pPr>
        <w:spacing w:after="0" w:line="360" w:lineRule="auto"/>
        <w:contextualSpacing/>
        <w:jc w:val="both"/>
        <w:rPr>
          <w:rFonts w:ascii="Arial" w:hAnsi="Arial" w:cs="Arial"/>
          <w:b/>
          <w:bCs/>
          <w:sz w:val="20"/>
          <w:szCs w:val="20"/>
        </w:rPr>
      </w:pPr>
      <w:r w:rsidRPr="00362EC0">
        <w:rPr>
          <w:rFonts w:ascii="Arial" w:hAnsi="Arial" w:cs="Arial"/>
          <w:b/>
          <w:bCs/>
          <w:sz w:val="20"/>
          <w:szCs w:val="20"/>
        </w:rPr>
        <w:t xml:space="preserve">2.5 </w:t>
      </w:r>
      <w:r w:rsidR="00770F04" w:rsidRPr="00362EC0">
        <w:rPr>
          <w:rFonts w:ascii="Arial" w:hAnsi="Arial" w:cs="Arial"/>
          <w:b/>
          <w:bCs/>
          <w:sz w:val="20"/>
          <w:szCs w:val="20"/>
        </w:rPr>
        <w:t>S</w:t>
      </w:r>
      <w:r w:rsidRPr="00362EC0">
        <w:rPr>
          <w:rFonts w:ascii="Arial" w:hAnsi="Arial" w:cs="Arial"/>
          <w:b/>
          <w:bCs/>
          <w:sz w:val="20"/>
          <w:szCs w:val="20"/>
        </w:rPr>
        <w:t>tatistical analyses</w:t>
      </w:r>
    </w:p>
    <w:p w14:paraId="131DF777" w14:textId="17DBE28C" w:rsidR="0028639A" w:rsidRPr="00362EC0" w:rsidRDefault="0028639A" w:rsidP="0021030F">
      <w:pPr>
        <w:spacing w:after="0" w:line="360" w:lineRule="auto"/>
        <w:ind w:firstLine="720"/>
        <w:contextualSpacing/>
        <w:jc w:val="both"/>
        <w:rPr>
          <w:rFonts w:ascii="Arial" w:hAnsi="Arial" w:cs="Arial"/>
          <w:sz w:val="20"/>
          <w:szCs w:val="20"/>
        </w:rPr>
      </w:pPr>
      <w:bookmarkStart w:id="10" w:name="_Hlk46594054"/>
      <w:r w:rsidRPr="00362EC0">
        <w:rPr>
          <w:rFonts w:ascii="Arial" w:hAnsi="Arial" w:cs="Arial"/>
          <w:sz w:val="20"/>
          <w:szCs w:val="20"/>
        </w:rPr>
        <w:t>To assess whether participants followed preconceived strategies during Choice trials, we performed runs tests of randomness on</w:t>
      </w:r>
      <w:r w:rsidR="007D6824">
        <w:rPr>
          <w:rFonts w:ascii="Arial" w:hAnsi="Arial" w:cs="Arial"/>
          <w:sz w:val="20"/>
          <w:szCs w:val="20"/>
        </w:rPr>
        <w:t xml:space="preserve"> the group level, incorporating</w:t>
      </w:r>
      <w:r w:rsidRPr="00362EC0">
        <w:rPr>
          <w:rFonts w:ascii="Arial" w:hAnsi="Arial" w:cs="Arial"/>
          <w:sz w:val="20"/>
          <w:szCs w:val="20"/>
        </w:rPr>
        <w:t xml:space="preserve"> response sequences from each participant</w:t>
      </w:r>
      <w:r w:rsidR="007D6824">
        <w:rPr>
          <w:rFonts w:ascii="Arial" w:hAnsi="Arial" w:cs="Arial"/>
          <w:sz w:val="20"/>
          <w:szCs w:val="20"/>
        </w:rPr>
        <w:t>,</w:t>
      </w:r>
      <w:r w:rsidRPr="00362EC0">
        <w:rPr>
          <w:rFonts w:ascii="Arial" w:hAnsi="Arial" w:cs="Arial"/>
          <w:sz w:val="20"/>
          <w:szCs w:val="20"/>
        </w:rPr>
        <w:t xml:space="preserve"> first across all Choice trials, then per reward type. Test statistics, </w:t>
      </w:r>
      <w:r w:rsidRPr="00362EC0">
        <w:rPr>
          <w:rFonts w:ascii="Arial" w:hAnsi="Arial" w:cs="Arial"/>
          <w:i/>
          <w:iCs/>
          <w:sz w:val="20"/>
          <w:szCs w:val="20"/>
        </w:rPr>
        <w:t>z</w:t>
      </w:r>
      <w:r w:rsidRPr="00362EC0">
        <w:rPr>
          <w:rFonts w:ascii="Arial" w:hAnsi="Arial" w:cs="Arial"/>
          <w:sz w:val="20"/>
          <w:szCs w:val="20"/>
        </w:rPr>
        <w:t xml:space="preserve">-scores, were computed using the "DescTools" package </w:t>
      </w:r>
      <w:r w:rsidR="00F97A24">
        <w:rPr>
          <w:rFonts w:ascii="Arial" w:hAnsi="Arial" w:cs="Arial"/>
          <w:sz w:val="20"/>
          <w:szCs w:val="20"/>
        </w:rPr>
        <w:fldChar w:fldCharType="begin" w:fldLock="1"/>
      </w:r>
      <w:r w:rsidR="00F97A24">
        <w:rPr>
          <w:rFonts w:ascii="Arial" w:hAnsi="Arial" w:cs="Arial"/>
          <w:sz w:val="20"/>
          <w:szCs w:val="20"/>
        </w:rPr>
        <w:instrText>ADDIN CSL_CITATION {"citationItems":[{"id":"ITEM-1","itemData":{"author":[{"dropping-particle":"","family":"Signorell","given":"A","non-dropping-particle":"","parse-names":false,"suffix":""},{"dropping-particle":"","family":"Aho","given":"K","non-dropping-particle":"","parse-names":false,"suffix":""},{"dropping-particle":"","family":"Alfons","given":"A","non-dropping-particle":"","parse-names":false,"suffix":""},{"dropping-particle":"","family":"Anderegg","given":"N","non-dropping-particle":"","parse-names":false,"suffix":""},{"dropping-particle":"","family":"Aragon","given":"T","non-dropping-particle":"","parse-names":false,"suffix":""},{"dropping-particle":"","family":"Arppe","given":"A","non-dropping-particle":"","parse-names":false,"suffix":""},{"dropping-particle":"","family":"Baddeley","given":"A","non-dropping-particle":"","parse-names":false,"suffix":""},{"dropping-particle":"","family":"Barton","given":"K","non-dropping-particle":"","parse-names":false,"suffix":""},{"dropping-particle":"","family":"Bolker","given":"B","non-dropping-particle":"","parse-names":false,"suffix":""},{"dropping-particle":"","family":"Borchers","given":"H W","non-dropping-particle":"","parse-names":false,"suffix":""}],"id":"ITEM-1","issued":{"date-parts":[["2020"]]},"title":"DescTools: tools for descriptive statistics. R package version 0.99. 34","type":"article"},"uris":["http://www.mendeley.com/documents/?uuid=8a2de232-4bc3-4a77-b140-8aec6c11527c"]}],"mendeley":{"formattedCitation":"(Signorell et al., 2020)","plainTextFormattedCitation":"(Signorell et al., 2020)","previouslyFormattedCitation":"(Signorell et al., 2020)"},"properties":{"noteIndex":0},"schema":"https://github.com/citation-style-language/schema/raw/master/csl-citation.json"}</w:instrText>
      </w:r>
      <w:r w:rsidR="00F97A24">
        <w:rPr>
          <w:rFonts w:ascii="Arial" w:hAnsi="Arial" w:cs="Arial"/>
          <w:sz w:val="20"/>
          <w:szCs w:val="20"/>
        </w:rPr>
        <w:fldChar w:fldCharType="separate"/>
      </w:r>
      <w:r w:rsidR="00F97A24" w:rsidRPr="00F97A24">
        <w:rPr>
          <w:rFonts w:ascii="Arial" w:hAnsi="Arial" w:cs="Arial"/>
          <w:noProof/>
          <w:sz w:val="20"/>
          <w:szCs w:val="20"/>
        </w:rPr>
        <w:t>(Signorell et al., 2020)</w:t>
      </w:r>
      <w:r w:rsidR="00F97A24">
        <w:rPr>
          <w:rFonts w:ascii="Arial" w:hAnsi="Arial" w:cs="Arial"/>
          <w:sz w:val="20"/>
          <w:szCs w:val="20"/>
        </w:rPr>
        <w:fldChar w:fldCharType="end"/>
      </w:r>
      <w:r w:rsidR="00F97A24">
        <w:rPr>
          <w:rFonts w:ascii="Arial" w:hAnsi="Arial" w:cs="Arial"/>
          <w:sz w:val="20"/>
          <w:szCs w:val="20"/>
        </w:rPr>
        <w:t xml:space="preserve"> </w:t>
      </w:r>
      <w:r w:rsidRPr="00362EC0">
        <w:rPr>
          <w:rFonts w:ascii="Arial" w:hAnsi="Arial" w:cs="Arial"/>
          <w:sz w:val="20"/>
          <w:szCs w:val="20"/>
        </w:rPr>
        <w:t xml:space="preserve">in </w:t>
      </w:r>
      <w:r w:rsidR="00F97A24" w:rsidRPr="00362EC0">
        <w:rPr>
          <w:rFonts w:ascii="Arial" w:hAnsi="Arial" w:cs="Arial"/>
          <w:sz w:val="20"/>
          <w:szCs w:val="20"/>
        </w:rPr>
        <w:t xml:space="preserve">R v3.6.3 </w:t>
      </w:r>
      <w:r w:rsidR="00F97A24" w:rsidRPr="00362EC0">
        <w:rPr>
          <w:rFonts w:ascii="Arial" w:hAnsi="Arial" w:cs="Arial"/>
          <w:sz w:val="20"/>
          <w:szCs w:val="20"/>
        </w:rPr>
        <w:fldChar w:fldCharType="begin" w:fldLock="1"/>
      </w:r>
      <w:r w:rsidR="00F97A24" w:rsidRPr="00362EC0">
        <w:rPr>
          <w:rFonts w:ascii="Arial" w:hAnsi="Arial" w:cs="Arial"/>
          <w:sz w:val="20"/>
          <w:szCs w:val="20"/>
        </w:rPr>
        <w:instrText>ADDIN CSL_CITATION {"citationItems":[{"id":"ITEM-1","itemData":{"author":[{"dropping-particle":"","family":"R Core Team","given":"","non-dropping-particle":"","parse-names":false,"suffix":""}],"container-title":"Vienna, Austria. URL http://www.R-project.org/.","id":"ITEM-1","issued":{"date-parts":[["2020"]]},"title":"R: A Language and Environment for Statistical Computing. R Foundation for Statistical Computing","type":"article-journal"},"uris":["http://www.mendeley.com/documents/?uuid=1d6b8136-f7ad-4efb-a321-03dfe816bd02"]}],"mendeley":{"formattedCitation":"(R Core Team, 2020)","plainTextFormattedCitation":"(R Core Team, 2020)","previouslyFormattedCitation":"(R Core Team, 2020)"},"properties":{"noteIndex":0},"schema":"https://github.com/citation-style-language/schema/raw/master/csl-citation.json"}</w:instrText>
      </w:r>
      <w:r w:rsidR="00F97A24" w:rsidRPr="00362EC0">
        <w:rPr>
          <w:rFonts w:ascii="Arial" w:hAnsi="Arial" w:cs="Arial"/>
          <w:sz w:val="20"/>
          <w:szCs w:val="20"/>
        </w:rPr>
        <w:fldChar w:fldCharType="separate"/>
      </w:r>
      <w:r w:rsidR="00F97A24" w:rsidRPr="00362EC0">
        <w:rPr>
          <w:rFonts w:ascii="Arial" w:hAnsi="Arial" w:cs="Arial"/>
          <w:noProof/>
          <w:sz w:val="20"/>
          <w:szCs w:val="20"/>
        </w:rPr>
        <w:t>(R Core Team, 2020)</w:t>
      </w:r>
      <w:r w:rsidR="00F97A24" w:rsidRPr="00362EC0">
        <w:rPr>
          <w:rFonts w:ascii="Arial" w:hAnsi="Arial" w:cs="Arial"/>
          <w:sz w:val="20"/>
          <w:szCs w:val="20"/>
        </w:rPr>
        <w:fldChar w:fldCharType="end"/>
      </w:r>
      <w:r w:rsidRPr="00362EC0">
        <w:rPr>
          <w:rFonts w:ascii="Arial" w:hAnsi="Arial" w:cs="Arial"/>
          <w:sz w:val="20"/>
          <w:szCs w:val="20"/>
        </w:rPr>
        <w:t>. Approximate, rather than exact statistics were used for all sequences, consistent with recommendations for sequences longer than 20</w:t>
      </w:r>
      <w:r w:rsidR="00134DD3">
        <w:rPr>
          <w:rFonts w:ascii="Arial" w:hAnsi="Arial" w:cs="Arial"/>
          <w:sz w:val="20"/>
          <w:szCs w:val="20"/>
        </w:rPr>
        <w:t xml:space="preserve"> </w:t>
      </w:r>
      <w:r w:rsidR="00F97A24">
        <w:rPr>
          <w:rFonts w:ascii="Arial" w:hAnsi="Arial" w:cs="Arial"/>
          <w:sz w:val="20"/>
          <w:szCs w:val="20"/>
        </w:rPr>
        <w:fldChar w:fldCharType="begin" w:fldLock="1"/>
      </w:r>
      <w:r w:rsidR="00F97A24">
        <w:rPr>
          <w:rFonts w:ascii="Arial" w:hAnsi="Arial" w:cs="Arial"/>
          <w:sz w:val="20"/>
          <w:szCs w:val="20"/>
        </w:rPr>
        <w:instrText>ADDIN CSL_CITATION {"citationItems":[{"id":"ITEM-1","itemData":{"author":[{"dropping-particle":"","family":"Bujang","given":"Mohamad Adam","non-dropping-particle":"","parse-names":false,"suffix":""},{"dropping-particle":"","family":"Sapri","given":"Fatin Ellisya","non-dropping-particle":"","parse-names":false,"suffix":""}],"container-title":"The Malaysian journal of medical sciences: MJMS","id":"ITEM-1","issue":"4","issued":{"date-parts":[["2018"]]},"page":"146","publisher":"School of Medical Sciences, Universiti Sains Malaysia","title":"An Application of the Runs Test to Test for Randomness of Observations Obtained from a Clinical Survey in an Ordered Population","type":"article-journal","volume":"25"},"uris":["http://www.mendeley.com/documents/?uuid=7bde6ba1-200c-43c1-9c6e-d8b0a69f35c2"]}],"mendeley":{"formattedCitation":"(Bujang &amp; Sapri, 2018)","plainTextFormattedCitation":"(Bujang &amp; Sapri, 2018)","previouslyFormattedCitation":"(Bujang &amp; Sapri, 2018)"},"properties":{"noteIndex":0},"schema":"https://github.com/citation-style-language/schema/raw/master/csl-citation.json"}</w:instrText>
      </w:r>
      <w:r w:rsidR="00F97A24">
        <w:rPr>
          <w:rFonts w:ascii="Arial" w:hAnsi="Arial" w:cs="Arial"/>
          <w:sz w:val="20"/>
          <w:szCs w:val="20"/>
        </w:rPr>
        <w:fldChar w:fldCharType="separate"/>
      </w:r>
      <w:r w:rsidR="00F97A24" w:rsidRPr="00F97A24">
        <w:rPr>
          <w:rFonts w:ascii="Arial" w:hAnsi="Arial" w:cs="Arial"/>
          <w:noProof/>
          <w:sz w:val="20"/>
          <w:szCs w:val="20"/>
        </w:rPr>
        <w:t>(Bujang &amp; Sapri, 2018)</w:t>
      </w:r>
      <w:r w:rsidR="00F97A24">
        <w:rPr>
          <w:rFonts w:ascii="Arial" w:hAnsi="Arial" w:cs="Arial"/>
          <w:sz w:val="20"/>
          <w:szCs w:val="20"/>
        </w:rPr>
        <w:fldChar w:fldCharType="end"/>
      </w:r>
      <w:r w:rsidRPr="00362EC0">
        <w:rPr>
          <w:rFonts w:ascii="Arial" w:hAnsi="Arial" w:cs="Arial"/>
          <w:sz w:val="20"/>
          <w:szCs w:val="20"/>
        </w:rPr>
        <w:t xml:space="preserve">. In SPSS, we performed a one-sample </w:t>
      </w:r>
      <w:r w:rsidRPr="00362EC0">
        <w:rPr>
          <w:rFonts w:ascii="Arial" w:hAnsi="Arial" w:cs="Arial"/>
          <w:i/>
          <w:iCs/>
          <w:sz w:val="20"/>
          <w:szCs w:val="20"/>
        </w:rPr>
        <w:t>t</w:t>
      </w:r>
      <w:r w:rsidRPr="00362EC0">
        <w:rPr>
          <w:rFonts w:ascii="Arial" w:hAnsi="Arial" w:cs="Arial"/>
          <w:sz w:val="20"/>
          <w:szCs w:val="20"/>
        </w:rPr>
        <w:t xml:space="preserve">-test on </w:t>
      </w:r>
      <w:r w:rsidRPr="00362EC0">
        <w:rPr>
          <w:rFonts w:ascii="Arial" w:hAnsi="Arial" w:cs="Arial"/>
          <w:i/>
          <w:iCs/>
          <w:sz w:val="20"/>
          <w:szCs w:val="20"/>
        </w:rPr>
        <w:t>z</w:t>
      </w:r>
      <w:r w:rsidRPr="00362EC0">
        <w:rPr>
          <w:rFonts w:ascii="Arial" w:hAnsi="Arial" w:cs="Arial"/>
          <w:sz w:val="20"/>
          <w:szCs w:val="20"/>
        </w:rPr>
        <w:t>-scores derived from the runs test of randomness relating to all Choice trials, and a rmANOVA with reward type to assess whether the level of randomness differed between reward conditions</w:t>
      </w:r>
      <w:bookmarkEnd w:id="10"/>
      <w:r w:rsidRPr="00362EC0">
        <w:rPr>
          <w:rFonts w:ascii="Arial" w:hAnsi="Arial" w:cs="Arial"/>
          <w:sz w:val="20"/>
          <w:szCs w:val="20"/>
        </w:rPr>
        <w:t>.</w:t>
      </w:r>
    </w:p>
    <w:p w14:paraId="68DA2956" w14:textId="15874856" w:rsidR="00535F4F" w:rsidRPr="00362EC0" w:rsidRDefault="00535F4F" w:rsidP="0021030F">
      <w:pPr>
        <w:spacing w:after="0" w:line="360" w:lineRule="auto"/>
        <w:ind w:firstLine="720"/>
        <w:contextualSpacing/>
        <w:jc w:val="both"/>
        <w:rPr>
          <w:rFonts w:ascii="Arial" w:hAnsi="Arial" w:cs="Arial"/>
          <w:sz w:val="20"/>
          <w:szCs w:val="20"/>
        </w:rPr>
      </w:pPr>
      <w:r w:rsidRPr="00362EC0">
        <w:rPr>
          <w:rFonts w:ascii="Arial" w:hAnsi="Arial" w:cs="Arial"/>
          <w:sz w:val="20"/>
          <w:szCs w:val="20"/>
        </w:rPr>
        <w:t>Pre-</w:t>
      </w:r>
      <w:r w:rsidR="0021030F" w:rsidRPr="00362EC0">
        <w:rPr>
          <w:rFonts w:ascii="Arial" w:hAnsi="Arial" w:cs="Arial"/>
          <w:sz w:val="20"/>
          <w:szCs w:val="20"/>
        </w:rPr>
        <w:t xml:space="preserve">Cue </w:t>
      </w:r>
      <w:r w:rsidRPr="00362EC0">
        <w:rPr>
          <w:rFonts w:ascii="Arial" w:hAnsi="Arial" w:cs="Arial"/>
          <w:sz w:val="20"/>
          <w:szCs w:val="20"/>
        </w:rPr>
        <w:t>performance was captured by three measures: the number of premature responses (failures to wait for</w:t>
      </w:r>
      <w:r w:rsidR="00011DF0" w:rsidRPr="00362EC0">
        <w:rPr>
          <w:rFonts w:ascii="Arial" w:hAnsi="Arial" w:cs="Arial"/>
          <w:sz w:val="20"/>
          <w:szCs w:val="20"/>
        </w:rPr>
        <w:t xml:space="preserve"> </w:t>
      </w:r>
      <w:r w:rsidR="0021030F" w:rsidRPr="00362EC0">
        <w:rPr>
          <w:rFonts w:ascii="Arial" w:hAnsi="Arial" w:cs="Arial"/>
          <w:sz w:val="20"/>
          <w:szCs w:val="20"/>
        </w:rPr>
        <w:t>T</w:t>
      </w:r>
      <w:r w:rsidRPr="00362EC0">
        <w:rPr>
          <w:rFonts w:ascii="Arial" w:hAnsi="Arial" w:cs="Arial"/>
          <w:sz w:val="20"/>
          <w:szCs w:val="20"/>
        </w:rPr>
        <w:t xml:space="preserve">rial </w:t>
      </w:r>
      <w:r w:rsidR="0021030F" w:rsidRPr="00362EC0">
        <w:rPr>
          <w:rFonts w:ascii="Arial" w:hAnsi="Arial" w:cs="Arial"/>
          <w:sz w:val="20"/>
          <w:szCs w:val="20"/>
        </w:rPr>
        <w:t>S</w:t>
      </w:r>
      <w:r w:rsidR="00011DF0" w:rsidRPr="00362EC0">
        <w:rPr>
          <w:rFonts w:ascii="Arial" w:hAnsi="Arial" w:cs="Arial"/>
          <w:sz w:val="20"/>
          <w:szCs w:val="20"/>
        </w:rPr>
        <w:t>tart</w:t>
      </w:r>
      <w:r w:rsidRPr="00362EC0">
        <w:rPr>
          <w:rFonts w:ascii="Arial" w:hAnsi="Arial" w:cs="Arial"/>
          <w:sz w:val="20"/>
          <w:szCs w:val="20"/>
        </w:rPr>
        <w:t xml:space="preserve">), the movement delay (from the onset of the green hand indicating the need to start Stage 1 </w:t>
      </w:r>
      <w:r w:rsidRPr="00362EC0">
        <w:rPr>
          <w:rFonts w:ascii="Arial" w:hAnsi="Arial" w:cs="Arial"/>
          <w:i/>
          <w:iCs/>
          <w:sz w:val="20"/>
          <w:szCs w:val="20"/>
        </w:rPr>
        <w:t>to</w:t>
      </w:r>
      <w:r w:rsidRPr="00362EC0">
        <w:rPr>
          <w:rFonts w:ascii="Arial" w:hAnsi="Arial" w:cs="Arial"/>
          <w:sz w:val="20"/>
          <w:szCs w:val="20"/>
        </w:rPr>
        <w:t xml:space="preserve"> actually moving the mouse), and average speed </w:t>
      </w:r>
      <w:r w:rsidR="00011DF0" w:rsidRPr="00362EC0">
        <w:rPr>
          <w:rFonts w:ascii="Arial" w:hAnsi="Arial" w:cs="Arial"/>
          <w:sz w:val="20"/>
          <w:szCs w:val="20"/>
        </w:rPr>
        <w:t xml:space="preserve">(distance/time) </w:t>
      </w:r>
      <w:r w:rsidRPr="00362EC0">
        <w:rPr>
          <w:rFonts w:ascii="Arial" w:hAnsi="Arial" w:cs="Arial"/>
          <w:sz w:val="20"/>
          <w:szCs w:val="20"/>
        </w:rPr>
        <w:t xml:space="preserve">of Stage 1 (from an initiated mouse movement </w:t>
      </w:r>
      <w:r w:rsidRPr="00362EC0">
        <w:rPr>
          <w:rFonts w:ascii="Arial" w:hAnsi="Arial" w:cs="Arial"/>
          <w:i/>
          <w:iCs/>
          <w:sz w:val="20"/>
          <w:szCs w:val="20"/>
        </w:rPr>
        <w:t>to</w:t>
      </w:r>
      <w:r w:rsidRPr="00362EC0">
        <w:rPr>
          <w:rFonts w:ascii="Arial" w:hAnsi="Arial" w:cs="Arial"/>
          <w:sz w:val="20"/>
          <w:szCs w:val="20"/>
        </w:rPr>
        <w:t xml:space="preserve"> Cue appearance). Separate repeated-measures ANOVA (rmANOVA) with reward type (no, low, high) as within-subjects factor were conducted to assess how the information of reward influences pre-</w:t>
      </w:r>
      <w:r w:rsidR="0021030F" w:rsidRPr="00362EC0">
        <w:rPr>
          <w:rFonts w:ascii="Arial" w:hAnsi="Arial" w:cs="Arial"/>
          <w:sz w:val="20"/>
          <w:szCs w:val="20"/>
        </w:rPr>
        <w:t>C</w:t>
      </w:r>
      <w:r w:rsidRPr="00362EC0">
        <w:rPr>
          <w:rFonts w:ascii="Arial" w:hAnsi="Arial" w:cs="Arial"/>
          <w:sz w:val="20"/>
          <w:szCs w:val="20"/>
        </w:rPr>
        <w:t>ue performance.</w:t>
      </w:r>
    </w:p>
    <w:p w14:paraId="3CAE3682" w14:textId="3EEC4C75" w:rsidR="00EA45D6" w:rsidRPr="00362EC0" w:rsidRDefault="006616BD" w:rsidP="0021030F">
      <w:pPr>
        <w:spacing w:after="0" w:line="360" w:lineRule="auto"/>
        <w:ind w:firstLine="720"/>
        <w:contextualSpacing/>
        <w:jc w:val="both"/>
        <w:rPr>
          <w:rFonts w:ascii="Arial" w:hAnsi="Arial" w:cs="Arial"/>
          <w:sz w:val="20"/>
          <w:szCs w:val="20"/>
        </w:rPr>
      </w:pPr>
      <w:r w:rsidRPr="00362EC0">
        <w:rPr>
          <w:rFonts w:ascii="Arial" w:hAnsi="Arial" w:cs="Arial"/>
          <w:sz w:val="20"/>
          <w:szCs w:val="20"/>
        </w:rPr>
        <w:t xml:space="preserve">The influence of reward types on response accuracy to instructed Go and Stop trials was investigated using two separate rmANOVAs with reward type as within-subjects factor. </w:t>
      </w:r>
      <w:r w:rsidR="00EA45D6" w:rsidRPr="00362EC0">
        <w:rPr>
          <w:rFonts w:ascii="Arial" w:hAnsi="Arial" w:cs="Arial"/>
          <w:sz w:val="20"/>
          <w:szCs w:val="20"/>
        </w:rPr>
        <w:t>Next, response times post-</w:t>
      </w:r>
      <w:r w:rsidR="0021030F" w:rsidRPr="00362EC0">
        <w:rPr>
          <w:rFonts w:ascii="Arial" w:hAnsi="Arial" w:cs="Arial"/>
          <w:sz w:val="20"/>
          <w:szCs w:val="20"/>
        </w:rPr>
        <w:t xml:space="preserve">Cue </w:t>
      </w:r>
      <w:r w:rsidR="00EA45D6" w:rsidRPr="00362EC0">
        <w:rPr>
          <w:rFonts w:ascii="Arial" w:hAnsi="Arial" w:cs="Arial"/>
          <w:sz w:val="20"/>
          <w:szCs w:val="20"/>
        </w:rPr>
        <w:t xml:space="preserve">were analysed separately for Go and Stop with 2 (instructed, choice) x 3 (no, low, high reward) rmANOVAs. Thereafter our main hypothesis was tested. The effect of reward types on intentional stopping, the % of intentional Stop trials, was analysed with reward type as a within-subject variable. To further characterise Stop trials, </w:t>
      </w:r>
      <w:r w:rsidR="0021030F" w:rsidRPr="00362EC0">
        <w:rPr>
          <w:rFonts w:ascii="Arial" w:hAnsi="Arial" w:cs="Arial"/>
          <w:sz w:val="20"/>
          <w:szCs w:val="20"/>
        </w:rPr>
        <w:t xml:space="preserve">Stop </w:t>
      </w:r>
      <w:r w:rsidR="00EA45D6" w:rsidRPr="00362EC0">
        <w:rPr>
          <w:rFonts w:ascii="Arial" w:hAnsi="Arial" w:cs="Arial"/>
          <w:sz w:val="20"/>
          <w:szCs w:val="20"/>
        </w:rPr>
        <w:t>distance and average speed during Stop trials were analysed via separate rmANOVAs with reward type as within-subjects factor.</w:t>
      </w:r>
    </w:p>
    <w:p w14:paraId="5F46D884" w14:textId="64D05DD8" w:rsidR="007D3AAD" w:rsidRPr="00362EC0" w:rsidRDefault="00705A36" w:rsidP="00362EC0">
      <w:pPr>
        <w:spacing w:after="0" w:line="360" w:lineRule="auto"/>
        <w:ind w:firstLine="720"/>
        <w:contextualSpacing/>
        <w:jc w:val="both"/>
        <w:rPr>
          <w:rFonts w:ascii="Arial" w:hAnsi="Arial" w:cs="Arial"/>
          <w:sz w:val="20"/>
          <w:szCs w:val="20"/>
        </w:rPr>
      </w:pPr>
      <w:r w:rsidRPr="00362EC0">
        <w:rPr>
          <w:rFonts w:ascii="Arial" w:hAnsi="Arial" w:cs="Arial"/>
          <w:sz w:val="20"/>
          <w:szCs w:val="20"/>
        </w:rPr>
        <w:t xml:space="preserve">All rmANOVAs were performed with Greenhouse-Geisser correction applied when applicable and corresponding significant post-hoc </w:t>
      </w:r>
      <w:r w:rsidRPr="00362EC0">
        <w:rPr>
          <w:rFonts w:ascii="Arial" w:hAnsi="Arial" w:cs="Arial"/>
          <w:i/>
          <w:iCs/>
          <w:sz w:val="20"/>
          <w:szCs w:val="20"/>
        </w:rPr>
        <w:t>t</w:t>
      </w:r>
      <w:r w:rsidRPr="00362EC0">
        <w:rPr>
          <w:rFonts w:ascii="Arial" w:hAnsi="Arial" w:cs="Arial"/>
          <w:sz w:val="20"/>
          <w:szCs w:val="20"/>
        </w:rPr>
        <w:t>-tests were Bonferroni-corrected (</w:t>
      </w:r>
      <w:r w:rsidRPr="00362EC0">
        <w:rPr>
          <w:rFonts w:ascii="Arial" w:hAnsi="Arial" w:cs="Arial"/>
          <w:i/>
          <w:iCs/>
          <w:sz w:val="20"/>
          <w:szCs w:val="20"/>
        </w:rPr>
        <w:t>p</w:t>
      </w:r>
      <w:r w:rsidRPr="00362EC0">
        <w:rPr>
          <w:rFonts w:ascii="Arial" w:hAnsi="Arial" w:cs="Arial"/>
          <w:sz w:val="20"/>
          <w:szCs w:val="20"/>
          <w:vertAlign w:val="subscript"/>
        </w:rPr>
        <w:t>c</w:t>
      </w:r>
      <w:r w:rsidRPr="00362EC0">
        <w:rPr>
          <w:rFonts w:ascii="Arial" w:hAnsi="Arial" w:cs="Arial"/>
          <w:sz w:val="20"/>
          <w:szCs w:val="20"/>
        </w:rPr>
        <w:t>). Statistical analyses were performed using SPSS</w:t>
      </w:r>
      <w:r w:rsidR="00E65EE9" w:rsidRPr="00362EC0">
        <w:rPr>
          <w:rFonts w:ascii="Arial" w:hAnsi="Arial" w:cs="Arial"/>
          <w:sz w:val="20"/>
          <w:szCs w:val="20"/>
        </w:rPr>
        <w:t xml:space="preserve"> 25</w:t>
      </w:r>
      <w:r w:rsidRPr="00362EC0">
        <w:rPr>
          <w:rFonts w:ascii="Arial" w:hAnsi="Arial" w:cs="Arial"/>
          <w:sz w:val="20"/>
          <w:szCs w:val="20"/>
        </w:rPr>
        <w:t xml:space="preserve"> </w:t>
      </w:r>
      <w:r w:rsidR="00E65EE9" w:rsidRPr="00362EC0">
        <w:rPr>
          <w:rFonts w:ascii="Arial" w:hAnsi="Arial" w:cs="Arial"/>
          <w:sz w:val="20"/>
          <w:szCs w:val="20"/>
        </w:rPr>
        <w:t>(IBM SPSS Statistics</w:t>
      </w:r>
      <w:r w:rsidR="002B2D0D" w:rsidRPr="00362EC0">
        <w:rPr>
          <w:rFonts w:ascii="Arial" w:hAnsi="Arial" w:cs="Arial"/>
          <w:sz w:val="20"/>
          <w:szCs w:val="20"/>
        </w:rPr>
        <w:t>) unless otherwise specified. For rmANOVA results, η</w:t>
      </w:r>
      <w:r w:rsidR="002B2D0D" w:rsidRPr="00362EC0">
        <w:rPr>
          <w:rFonts w:ascii="Arial" w:hAnsi="Arial" w:cs="Arial"/>
          <w:sz w:val="20"/>
          <w:szCs w:val="20"/>
          <w:vertAlign w:val="superscript"/>
        </w:rPr>
        <w:t>2</w:t>
      </w:r>
      <w:r w:rsidR="002B2D0D" w:rsidRPr="00362EC0">
        <w:rPr>
          <w:rFonts w:ascii="Arial" w:hAnsi="Arial" w:cs="Arial"/>
          <w:sz w:val="20"/>
          <w:szCs w:val="20"/>
          <w:vertAlign w:val="subscript"/>
        </w:rPr>
        <w:t xml:space="preserve">p </w:t>
      </w:r>
      <w:r w:rsidR="002B2D0D" w:rsidRPr="00362EC0">
        <w:rPr>
          <w:rFonts w:ascii="Arial" w:hAnsi="Arial" w:cs="Arial"/>
          <w:sz w:val="20"/>
          <w:szCs w:val="20"/>
        </w:rPr>
        <w:t xml:space="preserve">and corresponding 90% confidence intervals (CI) are reported. For </w:t>
      </w:r>
      <w:r w:rsidR="00481482" w:rsidRPr="00362EC0">
        <w:rPr>
          <w:rFonts w:ascii="Arial" w:hAnsi="Arial" w:cs="Arial"/>
          <w:sz w:val="20"/>
          <w:szCs w:val="20"/>
        </w:rPr>
        <w:t xml:space="preserve">paired-sample </w:t>
      </w:r>
      <w:r w:rsidR="002B2D0D" w:rsidRPr="00362EC0">
        <w:rPr>
          <w:rFonts w:ascii="Arial" w:hAnsi="Arial" w:cs="Arial"/>
          <w:i/>
          <w:sz w:val="20"/>
          <w:szCs w:val="20"/>
        </w:rPr>
        <w:t>t</w:t>
      </w:r>
      <w:r w:rsidR="002B2D0D" w:rsidRPr="00362EC0">
        <w:rPr>
          <w:rFonts w:ascii="Arial" w:hAnsi="Arial" w:cs="Arial"/>
          <w:sz w:val="20"/>
          <w:szCs w:val="20"/>
        </w:rPr>
        <w:t>-tests</w:t>
      </w:r>
      <w:r w:rsidR="0019702A" w:rsidRPr="00362EC0">
        <w:rPr>
          <w:rFonts w:ascii="Arial" w:hAnsi="Arial" w:cs="Arial"/>
          <w:sz w:val="20"/>
          <w:szCs w:val="20"/>
        </w:rPr>
        <w:t xml:space="preserve">, </w:t>
      </w:r>
      <w:r w:rsidR="002B2D0D" w:rsidRPr="00362EC0">
        <w:rPr>
          <w:rFonts w:ascii="Arial" w:hAnsi="Arial" w:cs="Arial"/>
          <w:sz w:val="20"/>
          <w:szCs w:val="20"/>
        </w:rPr>
        <w:t xml:space="preserve">Hedges </w:t>
      </w:r>
      <w:r w:rsidR="002B2D0D" w:rsidRPr="00362EC0">
        <w:rPr>
          <w:rFonts w:ascii="Arial" w:hAnsi="Arial" w:cs="Arial"/>
          <w:i/>
          <w:sz w:val="20"/>
          <w:szCs w:val="20"/>
        </w:rPr>
        <w:t>g</w:t>
      </w:r>
      <w:r w:rsidR="002B2D0D" w:rsidRPr="00362EC0">
        <w:rPr>
          <w:rFonts w:ascii="Arial" w:hAnsi="Arial" w:cs="Arial"/>
          <w:i/>
          <w:sz w:val="20"/>
          <w:szCs w:val="20"/>
          <w:vertAlign w:val="subscript"/>
        </w:rPr>
        <w:t>av</w:t>
      </w:r>
      <w:r w:rsidR="002B2D0D" w:rsidRPr="00362EC0">
        <w:rPr>
          <w:rFonts w:ascii="Arial" w:hAnsi="Arial" w:cs="Arial"/>
          <w:i/>
          <w:sz w:val="20"/>
          <w:szCs w:val="20"/>
        </w:rPr>
        <w:t xml:space="preserve"> </w:t>
      </w:r>
      <w:r w:rsidR="002B2D0D" w:rsidRPr="00362EC0">
        <w:rPr>
          <w:rFonts w:ascii="Arial" w:hAnsi="Arial" w:cs="Arial"/>
          <w:sz w:val="20"/>
          <w:szCs w:val="20"/>
        </w:rPr>
        <w:t>(9</w:t>
      </w:r>
      <w:r w:rsidR="00F82304" w:rsidRPr="00362EC0">
        <w:rPr>
          <w:rFonts w:ascii="Arial" w:hAnsi="Arial" w:cs="Arial"/>
          <w:sz w:val="20"/>
          <w:szCs w:val="20"/>
        </w:rPr>
        <w:t>5</w:t>
      </w:r>
      <w:r w:rsidR="002B2D0D" w:rsidRPr="00362EC0">
        <w:rPr>
          <w:rFonts w:ascii="Arial" w:hAnsi="Arial" w:cs="Arial"/>
          <w:sz w:val="20"/>
          <w:szCs w:val="20"/>
        </w:rPr>
        <w:t xml:space="preserve">% CI) </w:t>
      </w:r>
      <w:r w:rsidR="00F97A24" w:rsidRPr="00362EC0">
        <w:rPr>
          <w:rFonts w:ascii="Arial" w:hAnsi="Arial" w:cs="Arial"/>
          <w:sz w:val="20"/>
          <w:szCs w:val="20"/>
        </w:rPr>
        <w:t xml:space="preserve">based on </w:t>
      </w:r>
      <w:r w:rsidR="00F97A24" w:rsidRPr="00362EC0">
        <w:rPr>
          <w:rFonts w:ascii="Arial" w:hAnsi="Arial" w:cs="Arial"/>
          <w:sz w:val="20"/>
          <w:szCs w:val="20"/>
        </w:rPr>
        <w:fldChar w:fldCharType="begin" w:fldLock="1"/>
      </w:r>
      <w:r w:rsidR="00F97A24" w:rsidRPr="00362EC0">
        <w:rPr>
          <w:rFonts w:ascii="Arial" w:hAnsi="Arial" w:cs="Arial"/>
          <w:sz w:val="20"/>
          <w:szCs w:val="20"/>
        </w:rPr>
        <w:instrText>ADDIN CSL_CITATION {"citationItems":[{"id":"ITEM-1","itemData":{"ISSN":"1664-1078","author":[{"dropping-particle":"","family":"Lakens","given":"Daniël","non-dropping-particle":"","parse-names":false,"suffix":""}],"container-title":"Frontiers in psychology","id":"ITEM-1","issued":{"date-parts":[["2013"]]},"page":"863","publisher":"Frontiers","title":"Calculating and reporting effect sizes to facilitate cumulative science: a practical primer for t-tests and ANOVAs","type":"article-journal","volume":"4"},"uris":["http://www.mendeley.com/documents/?uuid=251bfd5e-7c3d-41ac-8706-b58430f8fd56"]}],"mendeley":{"formattedCitation":"(Lakens, 2013)","manualFormatting":"Lakens (2013)","plainTextFormattedCitation":"(Lakens, 2013)","previouslyFormattedCitation":"(Lakens, 2013)"},"properties":{"noteIndex":0},"schema":"https://github.com/citation-style-language/schema/raw/master/csl-citation.json"}</w:instrText>
      </w:r>
      <w:r w:rsidR="00F97A24" w:rsidRPr="00362EC0">
        <w:rPr>
          <w:rFonts w:ascii="Arial" w:hAnsi="Arial" w:cs="Arial"/>
          <w:sz w:val="20"/>
          <w:szCs w:val="20"/>
        </w:rPr>
        <w:fldChar w:fldCharType="separate"/>
      </w:r>
      <w:r w:rsidR="00F97A24" w:rsidRPr="00362EC0">
        <w:rPr>
          <w:rFonts w:ascii="Arial" w:hAnsi="Arial" w:cs="Arial"/>
          <w:noProof/>
          <w:sz w:val="20"/>
          <w:szCs w:val="20"/>
        </w:rPr>
        <w:t>Lakens (2013)</w:t>
      </w:r>
      <w:r w:rsidR="00F97A24" w:rsidRPr="00362EC0">
        <w:rPr>
          <w:rFonts w:ascii="Arial" w:hAnsi="Arial" w:cs="Arial"/>
          <w:sz w:val="20"/>
          <w:szCs w:val="20"/>
        </w:rPr>
        <w:fldChar w:fldCharType="end"/>
      </w:r>
      <w:r w:rsidR="00F97A24">
        <w:rPr>
          <w:rFonts w:ascii="Arial" w:hAnsi="Arial" w:cs="Arial"/>
          <w:sz w:val="20"/>
          <w:szCs w:val="20"/>
        </w:rPr>
        <w:t xml:space="preserve"> </w:t>
      </w:r>
      <w:r w:rsidR="002B2D0D" w:rsidRPr="00362EC0">
        <w:rPr>
          <w:rFonts w:ascii="Arial" w:hAnsi="Arial" w:cs="Arial"/>
          <w:sz w:val="20"/>
          <w:szCs w:val="20"/>
        </w:rPr>
        <w:t>was computed using the effsize</w:t>
      </w:r>
      <w:r w:rsidR="005C5BDF" w:rsidRPr="00362EC0">
        <w:rPr>
          <w:rFonts w:ascii="Arial" w:hAnsi="Arial" w:cs="Arial"/>
          <w:sz w:val="20"/>
          <w:szCs w:val="20"/>
        </w:rPr>
        <w:t xml:space="preserve"> package</w:t>
      </w:r>
      <w:r w:rsidR="002D11E4">
        <w:rPr>
          <w:rFonts w:ascii="Arial" w:hAnsi="Arial" w:cs="Arial"/>
          <w:sz w:val="20"/>
          <w:szCs w:val="20"/>
        </w:rPr>
        <w:t xml:space="preserve"> </w:t>
      </w:r>
      <w:r w:rsidR="002D11E4">
        <w:rPr>
          <w:rFonts w:ascii="Arial" w:hAnsi="Arial" w:cs="Arial"/>
          <w:sz w:val="20"/>
          <w:szCs w:val="20"/>
        </w:rPr>
        <w:fldChar w:fldCharType="begin" w:fldLock="1"/>
      </w:r>
      <w:r w:rsidR="00E67B80">
        <w:rPr>
          <w:rFonts w:ascii="Arial" w:hAnsi="Arial" w:cs="Arial"/>
          <w:sz w:val="20"/>
          <w:szCs w:val="20"/>
        </w:rPr>
        <w:instrText>ADDIN CSL_CITATION {"citationItems":[{"id":"ITEM-1","itemData":{"author":[{"dropping-particle":"","family":"Torchiano","given":"Marco","non-dropping-particle":"","parse-names":false,"suffix":""}],"id":"ITEM-1","issued":{"date-parts":[["2020"]]},"title":"Package ‘effsize’","type":"article-journal"},"uris":["http://www.mendeley.com/documents/?uuid=ea86e4ae-9e5c-4e4c-b0e2-32f2f852a785"]}],"mendeley":{"formattedCitation":"(Torchiano, 2020)","plainTextFormattedCitation":"(Torchiano, 2020)","previouslyFormattedCitation":"(Torchiano, 2020)"},"properties":{"noteIndex":0},"schema":"https://github.com/citation-style-language/schema/raw/master/csl-citation.json"}</w:instrText>
      </w:r>
      <w:r w:rsidR="002D11E4">
        <w:rPr>
          <w:rFonts w:ascii="Arial" w:hAnsi="Arial" w:cs="Arial"/>
          <w:sz w:val="20"/>
          <w:szCs w:val="20"/>
        </w:rPr>
        <w:fldChar w:fldCharType="separate"/>
      </w:r>
      <w:r w:rsidR="002D11E4" w:rsidRPr="002D11E4">
        <w:rPr>
          <w:rFonts w:ascii="Arial" w:hAnsi="Arial" w:cs="Arial"/>
          <w:noProof/>
          <w:sz w:val="20"/>
          <w:szCs w:val="20"/>
        </w:rPr>
        <w:t>(Torchiano, 2020)</w:t>
      </w:r>
      <w:r w:rsidR="002D11E4">
        <w:rPr>
          <w:rFonts w:ascii="Arial" w:hAnsi="Arial" w:cs="Arial"/>
          <w:sz w:val="20"/>
          <w:szCs w:val="20"/>
        </w:rPr>
        <w:fldChar w:fldCharType="end"/>
      </w:r>
      <w:r w:rsidR="002D11E4">
        <w:rPr>
          <w:rFonts w:ascii="Arial" w:hAnsi="Arial" w:cs="Arial"/>
          <w:sz w:val="20"/>
          <w:szCs w:val="20"/>
        </w:rPr>
        <w:t>.</w:t>
      </w:r>
    </w:p>
    <w:p w14:paraId="0E9EF28C" w14:textId="2873BA09" w:rsidR="00535F4F" w:rsidRPr="00362EC0" w:rsidRDefault="00535F4F" w:rsidP="00362EC0">
      <w:pPr>
        <w:spacing w:after="0" w:line="360" w:lineRule="auto"/>
        <w:ind w:firstLine="720"/>
        <w:contextualSpacing/>
        <w:jc w:val="both"/>
        <w:rPr>
          <w:rFonts w:ascii="Arial" w:hAnsi="Arial" w:cs="Arial"/>
          <w:sz w:val="20"/>
          <w:szCs w:val="20"/>
        </w:rPr>
      </w:pPr>
      <w:bookmarkStart w:id="11" w:name="_Hlk46932634"/>
      <w:r w:rsidRPr="00362EC0">
        <w:rPr>
          <w:rFonts w:ascii="Arial" w:hAnsi="Arial" w:cs="Arial"/>
          <w:sz w:val="20"/>
          <w:szCs w:val="20"/>
        </w:rPr>
        <w:t xml:space="preserve">For analyses other than </w:t>
      </w:r>
      <w:r w:rsidR="00011DF0" w:rsidRPr="00362EC0">
        <w:rPr>
          <w:rFonts w:ascii="Arial" w:hAnsi="Arial" w:cs="Arial"/>
          <w:sz w:val="20"/>
          <w:szCs w:val="20"/>
        </w:rPr>
        <w:t xml:space="preserve">the </w:t>
      </w:r>
      <w:r w:rsidRPr="00362EC0">
        <w:rPr>
          <w:rFonts w:ascii="Arial" w:hAnsi="Arial" w:cs="Arial"/>
          <w:sz w:val="20"/>
          <w:szCs w:val="20"/>
        </w:rPr>
        <w:t>percentage</w:t>
      </w:r>
      <w:r w:rsidR="00011DF0" w:rsidRPr="00362EC0">
        <w:rPr>
          <w:rFonts w:ascii="Arial" w:hAnsi="Arial" w:cs="Arial"/>
          <w:sz w:val="20"/>
          <w:szCs w:val="20"/>
        </w:rPr>
        <w:t xml:space="preserve"> intentional inhibition</w:t>
      </w:r>
      <w:r w:rsidR="00EA45D6" w:rsidRPr="00362EC0">
        <w:rPr>
          <w:rFonts w:ascii="Arial" w:hAnsi="Arial" w:cs="Arial"/>
          <w:sz w:val="20"/>
          <w:szCs w:val="20"/>
        </w:rPr>
        <w:t xml:space="preserve"> </w:t>
      </w:r>
      <w:r w:rsidR="00011DF0" w:rsidRPr="00362EC0">
        <w:rPr>
          <w:rFonts w:ascii="Arial" w:hAnsi="Arial" w:cs="Arial"/>
          <w:sz w:val="20"/>
          <w:szCs w:val="20"/>
        </w:rPr>
        <w:t xml:space="preserve">or on </w:t>
      </w:r>
      <w:r w:rsidR="00EA45D6" w:rsidRPr="00362EC0">
        <w:rPr>
          <w:rFonts w:ascii="Arial" w:hAnsi="Arial" w:cs="Arial"/>
          <w:sz w:val="20"/>
          <w:szCs w:val="20"/>
        </w:rPr>
        <w:t>randomness</w:t>
      </w:r>
      <w:r w:rsidR="00011DF0" w:rsidRPr="00362EC0">
        <w:rPr>
          <w:rFonts w:ascii="Arial" w:hAnsi="Arial" w:cs="Arial"/>
          <w:sz w:val="20"/>
          <w:szCs w:val="20"/>
        </w:rPr>
        <w:t xml:space="preserve"> of responses</w:t>
      </w:r>
      <w:r w:rsidRPr="00362EC0">
        <w:rPr>
          <w:rFonts w:ascii="Arial" w:hAnsi="Arial" w:cs="Arial"/>
          <w:sz w:val="20"/>
          <w:szCs w:val="20"/>
        </w:rPr>
        <w:t xml:space="preserve">, we excluded individual participants’ responses further than 2 </w:t>
      </w:r>
      <w:r w:rsidRPr="00362EC0">
        <w:rPr>
          <w:rFonts w:ascii="Arial" w:hAnsi="Arial" w:cs="Arial"/>
          <w:i/>
          <w:iCs/>
          <w:sz w:val="20"/>
          <w:szCs w:val="20"/>
        </w:rPr>
        <w:t>SD</w:t>
      </w:r>
      <w:r w:rsidR="0021030F" w:rsidRPr="00362EC0">
        <w:rPr>
          <w:rFonts w:ascii="Arial" w:hAnsi="Arial" w:cs="Arial"/>
          <w:i/>
          <w:iCs/>
          <w:sz w:val="20"/>
          <w:szCs w:val="20"/>
        </w:rPr>
        <w:t>s</w:t>
      </w:r>
      <w:r w:rsidRPr="00362EC0">
        <w:rPr>
          <w:rFonts w:ascii="Arial" w:hAnsi="Arial" w:cs="Arial"/>
          <w:i/>
          <w:iCs/>
          <w:sz w:val="20"/>
          <w:szCs w:val="20"/>
        </w:rPr>
        <w:t xml:space="preserve"> </w:t>
      </w:r>
      <w:r w:rsidRPr="00362EC0">
        <w:rPr>
          <w:rFonts w:ascii="Arial" w:hAnsi="Arial" w:cs="Arial"/>
          <w:sz w:val="20"/>
          <w:szCs w:val="20"/>
        </w:rPr>
        <w:t>from their respective means, depending on instruction, trial type and reward condition (e.g. participant 1 - Instructed - Go - low reward). For Stop response times, a total of three trials across all participants were additionally excluded due to stopping occurring within 50 ms of the Cue appearance, since they likely represent a failure to continue moving the mouse while processing the Cue</w:t>
      </w:r>
      <w:bookmarkEnd w:id="11"/>
      <w:r w:rsidRPr="00362EC0">
        <w:rPr>
          <w:rFonts w:ascii="Arial" w:hAnsi="Arial" w:cs="Arial"/>
          <w:sz w:val="20"/>
          <w:szCs w:val="20"/>
        </w:rPr>
        <w:t>.</w:t>
      </w:r>
    </w:p>
    <w:p w14:paraId="5B212020" w14:textId="614C3F81" w:rsidR="0019702A" w:rsidRPr="00362EC0" w:rsidRDefault="002B2D0D" w:rsidP="007D3AAD">
      <w:pPr>
        <w:spacing w:line="360" w:lineRule="auto"/>
        <w:ind w:firstLine="720"/>
        <w:jc w:val="both"/>
        <w:rPr>
          <w:rFonts w:ascii="Arial" w:hAnsi="Arial" w:cs="Arial"/>
          <w:sz w:val="20"/>
          <w:szCs w:val="20"/>
        </w:rPr>
      </w:pPr>
      <w:r w:rsidRPr="00362EC0">
        <w:rPr>
          <w:rFonts w:ascii="Arial" w:hAnsi="Arial" w:cs="Arial"/>
          <w:sz w:val="20"/>
          <w:szCs w:val="20"/>
        </w:rPr>
        <w:lastRenderedPageBreak/>
        <w:t>Sensitivity analysis was performed using G*Power 3.1.9.2</w:t>
      </w:r>
      <w:r w:rsidR="00F97A24">
        <w:rPr>
          <w:rFonts w:ascii="Arial" w:hAnsi="Arial" w:cs="Arial"/>
          <w:sz w:val="20"/>
          <w:szCs w:val="20"/>
        </w:rPr>
        <w:t xml:space="preserve"> </w:t>
      </w:r>
      <w:r w:rsidR="00F97A24">
        <w:rPr>
          <w:rFonts w:ascii="Arial" w:hAnsi="Arial" w:cs="Arial"/>
          <w:sz w:val="20"/>
          <w:szCs w:val="20"/>
        </w:rPr>
        <w:fldChar w:fldCharType="begin" w:fldLock="1"/>
      </w:r>
      <w:r w:rsidR="00584E55">
        <w:rPr>
          <w:rFonts w:ascii="Arial" w:hAnsi="Arial" w:cs="Arial"/>
          <w:sz w:val="20"/>
          <w:szCs w:val="20"/>
        </w:rPr>
        <w:instrText>ADDIN CSL_CITATION {"citationItems":[{"id":"ITEM-1","itemData":{"author":[{"dropping-particle":"","family":"Erdfelder","given":"E","non-dropping-particle":"","parse-names":false,"suffix":""},{"dropping-particle":"","family":"Faul","given":"F","non-dropping-particle":"","parse-names":false,"suffix":""},{"dropping-particle":"","family":"Buchner","given":"A","non-dropping-particle":"","parse-names":false,"suffix":""}],"container-title":"Behavior Research Methods, Instruments, &amp; Computers","id":"ITEM-1","issued":{"date-parts":[["1996"]]},"page":"1-11","title":"GPOWER: A general power analysis program","type":"article-journal","volume":"28"},"uris":["http://www.mendeley.com/documents/?uuid=0b499675-385a-41f5-865c-c134cd80f0ff"]}],"mendeley":{"formattedCitation":"(Erdfelder et al., 1996)","plainTextFormattedCitation":"(Erdfelder et al., 1996)","previouslyFormattedCitation":"(Erdfelder et al., 1996)"},"properties":{"noteIndex":0},"schema":"https://github.com/citation-style-language/schema/raw/master/csl-citation.json"}</w:instrText>
      </w:r>
      <w:r w:rsidR="00F97A24">
        <w:rPr>
          <w:rFonts w:ascii="Arial" w:hAnsi="Arial" w:cs="Arial"/>
          <w:sz w:val="20"/>
          <w:szCs w:val="20"/>
        </w:rPr>
        <w:fldChar w:fldCharType="separate"/>
      </w:r>
      <w:r w:rsidR="004F40E0" w:rsidRPr="004F40E0">
        <w:rPr>
          <w:rFonts w:ascii="Arial" w:hAnsi="Arial" w:cs="Arial"/>
          <w:noProof/>
          <w:sz w:val="20"/>
          <w:szCs w:val="20"/>
        </w:rPr>
        <w:t>(Erdfelder et al., 1996)</w:t>
      </w:r>
      <w:r w:rsidR="00F97A24">
        <w:rPr>
          <w:rFonts w:ascii="Arial" w:hAnsi="Arial" w:cs="Arial"/>
          <w:sz w:val="20"/>
          <w:szCs w:val="20"/>
        </w:rPr>
        <w:fldChar w:fldCharType="end"/>
      </w:r>
      <w:r w:rsidRPr="00362EC0">
        <w:rPr>
          <w:rFonts w:ascii="Arial" w:hAnsi="Arial" w:cs="Arial"/>
          <w:sz w:val="20"/>
          <w:szCs w:val="20"/>
        </w:rPr>
        <w:t xml:space="preserve">, and the smallest detectable effect size for paired-sample </w:t>
      </w:r>
      <w:r w:rsidRPr="00362EC0">
        <w:rPr>
          <w:rFonts w:ascii="Arial" w:hAnsi="Arial" w:cs="Arial"/>
          <w:i/>
          <w:iCs/>
          <w:sz w:val="20"/>
          <w:szCs w:val="20"/>
        </w:rPr>
        <w:t>t-</w:t>
      </w:r>
      <w:r w:rsidRPr="00362EC0">
        <w:rPr>
          <w:rFonts w:ascii="Arial" w:hAnsi="Arial" w:cs="Arial"/>
          <w:sz w:val="20"/>
          <w:szCs w:val="20"/>
        </w:rPr>
        <w:t xml:space="preserve">tests (Cohens </w:t>
      </w:r>
      <w:r w:rsidRPr="00362EC0">
        <w:rPr>
          <w:rFonts w:ascii="Arial" w:hAnsi="Arial" w:cs="Arial"/>
          <w:i/>
          <w:iCs/>
          <w:sz w:val="20"/>
          <w:szCs w:val="20"/>
        </w:rPr>
        <w:t>d</w:t>
      </w:r>
      <w:r w:rsidRPr="00362EC0">
        <w:rPr>
          <w:rFonts w:ascii="Arial" w:hAnsi="Arial" w:cs="Arial"/>
          <w:i/>
          <w:iCs/>
          <w:sz w:val="20"/>
          <w:szCs w:val="20"/>
          <w:vertAlign w:val="subscript"/>
        </w:rPr>
        <w:t>z</w:t>
      </w:r>
      <w:r w:rsidRPr="00362EC0">
        <w:rPr>
          <w:rFonts w:ascii="Arial" w:hAnsi="Arial" w:cs="Arial"/>
          <w:sz w:val="20"/>
          <w:szCs w:val="20"/>
        </w:rPr>
        <w:t xml:space="preserve">) equalled .46, given our sample size, a two-sided α of .05 and 80% power. </w:t>
      </w:r>
    </w:p>
    <w:p w14:paraId="3947D1CB" w14:textId="77777777" w:rsidR="00547505" w:rsidRPr="00362EC0" w:rsidRDefault="00547505" w:rsidP="001B3FF2">
      <w:pPr>
        <w:spacing w:after="0" w:line="360" w:lineRule="auto"/>
        <w:contextualSpacing/>
        <w:jc w:val="both"/>
        <w:rPr>
          <w:rFonts w:ascii="Arial" w:hAnsi="Arial" w:cs="Arial"/>
          <w:b/>
          <w:bCs/>
          <w:sz w:val="20"/>
          <w:szCs w:val="20"/>
        </w:rPr>
      </w:pPr>
      <w:r w:rsidRPr="00362EC0">
        <w:rPr>
          <w:rFonts w:ascii="Arial" w:hAnsi="Arial" w:cs="Arial"/>
          <w:b/>
          <w:bCs/>
          <w:sz w:val="20"/>
          <w:szCs w:val="20"/>
        </w:rPr>
        <w:t>3 Results</w:t>
      </w:r>
    </w:p>
    <w:p w14:paraId="1F52DB11" w14:textId="648380FD" w:rsidR="00A2217A" w:rsidRPr="00FE1597" w:rsidRDefault="00A2217A" w:rsidP="00AF6642">
      <w:pPr>
        <w:spacing w:after="0" w:line="360" w:lineRule="auto"/>
        <w:ind w:firstLine="720"/>
        <w:contextualSpacing/>
        <w:jc w:val="both"/>
        <w:rPr>
          <w:rFonts w:ascii="Arial" w:hAnsi="Arial" w:cs="Arial"/>
          <w:b/>
          <w:bCs/>
          <w:sz w:val="20"/>
          <w:szCs w:val="20"/>
        </w:rPr>
      </w:pPr>
      <w:r w:rsidRPr="00362EC0">
        <w:rPr>
          <w:rFonts w:ascii="Arial" w:hAnsi="Arial" w:cs="Arial"/>
          <w:sz w:val="20"/>
          <w:szCs w:val="20"/>
        </w:rPr>
        <w:t>Assessing the randomness of the participant responses across all Choice trials revealed no statistically significant deviation from randomness (</w:t>
      </w:r>
      <w:r w:rsidRPr="00362EC0">
        <w:rPr>
          <w:rFonts w:ascii="Arial" w:hAnsi="Arial" w:cs="Arial"/>
          <w:i/>
          <w:iCs/>
          <w:sz w:val="20"/>
          <w:szCs w:val="20"/>
        </w:rPr>
        <w:t>t</w:t>
      </w:r>
      <w:r w:rsidRPr="00362EC0">
        <w:rPr>
          <w:rFonts w:ascii="Arial" w:hAnsi="Arial" w:cs="Arial"/>
          <w:sz w:val="20"/>
          <w:szCs w:val="20"/>
        </w:rPr>
        <w:t xml:space="preserve">(38) = 1.78, </w:t>
      </w:r>
      <w:r w:rsidRPr="00362EC0">
        <w:rPr>
          <w:rFonts w:ascii="Arial" w:hAnsi="Arial" w:cs="Arial"/>
          <w:i/>
          <w:iCs/>
          <w:sz w:val="20"/>
          <w:szCs w:val="20"/>
        </w:rPr>
        <w:t>p</w:t>
      </w:r>
      <w:r w:rsidRPr="00362EC0">
        <w:rPr>
          <w:rFonts w:ascii="Arial" w:hAnsi="Arial" w:cs="Arial"/>
          <w:sz w:val="20"/>
          <w:szCs w:val="20"/>
        </w:rPr>
        <w:t xml:space="preserve"> = .08, </w:t>
      </w:r>
      <w:r w:rsidRPr="00362EC0">
        <w:rPr>
          <w:rFonts w:ascii="Arial" w:hAnsi="Arial" w:cs="Arial"/>
          <w:i/>
          <w:iCs/>
          <w:sz w:val="20"/>
          <w:szCs w:val="20"/>
        </w:rPr>
        <w:t>g</w:t>
      </w:r>
      <w:r w:rsidRPr="00362EC0">
        <w:rPr>
          <w:rFonts w:ascii="Arial" w:hAnsi="Arial" w:cs="Arial"/>
          <w:sz w:val="20"/>
          <w:szCs w:val="20"/>
        </w:rPr>
        <w:t xml:space="preserve"> = -.28, CI = -.92 - .36). Analysing the effect of reward type on randomness revealed no significant main effect of reward type (</w:t>
      </w:r>
      <w:r w:rsidRPr="00362EC0">
        <w:rPr>
          <w:rFonts w:ascii="Arial" w:hAnsi="Arial" w:cs="Arial"/>
          <w:i/>
          <w:iCs/>
          <w:sz w:val="20"/>
          <w:szCs w:val="20"/>
        </w:rPr>
        <w:t>F</w:t>
      </w:r>
      <w:r w:rsidRPr="00362EC0">
        <w:rPr>
          <w:rFonts w:ascii="Arial" w:hAnsi="Arial" w:cs="Arial"/>
          <w:sz w:val="20"/>
          <w:szCs w:val="20"/>
        </w:rPr>
        <w:t xml:space="preserve">(2,76) = 2.15, </w:t>
      </w:r>
      <w:r w:rsidRPr="00362EC0">
        <w:rPr>
          <w:rFonts w:ascii="Arial" w:hAnsi="Arial" w:cs="Arial"/>
          <w:i/>
          <w:iCs/>
          <w:sz w:val="20"/>
          <w:szCs w:val="20"/>
        </w:rPr>
        <w:t>p</w:t>
      </w:r>
      <w:r w:rsidRPr="00362EC0">
        <w:rPr>
          <w:rFonts w:ascii="Arial" w:hAnsi="Arial" w:cs="Arial"/>
          <w:sz w:val="20"/>
          <w:szCs w:val="20"/>
        </w:rPr>
        <w:t xml:space="preserve"> = .12, η</w:t>
      </w:r>
      <w:r w:rsidRPr="00362EC0">
        <w:rPr>
          <w:rFonts w:ascii="Arial" w:hAnsi="Arial" w:cs="Arial"/>
          <w:sz w:val="20"/>
          <w:szCs w:val="20"/>
          <w:vertAlign w:val="superscript"/>
        </w:rPr>
        <w:t>2</w:t>
      </w:r>
      <w:r w:rsidRPr="00362EC0">
        <w:rPr>
          <w:rFonts w:ascii="Arial" w:hAnsi="Arial" w:cs="Arial"/>
          <w:sz w:val="20"/>
          <w:szCs w:val="20"/>
          <w:vertAlign w:val="subscript"/>
        </w:rPr>
        <w:t>p</w:t>
      </w:r>
      <w:r w:rsidRPr="00362EC0">
        <w:rPr>
          <w:rFonts w:ascii="Arial" w:hAnsi="Arial" w:cs="Arial"/>
          <w:sz w:val="20"/>
          <w:szCs w:val="20"/>
        </w:rPr>
        <w:t xml:space="preserve"> = .05, CI = 0 - .13).</w:t>
      </w:r>
      <w:r w:rsidR="00FE1597">
        <w:rPr>
          <w:rFonts w:ascii="Arial" w:hAnsi="Arial" w:cs="Arial"/>
          <w:sz w:val="20"/>
          <w:szCs w:val="20"/>
          <w:vertAlign w:val="superscript"/>
        </w:rPr>
        <w:t>1</w:t>
      </w:r>
    </w:p>
    <w:p w14:paraId="590B6D66" w14:textId="2355D181" w:rsidR="00AF6642" w:rsidRPr="00362EC0" w:rsidRDefault="00103DCC" w:rsidP="0021030F">
      <w:pPr>
        <w:spacing w:after="0" w:line="360" w:lineRule="auto"/>
        <w:ind w:firstLine="720"/>
        <w:contextualSpacing/>
        <w:rPr>
          <w:rFonts w:ascii="Arial" w:hAnsi="Arial" w:cs="Arial"/>
          <w:sz w:val="20"/>
          <w:szCs w:val="20"/>
        </w:rPr>
      </w:pPr>
      <w:r w:rsidRPr="00362EC0">
        <w:rPr>
          <w:rFonts w:ascii="Arial" w:hAnsi="Arial" w:cs="Arial"/>
          <w:sz w:val="20"/>
          <w:szCs w:val="20"/>
        </w:rPr>
        <w:t>Assessing pre-</w:t>
      </w:r>
      <w:r w:rsidR="0021030F" w:rsidRPr="00362EC0">
        <w:rPr>
          <w:rFonts w:ascii="Arial" w:hAnsi="Arial" w:cs="Arial"/>
          <w:sz w:val="20"/>
          <w:szCs w:val="20"/>
        </w:rPr>
        <w:t xml:space="preserve">Cue </w:t>
      </w:r>
      <w:r w:rsidRPr="00362EC0">
        <w:rPr>
          <w:rFonts w:ascii="Arial" w:hAnsi="Arial" w:cs="Arial"/>
          <w:sz w:val="20"/>
          <w:szCs w:val="20"/>
        </w:rPr>
        <w:t xml:space="preserve">performance revealed no significant effect of reward type (no, low, high) on the </w:t>
      </w:r>
      <w:r w:rsidR="00BD7E75" w:rsidRPr="00362EC0">
        <w:rPr>
          <w:rFonts w:ascii="Arial" w:hAnsi="Arial" w:cs="Arial"/>
          <w:sz w:val="20"/>
          <w:szCs w:val="20"/>
        </w:rPr>
        <w:t>number of premature responses</w:t>
      </w:r>
      <w:r w:rsidRPr="00362EC0">
        <w:rPr>
          <w:rFonts w:ascii="Arial" w:hAnsi="Arial" w:cs="Arial"/>
          <w:sz w:val="20"/>
          <w:szCs w:val="20"/>
        </w:rPr>
        <w:t xml:space="preserve"> (</w:t>
      </w:r>
      <w:r w:rsidR="00BD7E75" w:rsidRPr="00362EC0">
        <w:rPr>
          <w:rFonts w:ascii="Arial" w:hAnsi="Arial" w:cs="Arial"/>
          <w:i/>
          <w:iCs/>
          <w:sz w:val="20"/>
          <w:szCs w:val="20"/>
        </w:rPr>
        <w:t>F</w:t>
      </w:r>
      <w:r w:rsidR="00BD7E75" w:rsidRPr="00362EC0">
        <w:rPr>
          <w:rFonts w:ascii="Arial" w:hAnsi="Arial" w:cs="Arial"/>
          <w:sz w:val="20"/>
          <w:szCs w:val="20"/>
        </w:rPr>
        <w:t xml:space="preserve">(2,76) = .28, </w:t>
      </w:r>
      <w:r w:rsidR="00BD7E75" w:rsidRPr="00362EC0">
        <w:rPr>
          <w:rFonts w:ascii="Arial" w:hAnsi="Arial" w:cs="Arial"/>
          <w:i/>
          <w:iCs/>
          <w:sz w:val="20"/>
          <w:szCs w:val="20"/>
        </w:rPr>
        <w:t>p</w:t>
      </w:r>
      <w:r w:rsidR="00BD7E75" w:rsidRPr="00362EC0">
        <w:rPr>
          <w:rFonts w:ascii="Arial" w:hAnsi="Arial" w:cs="Arial"/>
          <w:sz w:val="20"/>
          <w:szCs w:val="20"/>
        </w:rPr>
        <w:t xml:space="preserve"> = .76</w:t>
      </w:r>
      <w:r w:rsidR="00481482" w:rsidRPr="00362EC0">
        <w:rPr>
          <w:rFonts w:ascii="Arial" w:hAnsi="Arial" w:cs="Arial"/>
          <w:sz w:val="20"/>
          <w:szCs w:val="20"/>
        </w:rPr>
        <w:t>, η</w:t>
      </w:r>
      <w:r w:rsidR="00481482" w:rsidRPr="00362EC0">
        <w:rPr>
          <w:rFonts w:ascii="Arial" w:hAnsi="Arial" w:cs="Arial"/>
          <w:sz w:val="20"/>
          <w:szCs w:val="20"/>
          <w:vertAlign w:val="superscript"/>
        </w:rPr>
        <w:t>2</w:t>
      </w:r>
      <w:r w:rsidR="00481482" w:rsidRPr="00362EC0">
        <w:rPr>
          <w:rFonts w:ascii="Arial" w:hAnsi="Arial" w:cs="Arial"/>
          <w:sz w:val="20"/>
          <w:szCs w:val="20"/>
          <w:vertAlign w:val="subscript"/>
        </w:rPr>
        <w:t>p</w:t>
      </w:r>
      <w:r w:rsidR="00481482" w:rsidRPr="00362EC0">
        <w:rPr>
          <w:rFonts w:ascii="Arial" w:hAnsi="Arial" w:cs="Arial"/>
          <w:sz w:val="20"/>
          <w:szCs w:val="20"/>
        </w:rPr>
        <w:t xml:space="preserve"> = .007, CI = </w:t>
      </w:r>
      <w:r w:rsidR="00371921" w:rsidRPr="00362EC0">
        <w:rPr>
          <w:rFonts w:ascii="Arial" w:hAnsi="Arial" w:cs="Arial"/>
          <w:sz w:val="20"/>
          <w:szCs w:val="20"/>
        </w:rPr>
        <w:t>0</w:t>
      </w:r>
      <w:r w:rsidR="00481482" w:rsidRPr="00362EC0">
        <w:rPr>
          <w:rFonts w:ascii="Arial" w:hAnsi="Arial" w:cs="Arial"/>
          <w:sz w:val="20"/>
          <w:szCs w:val="20"/>
        </w:rPr>
        <w:t xml:space="preserve"> - .</w:t>
      </w:r>
      <w:r w:rsidR="00371921" w:rsidRPr="00362EC0">
        <w:rPr>
          <w:rFonts w:ascii="Arial" w:hAnsi="Arial" w:cs="Arial"/>
          <w:sz w:val="20"/>
          <w:szCs w:val="20"/>
        </w:rPr>
        <w:t>05</w:t>
      </w:r>
      <w:r w:rsidRPr="00362EC0">
        <w:rPr>
          <w:rFonts w:ascii="Arial" w:hAnsi="Arial" w:cs="Arial"/>
          <w:sz w:val="20"/>
          <w:szCs w:val="20"/>
        </w:rPr>
        <w:t>)</w:t>
      </w:r>
      <w:r w:rsidR="00BD7E75" w:rsidRPr="00362EC0">
        <w:rPr>
          <w:rFonts w:ascii="Arial" w:hAnsi="Arial" w:cs="Arial"/>
          <w:sz w:val="20"/>
          <w:szCs w:val="20"/>
        </w:rPr>
        <w:t>.</w:t>
      </w:r>
      <w:r w:rsidRPr="00362EC0">
        <w:rPr>
          <w:rFonts w:ascii="Arial" w:hAnsi="Arial" w:cs="Arial"/>
          <w:sz w:val="20"/>
          <w:szCs w:val="20"/>
        </w:rPr>
        <w:t xml:space="preserve"> However, we found a significant main effect of reward on </w:t>
      </w:r>
      <w:r w:rsidR="0021030F" w:rsidRPr="00362EC0">
        <w:rPr>
          <w:rFonts w:ascii="Arial" w:hAnsi="Arial" w:cs="Arial"/>
          <w:sz w:val="20"/>
          <w:szCs w:val="20"/>
        </w:rPr>
        <w:t xml:space="preserve">the </w:t>
      </w:r>
      <w:r w:rsidRPr="00362EC0">
        <w:rPr>
          <w:rFonts w:ascii="Arial" w:hAnsi="Arial" w:cs="Arial"/>
          <w:sz w:val="20"/>
          <w:szCs w:val="20"/>
        </w:rPr>
        <w:t xml:space="preserve">delay </w:t>
      </w:r>
      <w:r w:rsidR="00AF6642" w:rsidRPr="00362EC0">
        <w:rPr>
          <w:rFonts w:ascii="Arial" w:hAnsi="Arial" w:cs="Arial"/>
          <w:sz w:val="20"/>
          <w:szCs w:val="20"/>
        </w:rPr>
        <w:t>to initiate the trial (</w:t>
      </w:r>
      <w:r w:rsidR="00AF6642" w:rsidRPr="00362EC0">
        <w:rPr>
          <w:rFonts w:ascii="Arial" w:hAnsi="Arial" w:cs="Arial"/>
          <w:i/>
          <w:iCs/>
          <w:sz w:val="20"/>
          <w:szCs w:val="20"/>
        </w:rPr>
        <w:t>F</w:t>
      </w:r>
      <w:r w:rsidR="00AF6642" w:rsidRPr="00362EC0">
        <w:rPr>
          <w:rFonts w:ascii="Arial" w:hAnsi="Arial" w:cs="Arial"/>
          <w:sz w:val="20"/>
          <w:szCs w:val="20"/>
        </w:rPr>
        <w:t>(2,76) = 4.89,</w:t>
      </w:r>
      <w:r w:rsidR="00AF6642" w:rsidRPr="00362EC0">
        <w:rPr>
          <w:rFonts w:ascii="Arial" w:hAnsi="Arial" w:cs="Arial"/>
          <w:i/>
          <w:iCs/>
          <w:sz w:val="20"/>
          <w:szCs w:val="20"/>
        </w:rPr>
        <w:t xml:space="preserve"> p</w:t>
      </w:r>
      <w:r w:rsidR="00AF6642" w:rsidRPr="00362EC0">
        <w:rPr>
          <w:rFonts w:ascii="Arial" w:hAnsi="Arial" w:cs="Arial"/>
          <w:sz w:val="20"/>
          <w:szCs w:val="20"/>
        </w:rPr>
        <w:t xml:space="preserve"> </w:t>
      </w:r>
      <w:r w:rsidR="00C266A6" w:rsidRPr="00362EC0">
        <w:rPr>
          <w:rFonts w:ascii="Arial" w:hAnsi="Arial" w:cs="Arial"/>
          <w:sz w:val="20"/>
          <w:szCs w:val="20"/>
        </w:rPr>
        <w:t>&lt;</w:t>
      </w:r>
      <w:r w:rsidR="00AF6642" w:rsidRPr="00362EC0">
        <w:rPr>
          <w:rFonts w:ascii="Arial" w:hAnsi="Arial" w:cs="Arial"/>
          <w:sz w:val="20"/>
          <w:szCs w:val="20"/>
        </w:rPr>
        <w:t xml:space="preserve"> .0</w:t>
      </w:r>
      <w:r w:rsidR="00C266A6" w:rsidRPr="00362EC0">
        <w:rPr>
          <w:rFonts w:ascii="Arial" w:hAnsi="Arial" w:cs="Arial"/>
          <w:sz w:val="20"/>
          <w:szCs w:val="20"/>
        </w:rPr>
        <w:t>5</w:t>
      </w:r>
      <w:r w:rsidR="00AF6642" w:rsidRPr="00362EC0">
        <w:rPr>
          <w:rFonts w:ascii="Arial" w:hAnsi="Arial" w:cs="Arial"/>
          <w:sz w:val="20"/>
          <w:szCs w:val="20"/>
        </w:rPr>
        <w:t>, η</w:t>
      </w:r>
      <w:r w:rsidR="00AF6642" w:rsidRPr="00362EC0">
        <w:rPr>
          <w:rFonts w:ascii="Arial" w:hAnsi="Arial" w:cs="Arial"/>
          <w:sz w:val="20"/>
          <w:szCs w:val="20"/>
          <w:vertAlign w:val="superscript"/>
        </w:rPr>
        <w:t>2</w:t>
      </w:r>
      <w:r w:rsidR="00AF6642" w:rsidRPr="00362EC0">
        <w:rPr>
          <w:rFonts w:ascii="Arial" w:hAnsi="Arial" w:cs="Arial"/>
          <w:sz w:val="20"/>
          <w:szCs w:val="20"/>
          <w:vertAlign w:val="subscript"/>
        </w:rPr>
        <w:t>p</w:t>
      </w:r>
      <w:r w:rsidR="00AF6642" w:rsidRPr="00362EC0">
        <w:rPr>
          <w:rFonts w:ascii="Arial" w:hAnsi="Arial" w:cs="Arial"/>
          <w:sz w:val="20"/>
          <w:szCs w:val="20"/>
        </w:rPr>
        <w:t xml:space="preserve"> = .11, CI = .01 - .22), see </w:t>
      </w:r>
      <w:r w:rsidR="00AF6642" w:rsidRPr="008A60DF">
        <w:rPr>
          <w:rFonts w:ascii="Arial" w:hAnsi="Arial" w:cs="Arial"/>
          <w:b/>
          <w:bCs/>
          <w:sz w:val="20"/>
          <w:szCs w:val="20"/>
        </w:rPr>
        <w:t>Fig</w:t>
      </w:r>
      <w:r w:rsidR="007D6824" w:rsidRPr="008A60DF">
        <w:rPr>
          <w:rFonts w:ascii="Arial" w:hAnsi="Arial" w:cs="Arial"/>
          <w:b/>
          <w:bCs/>
          <w:sz w:val="20"/>
          <w:szCs w:val="20"/>
        </w:rPr>
        <w:t>.</w:t>
      </w:r>
      <w:r w:rsidR="00713230" w:rsidRPr="008A60DF">
        <w:rPr>
          <w:rFonts w:ascii="Arial" w:hAnsi="Arial" w:cs="Arial"/>
          <w:b/>
          <w:bCs/>
          <w:sz w:val="20"/>
          <w:szCs w:val="20"/>
        </w:rPr>
        <w:t xml:space="preserve"> </w:t>
      </w:r>
      <w:r w:rsidR="00B67DB0" w:rsidRPr="008A60DF">
        <w:rPr>
          <w:rFonts w:ascii="Arial" w:hAnsi="Arial" w:cs="Arial"/>
          <w:b/>
          <w:bCs/>
          <w:sz w:val="20"/>
          <w:szCs w:val="20"/>
        </w:rPr>
        <w:t>3</w:t>
      </w:r>
      <w:r w:rsidR="00AF6642" w:rsidRPr="008A60DF">
        <w:rPr>
          <w:rFonts w:ascii="Arial" w:hAnsi="Arial" w:cs="Arial"/>
          <w:b/>
          <w:bCs/>
          <w:sz w:val="20"/>
          <w:szCs w:val="20"/>
        </w:rPr>
        <w:t>A</w:t>
      </w:r>
      <w:r w:rsidR="00AF6642" w:rsidRPr="00362EC0">
        <w:rPr>
          <w:rFonts w:ascii="Arial" w:hAnsi="Arial" w:cs="Arial"/>
          <w:sz w:val="20"/>
          <w:szCs w:val="20"/>
        </w:rPr>
        <w:t>. Trial initiation was faster at high (</w:t>
      </w:r>
      <w:r w:rsidR="00AF6642" w:rsidRPr="00362EC0">
        <w:rPr>
          <w:rFonts w:ascii="Arial" w:hAnsi="Arial" w:cs="Arial"/>
          <w:i/>
          <w:iCs/>
          <w:sz w:val="20"/>
          <w:szCs w:val="20"/>
        </w:rPr>
        <w:t>M</w:t>
      </w:r>
      <w:r w:rsidR="00AF6642" w:rsidRPr="00362EC0">
        <w:rPr>
          <w:rFonts w:ascii="Arial" w:hAnsi="Arial" w:cs="Arial"/>
          <w:sz w:val="20"/>
          <w:szCs w:val="20"/>
        </w:rPr>
        <w:t xml:space="preserve"> = 437.68, </w:t>
      </w:r>
      <w:r w:rsidR="00AF6642" w:rsidRPr="00362EC0">
        <w:rPr>
          <w:rFonts w:ascii="Arial" w:hAnsi="Arial" w:cs="Arial"/>
          <w:i/>
          <w:iCs/>
          <w:sz w:val="20"/>
          <w:szCs w:val="20"/>
        </w:rPr>
        <w:t>SD</w:t>
      </w:r>
      <w:r w:rsidR="00AF6642" w:rsidRPr="00362EC0">
        <w:rPr>
          <w:rFonts w:ascii="Arial" w:hAnsi="Arial" w:cs="Arial"/>
          <w:sz w:val="20"/>
          <w:szCs w:val="20"/>
        </w:rPr>
        <w:t xml:space="preserve"> = 111.05) compared to no reward </w:t>
      </w:r>
      <w:r w:rsidR="00AF6642" w:rsidRPr="00362EC0">
        <w:rPr>
          <w:rFonts w:ascii="Arial" w:hAnsi="Arial" w:cs="Arial"/>
          <w:i/>
          <w:iCs/>
          <w:sz w:val="20"/>
          <w:szCs w:val="20"/>
        </w:rPr>
        <w:t>(t</w:t>
      </w:r>
      <w:r w:rsidR="00AF6642" w:rsidRPr="00362EC0">
        <w:rPr>
          <w:rFonts w:ascii="Arial" w:hAnsi="Arial" w:cs="Arial"/>
          <w:sz w:val="20"/>
          <w:szCs w:val="20"/>
        </w:rPr>
        <w:t xml:space="preserve">(38) = , </w:t>
      </w:r>
      <w:r w:rsidR="00AF6642" w:rsidRPr="00362EC0">
        <w:rPr>
          <w:rFonts w:ascii="Arial" w:hAnsi="Arial" w:cs="Arial"/>
          <w:i/>
          <w:iCs/>
          <w:sz w:val="20"/>
          <w:szCs w:val="20"/>
        </w:rPr>
        <w:t>p</w:t>
      </w:r>
      <w:r w:rsidR="00AF6642" w:rsidRPr="00362EC0">
        <w:rPr>
          <w:rFonts w:ascii="Arial" w:hAnsi="Arial" w:cs="Arial"/>
          <w:sz w:val="20"/>
          <w:szCs w:val="20"/>
          <w:vertAlign w:val="subscript"/>
        </w:rPr>
        <w:t>c</w:t>
      </w:r>
      <w:r w:rsidR="00AF6642" w:rsidRPr="00362EC0">
        <w:rPr>
          <w:rFonts w:ascii="Arial" w:hAnsi="Arial" w:cs="Arial"/>
          <w:sz w:val="20"/>
          <w:szCs w:val="20"/>
        </w:rPr>
        <w:t xml:space="preserve"> &lt; .01, </w:t>
      </w:r>
      <w:r w:rsidR="00AF6642" w:rsidRPr="00362EC0">
        <w:rPr>
          <w:rFonts w:ascii="Arial" w:hAnsi="Arial" w:cs="Arial"/>
          <w:i/>
          <w:sz w:val="20"/>
          <w:szCs w:val="20"/>
        </w:rPr>
        <w:t>g</w:t>
      </w:r>
      <w:r w:rsidR="00AF6642" w:rsidRPr="00362EC0">
        <w:rPr>
          <w:rFonts w:ascii="Arial" w:hAnsi="Arial" w:cs="Arial"/>
          <w:i/>
          <w:sz w:val="20"/>
          <w:szCs w:val="20"/>
          <w:vertAlign w:val="subscript"/>
        </w:rPr>
        <w:t>av</w:t>
      </w:r>
      <w:r w:rsidR="00AF6642" w:rsidRPr="00362EC0">
        <w:rPr>
          <w:rFonts w:ascii="Arial" w:hAnsi="Arial" w:cs="Arial"/>
          <w:sz w:val="20"/>
          <w:szCs w:val="20"/>
        </w:rPr>
        <w:t xml:space="preserve"> = .18, CI = .07 - .29), whereas no significant difference was found between no (</w:t>
      </w:r>
      <w:r w:rsidR="00AF6642" w:rsidRPr="00362EC0">
        <w:rPr>
          <w:rFonts w:ascii="Arial" w:hAnsi="Arial" w:cs="Arial"/>
          <w:i/>
          <w:iCs/>
          <w:sz w:val="20"/>
          <w:szCs w:val="20"/>
        </w:rPr>
        <w:t>M</w:t>
      </w:r>
      <w:r w:rsidR="00AF6642" w:rsidRPr="00362EC0">
        <w:rPr>
          <w:rFonts w:ascii="Arial" w:hAnsi="Arial" w:cs="Arial"/>
          <w:sz w:val="20"/>
          <w:szCs w:val="20"/>
        </w:rPr>
        <w:t xml:space="preserve"> = 459.98, </w:t>
      </w:r>
      <w:r w:rsidR="00AF6642" w:rsidRPr="00362EC0">
        <w:rPr>
          <w:rFonts w:ascii="Arial" w:hAnsi="Arial" w:cs="Arial"/>
          <w:i/>
          <w:iCs/>
          <w:sz w:val="20"/>
          <w:szCs w:val="20"/>
        </w:rPr>
        <w:t>SD</w:t>
      </w:r>
      <w:r w:rsidR="00AF6642" w:rsidRPr="00362EC0">
        <w:rPr>
          <w:rFonts w:ascii="Arial" w:hAnsi="Arial" w:cs="Arial"/>
          <w:sz w:val="20"/>
          <w:szCs w:val="20"/>
        </w:rPr>
        <w:t xml:space="preserve"> = 123.63) and low reward (</w:t>
      </w:r>
      <w:r w:rsidR="00AF6642" w:rsidRPr="00362EC0">
        <w:rPr>
          <w:rFonts w:ascii="Arial" w:hAnsi="Arial" w:cs="Arial"/>
          <w:i/>
          <w:iCs/>
          <w:sz w:val="20"/>
          <w:szCs w:val="20"/>
        </w:rPr>
        <w:t>M</w:t>
      </w:r>
      <w:r w:rsidR="00AF6642" w:rsidRPr="00362EC0">
        <w:rPr>
          <w:rFonts w:ascii="Arial" w:hAnsi="Arial" w:cs="Arial"/>
          <w:sz w:val="20"/>
          <w:szCs w:val="20"/>
        </w:rPr>
        <w:t xml:space="preserve"> = 436.30, </w:t>
      </w:r>
      <w:r w:rsidR="00AF6642" w:rsidRPr="00362EC0">
        <w:rPr>
          <w:rFonts w:ascii="Arial" w:hAnsi="Arial" w:cs="Arial"/>
          <w:i/>
          <w:iCs/>
          <w:sz w:val="20"/>
          <w:szCs w:val="20"/>
        </w:rPr>
        <w:t>SD</w:t>
      </w:r>
      <w:r w:rsidR="00AF6642" w:rsidRPr="00362EC0">
        <w:rPr>
          <w:rFonts w:ascii="Arial" w:hAnsi="Arial" w:cs="Arial"/>
          <w:sz w:val="20"/>
          <w:szCs w:val="20"/>
        </w:rPr>
        <w:t xml:space="preserve"> = 104.54) following Bonferroni correction (</w:t>
      </w:r>
      <w:r w:rsidR="00AF6642" w:rsidRPr="00362EC0">
        <w:rPr>
          <w:rFonts w:ascii="Arial" w:hAnsi="Arial" w:cs="Arial"/>
          <w:i/>
          <w:iCs/>
          <w:sz w:val="20"/>
          <w:szCs w:val="20"/>
        </w:rPr>
        <w:t>t</w:t>
      </w:r>
      <w:r w:rsidR="00AF6642" w:rsidRPr="00362EC0">
        <w:rPr>
          <w:rFonts w:ascii="Arial" w:hAnsi="Arial" w:cs="Arial"/>
          <w:sz w:val="20"/>
          <w:szCs w:val="20"/>
        </w:rPr>
        <w:t xml:space="preserve">(38) = 2.24, </w:t>
      </w:r>
      <w:r w:rsidR="00AF6642" w:rsidRPr="00362EC0">
        <w:rPr>
          <w:rFonts w:ascii="Arial" w:hAnsi="Arial" w:cs="Arial"/>
          <w:i/>
          <w:iCs/>
          <w:sz w:val="20"/>
          <w:szCs w:val="20"/>
        </w:rPr>
        <w:t>p</w:t>
      </w:r>
      <w:r w:rsidR="00AF6642" w:rsidRPr="00362EC0">
        <w:rPr>
          <w:rFonts w:ascii="Arial" w:hAnsi="Arial" w:cs="Arial"/>
          <w:sz w:val="20"/>
          <w:szCs w:val="20"/>
          <w:vertAlign w:val="subscript"/>
        </w:rPr>
        <w:t>c</w:t>
      </w:r>
      <w:r w:rsidR="00AF6642" w:rsidRPr="00362EC0">
        <w:rPr>
          <w:rFonts w:ascii="Arial" w:hAnsi="Arial" w:cs="Arial"/>
          <w:sz w:val="20"/>
          <w:szCs w:val="20"/>
        </w:rPr>
        <w:t xml:space="preserve"> = .09, </w:t>
      </w:r>
      <w:r w:rsidR="00AF6642" w:rsidRPr="00362EC0">
        <w:rPr>
          <w:rFonts w:ascii="Arial" w:hAnsi="Arial" w:cs="Arial"/>
          <w:i/>
          <w:sz w:val="20"/>
          <w:szCs w:val="20"/>
        </w:rPr>
        <w:t>g</w:t>
      </w:r>
      <w:r w:rsidR="00AF6642" w:rsidRPr="00362EC0">
        <w:rPr>
          <w:rFonts w:ascii="Arial" w:hAnsi="Arial" w:cs="Arial"/>
          <w:i/>
          <w:sz w:val="20"/>
          <w:szCs w:val="20"/>
          <w:vertAlign w:val="subscript"/>
        </w:rPr>
        <w:t>av</w:t>
      </w:r>
      <w:r w:rsidR="00AF6642" w:rsidRPr="00362EC0">
        <w:rPr>
          <w:rFonts w:ascii="Arial" w:hAnsi="Arial" w:cs="Arial"/>
          <w:sz w:val="20"/>
          <w:szCs w:val="20"/>
        </w:rPr>
        <w:t xml:space="preserve"> = .20, CI = .02 - .37). Movement Delay did neither differ significantly between low and high reward (</w:t>
      </w:r>
      <w:r w:rsidR="00AF6642" w:rsidRPr="00362EC0">
        <w:rPr>
          <w:rFonts w:ascii="Arial" w:hAnsi="Arial" w:cs="Arial"/>
          <w:i/>
          <w:iCs/>
          <w:sz w:val="20"/>
          <w:szCs w:val="20"/>
        </w:rPr>
        <w:t>t</w:t>
      </w:r>
      <w:r w:rsidR="00AF6642" w:rsidRPr="00362EC0">
        <w:rPr>
          <w:rFonts w:ascii="Arial" w:hAnsi="Arial" w:cs="Arial"/>
          <w:sz w:val="20"/>
          <w:szCs w:val="20"/>
        </w:rPr>
        <w:t xml:space="preserve">(38) = .19, </w:t>
      </w:r>
      <w:r w:rsidR="00AF6642" w:rsidRPr="00362EC0">
        <w:rPr>
          <w:rFonts w:ascii="Arial" w:hAnsi="Arial" w:cs="Arial"/>
          <w:i/>
          <w:iCs/>
          <w:sz w:val="20"/>
          <w:szCs w:val="20"/>
        </w:rPr>
        <w:t>p</w:t>
      </w:r>
      <w:r w:rsidR="00AF6642" w:rsidRPr="00362EC0">
        <w:rPr>
          <w:rFonts w:ascii="Arial" w:hAnsi="Arial" w:cs="Arial"/>
          <w:sz w:val="20"/>
          <w:szCs w:val="20"/>
        </w:rPr>
        <w:t xml:space="preserve"> = .85, </w:t>
      </w:r>
      <w:r w:rsidR="00AF6642" w:rsidRPr="00362EC0">
        <w:rPr>
          <w:rFonts w:ascii="Arial" w:hAnsi="Arial" w:cs="Arial"/>
          <w:i/>
          <w:sz w:val="20"/>
          <w:szCs w:val="20"/>
        </w:rPr>
        <w:t>g</w:t>
      </w:r>
      <w:r w:rsidR="00AF6642" w:rsidRPr="00362EC0">
        <w:rPr>
          <w:rFonts w:ascii="Arial" w:hAnsi="Arial" w:cs="Arial"/>
          <w:i/>
          <w:sz w:val="20"/>
          <w:szCs w:val="20"/>
          <w:vertAlign w:val="subscript"/>
        </w:rPr>
        <w:t>av</w:t>
      </w:r>
      <w:r w:rsidR="00AF6642" w:rsidRPr="00362EC0">
        <w:rPr>
          <w:rFonts w:ascii="Arial" w:hAnsi="Arial" w:cs="Arial"/>
          <w:sz w:val="20"/>
          <w:szCs w:val="20"/>
        </w:rPr>
        <w:t xml:space="preserve"> = .01, CI = -.12, - .15). Similarly, average speed during the pre-</w:t>
      </w:r>
      <w:r w:rsidR="0021030F" w:rsidRPr="00362EC0">
        <w:rPr>
          <w:rFonts w:ascii="Arial" w:hAnsi="Arial" w:cs="Arial"/>
          <w:sz w:val="20"/>
          <w:szCs w:val="20"/>
        </w:rPr>
        <w:t xml:space="preserve">Cue </w:t>
      </w:r>
      <w:r w:rsidR="00AF6642" w:rsidRPr="00362EC0">
        <w:rPr>
          <w:rFonts w:ascii="Arial" w:hAnsi="Arial" w:cs="Arial"/>
          <w:sz w:val="20"/>
          <w:szCs w:val="20"/>
        </w:rPr>
        <w:t>stage (</w:t>
      </w:r>
      <w:r w:rsidR="00AF6642" w:rsidRPr="008A60DF">
        <w:rPr>
          <w:rFonts w:ascii="Arial" w:hAnsi="Arial" w:cs="Arial"/>
          <w:b/>
          <w:bCs/>
          <w:sz w:val="20"/>
          <w:szCs w:val="20"/>
        </w:rPr>
        <w:t>Fig</w:t>
      </w:r>
      <w:r w:rsidR="007D6824" w:rsidRPr="008A60DF">
        <w:rPr>
          <w:rFonts w:ascii="Arial" w:hAnsi="Arial" w:cs="Arial"/>
          <w:b/>
          <w:bCs/>
          <w:sz w:val="20"/>
          <w:szCs w:val="20"/>
        </w:rPr>
        <w:t>.</w:t>
      </w:r>
      <w:r w:rsidR="00AF6642" w:rsidRPr="008A60DF">
        <w:rPr>
          <w:rFonts w:ascii="Arial" w:hAnsi="Arial" w:cs="Arial"/>
          <w:b/>
          <w:bCs/>
          <w:sz w:val="20"/>
          <w:szCs w:val="20"/>
        </w:rPr>
        <w:t xml:space="preserve"> </w:t>
      </w:r>
      <w:r w:rsidR="00B67DB0" w:rsidRPr="008A60DF">
        <w:rPr>
          <w:rFonts w:ascii="Arial" w:hAnsi="Arial" w:cs="Arial"/>
          <w:b/>
          <w:bCs/>
          <w:sz w:val="20"/>
          <w:szCs w:val="20"/>
        </w:rPr>
        <w:t>3</w:t>
      </w:r>
      <w:r w:rsidR="00AF6642" w:rsidRPr="008A60DF">
        <w:rPr>
          <w:rFonts w:ascii="Arial" w:hAnsi="Arial" w:cs="Arial"/>
          <w:b/>
          <w:bCs/>
          <w:sz w:val="20"/>
          <w:szCs w:val="20"/>
        </w:rPr>
        <w:t>B</w:t>
      </w:r>
      <w:r w:rsidR="00AF6642" w:rsidRPr="00362EC0">
        <w:rPr>
          <w:rFonts w:ascii="Arial" w:hAnsi="Arial" w:cs="Arial"/>
          <w:sz w:val="20"/>
          <w:szCs w:val="20"/>
        </w:rPr>
        <w:t>) differed significantly depending on the reward conditions (</w:t>
      </w:r>
      <w:r w:rsidR="00AF6642" w:rsidRPr="00362EC0">
        <w:rPr>
          <w:rFonts w:ascii="Arial" w:hAnsi="Arial" w:cs="Arial"/>
          <w:i/>
          <w:iCs/>
          <w:sz w:val="20"/>
          <w:szCs w:val="20"/>
        </w:rPr>
        <w:t>F</w:t>
      </w:r>
      <w:r w:rsidR="00AF6642" w:rsidRPr="00362EC0">
        <w:rPr>
          <w:rFonts w:ascii="Arial" w:hAnsi="Arial" w:cs="Arial"/>
          <w:sz w:val="20"/>
          <w:szCs w:val="20"/>
        </w:rPr>
        <w:t>(2,76) = 4.09,</w:t>
      </w:r>
      <w:r w:rsidR="00AF6642" w:rsidRPr="00362EC0">
        <w:rPr>
          <w:rFonts w:ascii="Arial" w:hAnsi="Arial" w:cs="Arial"/>
          <w:i/>
          <w:iCs/>
          <w:sz w:val="20"/>
          <w:szCs w:val="20"/>
        </w:rPr>
        <w:t xml:space="preserve"> p</w:t>
      </w:r>
      <w:r w:rsidR="00AF6642" w:rsidRPr="00362EC0">
        <w:rPr>
          <w:rFonts w:ascii="Arial" w:hAnsi="Arial" w:cs="Arial"/>
          <w:sz w:val="20"/>
          <w:szCs w:val="20"/>
        </w:rPr>
        <w:t xml:space="preserve"> </w:t>
      </w:r>
      <w:r w:rsidR="00C266A6" w:rsidRPr="00362EC0">
        <w:rPr>
          <w:rFonts w:ascii="Arial" w:hAnsi="Arial" w:cs="Arial"/>
          <w:sz w:val="20"/>
          <w:szCs w:val="20"/>
        </w:rPr>
        <w:t>&lt;</w:t>
      </w:r>
      <w:r w:rsidR="00AF6642" w:rsidRPr="00362EC0">
        <w:rPr>
          <w:rFonts w:ascii="Arial" w:hAnsi="Arial" w:cs="Arial"/>
          <w:sz w:val="20"/>
          <w:szCs w:val="20"/>
        </w:rPr>
        <w:t xml:space="preserve"> .0</w:t>
      </w:r>
      <w:r w:rsidR="00C266A6" w:rsidRPr="00362EC0">
        <w:rPr>
          <w:rFonts w:ascii="Arial" w:hAnsi="Arial" w:cs="Arial"/>
          <w:sz w:val="20"/>
          <w:szCs w:val="20"/>
        </w:rPr>
        <w:t>5</w:t>
      </w:r>
      <w:r w:rsidR="00AF6642" w:rsidRPr="00362EC0">
        <w:rPr>
          <w:rFonts w:ascii="Arial" w:hAnsi="Arial" w:cs="Arial"/>
          <w:sz w:val="20"/>
          <w:szCs w:val="20"/>
        </w:rPr>
        <w:t>, η</w:t>
      </w:r>
      <w:r w:rsidR="00AF6642" w:rsidRPr="00362EC0">
        <w:rPr>
          <w:rFonts w:ascii="Arial" w:hAnsi="Arial" w:cs="Arial"/>
          <w:sz w:val="20"/>
          <w:szCs w:val="20"/>
          <w:vertAlign w:val="superscript"/>
        </w:rPr>
        <w:t>2</w:t>
      </w:r>
      <w:r w:rsidR="00AF6642" w:rsidRPr="00362EC0">
        <w:rPr>
          <w:rFonts w:ascii="Arial" w:hAnsi="Arial" w:cs="Arial"/>
          <w:sz w:val="20"/>
          <w:szCs w:val="20"/>
          <w:vertAlign w:val="subscript"/>
        </w:rPr>
        <w:t>p</w:t>
      </w:r>
      <w:r w:rsidR="00AF6642" w:rsidRPr="00362EC0">
        <w:rPr>
          <w:rFonts w:ascii="Arial" w:hAnsi="Arial" w:cs="Arial"/>
          <w:sz w:val="20"/>
          <w:szCs w:val="20"/>
        </w:rPr>
        <w:t xml:space="preserve"> = .10, CI = .01 - .20), with significantly faster average speed pre-Cue during high (</w:t>
      </w:r>
      <w:r w:rsidR="00AF6642" w:rsidRPr="00362EC0">
        <w:rPr>
          <w:rFonts w:ascii="Arial" w:hAnsi="Arial" w:cs="Arial"/>
          <w:i/>
          <w:iCs/>
          <w:sz w:val="20"/>
          <w:szCs w:val="20"/>
        </w:rPr>
        <w:t>M</w:t>
      </w:r>
      <w:r w:rsidR="00AF6642" w:rsidRPr="00362EC0">
        <w:rPr>
          <w:rFonts w:ascii="Arial" w:hAnsi="Arial" w:cs="Arial"/>
          <w:sz w:val="20"/>
          <w:szCs w:val="20"/>
        </w:rPr>
        <w:t xml:space="preserve"> = 1.07, </w:t>
      </w:r>
      <w:r w:rsidR="00AF6642" w:rsidRPr="00362EC0">
        <w:rPr>
          <w:rFonts w:ascii="Arial" w:hAnsi="Arial" w:cs="Arial"/>
          <w:i/>
          <w:iCs/>
          <w:sz w:val="20"/>
          <w:szCs w:val="20"/>
        </w:rPr>
        <w:t>SD</w:t>
      </w:r>
      <w:r w:rsidR="00AF6642" w:rsidRPr="00362EC0">
        <w:rPr>
          <w:rFonts w:ascii="Arial" w:hAnsi="Arial" w:cs="Arial"/>
          <w:sz w:val="20"/>
          <w:szCs w:val="20"/>
        </w:rPr>
        <w:t xml:space="preserve"> = .44) reward than low (</w:t>
      </w:r>
      <w:r w:rsidR="00AF6642" w:rsidRPr="00362EC0">
        <w:rPr>
          <w:rFonts w:ascii="Arial" w:hAnsi="Arial" w:cs="Arial"/>
          <w:i/>
          <w:iCs/>
          <w:sz w:val="20"/>
          <w:szCs w:val="20"/>
        </w:rPr>
        <w:t>M</w:t>
      </w:r>
      <w:r w:rsidR="00AF6642" w:rsidRPr="00362EC0">
        <w:rPr>
          <w:rFonts w:ascii="Arial" w:hAnsi="Arial" w:cs="Arial"/>
          <w:sz w:val="20"/>
          <w:szCs w:val="20"/>
        </w:rPr>
        <w:t xml:space="preserve"> = 1.04, </w:t>
      </w:r>
      <w:r w:rsidR="00AF6642" w:rsidRPr="00362EC0">
        <w:rPr>
          <w:rFonts w:ascii="Arial" w:hAnsi="Arial" w:cs="Arial"/>
          <w:i/>
          <w:iCs/>
          <w:sz w:val="20"/>
          <w:szCs w:val="20"/>
        </w:rPr>
        <w:t>SD</w:t>
      </w:r>
      <w:r w:rsidR="00AF6642" w:rsidRPr="00362EC0">
        <w:rPr>
          <w:rFonts w:ascii="Arial" w:hAnsi="Arial" w:cs="Arial"/>
          <w:sz w:val="20"/>
          <w:szCs w:val="20"/>
        </w:rPr>
        <w:t xml:space="preserve"> = .43) reward trials (</w:t>
      </w:r>
      <w:r w:rsidR="00AF6642" w:rsidRPr="00362EC0">
        <w:rPr>
          <w:rFonts w:ascii="Arial" w:hAnsi="Arial" w:cs="Arial"/>
          <w:i/>
          <w:iCs/>
          <w:sz w:val="20"/>
          <w:szCs w:val="20"/>
        </w:rPr>
        <w:t>t</w:t>
      </w:r>
      <w:r w:rsidR="00AF6642" w:rsidRPr="00362EC0">
        <w:rPr>
          <w:rFonts w:ascii="Arial" w:hAnsi="Arial" w:cs="Arial"/>
          <w:sz w:val="20"/>
          <w:szCs w:val="20"/>
        </w:rPr>
        <w:t xml:space="preserve">(38) = 3.01, </w:t>
      </w:r>
      <w:r w:rsidR="00AF6642" w:rsidRPr="00362EC0">
        <w:rPr>
          <w:rFonts w:ascii="Arial" w:hAnsi="Arial" w:cs="Arial"/>
          <w:i/>
          <w:iCs/>
          <w:sz w:val="20"/>
          <w:szCs w:val="20"/>
        </w:rPr>
        <w:t>p</w:t>
      </w:r>
      <w:r w:rsidR="00AF6642" w:rsidRPr="00362EC0">
        <w:rPr>
          <w:rFonts w:ascii="Arial" w:hAnsi="Arial" w:cs="Arial"/>
          <w:sz w:val="20"/>
          <w:szCs w:val="20"/>
          <w:vertAlign w:val="subscript"/>
        </w:rPr>
        <w:t>c</w:t>
      </w:r>
      <w:r w:rsidR="00AF6642" w:rsidRPr="00362EC0">
        <w:rPr>
          <w:rFonts w:ascii="Arial" w:hAnsi="Arial" w:cs="Arial"/>
          <w:sz w:val="20"/>
          <w:szCs w:val="20"/>
        </w:rPr>
        <w:t xml:space="preserve"> </w:t>
      </w:r>
      <w:r w:rsidR="00C266A6" w:rsidRPr="00362EC0">
        <w:rPr>
          <w:rFonts w:ascii="Arial" w:hAnsi="Arial" w:cs="Arial"/>
          <w:sz w:val="20"/>
          <w:szCs w:val="20"/>
        </w:rPr>
        <w:t>&lt;</w:t>
      </w:r>
      <w:r w:rsidR="00AF6642" w:rsidRPr="00362EC0">
        <w:rPr>
          <w:rFonts w:ascii="Arial" w:hAnsi="Arial" w:cs="Arial"/>
          <w:sz w:val="20"/>
          <w:szCs w:val="20"/>
        </w:rPr>
        <w:t xml:space="preserve"> .0</w:t>
      </w:r>
      <w:r w:rsidR="00C266A6" w:rsidRPr="00362EC0">
        <w:rPr>
          <w:rFonts w:ascii="Arial" w:hAnsi="Arial" w:cs="Arial"/>
          <w:sz w:val="20"/>
          <w:szCs w:val="20"/>
        </w:rPr>
        <w:t>5</w:t>
      </w:r>
      <w:r w:rsidR="00AF6642" w:rsidRPr="00362EC0">
        <w:rPr>
          <w:rFonts w:ascii="Arial" w:hAnsi="Arial" w:cs="Arial"/>
          <w:sz w:val="20"/>
          <w:szCs w:val="20"/>
        </w:rPr>
        <w:t xml:space="preserve">, </w:t>
      </w:r>
      <w:r w:rsidR="00AF6642" w:rsidRPr="00362EC0">
        <w:rPr>
          <w:rFonts w:ascii="Arial" w:hAnsi="Arial" w:cs="Arial"/>
          <w:i/>
          <w:sz w:val="20"/>
          <w:szCs w:val="20"/>
        </w:rPr>
        <w:t>g</w:t>
      </w:r>
      <w:r w:rsidR="00AF6642" w:rsidRPr="00362EC0">
        <w:rPr>
          <w:rFonts w:ascii="Arial" w:hAnsi="Arial" w:cs="Arial"/>
          <w:i/>
          <w:sz w:val="20"/>
          <w:szCs w:val="20"/>
          <w:vertAlign w:val="subscript"/>
        </w:rPr>
        <w:t>av</w:t>
      </w:r>
      <w:r w:rsidR="00AF6642" w:rsidRPr="00362EC0">
        <w:rPr>
          <w:rFonts w:ascii="Arial" w:hAnsi="Arial" w:cs="Arial"/>
          <w:sz w:val="20"/>
          <w:szCs w:val="20"/>
        </w:rPr>
        <w:t xml:space="preserve"> = .07, CI = .02 - .11). No significant difference was found between no (</w:t>
      </w:r>
      <w:r w:rsidR="00AF6642" w:rsidRPr="00362EC0">
        <w:rPr>
          <w:rFonts w:ascii="Arial" w:hAnsi="Arial" w:cs="Arial"/>
          <w:i/>
          <w:iCs/>
          <w:sz w:val="20"/>
          <w:szCs w:val="20"/>
        </w:rPr>
        <w:t>M</w:t>
      </w:r>
      <w:r w:rsidR="00AF6642" w:rsidRPr="00362EC0">
        <w:rPr>
          <w:rFonts w:ascii="Arial" w:hAnsi="Arial" w:cs="Arial"/>
          <w:sz w:val="20"/>
          <w:szCs w:val="20"/>
        </w:rPr>
        <w:t xml:space="preserve"> = 1.05, </w:t>
      </w:r>
      <w:r w:rsidR="00AF6642" w:rsidRPr="00362EC0">
        <w:rPr>
          <w:rFonts w:ascii="Arial" w:hAnsi="Arial" w:cs="Arial"/>
          <w:i/>
          <w:iCs/>
          <w:sz w:val="20"/>
          <w:szCs w:val="20"/>
        </w:rPr>
        <w:t>SD</w:t>
      </w:r>
      <w:r w:rsidR="00AF6642" w:rsidRPr="00362EC0">
        <w:rPr>
          <w:rFonts w:ascii="Arial" w:hAnsi="Arial" w:cs="Arial"/>
          <w:sz w:val="20"/>
          <w:szCs w:val="20"/>
        </w:rPr>
        <w:t xml:space="preserve"> = .44) and low (</w:t>
      </w:r>
      <w:r w:rsidR="00AF6642" w:rsidRPr="00362EC0">
        <w:rPr>
          <w:rFonts w:ascii="Arial" w:hAnsi="Arial" w:cs="Arial"/>
          <w:i/>
          <w:iCs/>
          <w:sz w:val="20"/>
          <w:szCs w:val="20"/>
        </w:rPr>
        <w:t>t</w:t>
      </w:r>
      <w:r w:rsidR="00AF6642" w:rsidRPr="00362EC0">
        <w:rPr>
          <w:rFonts w:ascii="Arial" w:hAnsi="Arial" w:cs="Arial"/>
          <w:sz w:val="20"/>
          <w:szCs w:val="20"/>
        </w:rPr>
        <w:t xml:space="preserve">(38) = 1.14, </w:t>
      </w:r>
      <w:r w:rsidR="00AF6642" w:rsidRPr="00362EC0">
        <w:rPr>
          <w:rFonts w:ascii="Arial" w:hAnsi="Arial" w:cs="Arial"/>
          <w:i/>
          <w:iCs/>
          <w:sz w:val="20"/>
          <w:szCs w:val="20"/>
        </w:rPr>
        <w:t>p</w:t>
      </w:r>
      <w:r w:rsidR="00AF6642" w:rsidRPr="00362EC0">
        <w:rPr>
          <w:rFonts w:ascii="Arial" w:hAnsi="Arial" w:cs="Arial"/>
          <w:sz w:val="20"/>
          <w:szCs w:val="20"/>
        </w:rPr>
        <w:t xml:space="preserve"> = .261, </w:t>
      </w:r>
      <w:r w:rsidR="00AF6642" w:rsidRPr="00362EC0">
        <w:rPr>
          <w:rFonts w:ascii="Arial" w:hAnsi="Arial" w:cs="Arial"/>
          <w:i/>
          <w:sz w:val="20"/>
          <w:szCs w:val="20"/>
        </w:rPr>
        <w:t>g</w:t>
      </w:r>
      <w:r w:rsidR="00AF6642" w:rsidRPr="00362EC0">
        <w:rPr>
          <w:rFonts w:ascii="Arial" w:hAnsi="Arial" w:cs="Arial"/>
          <w:i/>
          <w:sz w:val="20"/>
          <w:szCs w:val="20"/>
          <w:vertAlign w:val="subscript"/>
        </w:rPr>
        <w:t>av</w:t>
      </w:r>
      <w:r w:rsidR="00AF6642" w:rsidRPr="00362EC0">
        <w:rPr>
          <w:rFonts w:ascii="Arial" w:hAnsi="Arial" w:cs="Arial"/>
          <w:sz w:val="20"/>
          <w:szCs w:val="20"/>
        </w:rPr>
        <w:t xml:space="preserve"> = .03, CI = -.02 - .07) or between no and high reward (</w:t>
      </w:r>
      <w:r w:rsidR="00AF6642" w:rsidRPr="00362EC0">
        <w:rPr>
          <w:rFonts w:ascii="Arial" w:hAnsi="Arial" w:cs="Arial"/>
          <w:i/>
          <w:iCs/>
          <w:sz w:val="20"/>
          <w:szCs w:val="20"/>
        </w:rPr>
        <w:t>t</w:t>
      </w:r>
      <w:r w:rsidR="00AF6642" w:rsidRPr="00362EC0">
        <w:rPr>
          <w:rFonts w:ascii="Arial" w:hAnsi="Arial" w:cs="Arial"/>
          <w:sz w:val="20"/>
          <w:szCs w:val="20"/>
        </w:rPr>
        <w:t xml:space="preserve">(38) = 1.57, </w:t>
      </w:r>
      <w:r w:rsidR="00AF6642" w:rsidRPr="00362EC0">
        <w:rPr>
          <w:rFonts w:ascii="Arial" w:hAnsi="Arial" w:cs="Arial"/>
          <w:i/>
          <w:iCs/>
          <w:sz w:val="20"/>
          <w:szCs w:val="20"/>
        </w:rPr>
        <w:t>p</w:t>
      </w:r>
      <w:r w:rsidR="00AF6642" w:rsidRPr="00362EC0">
        <w:rPr>
          <w:rFonts w:ascii="Arial" w:hAnsi="Arial" w:cs="Arial"/>
          <w:sz w:val="20"/>
          <w:szCs w:val="20"/>
        </w:rPr>
        <w:t xml:space="preserve"> = .126, </w:t>
      </w:r>
      <w:r w:rsidR="00AF6642" w:rsidRPr="00362EC0">
        <w:rPr>
          <w:rFonts w:ascii="Arial" w:hAnsi="Arial" w:cs="Arial"/>
          <w:i/>
          <w:sz w:val="20"/>
          <w:szCs w:val="20"/>
        </w:rPr>
        <w:t>g</w:t>
      </w:r>
      <w:r w:rsidR="00AF6642" w:rsidRPr="00362EC0">
        <w:rPr>
          <w:rFonts w:ascii="Arial" w:hAnsi="Arial" w:cs="Arial"/>
          <w:i/>
          <w:sz w:val="20"/>
          <w:szCs w:val="20"/>
          <w:vertAlign w:val="subscript"/>
        </w:rPr>
        <w:t>av</w:t>
      </w:r>
      <w:r w:rsidR="00AF6642" w:rsidRPr="00362EC0">
        <w:rPr>
          <w:rFonts w:ascii="Arial" w:hAnsi="Arial" w:cs="Arial"/>
          <w:sz w:val="20"/>
          <w:szCs w:val="20"/>
        </w:rPr>
        <w:t xml:space="preserve"> = .04, CI = -.01 - .10)</w:t>
      </w:r>
      <w:r w:rsidR="00F6014A" w:rsidRPr="00362EC0">
        <w:rPr>
          <w:rFonts w:ascii="Arial" w:hAnsi="Arial" w:cs="Arial"/>
          <w:sz w:val="20"/>
          <w:szCs w:val="20"/>
        </w:rPr>
        <w:t>.</w:t>
      </w:r>
      <w:r w:rsidR="00AF6642" w:rsidRPr="00362EC0">
        <w:rPr>
          <w:rFonts w:ascii="Arial" w:hAnsi="Arial" w:cs="Arial"/>
          <w:sz w:val="20"/>
          <w:szCs w:val="20"/>
        </w:rPr>
        <w:t xml:space="preserve"> </w:t>
      </w:r>
    </w:p>
    <w:p w14:paraId="68DD0FC3" w14:textId="27107F3E" w:rsidR="006616BD" w:rsidRPr="00362EC0" w:rsidRDefault="006616BD" w:rsidP="0021030F">
      <w:pPr>
        <w:spacing w:after="0" w:line="360" w:lineRule="auto"/>
        <w:ind w:firstLine="720"/>
        <w:contextualSpacing/>
        <w:jc w:val="both"/>
        <w:rPr>
          <w:rFonts w:ascii="Arial" w:hAnsi="Arial" w:cs="Arial"/>
          <w:sz w:val="20"/>
          <w:szCs w:val="20"/>
        </w:rPr>
      </w:pPr>
      <w:r w:rsidRPr="00362EC0">
        <w:rPr>
          <w:rFonts w:ascii="Arial" w:hAnsi="Arial" w:cs="Arial"/>
          <w:sz w:val="20"/>
          <w:szCs w:val="20"/>
        </w:rPr>
        <w:t xml:space="preserve">Analysing response accuracy to </w:t>
      </w:r>
      <w:r w:rsidR="0021030F" w:rsidRPr="00362EC0">
        <w:rPr>
          <w:rFonts w:ascii="Arial" w:hAnsi="Arial" w:cs="Arial"/>
          <w:sz w:val="20"/>
          <w:szCs w:val="20"/>
        </w:rPr>
        <w:t xml:space="preserve">Instructed </w:t>
      </w:r>
      <w:r w:rsidRPr="00362EC0">
        <w:rPr>
          <w:rFonts w:ascii="Arial" w:hAnsi="Arial" w:cs="Arial"/>
          <w:sz w:val="20"/>
          <w:szCs w:val="20"/>
        </w:rPr>
        <w:t xml:space="preserve">Go trials showed a significant main effect of reward type </w:t>
      </w:r>
      <w:r w:rsidR="00611638" w:rsidRPr="00362EC0">
        <w:rPr>
          <w:rFonts w:ascii="Arial" w:hAnsi="Arial" w:cs="Arial"/>
          <w:sz w:val="20"/>
          <w:szCs w:val="20"/>
        </w:rPr>
        <w:t>(</w:t>
      </w:r>
      <w:r w:rsidRPr="00362EC0">
        <w:rPr>
          <w:rFonts w:ascii="Arial" w:hAnsi="Arial" w:cs="Arial"/>
          <w:i/>
          <w:iCs/>
          <w:sz w:val="20"/>
          <w:szCs w:val="20"/>
        </w:rPr>
        <w:t>F</w:t>
      </w:r>
      <w:r w:rsidRPr="00362EC0">
        <w:rPr>
          <w:rFonts w:ascii="Arial" w:hAnsi="Arial" w:cs="Arial"/>
          <w:sz w:val="20"/>
          <w:szCs w:val="20"/>
        </w:rPr>
        <w:t xml:space="preserve">(2,76) = 7.61, </w:t>
      </w:r>
      <w:r w:rsidRPr="00362EC0">
        <w:rPr>
          <w:rFonts w:ascii="Arial" w:hAnsi="Arial" w:cs="Arial"/>
          <w:i/>
          <w:iCs/>
          <w:sz w:val="20"/>
          <w:szCs w:val="20"/>
        </w:rPr>
        <w:t>p</w:t>
      </w:r>
      <w:r w:rsidRPr="00362EC0">
        <w:rPr>
          <w:rFonts w:ascii="Arial" w:hAnsi="Arial" w:cs="Arial"/>
          <w:sz w:val="20"/>
          <w:szCs w:val="20"/>
        </w:rPr>
        <w:t xml:space="preserve"> &lt; .001, η</w:t>
      </w:r>
      <w:r w:rsidRPr="00362EC0">
        <w:rPr>
          <w:rFonts w:ascii="Arial" w:hAnsi="Arial" w:cs="Arial"/>
          <w:sz w:val="20"/>
          <w:szCs w:val="20"/>
          <w:vertAlign w:val="superscript"/>
        </w:rPr>
        <w:t>2</w:t>
      </w:r>
      <w:r w:rsidRPr="00362EC0">
        <w:rPr>
          <w:rFonts w:ascii="Arial" w:hAnsi="Arial" w:cs="Arial"/>
          <w:sz w:val="20"/>
          <w:szCs w:val="20"/>
          <w:vertAlign w:val="subscript"/>
        </w:rPr>
        <w:t>p</w:t>
      </w:r>
      <w:r w:rsidRPr="00362EC0">
        <w:rPr>
          <w:rFonts w:ascii="Arial" w:hAnsi="Arial" w:cs="Arial"/>
          <w:sz w:val="20"/>
          <w:szCs w:val="20"/>
        </w:rPr>
        <w:t xml:space="preserve"> = .17, CI = .05 - .28</w:t>
      </w:r>
      <w:r w:rsidR="00611638" w:rsidRPr="00362EC0">
        <w:rPr>
          <w:rFonts w:ascii="Arial" w:hAnsi="Arial" w:cs="Arial"/>
          <w:sz w:val="20"/>
          <w:szCs w:val="20"/>
        </w:rPr>
        <w:t>)</w:t>
      </w:r>
      <w:r w:rsidRPr="00362EC0">
        <w:rPr>
          <w:rFonts w:ascii="Arial" w:hAnsi="Arial" w:cs="Arial"/>
          <w:sz w:val="20"/>
          <w:szCs w:val="20"/>
        </w:rPr>
        <w:t xml:space="preserve">. Paired </w:t>
      </w:r>
      <w:r w:rsidRPr="00362EC0">
        <w:rPr>
          <w:rFonts w:ascii="Arial" w:hAnsi="Arial" w:cs="Arial"/>
          <w:i/>
          <w:iCs/>
          <w:sz w:val="20"/>
          <w:szCs w:val="20"/>
        </w:rPr>
        <w:t>t</w:t>
      </w:r>
      <w:r w:rsidRPr="00362EC0">
        <w:rPr>
          <w:rFonts w:ascii="Arial" w:hAnsi="Arial" w:cs="Arial"/>
          <w:sz w:val="20"/>
          <w:szCs w:val="20"/>
        </w:rPr>
        <w:t>-tests indicated a significantly higher percentage of trials during which the reward square was reached during high (</w:t>
      </w:r>
      <w:r w:rsidRPr="00362EC0">
        <w:rPr>
          <w:rFonts w:ascii="Arial" w:hAnsi="Arial" w:cs="Arial"/>
          <w:i/>
          <w:iCs/>
          <w:sz w:val="20"/>
          <w:szCs w:val="20"/>
        </w:rPr>
        <w:t>M</w:t>
      </w:r>
      <w:r w:rsidRPr="00362EC0">
        <w:rPr>
          <w:rFonts w:ascii="Arial" w:hAnsi="Arial" w:cs="Arial"/>
          <w:sz w:val="20"/>
          <w:szCs w:val="20"/>
        </w:rPr>
        <w:t xml:space="preserve"> = 78.47, </w:t>
      </w:r>
      <w:r w:rsidRPr="00362EC0">
        <w:rPr>
          <w:rFonts w:ascii="Arial" w:hAnsi="Arial" w:cs="Arial"/>
          <w:i/>
          <w:iCs/>
          <w:sz w:val="20"/>
          <w:szCs w:val="20"/>
        </w:rPr>
        <w:t xml:space="preserve">SD </w:t>
      </w:r>
      <w:r w:rsidRPr="00362EC0">
        <w:rPr>
          <w:rFonts w:ascii="Arial" w:hAnsi="Arial" w:cs="Arial"/>
          <w:sz w:val="20"/>
          <w:szCs w:val="20"/>
        </w:rPr>
        <w:t>= 13.17) compared to no (</w:t>
      </w:r>
      <w:r w:rsidRPr="00362EC0">
        <w:rPr>
          <w:rFonts w:ascii="Arial" w:hAnsi="Arial" w:cs="Arial"/>
          <w:i/>
          <w:iCs/>
          <w:sz w:val="20"/>
          <w:szCs w:val="20"/>
        </w:rPr>
        <w:t>t</w:t>
      </w:r>
      <w:r w:rsidRPr="00362EC0">
        <w:rPr>
          <w:rFonts w:ascii="Arial" w:hAnsi="Arial" w:cs="Arial"/>
          <w:sz w:val="20"/>
          <w:szCs w:val="20"/>
        </w:rPr>
        <w:t xml:space="preserve">(38) = 3.81, </w:t>
      </w:r>
      <w:r w:rsidRPr="00362EC0">
        <w:rPr>
          <w:rFonts w:ascii="Arial" w:hAnsi="Arial" w:cs="Arial"/>
          <w:i/>
          <w:iCs/>
          <w:sz w:val="20"/>
          <w:szCs w:val="20"/>
        </w:rPr>
        <w:t>p</w:t>
      </w:r>
      <w:r w:rsidRPr="00362EC0">
        <w:rPr>
          <w:rFonts w:ascii="Arial" w:hAnsi="Arial" w:cs="Arial"/>
          <w:i/>
          <w:iCs/>
          <w:sz w:val="20"/>
          <w:szCs w:val="20"/>
          <w:vertAlign w:val="subscript"/>
        </w:rPr>
        <w:t>c</w:t>
      </w:r>
      <w:r w:rsidRPr="00362EC0">
        <w:rPr>
          <w:rFonts w:ascii="Arial" w:hAnsi="Arial" w:cs="Arial"/>
          <w:sz w:val="20"/>
          <w:szCs w:val="20"/>
          <w:vertAlign w:val="subscript"/>
        </w:rPr>
        <w:t xml:space="preserve"> </w:t>
      </w:r>
      <w:r w:rsidRPr="00362EC0">
        <w:rPr>
          <w:rFonts w:ascii="Arial" w:hAnsi="Arial" w:cs="Arial"/>
          <w:sz w:val="20"/>
          <w:szCs w:val="20"/>
        </w:rPr>
        <w:t xml:space="preserve">&lt; .01, </w:t>
      </w:r>
      <w:r w:rsidRPr="00362EC0">
        <w:rPr>
          <w:rFonts w:ascii="Arial" w:hAnsi="Arial" w:cs="Arial"/>
          <w:i/>
          <w:sz w:val="20"/>
          <w:szCs w:val="20"/>
        </w:rPr>
        <w:t>g</w:t>
      </w:r>
      <w:r w:rsidRPr="00362EC0">
        <w:rPr>
          <w:rFonts w:ascii="Arial" w:hAnsi="Arial" w:cs="Arial"/>
          <w:i/>
          <w:sz w:val="20"/>
          <w:szCs w:val="20"/>
          <w:vertAlign w:val="subscript"/>
        </w:rPr>
        <w:t>av</w:t>
      </w:r>
      <w:r w:rsidRPr="00362EC0">
        <w:rPr>
          <w:rFonts w:ascii="Arial" w:hAnsi="Arial" w:cs="Arial"/>
          <w:sz w:val="20"/>
          <w:szCs w:val="20"/>
        </w:rPr>
        <w:t xml:space="preserve"> = .47, CI = .21 - .72) and low reward trials</w:t>
      </w:r>
      <w:r w:rsidR="00611638" w:rsidRPr="00362EC0">
        <w:rPr>
          <w:rFonts w:ascii="Arial" w:hAnsi="Arial" w:cs="Arial"/>
          <w:sz w:val="20"/>
          <w:szCs w:val="20"/>
        </w:rPr>
        <w:t>,</w:t>
      </w:r>
      <w:r w:rsidRPr="00362EC0">
        <w:rPr>
          <w:rFonts w:ascii="Arial" w:hAnsi="Arial" w:cs="Arial"/>
          <w:sz w:val="20"/>
          <w:szCs w:val="20"/>
        </w:rPr>
        <w:t xml:space="preserve"> </w:t>
      </w:r>
      <w:r w:rsidRPr="00362EC0">
        <w:rPr>
          <w:rFonts w:ascii="Arial" w:hAnsi="Arial" w:cs="Arial"/>
          <w:i/>
          <w:iCs/>
          <w:sz w:val="20"/>
          <w:szCs w:val="20"/>
        </w:rPr>
        <w:t>t</w:t>
      </w:r>
      <w:r w:rsidRPr="00362EC0">
        <w:rPr>
          <w:rFonts w:ascii="Arial" w:hAnsi="Arial" w:cs="Arial"/>
          <w:sz w:val="20"/>
          <w:szCs w:val="20"/>
        </w:rPr>
        <w:t xml:space="preserve">(38) = 2.71, </w:t>
      </w:r>
      <w:r w:rsidRPr="00362EC0">
        <w:rPr>
          <w:rFonts w:ascii="Arial" w:hAnsi="Arial" w:cs="Arial"/>
          <w:i/>
          <w:iCs/>
          <w:sz w:val="20"/>
          <w:szCs w:val="20"/>
        </w:rPr>
        <w:t>p</w:t>
      </w:r>
      <w:r w:rsidRPr="00362EC0">
        <w:rPr>
          <w:rFonts w:ascii="Arial" w:hAnsi="Arial" w:cs="Arial"/>
          <w:i/>
          <w:iCs/>
          <w:sz w:val="20"/>
          <w:szCs w:val="20"/>
          <w:vertAlign w:val="subscript"/>
        </w:rPr>
        <w:t>c</w:t>
      </w:r>
      <w:r w:rsidRPr="00362EC0">
        <w:rPr>
          <w:rFonts w:ascii="Arial" w:hAnsi="Arial" w:cs="Arial"/>
          <w:sz w:val="20"/>
          <w:szCs w:val="20"/>
          <w:vertAlign w:val="subscript"/>
        </w:rPr>
        <w:t xml:space="preserve"> </w:t>
      </w:r>
      <w:r w:rsidRPr="00362EC0">
        <w:rPr>
          <w:rFonts w:ascii="Arial" w:hAnsi="Arial" w:cs="Arial"/>
          <w:sz w:val="20"/>
          <w:szCs w:val="20"/>
        </w:rPr>
        <w:t xml:space="preserve">&lt; .05, </w:t>
      </w:r>
      <w:r w:rsidRPr="00362EC0">
        <w:rPr>
          <w:rFonts w:ascii="Arial" w:hAnsi="Arial" w:cs="Arial"/>
          <w:i/>
          <w:sz w:val="20"/>
          <w:szCs w:val="20"/>
        </w:rPr>
        <w:t>g</w:t>
      </w:r>
      <w:r w:rsidRPr="00362EC0">
        <w:rPr>
          <w:rFonts w:ascii="Arial" w:hAnsi="Arial" w:cs="Arial"/>
          <w:i/>
          <w:sz w:val="20"/>
          <w:szCs w:val="20"/>
          <w:vertAlign w:val="subscript"/>
        </w:rPr>
        <w:t>av</w:t>
      </w:r>
      <w:r w:rsidRPr="00362EC0">
        <w:rPr>
          <w:rFonts w:ascii="Arial" w:hAnsi="Arial" w:cs="Arial"/>
          <w:sz w:val="20"/>
          <w:szCs w:val="20"/>
        </w:rPr>
        <w:t xml:space="preserve"> = .33, CI = ,08 - .57 (see </w:t>
      </w:r>
      <w:r w:rsidRPr="00362EC0">
        <w:rPr>
          <w:rFonts w:ascii="Arial" w:hAnsi="Arial" w:cs="Arial"/>
          <w:b/>
          <w:bCs/>
          <w:sz w:val="20"/>
          <w:szCs w:val="20"/>
        </w:rPr>
        <w:t xml:space="preserve">Fig. </w:t>
      </w:r>
      <w:r w:rsidR="00B67DB0" w:rsidRPr="00362EC0">
        <w:rPr>
          <w:rFonts w:ascii="Arial" w:hAnsi="Arial" w:cs="Arial"/>
          <w:b/>
          <w:bCs/>
          <w:sz w:val="20"/>
          <w:szCs w:val="20"/>
        </w:rPr>
        <w:t>3C</w:t>
      </w:r>
      <w:r w:rsidRPr="00362EC0">
        <w:rPr>
          <w:rFonts w:ascii="Arial" w:hAnsi="Arial" w:cs="Arial"/>
          <w:sz w:val="20"/>
          <w:szCs w:val="20"/>
        </w:rPr>
        <w:t>). There was no significant difference between no (</w:t>
      </w:r>
      <w:r w:rsidRPr="00362EC0">
        <w:rPr>
          <w:rFonts w:ascii="Arial" w:hAnsi="Arial" w:cs="Arial"/>
          <w:i/>
          <w:iCs/>
          <w:sz w:val="20"/>
          <w:szCs w:val="20"/>
        </w:rPr>
        <w:t>M</w:t>
      </w:r>
      <w:r w:rsidRPr="00362EC0">
        <w:rPr>
          <w:rFonts w:ascii="Arial" w:hAnsi="Arial" w:cs="Arial"/>
          <w:sz w:val="20"/>
          <w:szCs w:val="20"/>
        </w:rPr>
        <w:t xml:space="preserve"> = 70.93, </w:t>
      </w:r>
      <w:r w:rsidRPr="00362EC0">
        <w:rPr>
          <w:rFonts w:ascii="Arial" w:hAnsi="Arial" w:cs="Arial"/>
          <w:i/>
          <w:iCs/>
          <w:sz w:val="20"/>
          <w:szCs w:val="20"/>
        </w:rPr>
        <w:t xml:space="preserve">SD </w:t>
      </w:r>
      <w:r w:rsidRPr="00362EC0">
        <w:rPr>
          <w:rFonts w:ascii="Arial" w:hAnsi="Arial" w:cs="Arial"/>
          <w:sz w:val="20"/>
          <w:szCs w:val="20"/>
        </w:rPr>
        <w:t>= 17.08) and low reward (</w:t>
      </w:r>
      <w:r w:rsidRPr="00362EC0">
        <w:rPr>
          <w:rFonts w:ascii="Arial" w:hAnsi="Arial" w:cs="Arial"/>
          <w:i/>
          <w:iCs/>
          <w:sz w:val="20"/>
          <w:szCs w:val="20"/>
        </w:rPr>
        <w:t>M</w:t>
      </w:r>
      <w:r w:rsidRPr="00362EC0">
        <w:rPr>
          <w:rFonts w:ascii="Arial" w:hAnsi="Arial" w:cs="Arial"/>
          <w:sz w:val="20"/>
          <w:szCs w:val="20"/>
        </w:rPr>
        <w:t xml:space="preserve"> = 73.55, </w:t>
      </w:r>
      <w:r w:rsidRPr="00362EC0">
        <w:rPr>
          <w:rFonts w:ascii="Arial" w:hAnsi="Arial" w:cs="Arial"/>
          <w:i/>
          <w:iCs/>
          <w:sz w:val="20"/>
          <w:szCs w:val="20"/>
        </w:rPr>
        <w:t>SD</w:t>
      </w:r>
      <w:r w:rsidRPr="00362EC0">
        <w:rPr>
          <w:rFonts w:ascii="Arial" w:hAnsi="Arial" w:cs="Arial"/>
          <w:sz w:val="20"/>
          <w:szCs w:val="20"/>
        </w:rPr>
        <w:t xml:space="preserve"> = 15.70) trials (</w:t>
      </w:r>
      <w:r w:rsidRPr="00362EC0">
        <w:rPr>
          <w:rFonts w:ascii="Arial" w:hAnsi="Arial" w:cs="Arial"/>
          <w:i/>
          <w:iCs/>
          <w:sz w:val="20"/>
          <w:szCs w:val="20"/>
        </w:rPr>
        <w:t>t</w:t>
      </w:r>
      <w:r w:rsidRPr="00362EC0">
        <w:rPr>
          <w:rFonts w:ascii="Arial" w:hAnsi="Arial" w:cs="Arial"/>
          <w:sz w:val="20"/>
          <w:szCs w:val="20"/>
        </w:rPr>
        <w:t xml:space="preserve">(38) = 1.26, </w:t>
      </w:r>
      <w:r w:rsidRPr="00362EC0">
        <w:rPr>
          <w:rFonts w:ascii="Arial" w:hAnsi="Arial" w:cs="Arial"/>
          <w:i/>
          <w:iCs/>
          <w:sz w:val="20"/>
          <w:szCs w:val="20"/>
        </w:rPr>
        <w:t xml:space="preserve">p </w:t>
      </w:r>
      <w:r w:rsidRPr="00362EC0">
        <w:rPr>
          <w:rFonts w:ascii="Arial" w:hAnsi="Arial" w:cs="Arial"/>
          <w:sz w:val="20"/>
          <w:szCs w:val="20"/>
        </w:rPr>
        <w:t xml:space="preserve">= .22, </w:t>
      </w:r>
      <w:r w:rsidRPr="00362EC0">
        <w:rPr>
          <w:rFonts w:ascii="Arial" w:hAnsi="Arial" w:cs="Arial"/>
          <w:i/>
          <w:iCs/>
          <w:sz w:val="20"/>
          <w:szCs w:val="20"/>
        </w:rPr>
        <w:t>g</w:t>
      </w:r>
      <w:r w:rsidRPr="00362EC0">
        <w:rPr>
          <w:rFonts w:ascii="Arial" w:hAnsi="Arial" w:cs="Arial"/>
          <w:i/>
          <w:iCs/>
          <w:sz w:val="20"/>
          <w:szCs w:val="20"/>
          <w:vertAlign w:val="subscript"/>
        </w:rPr>
        <w:t>av</w:t>
      </w:r>
      <w:r w:rsidRPr="00362EC0">
        <w:rPr>
          <w:rFonts w:ascii="Arial" w:hAnsi="Arial" w:cs="Arial"/>
          <w:sz w:val="20"/>
          <w:szCs w:val="20"/>
        </w:rPr>
        <w:t xml:space="preserve"> = .19, CI = -.06 - .43). The effect of reward types on response accuracy to </w:t>
      </w:r>
      <w:r w:rsidR="0021030F" w:rsidRPr="00362EC0">
        <w:rPr>
          <w:rFonts w:ascii="Arial" w:hAnsi="Arial" w:cs="Arial"/>
          <w:sz w:val="20"/>
          <w:szCs w:val="20"/>
        </w:rPr>
        <w:t xml:space="preserve">Instructed </w:t>
      </w:r>
      <w:r w:rsidRPr="00362EC0">
        <w:rPr>
          <w:rFonts w:ascii="Arial" w:hAnsi="Arial" w:cs="Arial"/>
          <w:sz w:val="20"/>
          <w:szCs w:val="20"/>
        </w:rPr>
        <w:t xml:space="preserve">Stop trials was not significant </w:t>
      </w:r>
      <w:r w:rsidR="0021030F" w:rsidRPr="00362EC0">
        <w:rPr>
          <w:rFonts w:ascii="Arial" w:hAnsi="Arial" w:cs="Arial"/>
          <w:sz w:val="20"/>
          <w:szCs w:val="20"/>
        </w:rPr>
        <w:t>(</w:t>
      </w:r>
      <w:r w:rsidRPr="00362EC0">
        <w:rPr>
          <w:rFonts w:ascii="Arial" w:hAnsi="Arial" w:cs="Arial"/>
          <w:i/>
          <w:iCs/>
          <w:sz w:val="20"/>
          <w:szCs w:val="20"/>
        </w:rPr>
        <w:t>F</w:t>
      </w:r>
      <w:r w:rsidRPr="00362EC0">
        <w:rPr>
          <w:rFonts w:ascii="Arial" w:hAnsi="Arial" w:cs="Arial"/>
          <w:sz w:val="20"/>
          <w:szCs w:val="20"/>
        </w:rPr>
        <w:t xml:space="preserve">(2,76) = .18, </w:t>
      </w:r>
      <w:r w:rsidRPr="00362EC0">
        <w:rPr>
          <w:rFonts w:ascii="Arial" w:hAnsi="Arial" w:cs="Arial"/>
          <w:i/>
          <w:iCs/>
          <w:sz w:val="20"/>
          <w:szCs w:val="20"/>
        </w:rPr>
        <w:t>p</w:t>
      </w:r>
      <w:r w:rsidRPr="00362EC0">
        <w:rPr>
          <w:rFonts w:ascii="Arial" w:hAnsi="Arial" w:cs="Arial"/>
          <w:sz w:val="20"/>
          <w:szCs w:val="20"/>
        </w:rPr>
        <w:t xml:space="preserve"> = .84, η</w:t>
      </w:r>
      <w:r w:rsidRPr="00362EC0">
        <w:rPr>
          <w:rFonts w:ascii="Arial" w:hAnsi="Arial" w:cs="Arial"/>
          <w:sz w:val="20"/>
          <w:szCs w:val="20"/>
          <w:vertAlign w:val="superscript"/>
        </w:rPr>
        <w:t>2</w:t>
      </w:r>
      <w:r w:rsidRPr="00362EC0">
        <w:rPr>
          <w:rFonts w:ascii="Arial" w:hAnsi="Arial" w:cs="Arial"/>
          <w:sz w:val="20"/>
          <w:szCs w:val="20"/>
          <w:vertAlign w:val="subscript"/>
        </w:rPr>
        <w:t>p</w:t>
      </w:r>
      <w:r w:rsidRPr="00362EC0">
        <w:rPr>
          <w:rFonts w:ascii="Arial" w:hAnsi="Arial" w:cs="Arial"/>
          <w:sz w:val="20"/>
          <w:szCs w:val="20"/>
        </w:rPr>
        <w:t xml:space="preserve"> &lt; .01, CI = 0 - .04</w:t>
      </w:r>
      <w:r w:rsidR="0021030F" w:rsidRPr="00362EC0">
        <w:rPr>
          <w:rFonts w:ascii="Arial" w:hAnsi="Arial" w:cs="Arial"/>
          <w:sz w:val="20"/>
          <w:szCs w:val="20"/>
        </w:rPr>
        <w:t>)</w:t>
      </w:r>
      <w:r w:rsidRPr="00362EC0">
        <w:rPr>
          <w:rFonts w:ascii="Arial" w:hAnsi="Arial" w:cs="Arial"/>
          <w:sz w:val="20"/>
          <w:szCs w:val="20"/>
        </w:rPr>
        <w:t>.</w:t>
      </w:r>
    </w:p>
    <w:p w14:paraId="462B7BA2" w14:textId="446BBFBB" w:rsidR="00764FD9" w:rsidRPr="00362EC0" w:rsidRDefault="00BD7E75" w:rsidP="00AF6642">
      <w:pPr>
        <w:spacing w:after="0" w:line="360" w:lineRule="auto"/>
        <w:ind w:firstLine="720"/>
        <w:contextualSpacing/>
        <w:jc w:val="both"/>
        <w:rPr>
          <w:rFonts w:ascii="Arial" w:hAnsi="Arial" w:cs="Arial"/>
          <w:sz w:val="20"/>
          <w:szCs w:val="20"/>
        </w:rPr>
      </w:pPr>
      <w:r w:rsidRPr="00362EC0">
        <w:rPr>
          <w:rFonts w:ascii="Arial" w:hAnsi="Arial" w:cs="Arial"/>
          <w:sz w:val="20"/>
          <w:szCs w:val="20"/>
        </w:rPr>
        <w:t xml:space="preserve">Analysing the </w:t>
      </w:r>
      <w:r w:rsidR="0021030F" w:rsidRPr="00362EC0">
        <w:rPr>
          <w:rFonts w:ascii="Arial" w:hAnsi="Arial" w:cs="Arial"/>
          <w:sz w:val="20"/>
          <w:szCs w:val="20"/>
        </w:rPr>
        <w:t xml:space="preserve">Go </w:t>
      </w:r>
      <w:r w:rsidRPr="00362EC0">
        <w:rPr>
          <w:rFonts w:ascii="Arial" w:hAnsi="Arial" w:cs="Arial"/>
          <w:sz w:val="20"/>
          <w:szCs w:val="20"/>
        </w:rPr>
        <w:t xml:space="preserve">response times revealed no significant main effect of </w:t>
      </w:r>
      <w:r w:rsidR="0021030F" w:rsidRPr="00362EC0">
        <w:rPr>
          <w:rFonts w:ascii="Arial" w:hAnsi="Arial" w:cs="Arial"/>
          <w:sz w:val="20"/>
          <w:szCs w:val="20"/>
        </w:rPr>
        <w:t xml:space="preserve">Instructed </w:t>
      </w:r>
      <w:r w:rsidRPr="00362EC0">
        <w:rPr>
          <w:rFonts w:ascii="Arial" w:hAnsi="Arial" w:cs="Arial"/>
          <w:sz w:val="20"/>
          <w:szCs w:val="20"/>
        </w:rPr>
        <w:t xml:space="preserve">vs. </w:t>
      </w:r>
      <w:r w:rsidR="0021030F" w:rsidRPr="00362EC0">
        <w:rPr>
          <w:rFonts w:ascii="Arial" w:hAnsi="Arial" w:cs="Arial"/>
          <w:sz w:val="20"/>
          <w:szCs w:val="20"/>
        </w:rPr>
        <w:t>Choice</w:t>
      </w:r>
      <w:r w:rsidR="007D6824">
        <w:rPr>
          <w:rFonts w:ascii="Arial" w:hAnsi="Arial" w:cs="Arial"/>
          <w:sz w:val="20"/>
          <w:szCs w:val="20"/>
        </w:rPr>
        <w:t>,</w:t>
      </w:r>
      <w:r w:rsidR="0021030F" w:rsidRPr="00362EC0">
        <w:rPr>
          <w:rFonts w:ascii="Arial" w:hAnsi="Arial" w:cs="Arial"/>
          <w:sz w:val="20"/>
          <w:szCs w:val="20"/>
        </w:rPr>
        <w:t xml:space="preserve"> </w:t>
      </w:r>
      <w:r w:rsidRPr="00362EC0">
        <w:rPr>
          <w:rFonts w:ascii="Arial" w:hAnsi="Arial" w:cs="Arial"/>
          <w:i/>
          <w:iCs/>
          <w:sz w:val="20"/>
          <w:szCs w:val="20"/>
        </w:rPr>
        <w:t>F</w:t>
      </w:r>
      <w:r w:rsidRPr="00362EC0">
        <w:rPr>
          <w:rFonts w:ascii="Arial" w:hAnsi="Arial" w:cs="Arial"/>
          <w:sz w:val="20"/>
          <w:szCs w:val="20"/>
        </w:rPr>
        <w:t>(</w:t>
      </w:r>
      <w:r w:rsidR="00252AF2" w:rsidRPr="00362EC0">
        <w:rPr>
          <w:rFonts w:ascii="Arial" w:hAnsi="Arial" w:cs="Arial"/>
          <w:sz w:val="20"/>
          <w:szCs w:val="20"/>
        </w:rPr>
        <w:t>1,38</w:t>
      </w:r>
      <w:r w:rsidRPr="00362EC0">
        <w:rPr>
          <w:rFonts w:ascii="Arial" w:hAnsi="Arial" w:cs="Arial"/>
          <w:sz w:val="20"/>
          <w:szCs w:val="20"/>
        </w:rPr>
        <w:t xml:space="preserve">) = .92, </w:t>
      </w:r>
      <w:r w:rsidRPr="00362EC0">
        <w:rPr>
          <w:rFonts w:ascii="Arial" w:hAnsi="Arial" w:cs="Arial"/>
          <w:i/>
          <w:iCs/>
          <w:sz w:val="20"/>
          <w:szCs w:val="20"/>
        </w:rPr>
        <w:t>p</w:t>
      </w:r>
      <w:r w:rsidRPr="00362EC0">
        <w:rPr>
          <w:rFonts w:ascii="Arial" w:hAnsi="Arial" w:cs="Arial"/>
          <w:sz w:val="20"/>
          <w:szCs w:val="20"/>
        </w:rPr>
        <w:t xml:space="preserve"> = .35, </w:t>
      </w:r>
      <w:r w:rsidR="002B2D0D" w:rsidRPr="00362EC0">
        <w:rPr>
          <w:rFonts w:ascii="Arial" w:hAnsi="Arial" w:cs="Arial"/>
          <w:sz w:val="20"/>
          <w:szCs w:val="20"/>
        </w:rPr>
        <w:t>η</w:t>
      </w:r>
      <w:r w:rsidR="002B2D0D" w:rsidRPr="00362EC0">
        <w:rPr>
          <w:rFonts w:ascii="Arial" w:hAnsi="Arial" w:cs="Arial"/>
          <w:sz w:val="20"/>
          <w:szCs w:val="20"/>
          <w:vertAlign w:val="superscript"/>
        </w:rPr>
        <w:t>2</w:t>
      </w:r>
      <w:r w:rsidR="002B2D0D" w:rsidRPr="00362EC0">
        <w:rPr>
          <w:rFonts w:ascii="Arial" w:hAnsi="Arial" w:cs="Arial"/>
          <w:sz w:val="20"/>
          <w:szCs w:val="20"/>
          <w:vertAlign w:val="subscript"/>
        </w:rPr>
        <w:t>p</w:t>
      </w:r>
      <w:r w:rsidR="002B2D0D" w:rsidRPr="00362EC0">
        <w:rPr>
          <w:rFonts w:ascii="Arial" w:hAnsi="Arial" w:cs="Arial"/>
          <w:sz w:val="20"/>
          <w:szCs w:val="20"/>
        </w:rPr>
        <w:t xml:space="preserve"> = .02, CI = 0 - .15, </w:t>
      </w:r>
      <w:r w:rsidR="006A318B" w:rsidRPr="00362EC0">
        <w:rPr>
          <w:rFonts w:ascii="Arial" w:hAnsi="Arial" w:cs="Arial"/>
          <w:sz w:val="20"/>
          <w:szCs w:val="20"/>
        </w:rPr>
        <w:t>although</w:t>
      </w:r>
      <w:r w:rsidRPr="00362EC0">
        <w:rPr>
          <w:rFonts w:ascii="Arial" w:hAnsi="Arial" w:cs="Arial"/>
          <w:sz w:val="20"/>
          <w:szCs w:val="20"/>
        </w:rPr>
        <w:t xml:space="preserve"> a significant main effect of reward type</w:t>
      </w:r>
      <w:r w:rsidR="006A318B" w:rsidRPr="00362EC0">
        <w:rPr>
          <w:rFonts w:ascii="Arial" w:hAnsi="Arial" w:cs="Arial"/>
          <w:sz w:val="20"/>
          <w:szCs w:val="20"/>
        </w:rPr>
        <w:t xml:space="preserve"> was observed</w:t>
      </w:r>
      <w:r w:rsidR="007D6824">
        <w:rPr>
          <w:rFonts w:ascii="Arial" w:hAnsi="Arial" w:cs="Arial"/>
          <w:sz w:val="20"/>
          <w:szCs w:val="20"/>
        </w:rPr>
        <w:t>,</w:t>
      </w:r>
      <w:r w:rsidRPr="00362EC0">
        <w:rPr>
          <w:rFonts w:ascii="Arial" w:hAnsi="Arial" w:cs="Arial"/>
          <w:sz w:val="20"/>
          <w:szCs w:val="20"/>
        </w:rPr>
        <w:t xml:space="preserve"> </w:t>
      </w:r>
      <w:r w:rsidRPr="00362EC0">
        <w:rPr>
          <w:rFonts w:ascii="Arial" w:hAnsi="Arial" w:cs="Arial"/>
          <w:i/>
          <w:iCs/>
          <w:sz w:val="20"/>
          <w:szCs w:val="20"/>
        </w:rPr>
        <w:t>F</w:t>
      </w:r>
      <w:r w:rsidRPr="00362EC0">
        <w:rPr>
          <w:rFonts w:ascii="Arial" w:hAnsi="Arial" w:cs="Arial"/>
          <w:sz w:val="20"/>
          <w:szCs w:val="20"/>
        </w:rPr>
        <w:t xml:space="preserve">(2,76) = 5.67, </w:t>
      </w:r>
      <w:r w:rsidRPr="00362EC0">
        <w:rPr>
          <w:rFonts w:ascii="Arial" w:hAnsi="Arial" w:cs="Arial"/>
          <w:i/>
          <w:iCs/>
          <w:sz w:val="20"/>
          <w:szCs w:val="20"/>
        </w:rPr>
        <w:t>p</w:t>
      </w:r>
      <w:r w:rsidRPr="00362EC0">
        <w:rPr>
          <w:rFonts w:ascii="Arial" w:hAnsi="Arial" w:cs="Arial"/>
          <w:sz w:val="20"/>
          <w:szCs w:val="20"/>
        </w:rPr>
        <w:t xml:space="preserve"> &lt; .01</w:t>
      </w:r>
      <w:r w:rsidR="002B2D0D" w:rsidRPr="00362EC0">
        <w:rPr>
          <w:rFonts w:ascii="Arial" w:hAnsi="Arial" w:cs="Arial"/>
          <w:sz w:val="20"/>
          <w:szCs w:val="20"/>
        </w:rPr>
        <w:t xml:space="preserve">, </w:t>
      </w:r>
      <w:bookmarkStart w:id="12" w:name="_Hlk46588388"/>
      <w:r w:rsidR="002B2D0D" w:rsidRPr="00362EC0">
        <w:rPr>
          <w:rFonts w:ascii="Arial" w:hAnsi="Arial" w:cs="Arial"/>
          <w:sz w:val="20"/>
          <w:szCs w:val="20"/>
        </w:rPr>
        <w:t>η</w:t>
      </w:r>
      <w:r w:rsidR="002B2D0D" w:rsidRPr="00362EC0">
        <w:rPr>
          <w:rFonts w:ascii="Arial" w:hAnsi="Arial" w:cs="Arial"/>
          <w:sz w:val="20"/>
          <w:szCs w:val="20"/>
          <w:vertAlign w:val="superscript"/>
        </w:rPr>
        <w:t>2</w:t>
      </w:r>
      <w:r w:rsidR="002B2D0D" w:rsidRPr="00362EC0">
        <w:rPr>
          <w:rFonts w:ascii="Arial" w:hAnsi="Arial" w:cs="Arial"/>
          <w:sz w:val="20"/>
          <w:szCs w:val="20"/>
          <w:vertAlign w:val="subscript"/>
        </w:rPr>
        <w:t>p</w:t>
      </w:r>
      <w:r w:rsidR="002B2D0D" w:rsidRPr="00362EC0">
        <w:rPr>
          <w:rFonts w:ascii="Arial" w:hAnsi="Arial" w:cs="Arial"/>
          <w:sz w:val="20"/>
          <w:szCs w:val="20"/>
        </w:rPr>
        <w:t xml:space="preserve"> = .13, CI = .02 - .24</w:t>
      </w:r>
      <w:bookmarkEnd w:id="12"/>
      <w:r w:rsidR="006A318B" w:rsidRPr="00362EC0">
        <w:rPr>
          <w:rFonts w:ascii="Arial" w:hAnsi="Arial" w:cs="Arial"/>
          <w:sz w:val="20"/>
          <w:szCs w:val="20"/>
        </w:rPr>
        <w:t>.</w:t>
      </w:r>
      <w:r w:rsidRPr="00362EC0">
        <w:rPr>
          <w:rFonts w:ascii="Arial" w:hAnsi="Arial" w:cs="Arial"/>
          <w:sz w:val="20"/>
          <w:szCs w:val="20"/>
        </w:rPr>
        <w:t xml:space="preserve"> </w:t>
      </w:r>
      <w:r w:rsidR="006A318B" w:rsidRPr="00362EC0">
        <w:rPr>
          <w:rFonts w:ascii="Arial" w:hAnsi="Arial" w:cs="Arial"/>
          <w:sz w:val="20"/>
          <w:szCs w:val="20"/>
        </w:rPr>
        <w:t>T</w:t>
      </w:r>
      <w:r w:rsidRPr="00362EC0">
        <w:rPr>
          <w:rFonts w:ascii="Arial" w:hAnsi="Arial" w:cs="Arial"/>
          <w:sz w:val="20"/>
          <w:szCs w:val="20"/>
        </w:rPr>
        <w:t>he</w:t>
      </w:r>
      <w:r w:rsidR="006A318B" w:rsidRPr="00362EC0">
        <w:rPr>
          <w:rFonts w:ascii="Arial" w:hAnsi="Arial" w:cs="Arial"/>
          <w:sz w:val="20"/>
          <w:szCs w:val="20"/>
        </w:rPr>
        <w:t>re was no significant</w:t>
      </w:r>
      <w:r w:rsidRPr="00362EC0">
        <w:rPr>
          <w:rFonts w:ascii="Arial" w:hAnsi="Arial" w:cs="Arial"/>
          <w:sz w:val="20"/>
          <w:szCs w:val="20"/>
        </w:rPr>
        <w:t xml:space="preserve"> interaction between </w:t>
      </w:r>
      <w:r w:rsidR="0021030F" w:rsidRPr="00362EC0">
        <w:rPr>
          <w:rFonts w:ascii="Arial" w:hAnsi="Arial" w:cs="Arial"/>
          <w:sz w:val="20"/>
          <w:szCs w:val="20"/>
        </w:rPr>
        <w:t>I</w:t>
      </w:r>
      <w:r w:rsidRPr="00362EC0">
        <w:rPr>
          <w:rFonts w:ascii="Arial" w:hAnsi="Arial" w:cs="Arial"/>
          <w:sz w:val="20"/>
          <w:szCs w:val="20"/>
        </w:rPr>
        <w:t xml:space="preserve">nstructed vs. </w:t>
      </w:r>
      <w:r w:rsidR="0021030F" w:rsidRPr="00362EC0">
        <w:rPr>
          <w:rFonts w:ascii="Arial" w:hAnsi="Arial" w:cs="Arial"/>
          <w:sz w:val="20"/>
          <w:szCs w:val="20"/>
        </w:rPr>
        <w:t xml:space="preserve">Choice </w:t>
      </w:r>
      <w:r w:rsidRPr="00362EC0">
        <w:rPr>
          <w:rFonts w:ascii="Arial" w:hAnsi="Arial" w:cs="Arial"/>
          <w:sz w:val="20"/>
          <w:szCs w:val="20"/>
        </w:rPr>
        <w:t xml:space="preserve">and reward </w:t>
      </w:r>
      <w:r w:rsidR="001C0798" w:rsidRPr="00362EC0">
        <w:rPr>
          <w:rFonts w:ascii="Arial" w:hAnsi="Arial" w:cs="Arial"/>
          <w:sz w:val="20"/>
          <w:szCs w:val="20"/>
        </w:rPr>
        <w:t xml:space="preserve">type </w:t>
      </w:r>
      <w:r w:rsidR="007D6824">
        <w:rPr>
          <w:rFonts w:ascii="Arial" w:hAnsi="Arial" w:cs="Arial"/>
          <w:sz w:val="20"/>
          <w:szCs w:val="20"/>
        </w:rPr>
        <w:t>(</w:t>
      </w:r>
      <w:r w:rsidR="001C0798" w:rsidRPr="00362EC0">
        <w:rPr>
          <w:rFonts w:ascii="Arial" w:hAnsi="Arial" w:cs="Arial"/>
          <w:sz w:val="20"/>
          <w:szCs w:val="20"/>
        </w:rPr>
        <w:t>F</w:t>
      </w:r>
      <w:r w:rsidRPr="00362EC0">
        <w:rPr>
          <w:rFonts w:ascii="Arial" w:hAnsi="Arial" w:cs="Arial"/>
          <w:sz w:val="20"/>
          <w:szCs w:val="20"/>
        </w:rPr>
        <w:t xml:space="preserve">(2,76) = .84, </w:t>
      </w:r>
      <w:r w:rsidRPr="00362EC0">
        <w:rPr>
          <w:rFonts w:ascii="Arial" w:hAnsi="Arial" w:cs="Arial"/>
          <w:i/>
          <w:iCs/>
          <w:sz w:val="20"/>
          <w:szCs w:val="20"/>
        </w:rPr>
        <w:t>p</w:t>
      </w:r>
      <w:r w:rsidRPr="00362EC0">
        <w:rPr>
          <w:rFonts w:ascii="Arial" w:hAnsi="Arial" w:cs="Arial"/>
          <w:sz w:val="20"/>
          <w:szCs w:val="20"/>
        </w:rPr>
        <w:t xml:space="preserve"> = .44</w:t>
      </w:r>
      <w:r w:rsidR="002B2D0D" w:rsidRPr="00362EC0">
        <w:rPr>
          <w:rFonts w:ascii="Arial" w:hAnsi="Arial" w:cs="Arial"/>
          <w:sz w:val="20"/>
          <w:szCs w:val="20"/>
        </w:rPr>
        <w:t>, η</w:t>
      </w:r>
      <w:r w:rsidR="002B2D0D" w:rsidRPr="00362EC0">
        <w:rPr>
          <w:rFonts w:ascii="Arial" w:hAnsi="Arial" w:cs="Arial"/>
          <w:sz w:val="20"/>
          <w:szCs w:val="20"/>
          <w:vertAlign w:val="superscript"/>
        </w:rPr>
        <w:t>2</w:t>
      </w:r>
      <w:r w:rsidR="002B2D0D" w:rsidRPr="00362EC0">
        <w:rPr>
          <w:rFonts w:ascii="Arial" w:hAnsi="Arial" w:cs="Arial"/>
          <w:sz w:val="20"/>
          <w:szCs w:val="20"/>
          <w:vertAlign w:val="subscript"/>
        </w:rPr>
        <w:t>p</w:t>
      </w:r>
      <w:r w:rsidR="002B2D0D" w:rsidRPr="00362EC0">
        <w:rPr>
          <w:rFonts w:ascii="Arial" w:hAnsi="Arial" w:cs="Arial"/>
          <w:sz w:val="20"/>
          <w:szCs w:val="20"/>
        </w:rPr>
        <w:t xml:space="preserve"> = .02, CI = 0 - .08</w:t>
      </w:r>
      <w:r w:rsidR="007D6824">
        <w:rPr>
          <w:rFonts w:ascii="Arial" w:hAnsi="Arial" w:cs="Arial"/>
          <w:sz w:val="20"/>
          <w:szCs w:val="20"/>
        </w:rPr>
        <w:t>)</w:t>
      </w:r>
      <w:r w:rsidR="002B2D0D" w:rsidRPr="00362EC0">
        <w:rPr>
          <w:rFonts w:ascii="Arial" w:hAnsi="Arial" w:cs="Arial"/>
          <w:sz w:val="20"/>
          <w:szCs w:val="20"/>
        </w:rPr>
        <w:t>.</w:t>
      </w:r>
      <w:r w:rsidR="00095D49" w:rsidRPr="00362EC0">
        <w:rPr>
          <w:rFonts w:ascii="Arial" w:hAnsi="Arial" w:cs="Arial"/>
          <w:sz w:val="20"/>
          <w:szCs w:val="20"/>
        </w:rPr>
        <w:t xml:space="preserve"> Follow-up paired </w:t>
      </w:r>
      <w:r w:rsidR="00095D49" w:rsidRPr="00362EC0">
        <w:rPr>
          <w:rFonts w:ascii="Arial" w:hAnsi="Arial" w:cs="Arial"/>
          <w:i/>
          <w:iCs/>
          <w:sz w:val="20"/>
          <w:szCs w:val="20"/>
        </w:rPr>
        <w:t>t-</w:t>
      </w:r>
      <w:r w:rsidR="00095D49" w:rsidRPr="00362EC0">
        <w:rPr>
          <w:rFonts w:ascii="Arial" w:hAnsi="Arial" w:cs="Arial"/>
          <w:sz w:val="20"/>
          <w:szCs w:val="20"/>
        </w:rPr>
        <w:t xml:space="preserve">tests between the reward types of </w:t>
      </w:r>
      <w:r w:rsidR="0086374C" w:rsidRPr="00362EC0">
        <w:rPr>
          <w:rFonts w:ascii="Arial" w:hAnsi="Arial" w:cs="Arial"/>
          <w:sz w:val="20"/>
          <w:szCs w:val="20"/>
        </w:rPr>
        <w:t>Go trials</w:t>
      </w:r>
      <w:r w:rsidR="00095D49" w:rsidRPr="00362EC0">
        <w:rPr>
          <w:rFonts w:ascii="Arial" w:hAnsi="Arial" w:cs="Arial"/>
          <w:sz w:val="20"/>
          <w:szCs w:val="20"/>
        </w:rPr>
        <w:t xml:space="preserve"> indicate</w:t>
      </w:r>
      <w:r w:rsidR="006A318B" w:rsidRPr="00362EC0">
        <w:rPr>
          <w:rFonts w:ascii="Arial" w:hAnsi="Arial" w:cs="Arial"/>
          <w:sz w:val="20"/>
          <w:szCs w:val="20"/>
        </w:rPr>
        <w:t>d</w:t>
      </w:r>
      <w:r w:rsidR="00095D49" w:rsidRPr="00362EC0">
        <w:rPr>
          <w:rFonts w:ascii="Arial" w:hAnsi="Arial" w:cs="Arial"/>
          <w:sz w:val="20"/>
          <w:szCs w:val="20"/>
        </w:rPr>
        <w:t xml:space="preserve"> significantly faster response times during high reward (</w:t>
      </w:r>
      <w:r w:rsidR="00095D49" w:rsidRPr="00362EC0">
        <w:rPr>
          <w:rFonts w:ascii="Arial" w:hAnsi="Arial" w:cs="Arial"/>
          <w:i/>
          <w:iCs/>
          <w:sz w:val="20"/>
          <w:szCs w:val="20"/>
        </w:rPr>
        <w:t>M</w:t>
      </w:r>
      <w:r w:rsidR="00095D49" w:rsidRPr="00362EC0">
        <w:rPr>
          <w:rFonts w:ascii="Arial" w:hAnsi="Arial" w:cs="Arial"/>
          <w:sz w:val="20"/>
          <w:szCs w:val="20"/>
        </w:rPr>
        <w:t xml:space="preserve"> = 732.60, </w:t>
      </w:r>
      <w:r w:rsidR="00095D49" w:rsidRPr="00362EC0">
        <w:rPr>
          <w:rFonts w:ascii="Arial" w:hAnsi="Arial" w:cs="Arial"/>
          <w:i/>
          <w:iCs/>
          <w:sz w:val="20"/>
          <w:szCs w:val="20"/>
        </w:rPr>
        <w:t>SD</w:t>
      </w:r>
      <w:r w:rsidR="00095D49" w:rsidRPr="00362EC0">
        <w:rPr>
          <w:rFonts w:ascii="Arial" w:hAnsi="Arial" w:cs="Arial"/>
          <w:sz w:val="20"/>
          <w:szCs w:val="20"/>
        </w:rPr>
        <w:t xml:space="preserve"> = 213.98) compared to low </w:t>
      </w:r>
      <w:r w:rsidR="00371921" w:rsidRPr="00362EC0">
        <w:rPr>
          <w:rFonts w:ascii="Arial" w:hAnsi="Arial" w:cs="Arial"/>
          <w:sz w:val="20"/>
          <w:szCs w:val="20"/>
        </w:rPr>
        <w:t>(</w:t>
      </w:r>
      <w:r w:rsidR="00371921" w:rsidRPr="00362EC0">
        <w:rPr>
          <w:rFonts w:ascii="Arial" w:hAnsi="Arial" w:cs="Arial"/>
          <w:i/>
          <w:iCs/>
          <w:sz w:val="20"/>
          <w:szCs w:val="20"/>
        </w:rPr>
        <w:t>M</w:t>
      </w:r>
      <w:r w:rsidR="00371921" w:rsidRPr="00362EC0">
        <w:rPr>
          <w:rFonts w:ascii="Arial" w:hAnsi="Arial" w:cs="Arial"/>
          <w:sz w:val="20"/>
          <w:szCs w:val="20"/>
        </w:rPr>
        <w:t xml:space="preserve"> = 756.70, </w:t>
      </w:r>
      <w:r w:rsidR="00371921" w:rsidRPr="00362EC0">
        <w:rPr>
          <w:rFonts w:ascii="Arial" w:hAnsi="Arial" w:cs="Arial"/>
          <w:i/>
          <w:iCs/>
          <w:sz w:val="20"/>
          <w:szCs w:val="20"/>
        </w:rPr>
        <w:t>SD</w:t>
      </w:r>
      <w:r w:rsidR="00371921" w:rsidRPr="00362EC0">
        <w:rPr>
          <w:rFonts w:ascii="Arial" w:hAnsi="Arial" w:cs="Arial"/>
          <w:sz w:val="20"/>
          <w:szCs w:val="20"/>
        </w:rPr>
        <w:t xml:space="preserve"> = 228.08) </w:t>
      </w:r>
      <w:r w:rsidR="00095D49" w:rsidRPr="00362EC0">
        <w:rPr>
          <w:rFonts w:ascii="Arial" w:hAnsi="Arial" w:cs="Arial"/>
          <w:sz w:val="20"/>
          <w:szCs w:val="20"/>
        </w:rPr>
        <w:t xml:space="preserve">reward </w:t>
      </w:r>
      <w:r w:rsidR="0021030F" w:rsidRPr="00362EC0">
        <w:rPr>
          <w:rFonts w:ascii="Arial" w:hAnsi="Arial" w:cs="Arial"/>
          <w:sz w:val="20"/>
          <w:szCs w:val="20"/>
        </w:rPr>
        <w:t>(</w:t>
      </w:r>
      <w:r w:rsidR="00095D49" w:rsidRPr="00362EC0">
        <w:rPr>
          <w:rFonts w:ascii="Arial" w:hAnsi="Arial" w:cs="Arial"/>
          <w:i/>
          <w:iCs/>
          <w:sz w:val="20"/>
          <w:szCs w:val="20"/>
        </w:rPr>
        <w:t>t</w:t>
      </w:r>
      <w:r w:rsidR="00095D49" w:rsidRPr="00362EC0">
        <w:rPr>
          <w:rFonts w:ascii="Arial" w:hAnsi="Arial" w:cs="Arial"/>
          <w:sz w:val="20"/>
          <w:szCs w:val="20"/>
        </w:rPr>
        <w:t xml:space="preserve">(38) = 3.11, </w:t>
      </w:r>
      <w:r w:rsidR="00095D49" w:rsidRPr="00362EC0">
        <w:rPr>
          <w:rFonts w:ascii="Arial" w:hAnsi="Arial" w:cs="Arial"/>
          <w:i/>
          <w:iCs/>
          <w:sz w:val="20"/>
          <w:szCs w:val="20"/>
        </w:rPr>
        <w:t>p</w:t>
      </w:r>
      <w:r w:rsidR="00095D49" w:rsidRPr="00362EC0">
        <w:rPr>
          <w:rFonts w:ascii="Arial" w:hAnsi="Arial" w:cs="Arial"/>
          <w:i/>
          <w:iCs/>
          <w:sz w:val="20"/>
          <w:szCs w:val="20"/>
          <w:vertAlign w:val="subscript"/>
        </w:rPr>
        <w:t>c</w:t>
      </w:r>
      <w:r w:rsidR="00095D49" w:rsidRPr="00362EC0">
        <w:rPr>
          <w:rFonts w:ascii="Arial" w:hAnsi="Arial" w:cs="Arial"/>
          <w:sz w:val="20"/>
          <w:szCs w:val="20"/>
          <w:vertAlign w:val="subscript"/>
        </w:rPr>
        <w:t xml:space="preserve"> </w:t>
      </w:r>
      <w:r w:rsidR="00095D49" w:rsidRPr="00362EC0">
        <w:rPr>
          <w:rFonts w:ascii="Arial" w:hAnsi="Arial" w:cs="Arial"/>
          <w:sz w:val="20"/>
          <w:szCs w:val="20"/>
        </w:rPr>
        <w:t xml:space="preserve">&lt; .05, </w:t>
      </w:r>
      <w:r w:rsidR="002B2D0D" w:rsidRPr="00362EC0">
        <w:rPr>
          <w:rFonts w:ascii="Arial" w:hAnsi="Arial" w:cs="Arial"/>
          <w:i/>
          <w:sz w:val="20"/>
          <w:szCs w:val="20"/>
        </w:rPr>
        <w:t>g</w:t>
      </w:r>
      <w:r w:rsidR="002B2D0D" w:rsidRPr="00362EC0">
        <w:rPr>
          <w:rFonts w:ascii="Arial" w:hAnsi="Arial" w:cs="Arial"/>
          <w:i/>
          <w:sz w:val="20"/>
          <w:szCs w:val="20"/>
          <w:vertAlign w:val="subscript"/>
        </w:rPr>
        <w:t>av</w:t>
      </w:r>
      <w:r w:rsidR="002B2D0D" w:rsidRPr="00362EC0">
        <w:rPr>
          <w:rFonts w:ascii="Arial" w:hAnsi="Arial" w:cs="Arial"/>
          <w:sz w:val="20"/>
          <w:szCs w:val="20"/>
        </w:rPr>
        <w:t xml:space="preserve"> = .10, CI = .04 - .17</w:t>
      </w:r>
      <w:r w:rsidR="0021030F" w:rsidRPr="00362EC0">
        <w:rPr>
          <w:rFonts w:ascii="Arial" w:hAnsi="Arial" w:cs="Arial"/>
          <w:sz w:val="20"/>
          <w:szCs w:val="20"/>
        </w:rPr>
        <w:t>)</w:t>
      </w:r>
      <w:r w:rsidR="002B2D0D" w:rsidRPr="00362EC0">
        <w:rPr>
          <w:rFonts w:ascii="Arial" w:hAnsi="Arial" w:cs="Arial"/>
          <w:sz w:val="20"/>
          <w:szCs w:val="20"/>
        </w:rPr>
        <w:t xml:space="preserve">, </w:t>
      </w:r>
      <w:r w:rsidR="00095D49" w:rsidRPr="00362EC0">
        <w:rPr>
          <w:rFonts w:ascii="Arial" w:hAnsi="Arial" w:cs="Arial"/>
          <w:sz w:val="20"/>
          <w:szCs w:val="20"/>
        </w:rPr>
        <w:t>while the difference between high and no reward (</w:t>
      </w:r>
      <w:r w:rsidR="00095D49" w:rsidRPr="00362EC0">
        <w:rPr>
          <w:rFonts w:ascii="Arial" w:hAnsi="Arial" w:cs="Arial"/>
          <w:i/>
          <w:iCs/>
          <w:sz w:val="20"/>
          <w:szCs w:val="20"/>
        </w:rPr>
        <w:t>M</w:t>
      </w:r>
      <w:r w:rsidR="00095D49" w:rsidRPr="00362EC0">
        <w:rPr>
          <w:rFonts w:ascii="Arial" w:hAnsi="Arial" w:cs="Arial"/>
          <w:sz w:val="20"/>
          <w:szCs w:val="20"/>
        </w:rPr>
        <w:t xml:space="preserve"> = 756.86, </w:t>
      </w:r>
      <w:r w:rsidR="00095D49" w:rsidRPr="00362EC0">
        <w:rPr>
          <w:rFonts w:ascii="Arial" w:hAnsi="Arial" w:cs="Arial"/>
          <w:i/>
          <w:iCs/>
          <w:sz w:val="20"/>
          <w:szCs w:val="20"/>
        </w:rPr>
        <w:t>SD</w:t>
      </w:r>
      <w:r w:rsidR="00095D49" w:rsidRPr="00362EC0">
        <w:rPr>
          <w:rFonts w:ascii="Arial" w:hAnsi="Arial" w:cs="Arial"/>
          <w:sz w:val="20"/>
          <w:szCs w:val="20"/>
        </w:rPr>
        <w:t xml:space="preserve"> = 213.35) trials did not remain significant following Bonferroni correction</w:t>
      </w:r>
      <w:r w:rsidR="00A14DB5" w:rsidRPr="00362EC0">
        <w:rPr>
          <w:rFonts w:ascii="Arial" w:hAnsi="Arial" w:cs="Arial"/>
          <w:sz w:val="20"/>
          <w:szCs w:val="20"/>
        </w:rPr>
        <w:t xml:space="preserve"> </w:t>
      </w:r>
      <w:r w:rsidR="0021030F" w:rsidRPr="00362EC0">
        <w:rPr>
          <w:rFonts w:ascii="Arial" w:hAnsi="Arial" w:cs="Arial"/>
          <w:sz w:val="20"/>
          <w:szCs w:val="20"/>
        </w:rPr>
        <w:t>(</w:t>
      </w:r>
      <w:r w:rsidR="00A14DB5" w:rsidRPr="00362EC0">
        <w:rPr>
          <w:rFonts w:ascii="Arial" w:hAnsi="Arial" w:cs="Arial"/>
          <w:i/>
          <w:iCs/>
          <w:sz w:val="20"/>
          <w:szCs w:val="20"/>
        </w:rPr>
        <w:t>t</w:t>
      </w:r>
      <w:r w:rsidR="00A14DB5" w:rsidRPr="00362EC0">
        <w:rPr>
          <w:rFonts w:ascii="Arial" w:hAnsi="Arial" w:cs="Arial"/>
          <w:sz w:val="20"/>
          <w:szCs w:val="20"/>
        </w:rPr>
        <w:t xml:space="preserve">(38) = 2.50, </w:t>
      </w:r>
      <w:r w:rsidR="00A14DB5" w:rsidRPr="00362EC0">
        <w:rPr>
          <w:rFonts w:ascii="Arial" w:hAnsi="Arial" w:cs="Arial"/>
          <w:i/>
          <w:iCs/>
          <w:sz w:val="20"/>
          <w:szCs w:val="20"/>
        </w:rPr>
        <w:t>p</w:t>
      </w:r>
      <w:r w:rsidR="00A14DB5" w:rsidRPr="00362EC0">
        <w:rPr>
          <w:rFonts w:ascii="Arial" w:hAnsi="Arial" w:cs="Arial"/>
          <w:i/>
          <w:iCs/>
          <w:sz w:val="20"/>
          <w:szCs w:val="20"/>
          <w:vertAlign w:val="subscript"/>
        </w:rPr>
        <w:t>c</w:t>
      </w:r>
      <w:r w:rsidR="00A14DB5" w:rsidRPr="00362EC0">
        <w:rPr>
          <w:rFonts w:ascii="Arial" w:hAnsi="Arial" w:cs="Arial"/>
          <w:sz w:val="20"/>
          <w:szCs w:val="20"/>
          <w:vertAlign w:val="subscript"/>
        </w:rPr>
        <w:t xml:space="preserve"> </w:t>
      </w:r>
      <w:r w:rsidR="00A14DB5" w:rsidRPr="00362EC0">
        <w:rPr>
          <w:rFonts w:ascii="Arial" w:hAnsi="Arial" w:cs="Arial"/>
          <w:sz w:val="20"/>
          <w:szCs w:val="20"/>
        </w:rPr>
        <w:t>= .05</w:t>
      </w:r>
      <w:r w:rsidR="002B2D0D" w:rsidRPr="00362EC0">
        <w:rPr>
          <w:rFonts w:ascii="Arial" w:hAnsi="Arial" w:cs="Arial"/>
          <w:sz w:val="20"/>
          <w:szCs w:val="20"/>
        </w:rPr>
        <w:t xml:space="preserve">, </w:t>
      </w:r>
      <w:r w:rsidR="002B2D0D" w:rsidRPr="00362EC0">
        <w:rPr>
          <w:rFonts w:ascii="Arial" w:hAnsi="Arial" w:cs="Arial"/>
          <w:i/>
          <w:iCs/>
          <w:sz w:val="20"/>
          <w:szCs w:val="20"/>
        </w:rPr>
        <w:t>g</w:t>
      </w:r>
      <w:r w:rsidR="002B2D0D" w:rsidRPr="00362EC0">
        <w:rPr>
          <w:rFonts w:ascii="Arial" w:hAnsi="Arial" w:cs="Arial"/>
          <w:i/>
          <w:iCs/>
          <w:sz w:val="20"/>
          <w:szCs w:val="20"/>
          <w:vertAlign w:val="subscript"/>
        </w:rPr>
        <w:t>av</w:t>
      </w:r>
      <w:r w:rsidR="002B2D0D" w:rsidRPr="00362EC0">
        <w:rPr>
          <w:rFonts w:ascii="Arial" w:hAnsi="Arial" w:cs="Arial"/>
          <w:sz w:val="20"/>
          <w:szCs w:val="20"/>
        </w:rPr>
        <w:t xml:space="preserve"> = .11, CI = .02 - .2</w:t>
      </w:r>
      <w:r w:rsidR="00481482" w:rsidRPr="00362EC0">
        <w:rPr>
          <w:rFonts w:ascii="Arial" w:hAnsi="Arial" w:cs="Arial"/>
          <w:sz w:val="20"/>
          <w:szCs w:val="20"/>
        </w:rPr>
        <w:t>0</w:t>
      </w:r>
      <w:r w:rsidR="0021030F" w:rsidRPr="00362EC0">
        <w:rPr>
          <w:rFonts w:ascii="Arial" w:hAnsi="Arial" w:cs="Arial"/>
          <w:sz w:val="20"/>
          <w:szCs w:val="20"/>
        </w:rPr>
        <w:t>)</w:t>
      </w:r>
      <w:r w:rsidR="002B2D0D" w:rsidRPr="00362EC0">
        <w:rPr>
          <w:rFonts w:ascii="Arial" w:hAnsi="Arial" w:cs="Arial"/>
          <w:sz w:val="20"/>
          <w:szCs w:val="20"/>
        </w:rPr>
        <w:t>.</w:t>
      </w:r>
      <w:r w:rsidR="00095D49" w:rsidRPr="00362EC0">
        <w:rPr>
          <w:rFonts w:ascii="Arial" w:hAnsi="Arial" w:cs="Arial"/>
          <w:sz w:val="20"/>
          <w:szCs w:val="20"/>
        </w:rPr>
        <w:t xml:space="preserve"> There was no significant difference between no and low reward trials</w:t>
      </w:r>
      <w:r w:rsidR="006A318B" w:rsidRPr="00362EC0">
        <w:rPr>
          <w:rFonts w:ascii="Arial" w:hAnsi="Arial" w:cs="Arial"/>
          <w:sz w:val="20"/>
          <w:szCs w:val="20"/>
        </w:rPr>
        <w:t>,</w:t>
      </w:r>
      <w:r w:rsidR="00095D49" w:rsidRPr="00362EC0">
        <w:rPr>
          <w:rFonts w:ascii="Arial" w:hAnsi="Arial" w:cs="Arial"/>
          <w:sz w:val="20"/>
          <w:szCs w:val="20"/>
        </w:rPr>
        <w:t xml:space="preserve"> on response times to </w:t>
      </w:r>
      <w:r w:rsidR="00252AF2" w:rsidRPr="00362EC0">
        <w:rPr>
          <w:rFonts w:ascii="Arial" w:hAnsi="Arial" w:cs="Arial"/>
          <w:sz w:val="20"/>
          <w:szCs w:val="20"/>
        </w:rPr>
        <w:t>G</w:t>
      </w:r>
      <w:r w:rsidR="00095D49" w:rsidRPr="00362EC0">
        <w:rPr>
          <w:rFonts w:ascii="Arial" w:hAnsi="Arial" w:cs="Arial"/>
          <w:sz w:val="20"/>
          <w:szCs w:val="20"/>
        </w:rPr>
        <w:t>o trials</w:t>
      </w:r>
      <w:r w:rsidR="0021030F" w:rsidRPr="00362EC0">
        <w:rPr>
          <w:rFonts w:ascii="Arial" w:hAnsi="Arial" w:cs="Arial"/>
          <w:sz w:val="20"/>
          <w:szCs w:val="20"/>
        </w:rPr>
        <w:t>,</w:t>
      </w:r>
      <w:r w:rsidR="006A318B" w:rsidRPr="00362EC0">
        <w:rPr>
          <w:rFonts w:ascii="Arial" w:hAnsi="Arial" w:cs="Arial"/>
          <w:i/>
          <w:iCs/>
          <w:sz w:val="20"/>
          <w:szCs w:val="20"/>
        </w:rPr>
        <w:t xml:space="preserve"> t</w:t>
      </w:r>
      <w:r w:rsidR="006A318B" w:rsidRPr="00362EC0">
        <w:rPr>
          <w:rFonts w:ascii="Arial" w:hAnsi="Arial" w:cs="Arial"/>
          <w:sz w:val="20"/>
          <w:szCs w:val="20"/>
        </w:rPr>
        <w:t xml:space="preserve">(38) = .02, </w:t>
      </w:r>
      <w:r w:rsidR="006A318B" w:rsidRPr="00362EC0">
        <w:rPr>
          <w:rFonts w:ascii="Arial" w:hAnsi="Arial" w:cs="Arial"/>
          <w:i/>
          <w:iCs/>
          <w:sz w:val="20"/>
          <w:szCs w:val="20"/>
        </w:rPr>
        <w:t>p</w:t>
      </w:r>
      <w:r w:rsidR="006A318B" w:rsidRPr="00362EC0">
        <w:rPr>
          <w:rFonts w:ascii="Arial" w:hAnsi="Arial" w:cs="Arial"/>
          <w:sz w:val="20"/>
          <w:szCs w:val="20"/>
        </w:rPr>
        <w:t xml:space="preserve"> = .98</w:t>
      </w:r>
      <w:r w:rsidR="002B2D0D" w:rsidRPr="00362EC0">
        <w:rPr>
          <w:rFonts w:ascii="Arial" w:hAnsi="Arial" w:cs="Arial"/>
          <w:sz w:val="20"/>
          <w:szCs w:val="20"/>
        </w:rPr>
        <w:t xml:space="preserve">, </w:t>
      </w:r>
      <w:r w:rsidR="002B2D0D" w:rsidRPr="00362EC0">
        <w:rPr>
          <w:rFonts w:ascii="Arial" w:hAnsi="Arial" w:cs="Arial"/>
          <w:i/>
          <w:iCs/>
          <w:sz w:val="20"/>
          <w:szCs w:val="20"/>
        </w:rPr>
        <w:t>g</w:t>
      </w:r>
      <w:r w:rsidR="002B2D0D" w:rsidRPr="00362EC0">
        <w:rPr>
          <w:rFonts w:ascii="Arial" w:hAnsi="Arial" w:cs="Arial"/>
          <w:i/>
          <w:iCs/>
          <w:sz w:val="20"/>
          <w:szCs w:val="20"/>
          <w:vertAlign w:val="subscript"/>
        </w:rPr>
        <w:t>av</w:t>
      </w:r>
      <w:r w:rsidR="002B2D0D" w:rsidRPr="00362EC0">
        <w:rPr>
          <w:rFonts w:ascii="Arial" w:hAnsi="Arial" w:cs="Arial"/>
          <w:sz w:val="20"/>
          <w:szCs w:val="20"/>
        </w:rPr>
        <w:t xml:space="preserve"> &lt; .01, CI = -.06 - .06</w:t>
      </w:r>
      <w:r w:rsidR="0021030F" w:rsidRPr="00362EC0">
        <w:rPr>
          <w:rFonts w:ascii="Arial" w:hAnsi="Arial" w:cs="Arial"/>
          <w:sz w:val="20"/>
          <w:szCs w:val="20"/>
        </w:rPr>
        <w:t xml:space="preserve">, </w:t>
      </w:r>
      <w:r w:rsidR="00A362C8" w:rsidRPr="00362EC0">
        <w:rPr>
          <w:rFonts w:ascii="Arial" w:hAnsi="Arial" w:cs="Arial"/>
          <w:sz w:val="20"/>
          <w:szCs w:val="20"/>
        </w:rPr>
        <w:t xml:space="preserve">(see </w:t>
      </w:r>
      <w:r w:rsidR="00A362C8" w:rsidRPr="00362EC0">
        <w:rPr>
          <w:rFonts w:ascii="Arial" w:hAnsi="Arial" w:cs="Arial"/>
          <w:b/>
          <w:bCs/>
          <w:sz w:val="20"/>
          <w:szCs w:val="20"/>
        </w:rPr>
        <w:t>Fig</w:t>
      </w:r>
      <w:r w:rsidR="00AE1B05" w:rsidRPr="00362EC0">
        <w:rPr>
          <w:rFonts w:ascii="Arial" w:hAnsi="Arial" w:cs="Arial"/>
          <w:b/>
          <w:bCs/>
          <w:sz w:val="20"/>
          <w:szCs w:val="20"/>
        </w:rPr>
        <w:t>.</w:t>
      </w:r>
      <w:r w:rsidR="00A362C8" w:rsidRPr="00362EC0">
        <w:rPr>
          <w:rFonts w:ascii="Arial" w:hAnsi="Arial" w:cs="Arial"/>
          <w:b/>
          <w:bCs/>
          <w:sz w:val="20"/>
          <w:szCs w:val="20"/>
        </w:rPr>
        <w:t xml:space="preserve"> </w:t>
      </w:r>
      <w:r w:rsidR="00B67DB0" w:rsidRPr="00362EC0">
        <w:rPr>
          <w:rFonts w:ascii="Arial" w:hAnsi="Arial" w:cs="Arial"/>
          <w:b/>
          <w:bCs/>
          <w:sz w:val="20"/>
          <w:szCs w:val="20"/>
        </w:rPr>
        <w:t>3</w:t>
      </w:r>
      <w:r w:rsidR="006616BD" w:rsidRPr="00362EC0">
        <w:rPr>
          <w:rFonts w:ascii="Arial" w:hAnsi="Arial" w:cs="Arial"/>
          <w:b/>
          <w:bCs/>
          <w:sz w:val="20"/>
          <w:szCs w:val="20"/>
        </w:rPr>
        <w:t>D</w:t>
      </w:r>
      <w:r w:rsidR="00A362C8" w:rsidRPr="00362EC0">
        <w:rPr>
          <w:rFonts w:ascii="Arial" w:hAnsi="Arial" w:cs="Arial"/>
          <w:sz w:val="20"/>
          <w:szCs w:val="20"/>
        </w:rPr>
        <w:t>)</w:t>
      </w:r>
      <w:r w:rsidR="00095D49" w:rsidRPr="00362EC0">
        <w:rPr>
          <w:rFonts w:ascii="Arial" w:hAnsi="Arial" w:cs="Arial"/>
          <w:sz w:val="20"/>
          <w:szCs w:val="20"/>
        </w:rPr>
        <w:t>.</w:t>
      </w:r>
    </w:p>
    <w:p w14:paraId="22D2CB2C" w14:textId="0BBD25CD" w:rsidR="00252AF2" w:rsidRPr="00362EC0" w:rsidRDefault="00252AF2" w:rsidP="001B3FF2">
      <w:pPr>
        <w:spacing w:after="0" w:line="360" w:lineRule="auto"/>
        <w:ind w:firstLine="720"/>
        <w:contextualSpacing/>
        <w:jc w:val="both"/>
        <w:rPr>
          <w:rFonts w:ascii="Arial" w:hAnsi="Arial" w:cs="Arial"/>
          <w:sz w:val="20"/>
          <w:szCs w:val="20"/>
        </w:rPr>
      </w:pPr>
      <w:r w:rsidRPr="00362EC0">
        <w:rPr>
          <w:rFonts w:ascii="Arial" w:hAnsi="Arial" w:cs="Arial"/>
          <w:sz w:val="20"/>
          <w:szCs w:val="20"/>
        </w:rPr>
        <w:lastRenderedPageBreak/>
        <w:t xml:space="preserve">The analyses on the response times to Stop trials revealed a significant main effect of </w:t>
      </w:r>
      <w:r w:rsidR="0021030F" w:rsidRPr="00362EC0">
        <w:rPr>
          <w:rFonts w:ascii="Arial" w:hAnsi="Arial" w:cs="Arial"/>
          <w:sz w:val="20"/>
          <w:szCs w:val="20"/>
        </w:rPr>
        <w:t xml:space="preserve">Instructed </w:t>
      </w:r>
      <w:r w:rsidRPr="00362EC0">
        <w:rPr>
          <w:rFonts w:ascii="Arial" w:hAnsi="Arial" w:cs="Arial"/>
          <w:sz w:val="20"/>
          <w:szCs w:val="20"/>
        </w:rPr>
        <w:t xml:space="preserve">vs. </w:t>
      </w:r>
      <w:r w:rsidR="0021030F" w:rsidRPr="00362EC0">
        <w:rPr>
          <w:rFonts w:ascii="Arial" w:hAnsi="Arial" w:cs="Arial"/>
          <w:sz w:val="20"/>
          <w:szCs w:val="20"/>
        </w:rPr>
        <w:t xml:space="preserve">Choice </w:t>
      </w:r>
      <w:r w:rsidR="007D6824">
        <w:rPr>
          <w:rFonts w:ascii="Arial" w:hAnsi="Arial" w:cs="Arial"/>
          <w:sz w:val="20"/>
          <w:szCs w:val="20"/>
        </w:rPr>
        <w:t>(</w:t>
      </w:r>
      <w:r w:rsidRPr="00362EC0">
        <w:rPr>
          <w:rFonts w:ascii="Arial" w:hAnsi="Arial" w:cs="Arial"/>
          <w:i/>
          <w:iCs/>
          <w:sz w:val="20"/>
          <w:szCs w:val="20"/>
        </w:rPr>
        <w:t>F</w:t>
      </w:r>
      <w:r w:rsidRPr="00362EC0">
        <w:rPr>
          <w:rFonts w:ascii="Arial" w:hAnsi="Arial" w:cs="Arial"/>
          <w:sz w:val="20"/>
          <w:szCs w:val="20"/>
        </w:rPr>
        <w:t xml:space="preserve">(1,38) = 24.72, </w:t>
      </w:r>
      <w:r w:rsidRPr="00362EC0">
        <w:rPr>
          <w:rFonts w:ascii="Arial" w:hAnsi="Arial" w:cs="Arial"/>
          <w:i/>
          <w:iCs/>
          <w:sz w:val="20"/>
          <w:szCs w:val="20"/>
        </w:rPr>
        <w:t>p</w:t>
      </w:r>
      <w:r w:rsidRPr="00362EC0">
        <w:rPr>
          <w:rFonts w:ascii="Arial" w:hAnsi="Arial" w:cs="Arial"/>
          <w:sz w:val="20"/>
          <w:szCs w:val="20"/>
        </w:rPr>
        <w:t xml:space="preserve"> &lt; .001</w:t>
      </w:r>
      <w:r w:rsidR="006A318B" w:rsidRPr="00362EC0">
        <w:rPr>
          <w:rFonts w:ascii="Arial" w:hAnsi="Arial" w:cs="Arial"/>
          <w:sz w:val="20"/>
          <w:szCs w:val="20"/>
        </w:rPr>
        <w:t xml:space="preserve">, </w:t>
      </w:r>
      <w:r w:rsidR="002B2D0D" w:rsidRPr="00362EC0">
        <w:rPr>
          <w:rFonts w:ascii="Arial" w:hAnsi="Arial" w:cs="Arial"/>
          <w:sz w:val="20"/>
          <w:szCs w:val="20"/>
        </w:rPr>
        <w:t>η</w:t>
      </w:r>
      <w:r w:rsidR="002B2D0D" w:rsidRPr="00362EC0">
        <w:rPr>
          <w:rFonts w:ascii="Arial" w:hAnsi="Arial" w:cs="Arial"/>
          <w:sz w:val="20"/>
          <w:szCs w:val="20"/>
          <w:vertAlign w:val="superscript"/>
        </w:rPr>
        <w:t>2</w:t>
      </w:r>
      <w:r w:rsidR="002B2D0D" w:rsidRPr="00362EC0">
        <w:rPr>
          <w:rFonts w:ascii="Arial" w:hAnsi="Arial" w:cs="Arial"/>
          <w:sz w:val="20"/>
          <w:szCs w:val="20"/>
          <w:vertAlign w:val="subscript"/>
        </w:rPr>
        <w:t>p</w:t>
      </w:r>
      <w:r w:rsidR="002B2D0D" w:rsidRPr="00362EC0">
        <w:rPr>
          <w:rFonts w:ascii="Arial" w:hAnsi="Arial" w:cs="Arial"/>
          <w:sz w:val="20"/>
          <w:szCs w:val="20"/>
        </w:rPr>
        <w:t xml:space="preserve"> = .39, CI = .19 - .54</w:t>
      </w:r>
      <w:r w:rsidR="007D6824">
        <w:rPr>
          <w:rFonts w:ascii="Arial" w:hAnsi="Arial" w:cs="Arial"/>
          <w:sz w:val="20"/>
          <w:szCs w:val="20"/>
        </w:rPr>
        <w:t>)</w:t>
      </w:r>
      <w:r w:rsidR="002B2D0D" w:rsidRPr="00362EC0">
        <w:rPr>
          <w:rFonts w:ascii="Arial" w:hAnsi="Arial" w:cs="Arial"/>
          <w:sz w:val="20"/>
          <w:szCs w:val="20"/>
        </w:rPr>
        <w:t xml:space="preserve">, </w:t>
      </w:r>
      <w:r w:rsidR="006A318B" w:rsidRPr="00362EC0">
        <w:rPr>
          <w:rFonts w:ascii="Arial" w:hAnsi="Arial" w:cs="Arial"/>
          <w:sz w:val="20"/>
          <w:szCs w:val="20"/>
        </w:rPr>
        <w:t xml:space="preserve">specified by </w:t>
      </w:r>
      <w:r w:rsidRPr="00362EC0">
        <w:rPr>
          <w:rFonts w:ascii="Arial" w:hAnsi="Arial" w:cs="Arial"/>
          <w:sz w:val="20"/>
          <w:szCs w:val="20"/>
        </w:rPr>
        <w:t xml:space="preserve">slower stopping response times during </w:t>
      </w:r>
      <w:r w:rsidR="00611638" w:rsidRPr="00362EC0">
        <w:rPr>
          <w:rFonts w:ascii="Arial" w:hAnsi="Arial" w:cs="Arial"/>
          <w:sz w:val="20"/>
          <w:szCs w:val="20"/>
        </w:rPr>
        <w:t xml:space="preserve">Intentional </w:t>
      </w:r>
      <w:r w:rsidRPr="00362EC0">
        <w:rPr>
          <w:rFonts w:ascii="Arial" w:hAnsi="Arial" w:cs="Arial"/>
          <w:sz w:val="20"/>
          <w:szCs w:val="20"/>
        </w:rPr>
        <w:t>(</w:t>
      </w:r>
      <w:r w:rsidRPr="00362EC0">
        <w:rPr>
          <w:rFonts w:ascii="Arial" w:hAnsi="Arial" w:cs="Arial"/>
          <w:i/>
          <w:iCs/>
          <w:sz w:val="20"/>
          <w:szCs w:val="20"/>
        </w:rPr>
        <w:t>M</w:t>
      </w:r>
      <w:r w:rsidRPr="00362EC0">
        <w:rPr>
          <w:rFonts w:ascii="Arial" w:hAnsi="Arial" w:cs="Arial"/>
          <w:sz w:val="20"/>
          <w:szCs w:val="20"/>
        </w:rPr>
        <w:t xml:space="preserve"> = 500.49, </w:t>
      </w:r>
      <w:r w:rsidRPr="00362EC0">
        <w:rPr>
          <w:rFonts w:ascii="Arial" w:hAnsi="Arial" w:cs="Arial"/>
          <w:i/>
          <w:iCs/>
          <w:sz w:val="20"/>
          <w:szCs w:val="20"/>
        </w:rPr>
        <w:t xml:space="preserve">SD </w:t>
      </w:r>
      <w:r w:rsidRPr="00362EC0">
        <w:rPr>
          <w:rFonts w:ascii="Arial" w:hAnsi="Arial" w:cs="Arial"/>
          <w:sz w:val="20"/>
          <w:szCs w:val="20"/>
        </w:rPr>
        <w:t xml:space="preserve">= 78.45) </w:t>
      </w:r>
      <w:r w:rsidR="0086374C" w:rsidRPr="00362EC0">
        <w:rPr>
          <w:rFonts w:ascii="Arial" w:hAnsi="Arial" w:cs="Arial"/>
          <w:sz w:val="20"/>
          <w:szCs w:val="20"/>
        </w:rPr>
        <w:t xml:space="preserve">compared </w:t>
      </w:r>
      <w:r w:rsidR="00611638" w:rsidRPr="00362EC0">
        <w:rPr>
          <w:rFonts w:ascii="Arial" w:hAnsi="Arial" w:cs="Arial"/>
          <w:sz w:val="20"/>
          <w:szCs w:val="20"/>
        </w:rPr>
        <w:t xml:space="preserve">to Instructed </w:t>
      </w:r>
      <w:r w:rsidRPr="00362EC0">
        <w:rPr>
          <w:rFonts w:ascii="Arial" w:hAnsi="Arial" w:cs="Arial"/>
          <w:sz w:val="20"/>
          <w:szCs w:val="20"/>
        </w:rPr>
        <w:t>(</w:t>
      </w:r>
      <w:r w:rsidRPr="00362EC0">
        <w:rPr>
          <w:rFonts w:ascii="Arial" w:hAnsi="Arial" w:cs="Arial"/>
          <w:i/>
          <w:iCs/>
          <w:sz w:val="20"/>
          <w:szCs w:val="20"/>
        </w:rPr>
        <w:t>M</w:t>
      </w:r>
      <w:r w:rsidRPr="00362EC0">
        <w:rPr>
          <w:rFonts w:ascii="Arial" w:hAnsi="Arial" w:cs="Arial"/>
          <w:sz w:val="20"/>
          <w:szCs w:val="20"/>
        </w:rPr>
        <w:t xml:space="preserve"> = 461.62, </w:t>
      </w:r>
      <w:r w:rsidRPr="00362EC0">
        <w:rPr>
          <w:rFonts w:ascii="Arial" w:hAnsi="Arial" w:cs="Arial"/>
          <w:i/>
          <w:iCs/>
          <w:sz w:val="20"/>
          <w:szCs w:val="20"/>
        </w:rPr>
        <w:t xml:space="preserve">SD </w:t>
      </w:r>
      <w:r w:rsidRPr="00362EC0">
        <w:rPr>
          <w:rFonts w:ascii="Arial" w:hAnsi="Arial" w:cs="Arial"/>
          <w:sz w:val="20"/>
          <w:szCs w:val="20"/>
        </w:rPr>
        <w:t>= 63.68) Stop trials</w:t>
      </w:r>
      <w:r w:rsidR="00A362C8" w:rsidRPr="00362EC0">
        <w:rPr>
          <w:rFonts w:ascii="Arial" w:hAnsi="Arial" w:cs="Arial"/>
          <w:sz w:val="20"/>
          <w:szCs w:val="20"/>
        </w:rPr>
        <w:t xml:space="preserve"> (see </w:t>
      </w:r>
      <w:r w:rsidR="00A362C8" w:rsidRPr="00362EC0">
        <w:rPr>
          <w:rFonts w:ascii="Arial" w:hAnsi="Arial" w:cs="Arial"/>
          <w:b/>
          <w:bCs/>
          <w:sz w:val="20"/>
          <w:szCs w:val="20"/>
        </w:rPr>
        <w:t>Fig</w:t>
      </w:r>
      <w:r w:rsidR="00AE1B05" w:rsidRPr="00362EC0">
        <w:rPr>
          <w:rFonts w:ascii="Arial" w:hAnsi="Arial" w:cs="Arial"/>
          <w:b/>
          <w:bCs/>
          <w:sz w:val="20"/>
          <w:szCs w:val="20"/>
        </w:rPr>
        <w:t>.</w:t>
      </w:r>
      <w:r w:rsidR="00A362C8" w:rsidRPr="00362EC0">
        <w:rPr>
          <w:rFonts w:ascii="Arial" w:hAnsi="Arial" w:cs="Arial"/>
          <w:b/>
          <w:bCs/>
          <w:sz w:val="20"/>
          <w:szCs w:val="20"/>
        </w:rPr>
        <w:t xml:space="preserve"> </w:t>
      </w:r>
      <w:r w:rsidR="00B67DB0" w:rsidRPr="00362EC0">
        <w:rPr>
          <w:rFonts w:ascii="Arial" w:hAnsi="Arial" w:cs="Arial"/>
          <w:b/>
          <w:bCs/>
          <w:sz w:val="20"/>
          <w:szCs w:val="20"/>
        </w:rPr>
        <w:t>3</w:t>
      </w:r>
      <w:r w:rsidR="006616BD" w:rsidRPr="00362EC0">
        <w:rPr>
          <w:rFonts w:ascii="Arial" w:hAnsi="Arial" w:cs="Arial"/>
          <w:b/>
          <w:bCs/>
          <w:sz w:val="20"/>
          <w:szCs w:val="20"/>
        </w:rPr>
        <w:t>E</w:t>
      </w:r>
      <w:r w:rsidR="00A362C8" w:rsidRPr="00362EC0">
        <w:rPr>
          <w:rFonts w:ascii="Arial" w:hAnsi="Arial" w:cs="Arial"/>
          <w:sz w:val="20"/>
          <w:szCs w:val="20"/>
        </w:rPr>
        <w:t>)</w:t>
      </w:r>
      <w:r w:rsidRPr="00362EC0">
        <w:rPr>
          <w:rFonts w:ascii="Arial" w:hAnsi="Arial" w:cs="Arial"/>
          <w:sz w:val="20"/>
          <w:szCs w:val="20"/>
        </w:rPr>
        <w:t xml:space="preserve">. The main effect of reward type </w:t>
      </w:r>
      <w:r w:rsidR="00611638" w:rsidRPr="00362EC0">
        <w:rPr>
          <w:rFonts w:ascii="Arial" w:hAnsi="Arial" w:cs="Arial"/>
          <w:sz w:val="20"/>
          <w:szCs w:val="20"/>
        </w:rPr>
        <w:t>(</w:t>
      </w:r>
      <w:r w:rsidRPr="00362EC0">
        <w:rPr>
          <w:rFonts w:ascii="Arial" w:hAnsi="Arial" w:cs="Arial"/>
          <w:i/>
          <w:iCs/>
          <w:sz w:val="20"/>
          <w:szCs w:val="20"/>
        </w:rPr>
        <w:t>F</w:t>
      </w:r>
      <w:r w:rsidRPr="00362EC0">
        <w:rPr>
          <w:rFonts w:ascii="Arial" w:hAnsi="Arial" w:cs="Arial"/>
          <w:sz w:val="20"/>
          <w:szCs w:val="20"/>
        </w:rPr>
        <w:t xml:space="preserve">(2,76) = .74, </w:t>
      </w:r>
      <w:r w:rsidRPr="00362EC0">
        <w:rPr>
          <w:rFonts w:ascii="Arial" w:hAnsi="Arial" w:cs="Arial"/>
          <w:i/>
          <w:iCs/>
          <w:sz w:val="20"/>
          <w:szCs w:val="20"/>
        </w:rPr>
        <w:t>p</w:t>
      </w:r>
      <w:r w:rsidRPr="00362EC0">
        <w:rPr>
          <w:rFonts w:ascii="Arial" w:hAnsi="Arial" w:cs="Arial"/>
          <w:sz w:val="20"/>
          <w:szCs w:val="20"/>
        </w:rPr>
        <w:t xml:space="preserve"> = .48</w:t>
      </w:r>
      <w:r w:rsidR="006A318B" w:rsidRPr="00362EC0">
        <w:rPr>
          <w:rFonts w:ascii="Arial" w:hAnsi="Arial" w:cs="Arial"/>
          <w:sz w:val="20"/>
          <w:szCs w:val="20"/>
        </w:rPr>
        <w:t>,</w:t>
      </w:r>
      <w:r w:rsidRPr="00362EC0">
        <w:rPr>
          <w:rFonts w:ascii="Arial" w:hAnsi="Arial" w:cs="Arial"/>
          <w:sz w:val="20"/>
          <w:szCs w:val="20"/>
        </w:rPr>
        <w:t xml:space="preserve"> </w:t>
      </w:r>
      <w:r w:rsidR="002B2D0D" w:rsidRPr="00362EC0">
        <w:rPr>
          <w:rFonts w:ascii="Arial" w:hAnsi="Arial" w:cs="Arial"/>
          <w:sz w:val="20"/>
          <w:szCs w:val="20"/>
        </w:rPr>
        <w:t>η</w:t>
      </w:r>
      <w:r w:rsidR="002B2D0D" w:rsidRPr="00362EC0">
        <w:rPr>
          <w:rFonts w:ascii="Arial" w:hAnsi="Arial" w:cs="Arial"/>
          <w:sz w:val="20"/>
          <w:szCs w:val="20"/>
          <w:vertAlign w:val="superscript"/>
        </w:rPr>
        <w:t>2</w:t>
      </w:r>
      <w:r w:rsidR="002B2D0D" w:rsidRPr="00362EC0">
        <w:rPr>
          <w:rFonts w:ascii="Arial" w:hAnsi="Arial" w:cs="Arial"/>
          <w:sz w:val="20"/>
          <w:szCs w:val="20"/>
          <w:vertAlign w:val="subscript"/>
        </w:rPr>
        <w:t>p</w:t>
      </w:r>
      <w:r w:rsidR="002B2D0D" w:rsidRPr="00362EC0">
        <w:rPr>
          <w:rFonts w:ascii="Arial" w:hAnsi="Arial" w:cs="Arial"/>
          <w:sz w:val="20"/>
          <w:szCs w:val="20"/>
        </w:rPr>
        <w:t xml:space="preserve"> = .02, CI = 0</w:t>
      </w:r>
      <w:r w:rsidR="00481482" w:rsidRPr="00362EC0">
        <w:rPr>
          <w:rFonts w:ascii="Arial" w:hAnsi="Arial" w:cs="Arial"/>
          <w:sz w:val="20"/>
          <w:szCs w:val="20"/>
        </w:rPr>
        <w:t xml:space="preserve"> </w:t>
      </w:r>
      <w:r w:rsidR="002B2D0D" w:rsidRPr="00362EC0">
        <w:rPr>
          <w:rFonts w:ascii="Arial" w:hAnsi="Arial" w:cs="Arial"/>
          <w:sz w:val="20"/>
          <w:szCs w:val="20"/>
        </w:rPr>
        <w:t>- .08</w:t>
      </w:r>
      <w:r w:rsidR="00611638" w:rsidRPr="00362EC0">
        <w:rPr>
          <w:rFonts w:ascii="Arial" w:hAnsi="Arial" w:cs="Arial"/>
          <w:sz w:val="20"/>
          <w:szCs w:val="20"/>
        </w:rPr>
        <w:t>)</w:t>
      </w:r>
      <w:r w:rsidR="002B2D0D" w:rsidRPr="00362EC0">
        <w:rPr>
          <w:rFonts w:ascii="Arial" w:hAnsi="Arial" w:cs="Arial"/>
          <w:sz w:val="20"/>
          <w:szCs w:val="20"/>
        </w:rPr>
        <w:t xml:space="preserve">, </w:t>
      </w:r>
      <w:r w:rsidRPr="00362EC0">
        <w:rPr>
          <w:rFonts w:ascii="Arial" w:hAnsi="Arial" w:cs="Arial"/>
          <w:sz w:val="20"/>
          <w:szCs w:val="20"/>
        </w:rPr>
        <w:t xml:space="preserve">and the interaction between </w:t>
      </w:r>
      <w:r w:rsidR="00611638" w:rsidRPr="00362EC0">
        <w:rPr>
          <w:rFonts w:ascii="Arial" w:hAnsi="Arial" w:cs="Arial"/>
          <w:sz w:val="20"/>
          <w:szCs w:val="20"/>
        </w:rPr>
        <w:t xml:space="preserve">Instructed </w:t>
      </w:r>
      <w:r w:rsidRPr="00362EC0">
        <w:rPr>
          <w:rFonts w:ascii="Arial" w:hAnsi="Arial" w:cs="Arial"/>
          <w:sz w:val="20"/>
          <w:szCs w:val="20"/>
        </w:rPr>
        <w:t xml:space="preserve">vs. </w:t>
      </w:r>
      <w:r w:rsidR="00611638" w:rsidRPr="00362EC0">
        <w:rPr>
          <w:rFonts w:ascii="Arial" w:hAnsi="Arial" w:cs="Arial"/>
          <w:sz w:val="20"/>
          <w:szCs w:val="20"/>
        </w:rPr>
        <w:t xml:space="preserve">Choice </w:t>
      </w:r>
      <w:r w:rsidRPr="00362EC0">
        <w:rPr>
          <w:rFonts w:ascii="Arial" w:hAnsi="Arial" w:cs="Arial"/>
          <w:sz w:val="20"/>
          <w:szCs w:val="20"/>
        </w:rPr>
        <w:t xml:space="preserve">and reward type were not significant </w:t>
      </w:r>
      <w:r w:rsidR="00611638" w:rsidRPr="00362EC0">
        <w:rPr>
          <w:rFonts w:ascii="Arial" w:hAnsi="Arial" w:cs="Arial"/>
          <w:sz w:val="20"/>
          <w:szCs w:val="20"/>
        </w:rPr>
        <w:t>(</w:t>
      </w:r>
      <w:r w:rsidRPr="00362EC0">
        <w:rPr>
          <w:rFonts w:ascii="Arial" w:hAnsi="Arial" w:cs="Arial"/>
          <w:i/>
          <w:iCs/>
          <w:sz w:val="20"/>
          <w:szCs w:val="20"/>
        </w:rPr>
        <w:t>F</w:t>
      </w:r>
      <w:r w:rsidRPr="00362EC0">
        <w:rPr>
          <w:rFonts w:ascii="Arial" w:hAnsi="Arial" w:cs="Arial"/>
          <w:sz w:val="20"/>
          <w:szCs w:val="20"/>
        </w:rPr>
        <w:t xml:space="preserve">(1.6,58.9) = .69, </w:t>
      </w:r>
      <w:r w:rsidRPr="00362EC0">
        <w:rPr>
          <w:rFonts w:ascii="Arial" w:hAnsi="Arial" w:cs="Arial"/>
          <w:i/>
          <w:iCs/>
          <w:sz w:val="20"/>
          <w:szCs w:val="20"/>
        </w:rPr>
        <w:t>p</w:t>
      </w:r>
      <w:r w:rsidRPr="00362EC0">
        <w:rPr>
          <w:rFonts w:ascii="Arial" w:hAnsi="Arial" w:cs="Arial"/>
          <w:sz w:val="20"/>
          <w:szCs w:val="20"/>
        </w:rPr>
        <w:t xml:space="preserve"> = .47</w:t>
      </w:r>
      <w:r w:rsidR="002B2D0D" w:rsidRPr="00362EC0">
        <w:rPr>
          <w:rFonts w:ascii="Arial" w:hAnsi="Arial" w:cs="Arial"/>
          <w:sz w:val="20"/>
          <w:szCs w:val="20"/>
        </w:rPr>
        <w:t xml:space="preserve"> η</w:t>
      </w:r>
      <w:r w:rsidR="002B2D0D" w:rsidRPr="00362EC0">
        <w:rPr>
          <w:rFonts w:ascii="Arial" w:hAnsi="Arial" w:cs="Arial"/>
          <w:sz w:val="20"/>
          <w:szCs w:val="20"/>
          <w:vertAlign w:val="superscript"/>
        </w:rPr>
        <w:t>2</w:t>
      </w:r>
      <w:r w:rsidR="002B2D0D" w:rsidRPr="00362EC0">
        <w:rPr>
          <w:rFonts w:ascii="Arial" w:hAnsi="Arial" w:cs="Arial"/>
          <w:sz w:val="20"/>
          <w:szCs w:val="20"/>
          <w:vertAlign w:val="subscript"/>
        </w:rPr>
        <w:t>p</w:t>
      </w:r>
      <w:r w:rsidR="002B2D0D" w:rsidRPr="00362EC0">
        <w:rPr>
          <w:rFonts w:ascii="Arial" w:hAnsi="Arial" w:cs="Arial"/>
          <w:sz w:val="20"/>
          <w:szCs w:val="20"/>
        </w:rPr>
        <w:t xml:space="preserve"> = .02, CI = 0 - .09</w:t>
      </w:r>
      <w:r w:rsidR="00611638" w:rsidRPr="00362EC0">
        <w:rPr>
          <w:rFonts w:ascii="Arial" w:hAnsi="Arial" w:cs="Arial"/>
          <w:sz w:val="20"/>
          <w:szCs w:val="20"/>
        </w:rPr>
        <w:t>)</w:t>
      </w:r>
      <w:r w:rsidRPr="00362EC0">
        <w:rPr>
          <w:rFonts w:ascii="Arial" w:hAnsi="Arial" w:cs="Arial"/>
          <w:sz w:val="20"/>
          <w:szCs w:val="20"/>
        </w:rPr>
        <w:t>.</w:t>
      </w:r>
    </w:p>
    <w:p w14:paraId="012AFF55" w14:textId="0CFF19A5" w:rsidR="00DD18FE" w:rsidRPr="00362EC0" w:rsidRDefault="00DD18FE" w:rsidP="001B3FF2">
      <w:pPr>
        <w:spacing w:after="0" w:line="360" w:lineRule="auto"/>
        <w:ind w:firstLine="720"/>
        <w:contextualSpacing/>
        <w:jc w:val="both"/>
        <w:rPr>
          <w:rFonts w:ascii="Arial" w:hAnsi="Arial" w:cs="Arial"/>
          <w:sz w:val="20"/>
          <w:szCs w:val="20"/>
        </w:rPr>
      </w:pPr>
      <w:r w:rsidRPr="00362EC0">
        <w:rPr>
          <w:rFonts w:ascii="Arial" w:hAnsi="Arial" w:cs="Arial"/>
          <w:sz w:val="20"/>
          <w:szCs w:val="20"/>
        </w:rPr>
        <w:t xml:space="preserve">Analysing the main hypothesis, the effect of reward types on the percentage of </w:t>
      </w:r>
      <w:r w:rsidR="00611638" w:rsidRPr="00362EC0">
        <w:rPr>
          <w:rFonts w:ascii="Arial" w:hAnsi="Arial" w:cs="Arial"/>
          <w:sz w:val="20"/>
          <w:szCs w:val="20"/>
        </w:rPr>
        <w:t xml:space="preserve">Intentional </w:t>
      </w:r>
      <w:r w:rsidR="00251670" w:rsidRPr="00362EC0">
        <w:rPr>
          <w:rFonts w:ascii="Arial" w:hAnsi="Arial" w:cs="Arial"/>
          <w:sz w:val="20"/>
          <w:szCs w:val="20"/>
        </w:rPr>
        <w:t>S</w:t>
      </w:r>
      <w:r w:rsidRPr="00362EC0">
        <w:rPr>
          <w:rFonts w:ascii="Arial" w:hAnsi="Arial" w:cs="Arial"/>
          <w:sz w:val="20"/>
          <w:szCs w:val="20"/>
        </w:rPr>
        <w:t xml:space="preserve">top trials, revealed a main effect of reward type </w:t>
      </w:r>
      <w:r w:rsidR="007D6824">
        <w:rPr>
          <w:rFonts w:ascii="Arial" w:hAnsi="Arial" w:cs="Arial"/>
          <w:sz w:val="20"/>
          <w:szCs w:val="20"/>
        </w:rPr>
        <w:t>(</w:t>
      </w:r>
      <w:r w:rsidRPr="00362EC0">
        <w:rPr>
          <w:rFonts w:ascii="Arial" w:hAnsi="Arial" w:cs="Arial"/>
          <w:i/>
          <w:iCs/>
          <w:sz w:val="20"/>
          <w:szCs w:val="20"/>
        </w:rPr>
        <w:t>F</w:t>
      </w:r>
      <w:r w:rsidRPr="00362EC0">
        <w:rPr>
          <w:rFonts w:ascii="Arial" w:hAnsi="Arial" w:cs="Arial"/>
          <w:sz w:val="20"/>
          <w:szCs w:val="20"/>
        </w:rPr>
        <w:t xml:space="preserve">(1.6,61.2) = 13.94, </w:t>
      </w:r>
      <w:r w:rsidRPr="00362EC0">
        <w:rPr>
          <w:rFonts w:ascii="Arial" w:hAnsi="Arial" w:cs="Arial"/>
          <w:i/>
          <w:iCs/>
          <w:sz w:val="20"/>
          <w:szCs w:val="20"/>
        </w:rPr>
        <w:t>p</w:t>
      </w:r>
      <w:r w:rsidRPr="00362EC0">
        <w:rPr>
          <w:rFonts w:ascii="Arial" w:hAnsi="Arial" w:cs="Arial"/>
          <w:sz w:val="20"/>
          <w:szCs w:val="20"/>
        </w:rPr>
        <w:t xml:space="preserve"> &lt; .001</w:t>
      </w:r>
      <w:r w:rsidR="002B2D0D" w:rsidRPr="00362EC0">
        <w:rPr>
          <w:rFonts w:ascii="Arial" w:hAnsi="Arial" w:cs="Arial"/>
          <w:sz w:val="20"/>
          <w:szCs w:val="20"/>
        </w:rPr>
        <w:t>, η</w:t>
      </w:r>
      <w:r w:rsidR="002B2D0D" w:rsidRPr="00362EC0">
        <w:rPr>
          <w:rFonts w:ascii="Arial" w:hAnsi="Arial" w:cs="Arial"/>
          <w:sz w:val="20"/>
          <w:szCs w:val="20"/>
          <w:vertAlign w:val="superscript"/>
        </w:rPr>
        <w:t>2</w:t>
      </w:r>
      <w:r w:rsidR="002B2D0D" w:rsidRPr="00362EC0">
        <w:rPr>
          <w:rFonts w:ascii="Arial" w:hAnsi="Arial" w:cs="Arial"/>
          <w:sz w:val="20"/>
          <w:szCs w:val="20"/>
          <w:vertAlign w:val="subscript"/>
        </w:rPr>
        <w:t>p</w:t>
      </w:r>
      <w:r w:rsidR="002B2D0D" w:rsidRPr="00362EC0">
        <w:rPr>
          <w:rFonts w:ascii="Arial" w:hAnsi="Arial" w:cs="Arial"/>
          <w:sz w:val="20"/>
          <w:szCs w:val="20"/>
        </w:rPr>
        <w:t xml:space="preserve"> = .27, CI = .11 - .39</w:t>
      </w:r>
      <w:r w:rsidR="007D6824">
        <w:rPr>
          <w:rFonts w:ascii="Arial" w:hAnsi="Arial" w:cs="Arial"/>
          <w:sz w:val="20"/>
          <w:szCs w:val="20"/>
        </w:rPr>
        <w:t>)</w:t>
      </w:r>
      <w:r w:rsidR="002B2D0D" w:rsidRPr="00362EC0">
        <w:rPr>
          <w:rFonts w:ascii="Arial" w:hAnsi="Arial" w:cs="Arial"/>
          <w:sz w:val="20"/>
          <w:szCs w:val="20"/>
        </w:rPr>
        <w:t>.</w:t>
      </w:r>
      <w:r w:rsidRPr="00362EC0">
        <w:rPr>
          <w:rFonts w:ascii="Arial" w:hAnsi="Arial" w:cs="Arial"/>
          <w:sz w:val="20"/>
          <w:szCs w:val="20"/>
        </w:rPr>
        <w:t xml:space="preserve"> Paired </w:t>
      </w:r>
      <w:r w:rsidRPr="00362EC0">
        <w:rPr>
          <w:rFonts w:ascii="Arial" w:hAnsi="Arial" w:cs="Arial"/>
          <w:i/>
          <w:iCs/>
          <w:sz w:val="20"/>
          <w:szCs w:val="20"/>
        </w:rPr>
        <w:t>t</w:t>
      </w:r>
      <w:r w:rsidRPr="00362EC0">
        <w:rPr>
          <w:rFonts w:ascii="Arial" w:hAnsi="Arial" w:cs="Arial"/>
          <w:sz w:val="20"/>
          <w:szCs w:val="20"/>
        </w:rPr>
        <w:t xml:space="preserve">-tests indicated that intentional stopping occurred </w:t>
      </w:r>
      <w:r w:rsidR="00EF6A0B" w:rsidRPr="00362EC0">
        <w:rPr>
          <w:rFonts w:ascii="Arial" w:hAnsi="Arial" w:cs="Arial"/>
          <w:sz w:val="20"/>
          <w:szCs w:val="20"/>
        </w:rPr>
        <w:t xml:space="preserve">less </w:t>
      </w:r>
      <w:r w:rsidRPr="00362EC0">
        <w:rPr>
          <w:rFonts w:ascii="Arial" w:hAnsi="Arial" w:cs="Arial"/>
          <w:sz w:val="20"/>
          <w:szCs w:val="20"/>
        </w:rPr>
        <w:t>in high (</w:t>
      </w:r>
      <w:r w:rsidRPr="00362EC0">
        <w:rPr>
          <w:rFonts w:ascii="Arial" w:hAnsi="Arial" w:cs="Arial"/>
          <w:i/>
          <w:iCs/>
          <w:sz w:val="20"/>
          <w:szCs w:val="20"/>
        </w:rPr>
        <w:t>M</w:t>
      </w:r>
      <w:r w:rsidRPr="00362EC0">
        <w:rPr>
          <w:rFonts w:ascii="Arial" w:hAnsi="Arial" w:cs="Arial"/>
          <w:sz w:val="20"/>
          <w:szCs w:val="20"/>
        </w:rPr>
        <w:t xml:space="preserve"> = 45.98, </w:t>
      </w:r>
      <w:r w:rsidRPr="00362EC0">
        <w:rPr>
          <w:rFonts w:ascii="Arial" w:hAnsi="Arial" w:cs="Arial"/>
          <w:i/>
          <w:iCs/>
          <w:sz w:val="20"/>
          <w:szCs w:val="20"/>
        </w:rPr>
        <w:t xml:space="preserve">SD </w:t>
      </w:r>
      <w:r w:rsidRPr="00362EC0">
        <w:rPr>
          <w:rFonts w:ascii="Arial" w:hAnsi="Arial" w:cs="Arial"/>
          <w:sz w:val="20"/>
          <w:szCs w:val="20"/>
        </w:rPr>
        <w:t xml:space="preserve">= 14.66) compared to no reward </w:t>
      </w:r>
      <w:r w:rsidR="00611638" w:rsidRPr="00362EC0">
        <w:rPr>
          <w:rFonts w:ascii="Arial" w:hAnsi="Arial" w:cs="Arial"/>
          <w:sz w:val="20"/>
          <w:szCs w:val="20"/>
        </w:rPr>
        <w:t>(</w:t>
      </w:r>
      <w:r w:rsidRPr="00362EC0">
        <w:rPr>
          <w:rFonts w:ascii="Arial" w:hAnsi="Arial" w:cs="Arial"/>
          <w:i/>
          <w:iCs/>
          <w:sz w:val="20"/>
          <w:szCs w:val="20"/>
        </w:rPr>
        <w:t>t</w:t>
      </w:r>
      <w:r w:rsidRPr="00362EC0">
        <w:rPr>
          <w:rFonts w:ascii="Arial" w:hAnsi="Arial" w:cs="Arial"/>
          <w:sz w:val="20"/>
          <w:szCs w:val="20"/>
        </w:rPr>
        <w:t xml:space="preserve">(38) = 4.18, </w:t>
      </w:r>
      <w:r w:rsidRPr="00362EC0">
        <w:rPr>
          <w:rFonts w:ascii="Arial" w:hAnsi="Arial" w:cs="Arial"/>
          <w:i/>
          <w:iCs/>
          <w:sz w:val="20"/>
          <w:szCs w:val="20"/>
        </w:rPr>
        <w:t>p</w:t>
      </w:r>
      <w:r w:rsidRPr="00362EC0">
        <w:rPr>
          <w:rFonts w:ascii="Arial" w:hAnsi="Arial" w:cs="Arial"/>
          <w:i/>
          <w:iCs/>
          <w:sz w:val="20"/>
          <w:szCs w:val="20"/>
          <w:vertAlign w:val="subscript"/>
        </w:rPr>
        <w:t>c</w:t>
      </w:r>
      <w:r w:rsidRPr="00362EC0">
        <w:rPr>
          <w:rFonts w:ascii="Arial" w:hAnsi="Arial" w:cs="Arial"/>
          <w:sz w:val="20"/>
          <w:szCs w:val="20"/>
        </w:rPr>
        <w:t xml:space="preserve"> &lt; .001</w:t>
      </w:r>
      <w:r w:rsidR="002B2D0D" w:rsidRPr="00362EC0">
        <w:rPr>
          <w:rFonts w:ascii="Arial" w:hAnsi="Arial" w:cs="Arial"/>
          <w:sz w:val="20"/>
          <w:szCs w:val="20"/>
        </w:rPr>
        <w:t xml:space="preserve">, </w:t>
      </w:r>
      <w:r w:rsidR="002B2D0D" w:rsidRPr="00362EC0">
        <w:rPr>
          <w:rFonts w:ascii="Arial" w:hAnsi="Arial" w:cs="Arial"/>
          <w:i/>
          <w:sz w:val="20"/>
          <w:szCs w:val="20"/>
        </w:rPr>
        <w:t>g</w:t>
      </w:r>
      <w:r w:rsidR="002B2D0D" w:rsidRPr="00362EC0">
        <w:rPr>
          <w:rFonts w:ascii="Arial" w:hAnsi="Arial" w:cs="Arial"/>
          <w:i/>
          <w:sz w:val="20"/>
          <w:szCs w:val="20"/>
          <w:vertAlign w:val="subscript"/>
        </w:rPr>
        <w:t>av</w:t>
      </w:r>
      <w:r w:rsidR="002B2D0D" w:rsidRPr="00362EC0">
        <w:rPr>
          <w:rFonts w:ascii="Arial" w:hAnsi="Arial" w:cs="Arial"/>
          <w:sz w:val="20"/>
          <w:szCs w:val="20"/>
        </w:rPr>
        <w:t xml:space="preserve"> = .91, CI = .39 – 1.42</w:t>
      </w:r>
      <w:r w:rsidR="00611638" w:rsidRPr="00362EC0">
        <w:rPr>
          <w:rFonts w:ascii="Arial" w:hAnsi="Arial" w:cs="Arial"/>
          <w:sz w:val="20"/>
          <w:szCs w:val="20"/>
        </w:rPr>
        <w:t>)</w:t>
      </w:r>
      <w:r w:rsidR="002B2D0D" w:rsidRPr="00362EC0">
        <w:rPr>
          <w:rFonts w:ascii="Arial" w:hAnsi="Arial" w:cs="Arial"/>
          <w:sz w:val="20"/>
          <w:szCs w:val="20"/>
        </w:rPr>
        <w:t xml:space="preserve"> and less in</w:t>
      </w:r>
      <w:r w:rsidRPr="00362EC0">
        <w:rPr>
          <w:rFonts w:ascii="Arial" w:hAnsi="Arial" w:cs="Arial"/>
          <w:sz w:val="20"/>
          <w:szCs w:val="20"/>
        </w:rPr>
        <w:t xml:space="preserve"> low reward (</w:t>
      </w:r>
      <w:r w:rsidRPr="00362EC0">
        <w:rPr>
          <w:rFonts w:ascii="Arial" w:hAnsi="Arial" w:cs="Arial"/>
          <w:i/>
          <w:iCs/>
          <w:sz w:val="20"/>
          <w:szCs w:val="20"/>
        </w:rPr>
        <w:t>M</w:t>
      </w:r>
      <w:r w:rsidRPr="00362EC0">
        <w:rPr>
          <w:rFonts w:ascii="Arial" w:hAnsi="Arial" w:cs="Arial"/>
          <w:sz w:val="20"/>
          <w:szCs w:val="20"/>
        </w:rPr>
        <w:t xml:space="preserve"> = 49.09, </w:t>
      </w:r>
      <w:r w:rsidRPr="00362EC0">
        <w:rPr>
          <w:rFonts w:ascii="Arial" w:hAnsi="Arial" w:cs="Arial"/>
          <w:i/>
          <w:iCs/>
          <w:sz w:val="20"/>
          <w:szCs w:val="20"/>
        </w:rPr>
        <w:t xml:space="preserve">SD </w:t>
      </w:r>
      <w:r w:rsidRPr="00362EC0">
        <w:rPr>
          <w:rFonts w:ascii="Arial" w:hAnsi="Arial" w:cs="Arial"/>
          <w:sz w:val="20"/>
          <w:szCs w:val="20"/>
        </w:rPr>
        <w:t xml:space="preserve">= 11.10) compared to no </w:t>
      </w:r>
      <w:r w:rsidR="003021FC" w:rsidRPr="00362EC0">
        <w:rPr>
          <w:rFonts w:ascii="Arial" w:hAnsi="Arial" w:cs="Arial"/>
          <w:sz w:val="20"/>
          <w:szCs w:val="20"/>
        </w:rPr>
        <w:t>(</w:t>
      </w:r>
      <w:r w:rsidR="003021FC" w:rsidRPr="00362EC0">
        <w:rPr>
          <w:rFonts w:ascii="Arial" w:hAnsi="Arial" w:cs="Arial"/>
          <w:i/>
          <w:iCs/>
          <w:sz w:val="20"/>
          <w:szCs w:val="20"/>
        </w:rPr>
        <w:t>M</w:t>
      </w:r>
      <w:r w:rsidR="003021FC" w:rsidRPr="00362EC0">
        <w:rPr>
          <w:rFonts w:ascii="Arial" w:hAnsi="Arial" w:cs="Arial"/>
          <w:sz w:val="20"/>
          <w:szCs w:val="20"/>
        </w:rPr>
        <w:t xml:space="preserve"> = 58.99, </w:t>
      </w:r>
      <w:r w:rsidR="003021FC" w:rsidRPr="00362EC0">
        <w:rPr>
          <w:rFonts w:ascii="Arial" w:hAnsi="Arial" w:cs="Arial"/>
          <w:i/>
          <w:iCs/>
          <w:sz w:val="20"/>
          <w:szCs w:val="20"/>
        </w:rPr>
        <w:t xml:space="preserve">SD </w:t>
      </w:r>
      <w:r w:rsidR="003021FC" w:rsidRPr="00362EC0">
        <w:rPr>
          <w:rFonts w:ascii="Arial" w:hAnsi="Arial" w:cs="Arial"/>
          <w:sz w:val="20"/>
          <w:szCs w:val="20"/>
        </w:rPr>
        <w:t xml:space="preserve">= 13.37) </w:t>
      </w:r>
      <w:r w:rsidRPr="00362EC0">
        <w:rPr>
          <w:rFonts w:ascii="Arial" w:hAnsi="Arial" w:cs="Arial"/>
          <w:sz w:val="20"/>
          <w:szCs w:val="20"/>
        </w:rPr>
        <w:t>reward</w:t>
      </w:r>
      <w:r w:rsidR="00611638" w:rsidRPr="00362EC0">
        <w:rPr>
          <w:rFonts w:ascii="Arial" w:hAnsi="Arial" w:cs="Arial"/>
          <w:sz w:val="20"/>
          <w:szCs w:val="20"/>
        </w:rPr>
        <w:t>,</w:t>
      </w:r>
      <w:r w:rsidRPr="00362EC0">
        <w:rPr>
          <w:rFonts w:ascii="Arial" w:hAnsi="Arial" w:cs="Arial"/>
          <w:sz w:val="20"/>
          <w:szCs w:val="20"/>
        </w:rPr>
        <w:t xml:space="preserve"> </w:t>
      </w:r>
      <w:r w:rsidRPr="00362EC0">
        <w:rPr>
          <w:rFonts w:ascii="Arial" w:hAnsi="Arial" w:cs="Arial"/>
          <w:i/>
          <w:iCs/>
          <w:sz w:val="20"/>
          <w:szCs w:val="20"/>
        </w:rPr>
        <w:t>t</w:t>
      </w:r>
      <w:r w:rsidRPr="00362EC0">
        <w:rPr>
          <w:rFonts w:ascii="Arial" w:hAnsi="Arial" w:cs="Arial"/>
          <w:sz w:val="20"/>
          <w:szCs w:val="20"/>
        </w:rPr>
        <w:t xml:space="preserve">(38) = 4.85, </w:t>
      </w:r>
      <w:r w:rsidRPr="00362EC0">
        <w:rPr>
          <w:rFonts w:ascii="Arial" w:hAnsi="Arial" w:cs="Arial"/>
          <w:i/>
          <w:iCs/>
          <w:sz w:val="20"/>
          <w:szCs w:val="20"/>
        </w:rPr>
        <w:t>p</w:t>
      </w:r>
      <w:r w:rsidRPr="00362EC0">
        <w:rPr>
          <w:rFonts w:ascii="Arial" w:hAnsi="Arial" w:cs="Arial"/>
          <w:i/>
          <w:iCs/>
          <w:sz w:val="20"/>
          <w:szCs w:val="20"/>
          <w:vertAlign w:val="subscript"/>
        </w:rPr>
        <w:t>c</w:t>
      </w:r>
      <w:r w:rsidRPr="00362EC0">
        <w:rPr>
          <w:rFonts w:ascii="Arial" w:hAnsi="Arial" w:cs="Arial"/>
          <w:sz w:val="20"/>
          <w:szCs w:val="20"/>
        </w:rPr>
        <w:t xml:space="preserve"> &lt; .001</w:t>
      </w:r>
      <w:r w:rsidR="002B2D0D" w:rsidRPr="00362EC0">
        <w:rPr>
          <w:rFonts w:ascii="Arial" w:hAnsi="Arial" w:cs="Arial"/>
          <w:sz w:val="20"/>
          <w:szCs w:val="20"/>
        </w:rPr>
        <w:t xml:space="preserve">, </w:t>
      </w:r>
      <w:r w:rsidR="002B2D0D" w:rsidRPr="00362EC0">
        <w:rPr>
          <w:rFonts w:ascii="Arial" w:hAnsi="Arial" w:cs="Arial"/>
          <w:i/>
          <w:sz w:val="20"/>
          <w:szCs w:val="20"/>
        </w:rPr>
        <w:t>g</w:t>
      </w:r>
      <w:r w:rsidR="002B2D0D" w:rsidRPr="00362EC0">
        <w:rPr>
          <w:rFonts w:ascii="Arial" w:hAnsi="Arial" w:cs="Arial"/>
          <w:i/>
          <w:sz w:val="20"/>
          <w:szCs w:val="20"/>
          <w:vertAlign w:val="subscript"/>
        </w:rPr>
        <w:t>av</w:t>
      </w:r>
      <w:r w:rsidR="002B2D0D" w:rsidRPr="00362EC0">
        <w:rPr>
          <w:rFonts w:ascii="Arial" w:hAnsi="Arial" w:cs="Arial"/>
          <w:sz w:val="20"/>
          <w:szCs w:val="20"/>
        </w:rPr>
        <w:t xml:space="preserve"> = .78, CI = .42 - 1.15</w:t>
      </w:r>
      <w:r w:rsidR="00A362C8" w:rsidRPr="00362EC0">
        <w:rPr>
          <w:rFonts w:ascii="Arial" w:hAnsi="Arial" w:cs="Arial"/>
          <w:sz w:val="20"/>
          <w:szCs w:val="20"/>
        </w:rPr>
        <w:t xml:space="preserve"> </w:t>
      </w:r>
      <w:r w:rsidR="00AE1B05" w:rsidRPr="00362EC0">
        <w:rPr>
          <w:rFonts w:ascii="Arial" w:hAnsi="Arial" w:cs="Arial"/>
          <w:sz w:val="20"/>
          <w:szCs w:val="20"/>
        </w:rPr>
        <w:t>(</w:t>
      </w:r>
      <w:r w:rsidR="00A362C8" w:rsidRPr="00362EC0">
        <w:rPr>
          <w:rFonts w:ascii="Arial" w:hAnsi="Arial" w:cs="Arial"/>
          <w:sz w:val="20"/>
          <w:szCs w:val="20"/>
        </w:rPr>
        <w:t xml:space="preserve">see </w:t>
      </w:r>
      <w:r w:rsidR="00A362C8" w:rsidRPr="00362EC0">
        <w:rPr>
          <w:rFonts w:ascii="Arial" w:hAnsi="Arial" w:cs="Arial"/>
          <w:b/>
          <w:bCs/>
          <w:sz w:val="20"/>
          <w:szCs w:val="20"/>
        </w:rPr>
        <w:t>Fig</w:t>
      </w:r>
      <w:r w:rsidR="00AE1B05" w:rsidRPr="00362EC0">
        <w:rPr>
          <w:rFonts w:ascii="Arial" w:hAnsi="Arial" w:cs="Arial"/>
          <w:b/>
          <w:bCs/>
          <w:sz w:val="20"/>
          <w:szCs w:val="20"/>
        </w:rPr>
        <w:t>.</w:t>
      </w:r>
      <w:r w:rsidR="00A362C8" w:rsidRPr="00362EC0">
        <w:rPr>
          <w:rFonts w:ascii="Arial" w:hAnsi="Arial" w:cs="Arial"/>
          <w:b/>
          <w:bCs/>
          <w:sz w:val="20"/>
          <w:szCs w:val="20"/>
        </w:rPr>
        <w:t xml:space="preserve"> </w:t>
      </w:r>
      <w:r w:rsidR="00B67DB0" w:rsidRPr="00362EC0">
        <w:rPr>
          <w:rFonts w:ascii="Arial" w:hAnsi="Arial" w:cs="Arial"/>
          <w:b/>
          <w:bCs/>
          <w:sz w:val="20"/>
          <w:szCs w:val="20"/>
        </w:rPr>
        <w:t>3</w:t>
      </w:r>
      <w:r w:rsidR="00AF6642" w:rsidRPr="00362EC0">
        <w:rPr>
          <w:rFonts w:ascii="Arial" w:hAnsi="Arial" w:cs="Arial"/>
          <w:b/>
          <w:bCs/>
          <w:sz w:val="20"/>
          <w:szCs w:val="20"/>
        </w:rPr>
        <w:t>F</w:t>
      </w:r>
      <w:r w:rsidR="00AE1B05" w:rsidRPr="00362EC0">
        <w:rPr>
          <w:rFonts w:ascii="Arial" w:hAnsi="Arial" w:cs="Arial"/>
          <w:sz w:val="20"/>
          <w:szCs w:val="20"/>
        </w:rPr>
        <w:t>)</w:t>
      </w:r>
      <w:r w:rsidRPr="00362EC0">
        <w:rPr>
          <w:rFonts w:ascii="Arial" w:hAnsi="Arial" w:cs="Arial"/>
          <w:sz w:val="20"/>
          <w:szCs w:val="20"/>
        </w:rPr>
        <w:t>. The %</w:t>
      </w:r>
      <w:r w:rsidR="00EF6A0B" w:rsidRPr="00362EC0">
        <w:rPr>
          <w:rFonts w:ascii="Arial" w:hAnsi="Arial" w:cs="Arial"/>
          <w:sz w:val="20"/>
          <w:szCs w:val="20"/>
        </w:rPr>
        <w:t xml:space="preserve"> of</w:t>
      </w:r>
      <w:r w:rsidRPr="00362EC0">
        <w:rPr>
          <w:rFonts w:ascii="Arial" w:hAnsi="Arial" w:cs="Arial"/>
          <w:sz w:val="20"/>
          <w:szCs w:val="20"/>
        </w:rPr>
        <w:t xml:space="preserve"> intentionally stopped</w:t>
      </w:r>
      <w:r w:rsidR="00C5309E" w:rsidRPr="00362EC0">
        <w:rPr>
          <w:rFonts w:ascii="Arial" w:hAnsi="Arial" w:cs="Arial"/>
          <w:sz w:val="20"/>
          <w:szCs w:val="20"/>
        </w:rPr>
        <w:t xml:space="preserve"> trials</w:t>
      </w:r>
      <w:r w:rsidRPr="00362EC0">
        <w:rPr>
          <w:rFonts w:ascii="Arial" w:hAnsi="Arial" w:cs="Arial"/>
          <w:sz w:val="20"/>
          <w:szCs w:val="20"/>
        </w:rPr>
        <w:t xml:space="preserve"> was not significantly different between high and low reward trials</w:t>
      </w:r>
      <w:r w:rsidR="00611638" w:rsidRPr="00362EC0">
        <w:rPr>
          <w:rFonts w:ascii="Arial" w:hAnsi="Arial" w:cs="Arial"/>
          <w:sz w:val="20"/>
          <w:szCs w:val="20"/>
        </w:rPr>
        <w:t>,</w:t>
      </w:r>
      <w:r w:rsidRPr="00362EC0">
        <w:rPr>
          <w:rFonts w:ascii="Arial" w:hAnsi="Arial" w:cs="Arial"/>
          <w:sz w:val="20"/>
          <w:szCs w:val="20"/>
        </w:rPr>
        <w:t xml:space="preserve"> </w:t>
      </w:r>
      <w:r w:rsidR="003021FC" w:rsidRPr="00362EC0">
        <w:rPr>
          <w:rFonts w:ascii="Arial" w:hAnsi="Arial" w:cs="Arial"/>
          <w:i/>
          <w:iCs/>
          <w:sz w:val="20"/>
          <w:szCs w:val="20"/>
        </w:rPr>
        <w:t>t</w:t>
      </w:r>
      <w:r w:rsidR="003021FC" w:rsidRPr="00362EC0">
        <w:rPr>
          <w:rFonts w:ascii="Arial" w:hAnsi="Arial" w:cs="Arial"/>
          <w:sz w:val="20"/>
          <w:szCs w:val="20"/>
        </w:rPr>
        <w:t xml:space="preserve">(38) = 1.27, </w:t>
      </w:r>
      <w:r w:rsidR="003021FC" w:rsidRPr="00362EC0">
        <w:rPr>
          <w:rFonts w:ascii="Arial" w:hAnsi="Arial" w:cs="Arial"/>
          <w:i/>
          <w:iCs/>
          <w:sz w:val="20"/>
          <w:szCs w:val="20"/>
        </w:rPr>
        <w:t>p</w:t>
      </w:r>
      <w:r w:rsidR="003021FC" w:rsidRPr="00362EC0">
        <w:rPr>
          <w:rFonts w:ascii="Arial" w:hAnsi="Arial" w:cs="Arial"/>
          <w:sz w:val="20"/>
          <w:szCs w:val="20"/>
        </w:rPr>
        <w:t xml:space="preserve"> = .21</w:t>
      </w:r>
      <w:r w:rsidR="002B2D0D" w:rsidRPr="00362EC0">
        <w:rPr>
          <w:rFonts w:ascii="Arial" w:hAnsi="Arial" w:cs="Arial"/>
          <w:sz w:val="20"/>
          <w:szCs w:val="20"/>
        </w:rPr>
        <w:t xml:space="preserve">, </w:t>
      </w:r>
      <w:r w:rsidR="002B2D0D" w:rsidRPr="00362EC0">
        <w:rPr>
          <w:rFonts w:ascii="Arial" w:hAnsi="Arial" w:cs="Arial"/>
          <w:i/>
          <w:iCs/>
          <w:sz w:val="20"/>
          <w:szCs w:val="20"/>
        </w:rPr>
        <w:t>g</w:t>
      </w:r>
      <w:r w:rsidR="002B2D0D" w:rsidRPr="00362EC0">
        <w:rPr>
          <w:rFonts w:ascii="Arial" w:hAnsi="Arial" w:cs="Arial"/>
          <w:i/>
          <w:iCs/>
          <w:sz w:val="20"/>
          <w:szCs w:val="20"/>
          <w:vertAlign w:val="subscript"/>
        </w:rPr>
        <w:t>av</w:t>
      </w:r>
      <w:r w:rsidR="002B2D0D" w:rsidRPr="00362EC0">
        <w:rPr>
          <w:rFonts w:ascii="Arial" w:hAnsi="Arial" w:cs="Arial"/>
          <w:sz w:val="20"/>
          <w:szCs w:val="20"/>
        </w:rPr>
        <w:t xml:space="preserve"> = .23, CI = -.14 - .60.</w:t>
      </w:r>
    </w:p>
    <w:p w14:paraId="0BF4268C" w14:textId="2ACF6C5D" w:rsidR="00AF6642" w:rsidRPr="00362EC0" w:rsidRDefault="00AF6642" w:rsidP="00AF6642">
      <w:pPr>
        <w:spacing w:line="360" w:lineRule="auto"/>
        <w:ind w:firstLine="720"/>
        <w:rPr>
          <w:rFonts w:ascii="Arial" w:hAnsi="Arial" w:cs="Arial"/>
          <w:sz w:val="20"/>
          <w:szCs w:val="20"/>
        </w:rPr>
      </w:pPr>
      <w:r w:rsidRPr="00362EC0">
        <w:rPr>
          <w:rFonts w:ascii="Arial" w:hAnsi="Arial" w:cs="Arial"/>
          <w:sz w:val="20"/>
          <w:szCs w:val="20"/>
        </w:rPr>
        <w:t xml:space="preserve">Analysing Stop distance did not reveal a main effect of </w:t>
      </w:r>
      <w:r w:rsidR="00611638" w:rsidRPr="00362EC0">
        <w:rPr>
          <w:rFonts w:ascii="Arial" w:hAnsi="Arial" w:cs="Arial"/>
          <w:sz w:val="20"/>
          <w:szCs w:val="20"/>
        </w:rPr>
        <w:t xml:space="preserve">Instructed </w:t>
      </w:r>
      <w:r w:rsidRPr="00362EC0">
        <w:rPr>
          <w:rFonts w:ascii="Arial" w:hAnsi="Arial" w:cs="Arial"/>
          <w:sz w:val="20"/>
          <w:szCs w:val="20"/>
        </w:rPr>
        <w:t xml:space="preserve">vs. </w:t>
      </w:r>
      <w:r w:rsidR="00611638" w:rsidRPr="00362EC0">
        <w:rPr>
          <w:rFonts w:ascii="Arial" w:hAnsi="Arial" w:cs="Arial"/>
          <w:sz w:val="20"/>
          <w:szCs w:val="20"/>
        </w:rPr>
        <w:t xml:space="preserve">Choice </w:t>
      </w:r>
      <w:r w:rsidRPr="00362EC0">
        <w:rPr>
          <w:rFonts w:ascii="Arial" w:hAnsi="Arial" w:cs="Arial"/>
          <w:sz w:val="20"/>
          <w:szCs w:val="20"/>
        </w:rPr>
        <w:t>(</w:t>
      </w:r>
      <w:r w:rsidRPr="00362EC0">
        <w:rPr>
          <w:rFonts w:ascii="Arial" w:hAnsi="Arial" w:cs="Arial"/>
          <w:i/>
          <w:iCs/>
          <w:sz w:val="20"/>
          <w:szCs w:val="20"/>
        </w:rPr>
        <w:t>F</w:t>
      </w:r>
      <w:r w:rsidRPr="00362EC0">
        <w:rPr>
          <w:rFonts w:ascii="Arial" w:hAnsi="Arial" w:cs="Arial"/>
          <w:sz w:val="20"/>
          <w:szCs w:val="20"/>
        </w:rPr>
        <w:t>(1,76) = .07,</w:t>
      </w:r>
      <w:r w:rsidRPr="00362EC0">
        <w:rPr>
          <w:rFonts w:ascii="Arial" w:hAnsi="Arial" w:cs="Arial"/>
          <w:i/>
          <w:iCs/>
          <w:sz w:val="20"/>
          <w:szCs w:val="20"/>
        </w:rPr>
        <w:t xml:space="preserve"> p</w:t>
      </w:r>
      <w:r w:rsidRPr="00362EC0">
        <w:rPr>
          <w:rFonts w:ascii="Arial" w:hAnsi="Arial" w:cs="Arial"/>
          <w:sz w:val="20"/>
          <w:szCs w:val="20"/>
        </w:rPr>
        <w:t xml:space="preserve"> = .79, η</w:t>
      </w:r>
      <w:r w:rsidRPr="00362EC0">
        <w:rPr>
          <w:rFonts w:ascii="Arial" w:hAnsi="Arial" w:cs="Arial"/>
          <w:sz w:val="20"/>
          <w:szCs w:val="20"/>
          <w:vertAlign w:val="superscript"/>
        </w:rPr>
        <w:t>2</w:t>
      </w:r>
      <w:r w:rsidRPr="00362EC0">
        <w:rPr>
          <w:rFonts w:ascii="Arial" w:hAnsi="Arial" w:cs="Arial"/>
          <w:sz w:val="20"/>
          <w:szCs w:val="20"/>
          <w:vertAlign w:val="subscript"/>
        </w:rPr>
        <w:t>p</w:t>
      </w:r>
      <w:r w:rsidRPr="00362EC0">
        <w:rPr>
          <w:rFonts w:ascii="Arial" w:hAnsi="Arial" w:cs="Arial"/>
          <w:sz w:val="20"/>
          <w:szCs w:val="20"/>
        </w:rPr>
        <w:t xml:space="preserve"> = .002, CI = 0 - .04), or reward types (</w:t>
      </w:r>
      <w:r w:rsidRPr="00362EC0">
        <w:rPr>
          <w:rFonts w:ascii="Arial" w:hAnsi="Arial" w:cs="Arial"/>
          <w:i/>
          <w:iCs/>
          <w:sz w:val="20"/>
          <w:szCs w:val="20"/>
        </w:rPr>
        <w:t>F</w:t>
      </w:r>
      <w:r w:rsidRPr="00362EC0">
        <w:rPr>
          <w:rFonts w:ascii="Arial" w:hAnsi="Arial" w:cs="Arial"/>
          <w:sz w:val="20"/>
          <w:szCs w:val="20"/>
        </w:rPr>
        <w:t xml:space="preserve">(1.7,64.5) = 2.46, </w:t>
      </w:r>
      <w:r w:rsidRPr="00362EC0">
        <w:rPr>
          <w:rFonts w:ascii="Arial" w:hAnsi="Arial" w:cs="Arial"/>
          <w:i/>
          <w:iCs/>
          <w:sz w:val="20"/>
          <w:szCs w:val="20"/>
        </w:rPr>
        <w:t>p</w:t>
      </w:r>
      <w:r w:rsidRPr="00362EC0">
        <w:rPr>
          <w:rFonts w:ascii="Arial" w:hAnsi="Arial" w:cs="Arial"/>
          <w:sz w:val="20"/>
          <w:szCs w:val="20"/>
        </w:rPr>
        <w:t xml:space="preserve"> = .10, η</w:t>
      </w:r>
      <w:r w:rsidRPr="00362EC0">
        <w:rPr>
          <w:rFonts w:ascii="Arial" w:hAnsi="Arial" w:cs="Arial"/>
          <w:sz w:val="20"/>
          <w:szCs w:val="20"/>
          <w:vertAlign w:val="superscript"/>
        </w:rPr>
        <w:t>2</w:t>
      </w:r>
      <w:r w:rsidRPr="00362EC0">
        <w:rPr>
          <w:rFonts w:ascii="Arial" w:hAnsi="Arial" w:cs="Arial"/>
          <w:sz w:val="20"/>
          <w:szCs w:val="20"/>
          <w:vertAlign w:val="subscript"/>
        </w:rPr>
        <w:t>p</w:t>
      </w:r>
      <w:r w:rsidRPr="00362EC0">
        <w:rPr>
          <w:rFonts w:ascii="Arial" w:hAnsi="Arial" w:cs="Arial"/>
          <w:sz w:val="20"/>
          <w:szCs w:val="20"/>
        </w:rPr>
        <w:t xml:space="preserve"> = .06, CI = 0 – .16). The interaction between reward and type of instruction was not significant (</w:t>
      </w:r>
      <w:r w:rsidRPr="00362EC0">
        <w:rPr>
          <w:rFonts w:ascii="Arial" w:hAnsi="Arial" w:cs="Arial"/>
          <w:i/>
          <w:iCs/>
          <w:sz w:val="20"/>
          <w:szCs w:val="20"/>
        </w:rPr>
        <w:t>F</w:t>
      </w:r>
      <w:r w:rsidRPr="00362EC0">
        <w:rPr>
          <w:rFonts w:ascii="Arial" w:hAnsi="Arial" w:cs="Arial"/>
          <w:sz w:val="20"/>
          <w:szCs w:val="20"/>
        </w:rPr>
        <w:t>(1.7,63) = 1.65,</w:t>
      </w:r>
      <w:r w:rsidRPr="00362EC0">
        <w:rPr>
          <w:rFonts w:ascii="Arial" w:hAnsi="Arial" w:cs="Arial"/>
          <w:i/>
          <w:iCs/>
          <w:sz w:val="20"/>
          <w:szCs w:val="20"/>
        </w:rPr>
        <w:t xml:space="preserve"> p</w:t>
      </w:r>
      <w:r w:rsidRPr="00362EC0">
        <w:rPr>
          <w:rFonts w:ascii="Arial" w:hAnsi="Arial" w:cs="Arial"/>
          <w:sz w:val="20"/>
          <w:szCs w:val="20"/>
        </w:rPr>
        <w:t xml:space="preserve"> = .20, η</w:t>
      </w:r>
      <w:r w:rsidRPr="00362EC0">
        <w:rPr>
          <w:rFonts w:ascii="Arial" w:hAnsi="Arial" w:cs="Arial"/>
          <w:sz w:val="20"/>
          <w:szCs w:val="20"/>
          <w:vertAlign w:val="superscript"/>
        </w:rPr>
        <w:t>2</w:t>
      </w:r>
      <w:r w:rsidRPr="00362EC0">
        <w:rPr>
          <w:rFonts w:ascii="Arial" w:hAnsi="Arial" w:cs="Arial"/>
          <w:sz w:val="20"/>
          <w:szCs w:val="20"/>
          <w:vertAlign w:val="subscript"/>
        </w:rPr>
        <w:t>p</w:t>
      </w:r>
      <w:r w:rsidRPr="00362EC0">
        <w:rPr>
          <w:rFonts w:ascii="Arial" w:hAnsi="Arial" w:cs="Arial"/>
          <w:sz w:val="20"/>
          <w:szCs w:val="20"/>
        </w:rPr>
        <w:t xml:space="preserve"> = .04, CI = 0 - .13).</w:t>
      </w:r>
    </w:p>
    <w:p w14:paraId="7384F9ED" w14:textId="74A72FBD" w:rsidR="00AF6642" w:rsidRPr="00362EC0" w:rsidRDefault="00AF6642" w:rsidP="00AF6642">
      <w:pPr>
        <w:spacing w:line="360" w:lineRule="auto"/>
        <w:ind w:firstLine="720"/>
        <w:rPr>
          <w:rFonts w:ascii="Arial" w:hAnsi="Arial" w:cs="Arial"/>
          <w:sz w:val="20"/>
          <w:szCs w:val="20"/>
        </w:rPr>
      </w:pPr>
      <w:r w:rsidRPr="00362EC0">
        <w:rPr>
          <w:rFonts w:ascii="Arial" w:hAnsi="Arial" w:cs="Arial"/>
          <w:sz w:val="20"/>
          <w:szCs w:val="20"/>
        </w:rPr>
        <w:t xml:space="preserve">The rmANOVA on average speed during Stop trials (how fast participants moved the mouse </w:t>
      </w:r>
      <w:r w:rsidR="00011DF0" w:rsidRPr="00362EC0">
        <w:rPr>
          <w:rFonts w:ascii="Arial" w:hAnsi="Arial" w:cs="Arial"/>
          <w:sz w:val="20"/>
          <w:szCs w:val="20"/>
        </w:rPr>
        <w:t>till</w:t>
      </w:r>
      <w:r w:rsidRPr="00362EC0">
        <w:rPr>
          <w:rFonts w:ascii="Arial" w:hAnsi="Arial" w:cs="Arial"/>
          <w:sz w:val="20"/>
          <w:szCs w:val="20"/>
        </w:rPr>
        <w:t xml:space="preserve"> they stopped) expressed a significant main effect of </w:t>
      </w:r>
      <w:r w:rsidR="00611638" w:rsidRPr="00362EC0">
        <w:rPr>
          <w:rFonts w:ascii="Arial" w:hAnsi="Arial" w:cs="Arial"/>
          <w:sz w:val="20"/>
          <w:szCs w:val="20"/>
        </w:rPr>
        <w:t xml:space="preserve">Instructed </w:t>
      </w:r>
      <w:r w:rsidRPr="00362EC0">
        <w:rPr>
          <w:rFonts w:ascii="Arial" w:hAnsi="Arial" w:cs="Arial"/>
          <w:sz w:val="20"/>
          <w:szCs w:val="20"/>
        </w:rPr>
        <w:t xml:space="preserve">vs. </w:t>
      </w:r>
      <w:r w:rsidR="00611638" w:rsidRPr="00362EC0">
        <w:rPr>
          <w:rFonts w:ascii="Arial" w:hAnsi="Arial" w:cs="Arial"/>
          <w:sz w:val="20"/>
          <w:szCs w:val="20"/>
        </w:rPr>
        <w:t xml:space="preserve">Choice </w:t>
      </w:r>
      <w:r w:rsidRPr="00362EC0">
        <w:rPr>
          <w:rFonts w:ascii="Arial" w:hAnsi="Arial" w:cs="Arial"/>
          <w:sz w:val="20"/>
          <w:szCs w:val="20"/>
        </w:rPr>
        <w:t>(</w:t>
      </w:r>
      <w:r w:rsidRPr="00362EC0">
        <w:rPr>
          <w:rFonts w:ascii="Arial" w:hAnsi="Arial" w:cs="Arial"/>
          <w:i/>
          <w:iCs/>
          <w:sz w:val="20"/>
          <w:szCs w:val="20"/>
        </w:rPr>
        <w:t>F</w:t>
      </w:r>
      <w:r w:rsidRPr="00362EC0">
        <w:rPr>
          <w:rFonts w:ascii="Arial" w:hAnsi="Arial" w:cs="Arial"/>
          <w:sz w:val="20"/>
          <w:szCs w:val="20"/>
        </w:rPr>
        <w:t>(1,38) = 22.83,</w:t>
      </w:r>
      <w:r w:rsidRPr="00362EC0">
        <w:rPr>
          <w:rFonts w:ascii="Arial" w:hAnsi="Arial" w:cs="Arial"/>
          <w:i/>
          <w:iCs/>
          <w:sz w:val="20"/>
          <w:szCs w:val="20"/>
        </w:rPr>
        <w:t xml:space="preserve"> p</w:t>
      </w:r>
      <w:r w:rsidRPr="00362EC0">
        <w:rPr>
          <w:rFonts w:ascii="Arial" w:hAnsi="Arial" w:cs="Arial"/>
          <w:sz w:val="20"/>
          <w:szCs w:val="20"/>
        </w:rPr>
        <w:t xml:space="preserve"> &lt; .001, η</w:t>
      </w:r>
      <w:r w:rsidRPr="00362EC0">
        <w:rPr>
          <w:rFonts w:ascii="Arial" w:hAnsi="Arial" w:cs="Arial"/>
          <w:sz w:val="20"/>
          <w:szCs w:val="20"/>
          <w:vertAlign w:val="superscript"/>
        </w:rPr>
        <w:t>2</w:t>
      </w:r>
      <w:r w:rsidRPr="00362EC0">
        <w:rPr>
          <w:rFonts w:ascii="Arial" w:hAnsi="Arial" w:cs="Arial"/>
          <w:sz w:val="20"/>
          <w:szCs w:val="20"/>
          <w:vertAlign w:val="subscript"/>
        </w:rPr>
        <w:t>p</w:t>
      </w:r>
      <w:r w:rsidRPr="00362EC0">
        <w:rPr>
          <w:rFonts w:ascii="Arial" w:hAnsi="Arial" w:cs="Arial"/>
          <w:sz w:val="20"/>
          <w:szCs w:val="20"/>
        </w:rPr>
        <w:t xml:space="preserve"> = .38, CI = .17 - .52), with increased speed during </w:t>
      </w:r>
      <w:r w:rsidR="00611638" w:rsidRPr="00362EC0">
        <w:rPr>
          <w:rFonts w:ascii="Arial" w:hAnsi="Arial" w:cs="Arial"/>
          <w:sz w:val="20"/>
          <w:szCs w:val="20"/>
        </w:rPr>
        <w:t xml:space="preserve">Instructed </w:t>
      </w:r>
      <w:r w:rsidRPr="00362EC0">
        <w:rPr>
          <w:rFonts w:ascii="Arial" w:hAnsi="Arial" w:cs="Arial"/>
          <w:sz w:val="20"/>
          <w:szCs w:val="20"/>
        </w:rPr>
        <w:t>(</w:t>
      </w:r>
      <w:r w:rsidRPr="00362EC0">
        <w:rPr>
          <w:rFonts w:ascii="Arial" w:hAnsi="Arial" w:cs="Arial"/>
          <w:i/>
          <w:iCs/>
          <w:sz w:val="20"/>
          <w:szCs w:val="20"/>
        </w:rPr>
        <w:t>M</w:t>
      </w:r>
      <w:r w:rsidRPr="00362EC0">
        <w:rPr>
          <w:rFonts w:ascii="Arial" w:hAnsi="Arial" w:cs="Arial"/>
          <w:sz w:val="20"/>
          <w:szCs w:val="20"/>
        </w:rPr>
        <w:t xml:space="preserve"> = .81, </w:t>
      </w:r>
      <w:r w:rsidRPr="00362EC0">
        <w:rPr>
          <w:rFonts w:ascii="Arial" w:hAnsi="Arial" w:cs="Arial"/>
          <w:i/>
          <w:iCs/>
          <w:sz w:val="20"/>
          <w:szCs w:val="20"/>
        </w:rPr>
        <w:t>SD</w:t>
      </w:r>
      <w:r w:rsidRPr="00362EC0">
        <w:rPr>
          <w:rFonts w:ascii="Arial" w:hAnsi="Arial" w:cs="Arial"/>
          <w:sz w:val="20"/>
          <w:szCs w:val="20"/>
        </w:rPr>
        <w:t xml:space="preserve"> = .32) than </w:t>
      </w:r>
      <w:r w:rsidR="00611638" w:rsidRPr="00362EC0">
        <w:rPr>
          <w:rFonts w:ascii="Arial" w:hAnsi="Arial" w:cs="Arial"/>
          <w:sz w:val="20"/>
          <w:szCs w:val="20"/>
        </w:rPr>
        <w:t xml:space="preserve">Choice </w:t>
      </w:r>
      <w:r w:rsidR="00C266A6" w:rsidRPr="00362EC0">
        <w:rPr>
          <w:rFonts w:ascii="Arial" w:hAnsi="Arial" w:cs="Arial"/>
          <w:sz w:val="20"/>
          <w:szCs w:val="20"/>
        </w:rPr>
        <w:t xml:space="preserve">Stop trials </w:t>
      </w:r>
      <w:r w:rsidRPr="00362EC0">
        <w:rPr>
          <w:rFonts w:ascii="Arial" w:hAnsi="Arial" w:cs="Arial"/>
          <w:sz w:val="20"/>
          <w:szCs w:val="20"/>
        </w:rPr>
        <w:t>(</w:t>
      </w:r>
      <w:r w:rsidRPr="00362EC0">
        <w:rPr>
          <w:rFonts w:ascii="Arial" w:hAnsi="Arial" w:cs="Arial"/>
          <w:i/>
          <w:iCs/>
          <w:sz w:val="20"/>
          <w:szCs w:val="20"/>
        </w:rPr>
        <w:t>M</w:t>
      </w:r>
      <w:r w:rsidRPr="00362EC0">
        <w:rPr>
          <w:rFonts w:ascii="Arial" w:hAnsi="Arial" w:cs="Arial"/>
          <w:sz w:val="20"/>
          <w:szCs w:val="20"/>
        </w:rPr>
        <w:t xml:space="preserve"> = .75, </w:t>
      </w:r>
      <w:r w:rsidRPr="00362EC0">
        <w:rPr>
          <w:rFonts w:ascii="Arial" w:hAnsi="Arial" w:cs="Arial"/>
          <w:i/>
          <w:iCs/>
          <w:sz w:val="20"/>
          <w:szCs w:val="20"/>
        </w:rPr>
        <w:t>SD</w:t>
      </w:r>
      <w:r w:rsidRPr="00362EC0">
        <w:rPr>
          <w:rFonts w:ascii="Arial" w:hAnsi="Arial" w:cs="Arial"/>
          <w:sz w:val="20"/>
          <w:szCs w:val="20"/>
        </w:rPr>
        <w:t xml:space="preserve"> = .30)</w:t>
      </w:r>
      <w:r w:rsidR="006616BD" w:rsidRPr="00362EC0">
        <w:rPr>
          <w:rFonts w:ascii="Arial" w:hAnsi="Arial" w:cs="Arial"/>
          <w:sz w:val="20"/>
          <w:szCs w:val="20"/>
        </w:rPr>
        <w:t xml:space="preserve">, see </w:t>
      </w:r>
      <w:r w:rsidR="006616BD" w:rsidRPr="008A60DF">
        <w:rPr>
          <w:rFonts w:ascii="Arial" w:hAnsi="Arial" w:cs="Arial"/>
          <w:b/>
          <w:bCs/>
          <w:sz w:val="20"/>
          <w:szCs w:val="20"/>
        </w:rPr>
        <w:t xml:space="preserve">Fig. </w:t>
      </w:r>
      <w:r w:rsidR="00B67DB0" w:rsidRPr="008A60DF">
        <w:rPr>
          <w:rFonts w:ascii="Arial" w:hAnsi="Arial" w:cs="Arial"/>
          <w:b/>
          <w:bCs/>
          <w:sz w:val="20"/>
          <w:szCs w:val="20"/>
        </w:rPr>
        <w:t>3</w:t>
      </w:r>
      <w:r w:rsidR="006616BD" w:rsidRPr="008A60DF">
        <w:rPr>
          <w:rFonts w:ascii="Arial" w:hAnsi="Arial" w:cs="Arial"/>
          <w:b/>
          <w:bCs/>
          <w:sz w:val="20"/>
          <w:szCs w:val="20"/>
        </w:rPr>
        <w:t>G</w:t>
      </w:r>
      <w:r w:rsidRPr="00362EC0">
        <w:rPr>
          <w:rFonts w:ascii="Arial" w:hAnsi="Arial" w:cs="Arial"/>
          <w:sz w:val="20"/>
          <w:szCs w:val="20"/>
        </w:rPr>
        <w:t>. Additionally, and unlike in the Stop response time analyses, we found a significant main effect of reward on average speed during Stop trials (</w:t>
      </w:r>
      <w:r w:rsidRPr="00362EC0">
        <w:rPr>
          <w:rFonts w:ascii="Arial" w:hAnsi="Arial" w:cs="Arial"/>
          <w:i/>
          <w:iCs/>
          <w:sz w:val="20"/>
          <w:szCs w:val="20"/>
        </w:rPr>
        <w:t>F</w:t>
      </w:r>
      <w:r w:rsidRPr="00362EC0">
        <w:rPr>
          <w:rFonts w:ascii="Arial" w:hAnsi="Arial" w:cs="Arial"/>
          <w:sz w:val="20"/>
          <w:szCs w:val="20"/>
        </w:rPr>
        <w:t>(2,76) = 3.73,</w:t>
      </w:r>
      <w:r w:rsidRPr="00362EC0">
        <w:rPr>
          <w:rFonts w:ascii="Arial" w:hAnsi="Arial" w:cs="Arial"/>
          <w:i/>
          <w:iCs/>
          <w:sz w:val="20"/>
          <w:szCs w:val="20"/>
        </w:rPr>
        <w:t xml:space="preserve"> p</w:t>
      </w:r>
      <w:r w:rsidRPr="00362EC0">
        <w:rPr>
          <w:rFonts w:ascii="Arial" w:hAnsi="Arial" w:cs="Arial"/>
          <w:sz w:val="20"/>
          <w:szCs w:val="20"/>
        </w:rPr>
        <w:t xml:space="preserve"> </w:t>
      </w:r>
      <w:r w:rsidR="00C266A6" w:rsidRPr="00362EC0">
        <w:rPr>
          <w:rFonts w:ascii="Arial" w:hAnsi="Arial" w:cs="Arial"/>
          <w:sz w:val="20"/>
          <w:szCs w:val="20"/>
        </w:rPr>
        <w:t>&lt;</w:t>
      </w:r>
      <w:r w:rsidRPr="00362EC0">
        <w:rPr>
          <w:rFonts w:ascii="Arial" w:hAnsi="Arial" w:cs="Arial"/>
          <w:sz w:val="20"/>
          <w:szCs w:val="20"/>
        </w:rPr>
        <w:t xml:space="preserve"> .0</w:t>
      </w:r>
      <w:r w:rsidR="00C266A6" w:rsidRPr="00362EC0">
        <w:rPr>
          <w:rFonts w:ascii="Arial" w:hAnsi="Arial" w:cs="Arial"/>
          <w:sz w:val="20"/>
          <w:szCs w:val="20"/>
        </w:rPr>
        <w:t>5</w:t>
      </w:r>
      <w:r w:rsidRPr="00362EC0">
        <w:rPr>
          <w:rFonts w:ascii="Arial" w:hAnsi="Arial" w:cs="Arial"/>
          <w:sz w:val="20"/>
          <w:szCs w:val="20"/>
        </w:rPr>
        <w:t>, η</w:t>
      </w:r>
      <w:r w:rsidRPr="00362EC0">
        <w:rPr>
          <w:rFonts w:ascii="Arial" w:hAnsi="Arial" w:cs="Arial"/>
          <w:sz w:val="20"/>
          <w:szCs w:val="20"/>
          <w:vertAlign w:val="superscript"/>
        </w:rPr>
        <w:t>2</w:t>
      </w:r>
      <w:r w:rsidRPr="00362EC0">
        <w:rPr>
          <w:rFonts w:ascii="Arial" w:hAnsi="Arial" w:cs="Arial"/>
          <w:sz w:val="20"/>
          <w:szCs w:val="20"/>
          <w:vertAlign w:val="subscript"/>
        </w:rPr>
        <w:t>p</w:t>
      </w:r>
      <w:r w:rsidRPr="00362EC0">
        <w:rPr>
          <w:rFonts w:ascii="Arial" w:hAnsi="Arial" w:cs="Arial"/>
          <w:sz w:val="20"/>
          <w:szCs w:val="20"/>
        </w:rPr>
        <w:t xml:space="preserve"> = .09, CI = .0 - .19), while the interaction between reward types and </w:t>
      </w:r>
      <w:r w:rsidR="00611638" w:rsidRPr="00362EC0">
        <w:rPr>
          <w:rFonts w:ascii="Arial" w:hAnsi="Arial" w:cs="Arial"/>
          <w:sz w:val="20"/>
          <w:szCs w:val="20"/>
        </w:rPr>
        <w:t xml:space="preserve">Instructed </w:t>
      </w:r>
      <w:r w:rsidRPr="00362EC0">
        <w:rPr>
          <w:rFonts w:ascii="Arial" w:hAnsi="Arial" w:cs="Arial"/>
          <w:sz w:val="20"/>
          <w:szCs w:val="20"/>
        </w:rPr>
        <w:t xml:space="preserve">vs. </w:t>
      </w:r>
      <w:r w:rsidR="00611638" w:rsidRPr="00362EC0">
        <w:rPr>
          <w:rFonts w:ascii="Arial" w:hAnsi="Arial" w:cs="Arial"/>
          <w:sz w:val="20"/>
          <w:szCs w:val="20"/>
        </w:rPr>
        <w:t xml:space="preserve">Choice </w:t>
      </w:r>
      <w:r w:rsidRPr="00362EC0">
        <w:rPr>
          <w:rFonts w:ascii="Arial" w:hAnsi="Arial" w:cs="Arial"/>
          <w:sz w:val="20"/>
          <w:szCs w:val="20"/>
        </w:rPr>
        <w:t>was not significant (</w:t>
      </w:r>
      <w:r w:rsidRPr="00362EC0">
        <w:rPr>
          <w:rFonts w:ascii="Arial" w:hAnsi="Arial" w:cs="Arial"/>
          <w:i/>
          <w:iCs/>
          <w:sz w:val="20"/>
          <w:szCs w:val="20"/>
        </w:rPr>
        <w:t>F</w:t>
      </w:r>
      <w:r w:rsidRPr="00362EC0">
        <w:rPr>
          <w:rFonts w:ascii="Arial" w:hAnsi="Arial" w:cs="Arial"/>
          <w:sz w:val="20"/>
          <w:szCs w:val="20"/>
        </w:rPr>
        <w:t>(1.7,65.2) = 1.04,</w:t>
      </w:r>
      <w:r w:rsidRPr="00362EC0">
        <w:rPr>
          <w:rFonts w:ascii="Arial" w:hAnsi="Arial" w:cs="Arial"/>
          <w:i/>
          <w:iCs/>
          <w:sz w:val="20"/>
          <w:szCs w:val="20"/>
        </w:rPr>
        <w:t xml:space="preserve"> p</w:t>
      </w:r>
      <w:r w:rsidRPr="00362EC0">
        <w:rPr>
          <w:rFonts w:ascii="Arial" w:hAnsi="Arial" w:cs="Arial"/>
          <w:sz w:val="20"/>
          <w:szCs w:val="20"/>
        </w:rPr>
        <w:t xml:space="preserve"> = .36, η</w:t>
      </w:r>
      <w:r w:rsidRPr="00362EC0">
        <w:rPr>
          <w:rFonts w:ascii="Arial" w:hAnsi="Arial" w:cs="Arial"/>
          <w:sz w:val="20"/>
          <w:szCs w:val="20"/>
          <w:vertAlign w:val="superscript"/>
        </w:rPr>
        <w:t>2</w:t>
      </w:r>
      <w:r w:rsidRPr="00362EC0">
        <w:rPr>
          <w:rFonts w:ascii="Arial" w:hAnsi="Arial" w:cs="Arial"/>
          <w:sz w:val="20"/>
          <w:szCs w:val="20"/>
          <w:vertAlign w:val="subscript"/>
        </w:rPr>
        <w:t>p</w:t>
      </w:r>
      <w:r w:rsidRPr="00362EC0">
        <w:rPr>
          <w:rFonts w:ascii="Arial" w:hAnsi="Arial" w:cs="Arial"/>
          <w:sz w:val="20"/>
          <w:szCs w:val="20"/>
        </w:rPr>
        <w:t xml:space="preserve"> = .03, CI = 0 - .10). The main effect of reward on average speed during Stop trials showed that regardless of whether stopping was </w:t>
      </w:r>
      <w:r w:rsidR="00611638" w:rsidRPr="00362EC0">
        <w:rPr>
          <w:rFonts w:ascii="Arial" w:hAnsi="Arial" w:cs="Arial"/>
          <w:sz w:val="20"/>
          <w:szCs w:val="20"/>
        </w:rPr>
        <w:t xml:space="preserve">Intentional </w:t>
      </w:r>
      <w:r w:rsidRPr="00362EC0">
        <w:rPr>
          <w:rFonts w:ascii="Arial" w:hAnsi="Arial" w:cs="Arial"/>
          <w:sz w:val="20"/>
          <w:szCs w:val="20"/>
        </w:rPr>
        <w:t xml:space="preserve">or </w:t>
      </w:r>
      <w:r w:rsidR="00611638" w:rsidRPr="00362EC0">
        <w:rPr>
          <w:rFonts w:ascii="Arial" w:hAnsi="Arial" w:cs="Arial"/>
          <w:sz w:val="20"/>
          <w:szCs w:val="20"/>
        </w:rPr>
        <w:t>Instructed</w:t>
      </w:r>
      <w:r w:rsidRPr="00362EC0">
        <w:rPr>
          <w:rFonts w:ascii="Arial" w:hAnsi="Arial" w:cs="Arial"/>
          <w:sz w:val="20"/>
          <w:szCs w:val="20"/>
        </w:rPr>
        <w:t xml:space="preserve">, average speed during </w:t>
      </w:r>
      <w:r w:rsidR="007D6824">
        <w:rPr>
          <w:rFonts w:ascii="Arial" w:hAnsi="Arial" w:cs="Arial"/>
          <w:sz w:val="20"/>
          <w:szCs w:val="20"/>
        </w:rPr>
        <w:t>S</w:t>
      </w:r>
      <w:r w:rsidRPr="00362EC0">
        <w:rPr>
          <w:rFonts w:ascii="Arial" w:hAnsi="Arial" w:cs="Arial"/>
          <w:sz w:val="20"/>
          <w:szCs w:val="20"/>
        </w:rPr>
        <w:t>top trials was significantly increased during high reward (</w:t>
      </w:r>
      <w:r w:rsidRPr="00362EC0">
        <w:rPr>
          <w:rFonts w:ascii="Arial" w:hAnsi="Arial" w:cs="Arial"/>
          <w:i/>
          <w:iCs/>
          <w:sz w:val="20"/>
          <w:szCs w:val="20"/>
        </w:rPr>
        <w:t>M</w:t>
      </w:r>
      <w:r w:rsidRPr="00362EC0">
        <w:rPr>
          <w:rFonts w:ascii="Arial" w:hAnsi="Arial" w:cs="Arial"/>
          <w:sz w:val="20"/>
          <w:szCs w:val="20"/>
        </w:rPr>
        <w:t xml:space="preserve"> = .80, </w:t>
      </w:r>
      <w:r w:rsidRPr="00362EC0">
        <w:rPr>
          <w:rFonts w:ascii="Arial" w:hAnsi="Arial" w:cs="Arial"/>
          <w:i/>
          <w:iCs/>
          <w:sz w:val="20"/>
          <w:szCs w:val="20"/>
        </w:rPr>
        <w:t>SD</w:t>
      </w:r>
      <w:r w:rsidRPr="00362EC0">
        <w:rPr>
          <w:rFonts w:ascii="Arial" w:hAnsi="Arial" w:cs="Arial"/>
          <w:sz w:val="20"/>
          <w:szCs w:val="20"/>
        </w:rPr>
        <w:t xml:space="preserve"> = .32) when compared to low (</w:t>
      </w:r>
      <w:r w:rsidRPr="00362EC0">
        <w:rPr>
          <w:rFonts w:ascii="Arial" w:hAnsi="Arial" w:cs="Arial"/>
          <w:i/>
          <w:iCs/>
          <w:sz w:val="20"/>
          <w:szCs w:val="20"/>
        </w:rPr>
        <w:t>M</w:t>
      </w:r>
      <w:r w:rsidRPr="00362EC0">
        <w:rPr>
          <w:rFonts w:ascii="Arial" w:hAnsi="Arial" w:cs="Arial"/>
          <w:sz w:val="20"/>
          <w:szCs w:val="20"/>
        </w:rPr>
        <w:t xml:space="preserve"> = .77, </w:t>
      </w:r>
      <w:r w:rsidRPr="00362EC0">
        <w:rPr>
          <w:rFonts w:ascii="Arial" w:hAnsi="Arial" w:cs="Arial"/>
          <w:i/>
          <w:iCs/>
          <w:sz w:val="20"/>
          <w:szCs w:val="20"/>
        </w:rPr>
        <w:t>SD</w:t>
      </w:r>
      <w:r w:rsidRPr="00362EC0">
        <w:rPr>
          <w:rFonts w:ascii="Arial" w:hAnsi="Arial" w:cs="Arial"/>
          <w:sz w:val="20"/>
          <w:szCs w:val="20"/>
        </w:rPr>
        <w:t xml:space="preserve"> = .30) reward trials (</w:t>
      </w:r>
      <w:r w:rsidRPr="00362EC0">
        <w:rPr>
          <w:rFonts w:ascii="Arial" w:hAnsi="Arial" w:cs="Arial"/>
          <w:i/>
          <w:iCs/>
          <w:sz w:val="20"/>
          <w:szCs w:val="20"/>
        </w:rPr>
        <w:t>t</w:t>
      </w:r>
      <w:r w:rsidRPr="00362EC0">
        <w:rPr>
          <w:rFonts w:ascii="Arial" w:hAnsi="Arial" w:cs="Arial"/>
          <w:sz w:val="20"/>
          <w:szCs w:val="20"/>
        </w:rPr>
        <w:t xml:space="preserve">(38) = 2.86, </w:t>
      </w:r>
      <w:r w:rsidRPr="00362EC0">
        <w:rPr>
          <w:rFonts w:ascii="Arial" w:hAnsi="Arial" w:cs="Arial"/>
          <w:i/>
          <w:iCs/>
          <w:sz w:val="20"/>
          <w:szCs w:val="20"/>
        </w:rPr>
        <w:t>p</w:t>
      </w:r>
      <w:r w:rsidRPr="00362EC0">
        <w:rPr>
          <w:rFonts w:ascii="Arial" w:hAnsi="Arial" w:cs="Arial"/>
          <w:i/>
          <w:iCs/>
          <w:sz w:val="20"/>
          <w:szCs w:val="20"/>
          <w:vertAlign w:val="subscript"/>
        </w:rPr>
        <w:t>c</w:t>
      </w:r>
      <w:r w:rsidRPr="00362EC0">
        <w:rPr>
          <w:rFonts w:ascii="Arial" w:hAnsi="Arial" w:cs="Arial"/>
          <w:sz w:val="20"/>
          <w:szCs w:val="20"/>
        </w:rPr>
        <w:t xml:space="preserve"> </w:t>
      </w:r>
      <w:r w:rsidR="00C266A6" w:rsidRPr="00362EC0">
        <w:rPr>
          <w:rFonts w:ascii="Arial" w:hAnsi="Arial" w:cs="Arial"/>
          <w:sz w:val="20"/>
          <w:szCs w:val="20"/>
        </w:rPr>
        <w:t>&lt;</w:t>
      </w:r>
      <w:r w:rsidRPr="00362EC0">
        <w:rPr>
          <w:rFonts w:ascii="Arial" w:hAnsi="Arial" w:cs="Arial"/>
          <w:sz w:val="20"/>
          <w:szCs w:val="20"/>
        </w:rPr>
        <w:t xml:space="preserve"> .0</w:t>
      </w:r>
      <w:r w:rsidR="00C266A6" w:rsidRPr="00362EC0">
        <w:rPr>
          <w:rFonts w:ascii="Arial" w:hAnsi="Arial" w:cs="Arial"/>
          <w:sz w:val="20"/>
          <w:szCs w:val="20"/>
        </w:rPr>
        <w:t>5</w:t>
      </w:r>
      <w:r w:rsidRPr="00362EC0">
        <w:rPr>
          <w:rFonts w:ascii="Arial" w:hAnsi="Arial" w:cs="Arial"/>
          <w:sz w:val="20"/>
          <w:szCs w:val="20"/>
        </w:rPr>
        <w:t xml:space="preserve">, </w:t>
      </w:r>
      <w:r w:rsidRPr="00362EC0">
        <w:rPr>
          <w:rFonts w:ascii="Arial" w:hAnsi="Arial" w:cs="Arial"/>
          <w:i/>
          <w:sz w:val="20"/>
          <w:szCs w:val="20"/>
        </w:rPr>
        <w:t>g</w:t>
      </w:r>
      <w:r w:rsidRPr="00362EC0">
        <w:rPr>
          <w:rFonts w:ascii="Arial" w:hAnsi="Arial" w:cs="Arial"/>
          <w:i/>
          <w:sz w:val="20"/>
          <w:szCs w:val="20"/>
          <w:vertAlign w:val="subscript"/>
        </w:rPr>
        <w:t>av</w:t>
      </w:r>
      <w:r w:rsidRPr="00362EC0">
        <w:rPr>
          <w:rFonts w:ascii="Arial" w:hAnsi="Arial" w:cs="Arial"/>
          <w:sz w:val="20"/>
          <w:szCs w:val="20"/>
        </w:rPr>
        <w:t xml:space="preserve"> = .10, CI = .03 - .17). The difference between high and no reward did not remain significant following Bonferroni correction (</w:t>
      </w:r>
      <w:r w:rsidRPr="00362EC0">
        <w:rPr>
          <w:rFonts w:ascii="Arial" w:hAnsi="Arial" w:cs="Arial"/>
          <w:i/>
          <w:iCs/>
          <w:sz w:val="20"/>
          <w:szCs w:val="20"/>
        </w:rPr>
        <w:t>t</w:t>
      </w:r>
      <w:r w:rsidRPr="00362EC0">
        <w:rPr>
          <w:rFonts w:ascii="Arial" w:hAnsi="Arial" w:cs="Arial"/>
          <w:sz w:val="20"/>
          <w:szCs w:val="20"/>
        </w:rPr>
        <w:t xml:space="preserve">(38) = 2.27, </w:t>
      </w:r>
      <w:r w:rsidRPr="00362EC0">
        <w:rPr>
          <w:rFonts w:ascii="Arial" w:hAnsi="Arial" w:cs="Arial"/>
          <w:i/>
          <w:iCs/>
          <w:sz w:val="20"/>
          <w:szCs w:val="20"/>
        </w:rPr>
        <w:t>p</w:t>
      </w:r>
      <w:r w:rsidRPr="00362EC0">
        <w:rPr>
          <w:rFonts w:ascii="Arial" w:hAnsi="Arial" w:cs="Arial"/>
          <w:i/>
          <w:iCs/>
          <w:sz w:val="20"/>
          <w:szCs w:val="20"/>
          <w:vertAlign w:val="subscript"/>
        </w:rPr>
        <w:t>c</w:t>
      </w:r>
      <w:r w:rsidRPr="00362EC0">
        <w:rPr>
          <w:rFonts w:ascii="Arial" w:hAnsi="Arial" w:cs="Arial"/>
          <w:sz w:val="20"/>
          <w:szCs w:val="20"/>
        </w:rPr>
        <w:t xml:space="preserve"> = .087, </w:t>
      </w:r>
      <w:r w:rsidRPr="00362EC0">
        <w:rPr>
          <w:rFonts w:ascii="Arial" w:hAnsi="Arial" w:cs="Arial"/>
          <w:i/>
          <w:sz w:val="20"/>
          <w:szCs w:val="20"/>
        </w:rPr>
        <w:t>g</w:t>
      </w:r>
      <w:r w:rsidRPr="00362EC0">
        <w:rPr>
          <w:rFonts w:ascii="Arial" w:hAnsi="Arial" w:cs="Arial"/>
          <w:i/>
          <w:sz w:val="20"/>
          <w:szCs w:val="20"/>
          <w:vertAlign w:val="subscript"/>
        </w:rPr>
        <w:t>av</w:t>
      </w:r>
      <w:r w:rsidRPr="00362EC0">
        <w:rPr>
          <w:rFonts w:ascii="Arial" w:hAnsi="Arial" w:cs="Arial"/>
          <w:sz w:val="20"/>
          <w:szCs w:val="20"/>
        </w:rPr>
        <w:t xml:space="preserve"> = .09, CI = .02 - .17). </w:t>
      </w:r>
      <w:r w:rsidR="007F32AB" w:rsidRPr="00362EC0">
        <w:rPr>
          <w:rFonts w:ascii="Arial" w:hAnsi="Arial" w:cs="Arial"/>
          <w:sz w:val="20"/>
          <w:szCs w:val="20"/>
        </w:rPr>
        <w:t>Similarly, n</w:t>
      </w:r>
      <w:r w:rsidRPr="00362EC0">
        <w:rPr>
          <w:rFonts w:ascii="Arial" w:hAnsi="Arial" w:cs="Arial"/>
          <w:sz w:val="20"/>
          <w:szCs w:val="20"/>
        </w:rPr>
        <w:t>o (</w:t>
      </w:r>
      <w:r w:rsidRPr="00362EC0">
        <w:rPr>
          <w:rFonts w:ascii="Arial" w:hAnsi="Arial" w:cs="Arial"/>
          <w:i/>
          <w:iCs/>
          <w:sz w:val="20"/>
          <w:szCs w:val="20"/>
        </w:rPr>
        <w:t>M</w:t>
      </w:r>
      <w:r w:rsidRPr="00362EC0">
        <w:rPr>
          <w:rFonts w:ascii="Arial" w:hAnsi="Arial" w:cs="Arial"/>
          <w:sz w:val="20"/>
          <w:szCs w:val="20"/>
        </w:rPr>
        <w:t xml:space="preserve"> = .77, </w:t>
      </w:r>
      <w:r w:rsidRPr="00362EC0">
        <w:rPr>
          <w:rFonts w:ascii="Arial" w:hAnsi="Arial" w:cs="Arial"/>
          <w:i/>
          <w:iCs/>
          <w:sz w:val="20"/>
          <w:szCs w:val="20"/>
        </w:rPr>
        <w:t>SD</w:t>
      </w:r>
      <w:r w:rsidRPr="00362EC0">
        <w:rPr>
          <w:rFonts w:ascii="Arial" w:hAnsi="Arial" w:cs="Arial"/>
          <w:sz w:val="20"/>
          <w:szCs w:val="20"/>
        </w:rPr>
        <w:t xml:space="preserve"> = .32) and low reward did not differ statistically in their effect on average speed during Stop trials (</w:t>
      </w:r>
      <w:r w:rsidRPr="00362EC0">
        <w:rPr>
          <w:rFonts w:ascii="Arial" w:hAnsi="Arial" w:cs="Arial"/>
          <w:i/>
          <w:iCs/>
          <w:sz w:val="20"/>
          <w:szCs w:val="20"/>
        </w:rPr>
        <w:t>t</w:t>
      </w:r>
      <w:r w:rsidRPr="00362EC0">
        <w:rPr>
          <w:rFonts w:ascii="Arial" w:hAnsi="Arial" w:cs="Arial"/>
          <w:sz w:val="20"/>
          <w:szCs w:val="20"/>
        </w:rPr>
        <w:t xml:space="preserve">(38) = .31, </w:t>
      </w:r>
      <w:r w:rsidRPr="00362EC0">
        <w:rPr>
          <w:rFonts w:ascii="Arial" w:hAnsi="Arial" w:cs="Arial"/>
          <w:i/>
          <w:iCs/>
          <w:sz w:val="20"/>
          <w:szCs w:val="20"/>
        </w:rPr>
        <w:t>p</w:t>
      </w:r>
      <w:r w:rsidRPr="00362EC0">
        <w:rPr>
          <w:rFonts w:ascii="Arial" w:hAnsi="Arial" w:cs="Arial"/>
          <w:sz w:val="20"/>
          <w:szCs w:val="20"/>
        </w:rPr>
        <w:t xml:space="preserve"> = .755, </w:t>
      </w:r>
      <w:r w:rsidRPr="00362EC0">
        <w:rPr>
          <w:rFonts w:ascii="Arial" w:hAnsi="Arial" w:cs="Arial"/>
          <w:i/>
          <w:sz w:val="20"/>
          <w:szCs w:val="20"/>
        </w:rPr>
        <w:t>g</w:t>
      </w:r>
      <w:r w:rsidRPr="00362EC0">
        <w:rPr>
          <w:rFonts w:ascii="Arial" w:hAnsi="Arial" w:cs="Arial"/>
          <w:i/>
          <w:sz w:val="20"/>
          <w:szCs w:val="20"/>
          <w:vertAlign w:val="subscript"/>
        </w:rPr>
        <w:t>av</w:t>
      </w:r>
      <w:r w:rsidRPr="00362EC0">
        <w:rPr>
          <w:rFonts w:ascii="Arial" w:hAnsi="Arial" w:cs="Arial"/>
          <w:sz w:val="20"/>
          <w:szCs w:val="20"/>
        </w:rPr>
        <w:t xml:space="preserve"> = .01, CI = -.08 - .10), see </w:t>
      </w:r>
      <w:r w:rsidRPr="008A60DF">
        <w:rPr>
          <w:rFonts w:ascii="Arial" w:hAnsi="Arial" w:cs="Arial"/>
          <w:b/>
          <w:bCs/>
          <w:sz w:val="20"/>
          <w:szCs w:val="20"/>
        </w:rPr>
        <w:t>Fig</w:t>
      </w:r>
      <w:r w:rsidR="006616BD" w:rsidRPr="008A60DF">
        <w:rPr>
          <w:rFonts w:ascii="Arial" w:hAnsi="Arial" w:cs="Arial"/>
          <w:b/>
          <w:bCs/>
          <w:sz w:val="20"/>
          <w:szCs w:val="20"/>
        </w:rPr>
        <w:t>.</w:t>
      </w:r>
      <w:r w:rsidRPr="008A60DF">
        <w:rPr>
          <w:rFonts w:ascii="Arial" w:hAnsi="Arial" w:cs="Arial"/>
          <w:b/>
          <w:bCs/>
          <w:sz w:val="20"/>
          <w:szCs w:val="20"/>
        </w:rPr>
        <w:t xml:space="preserve"> </w:t>
      </w:r>
      <w:r w:rsidR="00B67DB0" w:rsidRPr="008A60DF">
        <w:rPr>
          <w:rFonts w:ascii="Arial" w:hAnsi="Arial" w:cs="Arial"/>
          <w:b/>
          <w:bCs/>
          <w:sz w:val="20"/>
          <w:szCs w:val="20"/>
        </w:rPr>
        <w:t>3</w:t>
      </w:r>
      <w:r w:rsidR="006616BD" w:rsidRPr="008A60DF">
        <w:rPr>
          <w:rFonts w:ascii="Arial" w:hAnsi="Arial" w:cs="Arial"/>
          <w:b/>
          <w:bCs/>
          <w:sz w:val="20"/>
          <w:szCs w:val="20"/>
        </w:rPr>
        <w:t>H</w:t>
      </w:r>
      <w:r w:rsidRPr="00362EC0">
        <w:rPr>
          <w:rFonts w:ascii="Arial" w:hAnsi="Arial" w:cs="Arial"/>
          <w:sz w:val="20"/>
          <w:szCs w:val="20"/>
        </w:rPr>
        <w:t xml:space="preserve">. </w:t>
      </w:r>
    </w:p>
    <w:p w14:paraId="0559B924" w14:textId="5E20514C" w:rsidR="00E85645" w:rsidRPr="00362EC0" w:rsidRDefault="00E85645" w:rsidP="001B3FF2">
      <w:pPr>
        <w:spacing w:after="0" w:line="360" w:lineRule="auto"/>
        <w:ind w:firstLine="720"/>
        <w:contextualSpacing/>
        <w:jc w:val="both"/>
        <w:rPr>
          <w:rFonts w:ascii="Arial" w:hAnsi="Arial" w:cs="Arial"/>
          <w:sz w:val="20"/>
          <w:szCs w:val="20"/>
        </w:rPr>
      </w:pPr>
    </w:p>
    <w:p w14:paraId="18DBCBCB" w14:textId="296C3CD5" w:rsidR="00E85645" w:rsidRPr="00362EC0" w:rsidRDefault="004945F7" w:rsidP="001B3FF2">
      <w:pPr>
        <w:spacing w:after="0" w:line="360" w:lineRule="auto"/>
        <w:ind w:firstLine="720"/>
        <w:contextualSpacing/>
        <w:jc w:val="both"/>
        <w:rPr>
          <w:rFonts w:ascii="Arial" w:hAnsi="Arial" w:cs="Arial"/>
          <w:sz w:val="20"/>
          <w:szCs w:val="20"/>
        </w:rPr>
      </w:pPr>
      <w:r w:rsidRPr="00362EC0">
        <w:rPr>
          <w:rFonts w:ascii="Arial" w:hAnsi="Arial" w:cs="Arial"/>
          <w:noProof/>
          <w:sz w:val="20"/>
          <w:szCs w:val="20"/>
        </w:rPr>
        <w:lastRenderedPageBreak/>
        <w:drawing>
          <wp:inline distT="0" distB="0" distL="0" distR="0" wp14:anchorId="38667738" wp14:editId="6A591B55">
            <wp:extent cx="5608955" cy="88633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AtoH.tif"/>
                    <pic:cNvPicPr/>
                  </pic:nvPicPr>
                  <pic:blipFill>
                    <a:blip r:embed="rId10">
                      <a:extLst>
                        <a:ext uri="{28A0092B-C50C-407E-A947-70E740481C1C}">
                          <a14:useLocalDpi xmlns:a14="http://schemas.microsoft.com/office/drawing/2010/main" val="0"/>
                        </a:ext>
                      </a:extLst>
                    </a:blip>
                    <a:stretch>
                      <a:fillRect/>
                    </a:stretch>
                  </pic:blipFill>
                  <pic:spPr>
                    <a:xfrm>
                      <a:off x="0" y="0"/>
                      <a:ext cx="5608955" cy="8863330"/>
                    </a:xfrm>
                    <a:prstGeom prst="rect">
                      <a:avLst/>
                    </a:prstGeom>
                  </pic:spPr>
                </pic:pic>
              </a:graphicData>
            </a:graphic>
          </wp:inline>
        </w:drawing>
      </w:r>
    </w:p>
    <w:p w14:paraId="6D584906" w14:textId="5516A5F7" w:rsidR="00E85645" w:rsidRPr="00362EC0" w:rsidRDefault="00E85645" w:rsidP="001B3FF2">
      <w:pPr>
        <w:spacing w:after="0" w:line="360" w:lineRule="auto"/>
        <w:contextualSpacing/>
        <w:jc w:val="both"/>
        <w:rPr>
          <w:rFonts w:ascii="Arial" w:hAnsi="Arial" w:cs="Arial"/>
          <w:iCs/>
          <w:sz w:val="20"/>
          <w:szCs w:val="20"/>
        </w:rPr>
      </w:pPr>
      <w:r w:rsidRPr="00362EC0">
        <w:rPr>
          <w:rFonts w:ascii="Arial" w:hAnsi="Arial" w:cs="Arial"/>
          <w:b/>
          <w:sz w:val="20"/>
          <w:szCs w:val="20"/>
        </w:rPr>
        <w:lastRenderedPageBreak/>
        <w:t xml:space="preserve">Figure </w:t>
      </w:r>
      <w:r w:rsidR="00B67DB0" w:rsidRPr="00362EC0">
        <w:rPr>
          <w:rFonts w:ascii="Arial" w:hAnsi="Arial" w:cs="Arial"/>
          <w:b/>
          <w:sz w:val="20"/>
          <w:szCs w:val="20"/>
        </w:rPr>
        <w:t>3</w:t>
      </w:r>
      <w:r w:rsidRPr="00362EC0">
        <w:rPr>
          <w:rFonts w:ascii="Arial" w:hAnsi="Arial" w:cs="Arial"/>
          <w:i/>
          <w:sz w:val="20"/>
          <w:szCs w:val="20"/>
        </w:rPr>
        <w:t xml:space="preserve">. </w:t>
      </w:r>
      <w:r w:rsidRPr="00362EC0">
        <w:rPr>
          <w:rFonts w:ascii="Arial" w:hAnsi="Arial" w:cs="Arial"/>
          <w:iCs/>
          <w:sz w:val="20"/>
          <w:szCs w:val="20"/>
        </w:rPr>
        <w:t>Bar Graphs of the Significant Effects of Reward Type and Instructed vs. Choice Trials on Behavioural Performance in the Intentional Hand Task-Reward.</w:t>
      </w:r>
      <w:r w:rsidR="005D4CA3" w:rsidRPr="00362EC0">
        <w:rPr>
          <w:rFonts w:ascii="Arial" w:hAnsi="Arial" w:cs="Arial"/>
          <w:iCs/>
          <w:sz w:val="20"/>
          <w:szCs w:val="20"/>
        </w:rPr>
        <w:t xml:space="preserve"> </w:t>
      </w:r>
      <w:r w:rsidR="00E41292" w:rsidRPr="00362EC0">
        <w:rPr>
          <w:rFonts w:ascii="Arial" w:hAnsi="Arial" w:cs="Arial"/>
          <w:iCs/>
          <w:sz w:val="20"/>
          <w:szCs w:val="20"/>
        </w:rPr>
        <w:t>rmANOVA findings were significant in these contrasts with post</w:t>
      </w:r>
      <w:r w:rsidR="00362EC0">
        <w:rPr>
          <w:rFonts w:ascii="Arial" w:hAnsi="Arial" w:cs="Arial"/>
          <w:iCs/>
          <w:sz w:val="20"/>
          <w:szCs w:val="20"/>
        </w:rPr>
        <w:t>-</w:t>
      </w:r>
      <w:r w:rsidR="00E41292" w:rsidRPr="00362EC0">
        <w:rPr>
          <w:rFonts w:ascii="Arial" w:hAnsi="Arial" w:cs="Arial"/>
          <w:iCs/>
          <w:sz w:val="20"/>
          <w:szCs w:val="20"/>
        </w:rPr>
        <w:t xml:space="preserve">hoc </w:t>
      </w:r>
      <w:r w:rsidR="00A35FB0" w:rsidRPr="00362EC0">
        <w:rPr>
          <w:rFonts w:ascii="Arial" w:hAnsi="Arial" w:cs="Arial"/>
          <w:iCs/>
          <w:sz w:val="20"/>
          <w:szCs w:val="20"/>
        </w:rPr>
        <w:t>comparisons corrected for multiple comparison</w:t>
      </w:r>
      <w:r w:rsidR="007D6824">
        <w:rPr>
          <w:rFonts w:ascii="Arial" w:hAnsi="Arial" w:cs="Arial"/>
          <w:iCs/>
          <w:sz w:val="20"/>
          <w:szCs w:val="20"/>
        </w:rPr>
        <w:t>.</w:t>
      </w:r>
      <w:r w:rsidR="00A35FB0" w:rsidRPr="00362EC0">
        <w:rPr>
          <w:rFonts w:ascii="Arial" w:hAnsi="Arial" w:cs="Arial"/>
          <w:iCs/>
          <w:sz w:val="20"/>
          <w:szCs w:val="20"/>
        </w:rPr>
        <w:t xml:space="preserve"> </w:t>
      </w:r>
      <w:r w:rsidR="007D6824">
        <w:rPr>
          <w:rFonts w:ascii="Arial" w:hAnsi="Arial" w:cs="Arial"/>
          <w:iCs/>
          <w:sz w:val="20"/>
          <w:szCs w:val="20"/>
        </w:rPr>
        <w:t>S</w:t>
      </w:r>
      <w:r w:rsidR="005D4CA3" w:rsidRPr="00362EC0">
        <w:rPr>
          <w:rFonts w:ascii="Arial" w:hAnsi="Arial" w:cs="Arial"/>
          <w:iCs/>
          <w:sz w:val="20"/>
          <w:szCs w:val="20"/>
        </w:rPr>
        <w:t xml:space="preserve">ignificance levels </w:t>
      </w:r>
      <w:r w:rsidR="007D6824">
        <w:rPr>
          <w:rFonts w:ascii="Arial" w:hAnsi="Arial" w:cs="Arial"/>
          <w:iCs/>
          <w:sz w:val="20"/>
          <w:szCs w:val="20"/>
        </w:rPr>
        <w:t>are indicated by</w:t>
      </w:r>
      <w:r w:rsidR="005D4CA3" w:rsidRPr="00362EC0">
        <w:rPr>
          <w:rFonts w:ascii="Arial" w:hAnsi="Arial" w:cs="Arial"/>
          <w:iCs/>
          <w:sz w:val="20"/>
          <w:szCs w:val="20"/>
        </w:rPr>
        <w:t xml:space="preserve"> *** for </w:t>
      </w:r>
      <w:r w:rsidR="005D4CA3" w:rsidRPr="00362EC0">
        <w:rPr>
          <w:rFonts w:ascii="Arial" w:hAnsi="Arial" w:cs="Arial"/>
          <w:i/>
          <w:sz w:val="20"/>
          <w:szCs w:val="20"/>
        </w:rPr>
        <w:t xml:space="preserve">p </w:t>
      </w:r>
      <w:r w:rsidR="005D4CA3" w:rsidRPr="00362EC0">
        <w:rPr>
          <w:rFonts w:ascii="Arial" w:hAnsi="Arial" w:cs="Arial"/>
          <w:iCs/>
          <w:sz w:val="20"/>
          <w:szCs w:val="20"/>
        </w:rPr>
        <w:t xml:space="preserve">&lt; .001, ** for </w:t>
      </w:r>
      <w:r w:rsidR="005D4CA3" w:rsidRPr="00362EC0">
        <w:rPr>
          <w:rFonts w:ascii="Arial" w:hAnsi="Arial" w:cs="Arial"/>
          <w:i/>
          <w:sz w:val="20"/>
          <w:szCs w:val="20"/>
        </w:rPr>
        <w:t>p</w:t>
      </w:r>
      <w:r w:rsidR="005D4CA3" w:rsidRPr="00362EC0">
        <w:rPr>
          <w:rFonts w:ascii="Arial" w:hAnsi="Arial" w:cs="Arial"/>
          <w:iCs/>
          <w:sz w:val="20"/>
          <w:szCs w:val="20"/>
        </w:rPr>
        <w:t xml:space="preserve"> &lt; .01 and * for </w:t>
      </w:r>
      <w:r w:rsidR="005D4CA3" w:rsidRPr="00362EC0">
        <w:rPr>
          <w:rFonts w:ascii="Arial" w:hAnsi="Arial" w:cs="Arial"/>
          <w:i/>
          <w:sz w:val="20"/>
          <w:szCs w:val="20"/>
        </w:rPr>
        <w:t>p</w:t>
      </w:r>
      <w:r w:rsidR="005D4CA3" w:rsidRPr="00362EC0">
        <w:rPr>
          <w:rFonts w:ascii="Arial" w:hAnsi="Arial" w:cs="Arial"/>
          <w:iCs/>
          <w:sz w:val="20"/>
          <w:szCs w:val="20"/>
        </w:rPr>
        <w:t xml:space="preserve"> &lt; .05. </w:t>
      </w:r>
      <w:r w:rsidR="005D4CA3" w:rsidRPr="00362EC0">
        <w:rPr>
          <w:rFonts w:ascii="Arial" w:hAnsi="Arial" w:cs="Arial"/>
          <w:i/>
          <w:sz w:val="20"/>
          <w:szCs w:val="20"/>
        </w:rPr>
        <w:t>SE</w:t>
      </w:r>
      <w:r w:rsidR="005D4CA3" w:rsidRPr="00362EC0">
        <w:rPr>
          <w:rFonts w:ascii="Arial" w:hAnsi="Arial" w:cs="Arial"/>
          <w:iCs/>
          <w:sz w:val="20"/>
          <w:szCs w:val="20"/>
        </w:rPr>
        <w:t xml:space="preserve"> = Standard Error of the mean.</w:t>
      </w:r>
      <w:r w:rsidR="004945F7" w:rsidRPr="00362EC0">
        <w:rPr>
          <w:rFonts w:ascii="Arial" w:hAnsi="Arial" w:cs="Arial"/>
          <w:iCs/>
          <w:sz w:val="20"/>
          <w:szCs w:val="20"/>
        </w:rPr>
        <w:t xml:space="preserve"> </w:t>
      </w:r>
      <w:r w:rsidR="0072631C" w:rsidRPr="00362EC0">
        <w:rPr>
          <w:rFonts w:ascii="Arial" w:hAnsi="Arial" w:cs="Arial"/>
          <w:iCs/>
          <w:sz w:val="20"/>
          <w:szCs w:val="20"/>
        </w:rPr>
        <w:t xml:space="preserve">Average </w:t>
      </w:r>
      <w:r w:rsidR="007D6824">
        <w:rPr>
          <w:rFonts w:ascii="Arial" w:hAnsi="Arial" w:cs="Arial"/>
          <w:iCs/>
          <w:sz w:val="20"/>
          <w:szCs w:val="20"/>
        </w:rPr>
        <w:t>s</w:t>
      </w:r>
      <w:r w:rsidR="0072631C" w:rsidRPr="00362EC0">
        <w:rPr>
          <w:rFonts w:ascii="Arial" w:hAnsi="Arial" w:cs="Arial"/>
          <w:iCs/>
          <w:sz w:val="20"/>
          <w:szCs w:val="20"/>
        </w:rPr>
        <w:t>peed refers to distance (in units of Presentation programming software) divided by response times.</w:t>
      </w:r>
    </w:p>
    <w:p w14:paraId="7E492B64" w14:textId="5812A02D" w:rsidR="000C4A25" w:rsidRPr="00362EC0" w:rsidRDefault="000C4A25" w:rsidP="001B3FF2">
      <w:pPr>
        <w:spacing w:after="0" w:line="360" w:lineRule="auto"/>
        <w:contextualSpacing/>
        <w:jc w:val="both"/>
        <w:rPr>
          <w:rFonts w:ascii="Arial" w:hAnsi="Arial" w:cs="Arial"/>
          <w:iCs/>
          <w:sz w:val="20"/>
          <w:szCs w:val="20"/>
        </w:rPr>
      </w:pPr>
    </w:p>
    <w:p w14:paraId="5D97BA22" w14:textId="54501246" w:rsidR="000C4A25" w:rsidRPr="00362EC0" w:rsidRDefault="00912BAC" w:rsidP="001B3FF2">
      <w:pPr>
        <w:spacing w:after="0" w:line="360" w:lineRule="auto"/>
        <w:contextualSpacing/>
        <w:jc w:val="both"/>
        <w:rPr>
          <w:rFonts w:ascii="Arial" w:hAnsi="Arial" w:cs="Arial"/>
          <w:b/>
          <w:bCs/>
          <w:iCs/>
          <w:sz w:val="20"/>
          <w:szCs w:val="20"/>
        </w:rPr>
      </w:pPr>
      <w:r w:rsidRPr="00362EC0">
        <w:rPr>
          <w:rFonts w:ascii="Arial" w:hAnsi="Arial" w:cs="Arial"/>
          <w:b/>
          <w:bCs/>
          <w:iCs/>
          <w:sz w:val="20"/>
          <w:szCs w:val="20"/>
        </w:rPr>
        <w:t xml:space="preserve">4. </w:t>
      </w:r>
      <w:r w:rsidR="000C4A25" w:rsidRPr="00362EC0">
        <w:rPr>
          <w:rFonts w:ascii="Arial" w:hAnsi="Arial" w:cs="Arial"/>
          <w:b/>
          <w:bCs/>
          <w:iCs/>
          <w:sz w:val="20"/>
          <w:szCs w:val="20"/>
        </w:rPr>
        <w:t>Discussion</w:t>
      </w:r>
    </w:p>
    <w:p w14:paraId="0619AD5F" w14:textId="60E9CC9F" w:rsidR="00742F42" w:rsidRPr="00362EC0" w:rsidRDefault="00D5567E" w:rsidP="00742F42">
      <w:pPr>
        <w:spacing w:after="0" w:line="360" w:lineRule="auto"/>
        <w:ind w:firstLine="720"/>
        <w:contextualSpacing/>
        <w:jc w:val="both"/>
        <w:rPr>
          <w:rFonts w:ascii="Arial" w:hAnsi="Arial" w:cs="Arial"/>
          <w:iCs/>
          <w:sz w:val="20"/>
          <w:szCs w:val="20"/>
        </w:rPr>
      </w:pPr>
      <w:r w:rsidRPr="00362EC0">
        <w:rPr>
          <w:rFonts w:ascii="Arial" w:hAnsi="Arial" w:cs="Arial"/>
          <w:iCs/>
          <w:sz w:val="20"/>
          <w:szCs w:val="20"/>
        </w:rPr>
        <w:t xml:space="preserve">Our findings in this </w:t>
      </w:r>
      <w:r w:rsidR="000C4A25" w:rsidRPr="00362EC0">
        <w:rPr>
          <w:rFonts w:ascii="Arial" w:hAnsi="Arial" w:cs="Arial"/>
          <w:iCs/>
          <w:sz w:val="20"/>
          <w:szCs w:val="20"/>
        </w:rPr>
        <w:t>Intentional Hand</w:t>
      </w:r>
      <w:r w:rsidR="00251670" w:rsidRPr="00362EC0">
        <w:rPr>
          <w:rFonts w:ascii="Arial" w:hAnsi="Arial" w:cs="Arial"/>
          <w:iCs/>
          <w:sz w:val="20"/>
          <w:szCs w:val="20"/>
        </w:rPr>
        <w:t xml:space="preserve"> </w:t>
      </w:r>
      <w:r w:rsidR="000C4A25" w:rsidRPr="00362EC0">
        <w:rPr>
          <w:rFonts w:ascii="Arial" w:hAnsi="Arial" w:cs="Arial"/>
          <w:iCs/>
          <w:sz w:val="20"/>
          <w:szCs w:val="20"/>
        </w:rPr>
        <w:t xml:space="preserve">Task </w:t>
      </w:r>
      <w:r w:rsidR="00251670" w:rsidRPr="00362EC0">
        <w:rPr>
          <w:rFonts w:ascii="Arial" w:hAnsi="Arial" w:cs="Arial"/>
          <w:iCs/>
          <w:sz w:val="20"/>
          <w:szCs w:val="20"/>
        </w:rPr>
        <w:t>for Reward</w:t>
      </w:r>
      <w:r w:rsidR="00C8002F" w:rsidRPr="00362EC0">
        <w:rPr>
          <w:rFonts w:ascii="Arial" w:hAnsi="Arial" w:cs="Arial"/>
          <w:iCs/>
          <w:sz w:val="20"/>
          <w:szCs w:val="20"/>
        </w:rPr>
        <w:t>s</w:t>
      </w:r>
      <w:r w:rsidR="00251670" w:rsidRPr="00362EC0">
        <w:rPr>
          <w:rFonts w:ascii="Arial" w:hAnsi="Arial" w:cs="Arial"/>
          <w:iCs/>
          <w:sz w:val="20"/>
          <w:szCs w:val="20"/>
        </w:rPr>
        <w:t xml:space="preserve"> </w:t>
      </w:r>
      <w:r w:rsidRPr="00362EC0">
        <w:rPr>
          <w:rFonts w:ascii="Arial" w:hAnsi="Arial" w:cs="Arial"/>
          <w:iCs/>
          <w:sz w:val="20"/>
          <w:szCs w:val="20"/>
        </w:rPr>
        <w:t xml:space="preserve">highlight the capacity to </w:t>
      </w:r>
      <w:r w:rsidR="00921AF0" w:rsidRPr="00362EC0">
        <w:rPr>
          <w:rFonts w:ascii="Arial" w:hAnsi="Arial" w:cs="Arial"/>
          <w:iCs/>
          <w:sz w:val="20"/>
          <w:szCs w:val="20"/>
        </w:rPr>
        <w:t>explicitly</w:t>
      </w:r>
      <w:r w:rsidR="00C8002F" w:rsidRPr="00362EC0">
        <w:rPr>
          <w:rFonts w:ascii="Arial" w:hAnsi="Arial" w:cs="Arial"/>
          <w:iCs/>
          <w:sz w:val="20"/>
          <w:szCs w:val="20"/>
        </w:rPr>
        <w:t xml:space="preserve"> </w:t>
      </w:r>
      <w:r w:rsidR="003C2D99" w:rsidRPr="00362EC0">
        <w:rPr>
          <w:rFonts w:ascii="Arial" w:hAnsi="Arial" w:cs="Arial"/>
          <w:iCs/>
          <w:sz w:val="20"/>
          <w:szCs w:val="20"/>
        </w:rPr>
        <w:t>measure</w:t>
      </w:r>
      <w:r w:rsidRPr="00362EC0">
        <w:rPr>
          <w:rFonts w:ascii="Arial" w:hAnsi="Arial" w:cs="Arial"/>
          <w:iCs/>
          <w:sz w:val="20"/>
          <w:szCs w:val="20"/>
        </w:rPr>
        <w:t xml:space="preserve"> a</w:t>
      </w:r>
      <w:r w:rsidR="00A35FB0" w:rsidRPr="00362EC0">
        <w:rPr>
          <w:rFonts w:ascii="Arial" w:hAnsi="Arial" w:cs="Arial"/>
          <w:iCs/>
          <w:sz w:val="20"/>
          <w:szCs w:val="20"/>
        </w:rPr>
        <w:t xml:space="preserve"> </w:t>
      </w:r>
      <w:r w:rsidRPr="00362EC0">
        <w:rPr>
          <w:rFonts w:ascii="Arial" w:hAnsi="Arial" w:cs="Arial"/>
          <w:iCs/>
          <w:sz w:val="20"/>
          <w:szCs w:val="20"/>
        </w:rPr>
        <w:t>stop re</w:t>
      </w:r>
      <w:r w:rsidR="00A35FB0" w:rsidRPr="00362EC0">
        <w:rPr>
          <w:rFonts w:ascii="Arial" w:hAnsi="Arial" w:cs="Arial"/>
          <w:iCs/>
          <w:sz w:val="20"/>
          <w:szCs w:val="20"/>
        </w:rPr>
        <w:t>sponse</w:t>
      </w:r>
      <w:r w:rsidRPr="00362EC0">
        <w:rPr>
          <w:rFonts w:ascii="Arial" w:hAnsi="Arial" w:cs="Arial"/>
          <w:iCs/>
          <w:sz w:val="20"/>
          <w:szCs w:val="20"/>
        </w:rPr>
        <w:t xml:space="preserve"> time and </w:t>
      </w:r>
      <w:r w:rsidR="00C8002F" w:rsidRPr="00362EC0">
        <w:rPr>
          <w:rFonts w:ascii="Arial" w:hAnsi="Arial" w:cs="Arial"/>
          <w:iCs/>
          <w:sz w:val="20"/>
          <w:szCs w:val="20"/>
        </w:rPr>
        <w:t xml:space="preserve">the </w:t>
      </w:r>
      <w:r w:rsidRPr="00362EC0">
        <w:rPr>
          <w:rFonts w:ascii="Arial" w:hAnsi="Arial" w:cs="Arial"/>
          <w:iCs/>
          <w:sz w:val="20"/>
          <w:szCs w:val="20"/>
        </w:rPr>
        <w:t>important influence of reward incentive</w:t>
      </w:r>
      <w:r w:rsidR="00C8002F" w:rsidRPr="00362EC0">
        <w:rPr>
          <w:rFonts w:ascii="Arial" w:hAnsi="Arial" w:cs="Arial"/>
          <w:iCs/>
          <w:sz w:val="20"/>
          <w:szCs w:val="20"/>
        </w:rPr>
        <w:t>s</w:t>
      </w:r>
      <w:r w:rsidRPr="00362EC0">
        <w:rPr>
          <w:rFonts w:ascii="Arial" w:hAnsi="Arial" w:cs="Arial"/>
          <w:iCs/>
          <w:sz w:val="20"/>
          <w:szCs w:val="20"/>
        </w:rPr>
        <w:t xml:space="preserve"> on </w:t>
      </w:r>
      <w:r w:rsidR="00F30412" w:rsidRPr="00362EC0">
        <w:rPr>
          <w:rFonts w:ascii="Arial" w:hAnsi="Arial" w:cs="Arial"/>
          <w:iCs/>
          <w:sz w:val="20"/>
          <w:szCs w:val="20"/>
        </w:rPr>
        <w:t>pre</w:t>
      </w:r>
      <w:r w:rsidR="00EB7232" w:rsidRPr="00362EC0">
        <w:rPr>
          <w:rFonts w:ascii="Arial" w:hAnsi="Arial" w:cs="Arial"/>
          <w:iCs/>
          <w:sz w:val="20"/>
          <w:szCs w:val="20"/>
        </w:rPr>
        <w:t>-</w:t>
      </w:r>
      <w:r w:rsidR="00F30412" w:rsidRPr="00362EC0">
        <w:rPr>
          <w:rFonts w:ascii="Arial" w:hAnsi="Arial" w:cs="Arial"/>
          <w:iCs/>
          <w:sz w:val="20"/>
          <w:szCs w:val="20"/>
        </w:rPr>
        <w:t xml:space="preserve"> and post-</w:t>
      </w:r>
      <w:r w:rsidR="00EB7232" w:rsidRPr="00362EC0">
        <w:rPr>
          <w:rFonts w:ascii="Arial" w:hAnsi="Arial" w:cs="Arial"/>
          <w:iCs/>
          <w:sz w:val="20"/>
          <w:szCs w:val="20"/>
        </w:rPr>
        <w:t xml:space="preserve">Cue </w:t>
      </w:r>
      <w:r w:rsidR="00F30412" w:rsidRPr="00362EC0">
        <w:rPr>
          <w:rFonts w:ascii="Arial" w:hAnsi="Arial" w:cs="Arial"/>
          <w:iCs/>
          <w:sz w:val="20"/>
          <w:szCs w:val="20"/>
        </w:rPr>
        <w:t>performance</w:t>
      </w:r>
      <w:r w:rsidRPr="00362EC0">
        <w:rPr>
          <w:rFonts w:ascii="Arial" w:hAnsi="Arial" w:cs="Arial"/>
          <w:iCs/>
          <w:sz w:val="20"/>
          <w:szCs w:val="20"/>
        </w:rPr>
        <w:t>.</w:t>
      </w:r>
      <w:r w:rsidR="00EA0028" w:rsidRPr="00362EC0">
        <w:rPr>
          <w:rFonts w:ascii="Arial" w:hAnsi="Arial" w:cs="Arial"/>
          <w:iCs/>
          <w:sz w:val="20"/>
          <w:szCs w:val="20"/>
        </w:rPr>
        <w:t xml:space="preserve"> </w:t>
      </w:r>
      <w:r w:rsidR="00742F42" w:rsidRPr="00362EC0">
        <w:rPr>
          <w:rFonts w:ascii="Arial" w:hAnsi="Arial" w:cs="Arial"/>
          <w:iCs/>
          <w:sz w:val="20"/>
          <w:szCs w:val="20"/>
        </w:rPr>
        <w:t>Pre-</w:t>
      </w:r>
      <w:r w:rsidR="00EB7232" w:rsidRPr="00362EC0">
        <w:rPr>
          <w:rFonts w:ascii="Arial" w:hAnsi="Arial" w:cs="Arial"/>
          <w:iCs/>
          <w:sz w:val="20"/>
          <w:szCs w:val="20"/>
        </w:rPr>
        <w:t>Cue</w:t>
      </w:r>
      <w:r w:rsidR="00742F42" w:rsidRPr="00362EC0">
        <w:rPr>
          <w:rFonts w:ascii="Arial" w:hAnsi="Arial" w:cs="Arial"/>
          <w:iCs/>
          <w:sz w:val="20"/>
          <w:szCs w:val="20"/>
        </w:rPr>
        <w:t>, faster action initiation and average speed was observed for potentially highly rewarding trials</w:t>
      </w:r>
      <w:r w:rsidR="00766E22" w:rsidRPr="00362EC0">
        <w:rPr>
          <w:rFonts w:ascii="Arial" w:hAnsi="Arial" w:cs="Arial"/>
          <w:iCs/>
          <w:sz w:val="20"/>
          <w:szCs w:val="20"/>
        </w:rPr>
        <w:t xml:space="preserve">, without an effect </w:t>
      </w:r>
      <w:r w:rsidR="00EB7232" w:rsidRPr="00362EC0">
        <w:rPr>
          <w:rFonts w:ascii="Arial" w:hAnsi="Arial" w:cs="Arial"/>
          <w:iCs/>
          <w:sz w:val="20"/>
          <w:szCs w:val="20"/>
        </w:rPr>
        <w:t xml:space="preserve">on </w:t>
      </w:r>
      <w:r w:rsidR="00766E22" w:rsidRPr="00362EC0">
        <w:rPr>
          <w:rFonts w:ascii="Arial" w:hAnsi="Arial" w:cs="Arial"/>
          <w:iCs/>
          <w:sz w:val="20"/>
          <w:szCs w:val="20"/>
        </w:rPr>
        <w:t>premature responses</w:t>
      </w:r>
      <w:r w:rsidR="00742F42" w:rsidRPr="00362EC0">
        <w:rPr>
          <w:rFonts w:ascii="Arial" w:hAnsi="Arial" w:cs="Arial"/>
          <w:iCs/>
          <w:sz w:val="20"/>
          <w:szCs w:val="20"/>
        </w:rPr>
        <w:t>.</w:t>
      </w:r>
      <w:r w:rsidR="001E035F" w:rsidRPr="00362EC0">
        <w:rPr>
          <w:rFonts w:ascii="Arial" w:hAnsi="Arial" w:cs="Arial"/>
          <w:iCs/>
          <w:sz w:val="20"/>
          <w:szCs w:val="20"/>
        </w:rPr>
        <w:t xml:space="preserve"> </w:t>
      </w:r>
      <w:r w:rsidR="00766E22" w:rsidRPr="00362EC0">
        <w:rPr>
          <w:rFonts w:ascii="Arial" w:hAnsi="Arial" w:cs="Arial"/>
          <w:iCs/>
          <w:sz w:val="20"/>
          <w:szCs w:val="20"/>
        </w:rPr>
        <w:t>Post-</w:t>
      </w:r>
      <w:r w:rsidR="00EB7232" w:rsidRPr="00362EC0">
        <w:rPr>
          <w:rFonts w:ascii="Arial" w:hAnsi="Arial" w:cs="Arial"/>
          <w:iCs/>
          <w:sz w:val="20"/>
          <w:szCs w:val="20"/>
        </w:rPr>
        <w:t>Cue</w:t>
      </w:r>
      <w:r w:rsidR="00766E22" w:rsidRPr="00362EC0">
        <w:rPr>
          <w:rFonts w:ascii="Arial" w:hAnsi="Arial" w:cs="Arial"/>
          <w:iCs/>
          <w:sz w:val="20"/>
          <w:szCs w:val="20"/>
        </w:rPr>
        <w:t xml:space="preserve">, </w:t>
      </w:r>
      <w:r w:rsidR="00742F42" w:rsidRPr="00362EC0">
        <w:rPr>
          <w:rFonts w:ascii="Arial" w:hAnsi="Arial" w:cs="Arial"/>
          <w:iCs/>
          <w:sz w:val="20"/>
          <w:szCs w:val="20"/>
        </w:rPr>
        <w:t xml:space="preserve"> </w:t>
      </w:r>
      <w:r w:rsidR="00766E22" w:rsidRPr="00362EC0">
        <w:rPr>
          <w:rFonts w:ascii="Arial" w:hAnsi="Arial" w:cs="Arial"/>
          <w:iCs/>
          <w:sz w:val="20"/>
          <w:szCs w:val="20"/>
        </w:rPr>
        <w:t>s</w:t>
      </w:r>
      <w:r w:rsidR="00742F42" w:rsidRPr="00362EC0">
        <w:rPr>
          <w:rFonts w:ascii="Arial" w:hAnsi="Arial" w:cs="Arial"/>
          <w:iCs/>
          <w:sz w:val="20"/>
          <w:szCs w:val="20"/>
        </w:rPr>
        <w:t xml:space="preserve">imilar to previous observations of slower response times to intentional versus cued actions </w:t>
      </w:r>
      <w:r w:rsidR="00742F42" w:rsidRPr="00362EC0">
        <w:rPr>
          <w:rFonts w:ascii="Arial" w:hAnsi="Arial" w:cs="Arial"/>
          <w:sz w:val="20"/>
          <w:szCs w:val="20"/>
        </w:rPr>
        <w:fldChar w:fldCharType="begin" w:fldLock="1"/>
      </w:r>
      <w:r w:rsidR="00742F42" w:rsidRPr="00362EC0">
        <w:rPr>
          <w:rFonts w:ascii="Arial" w:hAnsi="Arial" w:cs="Arial"/>
          <w:sz w:val="20"/>
          <w:szCs w:val="20"/>
        </w:rPr>
        <w:instrText>ADDIN CSL_CITATION {"citationItems":[{"id":"ITEM-1","itemData":{"ISSN":"1065-9471","author":[{"dropping-particle":"","family":"Karch","given":"Susanne","non-dropping-particle":"","parse-names":false,"suffix":""},{"dropping-particle":"","family":"Mulert","given":"Christoph","non-dropping-particle":"","parse-names":false,"suffix":""},{"dropping-particle":"","family":"Thalmeier","given":"Tobias","non-dropping-particle":"","parse-names":false,"suffix":""},{"dropping-particle":"","family":"Lutz","given":"Jürgen","non-dropping-particle":"","parse-names":false,"suffix":""},{"dropping-particle":"","family":"Leicht","given":"Gregor","non-dropping-particle":"","parse-names":false,"suffix":""},{"dropping-particle":"","family":"Meindl","given":"Thomas","non-dropping-particle":"","parse-names":false,"suffix":""},{"dropping-particle":"","family":"Möller","given":"Hans</w:instrText>
      </w:r>
      <w:r w:rsidR="00742F42" w:rsidRPr="00362EC0">
        <w:rPr>
          <w:rFonts w:ascii="Cambria Math" w:hAnsi="Cambria Math" w:cs="Cambria Math"/>
          <w:sz w:val="20"/>
          <w:szCs w:val="20"/>
        </w:rPr>
        <w:instrText>‐</w:instrText>
      </w:r>
      <w:r w:rsidR="00742F42" w:rsidRPr="00362EC0">
        <w:rPr>
          <w:rFonts w:ascii="Arial" w:hAnsi="Arial" w:cs="Arial"/>
          <w:sz w:val="20"/>
          <w:szCs w:val="20"/>
        </w:rPr>
        <w:instrText>Jürgen","non-dropping-particle":"","parse-names":false,"suffix":""},{"dropping-particle":"","family":"Jäger","given":"Lorenz","non-dropping-particle":"","parse-names":false,"suffix":""},{"dropping-particle":"","family":"Pogarell","given":"Oliver","non-dropping-particle":"","parse-names":false,"suffix":""}],"container-title":"Human brain mapping","id":"ITEM-1","issue":"9","issued":{"date-parts":[["2009"]]},"page":"2971-2985","publisher":"Wiley Online Library","title":"The free choice whether or not to respond after stimulus presentation","type":"article-journal","volume":"30"},"uris":["http://www.mendeley.com/documents/?uuid=008cd4fe-d63b-46bf-aa14-1f6dc84a09ed"]},{"id":"ITEM-2","itemData":{"ISSN":"1053-8119","author":[{"dropping-particle":"","family":"Kühn","given":"Simone","non-dropping-particle":"","parse-names":false,"suffix":""},{"dropping-particle":"","family":"Brass","given":"Marcel","non-dropping-particle":"","parse-names":false,"suffix":""}],"container-title":"Neuroimage","id":"ITEM-2","issue":"4","issued":{"date-parts":[["2009"]]},"page":"1187-1193","publisher":"Elsevier","title":"When doing nothing is an option: the neural correlates of deciding whether to act or not","type":"article-journal","volume":"46"},"uris":["http://www.mendeley.com/documents/?uuid=fe18862f-90be-43a0-b653-9b5c99f20efe"]},{"id":"ITEM-3","itemData":{"author":[{"dropping-particle":"","family":"Parkinson","given":"Jim","non-dropping-particle":"","parse-names":false,"suffix":""},{"dropping-particle":"","family":"Haggard","given":"Patrick","non-dropping-particle":"","parse-names":false,"suffix":""}],"container-title":"Journal of cognitive neuroscience","id":"ITEM-3","issued":{"date-parts":[["2015"]]},"publisher":"MIT Press","title":"Choosing to stop: Responses evoked by externally triggered and internally generated inhibition identify a neural mechanism of will","type":"article-journal"},"uris":["http://www.mendeley.com/documents/?uuid=d02c03da-9976-4977-9978-21a5d1c4a35b"]}],"mendeley":{"formattedCitation":"(Karch et al., 2009; Kühn &amp; Brass, 2009; Parkinson &amp; Haggard, 2015)","plainTextFormattedCitation":"(Karch et al., 2009; Kühn &amp; Brass, 2009; Parkinson &amp; Haggard, 2015)","previouslyFormattedCitation":"(Karch et al., 2009; Kühn &amp; Brass, 2009; Parkinson &amp; Haggard, 2015)"},"properties":{"noteIndex":0},"schema":"https://github.com/citation-style-language/schema/raw/master/csl-citation.json"}</w:instrText>
      </w:r>
      <w:r w:rsidR="00742F42" w:rsidRPr="00362EC0">
        <w:rPr>
          <w:rFonts w:ascii="Arial" w:hAnsi="Arial" w:cs="Arial"/>
          <w:sz w:val="20"/>
          <w:szCs w:val="20"/>
        </w:rPr>
        <w:fldChar w:fldCharType="separate"/>
      </w:r>
      <w:r w:rsidR="00742F42" w:rsidRPr="00362EC0">
        <w:rPr>
          <w:rFonts w:ascii="Arial" w:hAnsi="Arial" w:cs="Arial"/>
          <w:noProof/>
          <w:sz w:val="20"/>
          <w:szCs w:val="20"/>
        </w:rPr>
        <w:t>(Karch et al., 2009; Kühn &amp; Brass, 2009; Parkinson &amp; Haggard, 2015)</w:t>
      </w:r>
      <w:r w:rsidR="00742F42" w:rsidRPr="00362EC0">
        <w:rPr>
          <w:rFonts w:ascii="Arial" w:hAnsi="Arial" w:cs="Arial"/>
          <w:sz w:val="20"/>
          <w:szCs w:val="20"/>
        </w:rPr>
        <w:fldChar w:fldCharType="end"/>
      </w:r>
      <w:r w:rsidR="00742F42" w:rsidRPr="00362EC0">
        <w:rPr>
          <w:rFonts w:ascii="Arial" w:hAnsi="Arial" w:cs="Arial"/>
          <w:iCs/>
          <w:sz w:val="20"/>
          <w:szCs w:val="20"/>
        </w:rPr>
        <w:t xml:space="preserve">, stop response times were longer and average speed was lower for intentional compared to instructed </w:t>
      </w:r>
      <w:r w:rsidR="007D6824">
        <w:rPr>
          <w:rFonts w:ascii="Arial" w:hAnsi="Arial" w:cs="Arial"/>
          <w:iCs/>
          <w:sz w:val="20"/>
          <w:szCs w:val="20"/>
        </w:rPr>
        <w:t>S</w:t>
      </w:r>
      <w:r w:rsidR="007D6824" w:rsidRPr="00362EC0">
        <w:rPr>
          <w:rFonts w:ascii="Arial" w:hAnsi="Arial" w:cs="Arial"/>
          <w:iCs/>
          <w:sz w:val="20"/>
          <w:szCs w:val="20"/>
        </w:rPr>
        <w:t xml:space="preserve">top </w:t>
      </w:r>
      <w:r w:rsidR="00742F42" w:rsidRPr="00362EC0">
        <w:rPr>
          <w:rFonts w:ascii="Arial" w:hAnsi="Arial" w:cs="Arial"/>
          <w:iCs/>
          <w:sz w:val="20"/>
          <w:szCs w:val="20"/>
        </w:rPr>
        <w:t>trials.</w:t>
      </w:r>
      <w:bookmarkStart w:id="13" w:name="_Hlk46401301"/>
      <w:r w:rsidR="0072631C" w:rsidRPr="00362EC0">
        <w:rPr>
          <w:rFonts w:ascii="Arial" w:hAnsi="Arial" w:cs="Arial"/>
          <w:iCs/>
          <w:sz w:val="20"/>
          <w:szCs w:val="20"/>
        </w:rPr>
        <w:t xml:space="preserve"> </w:t>
      </w:r>
    </w:p>
    <w:p w14:paraId="408DA964" w14:textId="1D82A826" w:rsidR="000C4A25" w:rsidRPr="00362EC0" w:rsidRDefault="00F735FF" w:rsidP="00742F42">
      <w:pPr>
        <w:spacing w:after="0" w:line="360" w:lineRule="auto"/>
        <w:ind w:firstLine="720"/>
        <w:contextualSpacing/>
        <w:jc w:val="both"/>
        <w:rPr>
          <w:rFonts w:ascii="Arial" w:hAnsi="Arial" w:cs="Arial"/>
          <w:iCs/>
          <w:sz w:val="20"/>
          <w:szCs w:val="20"/>
        </w:rPr>
      </w:pPr>
      <w:r w:rsidRPr="00362EC0">
        <w:rPr>
          <w:rFonts w:ascii="Arial" w:hAnsi="Arial" w:cs="Arial"/>
          <w:iCs/>
          <w:sz w:val="20"/>
          <w:szCs w:val="20"/>
        </w:rPr>
        <w:t xml:space="preserve">The introduction of monetary rewards further influenced the proportion of intentional action and inhibition, with reduced intentional stopping occurring when presented with a chance of obtaining rewards. In other words, intentional Go responses were more likely during potentially rewarding trials, which might resemble an implicit approach bias. It is important to highlight that completing a Go response during Choice trials was unrelated to whether participants received incentives, instead the instructions incentivized balancing intentional action and inhibition 50:50 across all </w:t>
      </w:r>
      <w:r w:rsidR="00EB7232" w:rsidRPr="00362EC0">
        <w:rPr>
          <w:rFonts w:ascii="Arial" w:hAnsi="Arial" w:cs="Arial"/>
          <w:iCs/>
          <w:sz w:val="20"/>
          <w:szCs w:val="20"/>
        </w:rPr>
        <w:t xml:space="preserve">Choice </w:t>
      </w:r>
      <w:r w:rsidRPr="00362EC0">
        <w:rPr>
          <w:rFonts w:ascii="Arial" w:hAnsi="Arial" w:cs="Arial"/>
          <w:iCs/>
          <w:sz w:val="20"/>
          <w:szCs w:val="20"/>
        </w:rPr>
        <w:t xml:space="preserve">trials (no, low, high reward), with a potential pay-out only in reward trials, if participants’ overall Choice performance neared 50:50. The effect of monetary reward was </w:t>
      </w:r>
      <w:r w:rsidR="009C0908" w:rsidRPr="00362EC0">
        <w:rPr>
          <w:rFonts w:ascii="Arial" w:hAnsi="Arial" w:cs="Arial"/>
          <w:iCs/>
          <w:sz w:val="20"/>
          <w:szCs w:val="20"/>
        </w:rPr>
        <w:t>additionally</w:t>
      </w:r>
      <w:r w:rsidRPr="00362EC0">
        <w:rPr>
          <w:rFonts w:ascii="Arial" w:hAnsi="Arial" w:cs="Arial"/>
          <w:iCs/>
          <w:sz w:val="20"/>
          <w:szCs w:val="20"/>
        </w:rPr>
        <w:t xml:space="preserve"> visible in response times to Go trials</w:t>
      </w:r>
      <w:r w:rsidR="00A4349A" w:rsidRPr="00362EC0">
        <w:rPr>
          <w:rFonts w:ascii="Arial" w:hAnsi="Arial" w:cs="Arial"/>
          <w:iCs/>
          <w:sz w:val="20"/>
          <w:szCs w:val="20"/>
        </w:rPr>
        <w:t xml:space="preserve"> as well as in the average speed during Stop trials</w:t>
      </w:r>
      <w:r w:rsidRPr="00362EC0">
        <w:rPr>
          <w:rFonts w:ascii="Arial" w:hAnsi="Arial" w:cs="Arial"/>
          <w:iCs/>
          <w:sz w:val="20"/>
          <w:szCs w:val="20"/>
        </w:rPr>
        <w:t xml:space="preserve">, </w:t>
      </w:r>
      <w:bookmarkEnd w:id="13"/>
      <w:r w:rsidR="00E41292" w:rsidRPr="00362EC0">
        <w:rPr>
          <w:rFonts w:ascii="Arial" w:hAnsi="Arial" w:cs="Arial"/>
          <w:iCs/>
          <w:sz w:val="20"/>
          <w:szCs w:val="20"/>
        </w:rPr>
        <w:t xml:space="preserve">with faster </w:t>
      </w:r>
      <w:r w:rsidR="009C0908" w:rsidRPr="00362EC0">
        <w:rPr>
          <w:rFonts w:ascii="Arial" w:hAnsi="Arial" w:cs="Arial"/>
          <w:iCs/>
          <w:sz w:val="20"/>
          <w:szCs w:val="20"/>
        </w:rPr>
        <w:t xml:space="preserve">performance </w:t>
      </w:r>
      <w:r w:rsidR="00E41292" w:rsidRPr="00362EC0">
        <w:rPr>
          <w:rFonts w:ascii="Arial" w:hAnsi="Arial" w:cs="Arial"/>
          <w:iCs/>
          <w:sz w:val="20"/>
          <w:szCs w:val="20"/>
        </w:rPr>
        <w:t>for high relative to low reward</w:t>
      </w:r>
      <w:r w:rsidR="00A4349A" w:rsidRPr="00362EC0">
        <w:rPr>
          <w:rFonts w:ascii="Arial" w:hAnsi="Arial" w:cs="Arial"/>
          <w:iCs/>
          <w:sz w:val="20"/>
          <w:szCs w:val="20"/>
        </w:rPr>
        <w:t xml:space="preserve">. </w:t>
      </w:r>
      <w:r w:rsidR="00CC2A25" w:rsidRPr="00362EC0">
        <w:rPr>
          <w:rFonts w:ascii="Arial" w:hAnsi="Arial" w:cs="Arial"/>
          <w:iCs/>
          <w:sz w:val="20"/>
          <w:szCs w:val="20"/>
        </w:rPr>
        <w:t>Similarly,</w:t>
      </w:r>
      <w:r w:rsidR="00A35FB0" w:rsidRPr="00362EC0">
        <w:rPr>
          <w:rFonts w:ascii="Arial" w:hAnsi="Arial" w:cs="Arial"/>
          <w:iCs/>
          <w:sz w:val="20"/>
          <w:szCs w:val="20"/>
        </w:rPr>
        <w:t xml:space="preserve"> the magnitude of reward also </w:t>
      </w:r>
      <w:r w:rsidR="002329D6" w:rsidRPr="00362EC0">
        <w:rPr>
          <w:rFonts w:ascii="Arial" w:hAnsi="Arial" w:cs="Arial"/>
          <w:iCs/>
          <w:sz w:val="20"/>
          <w:szCs w:val="20"/>
        </w:rPr>
        <w:t>de</w:t>
      </w:r>
      <w:r w:rsidR="00A35FB0" w:rsidRPr="00362EC0">
        <w:rPr>
          <w:rFonts w:ascii="Arial" w:hAnsi="Arial" w:cs="Arial"/>
          <w:iCs/>
          <w:sz w:val="20"/>
          <w:szCs w:val="20"/>
        </w:rPr>
        <w:t xml:space="preserve">creased the number of errors during instructed </w:t>
      </w:r>
      <w:r w:rsidR="009C0908" w:rsidRPr="00362EC0">
        <w:rPr>
          <w:rFonts w:ascii="Arial" w:hAnsi="Arial" w:cs="Arial"/>
          <w:iCs/>
          <w:sz w:val="20"/>
          <w:szCs w:val="20"/>
        </w:rPr>
        <w:t>G</w:t>
      </w:r>
      <w:r w:rsidR="00A35FB0" w:rsidRPr="00362EC0">
        <w:rPr>
          <w:rFonts w:ascii="Arial" w:hAnsi="Arial" w:cs="Arial"/>
          <w:iCs/>
          <w:sz w:val="20"/>
          <w:szCs w:val="20"/>
        </w:rPr>
        <w:t>o trials</w:t>
      </w:r>
      <w:r w:rsidR="00A30F7E" w:rsidRPr="00362EC0">
        <w:rPr>
          <w:rFonts w:ascii="Arial" w:hAnsi="Arial" w:cs="Arial"/>
          <w:iCs/>
          <w:sz w:val="20"/>
          <w:szCs w:val="20"/>
        </w:rPr>
        <w:t xml:space="preserve"> with a step-wise </w:t>
      </w:r>
      <w:r w:rsidR="002329D6" w:rsidRPr="00362EC0">
        <w:rPr>
          <w:rFonts w:ascii="Arial" w:hAnsi="Arial" w:cs="Arial"/>
          <w:iCs/>
          <w:sz w:val="20"/>
          <w:szCs w:val="20"/>
        </w:rPr>
        <w:t>de</w:t>
      </w:r>
      <w:r w:rsidR="00A30F7E" w:rsidRPr="00362EC0">
        <w:rPr>
          <w:rFonts w:ascii="Arial" w:hAnsi="Arial" w:cs="Arial"/>
          <w:iCs/>
          <w:sz w:val="20"/>
          <w:szCs w:val="20"/>
        </w:rPr>
        <w:t>crease in errors with increasing reward magnitude</w:t>
      </w:r>
      <w:r w:rsidR="00A35FB0" w:rsidRPr="00362EC0">
        <w:rPr>
          <w:rFonts w:ascii="Arial" w:hAnsi="Arial" w:cs="Arial"/>
          <w:iCs/>
          <w:sz w:val="20"/>
          <w:szCs w:val="20"/>
        </w:rPr>
        <w:t>.</w:t>
      </w:r>
      <w:r w:rsidR="00EA0028" w:rsidRPr="00362EC0">
        <w:rPr>
          <w:rFonts w:ascii="Arial" w:hAnsi="Arial" w:cs="Arial"/>
          <w:iCs/>
          <w:sz w:val="20"/>
          <w:szCs w:val="20"/>
        </w:rPr>
        <w:t xml:space="preserve"> </w:t>
      </w:r>
    </w:p>
    <w:p w14:paraId="3EC1D902" w14:textId="271372A3" w:rsidR="009151EA" w:rsidRDefault="001E035F" w:rsidP="001E035F">
      <w:pPr>
        <w:spacing w:after="0" w:line="360" w:lineRule="auto"/>
        <w:ind w:firstLine="720"/>
        <w:contextualSpacing/>
        <w:jc w:val="both"/>
        <w:rPr>
          <w:rFonts w:ascii="Arial" w:hAnsi="Arial" w:cs="Arial"/>
          <w:iCs/>
          <w:sz w:val="20"/>
          <w:szCs w:val="20"/>
        </w:rPr>
      </w:pPr>
      <w:r w:rsidRPr="00362EC0">
        <w:rPr>
          <w:rFonts w:ascii="Arial" w:hAnsi="Arial" w:cs="Arial"/>
          <w:sz w:val="20"/>
          <w:szCs w:val="20"/>
        </w:rPr>
        <w:t xml:space="preserve">Initially, there might be a discrepancy between the reported facilitating effects of high reward on pre-Cue average speed and movement initiation delay and the absence of significant reward effects on premature responding. Within Näätänen’s </w:t>
      </w:r>
      <w:r w:rsidR="00E67B80">
        <w:rPr>
          <w:rFonts w:ascii="Arial" w:hAnsi="Arial" w:cs="Arial"/>
          <w:sz w:val="20"/>
          <w:szCs w:val="20"/>
        </w:rPr>
        <w:fldChar w:fldCharType="begin" w:fldLock="1"/>
      </w:r>
      <w:r w:rsidR="00E67B80">
        <w:rPr>
          <w:rFonts w:ascii="Arial" w:hAnsi="Arial" w:cs="Arial"/>
          <w:sz w:val="20"/>
          <w:szCs w:val="20"/>
        </w:rPr>
        <w:instrText>ADDIN CSL_CITATION {"citationItems":[{"id":"ITEM-1","itemData":{"DOI":"10.1016/0001-6918(71)90040-0","ISSN":"00016918","abstract":"This study deals with the relationship between the momentary objective probability of the delivery of a stimulus and the reaction time in a simple reaction-time task. The hypothesis was that the reaction time is closely related to the objective probability via expectancy i.e., the momentary probability of the delivery of the stimulus as experienced by the subject. This problem was experimentally approached from two directions: (1) by varying the objective probability, in which case the reaction times should change inversely with the objective probability, and (2) by keeping the objective probability constant (by using the Bernoulli process), in which case the reaction times should not change. Eight male subjects were used. The first assumption proved to be correct, whereas the second held only when certain mean inter-stimulus intervals were used. Finally, the status of the expectancy concept as an explanatory variable in the relationship between the fore-period and the reaction time was discussed, with emphasis on the need for some other explanatory concepts, which were proposed. © 1971.","author":[{"dropping-particle":"","family":"Näätänen","given":"Risto","non-dropping-particle":"","parse-names":false,"suffix":""}],"container-title":"Acta Psychologica","id":"ITEM-1","issue":"4","issued":{"date-parts":[["1971"]]},"page":"316-327","title":"Non-aging fore-periods and simple reaction time","type":"article-journal","volume":"35"},"uris":["http://www.mendeley.com/documents/?uuid=78fd4073-56a3-4454-8aac-06f77923f17c"]}],"mendeley":{"formattedCitation":"(Näätänen, 1971)","manualFormatting":"(1971)","plainTextFormattedCitation":"(Näätänen, 1971)"},"properties":{"noteIndex":0},"schema":"https://github.com/citation-style-language/schema/raw/master/csl-citation.json"}</w:instrText>
      </w:r>
      <w:r w:rsidR="00E67B80">
        <w:rPr>
          <w:rFonts w:ascii="Arial" w:hAnsi="Arial" w:cs="Arial"/>
          <w:sz w:val="20"/>
          <w:szCs w:val="20"/>
        </w:rPr>
        <w:fldChar w:fldCharType="separate"/>
      </w:r>
      <w:r w:rsidR="00E67B80" w:rsidRPr="00E67B80">
        <w:rPr>
          <w:rFonts w:ascii="Arial" w:hAnsi="Arial" w:cs="Arial"/>
          <w:noProof/>
          <w:sz w:val="20"/>
          <w:szCs w:val="20"/>
        </w:rPr>
        <w:t>(1971)</w:t>
      </w:r>
      <w:r w:rsidR="00E67B80">
        <w:rPr>
          <w:rFonts w:ascii="Arial" w:hAnsi="Arial" w:cs="Arial"/>
          <w:sz w:val="20"/>
          <w:szCs w:val="20"/>
        </w:rPr>
        <w:fldChar w:fldCharType="end"/>
      </w:r>
      <w:r w:rsidRPr="00362EC0">
        <w:rPr>
          <w:rFonts w:ascii="Arial" w:hAnsi="Arial" w:cs="Arial"/>
          <w:sz w:val="20"/>
          <w:szCs w:val="20"/>
        </w:rPr>
        <w:t xml:space="preserve"> motor readiness model, premature response can arise from either strong excitation induced by high expectancy or a cortical failure to suppress the motoric output due to underestimating the strength of suppression required. The first occurrence requires delay certainty, which is not a feature of our task design, since the delay </w:t>
      </w:r>
      <w:r w:rsidR="00EB7232" w:rsidRPr="00362EC0">
        <w:rPr>
          <w:rFonts w:ascii="Arial" w:hAnsi="Arial" w:cs="Arial"/>
          <w:sz w:val="20"/>
          <w:szCs w:val="20"/>
        </w:rPr>
        <w:t xml:space="preserve">at which the </w:t>
      </w:r>
      <w:r w:rsidRPr="00362EC0">
        <w:rPr>
          <w:rFonts w:ascii="Arial" w:hAnsi="Arial" w:cs="Arial"/>
          <w:sz w:val="20"/>
          <w:szCs w:val="20"/>
        </w:rPr>
        <w:t>trial start</w:t>
      </w:r>
      <w:r w:rsidR="00EB7232" w:rsidRPr="00362EC0">
        <w:rPr>
          <w:rFonts w:ascii="Arial" w:hAnsi="Arial" w:cs="Arial"/>
          <w:sz w:val="20"/>
          <w:szCs w:val="20"/>
        </w:rPr>
        <w:t>ed</w:t>
      </w:r>
      <w:r w:rsidRPr="00362EC0">
        <w:rPr>
          <w:rFonts w:ascii="Arial" w:hAnsi="Arial" w:cs="Arial"/>
          <w:sz w:val="20"/>
          <w:szCs w:val="20"/>
        </w:rPr>
        <w:t xml:space="preserve"> was jittered to avoid anticipation. The second type of premature responses could theoretically occur in our task, especially during highly rewarding trials, which are thought to increase cortical preparation, in line with the observed effects of reduced delay and increased pre-Cue speed in the IHT-R. However, the current sample consisted of healthy participants without underlying impulse control deficits. Intact impulse control usually prevents premature responses by inhibiting spinal cord excitability during cortical preparatory processes</w:t>
      </w:r>
      <w:r w:rsidR="00584E55">
        <w:rPr>
          <w:rFonts w:ascii="Arial" w:hAnsi="Arial" w:cs="Arial"/>
          <w:sz w:val="20"/>
          <w:szCs w:val="20"/>
        </w:rPr>
        <w:t xml:space="preserve"> </w:t>
      </w:r>
      <w:r w:rsidR="00584E55">
        <w:rPr>
          <w:rFonts w:ascii="Arial" w:hAnsi="Arial" w:cs="Arial"/>
          <w:sz w:val="20"/>
          <w:szCs w:val="20"/>
        </w:rPr>
        <w:fldChar w:fldCharType="begin" w:fldLock="1"/>
      </w:r>
      <w:r w:rsidR="00584E55">
        <w:rPr>
          <w:rFonts w:ascii="Arial" w:hAnsi="Arial" w:cs="Arial"/>
          <w:sz w:val="20"/>
          <w:szCs w:val="20"/>
        </w:rPr>
        <w:instrText>ADDIN CSL_CITATION {"citationItems":[{"id":"ITEM-1","itemData":{"ISSN":"0953-816X","author":[{"dropping-particle":"","family":"Davranche","given":"Karen","non-dropping-particle":"","parse-names":false,"suffix":""},{"dropping-particle":"","family":"Tandonnet","given":"Christophe","non-dropping-particle":"","parse-names":false,"suffix":""},{"dropping-particle":"","family":"Burle","given":"Boris","non-dropping-particle":"","parse-names":false,"suffix":""},{"dropping-particle":"","family":"Meynier","given":"Chloé","non-dropping-particle":"","parse-names":false,"suffix":""},{"dropping-particle":"","family":"Vidal","given":"Franck","non-dropping-particle":"","parse-names":false,"suffix":""},{"dropping-particle":"","family":"Hasbroucq","given":"Thierry","non-dropping-particle":"","parse-names":false,"suffix":""}],"container-title":"European Journal of Neuroscience","id":"ITEM-1","issue":"12","issued":{"date-parts":[["2007"]]},"page":"3766-3774","publisher":"Wiley Online Library","title":"The dual nature of time preparation: neural activation and suppression revealed by transcranial magnetic stimulation of the motor cortex","type":"article-journal","volume":"25"},"uris":["http://www.mendeley.com/documents/?uuid=6f879c45-f13f-46a6-a81d-e28b0c6b99d5"]},{"id":"ITEM-2","itemData":{"DOI":"10.1523/JNEUROSCI.4299-12.2012","ISSN":"02706474","PMID":"22262879","abstract":"Top-down control processes are critical to select goal-directed actions in flexible environments. In humans, these processes include two inhibitory mechanisms that operate during response selection: one is involved in solving a competition between different response options, the other ensures that a selected response is initiated in a timely manner. Here, we evaluated the role of dorsal premotor cortex (PMd) and lateral prefrontal cortex (LPF) of healthy subjects in these two forms of inhibition by using an innovative transcranial magnetic stimulation (TMS) protocol combining repetitive TMS (rTMS) over PMd or LPF and a single pulse TMS (sTMS) over primary motor cortex (M1). sTMS over M1 allowed us to assess inhibitory changes in corticospinal excitability, while rTMS was used to produce transient disruption of PMd or LPF. We found that rTMS over LPF reduces inhibition associated with competition resolution, whereas rTMS over PMd decreases inhibition associated with response impulse control. These results emphasize the dissociable contributions of these two frontal regions to inhibitory control during motor preparation. The association of LPF with competition resolution is consistent with the role of this area in relatively abstract aspects of control related to goal maintenance, ensuring that the appropriate response is selected in a variable context. In contrast, the association of PMd with impulse control is consistent with the role of this area in more specific processes related to motor preparation and initiation. © 2012 the authors.","author":[{"dropping-particle":"","family":"Duque","given":"Julie","non-dropping-particle":"","parse-names":false,"suffix":""},{"dropping-particle":"","family":"Labruna","given":"Ludovica","non-dropping-particle":"","parse-names":false,"suffix":""},{"dropping-particle":"","family":"Verset","given":"Sophie","non-dropping-particle":"","parse-names":false,"suffix":""},{"dropping-particle":"","family":"Olivier","given":"Etienne","non-dropping-particle":"","parse-names":false,"suffix":""},{"dropping-particle":"","family":"Ivry","given":"Richard B.","non-dropping-particle":"","parse-names":false,"suffix":""}],"container-title":"Journal of Neuroscience","id":"ITEM-2","issue":"3","issued":{"date-parts":[["2012"]]},"page":"806-816","title":"Dissociating the role of prefrontal and premotor cortices in controlling inhibitory mechanisms during motor preparation","type":"article-journal","volume":"32"},"uris":["http://www.mendeley.com/documents/?uuid=f62a584a-c0c2-446d-a3d8-743cb0e170d1"]}],"mendeley":{"formattedCitation":"(Davranche et al., 2007; Duque et al., 2012)","plainTextFormattedCitation":"(Davranche et al., 2007; Duque et al., 2012)","previouslyFormattedCitation":"(Davranche et al., 2007; Duque et al., 2012)"},"properties":{"noteIndex":0},"schema":"https://github.com/citation-style-language/schema/raw/master/csl-citation.json"}</w:instrText>
      </w:r>
      <w:r w:rsidR="00584E55">
        <w:rPr>
          <w:rFonts w:ascii="Arial" w:hAnsi="Arial" w:cs="Arial"/>
          <w:sz w:val="20"/>
          <w:szCs w:val="20"/>
        </w:rPr>
        <w:fldChar w:fldCharType="separate"/>
      </w:r>
      <w:r w:rsidR="00584E55" w:rsidRPr="0049131E">
        <w:rPr>
          <w:rFonts w:ascii="Arial" w:hAnsi="Arial" w:cs="Arial"/>
          <w:noProof/>
          <w:sz w:val="20"/>
          <w:szCs w:val="20"/>
          <w:lang w:val="en-US"/>
        </w:rPr>
        <w:t>(Davranche et al., 2007; Duque et al., 2012)</w:t>
      </w:r>
      <w:r w:rsidR="00584E55">
        <w:rPr>
          <w:rFonts w:ascii="Arial" w:hAnsi="Arial" w:cs="Arial"/>
          <w:sz w:val="20"/>
          <w:szCs w:val="20"/>
        </w:rPr>
        <w:fldChar w:fldCharType="end"/>
      </w:r>
      <w:r w:rsidRPr="0049131E">
        <w:rPr>
          <w:rFonts w:ascii="Arial" w:hAnsi="Arial" w:cs="Arial"/>
          <w:sz w:val="20"/>
          <w:szCs w:val="20"/>
          <w:lang w:val="en-US"/>
        </w:rPr>
        <w:t xml:space="preserve">. </w:t>
      </w:r>
      <w:r w:rsidRPr="00362EC0">
        <w:rPr>
          <w:rFonts w:ascii="Arial" w:hAnsi="Arial" w:cs="Arial"/>
          <w:sz w:val="20"/>
          <w:szCs w:val="20"/>
        </w:rPr>
        <w:t xml:space="preserve">In line with the suggestion that reward effects do not override intact impulse control in healthy individuals, no effect of reward on stopping speed was found. Similar to the current results, previous research investigating the effects of reward on movement initiation and premature responses found the presence of reward </w:t>
      </w:r>
      <w:r w:rsidRPr="00362EC0">
        <w:rPr>
          <w:rFonts w:ascii="Arial" w:hAnsi="Arial" w:cs="Arial"/>
          <w:sz w:val="20"/>
          <w:szCs w:val="20"/>
        </w:rPr>
        <w:lastRenderedPageBreak/>
        <w:t>prospects to facilitate movement initiation, while not increasing the number of premature responses in healthy volunteers</w:t>
      </w:r>
      <w:r w:rsidR="00584E55">
        <w:rPr>
          <w:rFonts w:ascii="Arial" w:hAnsi="Arial" w:cs="Arial"/>
          <w:sz w:val="20"/>
          <w:szCs w:val="20"/>
        </w:rPr>
        <w:t xml:space="preserve"> </w:t>
      </w:r>
      <w:r w:rsidR="00584E55">
        <w:rPr>
          <w:rFonts w:ascii="Arial" w:hAnsi="Arial" w:cs="Arial"/>
          <w:sz w:val="20"/>
          <w:szCs w:val="20"/>
        </w:rPr>
        <w:fldChar w:fldCharType="begin" w:fldLock="1"/>
      </w:r>
      <w:r w:rsidR="00584E55">
        <w:rPr>
          <w:rFonts w:ascii="Arial" w:hAnsi="Arial" w:cs="Arial"/>
          <w:sz w:val="20"/>
          <w:szCs w:val="20"/>
        </w:rPr>
        <w:instrText>ADDIN CSL_CITATION {"citationItems":[{"id":"ITEM-1","itemData":{"ISSN":"0028-3932","author":[{"dropping-particle":"","family":"Kojovic","given":"Maja","non-dropping-particle":"","parse-names":false,"suffix":""},{"dropping-particle":"","family":"Higgins","given":"Andrea","non-dropping-particle":"","parse-names":false,"suffix":""},{"dropping-particle":"","family":"Jahanshahi","given":"Marjan","non-dropping-particle":"","parse-names":false,"suffix":""}],"container-title":"Neuropsychologia","id":"ITEM-1","issued":{"date-parts":[["2016"]]},"page":"273-280","publisher":"Elsevier","title":"In Parkinson’s disease STN stimulation enhances responsiveness of movement initiation speed to high reward value","type":"article-journal","volume":"89"},"uris":["http://www.mendeley.com/documents/?uuid=fec9c56f-c602-4967-bff8-d0128b45137d"]}],"mendeley":{"formattedCitation":"(Kojovic et al., 2016)","plainTextFormattedCitation":"(Kojovic et al., 2016)","previouslyFormattedCitation":"(Kojovic et al., 2016)"},"properties":{"noteIndex":0},"schema":"https://github.com/citation-style-language/schema/raw/master/csl-citation.json"}</w:instrText>
      </w:r>
      <w:r w:rsidR="00584E55">
        <w:rPr>
          <w:rFonts w:ascii="Arial" w:hAnsi="Arial" w:cs="Arial"/>
          <w:sz w:val="20"/>
          <w:szCs w:val="20"/>
        </w:rPr>
        <w:fldChar w:fldCharType="separate"/>
      </w:r>
      <w:r w:rsidR="00584E55" w:rsidRPr="00584E55">
        <w:rPr>
          <w:rFonts w:ascii="Arial" w:hAnsi="Arial" w:cs="Arial"/>
          <w:noProof/>
          <w:sz w:val="20"/>
          <w:szCs w:val="20"/>
        </w:rPr>
        <w:t>(Kojovic et al., 2016)</w:t>
      </w:r>
      <w:r w:rsidR="00584E55">
        <w:rPr>
          <w:rFonts w:ascii="Arial" w:hAnsi="Arial" w:cs="Arial"/>
          <w:sz w:val="20"/>
          <w:szCs w:val="20"/>
        </w:rPr>
        <w:fldChar w:fldCharType="end"/>
      </w:r>
      <w:r w:rsidRPr="00362EC0">
        <w:rPr>
          <w:rFonts w:ascii="Arial" w:hAnsi="Arial" w:cs="Arial"/>
          <w:sz w:val="20"/>
          <w:szCs w:val="20"/>
        </w:rPr>
        <w:t xml:space="preserve">. As such we assume that </w:t>
      </w:r>
      <w:r w:rsidR="009151EA">
        <w:rPr>
          <w:rFonts w:ascii="Arial" w:hAnsi="Arial" w:cs="Arial"/>
          <w:sz w:val="20"/>
          <w:szCs w:val="20"/>
        </w:rPr>
        <w:t xml:space="preserve">even </w:t>
      </w:r>
      <w:r w:rsidRPr="00362EC0">
        <w:rPr>
          <w:rFonts w:ascii="Arial" w:hAnsi="Arial" w:cs="Arial"/>
          <w:sz w:val="20"/>
          <w:szCs w:val="20"/>
        </w:rPr>
        <w:t xml:space="preserve">when facing the prospect of high reward, an intact impulse control system acts via increasing both, cortical preparation, but also suppression of the cortico-spinal pathway, to produce the joint effects observed in the IHT-R. In line with this, high reward trials might increase attention, which has previously been </w:t>
      </w:r>
      <w:r w:rsidR="00362EC0" w:rsidRPr="00362EC0">
        <w:rPr>
          <w:rFonts w:ascii="Arial" w:hAnsi="Arial" w:cs="Arial"/>
          <w:sz w:val="20"/>
          <w:szCs w:val="20"/>
        </w:rPr>
        <w:t xml:space="preserve">argued </w:t>
      </w:r>
      <w:r w:rsidRPr="00362EC0">
        <w:rPr>
          <w:rFonts w:ascii="Arial" w:hAnsi="Arial" w:cs="Arial"/>
          <w:sz w:val="20"/>
          <w:szCs w:val="20"/>
        </w:rPr>
        <w:t xml:space="preserve">to be inversely related to the occurrence of premature responses </w:t>
      </w:r>
      <w:r w:rsidR="00584E55">
        <w:rPr>
          <w:rFonts w:ascii="Arial" w:hAnsi="Arial" w:cs="Arial"/>
          <w:sz w:val="20"/>
          <w:szCs w:val="20"/>
        </w:rPr>
        <w:fldChar w:fldCharType="begin" w:fldLock="1"/>
      </w:r>
      <w:r w:rsidR="00CB48AE">
        <w:rPr>
          <w:rFonts w:ascii="Arial" w:hAnsi="Arial" w:cs="Arial"/>
          <w:sz w:val="20"/>
          <w:szCs w:val="20"/>
        </w:rPr>
        <w:instrText>ADDIN CSL_CITATION {"citationItems":[{"id":"ITEM-1","itemData":{"ISSN":"0361-9230","author":[{"dropping-particle":"","family":"Puumala","given":"Tarja","non-dropping-particle":"","parse-names":false,"suffix":""},{"dropping-particle":"","family":"Björklund","given":"Markus","non-dropping-particle":"","parse-names":false,"suffix":""},{"dropping-particle":"","family":"Ruotsalainen","given":"Sirja","non-dropping-particle":"","parse-names":false,"suffix":""},{"dropping-particle":"","family":"Riekkinen","given":"Minna","non-dropping-particle":"","parse-names":false,"suffix":""},{"dropping-particle":"","family":"Jäkälä","given":"Pekka","non-dropping-particle":"","parse-names":false,"suffix":""},{"dropping-particle":"","family":"Haapalinna","given":"Antti","non-dropping-particle":"","parse-names":false,"suffix":""},{"dropping-particle":"","family":"Björk","given":"Erkki","non-dropping-particle":"","parse-names":false,"suffix":""},{"dropping-particle":"","family":"Riekkinen Jr","given":"Paavo","non-dropping-particle":"","parse-names":false,"suffix":""},{"dropping-particle":"","family":"Sirviö","given":"Jouni","non-dropping-particle":"","parse-names":false,"suffix":""}],"container-title":"Brain research bulletin","id":"ITEM-1","issue":"2","issued":{"date-parts":[["1997"]]},"page":"163-171","publisher":"Elsevier","title":"Lack of relationship between thalamic oscillations and attention in rats: differential modulation by an alpha-2 antagonist","type":"article-journal","volume":"43"},"uris":["http://www.mendeley.com/documents/?uuid=b9ae24e6-c139-4bc6-ae00-30a59d537499"]}],"mendeley":{"formattedCitation":"(Puumala et al., 1997)","plainTextFormattedCitation":"(Puumala et al., 1997)","previouslyFormattedCitation":"(Puumala et al., 1997)"},"properties":{"noteIndex":0},"schema":"https://github.com/citation-style-language/schema/raw/master/csl-citation.json"}</w:instrText>
      </w:r>
      <w:r w:rsidR="00584E55">
        <w:rPr>
          <w:rFonts w:ascii="Arial" w:hAnsi="Arial" w:cs="Arial"/>
          <w:sz w:val="20"/>
          <w:szCs w:val="20"/>
        </w:rPr>
        <w:fldChar w:fldCharType="separate"/>
      </w:r>
      <w:r w:rsidR="00584E55" w:rsidRPr="00584E55">
        <w:rPr>
          <w:rFonts w:ascii="Arial" w:hAnsi="Arial" w:cs="Arial"/>
          <w:noProof/>
          <w:sz w:val="20"/>
          <w:szCs w:val="20"/>
        </w:rPr>
        <w:t>(Puumala et al., 1997)</w:t>
      </w:r>
      <w:r w:rsidR="00584E55">
        <w:rPr>
          <w:rFonts w:ascii="Arial" w:hAnsi="Arial" w:cs="Arial"/>
          <w:sz w:val="20"/>
          <w:szCs w:val="20"/>
        </w:rPr>
        <w:fldChar w:fldCharType="end"/>
      </w:r>
      <w:bookmarkStart w:id="14" w:name="_Hlk46402481"/>
      <w:r w:rsidR="00584E55">
        <w:rPr>
          <w:rFonts w:ascii="Arial" w:hAnsi="Arial" w:cs="Arial"/>
          <w:sz w:val="20"/>
          <w:szCs w:val="20"/>
        </w:rPr>
        <w:t>.</w:t>
      </w:r>
      <w:r w:rsidR="00362EC0" w:rsidRPr="00362EC0">
        <w:rPr>
          <w:rFonts w:ascii="Arial" w:hAnsi="Arial" w:cs="Arial"/>
          <w:sz w:val="20"/>
          <w:szCs w:val="20"/>
        </w:rPr>
        <w:t xml:space="preserve"> </w:t>
      </w:r>
      <w:r w:rsidR="00B42D72" w:rsidRPr="00362EC0">
        <w:rPr>
          <w:rFonts w:ascii="Arial" w:hAnsi="Arial" w:cs="Arial"/>
          <w:iCs/>
          <w:sz w:val="20"/>
          <w:szCs w:val="20"/>
        </w:rPr>
        <w:t>P</w:t>
      </w:r>
      <w:r w:rsidR="00FD2F35" w:rsidRPr="00362EC0">
        <w:rPr>
          <w:rFonts w:ascii="Arial" w:hAnsi="Arial" w:cs="Arial"/>
          <w:iCs/>
          <w:sz w:val="20"/>
          <w:szCs w:val="20"/>
        </w:rPr>
        <w:t xml:space="preserve">revious research on intentional inhibition relied on the response times to Go trials and on the percentage </w:t>
      </w:r>
      <w:r w:rsidR="00362EC0" w:rsidRPr="00362EC0">
        <w:rPr>
          <w:rFonts w:ascii="Arial" w:hAnsi="Arial" w:cs="Arial"/>
          <w:iCs/>
          <w:sz w:val="20"/>
          <w:szCs w:val="20"/>
        </w:rPr>
        <w:t xml:space="preserve">of </w:t>
      </w:r>
      <w:r w:rsidR="00FD2F35" w:rsidRPr="00362EC0">
        <w:rPr>
          <w:rFonts w:ascii="Arial" w:hAnsi="Arial" w:cs="Arial"/>
          <w:iCs/>
          <w:sz w:val="20"/>
          <w:szCs w:val="20"/>
        </w:rPr>
        <w:t xml:space="preserve">intentional </w:t>
      </w:r>
      <w:r w:rsidR="00251670" w:rsidRPr="00362EC0">
        <w:rPr>
          <w:rFonts w:ascii="Arial" w:hAnsi="Arial" w:cs="Arial"/>
          <w:iCs/>
          <w:sz w:val="20"/>
          <w:szCs w:val="20"/>
        </w:rPr>
        <w:t>S</w:t>
      </w:r>
      <w:r w:rsidR="00FD2F35" w:rsidRPr="00362EC0">
        <w:rPr>
          <w:rFonts w:ascii="Arial" w:hAnsi="Arial" w:cs="Arial"/>
          <w:iCs/>
          <w:sz w:val="20"/>
          <w:szCs w:val="20"/>
        </w:rPr>
        <w:t xml:space="preserve">top </w:t>
      </w:r>
      <w:r w:rsidR="00362EC0" w:rsidRPr="00362EC0">
        <w:rPr>
          <w:rFonts w:ascii="Arial" w:hAnsi="Arial" w:cs="Arial"/>
          <w:iCs/>
          <w:sz w:val="20"/>
          <w:szCs w:val="20"/>
        </w:rPr>
        <w:t xml:space="preserve">and Go </w:t>
      </w:r>
      <w:r w:rsidR="00FD2F35" w:rsidRPr="00362EC0">
        <w:rPr>
          <w:rFonts w:ascii="Arial" w:hAnsi="Arial" w:cs="Arial"/>
          <w:iCs/>
          <w:sz w:val="20"/>
          <w:szCs w:val="20"/>
        </w:rPr>
        <w:t>trials</w:t>
      </w:r>
      <w:r w:rsidR="00C95DBF" w:rsidRPr="00362EC0">
        <w:rPr>
          <w:rFonts w:ascii="Arial" w:hAnsi="Arial" w:cs="Arial"/>
          <w:iCs/>
          <w:sz w:val="20"/>
          <w:szCs w:val="20"/>
        </w:rPr>
        <w:t xml:space="preserve"> to assess free choice</w:t>
      </w:r>
      <w:r w:rsidR="00FD2F35" w:rsidRPr="00362EC0">
        <w:rPr>
          <w:rFonts w:ascii="Arial" w:hAnsi="Arial" w:cs="Arial"/>
          <w:iCs/>
          <w:sz w:val="20"/>
          <w:szCs w:val="20"/>
        </w:rPr>
        <w:t xml:space="preserve">, </w:t>
      </w:r>
      <w:r w:rsidR="00B42D72" w:rsidRPr="00362EC0">
        <w:rPr>
          <w:rFonts w:ascii="Arial" w:hAnsi="Arial" w:cs="Arial"/>
          <w:iCs/>
          <w:sz w:val="20"/>
          <w:szCs w:val="20"/>
        </w:rPr>
        <w:t xml:space="preserve">whereas </w:t>
      </w:r>
      <w:r w:rsidR="00FD2F35" w:rsidRPr="00362EC0">
        <w:rPr>
          <w:rFonts w:ascii="Arial" w:hAnsi="Arial" w:cs="Arial"/>
          <w:iCs/>
          <w:sz w:val="20"/>
          <w:szCs w:val="20"/>
        </w:rPr>
        <w:t xml:space="preserve">the IHT-R has the advantage that stop response times can be </w:t>
      </w:r>
      <w:r w:rsidR="000E36EE" w:rsidRPr="00362EC0">
        <w:rPr>
          <w:rFonts w:ascii="Arial" w:hAnsi="Arial" w:cs="Arial"/>
          <w:iCs/>
          <w:sz w:val="20"/>
          <w:szCs w:val="20"/>
        </w:rPr>
        <w:t xml:space="preserve">explicitly </w:t>
      </w:r>
      <w:r w:rsidR="00FD2F35" w:rsidRPr="00362EC0">
        <w:rPr>
          <w:rFonts w:ascii="Arial" w:hAnsi="Arial" w:cs="Arial"/>
          <w:iCs/>
          <w:sz w:val="20"/>
          <w:szCs w:val="20"/>
        </w:rPr>
        <w:t xml:space="preserve">measured. </w:t>
      </w:r>
    </w:p>
    <w:p w14:paraId="152AF824" w14:textId="685C9E99" w:rsidR="0003692B" w:rsidRPr="00362EC0" w:rsidRDefault="000E36EE" w:rsidP="001E035F">
      <w:pPr>
        <w:spacing w:after="0" w:line="360" w:lineRule="auto"/>
        <w:ind w:firstLine="720"/>
        <w:contextualSpacing/>
        <w:jc w:val="both"/>
        <w:rPr>
          <w:rFonts w:ascii="Arial" w:eastAsia="Times New Roman" w:hAnsi="Arial" w:cs="Arial"/>
          <w:color w:val="000000"/>
          <w:sz w:val="20"/>
          <w:szCs w:val="20"/>
          <w:lang w:eastAsia="de-DE"/>
        </w:rPr>
      </w:pPr>
      <w:r w:rsidRPr="00362EC0">
        <w:rPr>
          <w:rFonts w:ascii="Arial" w:hAnsi="Arial" w:cs="Arial"/>
          <w:iCs/>
          <w:sz w:val="20"/>
          <w:szCs w:val="20"/>
        </w:rPr>
        <w:t>In line with previous investigations, we advised participants to balance the proportions of intentional action and intentional stopping 50:50</w:t>
      </w:r>
      <w:r w:rsidR="0055351A" w:rsidRPr="00362EC0">
        <w:rPr>
          <w:rFonts w:ascii="Arial" w:hAnsi="Arial" w:cs="Arial"/>
          <w:iCs/>
          <w:sz w:val="20"/>
          <w:szCs w:val="20"/>
        </w:rPr>
        <w:t xml:space="preserve"> during Choice trials</w:t>
      </w:r>
      <w:r w:rsidRPr="00362EC0">
        <w:rPr>
          <w:rFonts w:ascii="Arial" w:hAnsi="Arial" w:cs="Arial"/>
          <w:iCs/>
          <w:sz w:val="20"/>
          <w:szCs w:val="20"/>
        </w:rPr>
        <w:t xml:space="preserve">. </w:t>
      </w:r>
      <w:bookmarkStart w:id="15" w:name="_Hlk46405527"/>
      <w:r w:rsidR="00FD2F35" w:rsidRPr="00362EC0">
        <w:rPr>
          <w:rFonts w:ascii="Arial" w:hAnsi="Arial" w:cs="Arial"/>
          <w:iCs/>
          <w:sz w:val="20"/>
          <w:szCs w:val="20"/>
        </w:rPr>
        <w:t xml:space="preserve">Research on intentional action </w:t>
      </w:r>
      <w:r w:rsidRPr="00362EC0">
        <w:rPr>
          <w:rFonts w:ascii="Arial" w:hAnsi="Arial" w:cs="Arial"/>
          <w:iCs/>
          <w:sz w:val="20"/>
          <w:szCs w:val="20"/>
        </w:rPr>
        <w:t xml:space="preserve">using a similar design </w:t>
      </w:r>
      <w:r w:rsidR="00FD2F35" w:rsidRPr="00362EC0">
        <w:rPr>
          <w:rFonts w:ascii="Arial" w:hAnsi="Arial" w:cs="Arial"/>
          <w:iCs/>
          <w:sz w:val="20"/>
          <w:szCs w:val="20"/>
        </w:rPr>
        <w:t>usually reports an increase in response times when compared to instructed Go trials</w:t>
      </w:r>
      <w:r w:rsidRPr="00362EC0">
        <w:rPr>
          <w:rFonts w:ascii="Arial" w:hAnsi="Arial" w:cs="Arial"/>
          <w:iCs/>
          <w:sz w:val="20"/>
          <w:szCs w:val="20"/>
        </w:rPr>
        <w:t xml:space="preserve">, while the absence of measured </w:t>
      </w:r>
      <w:r w:rsidR="00CE53B1">
        <w:rPr>
          <w:rFonts w:ascii="Arial" w:hAnsi="Arial" w:cs="Arial"/>
          <w:iCs/>
          <w:sz w:val="20"/>
          <w:szCs w:val="20"/>
        </w:rPr>
        <w:t>S</w:t>
      </w:r>
      <w:r w:rsidR="00CE53B1" w:rsidRPr="00362EC0">
        <w:rPr>
          <w:rFonts w:ascii="Arial" w:hAnsi="Arial" w:cs="Arial"/>
          <w:iCs/>
          <w:sz w:val="20"/>
          <w:szCs w:val="20"/>
        </w:rPr>
        <w:t xml:space="preserve">top </w:t>
      </w:r>
      <w:r w:rsidRPr="00362EC0">
        <w:rPr>
          <w:rFonts w:ascii="Arial" w:hAnsi="Arial" w:cs="Arial"/>
          <w:iCs/>
          <w:sz w:val="20"/>
          <w:szCs w:val="20"/>
        </w:rPr>
        <w:t>response times prevented a quantification of the effect of intentionality on the stop process</w:t>
      </w:r>
      <w:r w:rsidR="00FD2F35" w:rsidRPr="00362EC0">
        <w:rPr>
          <w:rFonts w:ascii="Arial" w:hAnsi="Arial" w:cs="Arial"/>
          <w:iCs/>
          <w:sz w:val="20"/>
          <w:szCs w:val="20"/>
        </w:rPr>
        <w:t xml:space="preserve"> </w:t>
      </w:r>
      <w:r w:rsidR="002B2D0D" w:rsidRPr="00362EC0">
        <w:rPr>
          <w:rFonts w:ascii="Arial" w:hAnsi="Arial" w:cs="Arial"/>
          <w:sz w:val="20"/>
          <w:szCs w:val="20"/>
        </w:rPr>
        <w:fldChar w:fldCharType="begin" w:fldLock="1"/>
      </w:r>
      <w:r w:rsidR="0005748B" w:rsidRPr="00362EC0">
        <w:rPr>
          <w:rFonts w:ascii="Arial" w:hAnsi="Arial" w:cs="Arial"/>
          <w:sz w:val="20"/>
          <w:szCs w:val="20"/>
        </w:rPr>
        <w:instrText>ADDIN CSL_CITATION {"citationItems":[{"id":"ITEM-1","itemData":{"ISSN":"1065-9471","author":[{"dropping-particle":"","family":"Karch","given":"Susanne","non-dropping-particle":"","parse-names":false,"suffix":""},{"dropping-particle":"","family":"Mulert","given":"Christoph","non-dropping-particle":"","parse-names":false,"suffix":""},{"dropping-particle":"","family":"Thalmeier","given":"Tobias","non-dropping-particle":"","parse-names":false,"suffix":""},{"dropping-particle":"","family":"Lutz","given":"Jürgen","non-dropping-particle":"","parse-names":false,"suffix":""},{"dropping-particle":"","family":"Leicht","given":"Gregor","non-dropping-particle":"","parse-names":false,"suffix":""},{"dropping-particle":"","family":"Meindl","given":"Thomas","non-dropping-particle":"","parse-names":false,"suffix":""},{"dropping-particle":"","family":"Möller","given":"Hans</w:instrText>
      </w:r>
      <w:r w:rsidR="0005748B" w:rsidRPr="00362EC0">
        <w:rPr>
          <w:rFonts w:ascii="Cambria Math" w:hAnsi="Cambria Math" w:cs="Cambria Math"/>
          <w:sz w:val="20"/>
          <w:szCs w:val="20"/>
        </w:rPr>
        <w:instrText>‐</w:instrText>
      </w:r>
      <w:r w:rsidR="0005748B" w:rsidRPr="00362EC0">
        <w:rPr>
          <w:rFonts w:ascii="Arial" w:hAnsi="Arial" w:cs="Arial"/>
          <w:sz w:val="20"/>
          <w:szCs w:val="20"/>
        </w:rPr>
        <w:instrText>Jürgen","non-dropping-particle":"","parse-names":false,"suffix":""},{"dropping-particle":"","family":"Jäger","given":"Lorenz","non-dropping-particle":"","parse-names":false,"suffix":""},{"dropping-particle":"","family":"Pogarell","given":"Oliver","non-dropping-particle":"","parse-names":false,"suffix":""}],"container-title":"Human brain mapping","id":"ITEM-1","issue":"9","issued":{"date-parts":[["2009"]]},"page":"2971-2985","publisher":"Wiley Online Library","title":"The free choice whether or not to respond after stimulus presentation","type":"article-journal","volume":"30"},"uris":["http://www.mendeley.com/documents/?uuid=008cd4fe-d63b-46bf-aa14-1f6dc84a09ed"]},{"id":"ITEM-2","itemData":{"ISSN":"1053-8119","author":[{"dropping-particle":"","family":"Kühn","given":"Simone","non-dropping-particle":"","parse-names":false,"suffix":""},{"dropping-particle":"","family":"Brass","given":"Marcel","non-dropping-particle":"","parse-names":false,"suffix":""}],"container-title":"Neuroimage","id":"ITEM-2","issue":"4","issued":{"date-parts":[["2009"]]},"page":"1187-1193","publisher":"Elsevier","title":"When doing nothing is an option: the neural correlates of deciding whether to act or not","type":"article-journal","volume":"46"},"uris":["http://www.mendeley.com/documents/?uuid=fe18862f-90be-43a0-b653-9b5c99f20efe"]},{"id":"ITEM-3","itemData":{"author":[{"dropping-particle":"","family":"Parkinson","given":"Jim","non-dropping-particle":"","parse-names":false,"suffix":""},{"dropping-particle":"","family":"Haggard","given":"Patrick","non-dropping-particle":"","parse-names":false,"suffix":""}],"container-title":"Journal of cognitive neuroscience","id":"ITEM-3","issued":{"date-parts":[["2015"]]},"publisher":"MIT Press","title":"Choosing to stop: Responses evoked by externally triggered and internally generated inhibition identify a neural mechanism of will","type":"article-journal"},"uris":["http://www.mendeley.com/documents/?uuid=d02c03da-9976-4977-9978-21a5d1c4a35b"]}],"mendeley":{"formattedCitation":"(Karch et al., 2009; Kühn &amp; Brass, 2009; Parkinson &amp; Haggard, 2015)","plainTextFormattedCitation":"(Karch et al., 2009; Kühn &amp; Brass, 2009; Parkinson &amp; Haggard, 2015)","previouslyFormattedCitation":"(Karch et al., 2009; Kühn &amp; Brass, 2009; Parkinson &amp; Haggard, 2015)"},"properties":{"noteIndex":0},"schema":"https://github.com/citation-style-language/schema/raw/master/csl-citation.json"}</w:instrText>
      </w:r>
      <w:r w:rsidR="002B2D0D" w:rsidRPr="00362EC0">
        <w:rPr>
          <w:rFonts w:ascii="Arial" w:hAnsi="Arial" w:cs="Arial"/>
          <w:sz w:val="20"/>
          <w:szCs w:val="20"/>
        </w:rPr>
        <w:fldChar w:fldCharType="separate"/>
      </w:r>
      <w:r w:rsidR="0005748B" w:rsidRPr="00362EC0">
        <w:rPr>
          <w:rFonts w:ascii="Arial" w:hAnsi="Arial" w:cs="Arial"/>
          <w:noProof/>
          <w:sz w:val="20"/>
          <w:szCs w:val="20"/>
        </w:rPr>
        <w:t>(Karch et al., 2009; Kühn &amp; Brass, 2009; Parkinson &amp; Haggard, 2015)</w:t>
      </w:r>
      <w:r w:rsidR="002B2D0D" w:rsidRPr="00362EC0">
        <w:rPr>
          <w:rFonts w:ascii="Arial" w:hAnsi="Arial" w:cs="Arial"/>
          <w:sz w:val="20"/>
          <w:szCs w:val="20"/>
        </w:rPr>
        <w:fldChar w:fldCharType="end"/>
      </w:r>
      <w:r w:rsidR="002B2D0D" w:rsidRPr="00362EC0">
        <w:rPr>
          <w:rFonts w:ascii="Arial" w:hAnsi="Arial" w:cs="Arial"/>
          <w:iCs/>
          <w:sz w:val="20"/>
          <w:szCs w:val="20"/>
        </w:rPr>
        <w:t xml:space="preserve">. In our task design, </w:t>
      </w:r>
      <w:r w:rsidRPr="00362EC0">
        <w:rPr>
          <w:rFonts w:ascii="Arial" w:hAnsi="Arial" w:cs="Arial"/>
          <w:iCs/>
          <w:sz w:val="20"/>
          <w:szCs w:val="20"/>
        </w:rPr>
        <w:t xml:space="preserve">we observed prolonged response times for intentional compared to instructed </w:t>
      </w:r>
      <w:r w:rsidR="0055351A" w:rsidRPr="00362EC0">
        <w:rPr>
          <w:rFonts w:ascii="Arial" w:hAnsi="Arial" w:cs="Arial"/>
          <w:iCs/>
          <w:sz w:val="20"/>
          <w:szCs w:val="20"/>
        </w:rPr>
        <w:t>S</w:t>
      </w:r>
      <w:r w:rsidRPr="00362EC0">
        <w:rPr>
          <w:rFonts w:ascii="Arial" w:hAnsi="Arial" w:cs="Arial"/>
          <w:iCs/>
          <w:sz w:val="20"/>
          <w:szCs w:val="20"/>
        </w:rPr>
        <w:t>top</w:t>
      </w:r>
      <w:r w:rsidR="0055351A" w:rsidRPr="00362EC0">
        <w:rPr>
          <w:rFonts w:ascii="Arial" w:hAnsi="Arial" w:cs="Arial"/>
          <w:iCs/>
          <w:sz w:val="20"/>
          <w:szCs w:val="20"/>
        </w:rPr>
        <w:t>, but not Go</w:t>
      </w:r>
      <w:r w:rsidRPr="00362EC0">
        <w:rPr>
          <w:rFonts w:ascii="Arial" w:hAnsi="Arial" w:cs="Arial"/>
          <w:iCs/>
          <w:sz w:val="20"/>
          <w:szCs w:val="20"/>
        </w:rPr>
        <w:t xml:space="preserve"> trials</w:t>
      </w:r>
      <w:r w:rsidR="0055351A" w:rsidRPr="00362EC0">
        <w:rPr>
          <w:rFonts w:ascii="Arial" w:hAnsi="Arial" w:cs="Arial"/>
          <w:iCs/>
          <w:sz w:val="20"/>
          <w:szCs w:val="20"/>
        </w:rPr>
        <w:t>.</w:t>
      </w:r>
      <w:r w:rsidRPr="00362EC0">
        <w:rPr>
          <w:rFonts w:ascii="Arial" w:hAnsi="Arial" w:cs="Arial"/>
          <w:iCs/>
          <w:sz w:val="20"/>
          <w:szCs w:val="20"/>
        </w:rPr>
        <w:t xml:space="preserve"> </w:t>
      </w:r>
      <w:r w:rsidR="00921AF0" w:rsidRPr="00362EC0">
        <w:rPr>
          <w:rFonts w:ascii="Arial" w:hAnsi="Arial" w:cs="Arial"/>
          <w:iCs/>
          <w:sz w:val="20"/>
          <w:szCs w:val="20"/>
        </w:rPr>
        <w:t>This apparent contradiction to previous research on intentional action</w:t>
      </w:r>
      <w:r w:rsidR="0055351A" w:rsidRPr="00362EC0">
        <w:rPr>
          <w:rFonts w:ascii="Arial" w:hAnsi="Arial" w:cs="Arial"/>
          <w:iCs/>
          <w:sz w:val="20"/>
          <w:szCs w:val="20"/>
        </w:rPr>
        <w:t xml:space="preserve"> and inhibition</w:t>
      </w:r>
      <w:r w:rsidR="00921AF0" w:rsidRPr="00362EC0">
        <w:rPr>
          <w:rFonts w:ascii="Arial" w:hAnsi="Arial" w:cs="Arial"/>
          <w:iCs/>
          <w:sz w:val="20"/>
          <w:szCs w:val="20"/>
        </w:rPr>
        <w:t xml:space="preserve"> might be explained by differences between the task designs. </w:t>
      </w:r>
      <w:r w:rsidR="00944E9E" w:rsidRPr="00362EC0">
        <w:rPr>
          <w:rFonts w:ascii="Arial" w:hAnsi="Arial" w:cs="Arial"/>
          <w:iCs/>
          <w:sz w:val="20"/>
          <w:szCs w:val="20"/>
        </w:rPr>
        <w:t>Previous r</w:t>
      </w:r>
      <w:r w:rsidR="00921AF0" w:rsidRPr="00362EC0">
        <w:rPr>
          <w:rFonts w:ascii="Arial" w:hAnsi="Arial" w:cs="Arial"/>
          <w:iCs/>
          <w:sz w:val="20"/>
          <w:szCs w:val="20"/>
        </w:rPr>
        <w:t xml:space="preserve">esearch on instructed </w:t>
      </w:r>
      <w:r w:rsidR="009C0908" w:rsidRPr="00362EC0">
        <w:rPr>
          <w:rFonts w:ascii="Arial" w:hAnsi="Arial" w:cs="Arial"/>
          <w:iCs/>
          <w:sz w:val="20"/>
          <w:szCs w:val="20"/>
        </w:rPr>
        <w:t xml:space="preserve">and intentional </w:t>
      </w:r>
      <w:r w:rsidR="00921AF0" w:rsidRPr="00362EC0">
        <w:rPr>
          <w:rFonts w:ascii="Arial" w:hAnsi="Arial" w:cs="Arial"/>
          <w:iCs/>
          <w:sz w:val="20"/>
          <w:szCs w:val="20"/>
        </w:rPr>
        <w:t>action</w:t>
      </w:r>
      <w:r w:rsidR="00944E9E" w:rsidRPr="00362EC0">
        <w:rPr>
          <w:rFonts w:ascii="Arial" w:hAnsi="Arial" w:cs="Arial"/>
          <w:iCs/>
          <w:sz w:val="20"/>
          <w:szCs w:val="20"/>
        </w:rPr>
        <w:t xml:space="preserve"> used a variety of tasks such as variants of the Go/</w:t>
      </w:r>
      <w:r w:rsidR="00CE53B1">
        <w:rPr>
          <w:rFonts w:ascii="Arial" w:hAnsi="Arial" w:cs="Arial"/>
          <w:iCs/>
          <w:sz w:val="20"/>
          <w:szCs w:val="20"/>
        </w:rPr>
        <w:t>N</w:t>
      </w:r>
      <w:r w:rsidR="00CE53B1" w:rsidRPr="00362EC0">
        <w:rPr>
          <w:rFonts w:ascii="Arial" w:hAnsi="Arial" w:cs="Arial"/>
          <w:iCs/>
          <w:sz w:val="20"/>
          <w:szCs w:val="20"/>
        </w:rPr>
        <w:t>o</w:t>
      </w:r>
      <w:r w:rsidR="00944E9E" w:rsidRPr="00362EC0">
        <w:rPr>
          <w:rFonts w:ascii="Arial" w:hAnsi="Arial" w:cs="Arial"/>
          <w:iCs/>
          <w:sz w:val="20"/>
          <w:szCs w:val="20"/>
        </w:rPr>
        <w:t>-go,</w:t>
      </w:r>
      <w:r w:rsidR="0055351A" w:rsidRPr="00362EC0">
        <w:rPr>
          <w:rFonts w:ascii="Arial" w:hAnsi="Arial" w:cs="Arial"/>
          <w:iCs/>
          <w:sz w:val="20"/>
          <w:szCs w:val="20"/>
        </w:rPr>
        <w:t xml:space="preserve"> the </w:t>
      </w:r>
      <w:r w:rsidR="00944E9E" w:rsidRPr="00362EC0">
        <w:rPr>
          <w:rFonts w:ascii="Arial" w:hAnsi="Arial" w:cs="Arial"/>
          <w:iCs/>
          <w:sz w:val="20"/>
          <w:szCs w:val="20"/>
        </w:rPr>
        <w:t>M</w:t>
      </w:r>
      <w:r w:rsidR="0055351A" w:rsidRPr="00362EC0">
        <w:rPr>
          <w:rFonts w:ascii="Arial" w:hAnsi="Arial" w:cs="Arial"/>
          <w:iCs/>
          <w:sz w:val="20"/>
          <w:szCs w:val="20"/>
        </w:rPr>
        <w:t>arble task</w:t>
      </w:r>
      <w:r w:rsidR="00944E9E" w:rsidRPr="00362EC0">
        <w:rPr>
          <w:rFonts w:ascii="Arial" w:hAnsi="Arial" w:cs="Arial"/>
          <w:iCs/>
          <w:sz w:val="20"/>
          <w:szCs w:val="20"/>
        </w:rPr>
        <w:t>,</w:t>
      </w:r>
      <w:r w:rsidR="0055351A" w:rsidRPr="00362EC0">
        <w:rPr>
          <w:rFonts w:ascii="Arial" w:hAnsi="Arial" w:cs="Arial"/>
          <w:iCs/>
          <w:sz w:val="20"/>
          <w:szCs w:val="20"/>
        </w:rPr>
        <w:t xml:space="preserve"> or more recently, the </w:t>
      </w:r>
      <w:r w:rsidR="00B867E0" w:rsidRPr="00B867E0">
        <w:rPr>
          <w:rFonts w:ascii="Arial" w:hAnsi="Arial" w:cs="Arial"/>
          <w:iCs/>
          <w:sz w:val="20"/>
          <w:szCs w:val="20"/>
        </w:rPr>
        <w:t>Chasing</w:t>
      </w:r>
      <w:r w:rsidR="0055351A" w:rsidRPr="00362EC0">
        <w:rPr>
          <w:rFonts w:ascii="Arial" w:hAnsi="Arial" w:cs="Arial"/>
          <w:iCs/>
          <w:sz w:val="20"/>
          <w:szCs w:val="20"/>
        </w:rPr>
        <w:t xml:space="preserve"> Memo task by Liu et al.</w:t>
      </w:r>
      <w:r w:rsidR="00CB48AE">
        <w:rPr>
          <w:rFonts w:ascii="Arial" w:hAnsi="Arial" w:cs="Arial"/>
          <w:iCs/>
          <w:sz w:val="20"/>
          <w:szCs w:val="20"/>
        </w:rPr>
        <w:t xml:space="preserve"> </w:t>
      </w:r>
      <w:r w:rsidR="00CB48AE">
        <w:rPr>
          <w:rFonts w:ascii="Arial" w:hAnsi="Arial" w:cs="Arial"/>
          <w:iCs/>
          <w:sz w:val="20"/>
          <w:szCs w:val="20"/>
        </w:rPr>
        <w:fldChar w:fldCharType="begin" w:fldLock="1"/>
      </w:r>
      <w:r w:rsidR="00CB48AE">
        <w:rPr>
          <w:rFonts w:ascii="Arial" w:hAnsi="Arial" w:cs="Arial"/>
          <w:iCs/>
          <w:sz w:val="20"/>
          <w:szCs w:val="20"/>
        </w:rPr>
        <w:instrText>ADDIN CSL_CITATION {"citationItems":[{"id":"ITEM-1","itemData":{"DOI":"10.1186/s40359-019-0367-z","ISBN":"4035901903","ISSN":"20507283","PMID":"31910907","abstract":"Background : Response inhibition can be classified into stimulus-driven inhibition and intentional inhibition based on the degree of endogenous volition involved. In the past decades, abundant research efforts to study the effects of alcohol on inhibition have focused exclusively on stimulus-driven inhibition. The novel Chasing Memo task measures stimulus-driven and intentional inhibition within the same paradigm. Combined with the stop-signal task, we investigated how alcohol use affects behavioral and psychophysiological correlates of intentional inhibition, as well as stimulus-driven inhibition. Methods: Experiment I focused on intentional inhibition and stimulus-driven inhibition in relation to past-year alcohol use. The Chasing Memo task, the stop-signal task, and questionnaires related to substance use and impulsivity were administered to 60 undergraduate students (18-25 years old). Experiment II focused on behavioral and neural correlates acute alcohol use on performance on the Chasing Memo task by means of electroencephalography (EEG). Sixteen young male adults (21-28 years old) performed the Chasing Memo task once under placebo and once under the influence of alcohol (blood alcohol concentration around 0.05%), while EEG was recorded. Results: In experiment I, AUDIT (Alcohol Use Disorder Identification Test) total score did not significantly predict stimulus-driven inhibition or intentional inhibition performance. In experiment II, the placebo condition and the alcohol condition were comparable in terms of behavioral indices of stimulus-driven inhibition and intentional inhibition as well as task-related EEG patterns. Interestingly, a slow negative readiness potential (RP) was observed with an onset of about 1.2 s, exclusively before participants stopped intentionally. Conclusions: These findings suggest that both past-year increases in risky alcohol consumption and moderate acute alcohol use have limited effects on stimulus-driven inhibition and intentional inhibition. These conclusions cannot be generalized to alcohol use disorder and high intoxication levels. The RP might reflect processes involved in the formation of an intention in general.","author":[{"dropping-particle":"","family":"Liu","given":"Yang","non-dropping-particle":"","parse-names":false,"suffix":""},{"dropping-particle":"","family":"Wildenberg","given":"Wery P.M.","non-dropping-particle":"Van Den","parse-names":false,"suffix":""},{"dropping-particle":"","family":"González","given":"Gorka Fraga","non-dropping-particle":"","parse-names":false,"suffix":""},{"dropping-particle":"","family":"Rigoni","given":"Davide","non-dropping-particle":"","parse-names":false,"suffix":""},{"dropping-particle":"","family":"Brass","given":"Marcel","non-dropping-particle":"","parse-names":false,"suffix":""},{"dropping-particle":"","family":"Wiers","given":"Reinout W.","non-dropping-particle":"","parse-names":false,"suffix":""},{"dropping-particle":"","family":"Ridderinkhof","given":"K. Richard","non-dropping-particle":"","parse-names":false,"suffix":""}],"container-title":"BMC Psychology","id":"ITEM-1","issue":"1","issued":{"date-parts":[["2020"]]},"publisher":"BMC Psychology","title":"\"free won't\" after a beer or two: Chronic and acute effects of alcohol on neural and behavioral indices of intentional inhibition","type":"article-journal","volume":"8"},"uris":["http://www.mendeley.com/documents/?uuid=69ea1950-c227-46aa-bd17-4b66052fa9b3"]}],"mendeley":{"formattedCitation":"(Liu et al., 2020)","plainTextFormattedCitation":"(Liu et al., 2020)","previouslyFormattedCitation":"(Liu et al., 2020)"},"properties":{"noteIndex":0},"schema":"https://github.com/citation-style-language/schema/raw/master/csl-citation.json"}</w:instrText>
      </w:r>
      <w:r w:rsidR="00CB48AE">
        <w:rPr>
          <w:rFonts w:ascii="Arial" w:hAnsi="Arial" w:cs="Arial"/>
          <w:iCs/>
          <w:sz w:val="20"/>
          <w:szCs w:val="20"/>
        </w:rPr>
        <w:fldChar w:fldCharType="separate"/>
      </w:r>
      <w:r w:rsidR="00CB48AE" w:rsidRPr="00CB48AE">
        <w:rPr>
          <w:rFonts w:ascii="Arial" w:hAnsi="Arial" w:cs="Arial"/>
          <w:iCs/>
          <w:noProof/>
          <w:sz w:val="20"/>
          <w:szCs w:val="20"/>
        </w:rPr>
        <w:t>(Liu et al., 2020)</w:t>
      </w:r>
      <w:r w:rsidR="00CB48AE">
        <w:rPr>
          <w:rFonts w:ascii="Arial" w:hAnsi="Arial" w:cs="Arial"/>
          <w:iCs/>
          <w:sz w:val="20"/>
          <w:szCs w:val="20"/>
        </w:rPr>
        <w:fldChar w:fldCharType="end"/>
      </w:r>
      <w:r w:rsidR="0055351A" w:rsidRPr="00362EC0">
        <w:rPr>
          <w:rFonts w:ascii="Arial" w:hAnsi="Arial" w:cs="Arial"/>
          <w:iCs/>
          <w:sz w:val="20"/>
          <w:szCs w:val="20"/>
        </w:rPr>
        <w:t xml:space="preserve"> </w:t>
      </w:r>
      <w:r w:rsidR="00CE53B1">
        <w:rPr>
          <w:rFonts w:ascii="Arial" w:hAnsi="Arial" w:cs="Arial"/>
          <w:iCs/>
          <w:sz w:val="20"/>
          <w:szCs w:val="20"/>
        </w:rPr>
        <w:t>which</w:t>
      </w:r>
      <w:r w:rsidR="00CE53B1" w:rsidRPr="00362EC0">
        <w:rPr>
          <w:rFonts w:ascii="Arial" w:hAnsi="Arial" w:cs="Arial"/>
          <w:iCs/>
          <w:sz w:val="20"/>
          <w:szCs w:val="20"/>
        </w:rPr>
        <w:t xml:space="preserve"> </w:t>
      </w:r>
      <w:r w:rsidR="00944E9E" w:rsidRPr="00362EC0">
        <w:rPr>
          <w:rFonts w:ascii="Arial" w:hAnsi="Arial" w:cs="Arial"/>
          <w:iCs/>
          <w:sz w:val="20"/>
          <w:szCs w:val="20"/>
        </w:rPr>
        <w:t>define Go</w:t>
      </w:r>
      <w:r w:rsidR="00921AF0" w:rsidRPr="00362EC0">
        <w:rPr>
          <w:rFonts w:ascii="Arial" w:hAnsi="Arial" w:cs="Arial"/>
          <w:iCs/>
          <w:sz w:val="20"/>
          <w:szCs w:val="20"/>
        </w:rPr>
        <w:t xml:space="preserve"> response times as the time it takes to initiate a button press</w:t>
      </w:r>
      <w:r w:rsidR="00944E9E" w:rsidRPr="00362EC0">
        <w:rPr>
          <w:rFonts w:ascii="Arial" w:hAnsi="Arial" w:cs="Arial"/>
          <w:iCs/>
          <w:sz w:val="20"/>
          <w:szCs w:val="20"/>
        </w:rPr>
        <w:t xml:space="preserve"> or a motion</w:t>
      </w:r>
      <w:r w:rsidR="00921AF0" w:rsidRPr="00362EC0">
        <w:rPr>
          <w:rFonts w:ascii="Arial" w:hAnsi="Arial" w:cs="Arial"/>
          <w:iCs/>
          <w:sz w:val="20"/>
          <w:szCs w:val="20"/>
        </w:rPr>
        <w:t>.</w:t>
      </w:r>
      <w:r w:rsidR="00944E9E" w:rsidRPr="00362EC0">
        <w:rPr>
          <w:rFonts w:ascii="Arial" w:hAnsi="Arial" w:cs="Arial"/>
          <w:iCs/>
          <w:sz w:val="20"/>
          <w:szCs w:val="20"/>
        </w:rPr>
        <w:t xml:space="preserve"> Conversely, the stop process is usually </w:t>
      </w:r>
      <w:r w:rsidR="00362EC0">
        <w:rPr>
          <w:rFonts w:ascii="Arial" w:hAnsi="Arial" w:cs="Arial"/>
          <w:iCs/>
          <w:sz w:val="20"/>
          <w:szCs w:val="20"/>
        </w:rPr>
        <w:t xml:space="preserve">operationalised </w:t>
      </w:r>
      <w:r w:rsidR="00944E9E" w:rsidRPr="00362EC0">
        <w:rPr>
          <w:rFonts w:ascii="Arial" w:hAnsi="Arial" w:cs="Arial"/>
          <w:iCs/>
          <w:sz w:val="20"/>
          <w:szCs w:val="20"/>
        </w:rPr>
        <w:t xml:space="preserve">as an absence of the button press. Our task design was optimised to enable the measurement of the stop process, by defining it as stopping an already initiated motion, instead of stopping oneself from initiating a motion. As a consequence, the here employed definition of Go trials differs conceptually from previous research. In our task, participants were instructed and trained to move the mouse across the board while processing the Cue signal and while making their decision. </w:t>
      </w:r>
      <w:r w:rsidR="001E0CCE" w:rsidRPr="00362EC0">
        <w:rPr>
          <w:rFonts w:ascii="Arial" w:hAnsi="Arial" w:cs="Arial"/>
          <w:iCs/>
          <w:sz w:val="20"/>
          <w:szCs w:val="20"/>
        </w:rPr>
        <w:t>As such the Go response is not an initiation of a motion, but the continuing of an already initiated motion, which ends when the participant reached the target location which was positioned in a fixed distance from the starting point and did not differ between intentional and instructed trials. T</w:t>
      </w:r>
      <w:r w:rsidR="001E0CCE" w:rsidRPr="00362EC0">
        <w:rPr>
          <w:rFonts w:ascii="Arial" w:eastAsia="Times New Roman" w:hAnsi="Arial" w:cs="Arial"/>
          <w:color w:val="000000"/>
          <w:sz w:val="20"/>
          <w:szCs w:val="20"/>
          <w:lang w:eastAsia="de-DE"/>
        </w:rPr>
        <w:t xml:space="preserve">aken together, we speculate that due to the Instructed and Intentional Go trials requiring the covering of the same distance and the instruction and training to continue moving while deciding on Intentional trials, the decision process itself will take place during a motion and therefore might have only a non-significant impact on the RTs during Go trials, in other words, the duration necessary to complete the fixed distance. As such, the additional decision-making process during intentional trials </w:t>
      </w:r>
      <w:r w:rsidR="0003692B" w:rsidRPr="00362EC0">
        <w:rPr>
          <w:rFonts w:ascii="Arial" w:eastAsia="Times New Roman" w:hAnsi="Arial" w:cs="Arial"/>
          <w:color w:val="000000"/>
          <w:sz w:val="20"/>
          <w:szCs w:val="20"/>
          <w:lang w:eastAsia="de-DE"/>
        </w:rPr>
        <w:t xml:space="preserve">might </w:t>
      </w:r>
      <w:r w:rsidR="001E0CCE" w:rsidRPr="00362EC0">
        <w:rPr>
          <w:rFonts w:ascii="Arial" w:eastAsia="Times New Roman" w:hAnsi="Arial" w:cs="Arial"/>
          <w:color w:val="000000"/>
          <w:sz w:val="20"/>
          <w:szCs w:val="20"/>
          <w:lang w:eastAsia="de-DE"/>
        </w:rPr>
        <w:t>influence the response times in Go trials less than in Stop trials, where the distance can vary and depends on the person’s speed of decision making and acti</w:t>
      </w:r>
      <w:r w:rsidR="00FF61BC" w:rsidRPr="00362EC0">
        <w:rPr>
          <w:rFonts w:ascii="Arial" w:eastAsia="Times New Roman" w:hAnsi="Arial" w:cs="Arial"/>
          <w:color w:val="000000"/>
          <w:sz w:val="20"/>
          <w:szCs w:val="20"/>
          <w:lang w:eastAsia="de-DE"/>
        </w:rPr>
        <w:t>ve inhibition</w:t>
      </w:r>
      <w:r w:rsidR="001E0CCE" w:rsidRPr="00362EC0">
        <w:rPr>
          <w:rFonts w:ascii="Arial" w:eastAsia="Times New Roman" w:hAnsi="Arial" w:cs="Arial"/>
          <w:color w:val="000000"/>
          <w:sz w:val="20"/>
          <w:szCs w:val="20"/>
          <w:lang w:eastAsia="de-DE"/>
        </w:rPr>
        <w:t>.</w:t>
      </w:r>
      <w:r w:rsidR="0003692B" w:rsidRPr="00362EC0">
        <w:rPr>
          <w:rFonts w:ascii="Arial" w:eastAsia="Times New Roman" w:hAnsi="Arial" w:cs="Arial"/>
          <w:color w:val="000000"/>
          <w:sz w:val="20"/>
          <w:szCs w:val="20"/>
          <w:lang w:eastAsia="de-DE"/>
        </w:rPr>
        <w:t xml:space="preserve"> </w:t>
      </w:r>
    </w:p>
    <w:bookmarkEnd w:id="15"/>
    <w:p w14:paraId="2CD0DAEA" w14:textId="443D507D" w:rsidR="00D03465" w:rsidRPr="00362EC0" w:rsidRDefault="00F64B38" w:rsidP="00E32662">
      <w:pPr>
        <w:spacing w:after="0" w:line="360" w:lineRule="auto"/>
        <w:ind w:firstLine="720"/>
        <w:contextualSpacing/>
        <w:jc w:val="both"/>
        <w:rPr>
          <w:rFonts w:ascii="Arial" w:hAnsi="Arial" w:cs="Arial"/>
          <w:sz w:val="20"/>
          <w:szCs w:val="20"/>
          <w:lang w:val="en-US"/>
        </w:rPr>
      </w:pPr>
      <w:r w:rsidRPr="00362EC0">
        <w:rPr>
          <w:rFonts w:ascii="Arial" w:hAnsi="Arial" w:cs="Arial"/>
          <w:color w:val="000000"/>
          <w:sz w:val="20"/>
          <w:szCs w:val="20"/>
        </w:rPr>
        <w:t xml:space="preserve">It is further important to note that research on action and inhibition, whether internally or externally guided, primarily utilises button presses involving individual finger movements, whereas our task design requires performing whole arm movements using the elbow joint. Research comparing neural activation patterns evoked by finger tapping vs. elbow movements show that while both evoke partially overlapping activation in the primary motor cortex, elbow flexion/extension usually involves </w:t>
      </w:r>
      <w:r w:rsidRPr="00362EC0">
        <w:rPr>
          <w:rFonts w:ascii="Arial" w:hAnsi="Arial" w:cs="Arial"/>
          <w:color w:val="000000"/>
          <w:sz w:val="20"/>
          <w:szCs w:val="20"/>
        </w:rPr>
        <w:lastRenderedPageBreak/>
        <w:t xml:space="preserve">more medial and less spatially extended neural activation compared to individual finger movements </w:t>
      </w:r>
      <w:r w:rsidR="00CB48AE">
        <w:rPr>
          <w:rFonts w:ascii="Arial" w:hAnsi="Arial" w:cs="Arial"/>
          <w:color w:val="000000"/>
          <w:sz w:val="20"/>
          <w:szCs w:val="20"/>
        </w:rPr>
        <w:fldChar w:fldCharType="begin" w:fldLock="1"/>
      </w:r>
      <w:r w:rsidR="002D11E4">
        <w:rPr>
          <w:rFonts w:ascii="Arial" w:hAnsi="Arial" w:cs="Arial"/>
          <w:color w:val="000000"/>
          <w:sz w:val="20"/>
          <w:szCs w:val="20"/>
        </w:rPr>
        <w:instrText>ADDIN CSL_CITATION {"citationItems":[{"id":"ITEM-1","itemData":{"ISSN":"1053-8119","author":[{"dropping-particle":"","family":"Lotze","given":"M","non-dropping-particle":"","parse-names":false,"suffix":""},{"dropping-particle":"","family":"Erb","given":"M","non-dropping-particle":"","parse-names":false,"suffix":""},{"dropping-particle":"","family":"Flor","given":"H","non-dropping-particle":"","parse-names":false,"suffix":""},{"dropping-particle":"","family":"Huelsmann","given":"E","non-dropping-particle":"","parse-names":false,"suffix":""},{"dropping-particle":"","family":"Godde","given":"B","non-dropping-particle":"","parse-names":false,"suffix":""},{"dropping-particle":"","family":"Grodd","given":"W","non-dropping-particle":"","parse-names":false,"suffix":""}],"container-title":"Neuroimage","id":"ITEM-1","issue":"5","issued":{"date-parts":[["2000"]]},"page":"473-481","publisher":"Elsevier","title":"fMRI evaluation of somatotopic representation in human primary motor cortex","type":"article-journal","volume":"11"},"uris":["http://www.mendeley.com/documents/?uuid=4bb6445e-6bc4-409c-a86a-f29346aa2eb0"]},{"id":"ITEM-2","itemData":{"ISSN":"0028-3878","author":[{"dropping-particle":"","family":"Rao","given":"Sm M","non-dropping-particle":"","parse-names":false,"suffix":""},{"dropping-particle":"","family":"Binder","given":"J R","non-dropping-particle":"","parse-names":false,"suffix":""},{"dropping-particle":"","family":"Hammeke","given":"TAa","non-dropping-particle":"","parse-names":false,"suffix":""},{"dropping-particle":"","family":"Bandettini","given":"P A","non-dropping-particle":"","parse-names":false,"suffix":""},{"dropping-particle":"","family":"Bobholz","given":"J A","non-dropping-particle":"","parse-names":false,"suffix":""},{"dropping-particle":"","family":"Frost","given":"J A","non-dropping-particle":"","parse-names":false,"suffix":""},{"dropping-particle":"","family":"Myklebust","given":"B M","non-dropping-particle":"","parse-names":false,"suffix":""},{"dropping-particle":"","family":"Jacobson","given":"R D","non-dropping-particle":"","parse-names":false,"suffix":""},{"dropping-particle":"","family":"Hyde","given":"J S","non-dropping-particle":"","parse-names":false,"suffix":""}],"container-title":"Neurology","id":"ITEM-2","issue":"5","issued":{"date-parts":[["1995"]]},"page":"919-924","publisher":"AAN Enterprises","title":"Somatotopic mapping of the human primary motor cortex with functional magnetic resonance imaging","type":"article-journal","volume":"45"},"uris":["http://www.mendeley.com/documents/?uuid=80194264-9d3d-40a0-9be2-7c1229ea6958"]}],"mendeley":{"formattedCitation":"(Lotze et al., 2000; Rao et al., 1995)","plainTextFormattedCitation":"(Lotze et al., 2000; Rao et al., 1995)","previouslyFormattedCitation":"(Lotze et al., 2000; Rao et al., 1995)"},"properties":{"noteIndex":0},"schema":"https://github.com/citation-style-language/schema/raw/master/csl-citation.json"}</w:instrText>
      </w:r>
      <w:r w:rsidR="00CB48AE">
        <w:rPr>
          <w:rFonts w:ascii="Arial" w:hAnsi="Arial" w:cs="Arial"/>
          <w:color w:val="000000"/>
          <w:sz w:val="20"/>
          <w:szCs w:val="20"/>
        </w:rPr>
        <w:fldChar w:fldCharType="separate"/>
      </w:r>
      <w:r w:rsidR="00134DD3" w:rsidRPr="00134DD3">
        <w:rPr>
          <w:rFonts w:ascii="Arial" w:hAnsi="Arial" w:cs="Arial"/>
          <w:noProof/>
          <w:color w:val="000000"/>
          <w:sz w:val="20"/>
          <w:szCs w:val="20"/>
          <w:lang w:val="en-US"/>
        </w:rPr>
        <w:t>(Lotze et al., 2000; Rao et al., 1995)</w:t>
      </w:r>
      <w:r w:rsidR="00CB48AE">
        <w:rPr>
          <w:rFonts w:ascii="Arial" w:hAnsi="Arial" w:cs="Arial"/>
          <w:color w:val="000000"/>
          <w:sz w:val="20"/>
          <w:szCs w:val="20"/>
        </w:rPr>
        <w:fldChar w:fldCharType="end"/>
      </w:r>
      <w:r w:rsidR="004E5170" w:rsidRPr="0049131E">
        <w:rPr>
          <w:rFonts w:ascii="Arial" w:hAnsi="Arial" w:cs="Arial"/>
          <w:color w:val="000000"/>
          <w:sz w:val="20"/>
          <w:szCs w:val="20"/>
          <w:lang w:val="en-US"/>
        </w:rPr>
        <w:t>.</w:t>
      </w:r>
      <w:r w:rsidRPr="0049131E">
        <w:rPr>
          <w:rFonts w:ascii="Arial" w:hAnsi="Arial" w:cs="Arial"/>
          <w:color w:val="000000"/>
          <w:sz w:val="20"/>
          <w:szCs w:val="20"/>
          <w:lang w:val="en-US"/>
        </w:rPr>
        <w:t xml:space="preserve"> </w:t>
      </w:r>
      <w:r w:rsidRPr="00362EC0">
        <w:rPr>
          <w:rFonts w:ascii="Arial" w:hAnsi="Arial" w:cs="Arial"/>
          <w:color w:val="000000"/>
          <w:sz w:val="20"/>
          <w:szCs w:val="20"/>
        </w:rPr>
        <w:t>Similarly, reach movements with visual feedback activated additional thalamic regions, while the speed of a movement was positively associated with putamal activation</w:t>
      </w:r>
      <w:r w:rsidR="004E5170">
        <w:rPr>
          <w:rFonts w:ascii="Arial" w:hAnsi="Arial" w:cs="Arial"/>
          <w:color w:val="000000"/>
          <w:sz w:val="20"/>
          <w:szCs w:val="20"/>
        </w:rPr>
        <w:t xml:space="preserve"> </w:t>
      </w:r>
      <w:r w:rsidR="004E5170">
        <w:rPr>
          <w:rFonts w:ascii="Arial" w:hAnsi="Arial" w:cs="Arial"/>
          <w:color w:val="000000"/>
          <w:sz w:val="20"/>
          <w:szCs w:val="20"/>
        </w:rPr>
        <w:fldChar w:fldCharType="begin" w:fldLock="1"/>
      </w:r>
      <w:r w:rsidR="00287937">
        <w:rPr>
          <w:rFonts w:ascii="Arial" w:hAnsi="Arial" w:cs="Arial"/>
          <w:color w:val="000000"/>
          <w:sz w:val="20"/>
          <w:szCs w:val="20"/>
        </w:rPr>
        <w:instrText>ADDIN CSL_CITATION {"citationItems":[{"id":"ITEM-1","itemData":{"ISSN":"1065-9471","author":[{"dropping-particle":"","family":"Shirinbayan","given":"Seyyed Iman","non-dropping-particle":"","parse-names":false,"suffix":""},{"dropping-particle":"","family":"Dreyer","given":"Alexander M","non-dropping-particle":"","parse-names":false,"suffix":""},{"dropping-particle":"","family":"Rieger","given":"Jochem W","non-dropping-particle":"","parse-names":false,"suffix":""}],"container-title":"Human brain mapping","id":"ITEM-1","issue":"1","issued":{"date-parts":[["2019"]]},"page":"151-162","publisher":"Wiley Online Library","title":"Cortical and subcortical areas involved in the regulation of reach movement speed in the human brain: An fMRI study","type":"article-journal","volume":"40"},"uris":["http://www.mendeley.com/documents/?uuid=3c8f1cc5-c811-4fbb-985a-5049eac42736"]}],"mendeley":{"formattedCitation":"(Shirinbayan et al., 2019)","plainTextFormattedCitation":"(Shirinbayan et al., 2019)","previouslyFormattedCitation":"(Shirinbayan et al., 2019)"},"properties":{"noteIndex":0},"schema":"https://github.com/citation-style-language/schema/raw/master/csl-citation.json"}</w:instrText>
      </w:r>
      <w:r w:rsidR="004E5170">
        <w:rPr>
          <w:rFonts w:ascii="Arial" w:hAnsi="Arial" w:cs="Arial"/>
          <w:color w:val="000000"/>
          <w:sz w:val="20"/>
          <w:szCs w:val="20"/>
        </w:rPr>
        <w:fldChar w:fldCharType="separate"/>
      </w:r>
      <w:r w:rsidR="004E5170" w:rsidRPr="004E5170">
        <w:rPr>
          <w:rFonts w:ascii="Arial" w:hAnsi="Arial" w:cs="Arial"/>
          <w:noProof/>
          <w:color w:val="000000"/>
          <w:sz w:val="20"/>
          <w:szCs w:val="20"/>
        </w:rPr>
        <w:t>(Shirinbayan et al., 2019)</w:t>
      </w:r>
      <w:r w:rsidR="004E5170">
        <w:rPr>
          <w:rFonts w:ascii="Arial" w:hAnsi="Arial" w:cs="Arial"/>
          <w:color w:val="000000"/>
          <w:sz w:val="20"/>
          <w:szCs w:val="20"/>
        </w:rPr>
        <w:fldChar w:fldCharType="end"/>
      </w:r>
      <w:r w:rsidRPr="00362EC0">
        <w:rPr>
          <w:rFonts w:ascii="Arial" w:hAnsi="Arial" w:cs="Arial"/>
          <w:color w:val="000000"/>
          <w:sz w:val="20"/>
          <w:szCs w:val="20"/>
        </w:rPr>
        <w:t>. As such the extent and location of neural recruitment likely differs between the current and previous paradigms, which in turn might impact the comparability of response time measures across tasks.</w:t>
      </w:r>
      <w:r w:rsidR="0003692B" w:rsidRPr="00362EC0">
        <w:rPr>
          <w:rFonts w:ascii="Arial" w:hAnsi="Arial" w:cs="Arial"/>
          <w:iCs/>
          <w:sz w:val="20"/>
          <w:szCs w:val="20"/>
          <w:lang w:val="en-US"/>
        </w:rPr>
        <w:t xml:space="preserve"> </w:t>
      </w:r>
      <w:bookmarkStart w:id="16" w:name="_Hlk46414640"/>
      <w:r w:rsidR="00FF61BC" w:rsidRPr="00362EC0">
        <w:rPr>
          <w:rFonts w:ascii="Arial" w:hAnsi="Arial" w:cs="Arial"/>
          <w:iCs/>
          <w:sz w:val="20"/>
          <w:szCs w:val="20"/>
          <w:lang w:val="en-US"/>
        </w:rPr>
        <w:t>However, in absence of response time differences between instructed and intentional Go trials, future investigations o</w:t>
      </w:r>
      <w:r w:rsidR="000160E1" w:rsidRPr="00362EC0">
        <w:rPr>
          <w:rFonts w:ascii="Arial" w:hAnsi="Arial" w:cs="Arial"/>
          <w:iCs/>
          <w:sz w:val="20"/>
          <w:szCs w:val="20"/>
          <w:lang w:val="en-US"/>
        </w:rPr>
        <w:t>n</w:t>
      </w:r>
      <w:r w:rsidR="00FF61BC" w:rsidRPr="00362EC0">
        <w:rPr>
          <w:rFonts w:ascii="Arial" w:hAnsi="Arial" w:cs="Arial"/>
          <w:iCs/>
          <w:sz w:val="20"/>
          <w:szCs w:val="20"/>
          <w:lang w:val="en-US"/>
        </w:rPr>
        <w:t xml:space="preserve"> neural processing during these trials are warranted.</w:t>
      </w:r>
      <w:bookmarkEnd w:id="16"/>
      <w:r w:rsidR="000D73CA" w:rsidRPr="00362EC0">
        <w:rPr>
          <w:rFonts w:ascii="Arial" w:hAnsi="Arial" w:cs="Arial"/>
          <w:color w:val="000000" w:themeColor="text1"/>
          <w:sz w:val="20"/>
          <w:szCs w:val="20"/>
        </w:rPr>
        <w:t xml:space="preserve"> </w:t>
      </w:r>
      <w:r w:rsidR="000D73CA" w:rsidRPr="00362EC0">
        <w:rPr>
          <w:rFonts w:ascii="Arial" w:hAnsi="Arial" w:cs="Arial"/>
          <w:sz w:val="20"/>
          <w:szCs w:val="20"/>
        </w:rPr>
        <w:t>In respect to intentional inhibition</w:t>
      </w:r>
      <w:r w:rsidR="00E32662" w:rsidRPr="00362EC0">
        <w:rPr>
          <w:rFonts w:ascii="Arial" w:hAnsi="Arial" w:cs="Arial"/>
          <w:sz w:val="20"/>
          <w:szCs w:val="20"/>
        </w:rPr>
        <w:t xml:space="preserve">, converging evidence on the </w:t>
      </w:r>
      <w:r w:rsidR="000D73CA" w:rsidRPr="00362EC0">
        <w:rPr>
          <w:rFonts w:ascii="Arial" w:hAnsi="Arial" w:cs="Arial"/>
          <w:sz w:val="20"/>
          <w:szCs w:val="20"/>
        </w:rPr>
        <w:t>neural underpinnings</w:t>
      </w:r>
      <w:r w:rsidR="00B020A2" w:rsidRPr="00362EC0">
        <w:rPr>
          <w:rFonts w:ascii="Arial" w:hAnsi="Arial" w:cs="Arial"/>
          <w:sz w:val="20"/>
          <w:szCs w:val="20"/>
        </w:rPr>
        <w:t xml:space="preserve"> </w:t>
      </w:r>
      <w:r w:rsidR="00E32662" w:rsidRPr="00362EC0">
        <w:rPr>
          <w:rFonts w:ascii="Arial" w:hAnsi="Arial" w:cs="Arial"/>
          <w:sz w:val="20"/>
          <w:szCs w:val="20"/>
        </w:rPr>
        <w:t>point</w:t>
      </w:r>
      <w:r w:rsidR="000D73CA" w:rsidRPr="00362EC0">
        <w:rPr>
          <w:rFonts w:ascii="Arial" w:hAnsi="Arial" w:cs="Arial"/>
          <w:sz w:val="20"/>
          <w:szCs w:val="20"/>
        </w:rPr>
        <w:t>s</w:t>
      </w:r>
      <w:r w:rsidR="00E32662" w:rsidRPr="00362EC0">
        <w:rPr>
          <w:rFonts w:ascii="Arial" w:hAnsi="Arial" w:cs="Arial"/>
          <w:sz w:val="20"/>
          <w:szCs w:val="20"/>
        </w:rPr>
        <w:t xml:space="preserve"> to a fronto-basal ganglia network </w:t>
      </w:r>
      <w:r w:rsidR="00E32662" w:rsidRPr="00362EC0">
        <w:rPr>
          <w:rFonts w:ascii="Arial" w:hAnsi="Arial" w:cs="Arial"/>
          <w:sz w:val="20"/>
          <w:szCs w:val="20"/>
          <w:lang w:val="en-US"/>
        </w:rPr>
        <w:fldChar w:fldCharType="begin" w:fldLock="1"/>
      </w:r>
      <w:r w:rsidR="00E32662" w:rsidRPr="00362EC0">
        <w:rPr>
          <w:rFonts w:ascii="Arial" w:hAnsi="Arial" w:cs="Arial"/>
          <w:sz w:val="20"/>
          <w:szCs w:val="20"/>
          <w:lang w:val="en-US"/>
        </w:rPr>
        <w:instrText>ADDIN CSL_CITATION {"citationItems":[{"id":"ITEM-1","itemData":{"DOI":"10.1038/nrn4038","ISSN":"14710048","PMID":"26530468","abstract":"Classically, the basal ganglia have been considered to have a role in producing habitual and goal-directed behaviours. In this article, we review recent evidence that expands this role, indicating that the basal ganglia are also involved in neural and behavioural inhibition in the motor and non-motor domains. We then distinguish between goal-directed and habitual (also known as automatic) inhibition mediated by fronto-striato-subthalamic-pallido-thalamo-cortical networks. We also suggest that imbalance between goal-directed and habitual action and inhibition contributes to some manifestations of Parkinson's disease, Tourette syndrome and obsessive-compulsive disorder. Finally, we propose that basal ganglia surgery improves these disorders by restoring a functional balance between facilitation and inhibition.","author":[{"dropping-particle":"","family":"Jahanshahi","given":"Marjan","non-dropping-particle":"","parse-names":false,"suffix":""},{"dropping-particle":"","family":"Obeso","given":"Ignacio","non-dropping-particle":"","parse-names":false,"suffix":""},{"dropping-particle":"","family":"Rothwell","given":"John C.","non-dropping-particle":"","parse-names":false,"suffix":""},{"dropping-particle":"","family":"Obeso","given":"José A.","non-dropping-particle":"","parse-names":false,"suffix":""}],"container-title":"Nature Reviews Neuroscience","id":"ITEM-1","issue":"12","issued":{"date-parts":[["2015"]]},"page":"719-732","publisher":"Nature Publishing Group","title":"A fronto-striato-subthalamic-pallidal network for goal-directed and habitual inhibition","type":"article-journal","volume":"16"},"uris":["http://www.mendeley.com/documents/?uuid=76ce7c80-5ce2-4ce3-b655-5be9e9c236fb"]}],"mendeley":{"formattedCitation":"(Jahanshahi et al., 2015)","plainTextFormattedCitation":"(Jahanshahi et al., 2015)","previouslyFormattedCitation":"(Jahanshahi et al., 2015)"},"properties":{"noteIndex":0},"schema":"https://github.com/citation-style-language/schema/raw/master/csl-citation.json"}</w:instrText>
      </w:r>
      <w:r w:rsidR="00E32662" w:rsidRPr="00362EC0">
        <w:rPr>
          <w:rFonts w:ascii="Arial" w:hAnsi="Arial" w:cs="Arial"/>
          <w:sz w:val="20"/>
          <w:szCs w:val="20"/>
          <w:lang w:val="en-US"/>
        </w:rPr>
        <w:fldChar w:fldCharType="separate"/>
      </w:r>
      <w:r w:rsidR="00E32662" w:rsidRPr="00362EC0">
        <w:rPr>
          <w:rFonts w:ascii="Arial" w:hAnsi="Arial" w:cs="Arial"/>
          <w:noProof/>
          <w:sz w:val="20"/>
          <w:szCs w:val="20"/>
          <w:lang w:val="en-US"/>
        </w:rPr>
        <w:t>(Jahanshahi et al., 2015)</w:t>
      </w:r>
      <w:r w:rsidR="00E32662" w:rsidRPr="00362EC0">
        <w:rPr>
          <w:rFonts w:ascii="Arial" w:hAnsi="Arial" w:cs="Arial"/>
          <w:sz w:val="20"/>
          <w:szCs w:val="20"/>
          <w:lang w:val="en-US"/>
        </w:rPr>
        <w:fldChar w:fldCharType="end"/>
      </w:r>
      <w:r w:rsidR="00B020A2" w:rsidRPr="00362EC0">
        <w:rPr>
          <w:rFonts w:ascii="Arial" w:hAnsi="Arial" w:cs="Arial"/>
          <w:sz w:val="20"/>
          <w:szCs w:val="20"/>
          <w:lang w:val="en-US"/>
        </w:rPr>
        <w:t>,</w:t>
      </w:r>
      <w:r w:rsidR="00E32662" w:rsidRPr="00362EC0">
        <w:rPr>
          <w:rFonts w:ascii="Arial" w:hAnsi="Arial" w:cs="Arial"/>
          <w:sz w:val="20"/>
          <w:szCs w:val="20"/>
          <w:lang w:val="en-US"/>
        </w:rPr>
        <w:t xml:space="preserve"> with the </w:t>
      </w:r>
      <w:r w:rsidR="00E32662" w:rsidRPr="00362EC0">
        <w:rPr>
          <w:rFonts w:ascii="Arial" w:hAnsi="Arial" w:cs="Arial"/>
          <w:sz w:val="20"/>
          <w:szCs w:val="20"/>
        </w:rPr>
        <w:t>dorsal fronto-median cortex (dFMC) and inferior parietal lobule mediating intentional</w:t>
      </w:r>
      <w:r w:rsidR="00636C0B" w:rsidRPr="00362EC0">
        <w:rPr>
          <w:rFonts w:ascii="Arial" w:hAnsi="Arial" w:cs="Arial"/>
          <w:sz w:val="20"/>
          <w:szCs w:val="20"/>
        </w:rPr>
        <w:t>ity of</w:t>
      </w:r>
      <w:r w:rsidR="00E32662" w:rsidRPr="00362EC0">
        <w:rPr>
          <w:rFonts w:ascii="Arial" w:hAnsi="Arial" w:cs="Arial"/>
          <w:sz w:val="20"/>
          <w:szCs w:val="20"/>
        </w:rPr>
        <w:t xml:space="preserve"> inhibition </w:t>
      </w:r>
      <w:r w:rsidR="00E32662" w:rsidRPr="00362EC0">
        <w:rPr>
          <w:rFonts w:ascii="Arial" w:hAnsi="Arial" w:cs="Arial"/>
          <w:sz w:val="20"/>
          <w:szCs w:val="20"/>
        </w:rPr>
        <w:fldChar w:fldCharType="begin" w:fldLock="1"/>
      </w:r>
      <w:r w:rsidR="00E32662" w:rsidRPr="00362EC0">
        <w:rPr>
          <w:rFonts w:ascii="Arial" w:hAnsi="Arial" w:cs="Arial"/>
          <w:sz w:val="20"/>
          <w:szCs w:val="20"/>
        </w:rPr>
        <w:instrText>ADDIN CSL_CITATION {"citationItems":[{"id":"ITEM-1","itemData":{"DOI":"10.1002/hbm.20711","ISBN":"1097-0193","ISSN":"10659471","PMID":"19072994","abstract":"One important aspect of self-control is refraining voluntarily from already planned behavior, by a final intervention before commitment to action. Despite its crucial role in human existence, and clear social implications, this aspect of self-control has proved hard to study experimentally. One recent study used a perceptual timing paradigm to identify specific activations in the dorsal fronto-median cortex (dFMC) associated with voluntary inhibition of action (Brass and Haggard 2007: J Neurosci 27:9141-9145). Here, we extend this work in two important new directions. First, we developed a more naturalistic task that gives participants a strong reason to inhibit or to execute actions, and therefore involves self-control in the sense of voluntary inhibition of prepotent impulsive responses. Second, we investigated the relation between dFMC and other cognitive-motor areas using effective connectivity analysis. We show that dFMC is activated when inhibiting prepared responses to external events. Moreover, its effective connectivity suggests that it allows intentional inhibition of action through top-down inhibition of premotor areas. This view of dFMC is consistent with a new view of self-control as a key stage in a cognitive-motor interface.","author":[{"dropping-particle":"","family":"Kühn","given":"Simone","non-dropping-particle":"","parse-names":false,"suffix":""},{"dropping-particle":"","family":"Haggard","given":"Patrick","non-dropping-particle":"","parse-names":false,"suffix":""},{"dropping-particle":"","family":"Brass","given":"Marcel","non-dropping-particle":"","parse-names":false,"suffix":""}],"container-title":"Human Brain Mapping","id":"ITEM-1","issue":"9","issued":{"date-parts":[["2009"]]},"page":"2834-2843","title":"Intentional inhibition: How the \"veto-area\" exerts control","type":"article-journal","volume":"30"},"uris":["http://www.mendeley.com/documents/?uuid=f84b759f-4f78-4f15-868f-ac17bb26555b"]},{"id":"ITEM-2","itemData":{"DOI":"10.1016/j.neuropsychologia.2014.09.009","ISBN":"0028-3932","ISSN":"18733514","PMID":"25220165","abstract":"Intentional inhibition refers to the suppression of ongoing behavior on the basis of internally-generated decisions. This ability to cancel planned actions at the last moment is thought to be critical for self-control and has been related to activation in a circumscribed region of the dorsal frontomedian cortex (dFMC). Preliminary theories of intentional inhibition were based on studies that exclusively examined the cancellation of motor responses, and consequently concluded that this region serves the suppression of motor output. Yet recent evidence suggests that the dFMC is also involved in inhibitory control over more abstract internal states such as emotions or desires that have no immediate behavioral output. In this review, we therefore wish to put forth a new integrative perspective on the role of the dFMC in human self-control. We will argue that by virtue of its anatomical location and functional connections, this area may subserve the disengagement from current urges and impulses, thus facilitating successful exertions of self-control across a wide range of contexts by overcoming a self-focused perspective. We will discuss the fit of this view of the dFMC with the existing literature, identify critical experimental determinants for engaging the dFMC in intentional inhibition, and outline promising perspectives for future research.","author":[{"dropping-particle":"","family":"Lynn","given":"Margaret T.","non-dropping-particle":"","parse-names":false,"suffix":""},{"dropping-particle":"","family":"Muhle-Karbe","given":"Paul S.","non-dropping-particle":"","parse-names":false,"suffix":""},{"dropping-particle":"","family":"Brass","given":"Marcel","non-dropping-particle":"","parse-names":false,"suffix":""}],"container-title":"Neuropsychologia","id":"ITEM-2","issued":{"date-parts":[["2014"]]},"page":"247-254","publisher":"Elsevier","title":"Controlling the self: The role of the dorsal frontomedian cortex in intentional inhibition","type":"article-journal","volume":"65"},"uris":["http://www.mendeley.com/documents/?uuid=3c26e284-3aba-427a-9ca8-46c0fbf566ba"]},{"id":"ITEM-3","itemData":{"DOI":"10.1016/j.neubiorev.2012.01.006","ISBN":"1873-7528 (Electronic)\\n0149-7634 (Linking)","ISSN":"01497634","PMID":"22305996","abstract":"The capacity to inhibit and withhold actions is a key feature of human cognition. Withholding action forms the basis of self-control, delayed gratification, social contracts, and trust in others. Most experimental studies of this function come from studying the processing of external stop signals. However, another important aspect of inhibition is 'will-power', i.e., intentional inhibitory control over one's own actions, in the absence of external countermanding signals. We review whether a concept of intentional inhibition is justified, and how it might differ from externally triggered inhibition. Further, we consider three types of neuroscientific evidence that can clarify the brain's mechanisms of inhibition: neuropsychology, neurostimulation and neuroimaging. Finally, we propose a model in which intentional inhibition, unlike externally triggered inhibition, is linked to representing longer range consequences of action decisions. We suggest that the human brain contains a 'neural brake' mechanism that blocks specific ongoing motor activity, and that this mechanism plays a key role in action decisions. © 2012 Elsevier Ltd.","author":[{"dropping-particle":"","family":"Filevich","given":"Elisa","non-dropping-particle":"","parse-names":false,"suffix":""},{"dropping-particle":"","family":"Kühn","given":"Simone","non-dropping-particle":"","parse-names":false,"suffix":""},{"dropping-particle":"","family":"Haggard","given":"Patrick","non-dropping-particle":"","parse-names":false,"suffix":""}],"container-title":"Neuroscience and Biobehavioral Reviews","id":"ITEM-3","issue":"4","issued":{"date-parts":[["2012"]]},"page":"1107-1118","publisher":"Elsevier Ltd","title":"Intentional inhibition in human action: The power of 'no'","type":"article-journal","volume":"36"},"uris":["http://www.mendeley.com/documents/?uuid=66551362-34ef-4365-be9b-fe21edc09c0d"]},{"id":"ITEM-4","itemData":{"DOI":"10.3389/fnhum.2014.00027","ISBN":"3171527669","ISSN":"1662-5161","PMID":"24550808","abstract":"People can inhibit an action because of an instruction by an external stimulus, or because of their own internal decision. The similarities and differences between these two forms of inhibition are not well understood. Therefore, in the present study the neural correlates of intentional and stimulus-driven inhibition were tested in the same subjects. Participants performed two inhibition tasks while lying in the scanner: the marble task in which they had to choose for themselves between intentionally acting on, or inhibiting a prepotent response to measure intentional inhibition, and the classical stop signal task in which an external signal triggered the inhibition process. Results showed that intentional inhibition decision processes rely on a neural network that has been documented extensively for stimulus-driven inhibition, including bilateral parietal and lateral prefrontal cortex and pre-supplementary motor area. We also found activation in dorsal frontomedian cortex and left inferior frontal gyrus during intentional inhibition that depended on the history of previous choices. Together, these results indicate that intentional inhibition and stimulus-driven inhibition engage a common inhibition network, but intentional inhibition is also characterized by additional context-dependent neural activation in medial prefrontal cortex.","author":[{"dropping-particle":"","family":"Schel","given":"Margot a.","non-dropping-particle":"","parse-names":false,"suffix":""},{"dropping-particle":""</w:instrText>
      </w:r>
      <w:r w:rsidR="00E32662" w:rsidRPr="00362EC0">
        <w:rPr>
          <w:rFonts w:ascii="Arial" w:hAnsi="Arial" w:cs="Arial"/>
          <w:sz w:val="20"/>
          <w:szCs w:val="20"/>
          <w:lang w:val="da-DK"/>
        </w:rPr>
        <w:instrText>,"family":"Kühn","given":"Simone","non-dropping-particle":"","parse-names":false,"suffix":""},{"dropping-particle":"","family":"Brass","given":"Marcel","non-dropping-particle":"","parse-names":false,"suffix":""},{"dropping-particle":"","family":"Haggard","given":"Patrick","non-dropping-particle":"","parse-names":false,"suffix":""},{"dropping-particle":"","family":"Ridderinkhof","given":"K Richard","non-dropping-particle":"","parse-names":false,"suffix":""},{"dropping-particle":"","family":"Crone","given":"Eveline a","non-dropping-particle":"","parse-names":false,"suffix":""}],"container-title":"Frontiers in human neuroscience","id":"ITEM-4","issue":"February","issued":{"date-parts":[["2014"]]},"page":"27","title":"Neural correlates of intentional and stimulus-driven inhibition: a comparison.","type":"article-journal","volume":"8"},"uris":["http://www.mendeley.com/documents/?uuid=0d8f652c-f8ba-4f85-bd11-d3f962358d5b"]}],"mendeley":{"formattedCitation":"(Filevich et al., 2012; Kühn et al., 2009; Lynn et al., 2014; Schel et al., 2014)","manualFormatting":"(Filevich et al., 2012; Kühn et al., 2009; Lynn et al., 2014; Schel et al., 2014)","plainTextFormattedCitation":"(Filevich et al., 2012; Kühn et al., 2009; Lynn et al., 2014; Schel et al., 2014)","previouslyFormattedCitation":"(Filevich et al., 2012; Kühn et al., 2009; Lynn et al., 2014; Schel et al., 2014)"},"properties":{"noteIndex":0},"schema":"https://github.com/citation-style-language/schema/raw/master/csl-citation.json"}</w:instrText>
      </w:r>
      <w:r w:rsidR="00E32662" w:rsidRPr="00362EC0">
        <w:rPr>
          <w:rFonts w:ascii="Arial" w:hAnsi="Arial" w:cs="Arial"/>
          <w:sz w:val="20"/>
          <w:szCs w:val="20"/>
        </w:rPr>
        <w:fldChar w:fldCharType="separate"/>
      </w:r>
      <w:r w:rsidR="00E32662" w:rsidRPr="00362EC0">
        <w:rPr>
          <w:rFonts w:ascii="Arial" w:hAnsi="Arial" w:cs="Arial"/>
          <w:noProof/>
          <w:sz w:val="20"/>
          <w:szCs w:val="20"/>
          <w:lang w:val="da-DK"/>
        </w:rPr>
        <w:t>(Filevich et al., 2012; Kühn et al., 2009; Lynn et al., 2014; Schel et al., 2014)</w:t>
      </w:r>
      <w:r w:rsidR="00E32662" w:rsidRPr="00362EC0">
        <w:rPr>
          <w:rFonts w:ascii="Arial" w:hAnsi="Arial" w:cs="Arial"/>
          <w:sz w:val="20"/>
          <w:szCs w:val="20"/>
        </w:rPr>
        <w:fldChar w:fldCharType="end"/>
      </w:r>
      <w:r w:rsidR="00E32662" w:rsidRPr="00362EC0">
        <w:rPr>
          <w:rFonts w:ascii="Arial" w:hAnsi="Arial" w:cs="Arial"/>
          <w:sz w:val="20"/>
          <w:szCs w:val="20"/>
          <w:lang w:val="da-DK"/>
        </w:rPr>
        <w:t xml:space="preserve">. </w:t>
      </w:r>
      <w:r w:rsidR="00E32662" w:rsidRPr="00362EC0">
        <w:rPr>
          <w:rFonts w:ascii="Arial" w:hAnsi="Arial" w:cs="Arial"/>
          <w:sz w:val="20"/>
          <w:szCs w:val="20"/>
          <w:lang w:val="en-US"/>
        </w:rPr>
        <w:t>Moreover, it was demonstrated that the dFMC exerts greater control</w:t>
      </w:r>
      <w:r w:rsidR="008A625D" w:rsidRPr="00362EC0">
        <w:rPr>
          <w:rFonts w:ascii="Arial" w:hAnsi="Arial" w:cs="Arial"/>
          <w:sz w:val="20"/>
          <w:szCs w:val="20"/>
          <w:lang w:val="en-US"/>
        </w:rPr>
        <w:t>,</w:t>
      </w:r>
      <w:r w:rsidR="00E32662" w:rsidRPr="00362EC0">
        <w:rPr>
          <w:rFonts w:ascii="Arial" w:hAnsi="Arial" w:cs="Arial"/>
          <w:sz w:val="20"/>
          <w:szCs w:val="20"/>
          <w:lang w:val="en-US"/>
        </w:rPr>
        <w:t xml:space="preserve"> </w:t>
      </w:r>
      <w:r w:rsidR="008A625D" w:rsidRPr="00362EC0">
        <w:rPr>
          <w:rFonts w:ascii="Arial" w:hAnsi="Arial" w:cs="Arial"/>
          <w:sz w:val="20"/>
          <w:szCs w:val="20"/>
          <w:lang w:val="en-US"/>
        </w:rPr>
        <w:t xml:space="preserve">or </w:t>
      </w:r>
      <w:r w:rsidR="00E32662" w:rsidRPr="00362EC0">
        <w:rPr>
          <w:rFonts w:ascii="Arial" w:hAnsi="Arial" w:cs="Arial"/>
          <w:sz w:val="20"/>
          <w:szCs w:val="20"/>
          <w:lang w:val="en-US"/>
        </w:rPr>
        <w:t>effective connectivity</w:t>
      </w:r>
      <w:r w:rsidR="008A625D" w:rsidRPr="00362EC0">
        <w:rPr>
          <w:rFonts w:ascii="Arial" w:hAnsi="Arial" w:cs="Arial"/>
          <w:sz w:val="20"/>
          <w:szCs w:val="20"/>
          <w:lang w:val="en-US"/>
        </w:rPr>
        <w:t>,</w:t>
      </w:r>
      <w:r w:rsidR="00E32662" w:rsidRPr="00362EC0">
        <w:rPr>
          <w:rFonts w:ascii="Arial" w:hAnsi="Arial" w:cs="Arial"/>
          <w:sz w:val="20"/>
          <w:szCs w:val="20"/>
          <w:lang w:val="en-US"/>
        </w:rPr>
        <w:t xml:space="preserve"> over premotor areas during intentional inhibition </w:t>
      </w:r>
      <w:r w:rsidR="008A625D" w:rsidRPr="00362EC0">
        <w:rPr>
          <w:rFonts w:ascii="Arial" w:hAnsi="Arial" w:cs="Arial"/>
          <w:sz w:val="20"/>
          <w:szCs w:val="20"/>
          <w:lang w:val="en-US"/>
        </w:rPr>
        <w:t xml:space="preserve">compared to intentional action </w:t>
      </w:r>
      <w:r w:rsidR="00E32662" w:rsidRPr="00362EC0">
        <w:rPr>
          <w:rFonts w:ascii="Arial" w:hAnsi="Arial" w:cs="Arial"/>
          <w:sz w:val="20"/>
          <w:szCs w:val="20"/>
          <w:lang w:val="en-US"/>
        </w:rPr>
        <w:t>(</w:t>
      </w:r>
      <w:r w:rsidR="00E32662" w:rsidRPr="00362EC0">
        <w:rPr>
          <w:rFonts w:ascii="Arial" w:hAnsi="Arial" w:cs="Arial"/>
          <w:noProof/>
          <w:sz w:val="20"/>
          <w:szCs w:val="20"/>
        </w:rPr>
        <w:t>Kühn et al., 2009)</w:t>
      </w:r>
      <w:r w:rsidR="00E32662" w:rsidRPr="00362EC0">
        <w:rPr>
          <w:rFonts w:ascii="Arial" w:hAnsi="Arial" w:cs="Arial"/>
          <w:sz w:val="20"/>
          <w:szCs w:val="20"/>
          <w:lang w:val="en-US"/>
        </w:rPr>
        <w:t xml:space="preserve">. </w:t>
      </w:r>
      <w:r w:rsidR="00F243F1" w:rsidRPr="00362EC0">
        <w:rPr>
          <w:rFonts w:ascii="Arial" w:hAnsi="Arial" w:cs="Arial"/>
          <w:sz w:val="20"/>
          <w:szCs w:val="20"/>
          <w:lang w:val="en-US"/>
        </w:rPr>
        <w:t>Further, temporally impairing dFMC function via repetitive transcranial magnetic stimulation significantly reduced the proportion of intentional, but not externally guided inhibition</w:t>
      </w:r>
      <w:r w:rsidR="00287937">
        <w:rPr>
          <w:rFonts w:ascii="Arial" w:hAnsi="Arial" w:cs="Arial"/>
          <w:sz w:val="20"/>
          <w:szCs w:val="20"/>
          <w:lang w:val="en-US"/>
        </w:rPr>
        <w:t xml:space="preserve"> </w:t>
      </w:r>
      <w:r w:rsidR="00287937">
        <w:rPr>
          <w:rFonts w:ascii="Arial" w:hAnsi="Arial" w:cs="Arial"/>
          <w:sz w:val="20"/>
          <w:szCs w:val="20"/>
          <w:lang w:val="en-US"/>
        </w:rPr>
        <w:fldChar w:fldCharType="begin" w:fldLock="1"/>
      </w:r>
      <w:r w:rsidR="00287937">
        <w:rPr>
          <w:rFonts w:ascii="Arial" w:hAnsi="Arial" w:cs="Arial"/>
          <w:sz w:val="20"/>
          <w:szCs w:val="20"/>
          <w:lang w:val="en-US"/>
        </w:rPr>
        <w:instrText>ADDIN CSL_CITATION {"citationItems":[{"id":"ITEM-1","itemData":{"DOI":"10.1016/j.brs.2016.12.009","ISSN":"18764754","PMID":"28057451","abstract":"Background Action inhibition is a complex decision process that can be triggered by external factors (exogenous) or internal decisions (endogenous). While the neuronal underpinnings of exogenous action inhibition have been extensively investigated, less is known about the brain areas responsible for endogenous action inhibition. Objective We used inhibitory repetitive transcranial magnetic stimulation (rTMS) to test the causal role of two brain areas, the left dorsal fronto-median Cortex (dFMC) and the right Inferior Frontal Cortex (rIFC) in exogenous and endogenous action inhibition. Methods The exogenous condition was a modified version of the Go/NoGo paradigm, where a green stimulus served as a cue to perform an action (a button press, Exogenous-Go), while a magenta stimulus indicated that action should be withhold (Exogenous-NoGo). Crucially, for the endogenous condition we psychophysically generated a shade of colour that participants randomly categorized as green or magenta. This unique stimulus, randomly intermixed with green and magenta stimuli, forced participants to perform an endogenous (internally-driven) choice to either execute or inhibit the action. Results In the endogenous condition, at baseline participants executed the action on half the trials; however, after 1-Hz rTMS over the dFMC they responded significantly more frequently, indicating a reduced response inhibition. The effect was selective for the dFMC stimulation and sustained in time. Moreover, no significant effects were found in the exogenous condition. Conclusions These results support the causal role of the left dFMC in endogenous action inhibition and, more generally, the notion of separate brain circuits for endogenous and exogenous action inhibition.","author":[{"dropping-particle":"","family":"Ficarella","given":"Stefania C.","non-dropping-particle":"","parse-names":false,"suffix":""},{"dropping-particle":"","family":"Battelli","given":"Lorella","non-dropping-particle":"","parse-names":false,"suffix":""}],"container-title":"Brain Stimulation","id":"ITEM-1","issue":"3","issued":{"date-parts":[["2017"]]},"page":"596-603","publisher":"Elsevier Ltd","title":"The critical role of the dorsal fronto-median cortex in voluntary action inhibition: A TMS study","type":"article-journal","volume":"10"},"uris":["http://www.mendeley.com/documents/?uuid=0ecf30f3-bcfa-40dc-8674-5b8bda3e7734"]}],"mendeley":{"formattedCitation":"(Ficarella &amp; Battelli, 2017)","plainTextFormattedCitation":"(Ficarella &amp; Battelli, 2017)","previouslyFormattedCitation":"(Ficarella &amp; Battelli, 2017)"},"properties":{"noteIndex":0},"schema":"https://github.com/citation-style-language/schema/raw/master/csl-citation.json"}</w:instrText>
      </w:r>
      <w:r w:rsidR="00287937">
        <w:rPr>
          <w:rFonts w:ascii="Arial" w:hAnsi="Arial" w:cs="Arial"/>
          <w:sz w:val="20"/>
          <w:szCs w:val="20"/>
          <w:lang w:val="en-US"/>
        </w:rPr>
        <w:fldChar w:fldCharType="separate"/>
      </w:r>
      <w:r w:rsidR="00287937" w:rsidRPr="00287937">
        <w:rPr>
          <w:rFonts w:ascii="Arial" w:hAnsi="Arial" w:cs="Arial"/>
          <w:noProof/>
          <w:sz w:val="20"/>
          <w:szCs w:val="20"/>
          <w:lang w:val="en-US"/>
        </w:rPr>
        <w:t>(Ficarella &amp; Battelli, 2017)</w:t>
      </w:r>
      <w:r w:rsidR="00287937">
        <w:rPr>
          <w:rFonts w:ascii="Arial" w:hAnsi="Arial" w:cs="Arial"/>
          <w:sz w:val="20"/>
          <w:szCs w:val="20"/>
          <w:lang w:val="en-US"/>
        </w:rPr>
        <w:fldChar w:fldCharType="end"/>
      </w:r>
      <w:r w:rsidR="00A4019D" w:rsidRPr="00362EC0">
        <w:rPr>
          <w:rFonts w:ascii="Arial" w:hAnsi="Arial" w:cs="Arial"/>
          <w:sz w:val="20"/>
          <w:szCs w:val="20"/>
          <w:lang w:val="en-US"/>
        </w:rPr>
        <w:t>. The neural basis of externally-guided inhibition, on the other hand, seems to be more influenced by the task design, as evident from differences in the recruited neural network when comparing successful stopping in the Go/No-go task to that in the SST</w:t>
      </w:r>
      <w:r w:rsidR="00287937">
        <w:rPr>
          <w:rFonts w:ascii="Arial" w:hAnsi="Arial" w:cs="Arial"/>
          <w:sz w:val="20"/>
          <w:szCs w:val="20"/>
          <w:lang w:val="en-US"/>
        </w:rPr>
        <w:t xml:space="preserve"> </w:t>
      </w:r>
      <w:r w:rsidR="00287937">
        <w:rPr>
          <w:rFonts w:ascii="Arial" w:hAnsi="Arial" w:cs="Arial"/>
          <w:sz w:val="20"/>
          <w:szCs w:val="20"/>
          <w:lang w:val="en-US"/>
        </w:rPr>
        <w:fldChar w:fldCharType="begin" w:fldLock="1"/>
      </w:r>
      <w:r w:rsidR="00287937">
        <w:rPr>
          <w:rFonts w:ascii="Arial" w:hAnsi="Arial" w:cs="Arial"/>
          <w:sz w:val="20"/>
          <w:szCs w:val="20"/>
          <w:lang w:val="en-US"/>
        </w:rPr>
        <w:instrText>ADDIN CSL_CITATION {"citationItems":[{"id":"ITEM-1","itemData":{"ISSN":"1053-8119","author":[{"dropping-particle":"","family":"Swick","given":"Diane","non-dropping-particle":"","parse-names":false,"suffix":""},{"dropping-particle":"","family":"Ashley","given":"Victoria","non-dropping-particle":"","parse-names":false,"suffix":""},{"dropping-particle":"","family":"Turken","given":"U","non-dropping-particle":"","parse-names":false,"suffix":""}],"container-title":"Neuroimage","id":"ITEM-1","issue":"3","issued":{"date-parts":[["2011"]]},"page":"1655-1665","publisher":"Elsevier","title":"Are the neural correlates of stopping and not going identical? Quantitative meta-analysis of two response inhibition tasks","type":"article-journal","volume":"56"},"uris":["http://www.mendeley.com/documents/?uuid=a38c5a57-e7fa-48ee-9b3f-8f0971668ecb"]}],"mendeley":{"formattedCitation":"(Swick et al., 2011)","plainTextFormattedCitation":"(Swick et al., 2011)","previouslyFormattedCitation":"(Swick et al., 2011)"},"properties":{"noteIndex":0},"schema":"https://github.com/citation-style-language/schema/raw/master/csl-citation.json"}</w:instrText>
      </w:r>
      <w:r w:rsidR="00287937">
        <w:rPr>
          <w:rFonts w:ascii="Arial" w:hAnsi="Arial" w:cs="Arial"/>
          <w:sz w:val="20"/>
          <w:szCs w:val="20"/>
          <w:lang w:val="en-US"/>
        </w:rPr>
        <w:fldChar w:fldCharType="separate"/>
      </w:r>
      <w:r w:rsidR="00287937" w:rsidRPr="00287937">
        <w:rPr>
          <w:rFonts w:ascii="Arial" w:hAnsi="Arial" w:cs="Arial"/>
          <w:noProof/>
          <w:sz w:val="20"/>
          <w:szCs w:val="20"/>
          <w:lang w:val="en-US"/>
        </w:rPr>
        <w:t>(Swick et al., 2011)</w:t>
      </w:r>
      <w:r w:rsidR="00287937">
        <w:rPr>
          <w:rFonts w:ascii="Arial" w:hAnsi="Arial" w:cs="Arial"/>
          <w:sz w:val="20"/>
          <w:szCs w:val="20"/>
          <w:lang w:val="en-US"/>
        </w:rPr>
        <w:fldChar w:fldCharType="end"/>
      </w:r>
      <w:r w:rsidR="00A4019D" w:rsidRPr="00362EC0">
        <w:rPr>
          <w:rFonts w:ascii="Arial" w:hAnsi="Arial" w:cs="Arial"/>
          <w:sz w:val="20"/>
          <w:szCs w:val="20"/>
          <w:lang w:val="en-US"/>
        </w:rPr>
        <w:t xml:space="preserve"> as well as when comparing simple to complex Go/No-go tasks</w:t>
      </w:r>
      <w:r w:rsidR="00287937">
        <w:rPr>
          <w:rFonts w:ascii="Arial" w:hAnsi="Arial" w:cs="Arial"/>
          <w:sz w:val="20"/>
          <w:szCs w:val="20"/>
          <w:lang w:val="en-US"/>
        </w:rPr>
        <w:t xml:space="preserve"> </w:t>
      </w:r>
      <w:r w:rsidR="00287937">
        <w:rPr>
          <w:rFonts w:ascii="Arial" w:hAnsi="Arial" w:cs="Arial"/>
          <w:sz w:val="20"/>
          <w:szCs w:val="20"/>
          <w:lang w:val="en-US"/>
        </w:rPr>
        <w:fldChar w:fldCharType="begin" w:fldLock="1"/>
      </w:r>
      <w:r w:rsidR="0018716F">
        <w:rPr>
          <w:rFonts w:ascii="Arial" w:hAnsi="Arial" w:cs="Arial"/>
          <w:sz w:val="20"/>
          <w:szCs w:val="20"/>
          <w:lang w:val="en-US"/>
        </w:rPr>
        <w:instrText>ADDIN CSL_CITATION {"citationItems":[{"id":"ITEM-1","itemData":{"ISSN":"0028-3932","author":[{"dropping-particle":"","family":"Simmonds","given":"Daniel J","non-dropping-particle":"","parse-names":false,"suffix":""},{"dropping-particle":"","family":"Pekar","given":"James J","non-dropping-particle":"","parse-names":false,"suffix":""},{"dropping-particle":"","family":"Mostofsky","given":"Stewart H","non-dropping-particle":"","parse-names":false,"suffix":""}],"container-title":"Neuropsychologia","id":"ITEM-1","issue":"1","issued":{"date-parts":[["2008"]]},"page":"224-232","publisher":"Elsevier","title":"Meta-analysis of Go/No-go tasks demonstrating that fMRI activation associated with response inhibition is task-dependent","type":"article-journal","volume":"46"},"uris":["http://www.mendeley.com/documents/?uuid=1d0a598b-45d7-4b08-bc79-6335612450a1"]}],"mendeley":{"formattedCitation":"(Simmonds et al., 2008)","plainTextFormattedCitation":"(Simmonds et al., 2008)","previouslyFormattedCitation":"(Simmonds et al., 2008)"},"properties":{"noteIndex":0},"schema":"https://github.com/citation-style-language/schema/raw/master/csl-citation.json"}</w:instrText>
      </w:r>
      <w:r w:rsidR="00287937">
        <w:rPr>
          <w:rFonts w:ascii="Arial" w:hAnsi="Arial" w:cs="Arial"/>
          <w:sz w:val="20"/>
          <w:szCs w:val="20"/>
          <w:lang w:val="en-US"/>
        </w:rPr>
        <w:fldChar w:fldCharType="separate"/>
      </w:r>
      <w:r w:rsidR="00287937" w:rsidRPr="00287937">
        <w:rPr>
          <w:rFonts w:ascii="Arial" w:hAnsi="Arial" w:cs="Arial"/>
          <w:noProof/>
          <w:sz w:val="20"/>
          <w:szCs w:val="20"/>
          <w:lang w:val="en-US"/>
        </w:rPr>
        <w:t>(Simmonds et al., 2008)</w:t>
      </w:r>
      <w:r w:rsidR="00287937">
        <w:rPr>
          <w:rFonts w:ascii="Arial" w:hAnsi="Arial" w:cs="Arial"/>
          <w:sz w:val="20"/>
          <w:szCs w:val="20"/>
          <w:lang w:val="en-US"/>
        </w:rPr>
        <w:fldChar w:fldCharType="end"/>
      </w:r>
      <w:r w:rsidR="00A4019D" w:rsidRPr="00362EC0">
        <w:rPr>
          <w:rFonts w:ascii="Arial" w:hAnsi="Arial" w:cs="Arial"/>
          <w:sz w:val="20"/>
          <w:szCs w:val="20"/>
          <w:lang w:val="en-US"/>
        </w:rPr>
        <w:t>. However, overlap among SST and Go/No-go tasks hints towards common processes related to neural activity in parts of the cingulo-opercular control network, such as the medial frontal cortex and the right anterior insula (Swick et al., 2011)</w:t>
      </w:r>
      <w:r w:rsidR="002D395F">
        <w:rPr>
          <w:rFonts w:ascii="Arial" w:hAnsi="Arial" w:cs="Arial"/>
          <w:sz w:val="20"/>
          <w:szCs w:val="20"/>
          <w:lang w:val="en-US"/>
        </w:rPr>
        <w:t>, and similar brain regions are expected to be involved during inhibition in the IHT-R</w:t>
      </w:r>
      <w:r w:rsidR="00A4019D" w:rsidRPr="00362EC0">
        <w:rPr>
          <w:rFonts w:ascii="Arial" w:hAnsi="Arial" w:cs="Arial"/>
          <w:sz w:val="20"/>
          <w:szCs w:val="20"/>
          <w:lang w:val="en-US"/>
        </w:rPr>
        <w:t xml:space="preserve">.  </w:t>
      </w:r>
    </w:p>
    <w:bookmarkEnd w:id="14"/>
    <w:p w14:paraId="05E0269F" w14:textId="53DBC9EB" w:rsidR="00A96F43" w:rsidRPr="00362EC0" w:rsidRDefault="00A4019D" w:rsidP="00F243F1">
      <w:pPr>
        <w:spacing w:after="0" w:line="360" w:lineRule="auto"/>
        <w:ind w:firstLine="720"/>
        <w:contextualSpacing/>
        <w:jc w:val="both"/>
        <w:rPr>
          <w:rFonts w:ascii="Arial" w:hAnsi="Arial" w:cs="Arial"/>
          <w:iCs/>
          <w:sz w:val="20"/>
          <w:szCs w:val="20"/>
          <w:lang w:val="en-US"/>
        </w:rPr>
      </w:pPr>
      <w:r w:rsidRPr="00362EC0">
        <w:rPr>
          <w:rFonts w:ascii="Arial" w:hAnsi="Arial" w:cs="Arial"/>
          <w:iCs/>
          <w:sz w:val="20"/>
          <w:szCs w:val="20"/>
          <w:lang w:val="en-US"/>
        </w:rPr>
        <w:t xml:space="preserve">The introduction of incentives led to </w:t>
      </w:r>
      <w:r w:rsidR="00180706" w:rsidRPr="00362EC0">
        <w:rPr>
          <w:rFonts w:ascii="Arial" w:hAnsi="Arial" w:cs="Arial"/>
          <w:iCs/>
          <w:sz w:val="20"/>
          <w:szCs w:val="20"/>
          <w:lang w:val="en-US"/>
        </w:rPr>
        <w:t>hasten</w:t>
      </w:r>
      <w:r w:rsidRPr="00362EC0">
        <w:rPr>
          <w:rFonts w:ascii="Arial" w:hAnsi="Arial" w:cs="Arial"/>
          <w:iCs/>
          <w:sz w:val="20"/>
          <w:szCs w:val="20"/>
          <w:lang w:val="en-US"/>
        </w:rPr>
        <w:t>ing</w:t>
      </w:r>
      <w:r w:rsidR="00136BFE" w:rsidRPr="00362EC0">
        <w:rPr>
          <w:rFonts w:ascii="Arial" w:hAnsi="Arial" w:cs="Arial"/>
          <w:iCs/>
          <w:sz w:val="20"/>
          <w:szCs w:val="20"/>
          <w:lang w:val="en-US"/>
        </w:rPr>
        <w:t xml:space="preserve"> </w:t>
      </w:r>
      <w:r w:rsidR="00AB65EF" w:rsidRPr="00362EC0">
        <w:rPr>
          <w:rFonts w:ascii="Arial" w:hAnsi="Arial" w:cs="Arial"/>
          <w:iCs/>
          <w:sz w:val="20"/>
          <w:szCs w:val="20"/>
          <w:lang w:val="en-US"/>
        </w:rPr>
        <w:t xml:space="preserve">the </w:t>
      </w:r>
      <w:r w:rsidR="00136BFE" w:rsidRPr="00362EC0">
        <w:rPr>
          <w:rFonts w:ascii="Arial" w:hAnsi="Arial" w:cs="Arial"/>
          <w:iCs/>
          <w:sz w:val="20"/>
          <w:szCs w:val="20"/>
          <w:lang w:val="en-US"/>
        </w:rPr>
        <w:t xml:space="preserve">Go response times regardless of trial type, an effect that was not observed in Stop </w:t>
      </w:r>
      <w:r w:rsidR="00A15194" w:rsidRPr="00362EC0">
        <w:rPr>
          <w:rFonts w:ascii="Arial" w:hAnsi="Arial" w:cs="Arial"/>
          <w:iCs/>
          <w:sz w:val="20"/>
          <w:szCs w:val="20"/>
          <w:lang w:val="en-US"/>
        </w:rPr>
        <w:t>response times, but instead visible as increased average speed during Stop trials</w:t>
      </w:r>
      <w:r w:rsidR="00136BFE" w:rsidRPr="00362EC0">
        <w:rPr>
          <w:rFonts w:ascii="Arial" w:hAnsi="Arial" w:cs="Arial"/>
          <w:iCs/>
          <w:sz w:val="20"/>
          <w:szCs w:val="20"/>
          <w:lang w:val="en-US"/>
        </w:rPr>
        <w:t>.</w:t>
      </w:r>
      <w:r w:rsidR="00EA0028" w:rsidRPr="00362EC0">
        <w:rPr>
          <w:rFonts w:ascii="Arial" w:hAnsi="Arial" w:cs="Arial"/>
          <w:iCs/>
          <w:sz w:val="20"/>
          <w:szCs w:val="20"/>
          <w:lang w:val="en-US"/>
        </w:rPr>
        <w:t xml:space="preserve"> </w:t>
      </w:r>
      <w:r w:rsidR="002D395F" w:rsidRPr="00362EC0">
        <w:rPr>
          <w:rFonts w:ascii="Arial" w:hAnsi="Arial" w:cs="Arial"/>
          <w:iCs/>
          <w:sz w:val="20"/>
          <w:szCs w:val="20"/>
          <w:lang w:val="en-US"/>
        </w:rPr>
        <w:t>Incentivizing</w:t>
      </w:r>
      <w:r w:rsidR="00072920" w:rsidRPr="00362EC0">
        <w:rPr>
          <w:rFonts w:ascii="Arial" w:hAnsi="Arial" w:cs="Arial"/>
          <w:iCs/>
          <w:sz w:val="20"/>
          <w:szCs w:val="20"/>
          <w:lang w:val="en-US"/>
        </w:rPr>
        <w:t xml:space="preserve"> performance with monetary reward </w:t>
      </w:r>
      <w:r w:rsidR="00AB65EF" w:rsidRPr="00362EC0">
        <w:rPr>
          <w:rFonts w:ascii="Arial" w:hAnsi="Arial" w:cs="Arial"/>
          <w:iCs/>
          <w:sz w:val="20"/>
          <w:szCs w:val="20"/>
          <w:lang w:val="en-US"/>
        </w:rPr>
        <w:t xml:space="preserve">has been shown to </w:t>
      </w:r>
      <w:r w:rsidR="00072920" w:rsidRPr="00362EC0">
        <w:rPr>
          <w:rFonts w:ascii="Arial" w:hAnsi="Arial" w:cs="Arial"/>
          <w:iCs/>
          <w:sz w:val="20"/>
          <w:szCs w:val="20"/>
          <w:lang w:val="en-US"/>
        </w:rPr>
        <w:t>lead to faster response times</w:t>
      </w:r>
      <w:r w:rsidR="00AB65EF" w:rsidRPr="00362EC0">
        <w:rPr>
          <w:rFonts w:ascii="Arial" w:hAnsi="Arial" w:cs="Arial"/>
          <w:iCs/>
          <w:sz w:val="20"/>
          <w:szCs w:val="20"/>
          <w:lang w:val="en-US"/>
        </w:rPr>
        <w:t xml:space="preserve"> in</w:t>
      </w:r>
      <w:r w:rsidR="00EA0028" w:rsidRPr="00362EC0">
        <w:rPr>
          <w:rFonts w:ascii="Arial" w:hAnsi="Arial" w:cs="Arial"/>
          <w:iCs/>
          <w:sz w:val="20"/>
          <w:szCs w:val="20"/>
          <w:lang w:val="en-US"/>
        </w:rPr>
        <w:t xml:space="preserve"> </w:t>
      </w:r>
      <w:r w:rsidR="00AB65EF" w:rsidRPr="00362EC0">
        <w:rPr>
          <w:rFonts w:ascii="Arial" w:hAnsi="Arial" w:cs="Arial"/>
          <w:iCs/>
          <w:sz w:val="20"/>
          <w:szCs w:val="20"/>
          <w:lang w:val="en-US"/>
        </w:rPr>
        <w:t>instructed Go trials</w:t>
      </w:r>
      <w:r w:rsidR="00072920" w:rsidRPr="00362EC0">
        <w:rPr>
          <w:rFonts w:ascii="Arial" w:hAnsi="Arial" w:cs="Arial"/>
          <w:iCs/>
          <w:sz w:val="20"/>
          <w:szCs w:val="20"/>
          <w:lang w:val="en-US"/>
        </w:rPr>
        <w:t xml:space="preserve"> </w:t>
      </w:r>
      <w:r w:rsidR="0095312B" w:rsidRPr="00362EC0">
        <w:rPr>
          <w:rFonts w:ascii="Arial" w:hAnsi="Arial" w:cs="Arial"/>
          <w:sz w:val="20"/>
          <w:szCs w:val="20"/>
        </w:rPr>
        <w:fldChar w:fldCharType="begin" w:fldLock="1"/>
      </w:r>
      <w:r w:rsidR="00A54558" w:rsidRPr="00362EC0">
        <w:rPr>
          <w:rFonts w:ascii="Arial" w:hAnsi="Arial" w:cs="Arial"/>
          <w:sz w:val="20"/>
          <w:szCs w:val="20"/>
          <w:lang w:val="en-US"/>
        </w:rPr>
        <w:instrText>ADDIN CSL_CITATION {"citationItems":[{"id":"ITEM-1","itemData":{"author":[{"dropping-particle":"","family":"Filevich","given":"Elisa","non-dropping-particle":"","parse-names":false,"suffix":""},{"dropping-particle":"","family":"Kühn","given":"Simone","non-dropping-particle":"","parse-names":false,"suffix":""},{"dropping-particle":"","family":"Haggard","given":"Patrick","non-dropping-particle":"","parse-names":false,"suffix":""}],"container-title":"PloS one","id":"ITEM-1","issue":"2","issued":{"date-parts":[["2013"]]},"publisher":"Public Library of Science","title":"There is no free won’t: Antecedent brain activity predicts decisions to inhibit","type":"article-journal","volume":"8"},"uris":["http://www.mendeley.com/documents/?uuid=796f7a02-41d3-4da</w:instrText>
      </w:r>
      <w:r w:rsidR="00A54558" w:rsidRPr="00362EC0">
        <w:rPr>
          <w:rFonts w:ascii="Arial" w:hAnsi="Arial" w:cs="Arial"/>
          <w:sz w:val="20"/>
          <w:szCs w:val="20"/>
        </w:rPr>
        <w:instrText>2-97cb-98ff9ae33cc2"]}],"mendeley":{"formattedCitation":"(Filevich et al., 2013)","plainTextFormattedCitation":"(Filevich et al., 2013)","previouslyFormattedCitation":"(Filevich et al., 2013)"},"properties":{"noteIndex":0},"schema":"https://github.com/citation-style-language/schema/raw/master/csl-citation.json"}</w:instrText>
      </w:r>
      <w:r w:rsidR="0095312B" w:rsidRPr="00362EC0">
        <w:rPr>
          <w:rFonts w:ascii="Arial" w:hAnsi="Arial" w:cs="Arial"/>
          <w:sz w:val="20"/>
          <w:szCs w:val="20"/>
        </w:rPr>
        <w:fldChar w:fldCharType="separate"/>
      </w:r>
      <w:r w:rsidR="00A54558" w:rsidRPr="00362EC0">
        <w:rPr>
          <w:rFonts w:ascii="Arial" w:hAnsi="Arial" w:cs="Arial"/>
          <w:noProof/>
          <w:sz w:val="20"/>
          <w:szCs w:val="20"/>
        </w:rPr>
        <w:t>(Filevich et al., 2013)</w:t>
      </w:r>
      <w:r w:rsidR="0095312B" w:rsidRPr="00362EC0">
        <w:rPr>
          <w:rFonts w:ascii="Arial" w:hAnsi="Arial" w:cs="Arial"/>
          <w:sz w:val="20"/>
          <w:szCs w:val="20"/>
        </w:rPr>
        <w:fldChar w:fldCharType="end"/>
      </w:r>
      <w:r w:rsidR="00072920" w:rsidRPr="00362EC0">
        <w:rPr>
          <w:rFonts w:ascii="Arial" w:hAnsi="Arial" w:cs="Arial"/>
          <w:iCs/>
          <w:sz w:val="20"/>
          <w:szCs w:val="20"/>
        </w:rPr>
        <w:t xml:space="preserve"> </w:t>
      </w:r>
      <w:r w:rsidR="00C95DBF" w:rsidRPr="00362EC0">
        <w:rPr>
          <w:rFonts w:ascii="Arial" w:hAnsi="Arial" w:cs="Arial"/>
          <w:iCs/>
          <w:sz w:val="20"/>
          <w:szCs w:val="20"/>
        </w:rPr>
        <w:t>and is replicated by the current results</w:t>
      </w:r>
      <w:r w:rsidR="00072920" w:rsidRPr="00362EC0">
        <w:rPr>
          <w:rFonts w:ascii="Arial" w:hAnsi="Arial" w:cs="Arial"/>
          <w:iCs/>
          <w:sz w:val="20"/>
          <w:szCs w:val="20"/>
        </w:rPr>
        <w:t>.</w:t>
      </w:r>
      <w:r w:rsidR="00AB65EF" w:rsidRPr="00362EC0">
        <w:rPr>
          <w:rFonts w:ascii="Arial" w:hAnsi="Arial" w:cs="Arial"/>
          <w:iCs/>
          <w:sz w:val="20"/>
          <w:szCs w:val="20"/>
        </w:rPr>
        <w:t xml:space="preserve"> That high reward </w:t>
      </w:r>
      <w:r w:rsidR="00180706" w:rsidRPr="00362EC0">
        <w:rPr>
          <w:rFonts w:ascii="Arial" w:hAnsi="Arial" w:cs="Arial"/>
          <w:iCs/>
          <w:sz w:val="20"/>
          <w:szCs w:val="20"/>
        </w:rPr>
        <w:t>incentives facilitated faster</w:t>
      </w:r>
      <w:r w:rsidR="00AB65EF" w:rsidRPr="00362EC0">
        <w:rPr>
          <w:rFonts w:ascii="Arial" w:hAnsi="Arial" w:cs="Arial"/>
          <w:iCs/>
          <w:sz w:val="20"/>
          <w:szCs w:val="20"/>
        </w:rPr>
        <w:t xml:space="preserve"> response times across Go trials </w:t>
      </w:r>
      <w:r w:rsidR="002D395F" w:rsidRPr="00362EC0">
        <w:rPr>
          <w:rFonts w:ascii="Arial" w:hAnsi="Arial" w:cs="Arial"/>
          <w:iCs/>
          <w:sz w:val="20"/>
          <w:szCs w:val="20"/>
        </w:rPr>
        <w:t>a</w:t>
      </w:r>
      <w:r w:rsidR="002D395F">
        <w:rPr>
          <w:rFonts w:ascii="Arial" w:hAnsi="Arial" w:cs="Arial"/>
          <w:iCs/>
          <w:sz w:val="20"/>
          <w:szCs w:val="20"/>
        </w:rPr>
        <w:t>s well as</w:t>
      </w:r>
      <w:r w:rsidR="002D395F" w:rsidRPr="00362EC0">
        <w:rPr>
          <w:rFonts w:ascii="Arial" w:hAnsi="Arial" w:cs="Arial"/>
          <w:iCs/>
          <w:sz w:val="20"/>
          <w:szCs w:val="20"/>
        </w:rPr>
        <w:t xml:space="preserve"> </w:t>
      </w:r>
      <w:r w:rsidR="002D395F">
        <w:rPr>
          <w:rFonts w:ascii="Arial" w:hAnsi="Arial" w:cs="Arial"/>
          <w:iCs/>
          <w:sz w:val="20"/>
          <w:szCs w:val="20"/>
        </w:rPr>
        <w:t>higher</w:t>
      </w:r>
      <w:r w:rsidR="002D395F" w:rsidRPr="00362EC0">
        <w:rPr>
          <w:rFonts w:ascii="Arial" w:hAnsi="Arial" w:cs="Arial"/>
          <w:iCs/>
          <w:sz w:val="20"/>
          <w:szCs w:val="20"/>
        </w:rPr>
        <w:t xml:space="preserve"> </w:t>
      </w:r>
      <w:r w:rsidR="00AB65EF" w:rsidRPr="00362EC0">
        <w:rPr>
          <w:rFonts w:ascii="Arial" w:hAnsi="Arial" w:cs="Arial"/>
          <w:iCs/>
          <w:sz w:val="20"/>
          <w:szCs w:val="20"/>
        </w:rPr>
        <w:t>accuracy in instructed Go trials might suggest enhancements in both speed and accuracy during Go trials consistent with greater motivation or approach behaviours to higher rewards.</w:t>
      </w:r>
      <w:r w:rsidR="00EA0028" w:rsidRPr="00362EC0">
        <w:rPr>
          <w:rFonts w:ascii="Arial" w:hAnsi="Arial" w:cs="Arial"/>
          <w:iCs/>
          <w:sz w:val="20"/>
          <w:szCs w:val="20"/>
        </w:rPr>
        <w:t xml:space="preserve"> </w:t>
      </w:r>
      <w:r w:rsidR="001D525D" w:rsidRPr="00362EC0">
        <w:rPr>
          <w:rFonts w:ascii="Arial" w:hAnsi="Arial" w:cs="Arial"/>
          <w:iCs/>
          <w:sz w:val="20"/>
          <w:szCs w:val="20"/>
        </w:rPr>
        <w:t xml:space="preserve">Previous studies on the role of incentive reward on stopping behaviours have focused on incentivizing correct stopping performance </w:t>
      </w:r>
      <w:r w:rsidR="002B2D0D" w:rsidRPr="00362EC0">
        <w:rPr>
          <w:rFonts w:ascii="Arial" w:hAnsi="Arial" w:cs="Arial"/>
          <w:sz w:val="20"/>
          <w:szCs w:val="20"/>
        </w:rPr>
        <w:fldChar w:fldCharType="begin" w:fldLock="1"/>
      </w:r>
      <w:r w:rsidR="0005748B" w:rsidRPr="00362EC0">
        <w:rPr>
          <w:rFonts w:ascii="Arial" w:hAnsi="Arial" w:cs="Arial"/>
          <w:sz w:val="20"/>
          <w:szCs w:val="20"/>
        </w:rPr>
        <w:instrText>ADDIN CSL_CITATION {"citationItems":[{"id":"ITEM-1","itemData":{"ISSN":"1939-1277","author":[{"dropping-particle":"","family":"Leotti","given":"Lauren A","non-dropping-particle":"","parse-names":false,"suffix":""},{"dropping-particle":"","family":"Wager","given":"Tor D","non-dropping-particle":"","parse-names":false,"suffix":""}],"container-title":"Journal of Experimental Psychology: Human Perception and Performance","id":"ITEM-1","issue":"2","issued":{"date-parts":[["2010"]]},"page":"430","publisher":"American Psychological Association","title":"Motivational influences on response inhibition measures.","type":"article-journal","volume":"36"},"uris":["http://www.mendeley.com/documents/?uuid=6c8b9151-2f53-423c-9d88-7fced370e65e"]}],"mendeley":{"formattedCitation":"(Leotti &amp; Wager, 2010)","plainTextFormattedCitation":"(Leotti &amp; Wager, 2010)","previouslyFormattedCitation":"(Leotti &amp; Wager, 2010)"},"properties":{"noteIndex":0},"schema":"https://github.com/citation-style-language/schema/raw/master/csl-citation.json"}</w:instrText>
      </w:r>
      <w:r w:rsidR="002B2D0D" w:rsidRPr="00362EC0">
        <w:rPr>
          <w:rFonts w:ascii="Arial" w:hAnsi="Arial" w:cs="Arial"/>
          <w:sz w:val="20"/>
          <w:szCs w:val="20"/>
        </w:rPr>
        <w:fldChar w:fldCharType="separate"/>
      </w:r>
      <w:r w:rsidR="0005748B" w:rsidRPr="00362EC0">
        <w:rPr>
          <w:rFonts w:ascii="Arial" w:hAnsi="Arial" w:cs="Arial"/>
          <w:noProof/>
          <w:sz w:val="20"/>
          <w:szCs w:val="20"/>
        </w:rPr>
        <w:t>(Leotti &amp; Wager, 2010)</w:t>
      </w:r>
      <w:r w:rsidR="002B2D0D" w:rsidRPr="00362EC0">
        <w:rPr>
          <w:rFonts w:ascii="Arial" w:hAnsi="Arial" w:cs="Arial"/>
          <w:sz w:val="20"/>
          <w:szCs w:val="20"/>
        </w:rPr>
        <w:fldChar w:fldCharType="end"/>
      </w:r>
      <w:r w:rsidR="001D525D" w:rsidRPr="00362EC0">
        <w:rPr>
          <w:rFonts w:ascii="Arial" w:hAnsi="Arial" w:cs="Arial"/>
          <w:iCs/>
          <w:sz w:val="20"/>
          <w:szCs w:val="20"/>
        </w:rPr>
        <w:t xml:space="preserve"> </w:t>
      </w:r>
      <w:r w:rsidR="002D395F">
        <w:rPr>
          <w:rFonts w:ascii="Arial" w:hAnsi="Arial" w:cs="Arial"/>
          <w:iCs/>
          <w:sz w:val="20"/>
          <w:szCs w:val="20"/>
        </w:rPr>
        <w:t>and</w:t>
      </w:r>
      <w:r w:rsidR="002D395F" w:rsidRPr="00362EC0">
        <w:rPr>
          <w:rFonts w:ascii="Arial" w:hAnsi="Arial" w:cs="Arial"/>
          <w:iCs/>
          <w:sz w:val="20"/>
          <w:szCs w:val="20"/>
        </w:rPr>
        <w:t xml:space="preserve"> </w:t>
      </w:r>
      <w:r w:rsidR="001D525D" w:rsidRPr="00362EC0">
        <w:rPr>
          <w:rFonts w:ascii="Arial" w:hAnsi="Arial" w:cs="Arial"/>
          <w:iCs/>
          <w:sz w:val="20"/>
          <w:szCs w:val="20"/>
        </w:rPr>
        <w:t xml:space="preserve">show </w:t>
      </w:r>
      <w:r w:rsidR="0084426C" w:rsidRPr="00362EC0">
        <w:rPr>
          <w:rFonts w:ascii="Arial" w:hAnsi="Arial" w:cs="Arial"/>
          <w:iCs/>
          <w:sz w:val="20"/>
          <w:szCs w:val="20"/>
        </w:rPr>
        <w:t>increase</w:t>
      </w:r>
      <w:r w:rsidR="001D525D" w:rsidRPr="00362EC0">
        <w:rPr>
          <w:rFonts w:ascii="Arial" w:hAnsi="Arial" w:cs="Arial"/>
          <w:iCs/>
          <w:sz w:val="20"/>
          <w:szCs w:val="20"/>
        </w:rPr>
        <w:t>d</w:t>
      </w:r>
      <w:r w:rsidR="00212982" w:rsidRPr="00362EC0">
        <w:rPr>
          <w:rFonts w:ascii="Arial" w:hAnsi="Arial" w:cs="Arial"/>
          <w:iCs/>
          <w:sz w:val="20"/>
          <w:szCs w:val="20"/>
        </w:rPr>
        <w:t xml:space="preserve"> </w:t>
      </w:r>
      <w:r w:rsidR="001D525D" w:rsidRPr="00362EC0">
        <w:rPr>
          <w:rFonts w:ascii="Arial" w:hAnsi="Arial" w:cs="Arial"/>
          <w:iCs/>
          <w:sz w:val="20"/>
          <w:szCs w:val="20"/>
        </w:rPr>
        <w:t xml:space="preserve">Go </w:t>
      </w:r>
      <w:r w:rsidR="00212982" w:rsidRPr="00362EC0">
        <w:rPr>
          <w:rFonts w:ascii="Arial" w:hAnsi="Arial" w:cs="Arial"/>
          <w:iCs/>
          <w:sz w:val="20"/>
          <w:szCs w:val="20"/>
        </w:rPr>
        <w:t xml:space="preserve">response times and </w:t>
      </w:r>
      <w:r w:rsidR="001D525D" w:rsidRPr="00362EC0">
        <w:rPr>
          <w:rFonts w:ascii="Arial" w:hAnsi="Arial" w:cs="Arial"/>
          <w:iCs/>
          <w:sz w:val="20"/>
          <w:szCs w:val="20"/>
        </w:rPr>
        <w:t xml:space="preserve">greater </w:t>
      </w:r>
      <w:r w:rsidR="00212982" w:rsidRPr="00362EC0">
        <w:rPr>
          <w:rFonts w:ascii="Arial" w:hAnsi="Arial" w:cs="Arial"/>
          <w:iCs/>
          <w:sz w:val="20"/>
          <w:szCs w:val="20"/>
        </w:rPr>
        <w:t>stopping accuracy</w:t>
      </w:r>
      <w:r w:rsidR="001D525D" w:rsidRPr="00362EC0">
        <w:rPr>
          <w:rFonts w:ascii="Arial" w:hAnsi="Arial" w:cs="Arial"/>
          <w:iCs/>
          <w:sz w:val="20"/>
          <w:szCs w:val="20"/>
        </w:rPr>
        <w:t xml:space="preserve"> to incentives</w:t>
      </w:r>
      <w:r w:rsidR="00212982" w:rsidRPr="00362EC0">
        <w:rPr>
          <w:rFonts w:ascii="Arial" w:hAnsi="Arial" w:cs="Arial"/>
          <w:iCs/>
          <w:sz w:val="20"/>
          <w:szCs w:val="20"/>
        </w:rPr>
        <w:t xml:space="preserve"> </w:t>
      </w:r>
      <w:r w:rsidR="002B2D0D" w:rsidRPr="00362EC0">
        <w:rPr>
          <w:rFonts w:ascii="Arial" w:hAnsi="Arial" w:cs="Arial"/>
          <w:sz w:val="20"/>
          <w:szCs w:val="20"/>
        </w:rPr>
        <w:fldChar w:fldCharType="begin" w:fldLock="1"/>
      </w:r>
      <w:r w:rsidR="0005748B" w:rsidRPr="00362EC0">
        <w:rPr>
          <w:rFonts w:ascii="Arial" w:hAnsi="Arial" w:cs="Arial"/>
          <w:sz w:val="20"/>
          <w:szCs w:val="20"/>
        </w:rPr>
        <w:instrText>ADDIN CSL_CITATION {"citationItems":[{"id":"ITEM-1","itemData":{"ISSN":"1939-1277","author":[{"dropping-particle":"","family":"Leotti","given":"Lauren A","non-dropping-particle":"","parse-names":false,"suffix":""},{"dropping-particle":"","family":"Wager","given":"Tor D","non-dropping-particle":"","parse-names":false,"suffix":""}],"container-title":"Journal of Experimental Psychology: Human Perception and Perfor</w:instrText>
      </w:r>
      <w:r w:rsidR="0005748B" w:rsidRPr="00362EC0">
        <w:rPr>
          <w:rFonts w:ascii="Arial" w:hAnsi="Arial" w:cs="Arial"/>
          <w:sz w:val="20"/>
          <w:szCs w:val="20"/>
          <w:lang w:val="en-US"/>
        </w:rPr>
        <w:instrText>mance","id":"ITEM-1","issue":"2","issued":{"date-parts":[["2010"]]},"page":"430","publisher":"American Psychological Association","title":"Motivational influences on response inhibition measures.","type":"article-journal","volume":"36"},"uris":["http://www.mendeley.com/documents/?uuid=6c8b9151-2f53-423c-9d88-7fced370e65e"]},{"id":"ITEM-2","itemData":{"ISSN":"1939-0599","author":[{"dropping-particle":"","family":"Sinopoli","given":"Katia J","non-dropping-particle":"","parse-names":false,"suffix":""},{"dropping-particle":"","family":"Schachar","given":"Russell","non-dropping-particle":"","parse-names":false,"suffix":""},{"dropping-particle":"","family":"Dennis","given":"Maureen","non-dropping-particle":"","parse-names":false,"suffix":""}],"container-title":"Developmental psychology","id":"ITEM-2","issue":"5","issued":{"date-parts":[["2011"]]},"page":"1479","publisher":"American Psychological Association","title":"Reward improves cancellation and restraint inhibition across childhood and adolescence.","type":"article-journal","volume":"47"},"uris":["http://www.mendeley.com/documents/?uuid=0663433e-716c-47da-a6f3-97e0ec622174"]}],"mendeley":{"formattedCitation":"(Leotti &amp; Wager, 2010; Sinopoli et al., 2011)","plainTextFormattedCitation":"(Leotti &amp; Wager, 2010; Sinopoli et al., 2011)","previouslyFormattedCitation":"(Leotti &amp; Wager, 2010; Sinopoli et al., 2011)"},"properties":{"noteIndex":0},"schema":"https://github.com/citation-style-language/schema/raw/master/csl-citation.json"}</w:instrText>
      </w:r>
      <w:r w:rsidR="002B2D0D" w:rsidRPr="00362EC0">
        <w:rPr>
          <w:rFonts w:ascii="Arial" w:hAnsi="Arial" w:cs="Arial"/>
          <w:sz w:val="20"/>
          <w:szCs w:val="20"/>
        </w:rPr>
        <w:fldChar w:fldCharType="separate"/>
      </w:r>
      <w:r w:rsidR="0005748B" w:rsidRPr="00362EC0">
        <w:rPr>
          <w:rFonts w:ascii="Arial" w:hAnsi="Arial" w:cs="Arial"/>
          <w:noProof/>
          <w:sz w:val="20"/>
          <w:szCs w:val="20"/>
          <w:lang w:val="en-US"/>
        </w:rPr>
        <w:t>(Leotti &amp; Wager, 2010; Sinopoli et al., 2011)</w:t>
      </w:r>
      <w:r w:rsidR="002B2D0D" w:rsidRPr="00362EC0">
        <w:rPr>
          <w:rFonts w:ascii="Arial" w:hAnsi="Arial" w:cs="Arial"/>
          <w:sz w:val="20"/>
          <w:szCs w:val="20"/>
        </w:rPr>
        <w:fldChar w:fldCharType="end"/>
      </w:r>
      <w:r w:rsidR="002B2D0D" w:rsidRPr="00362EC0">
        <w:rPr>
          <w:rFonts w:ascii="Arial" w:hAnsi="Arial" w:cs="Arial"/>
          <w:iCs/>
          <w:sz w:val="20"/>
          <w:szCs w:val="20"/>
          <w:lang w:val="en-US"/>
        </w:rPr>
        <w:t>.</w:t>
      </w:r>
      <w:r w:rsidR="00212982" w:rsidRPr="00362EC0">
        <w:rPr>
          <w:rFonts w:ascii="Arial" w:hAnsi="Arial" w:cs="Arial"/>
          <w:iCs/>
          <w:sz w:val="20"/>
          <w:szCs w:val="20"/>
          <w:lang w:val="en-US"/>
        </w:rPr>
        <w:t xml:space="preserve"> </w:t>
      </w:r>
      <w:r w:rsidR="00180706" w:rsidRPr="00362EC0">
        <w:rPr>
          <w:rFonts w:ascii="Arial" w:hAnsi="Arial" w:cs="Arial"/>
          <w:iCs/>
          <w:sz w:val="20"/>
          <w:szCs w:val="20"/>
          <w:lang w:val="en-US"/>
        </w:rPr>
        <w:t>We did not observe an effect of incentive</w:t>
      </w:r>
      <w:r w:rsidR="002D395F">
        <w:rPr>
          <w:rFonts w:ascii="Arial" w:hAnsi="Arial" w:cs="Arial"/>
          <w:iCs/>
          <w:sz w:val="20"/>
          <w:szCs w:val="20"/>
          <w:lang w:val="en-US"/>
        </w:rPr>
        <w:t>s</w:t>
      </w:r>
      <w:r w:rsidR="00180706" w:rsidRPr="00362EC0">
        <w:rPr>
          <w:rFonts w:ascii="Arial" w:hAnsi="Arial" w:cs="Arial"/>
          <w:iCs/>
          <w:sz w:val="20"/>
          <w:szCs w:val="20"/>
          <w:lang w:val="en-US"/>
        </w:rPr>
        <w:t xml:space="preserve"> on instructed stop accuracy or response times which may be related to a ceiling effect</w:t>
      </w:r>
      <w:r w:rsidR="00EC2EEC" w:rsidRPr="00362EC0">
        <w:rPr>
          <w:rFonts w:ascii="Arial" w:hAnsi="Arial" w:cs="Arial"/>
          <w:iCs/>
          <w:sz w:val="20"/>
          <w:szCs w:val="20"/>
          <w:lang w:val="en-US"/>
        </w:rPr>
        <w:t>, instead, monetary incentive shifted the likelihood of intentional action and inhibition towards action</w:t>
      </w:r>
      <w:r w:rsidR="00180706" w:rsidRPr="00362EC0">
        <w:rPr>
          <w:rFonts w:ascii="Arial" w:hAnsi="Arial" w:cs="Arial"/>
          <w:iCs/>
          <w:sz w:val="20"/>
          <w:szCs w:val="20"/>
          <w:lang w:val="en-US"/>
        </w:rPr>
        <w:t>.</w:t>
      </w:r>
    </w:p>
    <w:p w14:paraId="30C2A3AF" w14:textId="2AD5A926" w:rsidR="004C2D3D" w:rsidRPr="00362EC0" w:rsidRDefault="00B43F20" w:rsidP="002B2D0D">
      <w:pPr>
        <w:spacing w:after="0" w:line="360" w:lineRule="auto"/>
        <w:contextualSpacing/>
        <w:jc w:val="both"/>
        <w:rPr>
          <w:rFonts w:ascii="Arial" w:hAnsi="Arial" w:cs="Arial"/>
          <w:sz w:val="20"/>
          <w:szCs w:val="20"/>
        </w:rPr>
      </w:pPr>
      <w:r w:rsidRPr="00362EC0">
        <w:rPr>
          <w:rFonts w:ascii="Arial" w:hAnsi="Arial" w:cs="Arial"/>
          <w:iCs/>
          <w:sz w:val="20"/>
          <w:szCs w:val="20"/>
        </w:rPr>
        <w:tab/>
      </w:r>
      <w:r w:rsidR="00A96F43" w:rsidRPr="00362EC0">
        <w:rPr>
          <w:rFonts w:ascii="Arial" w:hAnsi="Arial" w:cs="Arial"/>
          <w:iCs/>
          <w:sz w:val="20"/>
          <w:szCs w:val="20"/>
        </w:rPr>
        <w:t xml:space="preserve">In Choice trials we incentivized achieving a random distribution of intentional </w:t>
      </w:r>
      <w:r w:rsidR="002D395F">
        <w:rPr>
          <w:rFonts w:ascii="Arial" w:hAnsi="Arial" w:cs="Arial"/>
          <w:iCs/>
          <w:sz w:val="20"/>
          <w:szCs w:val="20"/>
        </w:rPr>
        <w:t>G</w:t>
      </w:r>
      <w:r w:rsidR="00A96F43" w:rsidRPr="00362EC0">
        <w:rPr>
          <w:rFonts w:ascii="Arial" w:hAnsi="Arial" w:cs="Arial"/>
          <w:iCs/>
          <w:sz w:val="20"/>
          <w:szCs w:val="20"/>
        </w:rPr>
        <w:t xml:space="preserve">o and </w:t>
      </w:r>
      <w:r w:rsidR="002D395F">
        <w:rPr>
          <w:rFonts w:ascii="Arial" w:hAnsi="Arial" w:cs="Arial"/>
          <w:iCs/>
          <w:sz w:val="20"/>
          <w:szCs w:val="20"/>
        </w:rPr>
        <w:t>S</w:t>
      </w:r>
      <w:r w:rsidR="002D395F" w:rsidRPr="00362EC0">
        <w:rPr>
          <w:rFonts w:ascii="Arial" w:hAnsi="Arial" w:cs="Arial"/>
          <w:iCs/>
          <w:sz w:val="20"/>
          <w:szCs w:val="20"/>
        </w:rPr>
        <w:t xml:space="preserve">top </w:t>
      </w:r>
      <w:r w:rsidR="00A96F43" w:rsidRPr="00362EC0">
        <w:rPr>
          <w:rFonts w:ascii="Arial" w:hAnsi="Arial" w:cs="Arial"/>
          <w:iCs/>
          <w:sz w:val="20"/>
          <w:szCs w:val="20"/>
        </w:rPr>
        <w:t>choices and show an effect of any incentive in decreasing the proportion of intentional stops.</w:t>
      </w:r>
      <w:r w:rsidR="00EA0028" w:rsidRPr="00362EC0">
        <w:rPr>
          <w:rFonts w:ascii="Arial" w:hAnsi="Arial" w:cs="Arial"/>
          <w:iCs/>
          <w:sz w:val="20"/>
          <w:szCs w:val="20"/>
        </w:rPr>
        <w:t xml:space="preserve"> </w:t>
      </w:r>
      <w:r w:rsidR="00F53E21" w:rsidRPr="00362EC0">
        <w:rPr>
          <w:rFonts w:ascii="Arial" w:hAnsi="Arial" w:cs="Arial"/>
          <w:iCs/>
          <w:sz w:val="20"/>
          <w:szCs w:val="20"/>
        </w:rPr>
        <w:t xml:space="preserve">Taken together with the observation of incentive facilitation on Go response times and accuracy, the decrease in intentional stopping may be related to the balance between appetitive and aversive systems </w:t>
      </w:r>
      <w:r w:rsidR="0095312B" w:rsidRPr="00362EC0">
        <w:rPr>
          <w:rFonts w:ascii="Arial" w:hAnsi="Arial" w:cs="Arial"/>
          <w:sz w:val="20"/>
          <w:szCs w:val="20"/>
        </w:rPr>
        <w:fldChar w:fldCharType="begin" w:fldLock="1"/>
      </w:r>
      <w:r w:rsidR="00A54558" w:rsidRPr="00362EC0">
        <w:rPr>
          <w:rFonts w:ascii="Arial" w:hAnsi="Arial" w:cs="Arial"/>
          <w:sz w:val="20"/>
          <w:szCs w:val="20"/>
        </w:rPr>
        <w:instrText>ADDIN CSL_CITATION {"citationItems":[{"id":"ITEM-1","itemData":{"ISSN":"0028-3932","author":[{"dropping-particle":"","family":"Verbruggen","given":"Frederick","non-dropping-particle":"","parse-names":false,"suffix":""},{"dropping-particle":"","family":"Best","given":"Maisy","non-dropping-particle":"","parse-names":false,"suffix":""},{"dropping-particle":"","family":"Bowditch","given":"William A","non-dropping-particle":"","parse-names":false,"suffix":""},{"dropping-particle":"","family":"Stevens","given":"Tobias","non-dropping-particle":"","parse-names":false,"suffix":""},{"dropping-particle":"","family":"McLaren","given":"Ian P L","non-dropping-particle":"","parse-names":false,"suffix":""}],"container-title":"Neuropsychologia","id":"ITEM-1","issued":{"date-parts":[["2014"]]},"page":"263-278","publisher":"Elsevier","title":"The inhibitory control reflex","type":"article-journal","volume":"65"},"uris":["http://www.mendeley.com/documents/?uuid=da31caad-fd37-4441-ac2c-455920d97fb7"]}],"mendeley":{"formattedCitation":"(Verbruggen et al., 2014)","plainTextFormattedCitation":"(Verbruggen et al., 2014)","previouslyFormattedCitation":"(Verbruggen et al., 2014)"},"properties":{"noteIndex":0},"schema":"https://github.com/citation-style-language/schema/raw/master/csl-citation.json"}</w:instrText>
      </w:r>
      <w:r w:rsidR="0095312B" w:rsidRPr="00362EC0">
        <w:rPr>
          <w:rFonts w:ascii="Arial" w:hAnsi="Arial" w:cs="Arial"/>
          <w:sz w:val="20"/>
          <w:szCs w:val="20"/>
        </w:rPr>
        <w:fldChar w:fldCharType="separate"/>
      </w:r>
      <w:r w:rsidR="00A54558" w:rsidRPr="00362EC0">
        <w:rPr>
          <w:rFonts w:ascii="Arial" w:hAnsi="Arial" w:cs="Arial"/>
          <w:noProof/>
          <w:sz w:val="20"/>
          <w:szCs w:val="20"/>
        </w:rPr>
        <w:t>(Verbruggen et al., 2014)</w:t>
      </w:r>
      <w:r w:rsidR="0095312B" w:rsidRPr="00362EC0">
        <w:rPr>
          <w:rFonts w:ascii="Arial" w:hAnsi="Arial" w:cs="Arial"/>
          <w:sz w:val="20"/>
          <w:szCs w:val="20"/>
        </w:rPr>
        <w:fldChar w:fldCharType="end"/>
      </w:r>
      <w:r w:rsidR="00F55293" w:rsidRPr="00362EC0">
        <w:rPr>
          <w:rFonts w:ascii="Arial" w:hAnsi="Arial" w:cs="Arial"/>
          <w:iCs/>
          <w:sz w:val="20"/>
          <w:szCs w:val="20"/>
        </w:rPr>
        <w:t xml:space="preserve">. </w:t>
      </w:r>
      <w:r w:rsidR="00F53E21" w:rsidRPr="00362EC0">
        <w:rPr>
          <w:rFonts w:ascii="Arial" w:hAnsi="Arial" w:cs="Arial"/>
          <w:iCs/>
          <w:sz w:val="20"/>
          <w:szCs w:val="20"/>
        </w:rPr>
        <w:t>In</w:t>
      </w:r>
      <w:r w:rsidR="00F55293" w:rsidRPr="00362EC0">
        <w:rPr>
          <w:rFonts w:ascii="Arial" w:hAnsi="Arial" w:cs="Arial"/>
          <w:iCs/>
          <w:sz w:val="20"/>
          <w:szCs w:val="20"/>
        </w:rPr>
        <w:t xml:space="preserve"> this view, Go response</w:t>
      </w:r>
      <w:r w:rsidR="00F53E21" w:rsidRPr="00362EC0">
        <w:rPr>
          <w:rFonts w:ascii="Arial" w:hAnsi="Arial" w:cs="Arial"/>
          <w:iCs/>
          <w:sz w:val="20"/>
          <w:szCs w:val="20"/>
        </w:rPr>
        <w:t>s are</w:t>
      </w:r>
      <w:r w:rsidR="00F55293" w:rsidRPr="00362EC0">
        <w:rPr>
          <w:rFonts w:ascii="Arial" w:hAnsi="Arial" w:cs="Arial"/>
          <w:iCs/>
          <w:sz w:val="20"/>
          <w:szCs w:val="20"/>
        </w:rPr>
        <w:t xml:space="preserve"> associated with the appetitive system and </w:t>
      </w:r>
      <w:r w:rsidR="005416D9" w:rsidRPr="00362EC0">
        <w:rPr>
          <w:rFonts w:ascii="Arial" w:hAnsi="Arial" w:cs="Arial"/>
          <w:iCs/>
          <w:sz w:val="20"/>
          <w:szCs w:val="20"/>
        </w:rPr>
        <w:t xml:space="preserve">have </w:t>
      </w:r>
      <w:r w:rsidR="00F55293" w:rsidRPr="00362EC0">
        <w:rPr>
          <w:rFonts w:ascii="Arial" w:hAnsi="Arial" w:cs="Arial"/>
          <w:iCs/>
          <w:sz w:val="20"/>
          <w:szCs w:val="20"/>
        </w:rPr>
        <w:t xml:space="preserve">a mutually inhibitory connection to the Stop response, which </w:t>
      </w:r>
      <w:r w:rsidR="00702B1C" w:rsidRPr="00362EC0">
        <w:rPr>
          <w:rFonts w:ascii="Arial" w:hAnsi="Arial" w:cs="Arial"/>
          <w:iCs/>
          <w:sz w:val="20"/>
          <w:szCs w:val="20"/>
        </w:rPr>
        <w:t>in turn is connected</w:t>
      </w:r>
      <w:r w:rsidR="00F55293" w:rsidRPr="00362EC0">
        <w:rPr>
          <w:rFonts w:ascii="Arial" w:hAnsi="Arial" w:cs="Arial"/>
          <w:iCs/>
          <w:sz w:val="20"/>
          <w:szCs w:val="20"/>
        </w:rPr>
        <w:t xml:space="preserve"> to the aversive </w:t>
      </w:r>
      <w:r w:rsidR="00F55293" w:rsidRPr="00362EC0">
        <w:rPr>
          <w:rFonts w:ascii="Arial" w:hAnsi="Arial" w:cs="Arial"/>
          <w:iCs/>
          <w:sz w:val="20"/>
          <w:szCs w:val="20"/>
        </w:rPr>
        <w:lastRenderedPageBreak/>
        <w:t>system. Evidence</w:t>
      </w:r>
      <w:r w:rsidR="00297871" w:rsidRPr="00362EC0">
        <w:rPr>
          <w:rFonts w:ascii="Arial" w:hAnsi="Arial" w:cs="Arial"/>
          <w:iCs/>
          <w:sz w:val="20"/>
          <w:szCs w:val="20"/>
        </w:rPr>
        <w:t xml:space="preserve"> to support this concept</w:t>
      </w:r>
      <w:r w:rsidR="00EA0028" w:rsidRPr="00362EC0">
        <w:rPr>
          <w:rFonts w:ascii="Arial" w:hAnsi="Arial" w:cs="Arial"/>
          <w:iCs/>
          <w:sz w:val="20"/>
          <w:szCs w:val="20"/>
        </w:rPr>
        <w:t xml:space="preserve"> </w:t>
      </w:r>
      <w:r w:rsidR="00F55293" w:rsidRPr="00362EC0">
        <w:rPr>
          <w:rFonts w:ascii="Arial" w:hAnsi="Arial" w:cs="Arial"/>
          <w:iCs/>
          <w:sz w:val="20"/>
          <w:szCs w:val="20"/>
        </w:rPr>
        <w:t xml:space="preserve">comes </w:t>
      </w:r>
      <w:r w:rsidR="00297871" w:rsidRPr="00362EC0">
        <w:rPr>
          <w:rFonts w:ascii="Arial" w:hAnsi="Arial" w:cs="Arial"/>
          <w:iCs/>
          <w:sz w:val="20"/>
          <w:szCs w:val="20"/>
        </w:rPr>
        <w:t>from the observation that</w:t>
      </w:r>
      <w:r w:rsidR="00F55293" w:rsidRPr="00362EC0">
        <w:rPr>
          <w:rFonts w:ascii="Arial" w:hAnsi="Arial" w:cs="Arial"/>
          <w:iCs/>
          <w:sz w:val="20"/>
          <w:szCs w:val="20"/>
        </w:rPr>
        <w:t xml:space="preserve"> intentional stopping behaviour </w:t>
      </w:r>
      <w:r w:rsidR="00297871" w:rsidRPr="00362EC0">
        <w:rPr>
          <w:rFonts w:ascii="Arial" w:hAnsi="Arial" w:cs="Arial"/>
          <w:iCs/>
          <w:sz w:val="20"/>
          <w:szCs w:val="20"/>
        </w:rPr>
        <w:t xml:space="preserve">is increased </w:t>
      </w:r>
      <w:r w:rsidR="00F55293" w:rsidRPr="00362EC0">
        <w:rPr>
          <w:rFonts w:ascii="Arial" w:hAnsi="Arial" w:cs="Arial"/>
          <w:iCs/>
          <w:sz w:val="20"/>
          <w:szCs w:val="20"/>
        </w:rPr>
        <w:t xml:space="preserve">when angry facial cues are presented as subliminal primes </w:t>
      </w:r>
      <w:r w:rsidR="0095312B" w:rsidRPr="00362EC0">
        <w:rPr>
          <w:rFonts w:ascii="Arial" w:hAnsi="Arial" w:cs="Arial"/>
          <w:sz w:val="20"/>
          <w:szCs w:val="20"/>
        </w:rPr>
        <w:fldChar w:fldCharType="begin" w:fldLock="1"/>
      </w:r>
      <w:r w:rsidR="00A54558" w:rsidRPr="00362EC0">
        <w:rPr>
          <w:rFonts w:ascii="Arial" w:hAnsi="Arial" w:cs="Arial"/>
          <w:sz w:val="20"/>
          <w:szCs w:val="20"/>
        </w:rPr>
        <w:instrText>ADDIN CSL_CITATION {"citationItems":[{"id":"ITEM-1","itemData":{"ISSN":"1530-7026","author":[{"dropping-particle":"","family":"Parkinson","given":"Jim","non-dropping-particle":"","parse-names":false,"suffix":""},{"dropping-particle":"","family":"Garfinkel","given":"Sarah","non-dropping-particle":"","parse-names":false,"suffix":""},{"dropping-particle":"","family":"Critchley","given":"Hugo","non-dropping-particle":"","parse-names":false,"suffix":""},{"dropping-particle":"","family":"Dienes","given":"Zoltan","non-dropping-particle":"","parse-names":false,"suffix":""},{"dropping-particle":"","family":"Seth","given":"Anil K","non-dropping-particle":"","parse-names":false,"suffix":""}],"container-title":"Cognitive, Affective, &amp; Behavioral Neuroscience","id":"ITEM-1","issue":"2","issued":{"date-parts":[["2017"]]},"page":"252-268","publisher":"Springer","title":"Don’t make me angry, you wouldn’t like me when I’m angry: volitional choices to act or inhibit are modulated by subliminal perception of emotional faces","type":"article-journal","volume":"17"},"uris":["http://www.mendeley.com/documents/?uuid=60ed1a1b-b414-4e07-8f42-edb7c0e923a5"]}],"mendeley":{"formattedCitation":"(Parkinson et al., 2017)","plainTextFormattedCitation":"(Parkinson et al., 2017)","previouslyFormattedCitation":"(Parkinson et al., 2017)"},"properties":{"noteIndex":0},"schema":"https://github.com/citation-style-language/schema/raw/master/csl-citation.json"}</w:instrText>
      </w:r>
      <w:r w:rsidR="0095312B" w:rsidRPr="00362EC0">
        <w:rPr>
          <w:rFonts w:ascii="Arial" w:hAnsi="Arial" w:cs="Arial"/>
          <w:sz w:val="20"/>
          <w:szCs w:val="20"/>
        </w:rPr>
        <w:fldChar w:fldCharType="separate"/>
      </w:r>
      <w:r w:rsidR="00A54558" w:rsidRPr="00362EC0">
        <w:rPr>
          <w:rFonts w:ascii="Arial" w:hAnsi="Arial" w:cs="Arial"/>
          <w:noProof/>
          <w:sz w:val="20"/>
          <w:szCs w:val="20"/>
        </w:rPr>
        <w:t>(Parkinson et al., 2017)</w:t>
      </w:r>
      <w:r w:rsidR="0095312B" w:rsidRPr="00362EC0">
        <w:rPr>
          <w:rFonts w:ascii="Arial" w:hAnsi="Arial" w:cs="Arial"/>
          <w:sz w:val="20"/>
          <w:szCs w:val="20"/>
        </w:rPr>
        <w:fldChar w:fldCharType="end"/>
      </w:r>
      <w:r w:rsidR="00297871" w:rsidRPr="00362EC0">
        <w:rPr>
          <w:rFonts w:ascii="Arial" w:hAnsi="Arial" w:cs="Arial"/>
          <w:sz w:val="20"/>
          <w:szCs w:val="20"/>
        </w:rPr>
        <w:t>.</w:t>
      </w:r>
      <w:r w:rsidR="00EA0028" w:rsidRPr="00362EC0">
        <w:rPr>
          <w:rFonts w:ascii="Arial" w:hAnsi="Arial" w:cs="Arial"/>
          <w:sz w:val="20"/>
          <w:szCs w:val="20"/>
        </w:rPr>
        <w:t xml:space="preserve"> </w:t>
      </w:r>
      <w:r w:rsidR="00297871" w:rsidRPr="00362EC0">
        <w:rPr>
          <w:rFonts w:ascii="Arial" w:hAnsi="Arial" w:cs="Arial"/>
          <w:sz w:val="20"/>
          <w:szCs w:val="20"/>
        </w:rPr>
        <w:t>A</w:t>
      </w:r>
      <w:r w:rsidR="00F55293" w:rsidRPr="00362EC0">
        <w:rPr>
          <w:rFonts w:ascii="Arial" w:hAnsi="Arial" w:cs="Arial"/>
          <w:sz w:val="20"/>
          <w:szCs w:val="20"/>
        </w:rPr>
        <w:t xml:space="preserve">ngry faces </w:t>
      </w:r>
      <w:r w:rsidR="00297871" w:rsidRPr="00362EC0">
        <w:rPr>
          <w:rFonts w:ascii="Arial" w:hAnsi="Arial" w:cs="Arial"/>
          <w:sz w:val="20"/>
          <w:szCs w:val="20"/>
        </w:rPr>
        <w:t xml:space="preserve">are hypothesized to </w:t>
      </w:r>
      <w:r w:rsidR="00F55293" w:rsidRPr="00362EC0">
        <w:rPr>
          <w:rFonts w:ascii="Arial" w:hAnsi="Arial" w:cs="Arial"/>
          <w:sz w:val="20"/>
          <w:szCs w:val="20"/>
        </w:rPr>
        <w:t xml:space="preserve">trigger the aversive system, which in turn increases </w:t>
      </w:r>
      <w:r w:rsidR="00297871" w:rsidRPr="00362EC0">
        <w:rPr>
          <w:rFonts w:ascii="Arial" w:hAnsi="Arial" w:cs="Arial"/>
          <w:sz w:val="20"/>
          <w:szCs w:val="20"/>
        </w:rPr>
        <w:t>stopping behaviours</w:t>
      </w:r>
      <w:r w:rsidR="00F55293" w:rsidRPr="00362EC0">
        <w:rPr>
          <w:rFonts w:ascii="Arial" w:hAnsi="Arial" w:cs="Arial"/>
          <w:sz w:val="20"/>
          <w:szCs w:val="20"/>
        </w:rPr>
        <w:t xml:space="preserve">. In our paradigm, the appetitive system </w:t>
      </w:r>
      <w:r w:rsidR="00803DD8" w:rsidRPr="00362EC0">
        <w:rPr>
          <w:rFonts w:ascii="Arial" w:hAnsi="Arial" w:cs="Arial"/>
          <w:sz w:val="20"/>
          <w:szCs w:val="20"/>
        </w:rPr>
        <w:t>may be</w:t>
      </w:r>
      <w:r w:rsidR="00F55293" w:rsidRPr="00362EC0">
        <w:rPr>
          <w:rFonts w:ascii="Arial" w:hAnsi="Arial" w:cs="Arial"/>
          <w:sz w:val="20"/>
          <w:szCs w:val="20"/>
        </w:rPr>
        <w:t xml:space="preserve"> triggered by the explicitly presented high reward information. During </w:t>
      </w:r>
      <w:r w:rsidR="002D395F">
        <w:rPr>
          <w:rFonts w:ascii="Arial" w:hAnsi="Arial" w:cs="Arial"/>
          <w:sz w:val="20"/>
          <w:szCs w:val="20"/>
        </w:rPr>
        <w:t>C</w:t>
      </w:r>
      <w:r w:rsidR="002D395F" w:rsidRPr="00362EC0">
        <w:rPr>
          <w:rFonts w:ascii="Arial" w:hAnsi="Arial" w:cs="Arial"/>
          <w:sz w:val="20"/>
          <w:szCs w:val="20"/>
        </w:rPr>
        <w:t xml:space="preserve">hoice </w:t>
      </w:r>
      <w:r w:rsidR="00F55293" w:rsidRPr="00362EC0">
        <w:rPr>
          <w:rFonts w:ascii="Arial" w:hAnsi="Arial" w:cs="Arial"/>
          <w:sz w:val="20"/>
          <w:szCs w:val="20"/>
        </w:rPr>
        <w:t xml:space="preserve">trials, participants are not driven by goal-directed behaviours to achieve the reward, since randomness of responses </w:t>
      </w:r>
      <w:r w:rsidR="00803DD8" w:rsidRPr="00362EC0">
        <w:rPr>
          <w:rFonts w:ascii="Arial" w:hAnsi="Arial" w:cs="Arial"/>
          <w:sz w:val="20"/>
          <w:szCs w:val="20"/>
        </w:rPr>
        <w:t xml:space="preserve">rather than performance </w:t>
      </w:r>
      <w:r w:rsidR="00F55293" w:rsidRPr="00362EC0">
        <w:rPr>
          <w:rFonts w:ascii="Arial" w:hAnsi="Arial" w:cs="Arial"/>
          <w:sz w:val="20"/>
          <w:szCs w:val="20"/>
        </w:rPr>
        <w:t xml:space="preserve">was incentivised. </w:t>
      </w:r>
      <w:r w:rsidR="00803DD8" w:rsidRPr="00362EC0">
        <w:rPr>
          <w:rFonts w:ascii="Arial" w:hAnsi="Arial" w:cs="Arial"/>
          <w:sz w:val="20"/>
          <w:szCs w:val="20"/>
        </w:rPr>
        <w:t>Reward incentives may</w:t>
      </w:r>
      <w:r w:rsidR="00F55293" w:rsidRPr="00362EC0">
        <w:rPr>
          <w:rFonts w:ascii="Arial" w:hAnsi="Arial" w:cs="Arial"/>
          <w:sz w:val="20"/>
          <w:szCs w:val="20"/>
        </w:rPr>
        <w:t xml:space="preserve"> trigger the appetitive system, </w:t>
      </w:r>
      <w:r w:rsidR="00803DD8" w:rsidRPr="00362EC0">
        <w:rPr>
          <w:rFonts w:ascii="Arial" w:hAnsi="Arial" w:cs="Arial"/>
          <w:sz w:val="20"/>
          <w:szCs w:val="20"/>
        </w:rPr>
        <w:t>thereby increasing the likelihood of intentional Go responses and suppressing intentional Stop responses.</w:t>
      </w:r>
      <w:r w:rsidR="00EA0028" w:rsidRPr="00362EC0">
        <w:rPr>
          <w:rFonts w:ascii="Arial" w:hAnsi="Arial" w:cs="Arial"/>
          <w:sz w:val="20"/>
          <w:szCs w:val="20"/>
        </w:rPr>
        <w:t xml:space="preserve"> </w:t>
      </w:r>
    </w:p>
    <w:p w14:paraId="29B6F902" w14:textId="015C8C35" w:rsidR="00912BAC" w:rsidRPr="00362EC0" w:rsidRDefault="002B2D0D" w:rsidP="001B3FF2">
      <w:pPr>
        <w:spacing w:after="0" w:line="360" w:lineRule="auto"/>
        <w:ind w:firstLine="720"/>
        <w:contextualSpacing/>
        <w:jc w:val="both"/>
        <w:rPr>
          <w:rFonts w:ascii="Arial" w:hAnsi="Arial" w:cs="Arial"/>
          <w:sz w:val="20"/>
          <w:szCs w:val="20"/>
        </w:rPr>
      </w:pPr>
      <w:r w:rsidRPr="00362EC0">
        <w:rPr>
          <w:rFonts w:ascii="Arial" w:hAnsi="Arial" w:cs="Arial"/>
          <w:color w:val="000000" w:themeColor="text1"/>
          <w:sz w:val="20"/>
          <w:szCs w:val="20"/>
          <w:shd w:val="clear" w:color="auto" w:fill="FFFFFF"/>
        </w:rPr>
        <w:t xml:space="preserve">The IHT-R task is an attempt to </w:t>
      </w:r>
      <w:r w:rsidR="00766E22" w:rsidRPr="00362EC0">
        <w:rPr>
          <w:rFonts w:ascii="Arial" w:hAnsi="Arial" w:cs="Arial"/>
          <w:color w:val="000000" w:themeColor="text1"/>
          <w:sz w:val="20"/>
          <w:szCs w:val="20"/>
          <w:shd w:val="clear" w:color="auto" w:fill="FFFFFF"/>
        </w:rPr>
        <w:t>delineate</w:t>
      </w:r>
      <w:r w:rsidRPr="00362EC0">
        <w:rPr>
          <w:rFonts w:ascii="Arial" w:hAnsi="Arial" w:cs="Arial"/>
          <w:color w:val="000000" w:themeColor="text1"/>
          <w:sz w:val="20"/>
          <w:szCs w:val="20"/>
          <w:shd w:val="clear" w:color="auto" w:fill="FFFFFF"/>
        </w:rPr>
        <w:t xml:space="preserve"> the external signals that might influence the decision the participant must make in the </w:t>
      </w:r>
      <w:r w:rsidR="002D395F">
        <w:rPr>
          <w:rFonts w:ascii="Arial" w:hAnsi="Arial" w:cs="Arial"/>
          <w:color w:val="000000" w:themeColor="text1"/>
          <w:sz w:val="20"/>
          <w:szCs w:val="20"/>
          <w:shd w:val="clear" w:color="auto" w:fill="FFFFFF"/>
        </w:rPr>
        <w:t>C</w:t>
      </w:r>
      <w:r w:rsidR="002D395F" w:rsidRPr="00362EC0">
        <w:rPr>
          <w:rFonts w:ascii="Arial" w:hAnsi="Arial" w:cs="Arial"/>
          <w:color w:val="000000" w:themeColor="text1"/>
          <w:sz w:val="20"/>
          <w:szCs w:val="20"/>
          <w:shd w:val="clear" w:color="auto" w:fill="FFFFFF"/>
        </w:rPr>
        <w:t xml:space="preserve">hoice </w:t>
      </w:r>
      <w:r w:rsidRPr="00362EC0">
        <w:rPr>
          <w:rFonts w:ascii="Arial" w:hAnsi="Arial" w:cs="Arial"/>
          <w:color w:val="000000" w:themeColor="text1"/>
          <w:sz w:val="20"/>
          <w:szCs w:val="20"/>
          <w:shd w:val="clear" w:color="auto" w:fill="FFFFFF"/>
        </w:rPr>
        <w:t xml:space="preserve">trials, while </w:t>
      </w:r>
      <w:r w:rsidR="00AD3DAC" w:rsidRPr="00362EC0">
        <w:rPr>
          <w:rFonts w:ascii="Arial" w:hAnsi="Arial" w:cs="Arial"/>
          <w:color w:val="000000" w:themeColor="text1"/>
          <w:sz w:val="20"/>
          <w:szCs w:val="20"/>
          <w:shd w:val="clear" w:color="auto" w:fill="FFFFFF"/>
        </w:rPr>
        <w:t xml:space="preserve">enabling the measuring of stop </w:t>
      </w:r>
      <w:r w:rsidRPr="00362EC0">
        <w:rPr>
          <w:rFonts w:ascii="Arial" w:hAnsi="Arial" w:cs="Arial"/>
          <w:color w:val="000000" w:themeColor="text1"/>
          <w:sz w:val="20"/>
          <w:szCs w:val="20"/>
          <w:shd w:val="clear" w:color="auto" w:fill="FFFFFF"/>
        </w:rPr>
        <w:t>re</w:t>
      </w:r>
      <w:r w:rsidR="00D25168" w:rsidRPr="00362EC0">
        <w:rPr>
          <w:rFonts w:ascii="Arial" w:hAnsi="Arial" w:cs="Arial"/>
          <w:color w:val="000000" w:themeColor="text1"/>
          <w:sz w:val="20"/>
          <w:szCs w:val="20"/>
          <w:shd w:val="clear" w:color="auto" w:fill="FFFFFF"/>
        </w:rPr>
        <w:t>sponse</w:t>
      </w:r>
      <w:r w:rsidRPr="00362EC0">
        <w:rPr>
          <w:rFonts w:ascii="Arial" w:hAnsi="Arial" w:cs="Arial"/>
          <w:color w:val="000000" w:themeColor="text1"/>
          <w:sz w:val="20"/>
          <w:szCs w:val="20"/>
          <w:shd w:val="clear" w:color="auto" w:fill="FFFFFF"/>
        </w:rPr>
        <w:t xml:space="preserve"> times. </w:t>
      </w:r>
      <w:r w:rsidR="00AD3DAC" w:rsidRPr="00362EC0">
        <w:rPr>
          <w:rFonts w:ascii="Arial" w:hAnsi="Arial" w:cs="Arial"/>
          <w:color w:val="000000" w:themeColor="text1"/>
          <w:sz w:val="20"/>
          <w:szCs w:val="20"/>
          <w:shd w:val="clear" w:color="auto" w:fill="FFFFFF"/>
        </w:rPr>
        <w:t xml:space="preserve">The addition of reward incentives as investigated here, is one way to </w:t>
      </w:r>
      <w:r w:rsidR="00766E22" w:rsidRPr="00362EC0">
        <w:rPr>
          <w:rFonts w:ascii="Arial" w:hAnsi="Arial" w:cs="Arial"/>
          <w:color w:val="000000" w:themeColor="text1"/>
          <w:sz w:val="20"/>
          <w:szCs w:val="20"/>
          <w:shd w:val="clear" w:color="auto" w:fill="FFFFFF"/>
        </w:rPr>
        <w:t>research</w:t>
      </w:r>
      <w:r w:rsidR="00AD3DAC" w:rsidRPr="00362EC0">
        <w:rPr>
          <w:rFonts w:ascii="Arial" w:hAnsi="Arial" w:cs="Arial"/>
          <w:color w:val="000000" w:themeColor="text1"/>
          <w:sz w:val="20"/>
          <w:szCs w:val="20"/>
          <w:shd w:val="clear" w:color="auto" w:fill="FFFFFF"/>
        </w:rPr>
        <w:t xml:space="preserve"> intentional inhibition in a more ecological manner, as actions and inactions are often performed in the presence of signals that have incentive value associated with them.  </w:t>
      </w:r>
      <w:r w:rsidRPr="00362EC0">
        <w:rPr>
          <w:rFonts w:ascii="Arial" w:hAnsi="Arial" w:cs="Arial"/>
          <w:color w:val="000000" w:themeColor="text1"/>
          <w:sz w:val="20"/>
          <w:szCs w:val="20"/>
          <w:shd w:val="clear" w:color="auto" w:fill="FFFFFF"/>
        </w:rPr>
        <w:t xml:space="preserve">Further </w:t>
      </w:r>
      <w:r w:rsidR="00766E22" w:rsidRPr="00362EC0">
        <w:rPr>
          <w:rFonts w:ascii="Arial" w:hAnsi="Arial" w:cs="Arial"/>
          <w:color w:val="000000" w:themeColor="text1"/>
          <w:sz w:val="20"/>
          <w:szCs w:val="20"/>
          <w:shd w:val="clear" w:color="auto" w:fill="FFFFFF"/>
        </w:rPr>
        <w:t>adaptions</w:t>
      </w:r>
      <w:r w:rsidRPr="00362EC0">
        <w:rPr>
          <w:rFonts w:ascii="Arial" w:hAnsi="Arial" w:cs="Arial"/>
          <w:color w:val="000000" w:themeColor="text1"/>
          <w:sz w:val="20"/>
          <w:szCs w:val="20"/>
          <w:shd w:val="clear" w:color="auto" w:fill="FFFFFF"/>
        </w:rPr>
        <w:t xml:space="preserve"> may choose </w:t>
      </w:r>
      <w:r w:rsidR="00AD3DAC" w:rsidRPr="00362EC0">
        <w:rPr>
          <w:rFonts w:ascii="Arial" w:hAnsi="Arial" w:cs="Arial"/>
          <w:color w:val="000000" w:themeColor="text1"/>
          <w:sz w:val="20"/>
          <w:szCs w:val="20"/>
          <w:shd w:val="clear" w:color="auto" w:fill="FFFFFF"/>
        </w:rPr>
        <w:t xml:space="preserve">to induce or assess biases by means of varying the in/compatibility of the presented Cues and associated instructions, the pictorial content of the target location, introduce subconscious prime presentation or similar </w:t>
      </w:r>
      <w:r w:rsidR="002D395F">
        <w:rPr>
          <w:rFonts w:ascii="Arial" w:hAnsi="Arial" w:cs="Arial"/>
          <w:color w:val="000000" w:themeColor="text1"/>
          <w:sz w:val="20"/>
          <w:szCs w:val="20"/>
          <w:shd w:val="clear" w:color="auto" w:fill="FFFFFF"/>
        </w:rPr>
        <w:t xml:space="preserve">experimental manipulations </w:t>
      </w:r>
      <w:r w:rsidR="00AD3DAC" w:rsidRPr="00362EC0">
        <w:rPr>
          <w:rFonts w:ascii="Arial" w:hAnsi="Arial" w:cs="Arial"/>
          <w:color w:val="000000" w:themeColor="text1"/>
          <w:sz w:val="20"/>
          <w:szCs w:val="20"/>
          <w:shd w:val="clear" w:color="auto" w:fill="FFFFFF"/>
        </w:rPr>
        <w:t xml:space="preserve">to assess the effects on stopping ability and performance. </w:t>
      </w:r>
      <w:r w:rsidR="00255D96" w:rsidRPr="00362EC0">
        <w:rPr>
          <w:rFonts w:ascii="Arial" w:hAnsi="Arial" w:cs="Arial"/>
          <w:sz w:val="20"/>
          <w:szCs w:val="20"/>
        </w:rPr>
        <w:t>The current study is not without limitations.</w:t>
      </w:r>
      <w:r w:rsidR="00FD401E" w:rsidRPr="00362EC0">
        <w:rPr>
          <w:rFonts w:ascii="Arial" w:hAnsi="Arial" w:cs="Arial"/>
          <w:sz w:val="20"/>
          <w:szCs w:val="20"/>
        </w:rPr>
        <w:t xml:space="preserve"> </w:t>
      </w:r>
      <w:r w:rsidR="00EE66B6" w:rsidRPr="00362EC0">
        <w:rPr>
          <w:rFonts w:ascii="Arial" w:hAnsi="Arial" w:cs="Arial"/>
          <w:sz w:val="20"/>
          <w:szCs w:val="20"/>
        </w:rPr>
        <w:t>This novel</w:t>
      </w:r>
      <w:r w:rsidR="00255D96" w:rsidRPr="00362EC0">
        <w:rPr>
          <w:rFonts w:ascii="Arial" w:hAnsi="Arial" w:cs="Arial"/>
          <w:sz w:val="20"/>
          <w:szCs w:val="20"/>
        </w:rPr>
        <w:t xml:space="preserve"> task measur</w:t>
      </w:r>
      <w:r w:rsidR="00EE66B6" w:rsidRPr="00362EC0">
        <w:rPr>
          <w:rFonts w:ascii="Arial" w:hAnsi="Arial" w:cs="Arial"/>
          <w:sz w:val="20"/>
          <w:szCs w:val="20"/>
        </w:rPr>
        <w:t>es</w:t>
      </w:r>
      <w:r w:rsidR="00255D96" w:rsidRPr="00362EC0">
        <w:rPr>
          <w:rFonts w:ascii="Arial" w:hAnsi="Arial" w:cs="Arial"/>
          <w:sz w:val="20"/>
          <w:szCs w:val="20"/>
        </w:rPr>
        <w:t xml:space="preserve"> response times to instructed Go and Stop as well as response times to Choice trials. The task itself requires hardware, such as a sliding board </w:t>
      </w:r>
      <w:r w:rsidR="002D395F">
        <w:rPr>
          <w:rFonts w:ascii="Arial" w:hAnsi="Arial" w:cs="Arial"/>
          <w:sz w:val="20"/>
          <w:szCs w:val="20"/>
        </w:rPr>
        <w:t>that</w:t>
      </w:r>
      <w:r w:rsidR="002D395F" w:rsidRPr="00362EC0">
        <w:rPr>
          <w:rFonts w:ascii="Arial" w:hAnsi="Arial" w:cs="Arial"/>
          <w:sz w:val="20"/>
          <w:szCs w:val="20"/>
        </w:rPr>
        <w:t xml:space="preserve"> </w:t>
      </w:r>
      <w:r w:rsidR="00255D96" w:rsidRPr="00362EC0">
        <w:rPr>
          <w:rFonts w:ascii="Arial" w:hAnsi="Arial" w:cs="Arial"/>
          <w:sz w:val="20"/>
          <w:szCs w:val="20"/>
        </w:rPr>
        <w:t>allow</w:t>
      </w:r>
      <w:r w:rsidR="002D395F">
        <w:rPr>
          <w:rFonts w:ascii="Arial" w:hAnsi="Arial" w:cs="Arial"/>
          <w:sz w:val="20"/>
          <w:szCs w:val="20"/>
        </w:rPr>
        <w:t>s</w:t>
      </w:r>
      <w:r w:rsidR="00255D96" w:rsidRPr="00362EC0">
        <w:rPr>
          <w:rFonts w:ascii="Arial" w:hAnsi="Arial" w:cs="Arial"/>
          <w:sz w:val="20"/>
          <w:szCs w:val="20"/>
        </w:rPr>
        <w:t xml:space="preserve"> only horizontal mouse movements. </w:t>
      </w:r>
      <w:r w:rsidR="00EE66B6" w:rsidRPr="00362EC0">
        <w:rPr>
          <w:rFonts w:ascii="Arial" w:hAnsi="Arial" w:cs="Arial"/>
          <w:sz w:val="20"/>
          <w:szCs w:val="20"/>
        </w:rPr>
        <w:t xml:space="preserve">To capture stop response times, </w:t>
      </w:r>
      <w:r w:rsidR="00255D96" w:rsidRPr="00362EC0">
        <w:rPr>
          <w:rFonts w:ascii="Arial" w:hAnsi="Arial" w:cs="Arial"/>
          <w:sz w:val="20"/>
          <w:szCs w:val="20"/>
        </w:rPr>
        <w:t xml:space="preserve">an ongoing movement first has to be initiated before response times of its inhibition </w:t>
      </w:r>
      <w:r w:rsidR="007F6F18" w:rsidRPr="00362EC0">
        <w:rPr>
          <w:rFonts w:ascii="Arial" w:hAnsi="Arial" w:cs="Arial"/>
          <w:sz w:val="20"/>
          <w:szCs w:val="20"/>
        </w:rPr>
        <w:t>can be</w:t>
      </w:r>
      <w:r w:rsidR="00255D96" w:rsidRPr="00362EC0">
        <w:rPr>
          <w:rFonts w:ascii="Arial" w:hAnsi="Arial" w:cs="Arial"/>
          <w:sz w:val="20"/>
          <w:szCs w:val="20"/>
        </w:rPr>
        <w:t xml:space="preserve"> measured. This requires participants to carry out a number of left to right movement</w:t>
      </w:r>
      <w:r w:rsidR="00EE66B6" w:rsidRPr="00362EC0">
        <w:rPr>
          <w:rFonts w:ascii="Arial" w:hAnsi="Arial" w:cs="Arial"/>
          <w:sz w:val="20"/>
          <w:szCs w:val="20"/>
        </w:rPr>
        <w:t>s with their right arm</w:t>
      </w:r>
      <w:r w:rsidR="00255D96" w:rsidRPr="00362EC0">
        <w:rPr>
          <w:rFonts w:ascii="Arial" w:hAnsi="Arial" w:cs="Arial"/>
          <w:sz w:val="20"/>
          <w:szCs w:val="20"/>
        </w:rPr>
        <w:t xml:space="preserve"> and might not be suitable for participants </w:t>
      </w:r>
      <w:r w:rsidR="00EE66B6" w:rsidRPr="00362EC0">
        <w:rPr>
          <w:rFonts w:ascii="Arial" w:hAnsi="Arial" w:cs="Arial"/>
          <w:sz w:val="20"/>
          <w:szCs w:val="20"/>
        </w:rPr>
        <w:t>with motor disorders, fatigue, weakness,</w:t>
      </w:r>
      <w:r w:rsidR="00255D96" w:rsidRPr="00362EC0">
        <w:rPr>
          <w:rFonts w:ascii="Arial" w:hAnsi="Arial" w:cs="Arial"/>
          <w:sz w:val="20"/>
          <w:szCs w:val="20"/>
        </w:rPr>
        <w:t xml:space="preserve"> or low levels of physical fitness.</w:t>
      </w:r>
      <w:r w:rsidRPr="00362EC0">
        <w:rPr>
          <w:rFonts w:ascii="Arial" w:hAnsi="Arial" w:cs="Arial"/>
          <w:sz w:val="20"/>
          <w:szCs w:val="20"/>
        </w:rPr>
        <w:t xml:space="preserve"> </w:t>
      </w:r>
      <w:r w:rsidR="00B43F20" w:rsidRPr="00362EC0">
        <w:rPr>
          <w:rFonts w:ascii="Arial" w:hAnsi="Arial" w:cs="Arial"/>
          <w:sz w:val="20"/>
          <w:szCs w:val="20"/>
        </w:rPr>
        <w:t>Further, o</w:t>
      </w:r>
      <w:r w:rsidR="00D005AC" w:rsidRPr="00362EC0">
        <w:rPr>
          <w:rFonts w:ascii="Arial" w:hAnsi="Arial" w:cs="Arial"/>
          <w:sz w:val="20"/>
          <w:szCs w:val="20"/>
        </w:rPr>
        <w:t>ur</w:t>
      </w:r>
      <w:r w:rsidR="00EA0028" w:rsidRPr="00362EC0">
        <w:rPr>
          <w:rFonts w:ascii="Arial" w:hAnsi="Arial" w:cs="Arial"/>
          <w:sz w:val="20"/>
          <w:szCs w:val="20"/>
        </w:rPr>
        <w:t xml:space="preserve"> </w:t>
      </w:r>
      <w:r w:rsidR="00255D96" w:rsidRPr="00362EC0">
        <w:rPr>
          <w:rFonts w:ascii="Arial" w:hAnsi="Arial" w:cs="Arial"/>
          <w:sz w:val="20"/>
          <w:szCs w:val="20"/>
        </w:rPr>
        <w:t>percentage</w:t>
      </w:r>
      <w:r w:rsidR="009F3298" w:rsidRPr="00362EC0">
        <w:rPr>
          <w:rFonts w:ascii="Arial" w:hAnsi="Arial" w:cs="Arial"/>
          <w:sz w:val="20"/>
          <w:szCs w:val="20"/>
        </w:rPr>
        <w:t>s</w:t>
      </w:r>
      <w:r w:rsidR="00D005AC" w:rsidRPr="00362EC0">
        <w:rPr>
          <w:rFonts w:ascii="Arial" w:hAnsi="Arial" w:cs="Arial"/>
          <w:sz w:val="20"/>
          <w:szCs w:val="20"/>
        </w:rPr>
        <w:t xml:space="preserve"> of</w:t>
      </w:r>
      <w:r w:rsidR="00255D96" w:rsidRPr="00362EC0">
        <w:rPr>
          <w:rFonts w:ascii="Arial" w:hAnsi="Arial" w:cs="Arial"/>
          <w:sz w:val="20"/>
          <w:szCs w:val="20"/>
        </w:rPr>
        <w:t xml:space="preserve"> instructed Go </w:t>
      </w:r>
      <w:r w:rsidR="002D395F">
        <w:rPr>
          <w:rFonts w:ascii="Arial" w:hAnsi="Arial" w:cs="Arial"/>
          <w:sz w:val="20"/>
          <w:szCs w:val="20"/>
        </w:rPr>
        <w:t>e</w:t>
      </w:r>
      <w:r w:rsidR="002D395F" w:rsidRPr="00362EC0">
        <w:rPr>
          <w:rFonts w:ascii="Arial" w:hAnsi="Arial" w:cs="Arial"/>
          <w:sz w:val="20"/>
          <w:szCs w:val="20"/>
        </w:rPr>
        <w:t xml:space="preserve">rror </w:t>
      </w:r>
      <w:r w:rsidR="00255D96" w:rsidRPr="00362EC0">
        <w:rPr>
          <w:rFonts w:ascii="Arial" w:hAnsi="Arial" w:cs="Arial"/>
          <w:sz w:val="20"/>
          <w:szCs w:val="20"/>
        </w:rPr>
        <w:t>rates in the IHT are higher than previously reported for standard Go/</w:t>
      </w:r>
      <w:r w:rsidR="00251670" w:rsidRPr="00362EC0">
        <w:rPr>
          <w:rFonts w:ascii="Arial" w:hAnsi="Arial" w:cs="Arial"/>
          <w:sz w:val="20"/>
          <w:szCs w:val="20"/>
        </w:rPr>
        <w:t>No-go</w:t>
      </w:r>
      <w:r w:rsidR="00255D96" w:rsidRPr="00362EC0">
        <w:rPr>
          <w:rFonts w:ascii="Arial" w:hAnsi="Arial" w:cs="Arial"/>
          <w:sz w:val="20"/>
          <w:szCs w:val="20"/>
        </w:rPr>
        <w:t xml:space="preserve"> paradigms, which usually suffer from ceiling effects for Go </w:t>
      </w:r>
      <w:r w:rsidR="00061A25" w:rsidRPr="00362EC0">
        <w:rPr>
          <w:rFonts w:ascii="Arial" w:hAnsi="Arial" w:cs="Arial"/>
          <w:sz w:val="20"/>
          <w:szCs w:val="20"/>
        </w:rPr>
        <w:t xml:space="preserve">and </w:t>
      </w:r>
      <w:r w:rsidR="00251670" w:rsidRPr="00362EC0">
        <w:rPr>
          <w:rFonts w:ascii="Arial" w:hAnsi="Arial" w:cs="Arial"/>
          <w:sz w:val="20"/>
          <w:szCs w:val="20"/>
        </w:rPr>
        <w:t>No-go</w:t>
      </w:r>
      <w:r w:rsidR="00061A25" w:rsidRPr="00362EC0">
        <w:rPr>
          <w:rFonts w:ascii="Arial" w:hAnsi="Arial" w:cs="Arial"/>
          <w:sz w:val="20"/>
          <w:szCs w:val="20"/>
        </w:rPr>
        <w:t xml:space="preserve"> </w:t>
      </w:r>
      <w:r w:rsidR="00255D96" w:rsidRPr="00362EC0">
        <w:rPr>
          <w:rFonts w:ascii="Arial" w:hAnsi="Arial" w:cs="Arial"/>
          <w:sz w:val="20"/>
          <w:szCs w:val="20"/>
        </w:rPr>
        <w:t>accuracy</w:t>
      </w:r>
      <w:r w:rsidR="00061A25" w:rsidRPr="00362EC0">
        <w:rPr>
          <w:rFonts w:ascii="Arial" w:hAnsi="Arial" w:cs="Arial"/>
          <w:sz w:val="20"/>
          <w:szCs w:val="20"/>
        </w:rPr>
        <w:t xml:space="preserve"> </w:t>
      </w:r>
      <w:r w:rsidR="0095312B" w:rsidRPr="00362EC0">
        <w:rPr>
          <w:rFonts w:ascii="Arial" w:hAnsi="Arial" w:cs="Arial"/>
          <w:sz w:val="20"/>
          <w:szCs w:val="20"/>
        </w:rPr>
        <w:fldChar w:fldCharType="begin" w:fldLock="1"/>
      </w:r>
      <w:r w:rsidR="00A54558" w:rsidRPr="00362EC0">
        <w:rPr>
          <w:rFonts w:ascii="Arial" w:hAnsi="Arial" w:cs="Arial"/>
          <w:sz w:val="20"/>
          <w:szCs w:val="20"/>
        </w:rPr>
        <w:instrText>ADDIN CSL_CITATION {"citationItems":[{"id":"ITEM-1","itemData":{"ISSN":"0269-8811","author":[{"dropping-particle":"","family":"Lythe","given":"K E","non-dropping-particle":"","parse-names":false,"suffix":""},{"dropping-particle":"","family":"Anderson","given":"I M","non-dropping-particle":"","parse-names":false,"suffix":""},{"dropping-particle":"","family":"Deakin","given":"J F W","non-dropping-particle":"","parse-names":false,"suffix":""},{"dropping-particle":"","family":"Elliott","given":"R","non-dropping-particle":"","parse-names":false,"suffix":""},{"dropping-particle":"","family":"Strickland","given":"P L","non-dropping-particle":"","parse-names":false,"suffix":""}],"container-title":"Journal of Psychopharmacology","id":"ITEM-1","issue":"1","issued":{"date-parts":[["2005"]]},"page":"5-11","publisher":"Sage Publications Sage CA: Thousand Oaks, CA","title":"Lack of behavioural effects after acute tyrosine depletion in healthy volunteers","type":"article-journal","volume":"19"},"uris":["http://www.mendeley.com/documents/?uuid=76963161-4620-42ff-a91d-a39be3c75bc8"]}],"mendeley":{"formattedCitation":"(Lythe et al., 2005)","plainTextFormattedCitation":"(Lythe et al., 2005)","previouslyFormattedCitation":"(Lythe et al., 2005)"},"properties":{"noteIndex":0},"schema":"https://github.com/citation-style-language/schema/raw/master/csl-citation.json"}</w:instrText>
      </w:r>
      <w:r w:rsidR="0095312B" w:rsidRPr="00362EC0">
        <w:rPr>
          <w:rFonts w:ascii="Arial" w:hAnsi="Arial" w:cs="Arial"/>
          <w:sz w:val="20"/>
          <w:szCs w:val="20"/>
        </w:rPr>
        <w:fldChar w:fldCharType="separate"/>
      </w:r>
      <w:r w:rsidR="00A54558" w:rsidRPr="00362EC0">
        <w:rPr>
          <w:rFonts w:ascii="Arial" w:hAnsi="Arial" w:cs="Arial"/>
          <w:noProof/>
          <w:sz w:val="20"/>
          <w:szCs w:val="20"/>
        </w:rPr>
        <w:t>(Lythe et al., 2005)</w:t>
      </w:r>
      <w:r w:rsidR="0095312B" w:rsidRPr="00362EC0">
        <w:rPr>
          <w:rFonts w:ascii="Arial" w:hAnsi="Arial" w:cs="Arial"/>
          <w:sz w:val="20"/>
          <w:szCs w:val="20"/>
        </w:rPr>
        <w:fldChar w:fldCharType="end"/>
      </w:r>
      <w:r w:rsidR="00061A25" w:rsidRPr="00362EC0">
        <w:rPr>
          <w:rFonts w:ascii="Arial" w:hAnsi="Arial" w:cs="Arial"/>
          <w:sz w:val="20"/>
          <w:szCs w:val="20"/>
        </w:rPr>
        <w:t xml:space="preserve">. While </w:t>
      </w:r>
      <w:r w:rsidR="00D005AC" w:rsidRPr="00362EC0">
        <w:rPr>
          <w:rFonts w:ascii="Arial" w:hAnsi="Arial" w:cs="Arial"/>
          <w:sz w:val="20"/>
          <w:szCs w:val="20"/>
        </w:rPr>
        <w:t xml:space="preserve">this </w:t>
      </w:r>
      <w:r w:rsidR="00B43F20" w:rsidRPr="00362EC0">
        <w:rPr>
          <w:rFonts w:ascii="Arial" w:hAnsi="Arial" w:cs="Arial"/>
          <w:sz w:val="20"/>
          <w:szCs w:val="20"/>
        </w:rPr>
        <w:t>variation in instructed</w:t>
      </w:r>
      <w:r w:rsidR="00061A25" w:rsidRPr="00362EC0">
        <w:rPr>
          <w:rFonts w:ascii="Arial" w:hAnsi="Arial" w:cs="Arial"/>
          <w:sz w:val="20"/>
          <w:szCs w:val="20"/>
        </w:rPr>
        <w:t xml:space="preserve"> Go accuracy rates allow</w:t>
      </w:r>
      <w:r w:rsidR="00D005AC" w:rsidRPr="00362EC0">
        <w:rPr>
          <w:rFonts w:ascii="Arial" w:hAnsi="Arial" w:cs="Arial"/>
          <w:sz w:val="20"/>
          <w:szCs w:val="20"/>
        </w:rPr>
        <w:t>s</w:t>
      </w:r>
      <w:r w:rsidR="00061A25" w:rsidRPr="00362EC0">
        <w:rPr>
          <w:rFonts w:ascii="Arial" w:hAnsi="Arial" w:cs="Arial"/>
          <w:sz w:val="20"/>
          <w:szCs w:val="20"/>
        </w:rPr>
        <w:t xml:space="preserve"> us to investigate the effect of reward types on instructed Go accuracy, </w:t>
      </w:r>
      <w:r w:rsidR="0085759A" w:rsidRPr="00362EC0">
        <w:rPr>
          <w:rFonts w:ascii="Arial" w:hAnsi="Arial" w:cs="Arial"/>
          <w:sz w:val="20"/>
          <w:szCs w:val="20"/>
        </w:rPr>
        <w:t>i</w:t>
      </w:r>
      <w:r w:rsidR="00061A25" w:rsidRPr="00362EC0">
        <w:rPr>
          <w:rFonts w:ascii="Arial" w:hAnsi="Arial" w:cs="Arial"/>
          <w:sz w:val="20"/>
          <w:szCs w:val="20"/>
        </w:rPr>
        <w:t xml:space="preserve">naccurate instructed Go trials can arise from two task-based components. First, participants </w:t>
      </w:r>
      <w:r w:rsidR="0085759A" w:rsidRPr="00362EC0">
        <w:rPr>
          <w:rFonts w:ascii="Arial" w:hAnsi="Arial" w:cs="Arial"/>
          <w:sz w:val="20"/>
          <w:szCs w:val="20"/>
        </w:rPr>
        <w:t xml:space="preserve">are asked to process the information conveyed by </w:t>
      </w:r>
      <w:r w:rsidR="00AC3B5D" w:rsidRPr="00362EC0">
        <w:rPr>
          <w:rFonts w:ascii="Arial" w:hAnsi="Arial" w:cs="Arial"/>
          <w:sz w:val="20"/>
          <w:szCs w:val="20"/>
        </w:rPr>
        <w:t xml:space="preserve">the </w:t>
      </w:r>
      <w:r w:rsidR="0085759A" w:rsidRPr="00362EC0">
        <w:rPr>
          <w:rFonts w:ascii="Arial" w:hAnsi="Arial" w:cs="Arial"/>
          <w:sz w:val="20"/>
          <w:szCs w:val="20"/>
        </w:rPr>
        <w:t>cue</w:t>
      </w:r>
      <w:r w:rsidR="001E7E90" w:rsidRPr="00362EC0">
        <w:rPr>
          <w:rFonts w:ascii="Arial" w:hAnsi="Arial" w:cs="Arial"/>
          <w:sz w:val="20"/>
          <w:szCs w:val="20"/>
        </w:rPr>
        <w:t xml:space="preserve"> (</w:t>
      </w:r>
      <w:r w:rsidR="0085759A" w:rsidRPr="00362EC0">
        <w:rPr>
          <w:rFonts w:ascii="Arial" w:hAnsi="Arial" w:cs="Arial"/>
          <w:sz w:val="20"/>
          <w:szCs w:val="20"/>
        </w:rPr>
        <w:t>which indicates instructed Go, instructed Stop or Choice trials</w:t>
      </w:r>
      <w:r w:rsidR="001E7E90" w:rsidRPr="00362EC0">
        <w:rPr>
          <w:rFonts w:ascii="Arial" w:hAnsi="Arial" w:cs="Arial"/>
          <w:sz w:val="20"/>
          <w:szCs w:val="20"/>
        </w:rPr>
        <w:t>)</w:t>
      </w:r>
      <w:r w:rsidR="0085759A" w:rsidRPr="00362EC0">
        <w:rPr>
          <w:rFonts w:ascii="Arial" w:hAnsi="Arial" w:cs="Arial"/>
          <w:sz w:val="20"/>
          <w:szCs w:val="20"/>
        </w:rPr>
        <w:t xml:space="preserve"> while </w:t>
      </w:r>
      <w:r w:rsidR="00AC3B5D" w:rsidRPr="00362EC0">
        <w:rPr>
          <w:rFonts w:ascii="Arial" w:hAnsi="Arial" w:cs="Arial"/>
          <w:sz w:val="20"/>
          <w:szCs w:val="20"/>
        </w:rPr>
        <w:t xml:space="preserve">continuing </w:t>
      </w:r>
      <w:r w:rsidR="0085759A" w:rsidRPr="00362EC0">
        <w:rPr>
          <w:rFonts w:ascii="Arial" w:hAnsi="Arial" w:cs="Arial"/>
          <w:sz w:val="20"/>
          <w:szCs w:val="20"/>
        </w:rPr>
        <w:t>the already initiated arm mo</w:t>
      </w:r>
      <w:r w:rsidR="00AC3B5D" w:rsidRPr="00362EC0">
        <w:rPr>
          <w:rFonts w:ascii="Arial" w:hAnsi="Arial" w:cs="Arial"/>
          <w:sz w:val="20"/>
          <w:szCs w:val="20"/>
        </w:rPr>
        <w:t>vement</w:t>
      </w:r>
      <w:r w:rsidR="0085759A" w:rsidRPr="00362EC0">
        <w:rPr>
          <w:rFonts w:ascii="Arial" w:hAnsi="Arial" w:cs="Arial"/>
          <w:sz w:val="20"/>
          <w:szCs w:val="20"/>
        </w:rPr>
        <w:t>. For participants w</w:t>
      </w:r>
      <w:r w:rsidR="00AC3B5D" w:rsidRPr="00362EC0">
        <w:rPr>
          <w:rFonts w:ascii="Arial" w:hAnsi="Arial" w:cs="Arial"/>
          <w:sz w:val="20"/>
          <w:szCs w:val="20"/>
        </w:rPr>
        <w:t>ith diminished</w:t>
      </w:r>
      <w:r w:rsidR="0085759A" w:rsidRPr="00362EC0">
        <w:rPr>
          <w:rFonts w:ascii="Arial" w:hAnsi="Arial" w:cs="Arial"/>
          <w:sz w:val="20"/>
          <w:szCs w:val="20"/>
        </w:rPr>
        <w:t xml:space="preserve"> dual task performance</w:t>
      </w:r>
      <w:r w:rsidR="001E7E90" w:rsidRPr="00362EC0">
        <w:rPr>
          <w:rFonts w:ascii="Arial" w:hAnsi="Arial" w:cs="Arial"/>
          <w:sz w:val="20"/>
          <w:szCs w:val="20"/>
        </w:rPr>
        <w:t xml:space="preserve"> </w:t>
      </w:r>
      <w:r w:rsidR="00AC3B5D" w:rsidRPr="00362EC0">
        <w:rPr>
          <w:rFonts w:ascii="Arial" w:hAnsi="Arial" w:cs="Arial"/>
          <w:sz w:val="20"/>
          <w:szCs w:val="20"/>
        </w:rPr>
        <w:t>capacity</w:t>
      </w:r>
      <w:r w:rsidR="0085759A" w:rsidRPr="00362EC0">
        <w:rPr>
          <w:rFonts w:ascii="Arial" w:hAnsi="Arial" w:cs="Arial"/>
          <w:sz w:val="20"/>
          <w:szCs w:val="20"/>
        </w:rPr>
        <w:t>, automatic stopping of the arm movement following the cue presentation can occur and s</w:t>
      </w:r>
      <w:r w:rsidR="00061A25" w:rsidRPr="00362EC0">
        <w:rPr>
          <w:rFonts w:ascii="Arial" w:hAnsi="Arial" w:cs="Arial"/>
          <w:sz w:val="20"/>
          <w:szCs w:val="20"/>
        </w:rPr>
        <w:t>uch trials would count as wrong instructed Go trials, or higher intentional stopping</w:t>
      </w:r>
      <w:r w:rsidR="0085759A" w:rsidRPr="00362EC0">
        <w:rPr>
          <w:rFonts w:ascii="Arial" w:hAnsi="Arial" w:cs="Arial"/>
          <w:sz w:val="20"/>
          <w:szCs w:val="20"/>
        </w:rPr>
        <w:t>, depending on the trial type</w:t>
      </w:r>
      <w:r w:rsidR="00061A25" w:rsidRPr="00362EC0">
        <w:rPr>
          <w:rFonts w:ascii="Arial" w:hAnsi="Arial" w:cs="Arial"/>
          <w:sz w:val="20"/>
          <w:szCs w:val="20"/>
        </w:rPr>
        <w:t>.</w:t>
      </w:r>
      <w:r w:rsidR="0085759A" w:rsidRPr="00362EC0">
        <w:rPr>
          <w:rFonts w:ascii="Arial" w:hAnsi="Arial" w:cs="Arial"/>
          <w:sz w:val="20"/>
          <w:szCs w:val="20"/>
        </w:rPr>
        <w:t xml:space="preserve"> Second, </w:t>
      </w:r>
      <w:r w:rsidR="00176460" w:rsidRPr="00362EC0">
        <w:rPr>
          <w:rFonts w:ascii="Arial" w:hAnsi="Arial" w:cs="Arial"/>
          <w:sz w:val="20"/>
          <w:szCs w:val="20"/>
        </w:rPr>
        <w:t xml:space="preserve">participants might have difficulties in understanding that the left </w:t>
      </w:r>
      <w:r w:rsidR="00AC3B5D" w:rsidRPr="00362EC0">
        <w:rPr>
          <w:rFonts w:ascii="Arial" w:hAnsi="Arial" w:cs="Arial"/>
          <w:sz w:val="20"/>
          <w:szCs w:val="20"/>
        </w:rPr>
        <w:t>border of the square on the</w:t>
      </w:r>
      <w:r w:rsidR="00EA0028" w:rsidRPr="00362EC0">
        <w:rPr>
          <w:rFonts w:ascii="Arial" w:hAnsi="Arial" w:cs="Arial"/>
          <w:sz w:val="20"/>
          <w:szCs w:val="20"/>
        </w:rPr>
        <w:t xml:space="preserve"> </w:t>
      </w:r>
      <w:r w:rsidR="001E7E90" w:rsidRPr="00362EC0">
        <w:rPr>
          <w:rFonts w:ascii="Arial" w:hAnsi="Arial" w:cs="Arial"/>
          <w:sz w:val="20"/>
          <w:szCs w:val="20"/>
        </w:rPr>
        <w:t>far right of the screen</w:t>
      </w:r>
      <w:r w:rsidR="00176460" w:rsidRPr="00362EC0">
        <w:rPr>
          <w:rFonts w:ascii="Arial" w:hAnsi="Arial" w:cs="Arial"/>
          <w:sz w:val="20"/>
          <w:szCs w:val="20"/>
        </w:rPr>
        <w:t xml:space="preserve"> acts as a finishing line that has to be passed</w:t>
      </w:r>
      <w:r w:rsidR="001E7E90" w:rsidRPr="00362EC0">
        <w:rPr>
          <w:rFonts w:ascii="Arial" w:hAnsi="Arial" w:cs="Arial"/>
          <w:sz w:val="20"/>
          <w:szCs w:val="20"/>
        </w:rPr>
        <w:t xml:space="preserve"> completely</w:t>
      </w:r>
      <w:r w:rsidR="00AC3B5D" w:rsidRPr="00362EC0">
        <w:rPr>
          <w:rFonts w:ascii="Arial" w:hAnsi="Arial" w:cs="Arial"/>
          <w:sz w:val="20"/>
          <w:szCs w:val="20"/>
        </w:rPr>
        <w:t xml:space="preserve"> which may have contributed to the higher instructed Go error rates.</w:t>
      </w:r>
      <w:r w:rsidR="00EA0028" w:rsidRPr="00362EC0">
        <w:rPr>
          <w:rFonts w:ascii="Arial" w:hAnsi="Arial" w:cs="Arial"/>
          <w:sz w:val="20"/>
          <w:szCs w:val="20"/>
        </w:rPr>
        <w:t xml:space="preserve"> </w:t>
      </w:r>
      <w:r w:rsidR="00AC3B5D" w:rsidRPr="00362EC0">
        <w:rPr>
          <w:rFonts w:ascii="Arial" w:hAnsi="Arial" w:cs="Arial"/>
          <w:sz w:val="20"/>
          <w:szCs w:val="20"/>
        </w:rPr>
        <w:t>We</w:t>
      </w:r>
      <w:r w:rsidR="00176460" w:rsidRPr="00362EC0">
        <w:rPr>
          <w:rFonts w:ascii="Arial" w:hAnsi="Arial" w:cs="Arial"/>
          <w:sz w:val="20"/>
          <w:szCs w:val="20"/>
        </w:rPr>
        <w:t xml:space="preserve"> therefore advise future task</w:t>
      </w:r>
      <w:r w:rsidR="00AC3B5D" w:rsidRPr="00362EC0">
        <w:rPr>
          <w:rFonts w:ascii="Arial" w:hAnsi="Arial" w:cs="Arial"/>
          <w:sz w:val="20"/>
          <w:szCs w:val="20"/>
        </w:rPr>
        <w:t>s</w:t>
      </w:r>
      <w:r w:rsidR="00176460" w:rsidRPr="00362EC0">
        <w:rPr>
          <w:rFonts w:ascii="Arial" w:hAnsi="Arial" w:cs="Arial"/>
          <w:sz w:val="20"/>
          <w:szCs w:val="20"/>
        </w:rPr>
        <w:t xml:space="preserve"> to mark the destination by a finishing line instead of a box, since this change might </w:t>
      </w:r>
      <w:r w:rsidR="00B2251B" w:rsidRPr="00362EC0">
        <w:rPr>
          <w:rFonts w:ascii="Arial" w:hAnsi="Arial" w:cs="Arial"/>
          <w:sz w:val="20"/>
          <w:szCs w:val="20"/>
        </w:rPr>
        <w:t xml:space="preserve">increase </w:t>
      </w:r>
      <w:r w:rsidR="00176460" w:rsidRPr="00362EC0">
        <w:rPr>
          <w:rFonts w:ascii="Arial" w:hAnsi="Arial" w:cs="Arial"/>
          <w:sz w:val="20"/>
          <w:szCs w:val="20"/>
        </w:rPr>
        <w:t xml:space="preserve">the understanding of the target location for Go trials. </w:t>
      </w:r>
      <w:r w:rsidR="00B2251B" w:rsidRPr="00362EC0">
        <w:rPr>
          <w:rFonts w:ascii="Arial" w:hAnsi="Arial" w:cs="Arial"/>
          <w:sz w:val="20"/>
          <w:szCs w:val="20"/>
        </w:rPr>
        <w:t xml:space="preserve">Similarly, Go accuracy and Stop trial difficulty can be enhanced by diminishing the distance between Cue and target location. </w:t>
      </w:r>
      <w:r w:rsidR="00176460" w:rsidRPr="00362EC0">
        <w:rPr>
          <w:rFonts w:ascii="Arial" w:hAnsi="Arial" w:cs="Arial"/>
          <w:sz w:val="20"/>
          <w:szCs w:val="20"/>
        </w:rPr>
        <w:t xml:space="preserve">However, the physical appearance of the target location and the demands for dual processing </w:t>
      </w:r>
      <w:r w:rsidR="00B2251B" w:rsidRPr="00362EC0">
        <w:rPr>
          <w:rFonts w:ascii="Arial" w:hAnsi="Arial" w:cs="Arial"/>
          <w:sz w:val="20"/>
          <w:szCs w:val="20"/>
        </w:rPr>
        <w:t xml:space="preserve">were </w:t>
      </w:r>
      <w:r w:rsidR="00176460" w:rsidRPr="00362EC0">
        <w:rPr>
          <w:rFonts w:ascii="Arial" w:hAnsi="Arial" w:cs="Arial"/>
          <w:sz w:val="20"/>
          <w:szCs w:val="20"/>
        </w:rPr>
        <w:t xml:space="preserve">constant across reward types and therefore </w:t>
      </w:r>
      <w:r w:rsidR="00AC3B5D" w:rsidRPr="00362EC0">
        <w:rPr>
          <w:rFonts w:ascii="Arial" w:hAnsi="Arial" w:cs="Arial"/>
          <w:sz w:val="20"/>
          <w:szCs w:val="20"/>
        </w:rPr>
        <w:t>should</w:t>
      </w:r>
      <w:r w:rsidR="00176460" w:rsidRPr="00362EC0">
        <w:rPr>
          <w:rFonts w:ascii="Arial" w:hAnsi="Arial" w:cs="Arial"/>
          <w:sz w:val="20"/>
          <w:szCs w:val="20"/>
        </w:rPr>
        <w:t xml:space="preserve"> not</w:t>
      </w:r>
      <w:r w:rsidR="00AC3B5D" w:rsidRPr="00362EC0">
        <w:rPr>
          <w:rFonts w:ascii="Arial" w:hAnsi="Arial" w:cs="Arial"/>
          <w:sz w:val="20"/>
          <w:szCs w:val="20"/>
        </w:rPr>
        <w:t xml:space="preserve"> have</w:t>
      </w:r>
      <w:r w:rsidR="00176460" w:rsidRPr="00362EC0">
        <w:rPr>
          <w:rFonts w:ascii="Arial" w:hAnsi="Arial" w:cs="Arial"/>
          <w:sz w:val="20"/>
          <w:szCs w:val="20"/>
        </w:rPr>
        <w:t xml:space="preserve"> influence</w:t>
      </w:r>
      <w:r w:rsidR="00AC3B5D" w:rsidRPr="00362EC0">
        <w:rPr>
          <w:rFonts w:ascii="Arial" w:hAnsi="Arial" w:cs="Arial"/>
          <w:sz w:val="20"/>
          <w:szCs w:val="20"/>
        </w:rPr>
        <w:t>d</w:t>
      </w:r>
      <w:r w:rsidR="00176460" w:rsidRPr="00362EC0">
        <w:rPr>
          <w:rFonts w:ascii="Arial" w:hAnsi="Arial" w:cs="Arial"/>
          <w:sz w:val="20"/>
          <w:szCs w:val="20"/>
        </w:rPr>
        <w:t xml:space="preserve"> the reported findings on the influence of reward type on performance.</w:t>
      </w:r>
    </w:p>
    <w:p w14:paraId="56C9771E" w14:textId="390BD048" w:rsidR="00B43F20" w:rsidRPr="00362EC0" w:rsidRDefault="009F3298" w:rsidP="001B3FF2">
      <w:pPr>
        <w:spacing w:after="0" w:line="360" w:lineRule="auto"/>
        <w:ind w:firstLine="720"/>
        <w:contextualSpacing/>
        <w:jc w:val="both"/>
        <w:rPr>
          <w:rFonts w:ascii="Arial" w:hAnsi="Arial" w:cs="Arial"/>
          <w:sz w:val="20"/>
          <w:szCs w:val="20"/>
        </w:rPr>
      </w:pPr>
      <w:bookmarkStart w:id="17" w:name="_Hlk49425348"/>
      <w:r w:rsidRPr="00362EC0">
        <w:rPr>
          <w:rFonts w:ascii="Arial" w:eastAsia="Times New Roman" w:hAnsi="Arial" w:cs="Arial"/>
          <w:sz w:val="20"/>
          <w:szCs w:val="20"/>
          <w:lang w:eastAsia="de-DE"/>
        </w:rPr>
        <w:lastRenderedPageBreak/>
        <w:t>The IHT has the unique advantage of explicitly measuring the response times associated with both stopping and fulfilling an action, whether externally or internally guided. The provided measures include the speed of stopping, the average speed following the Cue, as well as the distance till the motion was stopped, but can be further extended to measuring the full motion x time profile. Each feature of the inhibition trials has the potential to be differently affected depending on pre-existing or experimentally induced biases and the IHT might therefore be particularly relevant in studying disorders of inhibition, such as for example Attention-Deficit/Hyperactivity Disorder and bipolar disorder. Similarly, these measurable aspects of inhibition might further our understanding of the influences common experimental manipulations have on the stopping process. Recently, aversive pictures presented before trial onset were shown to not impact No-Go error rates, while reducing SSRTs</w:t>
      </w:r>
      <w:r w:rsidR="0018716F">
        <w:rPr>
          <w:rFonts w:ascii="Arial" w:eastAsia="Times New Roman" w:hAnsi="Arial" w:cs="Arial"/>
          <w:sz w:val="20"/>
          <w:szCs w:val="20"/>
          <w:lang w:eastAsia="de-DE"/>
        </w:rPr>
        <w:t xml:space="preserve"> </w:t>
      </w:r>
      <w:r w:rsidR="0018716F">
        <w:rPr>
          <w:rFonts w:ascii="Arial" w:eastAsia="Times New Roman" w:hAnsi="Arial" w:cs="Arial"/>
          <w:sz w:val="20"/>
          <w:szCs w:val="20"/>
          <w:lang w:eastAsia="de-DE"/>
        </w:rPr>
        <w:fldChar w:fldCharType="begin" w:fldLock="1"/>
      </w:r>
      <w:r w:rsidR="00134DD3">
        <w:rPr>
          <w:rFonts w:ascii="Arial" w:eastAsia="Times New Roman" w:hAnsi="Arial" w:cs="Arial"/>
          <w:sz w:val="20"/>
          <w:szCs w:val="20"/>
          <w:lang w:eastAsia="de-DE"/>
        </w:rPr>
        <w:instrText>ADDIN CSL_CITATION {"citationItems":[{"id":"ITEM-1","itemData":{"ISSN":"1932-6203","author":[{"dropping-particle":"","family":"Littman","given":"Ran","non-dropping-particle":"","parse-names":false,"suffix":""},{"dropping-particle":"","family":"Takács","given":"Ádám","non-dropping-particle":"","parse-names":false,"suffix":""}],"container-title":"PloS one","id":"ITEM-1","issue":"10","issued":{"date-parts":[["2017"]]},"page":"e0186774","publisher":"Public Library of Science San Francisco, CA USA","title":"Do all inhibitions act alike? A study of go/no-go and stop-signal paradigms","type":"article-journal","volume":"12"},"uris":["http://www.mendeley.com/documents/?uuid=227d0bf4-b90a-461d-bcc6-a2f6bc40d9cd"]}],"mendeley":{"formattedCitation":"(Littman &amp; Takács, 2017)","plainTextFormattedCitation":"(Littman &amp; Takács, 2017)","previouslyFormattedCitation":"(Littman &amp; Takács, 2017)"},"properties":{"noteIndex":0},"schema":"https://github.com/citation-style-language/schema/raw/master/csl-citation.json"}</w:instrText>
      </w:r>
      <w:r w:rsidR="0018716F">
        <w:rPr>
          <w:rFonts w:ascii="Arial" w:eastAsia="Times New Roman" w:hAnsi="Arial" w:cs="Arial"/>
          <w:sz w:val="20"/>
          <w:szCs w:val="20"/>
          <w:lang w:eastAsia="de-DE"/>
        </w:rPr>
        <w:fldChar w:fldCharType="separate"/>
      </w:r>
      <w:r w:rsidR="0018716F" w:rsidRPr="0018716F">
        <w:rPr>
          <w:rFonts w:ascii="Arial" w:eastAsia="Times New Roman" w:hAnsi="Arial" w:cs="Arial"/>
          <w:noProof/>
          <w:sz w:val="20"/>
          <w:szCs w:val="20"/>
          <w:lang w:eastAsia="de-DE"/>
        </w:rPr>
        <w:t>(Littman &amp; Takács, 2017)</w:t>
      </w:r>
      <w:r w:rsidR="0018716F">
        <w:rPr>
          <w:rFonts w:ascii="Arial" w:eastAsia="Times New Roman" w:hAnsi="Arial" w:cs="Arial"/>
          <w:sz w:val="20"/>
          <w:szCs w:val="20"/>
          <w:lang w:eastAsia="de-DE"/>
        </w:rPr>
        <w:fldChar w:fldCharType="end"/>
      </w:r>
      <w:r w:rsidRPr="00362EC0">
        <w:rPr>
          <w:rFonts w:ascii="Arial" w:eastAsia="Times New Roman" w:hAnsi="Arial" w:cs="Arial"/>
          <w:sz w:val="20"/>
          <w:szCs w:val="20"/>
          <w:lang w:eastAsia="de-DE"/>
        </w:rPr>
        <w:t>. Future research utilising the IHT has the potential to delineate which aspects of stopping behaviour are affected by, for example, valence and to directly examine whether negative valence increases the stopping speed and potentially increases the distance to the finishing point/negative picture due to implicit avoidance tendencies. In addition to explicitly measuring stop response times, the task design offers a range of parameters that are implicitly influenced by experimental manipulations. We show that high reward enhances the speed of motion initiation, average speed pre-Cue, but not the number of premature responses. High reward also increased post-Cue average speed and shifted intentional decisions to be biased towards intentional action over inhibition. Notably, average speed during stop trials was higher for trials with a chance of high reward, while distance moved and stop response times did not differ by reward type. This combination of findings indicates that high reward induces a tendency to choose action over stopping and a fast execution of that motion (average speed), but also shows increased stopping efficiency, since fast motions are assumed to be more difficult to stop within equivalent distance and time.</w:t>
      </w:r>
      <w:bookmarkEnd w:id="17"/>
    </w:p>
    <w:p w14:paraId="29DEF978" w14:textId="6FAB6AFB" w:rsidR="00176460" w:rsidRPr="00362EC0" w:rsidRDefault="00176460" w:rsidP="001B3FF2">
      <w:pPr>
        <w:spacing w:after="0" w:line="360" w:lineRule="auto"/>
        <w:ind w:firstLine="720"/>
        <w:contextualSpacing/>
        <w:jc w:val="both"/>
        <w:rPr>
          <w:rFonts w:ascii="Arial" w:hAnsi="Arial" w:cs="Arial"/>
          <w:sz w:val="20"/>
          <w:szCs w:val="20"/>
        </w:rPr>
      </w:pPr>
      <w:bookmarkStart w:id="18" w:name="_Hlk32591978"/>
      <w:r w:rsidRPr="00362EC0">
        <w:rPr>
          <w:rFonts w:ascii="Arial" w:hAnsi="Arial" w:cs="Arial"/>
          <w:sz w:val="20"/>
          <w:szCs w:val="20"/>
        </w:rPr>
        <w:t xml:space="preserve">In sum, we here present a </w:t>
      </w:r>
      <w:r w:rsidR="00257C52" w:rsidRPr="00362EC0">
        <w:rPr>
          <w:rFonts w:ascii="Arial" w:hAnsi="Arial" w:cs="Arial"/>
          <w:sz w:val="20"/>
          <w:szCs w:val="20"/>
        </w:rPr>
        <w:t>novel</w:t>
      </w:r>
      <w:r w:rsidRPr="00362EC0">
        <w:rPr>
          <w:rFonts w:ascii="Arial" w:hAnsi="Arial" w:cs="Arial"/>
          <w:sz w:val="20"/>
          <w:szCs w:val="20"/>
        </w:rPr>
        <w:t xml:space="preserve"> tas</w:t>
      </w:r>
      <w:r w:rsidR="00257C52" w:rsidRPr="00362EC0">
        <w:rPr>
          <w:rFonts w:ascii="Arial" w:hAnsi="Arial" w:cs="Arial"/>
          <w:sz w:val="20"/>
          <w:szCs w:val="20"/>
        </w:rPr>
        <w:t>k of</w:t>
      </w:r>
      <w:r w:rsidRPr="00362EC0">
        <w:rPr>
          <w:rFonts w:ascii="Arial" w:hAnsi="Arial" w:cs="Arial"/>
          <w:sz w:val="20"/>
          <w:szCs w:val="20"/>
        </w:rPr>
        <w:t xml:space="preserve"> intentional inhibition </w:t>
      </w:r>
      <w:r w:rsidR="00BE4BEB">
        <w:rPr>
          <w:rFonts w:ascii="Arial" w:hAnsi="Arial" w:cs="Arial"/>
          <w:sz w:val="20"/>
          <w:szCs w:val="20"/>
        </w:rPr>
        <w:t>enabling</w:t>
      </w:r>
      <w:r w:rsidR="00BE4BEB" w:rsidRPr="00362EC0">
        <w:rPr>
          <w:rFonts w:ascii="Arial" w:hAnsi="Arial" w:cs="Arial"/>
          <w:sz w:val="20"/>
          <w:szCs w:val="20"/>
        </w:rPr>
        <w:t xml:space="preserve"> </w:t>
      </w:r>
      <w:r w:rsidR="00257C52" w:rsidRPr="00BE4BEB">
        <w:rPr>
          <w:rFonts w:ascii="Arial" w:hAnsi="Arial" w:cs="Arial"/>
          <w:sz w:val="20"/>
          <w:szCs w:val="20"/>
        </w:rPr>
        <w:t>the capture of intentional stop response times</w:t>
      </w:r>
      <w:r w:rsidR="00257C52" w:rsidRPr="00362EC0">
        <w:rPr>
          <w:rFonts w:ascii="Arial" w:hAnsi="Arial" w:cs="Arial"/>
          <w:sz w:val="20"/>
          <w:szCs w:val="20"/>
        </w:rPr>
        <w:t xml:space="preserve"> and the influence of incentive rewards.</w:t>
      </w:r>
      <w:r w:rsidR="00EA0028" w:rsidRPr="00362EC0">
        <w:rPr>
          <w:rFonts w:ascii="Arial" w:hAnsi="Arial" w:cs="Arial"/>
          <w:sz w:val="20"/>
          <w:szCs w:val="20"/>
        </w:rPr>
        <w:t xml:space="preserve"> </w:t>
      </w:r>
      <w:r w:rsidR="00257C52" w:rsidRPr="00362EC0">
        <w:rPr>
          <w:rFonts w:ascii="Arial" w:hAnsi="Arial" w:cs="Arial"/>
          <w:sz w:val="20"/>
          <w:szCs w:val="20"/>
        </w:rPr>
        <w:t>We highlight the likely role of a</w:t>
      </w:r>
      <w:r w:rsidR="008150BB" w:rsidRPr="00362EC0">
        <w:rPr>
          <w:rFonts w:ascii="Arial" w:hAnsi="Arial" w:cs="Arial"/>
          <w:sz w:val="20"/>
          <w:szCs w:val="20"/>
        </w:rPr>
        <w:t xml:space="preserve"> greater</w:t>
      </w:r>
      <w:r w:rsidR="00257C52" w:rsidRPr="00362EC0">
        <w:rPr>
          <w:rFonts w:ascii="Arial" w:hAnsi="Arial" w:cs="Arial"/>
          <w:sz w:val="20"/>
          <w:szCs w:val="20"/>
        </w:rPr>
        <w:t xml:space="preserve"> decisional process underlying the delayed response times of intentional</w:t>
      </w:r>
      <w:r w:rsidR="002D395F">
        <w:rPr>
          <w:rFonts w:ascii="Arial" w:hAnsi="Arial" w:cs="Arial"/>
          <w:sz w:val="20"/>
          <w:szCs w:val="20"/>
        </w:rPr>
        <w:t>ly</w:t>
      </w:r>
      <w:r w:rsidR="00257C52" w:rsidRPr="00362EC0">
        <w:rPr>
          <w:rFonts w:ascii="Arial" w:hAnsi="Arial" w:cs="Arial"/>
          <w:sz w:val="20"/>
          <w:szCs w:val="20"/>
        </w:rPr>
        <w:t xml:space="preserve"> stop</w:t>
      </w:r>
      <w:r w:rsidR="002D395F">
        <w:rPr>
          <w:rFonts w:ascii="Arial" w:hAnsi="Arial" w:cs="Arial"/>
          <w:sz w:val="20"/>
          <w:szCs w:val="20"/>
        </w:rPr>
        <w:t>ping</w:t>
      </w:r>
      <w:r w:rsidR="00257C52" w:rsidRPr="00362EC0">
        <w:rPr>
          <w:rFonts w:ascii="Arial" w:hAnsi="Arial" w:cs="Arial"/>
          <w:sz w:val="20"/>
          <w:szCs w:val="20"/>
        </w:rPr>
        <w:t xml:space="preserve"> </w:t>
      </w:r>
      <w:r w:rsidR="008150BB" w:rsidRPr="00362EC0">
        <w:rPr>
          <w:rFonts w:ascii="Arial" w:hAnsi="Arial" w:cs="Arial"/>
          <w:sz w:val="20"/>
          <w:szCs w:val="20"/>
        </w:rPr>
        <w:t>an ongoing motor response</w:t>
      </w:r>
      <w:r w:rsidR="00257C52" w:rsidRPr="00362EC0">
        <w:rPr>
          <w:rFonts w:ascii="Arial" w:hAnsi="Arial" w:cs="Arial"/>
          <w:sz w:val="20"/>
          <w:szCs w:val="20"/>
        </w:rPr>
        <w:t>.</w:t>
      </w:r>
      <w:r w:rsidR="00EA0028" w:rsidRPr="00362EC0">
        <w:rPr>
          <w:rFonts w:ascii="Arial" w:hAnsi="Arial" w:cs="Arial"/>
          <w:sz w:val="20"/>
          <w:szCs w:val="20"/>
        </w:rPr>
        <w:t xml:space="preserve"> </w:t>
      </w:r>
      <w:r w:rsidR="00BE4BEB">
        <w:rPr>
          <w:rFonts w:ascii="Arial" w:hAnsi="Arial" w:cs="Arial"/>
          <w:sz w:val="20"/>
          <w:szCs w:val="20"/>
        </w:rPr>
        <w:t>W</w:t>
      </w:r>
      <w:r w:rsidR="004A10E4" w:rsidRPr="00362EC0">
        <w:rPr>
          <w:rFonts w:ascii="Arial" w:hAnsi="Arial" w:cs="Arial"/>
          <w:sz w:val="20"/>
          <w:szCs w:val="20"/>
        </w:rPr>
        <w:t xml:space="preserve">e further suggest that monetary incentives </w:t>
      </w:r>
      <w:r w:rsidR="00BE4BEB">
        <w:rPr>
          <w:rFonts w:ascii="Arial" w:hAnsi="Arial" w:cs="Arial"/>
          <w:sz w:val="20"/>
          <w:szCs w:val="20"/>
        </w:rPr>
        <w:t xml:space="preserve">during intentional choices </w:t>
      </w:r>
      <w:r w:rsidR="004A10E4" w:rsidRPr="00362EC0">
        <w:rPr>
          <w:rFonts w:ascii="Arial" w:hAnsi="Arial" w:cs="Arial"/>
          <w:sz w:val="20"/>
          <w:szCs w:val="20"/>
        </w:rPr>
        <w:t>may implicitly trigger an appetitive system thus facilitating approach rather than avoid</w:t>
      </w:r>
      <w:r w:rsidR="00BE4BEB">
        <w:rPr>
          <w:rFonts w:ascii="Arial" w:hAnsi="Arial" w:cs="Arial"/>
          <w:sz w:val="20"/>
          <w:szCs w:val="20"/>
        </w:rPr>
        <w:t>ance, which in turn reduces</w:t>
      </w:r>
      <w:r w:rsidR="004A10E4" w:rsidRPr="00362EC0">
        <w:rPr>
          <w:rFonts w:ascii="Arial" w:hAnsi="Arial" w:cs="Arial"/>
          <w:sz w:val="20"/>
          <w:szCs w:val="20"/>
        </w:rPr>
        <w:t xml:space="preserve"> intentional inhibitory behaviours</w:t>
      </w:r>
      <w:r w:rsidR="00BE4BEB">
        <w:rPr>
          <w:rFonts w:ascii="Arial" w:hAnsi="Arial" w:cs="Arial"/>
          <w:sz w:val="20"/>
          <w:szCs w:val="20"/>
        </w:rPr>
        <w:t xml:space="preserve"> during high reward prospects</w:t>
      </w:r>
      <w:r w:rsidR="004A10E4" w:rsidRPr="00362EC0">
        <w:rPr>
          <w:rFonts w:ascii="Arial" w:hAnsi="Arial" w:cs="Arial"/>
          <w:sz w:val="20"/>
          <w:szCs w:val="20"/>
        </w:rPr>
        <w:t>.</w:t>
      </w:r>
      <w:r w:rsidR="00FD401E" w:rsidRPr="00362EC0">
        <w:rPr>
          <w:rFonts w:ascii="Arial" w:hAnsi="Arial" w:cs="Arial"/>
          <w:sz w:val="20"/>
          <w:szCs w:val="20"/>
        </w:rPr>
        <w:t xml:space="preserve"> </w:t>
      </w:r>
      <w:r w:rsidR="004A10E4" w:rsidRPr="00362EC0">
        <w:rPr>
          <w:rFonts w:ascii="Arial" w:hAnsi="Arial" w:cs="Arial"/>
          <w:sz w:val="20"/>
          <w:szCs w:val="20"/>
        </w:rPr>
        <w:t xml:space="preserve">These findings are particularly relevant to drug or alcohol induced cues which may facilitate approach behaviours to the detriment of intentional inhibitory control avoidance behaviours. </w:t>
      </w:r>
    </w:p>
    <w:bookmarkEnd w:id="18"/>
    <w:p w14:paraId="72AAC3FA" w14:textId="55462626" w:rsidR="00176460" w:rsidRDefault="00176460" w:rsidP="001B3FF2">
      <w:pPr>
        <w:spacing w:after="0" w:line="360" w:lineRule="auto"/>
        <w:ind w:firstLine="720"/>
        <w:contextualSpacing/>
        <w:jc w:val="both"/>
        <w:rPr>
          <w:rFonts w:ascii="Arial" w:hAnsi="Arial" w:cs="Arial"/>
          <w:sz w:val="20"/>
          <w:szCs w:val="20"/>
        </w:rPr>
      </w:pPr>
    </w:p>
    <w:p w14:paraId="7F325405" w14:textId="3719C344" w:rsidR="002F69D9" w:rsidRDefault="002F69D9" w:rsidP="001B3FF2">
      <w:pPr>
        <w:spacing w:after="0" w:line="360" w:lineRule="auto"/>
        <w:ind w:firstLine="720"/>
        <w:contextualSpacing/>
        <w:jc w:val="both"/>
        <w:rPr>
          <w:rFonts w:ascii="Arial" w:hAnsi="Arial" w:cs="Arial"/>
          <w:sz w:val="20"/>
          <w:szCs w:val="20"/>
        </w:rPr>
      </w:pPr>
    </w:p>
    <w:p w14:paraId="7264D553" w14:textId="43825F1C" w:rsidR="002F69D9" w:rsidRDefault="002F69D9" w:rsidP="001B3FF2">
      <w:pPr>
        <w:spacing w:after="0" w:line="360" w:lineRule="auto"/>
        <w:ind w:firstLine="720"/>
        <w:contextualSpacing/>
        <w:jc w:val="both"/>
        <w:rPr>
          <w:rFonts w:ascii="Arial" w:hAnsi="Arial" w:cs="Arial"/>
          <w:sz w:val="20"/>
          <w:szCs w:val="20"/>
        </w:rPr>
      </w:pPr>
    </w:p>
    <w:p w14:paraId="7B878C4F" w14:textId="186BD7DC" w:rsidR="002F69D9" w:rsidRDefault="002F69D9" w:rsidP="001B3FF2">
      <w:pPr>
        <w:spacing w:after="0" w:line="360" w:lineRule="auto"/>
        <w:ind w:firstLine="720"/>
        <w:contextualSpacing/>
        <w:jc w:val="both"/>
        <w:rPr>
          <w:rFonts w:ascii="Arial" w:hAnsi="Arial" w:cs="Arial"/>
          <w:sz w:val="20"/>
          <w:szCs w:val="20"/>
        </w:rPr>
      </w:pPr>
    </w:p>
    <w:p w14:paraId="7C44D395" w14:textId="523E41E7" w:rsidR="002F69D9" w:rsidRDefault="002F69D9" w:rsidP="001B3FF2">
      <w:pPr>
        <w:spacing w:after="0" w:line="360" w:lineRule="auto"/>
        <w:ind w:firstLine="720"/>
        <w:contextualSpacing/>
        <w:jc w:val="both"/>
        <w:rPr>
          <w:rFonts w:ascii="Arial" w:hAnsi="Arial" w:cs="Arial"/>
          <w:sz w:val="20"/>
          <w:szCs w:val="20"/>
        </w:rPr>
      </w:pPr>
    </w:p>
    <w:p w14:paraId="3973125C" w14:textId="2721D1BA" w:rsidR="002F69D9" w:rsidRDefault="002F69D9" w:rsidP="001B3FF2">
      <w:pPr>
        <w:spacing w:after="0" w:line="360" w:lineRule="auto"/>
        <w:ind w:firstLine="720"/>
        <w:contextualSpacing/>
        <w:jc w:val="both"/>
        <w:rPr>
          <w:rFonts w:ascii="Arial" w:hAnsi="Arial" w:cs="Arial"/>
          <w:sz w:val="20"/>
          <w:szCs w:val="20"/>
        </w:rPr>
      </w:pPr>
    </w:p>
    <w:p w14:paraId="5777A4D6" w14:textId="1ABD0765" w:rsidR="002F69D9" w:rsidRDefault="002F69D9" w:rsidP="001B3FF2">
      <w:pPr>
        <w:spacing w:after="0" w:line="360" w:lineRule="auto"/>
        <w:ind w:firstLine="720"/>
        <w:contextualSpacing/>
        <w:jc w:val="both"/>
        <w:rPr>
          <w:rFonts w:ascii="Arial" w:hAnsi="Arial" w:cs="Arial"/>
          <w:sz w:val="20"/>
          <w:szCs w:val="20"/>
        </w:rPr>
      </w:pPr>
    </w:p>
    <w:p w14:paraId="60D15EC5" w14:textId="4920D842" w:rsidR="002F69D9" w:rsidRDefault="002F69D9" w:rsidP="001B3FF2">
      <w:pPr>
        <w:spacing w:after="0" w:line="360" w:lineRule="auto"/>
        <w:ind w:firstLine="720"/>
        <w:contextualSpacing/>
        <w:jc w:val="both"/>
        <w:rPr>
          <w:rFonts w:ascii="Arial" w:hAnsi="Arial" w:cs="Arial"/>
          <w:sz w:val="20"/>
          <w:szCs w:val="20"/>
        </w:rPr>
      </w:pPr>
    </w:p>
    <w:p w14:paraId="0C153140" w14:textId="77777777" w:rsidR="002F69D9" w:rsidRPr="00362EC0" w:rsidRDefault="002F69D9" w:rsidP="001B3FF2">
      <w:pPr>
        <w:spacing w:after="0" w:line="360" w:lineRule="auto"/>
        <w:ind w:firstLine="720"/>
        <w:contextualSpacing/>
        <w:jc w:val="both"/>
        <w:rPr>
          <w:rFonts w:ascii="Arial" w:hAnsi="Arial" w:cs="Arial"/>
          <w:sz w:val="20"/>
          <w:szCs w:val="20"/>
        </w:rPr>
      </w:pPr>
    </w:p>
    <w:p w14:paraId="73494D9E" w14:textId="48584002" w:rsidR="004B1373" w:rsidRPr="00362EC0" w:rsidRDefault="004B1373" w:rsidP="008A0CA8">
      <w:pPr>
        <w:pStyle w:val="Default"/>
        <w:spacing w:line="360" w:lineRule="auto"/>
        <w:jc w:val="both"/>
        <w:rPr>
          <w:sz w:val="20"/>
          <w:szCs w:val="20"/>
          <w:lang w:val="en-GB"/>
        </w:rPr>
      </w:pPr>
      <w:r w:rsidRPr="00362EC0">
        <w:rPr>
          <w:b/>
          <w:color w:val="00000A"/>
          <w:sz w:val="20"/>
          <w:szCs w:val="20"/>
          <w:lang w:val="en-GB"/>
        </w:rPr>
        <w:lastRenderedPageBreak/>
        <w:t>Acknowledgments:</w:t>
      </w:r>
      <w:r w:rsidRPr="00362EC0">
        <w:rPr>
          <w:color w:val="00000A"/>
          <w:sz w:val="20"/>
          <w:szCs w:val="20"/>
          <w:lang w:val="en-GB"/>
        </w:rPr>
        <w:t xml:space="preserve"> The study </w:t>
      </w:r>
      <w:r w:rsidRPr="00362EC0">
        <w:rPr>
          <w:sz w:val="20"/>
          <w:szCs w:val="20"/>
          <w:lang w:val="en-GB"/>
        </w:rPr>
        <w:t>by an MRC Senior Clinical Fellow (MR/P008747/1) to V.V.</w:t>
      </w:r>
      <w:r w:rsidR="00EA0028" w:rsidRPr="00362EC0">
        <w:rPr>
          <w:sz w:val="20"/>
          <w:szCs w:val="20"/>
          <w:lang w:val="en-GB"/>
        </w:rPr>
        <w:t xml:space="preserve"> </w:t>
      </w:r>
    </w:p>
    <w:p w14:paraId="570ADDE3" w14:textId="20624303" w:rsidR="004B1373" w:rsidRPr="00362EC0" w:rsidRDefault="004B1373" w:rsidP="008A0CA8">
      <w:pPr>
        <w:pStyle w:val="Default"/>
        <w:spacing w:line="360" w:lineRule="auto"/>
        <w:jc w:val="both"/>
        <w:rPr>
          <w:sz w:val="20"/>
          <w:szCs w:val="20"/>
          <w:lang w:val="en-GB"/>
        </w:rPr>
      </w:pPr>
      <w:r w:rsidRPr="00362EC0">
        <w:rPr>
          <w:sz w:val="20"/>
          <w:szCs w:val="20"/>
          <w:lang w:val="en-GB"/>
        </w:rPr>
        <w:t xml:space="preserve">TK is supported by a </w:t>
      </w:r>
      <w:r w:rsidR="002B2D0D" w:rsidRPr="00362EC0">
        <w:rPr>
          <w:sz w:val="20"/>
          <w:szCs w:val="20"/>
          <w:lang w:val="en-GB"/>
        </w:rPr>
        <w:t>traveller’s</w:t>
      </w:r>
      <w:r w:rsidRPr="00362EC0">
        <w:rPr>
          <w:sz w:val="20"/>
          <w:szCs w:val="20"/>
          <w:lang w:val="en-GB"/>
        </w:rPr>
        <w:t xml:space="preserve"> scholarship by the William Demant </w:t>
      </w:r>
      <w:r w:rsidR="004600EB" w:rsidRPr="00362EC0">
        <w:rPr>
          <w:sz w:val="20"/>
          <w:szCs w:val="20"/>
          <w:lang w:val="en-GB"/>
        </w:rPr>
        <w:t>Foundation</w:t>
      </w:r>
      <w:r w:rsidRPr="00362EC0">
        <w:rPr>
          <w:sz w:val="20"/>
          <w:szCs w:val="20"/>
          <w:lang w:val="en-GB"/>
        </w:rPr>
        <w:t>.</w:t>
      </w:r>
    </w:p>
    <w:p w14:paraId="1478A9A2" w14:textId="77777777" w:rsidR="00440114" w:rsidRPr="00362EC0" w:rsidRDefault="00440114" w:rsidP="00440114">
      <w:pPr>
        <w:tabs>
          <w:tab w:val="left" w:pos="7655"/>
        </w:tabs>
        <w:spacing w:line="360" w:lineRule="auto"/>
        <w:jc w:val="both"/>
        <w:rPr>
          <w:rFonts w:ascii="Arial" w:hAnsi="Arial" w:cs="Arial"/>
          <w:i/>
          <w:sz w:val="20"/>
          <w:szCs w:val="20"/>
        </w:rPr>
      </w:pPr>
      <w:r w:rsidRPr="00362EC0">
        <w:rPr>
          <w:rFonts w:ascii="Arial" w:hAnsi="Arial" w:cs="Arial"/>
          <w:b/>
          <w:bCs/>
          <w:sz w:val="20"/>
          <w:szCs w:val="20"/>
        </w:rPr>
        <w:t>Declarations of interest:</w:t>
      </w:r>
      <w:r w:rsidRPr="00362EC0">
        <w:rPr>
          <w:rFonts w:ascii="Arial" w:hAnsi="Arial" w:cs="Arial"/>
          <w:sz w:val="20"/>
          <w:szCs w:val="20"/>
        </w:rPr>
        <w:t xml:space="preserve"> none</w:t>
      </w:r>
    </w:p>
    <w:p w14:paraId="797F8BEE" w14:textId="77777777" w:rsidR="0082155D" w:rsidRPr="00362EC0" w:rsidRDefault="0082155D" w:rsidP="001B3FF2">
      <w:pPr>
        <w:spacing w:after="0" w:line="360" w:lineRule="auto"/>
        <w:contextualSpacing/>
        <w:jc w:val="both"/>
        <w:rPr>
          <w:rFonts w:ascii="Arial" w:hAnsi="Arial" w:cs="Arial"/>
          <w:sz w:val="20"/>
          <w:szCs w:val="20"/>
        </w:rPr>
      </w:pPr>
    </w:p>
    <w:p w14:paraId="76CAE7FC" w14:textId="26095DFE" w:rsidR="0082155D" w:rsidRPr="00DD38A3" w:rsidRDefault="00FE1597" w:rsidP="001B3FF2">
      <w:pPr>
        <w:spacing w:after="0" w:line="360" w:lineRule="auto"/>
        <w:contextualSpacing/>
        <w:jc w:val="both"/>
        <w:rPr>
          <w:rFonts w:ascii="Arial" w:hAnsi="Arial" w:cs="Arial"/>
          <w:b/>
          <w:bCs/>
          <w:sz w:val="20"/>
          <w:szCs w:val="20"/>
        </w:rPr>
      </w:pPr>
      <w:r w:rsidRPr="00DD38A3">
        <w:rPr>
          <w:rFonts w:ascii="Arial" w:hAnsi="Arial" w:cs="Arial"/>
          <w:b/>
          <w:bCs/>
          <w:sz w:val="20"/>
          <w:szCs w:val="20"/>
        </w:rPr>
        <w:t>Footnotes</w:t>
      </w:r>
    </w:p>
    <w:p w14:paraId="506792D1" w14:textId="788FEBF0" w:rsidR="00FE1597" w:rsidRPr="007D6824" w:rsidRDefault="00FE1597" w:rsidP="001B3FF2">
      <w:pPr>
        <w:spacing w:after="0" w:line="360" w:lineRule="auto"/>
        <w:contextualSpacing/>
        <w:jc w:val="both"/>
        <w:rPr>
          <w:rFonts w:ascii="Arial" w:hAnsi="Arial" w:cs="Arial"/>
          <w:sz w:val="20"/>
          <w:szCs w:val="20"/>
        </w:rPr>
      </w:pPr>
      <w:r>
        <w:rPr>
          <w:rFonts w:ascii="Arial" w:hAnsi="Arial" w:cs="Arial"/>
          <w:sz w:val="20"/>
          <w:szCs w:val="20"/>
          <w:vertAlign w:val="superscript"/>
        </w:rPr>
        <w:t>1</w:t>
      </w:r>
      <w:r>
        <w:rPr>
          <w:rFonts w:ascii="Arial" w:hAnsi="Arial" w:cs="Arial"/>
          <w:sz w:val="20"/>
          <w:szCs w:val="20"/>
        </w:rPr>
        <w:t xml:space="preserve"> When performing the runs test of randomness on the individual participant level, eight participants deviated from randomness at </w:t>
      </w:r>
      <w:r>
        <w:rPr>
          <w:rFonts w:ascii="Arial" w:hAnsi="Arial" w:cs="Arial"/>
          <w:i/>
          <w:iCs/>
          <w:sz w:val="20"/>
          <w:szCs w:val="20"/>
        </w:rPr>
        <w:t>p</w:t>
      </w:r>
      <w:r>
        <w:rPr>
          <w:rFonts w:ascii="Arial" w:hAnsi="Arial" w:cs="Arial"/>
          <w:sz w:val="20"/>
          <w:szCs w:val="20"/>
        </w:rPr>
        <w:t xml:space="preserve"> uncorrected &lt; .05. Excluding these participants did not affect any of the reported</w:t>
      </w:r>
      <w:r w:rsidR="007D6824">
        <w:rPr>
          <w:rFonts w:ascii="Arial" w:hAnsi="Arial" w:cs="Arial"/>
          <w:sz w:val="20"/>
          <w:szCs w:val="20"/>
        </w:rPr>
        <w:t xml:space="preserve"> results. Indeed, significance was enhanced and the Go response time difference between no and high reward became additionally significant at Bonferroni-corrected </w:t>
      </w:r>
      <w:r w:rsidR="007D6824">
        <w:rPr>
          <w:rFonts w:ascii="Arial" w:hAnsi="Arial" w:cs="Arial"/>
          <w:i/>
          <w:iCs/>
          <w:sz w:val="20"/>
          <w:szCs w:val="20"/>
        </w:rPr>
        <w:t>p</w:t>
      </w:r>
      <w:r w:rsidR="007D6824" w:rsidRPr="008A60DF">
        <w:rPr>
          <w:rFonts w:ascii="Arial" w:hAnsi="Arial" w:cs="Arial"/>
          <w:sz w:val="20"/>
          <w:szCs w:val="20"/>
          <w:vertAlign w:val="subscript"/>
        </w:rPr>
        <w:t>c</w:t>
      </w:r>
      <w:r w:rsidR="007D6824">
        <w:rPr>
          <w:rFonts w:ascii="Arial" w:hAnsi="Arial" w:cs="Arial"/>
          <w:sz w:val="20"/>
          <w:szCs w:val="20"/>
        </w:rPr>
        <w:t xml:space="preserve"> &lt; .05.</w:t>
      </w:r>
    </w:p>
    <w:p w14:paraId="798A5B84" w14:textId="08111232" w:rsidR="00BE4BEB" w:rsidRDefault="00BE4BEB" w:rsidP="001B3FF2">
      <w:pPr>
        <w:spacing w:after="0" w:line="360" w:lineRule="auto"/>
        <w:contextualSpacing/>
        <w:jc w:val="both"/>
        <w:rPr>
          <w:rFonts w:ascii="Arial" w:hAnsi="Arial" w:cs="Arial"/>
          <w:sz w:val="20"/>
          <w:szCs w:val="20"/>
        </w:rPr>
      </w:pPr>
    </w:p>
    <w:p w14:paraId="11F3BDF7" w14:textId="245CBE30" w:rsidR="00BE4BEB" w:rsidRDefault="00BE4BEB" w:rsidP="001B3FF2">
      <w:pPr>
        <w:spacing w:after="0" w:line="360" w:lineRule="auto"/>
        <w:contextualSpacing/>
        <w:jc w:val="both"/>
        <w:rPr>
          <w:rFonts w:ascii="Arial" w:hAnsi="Arial" w:cs="Arial"/>
          <w:sz w:val="20"/>
          <w:szCs w:val="20"/>
        </w:rPr>
      </w:pPr>
    </w:p>
    <w:p w14:paraId="14F90764" w14:textId="77777777" w:rsidR="00BE4BEB" w:rsidRPr="00362EC0" w:rsidRDefault="00BE4BEB" w:rsidP="001B3FF2">
      <w:pPr>
        <w:spacing w:after="0" w:line="360" w:lineRule="auto"/>
        <w:contextualSpacing/>
        <w:jc w:val="both"/>
        <w:rPr>
          <w:rFonts w:ascii="Arial" w:hAnsi="Arial" w:cs="Arial"/>
          <w:sz w:val="20"/>
          <w:szCs w:val="20"/>
        </w:rPr>
      </w:pPr>
    </w:p>
    <w:p w14:paraId="7556BC5E" w14:textId="4A1A2B41" w:rsidR="00AC3388" w:rsidRPr="00362EC0" w:rsidRDefault="009C769B" w:rsidP="001B3FF2">
      <w:pPr>
        <w:spacing w:after="0" w:line="360" w:lineRule="auto"/>
        <w:contextualSpacing/>
        <w:jc w:val="both"/>
        <w:rPr>
          <w:rFonts w:ascii="Arial" w:hAnsi="Arial" w:cs="Arial"/>
          <w:b/>
          <w:bCs/>
          <w:sz w:val="20"/>
          <w:szCs w:val="20"/>
        </w:rPr>
      </w:pPr>
      <w:r w:rsidRPr="00362EC0">
        <w:rPr>
          <w:rFonts w:ascii="Arial" w:hAnsi="Arial" w:cs="Arial"/>
          <w:b/>
          <w:bCs/>
          <w:sz w:val="20"/>
          <w:szCs w:val="20"/>
        </w:rPr>
        <w:t>References</w:t>
      </w:r>
    </w:p>
    <w:bookmarkStart w:id="19" w:name="_Hlk50445601"/>
    <w:p w14:paraId="1B5F403A" w14:textId="053C75FC" w:rsidR="00E67B80" w:rsidRPr="00E67B80" w:rsidRDefault="00CE64E2" w:rsidP="00E67B80">
      <w:pPr>
        <w:widowControl w:val="0"/>
        <w:autoSpaceDE w:val="0"/>
        <w:autoSpaceDN w:val="0"/>
        <w:adjustRightInd w:val="0"/>
        <w:spacing w:after="0" w:line="360" w:lineRule="auto"/>
        <w:ind w:left="480" w:hanging="480"/>
        <w:rPr>
          <w:rFonts w:ascii="Arial" w:hAnsi="Arial" w:cs="Arial"/>
          <w:noProof/>
          <w:sz w:val="20"/>
          <w:szCs w:val="24"/>
        </w:rPr>
      </w:pPr>
      <w:r w:rsidRPr="00362EC0">
        <w:rPr>
          <w:rFonts w:ascii="Arial" w:hAnsi="Arial" w:cs="Arial"/>
          <w:b/>
          <w:bCs/>
          <w:sz w:val="20"/>
          <w:szCs w:val="20"/>
        </w:rPr>
        <w:fldChar w:fldCharType="begin" w:fldLock="1"/>
      </w:r>
      <w:r w:rsidRPr="00362EC0">
        <w:rPr>
          <w:rFonts w:ascii="Arial" w:hAnsi="Arial" w:cs="Arial"/>
          <w:b/>
          <w:bCs/>
          <w:sz w:val="20"/>
          <w:szCs w:val="20"/>
        </w:rPr>
        <w:instrText xml:space="preserve">ADDIN Mendeley Bibliography CSL_BIBLIOGRAPHY </w:instrText>
      </w:r>
      <w:r w:rsidRPr="00362EC0">
        <w:rPr>
          <w:rFonts w:ascii="Arial" w:hAnsi="Arial" w:cs="Arial"/>
          <w:b/>
          <w:bCs/>
          <w:sz w:val="20"/>
          <w:szCs w:val="20"/>
        </w:rPr>
        <w:fldChar w:fldCharType="separate"/>
      </w:r>
      <w:r w:rsidR="00E67B80" w:rsidRPr="00E67B80">
        <w:rPr>
          <w:rFonts w:ascii="Arial" w:hAnsi="Arial" w:cs="Arial"/>
          <w:noProof/>
          <w:sz w:val="20"/>
          <w:szCs w:val="24"/>
        </w:rPr>
        <w:t xml:space="preserve">Bujang, M. A., &amp; Sapri, F. E. (2018). An Application of the Runs Test to Test for Randomness of Observations Obtained from a Clinical Survey in an Ordered Population. </w:t>
      </w:r>
      <w:r w:rsidR="00E67B80" w:rsidRPr="00E67B80">
        <w:rPr>
          <w:rFonts w:ascii="Arial" w:hAnsi="Arial" w:cs="Arial"/>
          <w:i/>
          <w:iCs/>
          <w:noProof/>
          <w:sz w:val="20"/>
          <w:szCs w:val="24"/>
        </w:rPr>
        <w:t>The Malaysian Journal of Medical Sciences: MJMS</w:t>
      </w:r>
      <w:r w:rsidR="00E67B80" w:rsidRPr="00E67B80">
        <w:rPr>
          <w:rFonts w:ascii="Arial" w:hAnsi="Arial" w:cs="Arial"/>
          <w:noProof/>
          <w:sz w:val="20"/>
          <w:szCs w:val="24"/>
        </w:rPr>
        <w:t xml:space="preserve">, </w:t>
      </w:r>
      <w:r w:rsidR="00E67B80" w:rsidRPr="00E67B80">
        <w:rPr>
          <w:rFonts w:ascii="Arial" w:hAnsi="Arial" w:cs="Arial"/>
          <w:i/>
          <w:iCs/>
          <w:noProof/>
          <w:sz w:val="20"/>
          <w:szCs w:val="24"/>
        </w:rPr>
        <w:t>25</w:t>
      </w:r>
      <w:r w:rsidR="00E67B80" w:rsidRPr="00E67B80">
        <w:rPr>
          <w:rFonts w:ascii="Arial" w:hAnsi="Arial" w:cs="Arial"/>
          <w:noProof/>
          <w:sz w:val="20"/>
          <w:szCs w:val="24"/>
        </w:rPr>
        <w:t>(4), 146.</w:t>
      </w:r>
    </w:p>
    <w:p w14:paraId="302FA333" w14:textId="77777777" w:rsidR="00E67B80" w:rsidRPr="00E67B80" w:rsidRDefault="00E67B80" w:rsidP="00E67B80">
      <w:pPr>
        <w:widowControl w:val="0"/>
        <w:autoSpaceDE w:val="0"/>
        <w:autoSpaceDN w:val="0"/>
        <w:adjustRightInd w:val="0"/>
        <w:spacing w:after="0" w:line="360" w:lineRule="auto"/>
        <w:ind w:left="480" w:hanging="480"/>
        <w:rPr>
          <w:rFonts w:ascii="Arial" w:hAnsi="Arial" w:cs="Arial"/>
          <w:noProof/>
          <w:sz w:val="20"/>
          <w:szCs w:val="24"/>
        </w:rPr>
      </w:pPr>
      <w:r w:rsidRPr="00E67B80">
        <w:rPr>
          <w:rFonts w:ascii="Arial" w:hAnsi="Arial" w:cs="Arial"/>
          <w:noProof/>
          <w:sz w:val="20"/>
          <w:szCs w:val="24"/>
        </w:rPr>
        <w:t xml:space="preserve">Davranche, K., Tandonnet, C., Burle, B., Meynier, C., Vidal, F., &amp; Hasbroucq, T. (2007). The dual nature of time preparation: neural activation and suppression revealed by transcranial magnetic stimulation of the motor cortex. </w:t>
      </w:r>
      <w:r w:rsidRPr="00E67B80">
        <w:rPr>
          <w:rFonts w:ascii="Arial" w:hAnsi="Arial" w:cs="Arial"/>
          <w:i/>
          <w:iCs/>
          <w:noProof/>
          <w:sz w:val="20"/>
          <w:szCs w:val="24"/>
        </w:rPr>
        <w:t>European Journal of Neuroscience</w:t>
      </w:r>
      <w:r w:rsidRPr="00E67B80">
        <w:rPr>
          <w:rFonts w:ascii="Arial" w:hAnsi="Arial" w:cs="Arial"/>
          <w:noProof/>
          <w:sz w:val="20"/>
          <w:szCs w:val="24"/>
        </w:rPr>
        <w:t xml:space="preserve">, </w:t>
      </w:r>
      <w:r w:rsidRPr="00E67B80">
        <w:rPr>
          <w:rFonts w:ascii="Arial" w:hAnsi="Arial" w:cs="Arial"/>
          <w:i/>
          <w:iCs/>
          <w:noProof/>
          <w:sz w:val="20"/>
          <w:szCs w:val="24"/>
        </w:rPr>
        <w:t>25</w:t>
      </w:r>
      <w:r w:rsidRPr="00E67B80">
        <w:rPr>
          <w:rFonts w:ascii="Arial" w:hAnsi="Arial" w:cs="Arial"/>
          <w:noProof/>
          <w:sz w:val="20"/>
          <w:szCs w:val="24"/>
        </w:rPr>
        <w:t>(12), 3766–3774.</w:t>
      </w:r>
    </w:p>
    <w:p w14:paraId="2E94A2DC" w14:textId="77777777" w:rsidR="00E67B80" w:rsidRPr="00E67B80" w:rsidRDefault="00E67B80" w:rsidP="00E67B80">
      <w:pPr>
        <w:widowControl w:val="0"/>
        <w:autoSpaceDE w:val="0"/>
        <w:autoSpaceDN w:val="0"/>
        <w:adjustRightInd w:val="0"/>
        <w:spacing w:after="0" w:line="360" w:lineRule="auto"/>
        <w:ind w:left="480" w:hanging="480"/>
        <w:rPr>
          <w:rFonts w:ascii="Arial" w:hAnsi="Arial" w:cs="Arial"/>
          <w:noProof/>
          <w:sz w:val="20"/>
          <w:szCs w:val="24"/>
        </w:rPr>
      </w:pPr>
      <w:r w:rsidRPr="00E67B80">
        <w:rPr>
          <w:rFonts w:ascii="Arial" w:hAnsi="Arial" w:cs="Arial"/>
          <w:noProof/>
          <w:sz w:val="20"/>
          <w:szCs w:val="24"/>
        </w:rPr>
        <w:t xml:space="preserve">Duque, J., Labruna, L., Verset, S., Olivier, E., &amp; Ivry, R. B. (2012). Dissociating the role of prefrontal and premotor cortices in controlling inhibitory mechanisms during motor preparation. </w:t>
      </w:r>
      <w:r w:rsidRPr="00E67B80">
        <w:rPr>
          <w:rFonts w:ascii="Arial" w:hAnsi="Arial" w:cs="Arial"/>
          <w:i/>
          <w:iCs/>
          <w:noProof/>
          <w:sz w:val="20"/>
          <w:szCs w:val="24"/>
        </w:rPr>
        <w:t>Journal of Neuroscience</w:t>
      </w:r>
      <w:r w:rsidRPr="00E67B80">
        <w:rPr>
          <w:rFonts w:ascii="Arial" w:hAnsi="Arial" w:cs="Arial"/>
          <w:noProof/>
          <w:sz w:val="20"/>
          <w:szCs w:val="24"/>
        </w:rPr>
        <w:t xml:space="preserve">, </w:t>
      </w:r>
      <w:r w:rsidRPr="00E67B80">
        <w:rPr>
          <w:rFonts w:ascii="Arial" w:hAnsi="Arial" w:cs="Arial"/>
          <w:i/>
          <w:iCs/>
          <w:noProof/>
          <w:sz w:val="20"/>
          <w:szCs w:val="24"/>
        </w:rPr>
        <w:t>32</w:t>
      </w:r>
      <w:r w:rsidRPr="00E67B80">
        <w:rPr>
          <w:rFonts w:ascii="Arial" w:hAnsi="Arial" w:cs="Arial"/>
          <w:noProof/>
          <w:sz w:val="20"/>
          <w:szCs w:val="24"/>
        </w:rPr>
        <w:t>(3), 806–816. https://doi.org/10.1523/JNEUROSCI.4299-12.2012</w:t>
      </w:r>
    </w:p>
    <w:p w14:paraId="1738A8C4" w14:textId="77777777" w:rsidR="00E67B80" w:rsidRPr="00E67B80" w:rsidRDefault="00E67B80" w:rsidP="00E67B80">
      <w:pPr>
        <w:widowControl w:val="0"/>
        <w:autoSpaceDE w:val="0"/>
        <w:autoSpaceDN w:val="0"/>
        <w:adjustRightInd w:val="0"/>
        <w:spacing w:after="0" w:line="360" w:lineRule="auto"/>
        <w:ind w:left="480" w:hanging="480"/>
        <w:rPr>
          <w:rFonts w:ascii="Arial" w:hAnsi="Arial" w:cs="Arial"/>
          <w:noProof/>
          <w:sz w:val="20"/>
          <w:szCs w:val="24"/>
        </w:rPr>
      </w:pPr>
      <w:r w:rsidRPr="00E67B80">
        <w:rPr>
          <w:rFonts w:ascii="Arial" w:hAnsi="Arial" w:cs="Arial"/>
          <w:noProof/>
          <w:sz w:val="20"/>
          <w:szCs w:val="24"/>
        </w:rPr>
        <w:t xml:space="preserve">Eimer, M., &amp; Schlaghecken, F. (1998). Effects of masked stimuli on motor activation: Behavioral and electrophysiological evidence. </w:t>
      </w:r>
      <w:r w:rsidRPr="00E67B80">
        <w:rPr>
          <w:rFonts w:ascii="Arial" w:hAnsi="Arial" w:cs="Arial"/>
          <w:i/>
          <w:iCs/>
          <w:noProof/>
          <w:sz w:val="20"/>
          <w:szCs w:val="24"/>
        </w:rPr>
        <w:t>Journal of Experimental Psychology: Human Perception and Performance</w:t>
      </w:r>
      <w:r w:rsidRPr="00E67B80">
        <w:rPr>
          <w:rFonts w:ascii="Arial" w:hAnsi="Arial" w:cs="Arial"/>
          <w:noProof/>
          <w:sz w:val="20"/>
          <w:szCs w:val="24"/>
        </w:rPr>
        <w:t xml:space="preserve">, </w:t>
      </w:r>
      <w:r w:rsidRPr="00E67B80">
        <w:rPr>
          <w:rFonts w:ascii="Arial" w:hAnsi="Arial" w:cs="Arial"/>
          <w:i/>
          <w:iCs/>
          <w:noProof/>
          <w:sz w:val="20"/>
          <w:szCs w:val="24"/>
        </w:rPr>
        <w:t>24</w:t>
      </w:r>
      <w:r w:rsidRPr="00E67B80">
        <w:rPr>
          <w:rFonts w:ascii="Arial" w:hAnsi="Arial" w:cs="Arial"/>
          <w:noProof/>
          <w:sz w:val="20"/>
          <w:szCs w:val="24"/>
        </w:rPr>
        <w:t>(6), 1737.</w:t>
      </w:r>
    </w:p>
    <w:p w14:paraId="73AF2EAF" w14:textId="77777777" w:rsidR="00E67B80" w:rsidRPr="00E67B80" w:rsidRDefault="00E67B80" w:rsidP="00E67B80">
      <w:pPr>
        <w:widowControl w:val="0"/>
        <w:autoSpaceDE w:val="0"/>
        <w:autoSpaceDN w:val="0"/>
        <w:adjustRightInd w:val="0"/>
        <w:spacing w:after="0" w:line="360" w:lineRule="auto"/>
        <w:ind w:left="480" w:hanging="480"/>
        <w:rPr>
          <w:rFonts w:ascii="Arial" w:hAnsi="Arial" w:cs="Arial"/>
          <w:noProof/>
          <w:sz w:val="20"/>
          <w:szCs w:val="24"/>
        </w:rPr>
      </w:pPr>
      <w:r w:rsidRPr="00E67B80">
        <w:rPr>
          <w:rFonts w:ascii="Arial" w:hAnsi="Arial" w:cs="Arial"/>
          <w:noProof/>
          <w:sz w:val="20"/>
          <w:szCs w:val="24"/>
        </w:rPr>
        <w:t xml:space="preserve">Erdfelder, E., Faul, F., &amp; Buchner, A. (1996). GPOWER: A general power analysis program. </w:t>
      </w:r>
      <w:r w:rsidRPr="00E67B80">
        <w:rPr>
          <w:rFonts w:ascii="Arial" w:hAnsi="Arial" w:cs="Arial"/>
          <w:i/>
          <w:iCs/>
          <w:noProof/>
          <w:sz w:val="20"/>
          <w:szCs w:val="24"/>
        </w:rPr>
        <w:t>Behavior Research Methods, Instruments, &amp; Computers</w:t>
      </w:r>
      <w:r w:rsidRPr="00E67B80">
        <w:rPr>
          <w:rFonts w:ascii="Arial" w:hAnsi="Arial" w:cs="Arial"/>
          <w:noProof/>
          <w:sz w:val="20"/>
          <w:szCs w:val="24"/>
        </w:rPr>
        <w:t xml:space="preserve">, </w:t>
      </w:r>
      <w:r w:rsidRPr="00E67B80">
        <w:rPr>
          <w:rFonts w:ascii="Arial" w:hAnsi="Arial" w:cs="Arial"/>
          <w:i/>
          <w:iCs/>
          <w:noProof/>
          <w:sz w:val="20"/>
          <w:szCs w:val="24"/>
        </w:rPr>
        <w:t>28</w:t>
      </w:r>
      <w:r w:rsidRPr="00E67B80">
        <w:rPr>
          <w:rFonts w:ascii="Arial" w:hAnsi="Arial" w:cs="Arial"/>
          <w:noProof/>
          <w:sz w:val="20"/>
          <w:szCs w:val="24"/>
        </w:rPr>
        <w:t>, 1–11.</w:t>
      </w:r>
    </w:p>
    <w:p w14:paraId="229ED45B" w14:textId="77777777" w:rsidR="00E67B80" w:rsidRPr="00E67B80" w:rsidRDefault="00E67B80" w:rsidP="00E67B80">
      <w:pPr>
        <w:widowControl w:val="0"/>
        <w:autoSpaceDE w:val="0"/>
        <w:autoSpaceDN w:val="0"/>
        <w:adjustRightInd w:val="0"/>
        <w:spacing w:after="0" w:line="360" w:lineRule="auto"/>
        <w:ind w:left="480" w:hanging="480"/>
        <w:rPr>
          <w:rFonts w:ascii="Arial" w:hAnsi="Arial" w:cs="Arial"/>
          <w:noProof/>
          <w:sz w:val="20"/>
          <w:szCs w:val="24"/>
        </w:rPr>
      </w:pPr>
      <w:r w:rsidRPr="00E67B80">
        <w:rPr>
          <w:rFonts w:ascii="Arial" w:hAnsi="Arial" w:cs="Arial"/>
          <w:noProof/>
          <w:sz w:val="20"/>
          <w:szCs w:val="24"/>
        </w:rPr>
        <w:t xml:space="preserve">Ficarella, S. C., &amp; Battelli, L. (2017). The critical role of the dorsal fronto-median cortex in voluntary action inhibition: A TMS study. </w:t>
      </w:r>
      <w:r w:rsidRPr="00E67B80">
        <w:rPr>
          <w:rFonts w:ascii="Arial" w:hAnsi="Arial" w:cs="Arial"/>
          <w:i/>
          <w:iCs/>
          <w:noProof/>
          <w:sz w:val="20"/>
          <w:szCs w:val="24"/>
        </w:rPr>
        <w:t>Brain Stimulation</w:t>
      </w:r>
      <w:r w:rsidRPr="00E67B80">
        <w:rPr>
          <w:rFonts w:ascii="Arial" w:hAnsi="Arial" w:cs="Arial"/>
          <w:noProof/>
          <w:sz w:val="20"/>
          <w:szCs w:val="24"/>
        </w:rPr>
        <w:t xml:space="preserve">, </w:t>
      </w:r>
      <w:r w:rsidRPr="00E67B80">
        <w:rPr>
          <w:rFonts w:ascii="Arial" w:hAnsi="Arial" w:cs="Arial"/>
          <w:i/>
          <w:iCs/>
          <w:noProof/>
          <w:sz w:val="20"/>
          <w:szCs w:val="24"/>
        </w:rPr>
        <w:t>10</w:t>
      </w:r>
      <w:r w:rsidRPr="00E67B80">
        <w:rPr>
          <w:rFonts w:ascii="Arial" w:hAnsi="Arial" w:cs="Arial"/>
          <w:noProof/>
          <w:sz w:val="20"/>
          <w:szCs w:val="24"/>
        </w:rPr>
        <w:t>(3), 596–603. https://doi.org/10.1016/j.brs.2016.12.009</w:t>
      </w:r>
    </w:p>
    <w:p w14:paraId="42456660" w14:textId="77777777" w:rsidR="00E67B80" w:rsidRPr="00E67B80" w:rsidRDefault="00E67B80" w:rsidP="00E67B80">
      <w:pPr>
        <w:widowControl w:val="0"/>
        <w:autoSpaceDE w:val="0"/>
        <w:autoSpaceDN w:val="0"/>
        <w:adjustRightInd w:val="0"/>
        <w:spacing w:after="0" w:line="360" w:lineRule="auto"/>
        <w:ind w:left="480" w:hanging="480"/>
        <w:rPr>
          <w:rFonts w:ascii="Arial" w:hAnsi="Arial" w:cs="Arial"/>
          <w:noProof/>
          <w:sz w:val="20"/>
          <w:szCs w:val="24"/>
        </w:rPr>
      </w:pPr>
      <w:r w:rsidRPr="00E67B80">
        <w:rPr>
          <w:rFonts w:ascii="Arial" w:hAnsi="Arial" w:cs="Arial"/>
          <w:noProof/>
          <w:sz w:val="20"/>
          <w:szCs w:val="24"/>
        </w:rPr>
        <w:t xml:space="preserve">Filevich, E., Kühn, S., &amp; Haggard, P. (2012). Intentional inhibition in human action: The power of “no.” </w:t>
      </w:r>
      <w:r w:rsidRPr="00E67B80">
        <w:rPr>
          <w:rFonts w:ascii="Arial" w:hAnsi="Arial" w:cs="Arial"/>
          <w:i/>
          <w:iCs/>
          <w:noProof/>
          <w:sz w:val="20"/>
          <w:szCs w:val="24"/>
        </w:rPr>
        <w:t>Neuroscience and Biobehavioral Reviews</w:t>
      </w:r>
      <w:r w:rsidRPr="00E67B80">
        <w:rPr>
          <w:rFonts w:ascii="Arial" w:hAnsi="Arial" w:cs="Arial"/>
          <w:noProof/>
          <w:sz w:val="20"/>
          <w:szCs w:val="24"/>
        </w:rPr>
        <w:t xml:space="preserve">, </w:t>
      </w:r>
      <w:r w:rsidRPr="00E67B80">
        <w:rPr>
          <w:rFonts w:ascii="Arial" w:hAnsi="Arial" w:cs="Arial"/>
          <w:i/>
          <w:iCs/>
          <w:noProof/>
          <w:sz w:val="20"/>
          <w:szCs w:val="24"/>
        </w:rPr>
        <w:t>36</w:t>
      </w:r>
      <w:r w:rsidRPr="00E67B80">
        <w:rPr>
          <w:rFonts w:ascii="Arial" w:hAnsi="Arial" w:cs="Arial"/>
          <w:noProof/>
          <w:sz w:val="20"/>
          <w:szCs w:val="24"/>
        </w:rPr>
        <w:t>(4), 1107–1118. https://doi.org/10.1016/j.neubiorev.2012.01.006</w:t>
      </w:r>
    </w:p>
    <w:p w14:paraId="7B753701" w14:textId="77777777" w:rsidR="00E67B80" w:rsidRPr="00E67B80" w:rsidRDefault="00E67B80" w:rsidP="00E67B80">
      <w:pPr>
        <w:widowControl w:val="0"/>
        <w:autoSpaceDE w:val="0"/>
        <w:autoSpaceDN w:val="0"/>
        <w:adjustRightInd w:val="0"/>
        <w:spacing w:after="0" w:line="360" w:lineRule="auto"/>
        <w:ind w:left="480" w:hanging="480"/>
        <w:rPr>
          <w:rFonts w:ascii="Arial" w:hAnsi="Arial" w:cs="Arial"/>
          <w:noProof/>
          <w:sz w:val="20"/>
          <w:szCs w:val="24"/>
        </w:rPr>
      </w:pPr>
      <w:r w:rsidRPr="00E67B80">
        <w:rPr>
          <w:rFonts w:ascii="Arial" w:hAnsi="Arial" w:cs="Arial"/>
          <w:noProof/>
          <w:sz w:val="20"/>
          <w:szCs w:val="24"/>
        </w:rPr>
        <w:t xml:space="preserve">Filevich, E., Kühn, S., &amp; Haggard, P. (2013). There is no free won’t: Antecedent brain activity predicts decisions to inhibit. </w:t>
      </w:r>
      <w:r w:rsidRPr="00E67B80">
        <w:rPr>
          <w:rFonts w:ascii="Arial" w:hAnsi="Arial" w:cs="Arial"/>
          <w:i/>
          <w:iCs/>
          <w:noProof/>
          <w:sz w:val="20"/>
          <w:szCs w:val="24"/>
        </w:rPr>
        <w:t>PloS One</w:t>
      </w:r>
      <w:r w:rsidRPr="00E67B80">
        <w:rPr>
          <w:rFonts w:ascii="Arial" w:hAnsi="Arial" w:cs="Arial"/>
          <w:noProof/>
          <w:sz w:val="20"/>
          <w:szCs w:val="24"/>
        </w:rPr>
        <w:t xml:space="preserve">, </w:t>
      </w:r>
      <w:r w:rsidRPr="00E67B80">
        <w:rPr>
          <w:rFonts w:ascii="Arial" w:hAnsi="Arial" w:cs="Arial"/>
          <w:i/>
          <w:iCs/>
          <w:noProof/>
          <w:sz w:val="20"/>
          <w:szCs w:val="24"/>
        </w:rPr>
        <w:t>8</w:t>
      </w:r>
      <w:r w:rsidRPr="00E67B80">
        <w:rPr>
          <w:rFonts w:ascii="Arial" w:hAnsi="Arial" w:cs="Arial"/>
          <w:noProof/>
          <w:sz w:val="20"/>
          <w:szCs w:val="24"/>
        </w:rPr>
        <w:t>(2).</w:t>
      </w:r>
    </w:p>
    <w:p w14:paraId="5ACC222A" w14:textId="77777777" w:rsidR="00E67B80" w:rsidRPr="00E67B80" w:rsidRDefault="00E67B80" w:rsidP="00E67B80">
      <w:pPr>
        <w:widowControl w:val="0"/>
        <w:autoSpaceDE w:val="0"/>
        <w:autoSpaceDN w:val="0"/>
        <w:adjustRightInd w:val="0"/>
        <w:spacing w:after="0" w:line="360" w:lineRule="auto"/>
        <w:ind w:left="480" w:hanging="480"/>
        <w:rPr>
          <w:rFonts w:ascii="Arial" w:hAnsi="Arial" w:cs="Arial"/>
          <w:noProof/>
          <w:sz w:val="20"/>
          <w:szCs w:val="24"/>
        </w:rPr>
      </w:pPr>
      <w:r w:rsidRPr="00E67B80">
        <w:rPr>
          <w:rFonts w:ascii="Arial" w:hAnsi="Arial" w:cs="Arial"/>
          <w:noProof/>
          <w:sz w:val="20"/>
          <w:szCs w:val="24"/>
        </w:rPr>
        <w:t xml:space="preserve">Hoofs, V., Böhler, N., &amp; Krebs, R. (2019). Biasing actions by incentive valence in an approach/avoidance Task. </w:t>
      </w:r>
      <w:r w:rsidRPr="00E67B80">
        <w:rPr>
          <w:rFonts w:ascii="Arial" w:hAnsi="Arial" w:cs="Arial"/>
          <w:i/>
          <w:iCs/>
          <w:noProof/>
          <w:sz w:val="20"/>
          <w:szCs w:val="24"/>
        </w:rPr>
        <w:t>COLLABRA-PSYCHOLOGY</w:t>
      </w:r>
      <w:r w:rsidRPr="00E67B80">
        <w:rPr>
          <w:rFonts w:ascii="Arial" w:hAnsi="Arial" w:cs="Arial"/>
          <w:noProof/>
          <w:sz w:val="20"/>
          <w:szCs w:val="24"/>
        </w:rPr>
        <w:t xml:space="preserve">, </w:t>
      </w:r>
      <w:r w:rsidRPr="00E67B80">
        <w:rPr>
          <w:rFonts w:ascii="Arial" w:hAnsi="Arial" w:cs="Arial"/>
          <w:i/>
          <w:iCs/>
          <w:noProof/>
          <w:sz w:val="20"/>
          <w:szCs w:val="24"/>
        </w:rPr>
        <w:t>5</w:t>
      </w:r>
      <w:r w:rsidRPr="00E67B80">
        <w:rPr>
          <w:rFonts w:ascii="Arial" w:hAnsi="Arial" w:cs="Arial"/>
          <w:noProof/>
          <w:sz w:val="20"/>
          <w:szCs w:val="24"/>
        </w:rPr>
        <w:t>(1).</w:t>
      </w:r>
    </w:p>
    <w:p w14:paraId="64478863" w14:textId="77777777" w:rsidR="00E67B80" w:rsidRPr="008A60DF" w:rsidRDefault="00E67B80" w:rsidP="00E67B80">
      <w:pPr>
        <w:widowControl w:val="0"/>
        <w:autoSpaceDE w:val="0"/>
        <w:autoSpaceDN w:val="0"/>
        <w:adjustRightInd w:val="0"/>
        <w:spacing w:after="0" w:line="360" w:lineRule="auto"/>
        <w:ind w:left="480" w:hanging="480"/>
        <w:rPr>
          <w:rFonts w:ascii="Arial" w:hAnsi="Arial" w:cs="Arial"/>
          <w:noProof/>
          <w:sz w:val="20"/>
          <w:szCs w:val="24"/>
          <w:lang w:val="de-DE"/>
        </w:rPr>
      </w:pPr>
      <w:r w:rsidRPr="00E67B80">
        <w:rPr>
          <w:rFonts w:ascii="Arial" w:hAnsi="Arial" w:cs="Arial"/>
          <w:noProof/>
          <w:sz w:val="20"/>
          <w:szCs w:val="24"/>
        </w:rPr>
        <w:t xml:space="preserve">Jahanshahi, M., Obeso, I., Rothwell, J. C., &amp; Obeso, J. A. (2015). A fronto-striato-subthalamic-pallidal network for goal-directed and habitual inhibition. </w:t>
      </w:r>
      <w:r w:rsidRPr="008A60DF">
        <w:rPr>
          <w:rFonts w:ascii="Arial" w:hAnsi="Arial" w:cs="Arial"/>
          <w:i/>
          <w:iCs/>
          <w:noProof/>
          <w:sz w:val="20"/>
          <w:szCs w:val="24"/>
          <w:lang w:val="de-DE"/>
        </w:rPr>
        <w:t>Nature Reviews Neuroscience</w:t>
      </w:r>
      <w:r w:rsidRPr="008A60DF">
        <w:rPr>
          <w:rFonts w:ascii="Arial" w:hAnsi="Arial" w:cs="Arial"/>
          <w:noProof/>
          <w:sz w:val="20"/>
          <w:szCs w:val="24"/>
          <w:lang w:val="de-DE"/>
        </w:rPr>
        <w:t xml:space="preserve">, </w:t>
      </w:r>
      <w:r w:rsidRPr="008A60DF">
        <w:rPr>
          <w:rFonts w:ascii="Arial" w:hAnsi="Arial" w:cs="Arial"/>
          <w:i/>
          <w:iCs/>
          <w:noProof/>
          <w:sz w:val="20"/>
          <w:szCs w:val="24"/>
          <w:lang w:val="de-DE"/>
        </w:rPr>
        <w:t>16</w:t>
      </w:r>
      <w:r w:rsidRPr="008A60DF">
        <w:rPr>
          <w:rFonts w:ascii="Arial" w:hAnsi="Arial" w:cs="Arial"/>
          <w:noProof/>
          <w:sz w:val="20"/>
          <w:szCs w:val="24"/>
          <w:lang w:val="de-DE"/>
        </w:rPr>
        <w:t>(12), 719–732. https://doi.org/10.1038/nrn4038</w:t>
      </w:r>
    </w:p>
    <w:p w14:paraId="274823B8" w14:textId="77777777" w:rsidR="00E67B80" w:rsidRPr="00E67B80" w:rsidRDefault="00E67B80" w:rsidP="00E67B80">
      <w:pPr>
        <w:widowControl w:val="0"/>
        <w:autoSpaceDE w:val="0"/>
        <w:autoSpaceDN w:val="0"/>
        <w:adjustRightInd w:val="0"/>
        <w:spacing w:after="0" w:line="360" w:lineRule="auto"/>
        <w:ind w:left="480" w:hanging="480"/>
        <w:rPr>
          <w:rFonts w:ascii="Arial" w:hAnsi="Arial" w:cs="Arial"/>
          <w:noProof/>
          <w:sz w:val="20"/>
          <w:szCs w:val="24"/>
        </w:rPr>
      </w:pPr>
      <w:r w:rsidRPr="008A60DF">
        <w:rPr>
          <w:rFonts w:ascii="Arial" w:hAnsi="Arial" w:cs="Arial"/>
          <w:noProof/>
          <w:sz w:val="20"/>
          <w:szCs w:val="24"/>
          <w:lang w:val="de-DE"/>
        </w:rPr>
        <w:lastRenderedPageBreak/>
        <w:t xml:space="preserve">Karch, S., Mulert, C., Thalmeier, T., Lutz, J., Leicht, G., Meindl, T., Möller, H., Jäger, L., &amp; Pogarell, O. (2009). </w:t>
      </w:r>
      <w:r w:rsidRPr="00E67B80">
        <w:rPr>
          <w:rFonts w:ascii="Arial" w:hAnsi="Arial" w:cs="Arial"/>
          <w:noProof/>
          <w:sz w:val="20"/>
          <w:szCs w:val="24"/>
        </w:rPr>
        <w:t xml:space="preserve">The free choice whether or not to respond after stimulus presentation. </w:t>
      </w:r>
      <w:r w:rsidRPr="00E67B80">
        <w:rPr>
          <w:rFonts w:ascii="Arial" w:hAnsi="Arial" w:cs="Arial"/>
          <w:i/>
          <w:iCs/>
          <w:noProof/>
          <w:sz w:val="20"/>
          <w:szCs w:val="24"/>
        </w:rPr>
        <w:t>Human Brain Mapping</w:t>
      </w:r>
      <w:r w:rsidRPr="00E67B80">
        <w:rPr>
          <w:rFonts w:ascii="Arial" w:hAnsi="Arial" w:cs="Arial"/>
          <w:noProof/>
          <w:sz w:val="20"/>
          <w:szCs w:val="24"/>
        </w:rPr>
        <w:t xml:space="preserve">, </w:t>
      </w:r>
      <w:r w:rsidRPr="00E67B80">
        <w:rPr>
          <w:rFonts w:ascii="Arial" w:hAnsi="Arial" w:cs="Arial"/>
          <w:i/>
          <w:iCs/>
          <w:noProof/>
          <w:sz w:val="20"/>
          <w:szCs w:val="24"/>
        </w:rPr>
        <w:t>30</w:t>
      </w:r>
      <w:r w:rsidRPr="00E67B80">
        <w:rPr>
          <w:rFonts w:ascii="Arial" w:hAnsi="Arial" w:cs="Arial"/>
          <w:noProof/>
          <w:sz w:val="20"/>
          <w:szCs w:val="24"/>
        </w:rPr>
        <w:t>(9), 2971–2985.</w:t>
      </w:r>
    </w:p>
    <w:p w14:paraId="158F16F3" w14:textId="77777777" w:rsidR="00E67B80" w:rsidRPr="00E67B80" w:rsidRDefault="00E67B80" w:rsidP="00E67B80">
      <w:pPr>
        <w:widowControl w:val="0"/>
        <w:autoSpaceDE w:val="0"/>
        <w:autoSpaceDN w:val="0"/>
        <w:adjustRightInd w:val="0"/>
        <w:spacing w:after="0" w:line="360" w:lineRule="auto"/>
        <w:ind w:left="480" w:hanging="480"/>
        <w:rPr>
          <w:rFonts w:ascii="Arial" w:hAnsi="Arial" w:cs="Arial"/>
          <w:noProof/>
          <w:sz w:val="20"/>
          <w:szCs w:val="24"/>
        </w:rPr>
      </w:pPr>
      <w:r w:rsidRPr="00E67B80">
        <w:rPr>
          <w:rFonts w:ascii="Arial" w:hAnsi="Arial" w:cs="Arial"/>
          <w:noProof/>
          <w:sz w:val="20"/>
          <w:szCs w:val="24"/>
        </w:rPr>
        <w:t xml:space="preserve">Kojovic, M., Higgins, A., &amp; Jahanshahi, M. (2016). In Parkinson’s disease STN stimulation enhances responsiveness of movement initiation speed to high reward value. </w:t>
      </w:r>
      <w:r w:rsidRPr="00E67B80">
        <w:rPr>
          <w:rFonts w:ascii="Arial" w:hAnsi="Arial" w:cs="Arial"/>
          <w:i/>
          <w:iCs/>
          <w:noProof/>
          <w:sz w:val="20"/>
          <w:szCs w:val="24"/>
        </w:rPr>
        <w:t>Neuropsychologia</w:t>
      </w:r>
      <w:r w:rsidRPr="00E67B80">
        <w:rPr>
          <w:rFonts w:ascii="Arial" w:hAnsi="Arial" w:cs="Arial"/>
          <w:noProof/>
          <w:sz w:val="20"/>
          <w:szCs w:val="24"/>
        </w:rPr>
        <w:t xml:space="preserve">, </w:t>
      </w:r>
      <w:r w:rsidRPr="00E67B80">
        <w:rPr>
          <w:rFonts w:ascii="Arial" w:hAnsi="Arial" w:cs="Arial"/>
          <w:i/>
          <w:iCs/>
          <w:noProof/>
          <w:sz w:val="20"/>
          <w:szCs w:val="24"/>
        </w:rPr>
        <w:t>89</w:t>
      </w:r>
      <w:r w:rsidRPr="00E67B80">
        <w:rPr>
          <w:rFonts w:ascii="Arial" w:hAnsi="Arial" w:cs="Arial"/>
          <w:noProof/>
          <w:sz w:val="20"/>
          <w:szCs w:val="24"/>
        </w:rPr>
        <w:t>, 273–280.</w:t>
      </w:r>
    </w:p>
    <w:p w14:paraId="2D70183C" w14:textId="77777777" w:rsidR="00E67B80" w:rsidRPr="00E67B80" w:rsidRDefault="00E67B80" w:rsidP="00E67B80">
      <w:pPr>
        <w:widowControl w:val="0"/>
        <w:autoSpaceDE w:val="0"/>
        <w:autoSpaceDN w:val="0"/>
        <w:adjustRightInd w:val="0"/>
        <w:spacing w:after="0" w:line="360" w:lineRule="auto"/>
        <w:ind w:left="480" w:hanging="480"/>
        <w:rPr>
          <w:rFonts w:ascii="Arial" w:hAnsi="Arial" w:cs="Arial"/>
          <w:noProof/>
          <w:sz w:val="20"/>
          <w:szCs w:val="24"/>
        </w:rPr>
      </w:pPr>
      <w:r w:rsidRPr="00E67B80">
        <w:rPr>
          <w:rFonts w:ascii="Arial" w:hAnsi="Arial" w:cs="Arial"/>
          <w:noProof/>
          <w:sz w:val="20"/>
          <w:szCs w:val="24"/>
        </w:rPr>
        <w:t xml:space="preserve">Kühn, S., &amp; Brass, M. (2009). When doing nothing is an option: the neural correlates of deciding whether to act or not. </w:t>
      </w:r>
      <w:r w:rsidRPr="00E67B80">
        <w:rPr>
          <w:rFonts w:ascii="Arial" w:hAnsi="Arial" w:cs="Arial"/>
          <w:i/>
          <w:iCs/>
          <w:noProof/>
          <w:sz w:val="20"/>
          <w:szCs w:val="24"/>
        </w:rPr>
        <w:t>Neuroimage</w:t>
      </w:r>
      <w:r w:rsidRPr="00E67B80">
        <w:rPr>
          <w:rFonts w:ascii="Arial" w:hAnsi="Arial" w:cs="Arial"/>
          <w:noProof/>
          <w:sz w:val="20"/>
          <w:szCs w:val="24"/>
        </w:rPr>
        <w:t xml:space="preserve">, </w:t>
      </w:r>
      <w:r w:rsidRPr="00E67B80">
        <w:rPr>
          <w:rFonts w:ascii="Arial" w:hAnsi="Arial" w:cs="Arial"/>
          <w:i/>
          <w:iCs/>
          <w:noProof/>
          <w:sz w:val="20"/>
          <w:szCs w:val="24"/>
        </w:rPr>
        <w:t>46</w:t>
      </w:r>
      <w:r w:rsidRPr="00E67B80">
        <w:rPr>
          <w:rFonts w:ascii="Arial" w:hAnsi="Arial" w:cs="Arial"/>
          <w:noProof/>
          <w:sz w:val="20"/>
          <w:szCs w:val="24"/>
        </w:rPr>
        <w:t>(4), 1187–1193.</w:t>
      </w:r>
    </w:p>
    <w:p w14:paraId="405E72DD" w14:textId="77777777" w:rsidR="00E67B80" w:rsidRPr="00E67B80" w:rsidRDefault="00E67B80" w:rsidP="00E67B80">
      <w:pPr>
        <w:widowControl w:val="0"/>
        <w:autoSpaceDE w:val="0"/>
        <w:autoSpaceDN w:val="0"/>
        <w:adjustRightInd w:val="0"/>
        <w:spacing w:after="0" w:line="360" w:lineRule="auto"/>
        <w:ind w:left="480" w:hanging="480"/>
        <w:rPr>
          <w:rFonts w:ascii="Arial" w:hAnsi="Arial" w:cs="Arial"/>
          <w:noProof/>
          <w:sz w:val="20"/>
          <w:szCs w:val="24"/>
        </w:rPr>
      </w:pPr>
      <w:r w:rsidRPr="00E67B80">
        <w:rPr>
          <w:rFonts w:ascii="Arial" w:hAnsi="Arial" w:cs="Arial"/>
          <w:noProof/>
          <w:sz w:val="20"/>
          <w:szCs w:val="24"/>
        </w:rPr>
        <w:t xml:space="preserve">Kühn, S., Haggard, P., &amp; Brass, M. (2009). Intentional inhibition: How the “veto-area” exerts control. </w:t>
      </w:r>
      <w:r w:rsidRPr="00E67B80">
        <w:rPr>
          <w:rFonts w:ascii="Arial" w:hAnsi="Arial" w:cs="Arial"/>
          <w:i/>
          <w:iCs/>
          <w:noProof/>
          <w:sz w:val="20"/>
          <w:szCs w:val="24"/>
        </w:rPr>
        <w:t>Human Brain Mapping</w:t>
      </w:r>
      <w:r w:rsidRPr="00E67B80">
        <w:rPr>
          <w:rFonts w:ascii="Arial" w:hAnsi="Arial" w:cs="Arial"/>
          <w:noProof/>
          <w:sz w:val="20"/>
          <w:szCs w:val="24"/>
        </w:rPr>
        <w:t xml:space="preserve">, </w:t>
      </w:r>
      <w:r w:rsidRPr="00E67B80">
        <w:rPr>
          <w:rFonts w:ascii="Arial" w:hAnsi="Arial" w:cs="Arial"/>
          <w:i/>
          <w:iCs/>
          <w:noProof/>
          <w:sz w:val="20"/>
          <w:szCs w:val="24"/>
        </w:rPr>
        <w:t>30</w:t>
      </w:r>
      <w:r w:rsidRPr="00E67B80">
        <w:rPr>
          <w:rFonts w:ascii="Arial" w:hAnsi="Arial" w:cs="Arial"/>
          <w:noProof/>
          <w:sz w:val="20"/>
          <w:szCs w:val="24"/>
        </w:rPr>
        <w:t>(9), 2834–2843. https://doi.org/10.1002/hbm.20711</w:t>
      </w:r>
    </w:p>
    <w:p w14:paraId="0269638D" w14:textId="77777777" w:rsidR="00E67B80" w:rsidRPr="00E67B80" w:rsidRDefault="00E67B80" w:rsidP="00E67B80">
      <w:pPr>
        <w:widowControl w:val="0"/>
        <w:autoSpaceDE w:val="0"/>
        <w:autoSpaceDN w:val="0"/>
        <w:adjustRightInd w:val="0"/>
        <w:spacing w:after="0" w:line="360" w:lineRule="auto"/>
        <w:ind w:left="480" w:hanging="480"/>
        <w:rPr>
          <w:rFonts w:ascii="Arial" w:hAnsi="Arial" w:cs="Arial"/>
          <w:noProof/>
          <w:sz w:val="20"/>
          <w:szCs w:val="24"/>
        </w:rPr>
      </w:pPr>
      <w:r w:rsidRPr="00E67B80">
        <w:rPr>
          <w:rFonts w:ascii="Arial" w:hAnsi="Arial" w:cs="Arial"/>
          <w:noProof/>
          <w:sz w:val="20"/>
          <w:szCs w:val="24"/>
        </w:rPr>
        <w:t xml:space="preserve">Lakens, D. (2013). Calculating and reporting effect sizes to facilitate cumulative science: a practical primer for t-tests and ANOVAs. </w:t>
      </w:r>
      <w:r w:rsidRPr="00E67B80">
        <w:rPr>
          <w:rFonts w:ascii="Arial" w:hAnsi="Arial" w:cs="Arial"/>
          <w:i/>
          <w:iCs/>
          <w:noProof/>
          <w:sz w:val="20"/>
          <w:szCs w:val="24"/>
        </w:rPr>
        <w:t>Frontiers in Psychology</w:t>
      </w:r>
      <w:r w:rsidRPr="00E67B80">
        <w:rPr>
          <w:rFonts w:ascii="Arial" w:hAnsi="Arial" w:cs="Arial"/>
          <w:noProof/>
          <w:sz w:val="20"/>
          <w:szCs w:val="24"/>
        </w:rPr>
        <w:t xml:space="preserve">, </w:t>
      </w:r>
      <w:r w:rsidRPr="00E67B80">
        <w:rPr>
          <w:rFonts w:ascii="Arial" w:hAnsi="Arial" w:cs="Arial"/>
          <w:i/>
          <w:iCs/>
          <w:noProof/>
          <w:sz w:val="20"/>
          <w:szCs w:val="24"/>
        </w:rPr>
        <w:t>4</w:t>
      </w:r>
      <w:r w:rsidRPr="00E67B80">
        <w:rPr>
          <w:rFonts w:ascii="Arial" w:hAnsi="Arial" w:cs="Arial"/>
          <w:noProof/>
          <w:sz w:val="20"/>
          <w:szCs w:val="24"/>
        </w:rPr>
        <w:t>, 863.</w:t>
      </w:r>
    </w:p>
    <w:p w14:paraId="201CD4D8" w14:textId="77777777" w:rsidR="00E67B80" w:rsidRPr="00E67B80" w:rsidRDefault="00E67B80" w:rsidP="00E67B80">
      <w:pPr>
        <w:widowControl w:val="0"/>
        <w:autoSpaceDE w:val="0"/>
        <w:autoSpaceDN w:val="0"/>
        <w:adjustRightInd w:val="0"/>
        <w:spacing w:after="0" w:line="360" w:lineRule="auto"/>
        <w:ind w:left="480" w:hanging="480"/>
        <w:rPr>
          <w:rFonts w:ascii="Arial" w:hAnsi="Arial" w:cs="Arial"/>
          <w:noProof/>
          <w:sz w:val="20"/>
          <w:szCs w:val="24"/>
        </w:rPr>
      </w:pPr>
      <w:r w:rsidRPr="00E67B80">
        <w:rPr>
          <w:rFonts w:ascii="Arial" w:hAnsi="Arial" w:cs="Arial"/>
          <w:noProof/>
          <w:sz w:val="20"/>
          <w:szCs w:val="24"/>
        </w:rPr>
        <w:t xml:space="preserve">Leotti, L. A., &amp; Wager, T. D. (2010). Motivational influences on response inhibition measures. </w:t>
      </w:r>
      <w:r w:rsidRPr="00E67B80">
        <w:rPr>
          <w:rFonts w:ascii="Arial" w:hAnsi="Arial" w:cs="Arial"/>
          <w:i/>
          <w:iCs/>
          <w:noProof/>
          <w:sz w:val="20"/>
          <w:szCs w:val="24"/>
        </w:rPr>
        <w:t>Journal of Experimental Psychology: Human Perception and Performance</w:t>
      </w:r>
      <w:r w:rsidRPr="00E67B80">
        <w:rPr>
          <w:rFonts w:ascii="Arial" w:hAnsi="Arial" w:cs="Arial"/>
          <w:noProof/>
          <w:sz w:val="20"/>
          <w:szCs w:val="24"/>
        </w:rPr>
        <w:t xml:space="preserve">, </w:t>
      </w:r>
      <w:r w:rsidRPr="00E67B80">
        <w:rPr>
          <w:rFonts w:ascii="Arial" w:hAnsi="Arial" w:cs="Arial"/>
          <w:i/>
          <w:iCs/>
          <w:noProof/>
          <w:sz w:val="20"/>
          <w:szCs w:val="24"/>
        </w:rPr>
        <w:t>36</w:t>
      </w:r>
      <w:r w:rsidRPr="00E67B80">
        <w:rPr>
          <w:rFonts w:ascii="Arial" w:hAnsi="Arial" w:cs="Arial"/>
          <w:noProof/>
          <w:sz w:val="20"/>
          <w:szCs w:val="24"/>
        </w:rPr>
        <w:t>(2), 430.</w:t>
      </w:r>
    </w:p>
    <w:p w14:paraId="0D1E13ED" w14:textId="77777777" w:rsidR="00E67B80" w:rsidRPr="00E67B80" w:rsidRDefault="00E67B80" w:rsidP="00E67B80">
      <w:pPr>
        <w:widowControl w:val="0"/>
        <w:autoSpaceDE w:val="0"/>
        <w:autoSpaceDN w:val="0"/>
        <w:adjustRightInd w:val="0"/>
        <w:spacing w:after="0" w:line="360" w:lineRule="auto"/>
        <w:ind w:left="480" w:hanging="480"/>
        <w:rPr>
          <w:rFonts w:ascii="Arial" w:hAnsi="Arial" w:cs="Arial"/>
          <w:noProof/>
          <w:sz w:val="20"/>
          <w:szCs w:val="24"/>
        </w:rPr>
      </w:pPr>
      <w:r w:rsidRPr="00E67B80">
        <w:rPr>
          <w:rFonts w:ascii="Arial" w:hAnsi="Arial" w:cs="Arial"/>
          <w:noProof/>
          <w:sz w:val="20"/>
          <w:szCs w:val="24"/>
        </w:rPr>
        <w:t xml:space="preserve">Littman, R., &amp; Takács, Á. (2017). Do all inhibitions act alike? A study of go/no-go and stop-signal paradigms. </w:t>
      </w:r>
      <w:r w:rsidRPr="00E67B80">
        <w:rPr>
          <w:rFonts w:ascii="Arial" w:hAnsi="Arial" w:cs="Arial"/>
          <w:i/>
          <w:iCs/>
          <w:noProof/>
          <w:sz w:val="20"/>
          <w:szCs w:val="24"/>
        </w:rPr>
        <w:t>PloS One</w:t>
      </w:r>
      <w:r w:rsidRPr="00E67B80">
        <w:rPr>
          <w:rFonts w:ascii="Arial" w:hAnsi="Arial" w:cs="Arial"/>
          <w:noProof/>
          <w:sz w:val="20"/>
          <w:szCs w:val="24"/>
        </w:rPr>
        <w:t xml:space="preserve">, </w:t>
      </w:r>
      <w:r w:rsidRPr="00E67B80">
        <w:rPr>
          <w:rFonts w:ascii="Arial" w:hAnsi="Arial" w:cs="Arial"/>
          <w:i/>
          <w:iCs/>
          <w:noProof/>
          <w:sz w:val="20"/>
          <w:szCs w:val="24"/>
        </w:rPr>
        <w:t>12</w:t>
      </w:r>
      <w:r w:rsidRPr="00E67B80">
        <w:rPr>
          <w:rFonts w:ascii="Arial" w:hAnsi="Arial" w:cs="Arial"/>
          <w:noProof/>
          <w:sz w:val="20"/>
          <w:szCs w:val="24"/>
        </w:rPr>
        <w:t>(10), e0186774.</w:t>
      </w:r>
    </w:p>
    <w:p w14:paraId="55EF3114" w14:textId="77777777" w:rsidR="00E67B80" w:rsidRPr="00E67B80" w:rsidRDefault="00E67B80" w:rsidP="00E67B80">
      <w:pPr>
        <w:widowControl w:val="0"/>
        <w:autoSpaceDE w:val="0"/>
        <w:autoSpaceDN w:val="0"/>
        <w:adjustRightInd w:val="0"/>
        <w:spacing w:after="0" w:line="360" w:lineRule="auto"/>
        <w:ind w:left="480" w:hanging="480"/>
        <w:rPr>
          <w:rFonts w:ascii="Arial" w:hAnsi="Arial" w:cs="Arial"/>
          <w:noProof/>
          <w:sz w:val="20"/>
          <w:szCs w:val="24"/>
        </w:rPr>
      </w:pPr>
      <w:r w:rsidRPr="00E67B80">
        <w:rPr>
          <w:rFonts w:ascii="Arial" w:hAnsi="Arial" w:cs="Arial"/>
          <w:noProof/>
          <w:sz w:val="20"/>
          <w:szCs w:val="24"/>
        </w:rPr>
        <w:t xml:space="preserve">Liu, Y., Van Den Wildenberg, W. P. M., González, G. F., Rigoni, D., Brass, M., Wiers, R. W., &amp; Ridderinkhof, K. R. (2020). “free won’t” after a beer or two: Chronic and acute effects of alcohol on neural and behavioral indices of intentional inhibition. </w:t>
      </w:r>
      <w:r w:rsidRPr="00E67B80">
        <w:rPr>
          <w:rFonts w:ascii="Arial" w:hAnsi="Arial" w:cs="Arial"/>
          <w:i/>
          <w:iCs/>
          <w:noProof/>
          <w:sz w:val="20"/>
          <w:szCs w:val="24"/>
        </w:rPr>
        <w:t>BMC Psychology</w:t>
      </w:r>
      <w:r w:rsidRPr="00E67B80">
        <w:rPr>
          <w:rFonts w:ascii="Arial" w:hAnsi="Arial" w:cs="Arial"/>
          <w:noProof/>
          <w:sz w:val="20"/>
          <w:szCs w:val="24"/>
        </w:rPr>
        <w:t xml:space="preserve">, </w:t>
      </w:r>
      <w:r w:rsidRPr="00E67B80">
        <w:rPr>
          <w:rFonts w:ascii="Arial" w:hAnsi="Arial" w:cs="Arial"/>
          <w:i/>
          <w:iCs/>
          <w:noProof/>
          <w:sz w:val="20"/>
          <w:szCs w:val="24"/>
        </w:rPr>
        <w:t>8</w:t>
      </w:r>
      <w:r w:rsidRPr="00E67B80">
        <w:rPr>
          <w:rFonts w:ascii="Arial" w:hAnsi="Arial" w:cs="Arial"/>
          <w:noProof/>
          <w:sz w:val="20"/>
          <w:szCs w:val="24"/>
        </w:rPr>
        <w:t>(1). https://doi.org/10.1186/s40359-019-0367-z</w:t>
      </w:r>
    </w:p>
    <w:p w14:paraId="543ABF21" w14:textId="77777777" w:rsidR="00E67B80" w:rsidRPr="00E67B80" w:rsidRDefault="00E67B80" w:rsidP="00E67B80">
      <w:pPr>
        <w:widowControl w:val="0"/>
        <w:autoSpaceDE w:val="0"/>
        <w:autoSpaceDN w:val="0"/>
        <w:adjustRightInd w:val="0"/>
        <w:spacing w:after="0" w:line="360" w:lineRule="auto"/>
        <w:ind w:left="480" w:hanging="480"/>
        <w:rPr>
          <w:rFonts w:ascii="Arial" w:hAnsi="Arial" w:cs="Arial"/>
          <w:noProof/>
          <w:sz w:val="20"/>
          <w:szCs w:val="24"/>
        </w:rPr>
      </w:pPr>
      <w:r w:rsidRPr="00E67B80">
        <w:rPr>
          <w:rFonts w:ascii="Arial" w:hAnsi="Arial" w:cs="Arial"/>
          <w:noProof/>
          <w:sz w:val="20"/>
          <w:szCs w:val="24"/>
        </w:rPr>
        <w:t xml:space="preserve">Logan, G. D., Cowan, W. B., &amp; Davis, K. A. (1984). On the ability to inhibit simple and choice reaction time responses: a model and a method. </w:t>
      </w:r>
      <w:r w:rsidRPr="00E67B80">
        <w:rPr>
          <w:rFonts w:ascii="Arial" w:hAnsi="Arial" w:cs="Arial"/>
          <w:i/>
          <w:iCs/>
          <w:noProof/>
          <w:sz w:val="20"/>
          <w:szCs w:val="24"/>
        </w:rPr>
        <w:t>Journal of Experimental Psychology: Human Perception and Performance</w:t>
      </w:r>
      <w:r w:rsidRPr="00E67B80">
        <w:rPr>
          <w:rFonts w:ascii="Arial" w:hAnsi="Arial" w:cs="Arial"/>
          <w:noProof/>
          <w:sz w:val="20"/>
          <w:szCs w:val="24"/>
        </w:rPr>
        <w:t xml:space="preserve">, </w:t>
      </w:r>
      <w:r w:rsidRPr="00E67B80">
        <w:rPr>
          <w:rFonts w:ascii="Arial" w:hAnsi="Arial" w:cs="Arial"/>
          <w:i/>
          <w:iCs/>
          <w:noProof/>
          <w:sz w:val="20"/>
          <w:szCs w:val="24"/>
        </w:rPr>
        <w:t>10</w:t>
      </w:r>
      <w:r w:rsidRPr="00E67B80">
        <w:rPr>
          <w:rFonts w:ascii="Arial" w:hAnsi="Arial" w:cs="Arial"/>
          <w:noProof/>
          <w:sz w:val="20"/>
          <w:szCs w:val="24"/>
        </w:rPr>
        <w:t>(2), 276.</w:t>
      </w:r>
    </w:p>
    <w:p w14:paraId="6CC34048" w14:textId="77777777" w:rsidR="00E67B80" w:rsidRPr="008A60DF" w:rsidRDefault="00E67B80" w:rsidP="00E67B80">
      <w:pPr>
        <w:widowControl w:val="0"/>
        <w:autoSpaceDE w:val="0"/>
        <w:autoSpaceDN w:val="0"/>
        <w:adjustRightInd w:val="0"/>
        <w:spacing w:after="0" w:line="360" w:lineRule="auto"/>
        <w:ind w:left="480" w:hanging="480"/>
        <w:rPr>
          <w:rFonts w:ascii="Arial" w:hAnsi="Arial" w:cs="Arial"/>
          <w:noProof/>
          <w:sz w:val="20"/>
          <w:szCs w:val="24"/>
          <w:lang w:val="de-DE"/>
        </w:rPr>
      </w:pPr>
      <w:r w:rsidRPr="00E67B80">
        <w:rPr>
          <w:rFonts w:ascii="Arial" w:hAnsi="Arial" w:cs="Arial"/>
          <w:noProof/>
          <w:sz w:val="20"/>
          <w:szCs w:val="24"/>
        </w:rPr>
        <w:t xml:space="preserve">Lotze, M., Erb, M., Flor, H., Huelsmann, E., Godde, B., &amp; Grodd, W. (2000). fMRI evaluation of somatotopic representation in human primary motor cortex. </w:t>
      </w:r>
      <w:r w:rsidRPr="008A60DF">
        <w:rPr>
          <w:rFonts w:ascii="Arial" w:hAnsi="Arial" w:cs="Arial"/>
          <w:i/>
          <w:iCs/>
          <w:noProof/>
          <w:sz w:val="20"/>
          <w:szCs w:val="24"/>
          <w:lang w:val="de-DE"/>
        </w:rPr>
        <w:t>Neuroimage</w:t>
      </w:r>
      <w:r w:rsidRPr="008A60DF">
        <w:rPr>
          <w:rFonts w:ascii="Arial" w:hAnsi="Arial" w:cs="Arial"/>
          <w:noProof/>
          <w:sz w:val="20"/>
          <w:szCs w:val="24"/>
          <w:lang w:val="de-DE"/>
        </w:rPr>
        <w:t xml:space="preserve">, </w:t>
      </w:r>
      <w:r w:rsidRPr="008A60DF">
        <w:rPr>
          <w:rFonts w:ascii="Arial" w:hAnsi="Arial" w:cs="Arial"/>
          <w:i/>
          <w:iCs/>
          <w:noProof/>
          <w:sz w:val="20"/>
          <w:szCs w:val="24"/>
          <w:lang w:val="de-DE"/>
        </w:rPr>
        <w:t>11</w:t>
      </w:r>
      <w:r w:rsidRPr="008A60DF">
        <w:rPr>
          <w:rFonts w:ascii="Arial" w:hAnsi="Arial" w:cs="Arial"/>
          <w:noProof/>
          <w:sz w:val="20"/>
          <w:szCs w:val="24"/>
          <w:lang w:val="de-DE"/>
        </w:rPr>
        <w:t>(5), 473–481.</w:t>
      </w:r>
    </w:p>
    <w:p w14:paraId="19860E8F" w14:textId="77777777" w:rsidR="00E67B80" w:rsidRPr="008A60DF" w:rsidRDefault="00E67B80" w:rsidP="00E67B80">
      <w:pPr>
        <w:widowControl w:val="0"/>
        <w:autoSpaceDE w:val="0"/>
        <w:autoSpaceDN w:val="0"/>
        <w:adjustRightInd w:val="0"/>
        <w:spacing w:after="0" w:line="360" w:lineRule="auto"/>
        <w:ind w:left="480" w:hanging="480"/>
        <w:rPr>
          <w:rFonts w:ascii="Arial" w:hAnsi="Arial" w:cs="Arial"/>
          <w:noProof/>
          <w:sz w:val="20"/>
          <w:szCs w:val="24"/>
          <w:lang w:val="de-DE"/>
        </w:rPr>
      </w:pPr>
      <w:r w:rsidRPr="008A60DF">
        <w:rPr>
          <w:rFonts w:ascii="Arial" w:hAnsi="Arial" w:cs="Arial"/>
          <w:noProof/>
          <w:sz w:val="20"/>
          <w:szCs w:val="24"/>
          <w:lang w:val="de-DE"/>
        </w:rPr>
        <w:t xml:space="preserve">Lynn, M. T., Muhle-Karbe, P. S., &amp; Brass, M. (2014). </w:t>
      </w:r>
      <w:r w:rsidRPr="00E67B80">
        <w:rPr>
          <w:rFonts w:ascii="Arial" w:hAnsi="Arial" w:cs="Arial"/>
          <w:noProof/>
          <w:sz w:val="20"/>
          <w:szCs w:val="24"/>
        </w:rPr>
        <w:t xml:space="preserve">Controlling the self: The role of the dorsal frontomedian cortex in intentional inhibition. </w:t>
      </w:r>
      <w:r w:rsidRPr="008A60DF">
        <w:rPr>
          <w:rFonts w:ascii="Arial" w:hAnsi="Arial" w:cs="Arial"/>
          <w:i/>
          <w:iCs/>
          <w:noProof/>
          <w:sz w:val="20"/>
          <w:szCs w:val="24"/>
          <w:lang w:val="de-DE"/>
        </w:rPr>
        <w:t>Neuropsychologia</w:t>
      </w:r>
      <w:r w:rsidRPr="008A60DF">
        <w:rPr>
          <w:rFonts w:ascii="Arial" w:hAnsi="Arial" w:cs="Arial"/>
          <w:noProof/>
          <w:sz w:val="20"/>
          <w:szCs w:val="24"/>
          <w:lang w:val="de-DE"/>
        </w:rPr>
        <w:t xml:space="preserve">, </w:t>
      </w:r>
      <w:r w:rsidRPr="008A60DF">
        <w:rPr>
          <w:rFonts w:ascii="Arial" w:hAnsi="Arial" w:cs="Arial"/>
          <w:i/>
          <w:iCs/>
          <w:noProof/>
          <w:sz w:val="20"/>
          <w:szCs w:val="24"/>
          <w:lang w:val="de-DE"/>
        </w:rPr>
        <w:t>65</w:t>
      </w:r>
      <w:r w:rsidRPr="008A60DF">
        <w:rPr>
          <w:rFonts w:ascii="Arial" w:hAnsi="Arial" w:cs="Arial"/>
          <w:noProof/>
          <w:sz w:val="20"/>
          <w:szCs w:val="24"/>
          <w:lang w:val="de-DE"/>
        </w:rPr>
        <w:t>, 247–254. https://doi.org/10.1016/j.neuropsychologia.2014.09.009</w:t>
      </w:r>
    </w:p>
    <w:p w14:paraId="46E935ED" w14:textId="77777777" w:rsidR="00E67B80" w:rsidRPr="00E67B80" w:rsidRDefault="00E67B80" w:rsidP="00E67B80">
      <w:pPr>
        <w:widowControl w:val="0"/>
        <w:autoSpaceDE w:val="0"/>
        <w:autoSpaceDN w:val="0"/>
        <w:adjustRightInd w:val="0"/>
        <w:spacing w:after="0" w:line="360" w:lineRule="auto"/>
        <w:ind w:left="480" w:hanging="480"/>
        <w:rPr>
          <w:rFonts w:ascii="Arial" w:hAnsi="Arial" w:cs="Arial"/>
          <w:noProof/>
          <w:sz w:val="20"/>
          <w:szCs w:val="24"/>
        </w:rPr>
      </w:pPr>
      <w:r w:rsidRPr="008A60DF">
        <w:rPr>
          <w:rFonts w:ascii="Arial" w:hAnsi="Arial" w:cs="Arial"/>
          <w:noProof/>
          <w:sz w:val="20"/>
          <w:szCs w:val="24"/>
          <w:lang w:val="de-DE"/>
        </w:rPr>
        <w:t xml:space="preserve">Lythe, K. E., Anderson, I. M., Deakin, J. F. W., Elliott, R., &amp; Strickland, P. L. (2005). </w:t>
      </w:r>
      <w:r w:rsidRPr="00E67B80">
        <w:rPr>
          <w:rFonts w:ascii="Arial" w:hAnsi="Arial" w:cs="Arial"/>
          <w:noProof/>
          <w:sz w:val="20"/>
          <w:szCs w:val="24"/>
        </w:rPr>
        <w:t xml:space="preserve">Lack of behavioural effects after acute tyrosine depletion in healthy volunteers. </w:t>
      </w:r>
      <w:r w:rsidRPr="00E67B80">
        <w:rPr>
          <w:rFonts w:ascii="Arial" w:hAnsi="Arial" w:cs="Arial"/>
          <w:i/>
          <w:iCs/>
          <w:noProof/>
          <w:sz w:val="20"/>
          <w:szCs w:val="24"/>
        </w:rPr>
        <w:t>Journal of Psychopharmacology</w:t>
      </w:r>
      <w:r w:rsidRPr="00E67B80">
        <w:rPr>
          <w:rFonts w:ascii="Arial" w:hAnsi="Arial" w:cs="Arial"/>
          <w:noProof/>
          <w:sz w:val="20"/>
          <w:szCs w:val="24"/>
        </w:rPr>
        <w:t xml:space="preserve">, </w:t>
      </w:r>
      <w:r w:rsidRPr="00E67B80">
        <w:rPr>
          <w:rFonts w:ascii="Arial" w:hAnsi="Arial" w:cs="Arial"/>
          <w:i/>
          <w:iCs/>
          <w:noProof/>
          <w:sz w:val="20"/>
          <w:szCs w:val="24"/>
        </w:rPr>
        <w:t>19</w:t>
      </w:r>
      <w:r w:rsidRPr="00E67B80">
        <w:rPr>
          <w:rFonts w:ascii="Arial" w:hAnsi="Arial" w:cs="Arial"/>
          <w:noProof/>
          <w:sz w:val="20"/>
          <w:szCs w:val="24"/>
        </w:rPr>
        <w:t>(1), 5–11.</w:t>
      </w:r>
    </w:p>
    <w:p w14:paraId="7BC6A4DA" w14:textId="77777777" w:rsidR="00E67B80" w:rsidRPr="00E67B80" w:rsidRDefault="00E67B80" w:rsidP="00E67B80">
      <w:pPr>
        <w:widowControl w:val="0"/>
        <w:autoSpaceDE w:val="0"/>
        <w:autoSpaceDN w:val="0"/>
        <w:adjustRightInd w:val="0"/>
        <w:spacing w:after="0" w:line="360" w:lineRule="auto"/>
        <w:ind w:left="480" w:hanging="480"/>
        <w:rPr>
          <w:rFonts w:ascii="Arial" w:hAnsi="Arial" w:cs="Arial"/>
          <w:noProof/>
          <w:sz w:val="20"/>
          <w:szCs w:val="24"/>
        </w:rPr>
      </w:pPr>
      <w:r w:rsidRPr="00E67B80">
        <w:rPr>
          <w:rFonts w:ascii="Arial" w:hAnsi="Arial" w:cs="Arial"/>
          <w:noProof/>
          <w:sz w:val="20"/>
          <w:szCs w:val="24"/>
        </w:rPr>
        <w:t xml:space="preserve">Manohar, S. G., Chong, T. T. J., Apps, M. A. J., Batla, A., Stamelou, M., Jarman, P. R., Bhatia, K. P., &amp; Husain, M. (2015). Reward Pays the Cost of Noise Reduction in Motor and Cognitive Control. </w:t>
      </w:r>
      <w:r w:rsidRPr="00E67B80">
        <w:rPr>
          <w:rFonts w:ascii="Arial" w:hAnsi="Arial" w:cs="Arial"/>
          <w:i/>
          <w:iCs/>
          <w:noProof/>
          <w:sz w:val="20"/>
          <w:szCs w:val="24"/>
        </w:rPr>
        <w:t>Current Biology</w:t>
      </w:r>
      <w:r w:rsidRPr="00E67B80">
        <w:rPr>
          <w:rFonts w:ascii="Arial" w:hAnsi="Arial" w:cs="Arial"/>
          <w:noProof/>
          <w:sz w:val="20"/>
          <w:szCs w:val="24"/>
        </w:rPr>
        <w:t xml:space="preserve">, </w:t>
      </w:r>
      <w:r w:rsidRPr="00E67B80">
        <w:rPr>
          <w:rFonts w:ascii="Arial" w:hAnsi="Arial" w:cs="Arial"/>
          <w:i/>
          <w:iCs/>
          <w:noProof/>
          <w:sz w:val="20"/>
          <w:szCs w:val="24"/>
        </w:rPr>
        <w:t>25</w:t>
      </w:r>
      <w:r w:rsidRPr="00E67B80">
        <w:rPr>
          <w:rFonts w:ascii="Arial" w:hAnsi="Arial" w:cs="Arial"/>
          <w:noProof/>
          <w:sz w:val="20"/>
          <w:szCs w:val="24"/>
        </w:rPr>
        <w:t>(13), 1707–1716. https://doi.org/10.1016/j.cub.2015.05.038</w:t>
      </w:r>
    </w:p>
    <w:p w14:paraId="0EAF44A5" w14:textId="77777777" w:rsidR="00E67B80" w:rsidRPr="00E67B80" w:rsidRDefault="00E67B80" w:rsidP="00E67B80">
      <w:pPr>
        <w:widowControl w:val="0"/>
        <w:autoSpaceDE w:val="0"/>
        <w:autoSpaceDN w:val="0"/>
        <w:adjustRightInd w:val="0"/>
        <w:spacing w:after="0" w:line="360" w:lineRule="auto"/>
        <w:ind w:left="480" w:hanging="480"/>
        <w:rPr>
          <w:rFonts w:ascii="Arial" w:hAnsi="Arial" w:cs="Arial"/>
          <w:noProof/>
          <w:sz w:val="20"/>
          <w:szCs w:val="24"/>
        </w:rPr>
      </w:pPr>
      <w:r w:rsidRPr="00E67B80">
        <w:rPr>
          <w:rFonts w:ascii="Arial" w:hAnsi="Arial" w:cs="Arial"/>
          <w:noProof/>
          <w:sz w:val="20"/>
          <w:szCs w:val="24"/>
        </w:rPr>
        <w:t xml:space="preserve">Mattler, U., &amp; Palmer, S. (2012). Time course of free-choice priming effects explained by a simple accumulator model. </w:t>
      </w:r>
      <w:r w:rsidRPr="00E67B80">
        <w:rPr>
          <w:rFonts w:ascii="Arial" w:hAnsi="Arial" w:cs="Arial"/>
          <w:i/>
          <w:iCs/>
          <w:noProof/>
          <w:sz w:val="20"/>
          <w:szCs w:val="24"/>
        </w:rPr>
        <w:t>Cognition</w:t>
      </w:r>
      <w:r w:rsidRPr="00E67B80">
        <w:rPr>
          <w:rFonts w:ascii="Arial" w:hAnsi="Arial" w:cs="Arial"/>
          <w:noProof/>
          <w:sz w:val="20"/>
          <w:szCs w:val="24"/>
        </w:rPr>
        <w:t xml:space="preserve">, </w:t>
      </w:r>
      <w:r w:rsidRPr="00E67B80">
        <w:rPr>
          <w:rFonts w:ascii="Arial" w:hAnsi="Arial" w:cs="Arial"/>
          <w:i/>
          <w:iCs/>
          <w:noProof/>
          <w:sz w:val="20"/>
          <w:szCs w:val="24"/>
        </w:rPr>
        <w:t>123</w:t>
      </w:r>
      <w:r w:rsidRPr="00E67B80">
        <w:rPr>
          <w:rFonts w:ascii="Arial" w:hAnsi="Arial" w:cs="Arial"/>
          <w:noProof/>
          <w:sz w:val="20"/>
          <w:szCs w:val="24"/>
        </w:rPr>
        <w:t>(3), 347–360.</w:t>
      </w:r>
    </w:p>
    <w:p w14:paraId="74E934BF" w14:textId="77777777" w:rsidR="00E67B80" w:rsidRPr="00E67B80" w:rsidRDefault="00E67B80" w:rsidP="00E67B80">
      <w:pPr>
        <w:widowControl w:val="0"/>
        <w:autoSpaceDE w:val="0"/>
        <w:autoSpaceDN w:val="0"/>
        <w:adjustRightInd w:val="0"/>
        <w:spacing w:after="0" w:line="360" w:lineRule="auto"/>
        <w:ind w:left="480" w:hanging="480"/>
        <w:rPr>
          <w:rFonts w:ascii="Arial" w:hAnsi="Arial" w:cs="Arial"/>
          <w:noProof/>
          <w:sz w:val="20"/>
          <w:szCs w:val="24"/>
        </w:rPr>
      </w:pPr>
      <w:r w:rsidRPr="00E67B80">
        <w:rPr>
          <w:rFonts w:ascii="Arial" w:hAnsi="Arial" w:cs="Arial"/>
          <w:noProof/>
          <w:sz w:val="20"/>
          <w:szCs w:val="24"/>
        </w:rPr>
        <w:t xml:space="preserve">Näätänen, R. (1971). Non-aging fore-periods and simple reaction time. </w:t>
      </w:r>
      <w:r w:rsidRPr="00E67B80">
        <w:rPr>
          <w:rFonts w:ascii="Arial" w:hAnsi="Arial" w:cs="Arial"/>
          <w:i/>
          <w:iCs/>
          <w:noProof/>
          <w:sz w:val="20"/>
          <w:szCs w:val="24"/>
        </w:rPr>
        <w:t>Acta Psychologica</w:t>
      </w:r>
      <w:r w:rsidRPr="00E67B80">
        <w:rPr>
          <w:rFonts w:ascii="Arial" w:hAnsi="Arial" w:cs="Arial"/>
          <w:noProof/>
          <w:sz w:val="20"/>
          <w:szCs w:val="24"/>
        </w:rPr>
        <w:t xml:space="preserve">, </w:t>
      </w:r>
      <w:r w:rsidRPr="00E67B80">
        <w:rPr>
          <w:rFonts w:ascii="Arial" w:hAnsi="Arial" w:cs="Arial"/>
          <w:i/>
          <w:iCs/>
          <w:noProof/>
          <w:sz w:val="20"/>
          <w:szCs w:val="24"/>
        </w:rPr>
        <w:t>35</w:t>
      </w:r>
      <w:r w:rsidRPr="00E67B80">
        <w:rPr>
          <w:rFonts w:ascii="Arial" w:hAnsi="Arial" w:cs="Arial"/>
          <w:noProof/>
          <w:sz w:val="20"/>
          <w:szCs w:val="24"/>
        </w:rPr>
        <w:t>(4), 316–327. https://doi.org/10.1016/0001-6918(71)90040-0</w:t>
      </w:r>
    </w:p>
    <w:p w14:paraId="3199762E" w14:textId="77777777" w:rsidR="00E67B80" w:rsidRPr="00E67B80" w:rsidRDefault="00E67B80" w:rsidP="00E67B80">
      <w:pPr>
        <w:widowControl w:val="0"/>
        <w:autoSpaceDE w:val="0"/>
        <w:autoSpaceDN w:val="0"/>
        <w:adjustRightInd w:val="0"/>
        <w:spacing w:after="0" w:line="360" w:lineRule="auto"/>
        <w:ind w:left="480" w:hanging="480"/>
        <w:rPr>
          <w:rFonts w:ascii="Arial" w:hAnsi="Arial" w:cs="Arial"/>
          <w:noProof/>
          <w:sz w:val="20"/>
          <w:szCs w:val="24"/>
        </w:rPr>
      </w:pPr>
      <w:r w:rsidRPr="00E67B80">
        <w:rPr>
          <w:rFonts w:ascii="Arial" w:hAnsi="Arial" w:cs="Arial"/>
          <w:noProof/>
          <w:sz w:val="20"/>
          <w:szCs w:val="24"/>
        </w:rPr>
        <w:t xml:space="preserve">Neumann, O., &amp; Klotz, W. (1994). Motor responses to nonreportable, masked stimuli: Where is the limit of direct parameter specification. </w:t>
      </w:r>
      <w:r w:rsidRPr="00E67B80">
        <w:rPr>
          <w:rFonts w:ascii="Arial" w:hAnsi="Arial" w:cs="Arial"/>
          <w:i/>
          <w:iCs/>
          <w:noProof/>
          <w:sz w:val="20"/>
          <w:szCs w:val="24"/>
        </w:rPr>
        <w:t xml:space="preserve">Attention and Performance XV: Conscious and </w:t>
      </w:r>
      <w:r w:rsidRPr="00E67B80">
        <w:rPr>
          <w:rFonts w:ascii="Arial" w:hAnsi="Arial" w:cs="Arial"/>
          <w:i/>
          <w:iCs/>
          <w:noProof/>
          <w:sz w:val="20"/>
          <w:szCs w:val="24"/>
        </w:rPr>
        <w:lastRenderedPageBreak/>
        <w:t>Nonconscious Information Processing</w:t>
      </w:r>
      <w:r w:rsidRPr="00E67B80">
        <w:rPr>
          <w:rFonts w:ascii="Arial" w:hAnsi="Arial" w:cs="Arial"/>
          <w:noProof/>
          <w:sz w:val="20"/>
          <w:szCs w:val="24"/>
        </w:rPr>
        <w:t>, 123–150.</w:t>
      </w:r>
    </w:p>
    <w:p w14:paraId="675780AD" w14:textId="77777777" w:rsidR="00E67B80" w:rsidRPr="00E67B80" w:rsidRDefault="00E67B80" w:rsidP="00E67B80">
      <w:pPr>
        <w:widowControl w:val="0"/>
        <w:autoSpaceDE w:val="0"/>
        <w:autoSpaceDN w:val="0"/>
        <w:adjustRightInd w:val="0"/>
        <w:spacing w:after="0" w:line="360" w:lineRule="auto"/>
        <w:ind w:left="480" w:hanging="480"/>
        <w:rPr>
          <w:rFonts w:ascii="Arial" w:hAnsi="Arial" w:cs="Arial"/>
          <w:noProof/>
          <w:sz w:val="20"/>
          <w:szCs w:val="24"/>
        </w:rPr>
      </w:pPr>
      <w:r w:rsidRPr="00E67B80">
        <w:rPr>
          <w:rFonts w:ascii="Arial" w:hAnsi="Arial" w:cs="Arial"/>
          <w:noProof/>
          <w:sz w:val="20"/>
          <w:szCs w:val="24"/>
        </w:rPr>
        <w:t xml:space="preserve">Parkinson, J., Garfinkel, S., Critchley, H., Dienes, Z., &amp; Seth, A. K. (2017). Don’t make me angry, you wouldn’t like me when I’m angry: volitional choices to act or inhibit are modulated by subliminal perception of emotional faces. </w:t>
      </w:r>
      <w:r w:rsidRPr="00E67B80">
        <w:rPr>
          <w:rFonts w:ascii="Arial" w:hAnsi="Arial" w:cs="Arial"/>
          <w:i/>
          <w:iCs/>
          <w:noProof/>
          <w:sz w:val="20"/>
          <w:szCs w:val="24"/>
        </w:rPr>
        <w:t>Cognitive, Affective, &amp; Behavioral Neuroscience</w:t>
      </w:r>
      <w:r w:rsidRPr="00E67B80">
        <w:rPr>
          <w:rFonts w:ascii="Arial" w:hAnsi="Arial" w:cs="Arial"/>
          <w:noProof/>
          <w:sz w:val="20"/>
          <w:szCs w:val="24"/>
        </w:rPr>
        <w:t xml:space="preserve">, </w:t>
      </w:r>
      <w:r w:rsidRPr="00E67B80">
        <w:rPr>
          <w:rFonts w:ascii="Arial" w:hAnsi="Arial" w:cs="Arial"/>
          <w:i/>
          <w:iCs/>
          <w:noProof/>
          <w:sz w:val="20"/>
          <w:szCs w:val="24"/>
        </w:rPr>
        <w:t>17</w:t>
      </w:r>
      <w:r w:rsidRPr="00E67B80">
        <w:rPr>
          <w:rFonts w:ascii="Arial" w:hAnsi="Arial" w:cs="Arial"/>
          <w:noProof/>
          <w:sz w:val="20"/>
          <w:szCs w:val="24"/>
        </w:rPr>
        <w:t>(2), 252–268.</w:t>
      </w:r>
    </w:p>
    <w:p w14:paraId="22F04F01" w14:textId="77777777" w:rsidR="00E67B80" w:rsidRPr="00E67B80" w:rsidRDefault="00E67B80" w:rsidP="00E67B80">
      <w:pPr>
        <w:widowControl w:val="0"/>
        <w:autoSpaceDE w:val="0"/>
        <w:autoSpaceDN w:val="0"/>
        <w:adjustRightInd w:val="0"/>
        <w:spacing w:after="0" w:line="360" w:lineRule="auto"/>
        <w:ind w:left="480" w:hanging="480"/>
        <w:rPr>
          <w:rFonts w:ascii="Arial" w:hAnsi="Arial" w:cs="Arial"/>
          <w:noProof/>
          <w:sz w:val="20"/>
          <w:szCs w:val="24"/>
        </w:rPr>
      </w:pPr>
      <w:r w:rsidRPr="00E67B80">
        <w:rPr>
          <w:rFonts w:ascii="Arial" w:hAnsi="Arial" w:cs="Arial"/>
          <w:noProof/>
          <w:sz w:val="20"/>
          <w:szCs w:val="24"/>
        </w:rPr>
        <w:t xml:space="preserve">Parkinson, J., &amp; Haggard, P. (2014). Subliminal priming of intentional inhibition. </w:t>
      </w:r>
      <w:r w:rsidRPr="00E67B80">
        <w:rPr>
          <w:rFonts w:ascii="Arial" w:hAnsi="Arial" w:cs="Arial"/>
          <w:i/>
          <w:iCs/>
          <w:noProof/>
          <w:sz w:val="20"/>
          <w:szCs w:val="24"/>
        </w:rPr>
        <w:t>Cognition</w:t>
      </w:r>
      <w:r w:rsidRPr="00E67B80">
        <w:rPr>
          <w:rFonts w:ascii="Arial" w:hAnsi="Arial" w:cs="Arial"/>
          <w:noProof/>
          <w:sz w:val="20"/>
          <w:szCs w:val="24"/>
        </w:rPr>
        <w:t xml:space="preserve">, </w:t>
      </w:r>
      <w:r w:rsidRPr="00E67B80">
        <w:rPr>
          <w:rFonts w:ascii="Arial" w:hAnsi="Arial" w:cs="Arial"/>
          <w:i/>
          <w:iCs/>
          <w:noProof/>
          <w:sz w:val="20"/>
          <w:szCs w:val="24"/>
        </w:rPr>
        <w:t>130</w:t>
      </w:r>
      <w:r w:rsidRPr="00E67B80">
        <w:rPr>
          <w:rFonts w:ascii="Arial" w:hAnsi="Arial" w:cs="Arial"/>
          <w:noProof/>
          <w:sz w:val="20"/>
          <w:szCs w:val="24"/>
        </w:rPr>
        <w:t>(2), 255–265. https://doi.org/10.1016/j.cognition.2013.11.005</w:t>
      </w:r>
    </w:p>
    <w:p w14:paraId="7813B140" w14:textId="77777777" w:rsidR="00E67B80" w:rsidRPr="00E67B80" w:rsidRDefault="00E67B80" w:rsidP="00E67B80">
      <w:pPr>
        <w:widowControl w:val="0"/>
        <w:autoSpaceDE w:val="0"/>
        <w:autoSpaceDN w:val="0"/>
        <w:adjustRightInd w:val="0"/>
        <w:spacing w:after="0" w:line="360" w:lineRule="auto"/>
        <w:ind w:left="480" w:hanging="480"/>
        <w:rPr>
          <w:rFonts w:ascii="Arial" w:hAnsi="Arial" w:cs="Arial"/>
          <w:noProof/>
          <w:sz w:val="20"/>
          <w:szCs w:val="24"/>
        </w:rPr>
      </w:pPr>
      <w:r w:rsidRPr="00E67B80">
        <w:rPr>
          <w:rFonts w:ascii="Arial" w:hAnsi="Arial" w:cs="Arial"/>
          <w:noProof/>
          <w:sz w:val="20"/>
          <w:szCs w:val="24"/>
        </w:rPr>
        <w:t xml:space="preserve">Parkinson, J., &amp; Haggard, P. (2015). Choosing to stop: Responses evoked by externally triggered and internally generated inhibition identify a neural mechanism of will. </w:t>
      </w:r>
      <w:r w:rsidRPr="00E67B80">
        <w:rPr>
          <w:rFonts w:ascii="Arial" w:hAnsi="Arial" w:cs="Arial"/>
          <w:i/>
          <w:iCs/>
          <w:noProof/>
          <w:sz w:val="20"/>
          <w:szCs w:val="24"/>
        </w:rPr>
        <w:t>Journal of Cognitive Neuroscience</w:t>
      </w:r>
      <w:r w:rsidRPr="00E67B80">
        <w:rPr>
          <w:rFonts w:ascii="Arial" w:hAnsi="Arial" w:cs="Arial"/>
          <w:noProof/>
          <w:sz w:val="20"/>
          <w:szCs w:val="24"/>
        </w:rPr>
        <w:t>.</w:t>
      </w:r>
    </w:p>
    <w:p w14:paraId="2683E6ED" w14:textId="77777777" w:rsidR="00E67B80" w:rsidRPr="00E67B80" w:rsidRDefault="00E67B80" w:rsidP="00E67B80">
      <w:pPr>
        <w:widowControl w:val="0"/>
        <w:autoSpaceDE w:val="0"/>
        <w:autoSpaceDN w:val="0"/>
        <w:adjustRightInd w:val="0"/>
        <w:spacing w:after="0" w:line="360" w:lineRule="auto"/>
        <w:ind w:left="480" w:hanging="480"/>
        <w:rPr>
          <w:rFonts w:ascii="Arial" w:hAnsi="Arial" w:cs="Arial"/>
          <w:noProof/>
          <w:sz w:val="20"/>
          <w:szCs w:val="24"/>
        </w:rPr>
      </w:pPr>
      <w:r w:rsidRPr="00E67B80">
        <w:rPr>
          <w:rFonts w:ascii="Arial" w:hAnsi="Arial" w:cs="Arial"/>
          <w:noProof/>
          <w:sz w:val="20"/>
          <w:szCs w:val="24"/>
        </w:rPr>
        <w:t xml:space="preserve">Puumala, T., Björklund, M., Ruotsalainen, S., Riekkinen, M., Jäkälä, P., Haapalinna, A., Björk, E., Riekkinen Jr, P., &amp; Sirviö, J. (1997). Lack of relationship between thalamic oscillations and attention in rats: differential modulation by an alpha-2 antagonist. </w:t>
      </w:r>
      <w:r w:rsidRPr="00E67B80">
        <w:rPr>
          <w:rFonts w:ascii="Arial" w:hAnsi="Arial" w:cs="Arial"/>
          <w:i/>
          <w:iCs/>
          <w:noProof/>
          <w:sz w:val="20"/>
          <w:szCs w:val="24"/>
        </w:rPr>
        <w:t>Brain Research Bulletin</w:t>
      </w:r>
      <w:r w:rsidRPr="00E67B80">
        <w:rPr>
          <w:rFonts w:ascii="Arial" w:hAnsi="Arial" w:cs="Arial"/>
          <w:noProof/>
          <w:sz w:val="20"/>
          <w:szCs w:val="24"/>
        </w:rPr>
        <w:t xml:space="preserve">, </w:t>
      </w:r>
      <w:r w:rsidRPr="00E67B80">
        <w:rPr>
          <w:rFonts w:ascii="Arial" w:hAnsi="Arial" w:cs="Arial"/>
          <w:i/>
          <w:iCs/>
          <w:noProof/>
          <w:sz w:val="20"/>
          <w:szCs w:val="24"/>
        </w:rPr>
        <w:t>43</w:t>
      </w:r>
      <w:r w:rsidRPr="00E67B80">
        <w:rPr>
          <w:rFonts w:ascii="Arial" w:hAnsi="Arial" w:cs="Arial"/>
          <w:noProof/>
          <w:sz w:val="20"/>
          <w:szCs w:val="24"/>
        </w:rPr>
        <w:t>(2), 163–171.</w:t>
      </w:r>
    </w:p>
    <w:p w14:paraId="2D3EE38C" w14:textId="77777777" w:rsidR="00E67B80" w:rsidRPr="00E67B80" w:rsidRDefault="00E67B80" w:rsidP="00E67B80">
      <w:pPr>
        <w:widowControl w:val="0"/>
        <w:autoSpaceDE w:val="0"/>
        <w:autoSpaceDN w:val="0"/>
        <w:adjustRightInd w:val="0"/>
        <w:spacing w:after="0" w:line="360" w:lineRule="auto"/>
        <w:ind w:left="480" w:hanging="480"/>
        <w:rPr>
          <w:rFonts w:ascii="Arial" w:hAnsi="Arial" w:cs="Arial"/>
          <w:noProof/>
          <w:sz w:val="20"/>
          <w:szCs w:val="24"/>
        </w:rPr>
      </w:pPr>
      <w:r w:rsidRPr="00E67B80">
        <w:rPr>
          <w:rFonts w:ascii="Arial" w:hAnsi="Arial" w:cs="Arial"/>
          <w:noProof/>
          <w:sz w:val="20"/>
          <w:szCs w:val="24"/>
        </w:rPr>
        <w:t xml:space="preserve">R Core Team. (2020). R: A Language and Environment for Statistical Computing. R Foundation for Statistical Computing. </w:t>
      </w:r>
      <w:r w:rsidRPr="00E67B80">
        <w:rPr>
          <w:rFonts w:ascii="Arial" w:hAnsi="Arial" w:cs="Arial"/>
          <w:i/>
          <w:iCs/>
          <w:noProof/>
          <w:sz w:val="20"/>
          <w:szCs w:val="24"/>
        </w:rPr>
        <w:t>Vienna, Austria. URL Http://Www.R-Project.Org/.</w:t>
      </w:r>
      <w:r w:rsidRPr="00E67B80">
        <w:rPr>
          <w:rFonts w:ascii="Arial" w:hAnsi="Arial" w:cs="Arial"/>
          <w:noProof/>
          <w:sz w:val="20"/>
          <w:szCs w:val="24"/>
        </w:rPr>
        <w:t xml:space="preserve"> http://www.r-project.org/</w:t>
      </w:r>
    </w:p>
    <w:p w14:paraId="60AC3658" w14:textId="77777777" w:rsidR="00E67B80" w:rsidRPr="00E67B80" w:rsidRDefault="00E67B80" w:rsidP="00E67B80">
      <w:pPr>
        <w:widowControl w:val="0"/>
        <w:autoSpaceDE w:val="0"/>
        <w:autoSpaceDN w:val="0"/>
        <w:adjustRightInd w:val="0"/>
        <w:spacing w:after="0" w:line="360" w:lineRule="auto"/>
        <w:ind w:left="480" w:hanging="480"/>
        <w:rPr>
          <w:rFonts w:ascii="Arial" w:hAnsi="Arial" w:cs="Arial"/>
          <w:noProof/>
          <w:sz w:val="20"/>
          <w:szCs w:val="24"/>
        </w:rPr>
      </w:pPr>
      <w:r w:rsidRPr="008A60DF">
        <w:rPr>
          <w:rFonts w:ascii="Arial" w:hAnsi="Arial" w:cs="Arial"/>
          <w:noProof/>
          <w:sz w:val="20"/>
          <w:szCs w:val="24"/>
          <w:lang w:val="da-DK"/>
        </w:rPr>
        <w:t xml:space="preserve">Rao, S. M., Binder, J. R., Hammeke, Ta., Bandettini, P. A., Bobholz, J. A., Frost, J. A., Myklebust, B. M., Jacobson, R. D., &amp; Hyde, J. S. (1995). </w:t>
      </w:r>
      <w:r w:rsidRPr="00E67B80">
        <w:rPr>
          <w:rFonts w:ascii="Arial" w:hAnsi="Arial" w:cs="Arial"/>
          <w:noProof/>
          <w:sz w:val="20"/>
          <w:szCs w:val="24"/>
        </w:rPr>
        <w:t xml:space="preserve">Somatotopic mapping of the human primary motor cortex with functional magnetic resonance imaging. </w:t>
      </w:r>
      <w:r w:rsidRPr="00E67B80">
        <w:rPr>
          <w:rFonts w:ascii="Arial" w:hAnsi="Arial" w:cs="Arial"/>
          <w:i/>
          <w:iCs/>
          <w:noProof/>
          <w:sz w:val="20"/>
          <w:szCs w:val="24"/>
        </w:rPr>
        <w:t>Neurology</w:t>
      </w:r>
      <w:r w:rsidRPr="00E67B80">
        <w:rPr>
          <w:rFonts w:ascii="Arial" w:hAnsi="Arial" w:cs="Arial"/>
          <w:noProof/>
          <w:sz w:val="20"/>
          <w:szCs w:val="24"/>
        </w:rPr>
        <w:t xml:space="preserve">, </w:t>
      </w:r>
      <w:r w:rsidRPr="00E67B80">
        <w:rPr>
          <w:rFonts w:ascii="Arial" w:hAnsi="Arial" w:cs="Arial"/>
          <w:i/>
          <w:iCs/>
          <w:noProof/>
          <w:sz w:val="20"/>
          <w:szCs w:val="24"/>
        </w:rPr>
        <w:t>45</w:t>
      </w:r>
      <w:r w:rsidRPr="00E67B80">
        <w:rPr>
          <w:rFonts w:ascii="Arial" w:hAnsi="Arial" w:cs="Arial"/>
          <w:noProof/>
          <w:sz w:val="20"/>
          <w:szCs w:val="24"/>
        </w:rPr>
        <w:t>(5), 919–924.</w:t>
      </w:r>
    </w:p>
    <w:p w14:paraId="49ADA88F" w14:textId="77777777" w:rsidR="00E67B80" w:rsidRPr="00E67B80" w:rsidRDefault="00E67B80" w:rsidP="00E67B80">
      <w:pPr>
        <w:widowControl w:val="0"/>
        <w:autoSpaceDE w:val="0"/>
        <w:autoSpaceDN w:val="0"/>
        <w:adjustRightInd w:val="0"/>
        <w:spacing w:after="0" w:line="360" w:lineRule="auto"/>
        <w:ind w:left="480" w:hanging="480"/>
        <w:rPr>
          <w:rFonts w:ascii="Arial" w:hAnsi="Arial" w:cs="Arial"/>
          <w:noProof/>
          <w:sz w:val="20"/>
          <w:szCs w:val="24"/>
        </w:rPr>
      </w:pPr>
      <w:r w:rsidRPr="00E67B80">
        <w:rPr>
          <w:rFonts w:ascii="Arial" w:hAnsi="Arial" w:cs="Arial"/>
          <w:noProof/>
          <w:sz w:val="20"/>
          <w:szCs w:val="24"/>
        </w:rPr>
        <w:t xml:space="preserve">Ridderinkhof, K. R., Wildenberg, W. P. M. Van Den, &amp; Brass, M. (2014). Neuropsychologia “ Don ’ t ” versus “ Won ’ t ” : Principles , mechanisms , and intention in action inhibition. </w:t>
      </w:r>
      <w:r w:rsidRPr="00E67B80">
        <w:rPr>
          <w:rFonts w:ascii="Arial" w:hAnsi="Arial" w:cs="Arial"/>
          <w:i/>
          <w:iCs/>
          <w:noProof/>
          <w:sz w:val="20"/>
          <w:szCs w:val="24"/>
        </w:rPr>
        <w:t>Neuropsychologia</w:t>
      </w:r>
      <w:r w:rsidRPr="00E67B80">
        <w:rPr>
          <w:rFonts w:ascii="Arial" w:hAnsi="Arial" w:cs="Arial"/>
          <w:noProof/>
          <w:sz w:val="20"/>
          <w:szCs w:val="24"/>
        </w:rPr>
        <w:t>, 1–8. https://doi.org/10.1016/j.neuropsychologia.2014.09.005</w:t>
      </w:r>
    </w:p>
    <w:p w14:paraId="26284094" w14:textId="77777777" w:rsidR="00E67B80" w:rsidRPr="00E67B80" w:rsidRDefault="00E67B80" w:rsidP="00E67B80">
      <w:pPr>
        <w:widowControl w:val="0"/>
        <w:autoSpaceDE w:val="0"/>
        <w:autoSpaceDN w:val="0"/>
        <w:adjustRightInd w:val="0"/>
        <w:spacing w:after="0" w:line="360" w:lineRule="auto"/>
        <w:ind w:left="480" w:hanging="480"/>
        <w:rPr>
          <w:rFonts w:ascii="Arial" w:hAnsi="Arial" w:cs="Arial"/>
          <w:noProof/>
          <w:sz w:val="20"/>
          <w:szCs w:val="24"/>
        </w:rPr>
      </w:pPr>
      <w:r w:rsidRPr="00E67B80">
        <w:rPr>
          <w:rFonts w:ascii="Arial" w:hAnsi="Arial" w:cs="Arial"/>
          <w:noProof/>
          <w:sz w:val="20"/>
          <w:szCs w:val="24"/>
        </w:rPr>
        <w:t xml:space="preserve">Schel, M. a., Kühn, S., Brass, M., Haggard, P., Ridderinkhof, K. R., &amp; Crone, E. a. (2014). Neural correlates of intentional and stimulus-driven inhibition: a comparison. </w:t>
      </w:r>
      <w:r w:rsidRPr="00E67B80">
        <w:rPr>
          <w:rFonts w:ascii="Arial" w:hAnsi="Arial" w:cs="Arial"/>
          <w:i/>
          <w:iCs/>
          <w:noProof/>
          <w:sz w:val="20"/>
          <w:szCs w:val="24"/>
        </w:rPr>
        <w:t>Frontiers in Human Neuroscience</w:t>
      </w:r>
      <w:r w:rsidRPr="00E67B80">
        <w:rPr>
          <w:rFonts w:ascii="Arial" w:hAnsi="Arial" w:cs="Arial"/>
          <w:noProof/>
          <w:sz w:val="20"/>
          <w:szCs w:val="24"/>
        </w:rPr>
        <w:t xml:space="preserve">, </w:t>
      </w:r>
      <w:r w:rsidRPr="00E67B80">
        <w:rPr>
          <w:rFonts w:ascii="Arial" w:hAnsi="Arial" w:cs="Arial"/>
          <w:i/>
          <w:iCs/>
          <w:noProof/>
          <w:sz w:val="20"/>
          <w:szCs w:val="24"/>
        </w:rPr>
        <w:t>8</w:t>
      </w:r>
      <w:r w:rsidRPr="00E67B80">
        <w:rPr>
          <w:rFonts w:ascii="Arial" w:hAnsi="Arial" w:cs="Arial"/>
          <w:noProof/>
          <w:sz w:val="20"/>
          <w:szCs w:val="24"/>
        </w:rPr>
        <w:t>(February), 27. https://doi.org/10.3389/fnhum.2014.00027</w:t>
      </w:r>
    </w:p>
    <w:p w14:paraId="7142444E" w14:textId="77777777" w:rsidR="00E67B80" w:rsidRPr="00E67B80" w:rsidRDefault="00E67B80" w:rsidP="00E67B80">
      <w:pPr>
        <w:widowControl w:val="0"/>
        <w:autoSpaceDE w:val="0"/>
        <w:autoSpaceDN w:val="0"/>
        <w:adjustRightInd w:val="0"/>
        <w:spacing w:after="0" w:line="360" w:lineRule="auto"/>
        <w:ind w:left="480" w:hanging="480"/>
        <w:rPr>
          <w:rFonts w:ascii="Arial" w:hAnsi="Arial" w:cs="Arial"/>
          <w:noProof/>
          <w:sz w:val="20"/>
          <w:szCs w:val="24"/>
        </w:rPr>
      </w:pPr>
      <w:r w:rsidRPr="00E67B80">
        <w:rPr>
          <w:rFonts w:ascii="Arial" w:hAnsi="Arial" w:cs="Arial"/>
          <w:noProof/>
          <w:sz w:val="20"/>
          <w:szCs w:val="24"/>
        </w:rPr>
        <w:t xml:space="preserve">Shirinbayan, S. I., Dreyer, A. M., &amp; Rieger, J. W. (2019). Cortical and subcortical areas involved in the regulation of reach movement speed in the human brain: An fMRI study. </w:t>
      </w:r>
      <w:r w:rsidRPr="00E67B80">
        <w:rPr>
          <w:rFonts w:ascii="Arial" w:hAnsi="Arial" w:cs="Arial"/>
          <w:i/>
          <w:iCs/>
          <w:noProof/>
          <w:sz w:val="20"/>
          <w:szCs w:val="24"/>
        </w:rPr>
        <w:t>Human Brain Mapping</w:t>
      </w:r>
      <w:r w:rsidRPr="00E67B80">
        <w:rPr>
          <w:rFonts w:ascii="Arial" w:hAnsi="Arial" w:cs="Arial"/>
          <w:noProof/>
          <w:sz w:val="20"/>
          <w:szCs w:val="24"/>
        </w:rPr>
        <w:t xml:space="preserve">, </w:t>
      </w:r>
      <w:r w:rsidRPr="00E67B80">
        <w:rPr>
          <w:rFonts w:ascii="Arial" w:hAnsi="Arial" w:cs="Arial"/>
          <w:i/>
          <w:iCs/>
          <w:noProof/>
          <w:sz w:val="20"/>
          <w:szCs w:val="24"/>
        </w:rPr>
        <w:t>40</w:t>
      </w:r>
      <w:r w:rsidRPr="00E67B80">
        <w:rPr>
          <w:rFonts w:ascii="Arial" w:hAnsi="Arial" w:cs="Arial"/>
          <w:noProof/>
          <w:sz w:val="20"/>
          <w:szCs w:val="24"/>
        </w:rPr>
        <w:t>(1), 151–162.</w:t>
      </w:r>
    </w:p>
    <w:p w14:paraId="16435CAC" w14:textId="77777777" w:rsidR="00E67B80" w:rsidRPr="00E67B80" w:rsidRDefault="00E67B80" w:rsidP="00E67B80">
      <w:pPr>
        <w:widowControl w:val="0"/>
        <w:autoSpaceDE w:val="0"/>
        <w:autoSpaceDN w:val="0"/>
        <w:adjustRightInd w:val="0"/>
        <w:spacing w:after="0" w:line="360" w:lineRule="auto"/>
        <w:ind w:left="480" w:hanging="480"/>
        <w:rPr>
          <w:rFonts w:ascii="Arial" w:hAnsi="Arial" w:cs="Arial"/>
          <w:noProof/>
          <w:sz w:val="20"/>
          <w:szCs w:val="24"/>
        </w:rPr>
      </w:pPr>
      <w:r w:rsidRPr="00E67B80">
        <w:rPr>
          <w:rFonts w:ascii="Arial" w:hAnsi="Arial" w:cs="Arial"/>
          <w:noProof/>
          <w:sz w:val="20"/>
          <w:szCs w:val="24"/>
        </w:rPr>
        <w:t xml:space="preserve">Signorell, A., Aho, K., Alfons, A., Anderegg, N., Aragon, T., Arppe, A., Baddeley, A., Barton, K., Bolker, B., &amp; Borchers, H. W. (2020). </w:t>
      </w:r>
      <w:r w:rsidRPr="00E67B80">
        <w:rPr>
          <w:rFonts w:ascii="Arial" w:hAnsi="Arial" w:cs="Arial"/>
          <w:i/>
          <w:iCs/>
          <w:noProof/>
          <w:sz w:val="20"/>
          <w:szCs w:val="24"/>
        </w:rPr>
        <w:t>DescTools: tools for descriptive statistics. R package version 0.99. 34</w:t>
      </w:r>
      <w:r w:rsidRPr="00E67B80">
        <w:rPr>
          <w:rFonts w:ascii="Arial" w:hAnsi="Arial" w:cs="Arial"/>
          <w:noProof/>
          <w:sz w:val="20"/>
          <w:szCs w:val="24"/>
        </w:rPr>
        <w:t>.</w:t>
      </w:r>
    </w:p>
    <w:p w14:paraId="31470189" w14:textId="77777777" w:rsidR="00E67B80" w:rsidRPr="00E67B80" w:rsidRDefault="00E67B80" w:rsidP="00E67B80">
      <w:pPr>
        <w:widowControl w:val="0"/>
        <w:autoSpaceDE w:val="0"/>
        <w:autoSpaceDN w:val="0"/>
        <w:adjustRightInd w:val="0"/>
        <w:spacing w:after="0" w:line="360" w:lineRule="auto"/>
        <w:ind w:left="480" w:hanging="480"/>
        <w:rPr>
          <w:rFonts w:ascii="Arial" w:hAnsi="Arial" w:cs="Arial"/>
          <w:noProof/>
          <w:sz w:val="20"/>
          <w:szCs w:val="24"/>
        </w:rPr>
      </w:pPr>
      <w:r w:rsidRPr="00E67B80">
        <w:rPr>
          <w:rFonts w:ascii="Arial" w:hAnsi="Arial" w:cs="Arial"/>
          <w:noProof/>
          <w:sz w:val="20"/>
          <w:szCs w:val="24"/>
        </w:rPr>
        <w:t xml:space="preserve">Simmonds, D. J., Pekar, J. J., &amp; Mostofsky, S. H. (2008). Meta-analysis of Go/No-go tasks demonstrating that fMRI activation associated with response inhibition is task-dependent. </w:t>
      </w:r>
      <w:r w:rsidRPr="00E67B80">
        <w:rPr>
          <w:rFonts w:ascii="Arial" w:hAnsi="Arial" w:cs="Arial"/>
          <w:i/>
          <w:iCs/>
          <w:noProof/>
          <w:sz w:val="20"/>
          <w:szCs w:val="24"/>
        </w:rPr>
        <w:t>Neuropsychologia</w:t>
      </w:r>
      <w:r w:rsidRPr="00E67B80">
        <w:rPr>
          <w:rFonts w:ascii="Arial" w:hAnsi="Arial" w:cs="Arial"/>
          <w:noProof/>
          <w:sz w:val="20"/>
          <w:szCs w:val="24"/>
        </w:rPr>
        <w:t xml:space="preserve">, </w:t>
      </w:r>
      <w:r w:rsidRPr="00E67B80">
        <w:rPr>
          <w:rFonts w:ascii="Arial" w:hAnsi="Arial" w:cs="Arial"/>
          <w:i/>
          <w:iCs/>
          <w:noProof/>
          <w:sz w:val="20"/>
          <w:szCs w:val="24"/>
        </w:rPr>
        <w:t>46</w:t>
      </w:r>
      <w:r w:rsidRPr="00E67B80">
        <w:rPr>
          <w:rFonts w:ascii="Arial" w:hAnsi="Arial" w:cs="Arial"/>
          <w:noProof/>
          <w:sz w:val="20"/>
          <w:szCs w:val="24"/>
        </w:rPr>
        <w:t>(1), 224–232.</w:t>
      </w:r>
    </w:p>
    <w:p w14:paraId="0C12B073" w14:textId="77777777" w:rsidR="00E67B80" w:rsidRPr="00E67B80" w:rsidRDefault="00E67B80" w:rsidP="00E67B80">
      <w:pPr>
        <w:widowControl w:val="0"/>
        <w:autoSpaceDE w:val="0"/>
        <w:autoSpaceDN w:val="0"/>
        <w:adjustRightInd w:val="0"/>
        <w:spacing w:after="0" w:line="360" w:lineRule="auto"/>
        <w:ind w:left="480" w:hanging="480"/>
        <w:rPr>
          <w:rFonts w:ascii="Arial" w:hAnsi="Arial" w:cs="Arial"/>
          <w:noProof/>
          <w:sz w:val="20"/>
          <w:szCs w:val="24"/>
        </w:rPr>
      </w:pPr>
      <w:r w:rsidRPr="00E67B80">
        <w:rPr>
          <w:rFonts w:ascii="Arial" w:hAnsi="Arial" w:cs="Arial"/>
          <w:noProof/>
          <w:sz w:val="20"/>
          <w:szCs w:val="24"/>
        </w:rPr>
        <w:t xml:space="preserve">Sinopoli, K. J., Schachar, R., &amp; Dennis, M. (2011). Reward improves cancellation and restraint inhibition across childhood and adolescence. </w:t>
      </w:r>
      <w:r w:rsidRPr="00E67B80">
        <w:rPr>
          <w:rFonts w:ascii="Arial" w:hAnsi="Arial" w:cs="Arial"/>
          <w:i/>
          <w:iCs/>
          <w:noProof/>
          <w:sz w:val="20"/>
          <w:szCs w:val="24"/>
        </w:rPr>
        <w:t>Developmental Psychology</w:t>
      </w:r>
      <w:r w:rsidRPr="00E67B80">
        <w:rPr>
          <w:rFonts w:ascii="Arial" w:hAnsi="Arial" w:cs="Arial"/>
          <w:noProof/>
          <w:sz w:val="20"/>
          <w:szCs w:val="24"/>
        </w:rPr>
        <w:t xml:space="preserve">, </w:t>
      </w:r>
      <w:r w:rsidRPr="00E67B80">
        <w:rPr>
          <w:rFonts w:ascii="Arial" w:hAnsi="Arial" w:cs="Arial"/>
          <w:i/>
          <w:iCs/>
          <w:noProof/>
          <w:sz w:val="20"/>
          <w:szCs w:val="24"/>
        </w:rPr>
        <w:t>47</w:t>
      </w:r>
      <w:r w:rsidRPr="00E67B80">
        <w:rPr>
          <w:rFonts w:ascii="Arial" w:hAnsi="Arial" w:cs="Arial"/>
          <w:noProof/>
          <w:sz w:val="20"/>
          <w:szCs w:val="24"/>
        </w:rPr>
        <w:t>(5), 1479.</w:t>
      </w:r>
    </w:p>
    <w:p w14:paraId="4407F0C9" w14:textId="77777777" w:rsidR="00E67B80" w:rsidRPr="00E67B80" w:rsidRDefault="00E67B80" w:rsidP="00E67B80">
      <w:pPr>
        <w:widowControl w:val="0"/>
        <w:autoSpaceDE w:val="0"/>
        <w:autoSpaceDN w:val="0"/>
        <w:adjustRightInd w:val="0"/>
        <w:spacing w:after="0" w:line="360" w:lineRule="auto"/>
        <w:ind w:left="480" w:hanging="480"/>
        <w:rPr>
          <w:rFonts w:ascii="Arial" w:hAnsi="Arial" w:cs="Arial"/>
          <w:noProof/>
          <w:sz w:val="20"/>
          <w:szCs w:val="24"/>
        </w:rPr>
      </w:pPr>
      <w:r w:rsidRPr="00E67B80">
        <w:rPr>
          <w:rFonts w:ascii="Arial" w:hAnsi="Arial" w:cs="Arial"/>
          <w:noProof/>
          <w:sz w:val="20"/>
          <w:szCs w:val="24"/>
        </w:rPr>
        <w:t xml:space="preserve">Swick, D., Ashley, V., &amp; Turken, U. (2011). Are the neural correlates of stopping and not going identical? Quantitative meta-analysis of two response inhibition tasks. </w:t>
      </w:r>
      <w:r w:rsidRPr="00E67B80">
        <w:rPr>
          <w:rFonts w:ascii="Arial" w:hAnsi="Arial" w:cs="Arial"/>
          <w:i/>
          <w:iCs/>
          <w:noProof/>
          <w:sz w:val="20"/>
          <w:szCs w:val="24"/>
        </w:rPr>
        <w:t>Neuroimage</w:t>
      </w:r>
      <w:r w:rsidRPr="00E67B80">
        <w:rPr>
          <w:rFonts w:ascii="Arial" w:hAnsi="Arial" w:cs="Arial"/>
          <w:noProof/>
          <w:sz w:val="20"/>
          <w:szCs w:val="24"/>
        </w:rPr>
        <w:t xml:space="preserve">, </w:t>
      </w:r>
      <w:r w:rsidRPr="00E67B80">
        <w:rPr>
          <w:rFonts w:ascii="Arial" w:hAnsi="Arial" w:cs="Arial"/>
          <w:i/>
          <w:iCs/>
          <w:noProof/>
          <w:sz w:val="20"/>
          <w:szCs w:val="24"/>
        </w:rPr>
        <w:t>56</w:t>
      </w:r>
      <w:r w:rsidRPr="00E67B80">
        <w:rPr>
          <w:rFonts w:ascii="Arial" w:hAnsi="Arial" w:cs="Arial"/>
          <w:noProof/>
          <w:sz w:val="20"/>
          <w:szCs w:val="24"/>
        </w:rPr>
        <w:t>(3), 1655–1665.</w:t>
      </w:r>
    </w:p>
    <w:p w14:paraId="7FAD3405" w14:textId="77777777" w:rsidR="00E67B80" w:rsidRPr="00E67B80" w:rsidRDefault="00E67B80" w:rsidP="00E67B80">
      <w:pPr>
        <w:widowControl w:val="0"/>
        <w:autoSpaceDE w:val="0"/>
        <w:autoSpaceDN w:val="0"/>
        <w:adjustRightInd w:val="0"/>
        <w:spacing w:after="0" w:line="360" w:lineRule="auto"/>
        <w:ind w:left="480" w:hanging="480"/>
        <w:rPr>
          <w:rFonts w:ascii="Arial" w:hAnsi="Arial" w:cs="Arial"/>
          <w:noProof/>
          <w:sz w:val="20"/>
          <w:szCs w:val="24"/>
        </w:rPr>
      </w:pPr>
      <w:r w:rsidRPr="00E67B80">
        <w:rPr>
          <w:rFonts w:ascii="Arial" w:hAnsi="Arial" w:cs="Arial"/>
          <w:noProof/>
          <w:sz w:val="20"/>
          <w:szCs w:val="24"/>
        </w:rPr>
        <w:t xml:space="preserve">Torchiano, M. (2020). </w:t>
      </w:r>
      <w:r w:rsidRPr="00E67B80">
        <w:rPr>
          <w:rFonts w:ascii="Arial" w:hAnsi="Arial" w:cs="Arial"/>
          <w:i/>
          <w:iCs/>
          <w:noProof/>
          <w:sz w:val="20"/>
          <w:szCs w:val="24"/>
        </w:rPr>
        <w:t>Package ‘effsize.’</w:t>
      </w:r>
    </w:p>
    <w:p w14:paraId="32B19E53" w14:textId="77777777" w:rsidR="00E67B80" w:rsidRPr="00E67B80" w:rsidRDefault="00E67B80" w:rsidP="00E67B80">
      <w:pPr>
        <w:widowControl w:val="0"/>
        <w:autoSpaceDE w:val="0"/>
        <w:autoSpaceDN w:val="0"/>
        <w:adjustRightInd w:val="0"/>
        <w:spacing w:after="0" w:line="360" w:lineRule="auto"/>
        <w:ind w:left="480" w:hanging="480"/>
        <w:rPr>
          <w:rFonts w:ascii="Arial" w:hAnsi="Arial" w:cs="Arial"/>
          <w:noProof/>
          <w:sz w:val="20"/>
        </w:rPr>
      </w:pPr>
      <w:r w:rsidRPr="00E67B80">
        <w:rPr>
          <w:rFonts w:ascii="Arial" w:hAnsi="Arial" w:cs="Arial"/>
          <w:noProof/>
          <w:sz w:val="20"/>
          <w:szCs w:val="24"/>
        </w:rPr>
        <w:t xml:space="preserve">Verbruggen, F., Best, M., Bowditch, W. A., Stevens, T., &amp; McLaren, I. P. L. (2014). The inhibitory </w:t>
      </w:r>
      <w:r w:rsidRPr="00E67B80">
        <w:rPr>
          <w:rFonts w:ascii="Arial" w:hAnsi="Arial" w:cs="Arial"/>
          <w:noProof/>
          <w:sz w:val="20"/>
          <w:szCs w:val="24"/>
        </w:rPr>
        <w:lastRenderedPageBreak/>
        <w:t xml:space="preserve">control reflex. </w:t>
      </w:r>
      <w:r w:rsidRPr="00E67B80">
        <w:rPr>
          <w:rFonts w:ascii="Arial" w:hAnsi="Arial" w:cs="Arial"/>
          <w:i/>
          <w:iCs/>
          <w:noProof/>
          <w:sz w:val="20"/>
          <w:szCs w:val="24"/>
        </w:rPr>
        <w:t>Neuropsychologia</w:t>
      </w:r>
      <w:r w:rsidRPr="00E67B80">
        <w:rPr>
          <w:rFonts w:ascii="Arial" w:hAnsi="Arial" w:cs="Arial"/>
          <w:noProof/>
          <w:sz w:val="20"/>
          <w:szCs w:val="24"/>
        </w:rPr>
        <w:t xml:space="preserve">, </w:t>
      </w:r>
      <w:r w:rsidRPr="00E67B80">
        <w:rPr>
          <w:rFonts w:ascii="Arial" w:hAnsi="Arial" w:cs="Arial"/>
          <w:i/>
          <w:iCs/>
          <w:noProof/>
          <w:sz w:val="20"/>
          <w:szCs w:val="24"/>
        </w:rPr>
        <w:t>65</w:t>
      </w:r>
      <w:r w:rsidRPr="00E67B80">
        <w:rPr>
          <w:rFonts w:ascii="Arial" w:hAnsi="Arial" w:cs="Arial"/>
          <w:noProof/>
          <w:sz w:val="20"/>
          <w:szCs w:val="24"/>
        </w:rPr>
        <w:t>, 263–278.</w:t>
      </w:r>
    </w:p>
    <w:p w14:paraId="68FA45F6" w14:textId="621CE836" w:rsidR="00CE64E2" w:rsidRPr="00362EC0" w:rsidRDefault="00CE64E2" w:rsidP="001B3FF2">
      <w:pPr>
        <w:spacing w:after="0" w:line="360" w:lineRule="auto"/>
        <w:contextualSpacing/>
        <w:jc w:val="both"/>
        <w:rPr>
          <w:rFonts w:ascii="Arial" w:hAnsi="Arial" w:cs="Arial"/>
          <w:b/>
          <w:bCs/>
          <w:sz w:val="20"/>
          <w:szCs w:val="20"/>
        </w:rPr>
      </w:pPr>
      <w:r w:rsidRPr="00362EC0">
        <w:rPr>
          <w:rFonts w:ascii="Arial" w:hAnsi="Arial" w:cs="Arial"/>
          <w:b/>
          <w:bCs/>
          <w:sz w:val="20"/>
          <w:szCs w:val="20"/>
        </w:rPr>
        <w:fldChar w:fldCharType="end"/>
      </w:r>
      <w:bookmarkEnd w:id="19"/>
    </w:p>
    <w:p w14:paraId="6426EA61" w14:textId="77777777" w:rsidR="00AC3388" w:rsidRPr="00362EC0" w:rsidRDefault="00AC3388" w:rsidP="001B3FF2">
      <w:pPr>
        <w:spacing w:after="0" w:line="360" w:lineRule="auto"/>
        <w:contextualSpacing/>
        <w:jc w:val="both"/>
        <w:rPr>
          <w:rFonts w:ascii="Arial" w:hAnsi="Arial" w:cs="Arial"/>
          <w:sz w:val="20"/>
          <w:szCs w:val="20"/>
        </w:rPr>
      </w:pPr>
    </w:p>
    <w:bookmarkEnd w:id="1"/>
    <w:p w14:paraId="47AD1F5C" w14:textId="77777777" w:rsidR="002B2D0D" w:rsidRPr="00362EC0" w:rsidRDefault="002B2D0D" w:rsidP="002B2D0D">
      <w:pPr>
        <w:spacing w:after="0" w:line="360" w:lineRule="auto"/>
        <w:contextualSpacing/>
        <w:jc w:val="both"/>
        <w:rPr>
          <w:rFonts w:ascii="Arial" w:hAnsi="Arial" w:cs="Arial"/>
          <w:sz w:val="20"/>
          <w:szCs w:val="20"/>
        </w:rPr>
      </w:pPr>
    </w:p>
    <w:p w14:paraId="7E38E48E" w14:textId="27403863" w:rsidR="00255D96" w:rsidRPr="00362EC0" w:rsidRDefault="00255D96" w:rsidP="008A0CA8">
      <w:pPr>
        <w:rPr>
          <w:rFonts w:ascii="Arial" w:hAnsi="Arial" w:cs="Arial"/>
          <w:sz w:val="20"/>
          <w:szCs w:val="20"/>
        </w:rPr>
      </w:pPr>
    </w:p>
    <w:sectPr w:rsidR="00255D96" w:rsidRPr="00362EC0" w:rsidSect="00DA1806">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94F75D" w14:textId="77777777" w:rsidR="00D46180" w:rsidRDefault="00D46180" w:rsidP="005C3706">
      <w:pPr>
        <w:spacing w:after="0" w:line="240" w:lineRule="auto"/>
      </w:pPr>
      <w:r>
        <w:separator/>
      </w:r>
    </w:p>
  </w:endnote>
  <w:endnote w:type="continuationSeparator" w:id="0">
    <w:p w14:paraId="1826075B" w14:textId="77777777" w:rsidR="00D46180" w:rsidRDefault="00D46180" w:rsidP="005C3706">
      <w:pPr>
        <w:spacing w:after="0" w:line="240" w:lineRule="auto"/>
      </w:pPr>
      <w:r>
        <w:continuationSeparator/>
      </w:r>
    </w:p>
  </w:endnote>
  <w:endnote w:type="continuationNotice" w:id="1">
    <w:p w14:paraId="226E090D" w14:textId="77777777" w:rsidR="00D46180" w:rsidRDefault="00D461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3F1C2" w14:textId="77777777" w:rsidR="00A737B7" w:rsidRDefault="00A737B7" w:rsidP="008A0CA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C2538" w14:textId="2484797A" w:rsidR="00A737B7" w:rsidRDefault="00A737B7">
    <w:pPr>
      <w:pStyle w:val="Footer"/>
    </w:pPr>
    <w:r>
      <w:fldChar w:fldCharType="begin"/>
    </w:r>
    <w:r>
      <w:instrText xml:space="preserve"> PAGE   \* MERGEFORMAT </w:instrText>
    </w:r>
    <w:r>
      <w:fldChar w:fldCharType="separate"/>
    </w:r>
    <w:r>
      <w:rPr>
        <w:noProof/>
      </w:rPr>
      <w:t>2</w:t>
    </w:r>
    <w:r>
      <w:rPr>
        <w:noProof/>
      </w:rPr>
      <w:fldChar w:fldCharType="end"/>
    </w:r>
  </w:p>
  <w:p w14:paraId="088721F8" w14:textId="77777777" w:rsidR="00A737B7" w:rsidRDefault="00A737B7" w:rsidP="008A0CA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6D97C" w14:textId="77777777" w:rsidR="00A737B7" w:rsidRDefault="00A737B7" w:rsidP="008A0CA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35FE6" w14:textId="77777777" w:rsidR="00D46180" w:rsidRDefault="00D46180" w:rsidP="005C3706">
      <w:pPr>
        <w:spacing w:after="0" w:line="240" w:lineRule="auto"/>
      </w:pPr>
      <w:r>
        <w:separator/>
      </w:r>
    </w:p>
  </w:footnote>
  <w:footnote w:type="continuationSeparator" w:id="0">
    <w:p w14:paraId="363A96F1" w14:textId="77777777" w:rsidR="00D46180" w:rsidRDefault="00D46180" w:rsidP="005C3706">
      <w:pPr>
        <w:spacing w:after="0" w:line="240" w:lineRule="auto"/>
      </w:pPr>
      <w:r>
        <w:continuationSeparator/>
      </w:r>
    </w:p>
  </w:footnote>
  <w:footnote w:type="continuationNotice" w:id="1">
    <w:p w14:paraId="7E30C744" w14:textId="77777777" w:rsidR="00D46180" w:rsidRDefault="00D4618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5DB34" w14:textId="77777777" w:rsidR="00A737B7" w:rsidRDefault="00A737B7" w:rsidP="008A0CA8">
    <w:pPr>
      <w:pStyle w:val="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2F5E2" w14:textId="77777777" w:rsidR="00A737B7" w:rsidRDefault="00A737B7" w:rsidP="008A0CA8">
    <w:pPr>
      <w:pStyle w:val="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88A95" w14:textId="77777777" w:rsidR="00A737B7" w:rsidRDefault="00A737B7" w:rsidP="008A0CA8">
    <w:pPr>
      <w:pStyle w:val="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547BCE"/>
    <w:multiLevelType w:val="hybridMultilevel"/>
    <w:tmpl w:val="7F380C1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D591B83"/>
    <w:multiLevelType w:val="hybridMultilevel"/>
    <w:tmpl w:val="2E12BA4E"/>
    <w:lvl w:ilvl="0" w:tplc="BB64951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A9076D"/>
    <w:multiLevelType w:val="hybridMultilevel"/>
    <w:tmpl w:val="403A7D4A"/>
    <w:lvl w:ilvl="0" w:tplc="B0E26FCC">
      <w:start w:val="1"/>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4D921C71"/>
    <w:multiLevelType w:val="hybridMultilevel"/>
    <w:tmpl w:val="C9380B8E"/>
    <w:lvl w:ilvl="0" w:tplc="7BC0E696">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301D51"/>
    <w:multiLevelType w:val="multilevel"/>
    <w:tmpl w:val="B658C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0rt5t2e9sdrpuezaeapwp2ied05p09z9aw9&quot;&gt;My EndNote Library_IHTpaper&lt;record-ids&gt;&lt;item&gt;1&lt;/item&gt;&lt;item&gt;3&lt;/item&gt;&lt;item&gt;6&lt;/item&gt;&lt;item&gt;16&lt;/item&gt;&lt;item&gt;22&lt;/item&gt;&lt;item&gt;23&lt;/item&gt;&lt;item&gt;29&lt;/item&gt;&lt;item&gt;30&lt;/item&gt;&lt;item&gt;32&lt;/item&gt;&lt;item&gt;35&lt;/item&gt;&lt;item&gt;36&lt;/item&gt;&lt;item&gt;37&lt;/item&gt;&lt;item&gt;40&lt;/item&gt;&lt;item&gt;41&lt;/item&gt;&lt;item&gt;45&lt;/item&gt;&lt;item&gt;46&lt;/item&gt;&lt;item&gt;47&lt;/item&gt;&lt;item&gt;48&lt;/item&gt;&lt;item&gt;49&lt;/item&gt;&lt;item&gt;50&lt;/item&gt;&lt;item&gt;51&lt;/item&gt;&lt;item&gt;79&lt;/item&gt;&lt;item&gt;81&lt;/item&gt;&lt;item&gt;84&lt;/item&gt;&lt;/record-ids&gt;&lt;/item&gt;&lt;/Libraries&gt;"/>
    <w:docVar w:name="paperpile-doc-id" w:val="R427E577A867Y578"/>
    <w:docVar w:name="paperpile-doc-name" w:val="Manuscript_Revised.docx"/>
  </w:docVars>
  <w:rsids>
    <w:rsidRoot w:val="009817AA"/>
    <w:rsid w:val="0000143C"/>
    <w:rsid w:val="000017A6"/>
    <w:rsid w:val="00007AC2"/>
    <w:rsid w:val="00011323"/>
    <w:rsid w:val="00011DF0"/>
    <w:rsid w:val="0001382E"/>
    <w:rsid w:val="00015138"/>
    <w:rsid w:val="000160E1"/>
    <w:rsid w:val="00020865"/>
    <w:rsid w:val="00021A98"/>
    <w:rsid w:val="000317AE"/>
    <w:rsid w:val="00034B6C"/>
    <w:rsid w:val="000368C1"/>
    <w:rsid w:val="0003692B"/>
    <w:rsid w:val="000437E8"/>
    <w:rsid w:val="00051BEA"/>
    <w:rsid w:val="00053CE3"/>
    <w:rsid w:val="00055191"/>
    <w:rsid w:val="0005609B"/>
    <w:rsid w:val="0005748B"/>
    <w:rsid w:val="00061A25"/>
    <w:rsid w:val="00065F2F"/>
    <w:rsid w:val="00072920"/>
    <w:rsid w:val="000842A4"/>
    <w:rsid w:val="00085B65"/>
    <w:rsid w:val="00095B9D"/>
    <w:rsid w:val="00095D49"/>
    <w:rsid w:val="000A213A"/>
    <w:rsid w:val="000A6171"/>
    <w:rsid w:val="000A6D2E"/>
    <w:rsid w:val="000C4A25"/>
    <w:rsid w:val="000C61CB"/>
    <w:rsid w:val="000C69B1"/>
    <w:rsid w:val="000D2F17"/>
    <w:rsid w:val="000D367D"/>
    <w:rsid w:val="000D73CA"/>
    <w:rsid w:val="000E36EE"/>
    <w:rsid w:val="000E58E9"/>
    <w:rsid w:val="000F7B06"/>
    <w:rsid w:val="00100133"/>
    <w:rsid w:val="00103DCC"/>
    <w:rsid w:val="00125684"/>
    <w:rsid w:val="001262FE"/>
    <w:rsid w:val="00134DD3"/>
    <w:rsid w:val="00136BFE"/>
    <w:rsid w:val="001452D5"/>
    <w:rsid w:val="00152278"/>
    <w:rsid w:val="00152E95"/>
    <w:rsid w:val="00161621"/>
    <w:rsid w:val="0016754C"/>
    <w:rsid w:val="001741ED"/>
    <w:rsid w:val="00174302"/>
    <w:rsid w:val="00176460"/>
    <w:rsid w:val="00180706"/>
    <w:rsid w:val="00182F30"/>
    <w:rsid w:val="001831BD"/>
    <w:rsid w:val="00183290"/>
    <w:rsid w:val="00185BBA"/>
    <w:rsid w:val="0018716F"/>
    <w:rsid w:val="001936E8"/>
    <w:rsid w:val="0019702A"/>
    <w:rsid w:val="001A1BAD"/>
    <w:rsid w:val="001B3FF2"/>
    <w:rsid w:val="001C0798"/>
    <w:rsid w:val="001C0ACB"/>
    <w:rsid w:val="001C512D"/>
    <w:rsid w:val="001C7394"/>
    <w:rsid w:val="001D0421"/>
    <w:rsid w:val="001D525D"/>
    <w:rsid w:val="001E035F"/>
    <w:rsid w:val="001E0CCE"/>
    <w:rsid w:val="001E3146"/>
    <w:rsid w:val="001E7E90"/>
    <w:rsid w:val="001E7F4C"/>
    <w:rsid w:val="001F1664"/>
    <w:rsid w:val="00207FAA"/>
    <w:rsid w:val="0021030F"/>
    <w:rsid w:val="00212982"/>
    <w:rsid w:val="002200BE"/>
    <w:rsid w:val="00220ADA"/>
    <w:rsid w:val="0022521D"/>
    <w:rsid w:val="0023042E"/>
    <w:rsid w:val="002329D6"/>
    <w:rsid w:val="00251670"/>
    <w:rsid w:val="00252AF2"/>
    <w:rsid w:val="00255D96"/>
    <w:rsid w:val="00257C52"/>
    <w:rsid w:val="00257F6E"/>
    <w:rsid w:val="00260432"/>
    <w:rsid w:val="00264068"/>
    <w:rsid w:val="0026419E"/>
    <w:rsid w:val="00276A19"/>
    <w:rsid w:val="0028367B"/>
    <w:rsid w:val="0028639A"/>
    <w:rsid w:val="002869FB"/>
    <w:rsid w:val="00287937"/>
    <w:rsid w:val="00290AF7"/>
    <w:rsid w:val="00297871"/>
    <w:rsid w:val="002A1060"/>
    <w:rsid w:val="002A2BE1"/>
    <w:rsid w:val="002A4166"/>
    <w:rsid w:val="002A5C90"/>
    <w:rsid w:val="002A68DF"/>
    <w:rsid w:val="002B2483"/>
    <w:rsid w:val="002B2D0D"/>
    <w:rsid w:val="002B6FF6"/>
    <w:rsid w:val="002C1634"/>
    <w:rsid w:val="002C2919"/>
    <w:rsid w:val="002C5D39"/>
    <w:rsid w:val="002D11E4"/>
    <w:rsid w:val="002D395F"/>
    <w:rsid w:val="002D5529"/>
    <w:rsid w:val="002E7835"/>
    <w:rsid w:val="002E78DB"/>
    <w:rsid w:val="002F69D9"/>
    <w:rsid w:val="0030093B"/>
    <w:rsid w:val="003021FC"/>
    <w:rsid w:val="003207D2"/>
    <w:rsid w:val="003265F6"/>
    <w:rsid w:val="00327AD6"/>
    <w:rsid w:val="00351FC4"/>
    <w:rsid w:val="00354854"/>
    <w:rsid w:val="00362EC0"/>
    <w:rsid w:val="0036373D"/>
    <w:rsid w:val="00364746"/>
    <w:rsid w:val="00371251"/>
    <w:rsid w:val="00371921"/>
    <w:rsid w:val="00373059"/>
    <w:rsid w:val="00374258"/>
    <w:rsid w:val="003825C6"/>
    <w:rsid w:val="00383802"/>
    <w:rsid w:val="00390170"/>
    <w:rsid w:val="0039182C"/>
    <w:rsid w:val="00397BE7"/>
    <w:rsid w:val="003A731A"/>
    <w:rsid w:val="003A7736"/>
    <w:rsid w:val="003B0E69"/>
    <w:rsid w:val="003B70F6"/>
    <w:rsid w:val="003C196C"/>
    <w:rsid w:val="003C2D99"/>
    <w:rsid w:val="003C2E1F"/>
    <w:rsid w:val="003D371F"/>
    <w:rsid w:val="003D6683"/>
    <w:rsid w:val="003E2F3B"/>
    <w:rsid w:val="003E3544"/>
    <w:rsid w:val="003E60A2"/>
    <w:rsid w:val="003E680D"/>
    <w:rsid w:val="003F1444"/>
    <w:rsid w:val="004050E7"/>
    <w:rsid w:val="00405E3E"/>
    <w:rsid w:val="00410048"/>
    <w:rsid w:val="00416FC2"/>
    <w:rsid w:val="00417AE2"/>
    <w:rsid w:val="0042312E"/>
    <w:rsid w:val="00435445"/>
    <w:rsid w:val="00440114"/>
    <w:rsid w:val="00442910"/>
    <w:rsid w:val="0045366D"/>
    <w:rsid w:val="004600EB"/>
    <w:rsid w:val="00466399"/>
    <w:rsid w:val="00472129"/>
    <w:rsid w:val="004753D0"/>
    <w:rsid w:val="00481482"/>
    <w:rsid w:val="004825A8"/>
    <w:rsid w:val="00484B08"/>
    <w:rsid w:val="004856E8"/>
    <w:rsid w:val="004871AA"/>
    <w:rsid w:val="00490EEF"/>
    <w:rsid w:val="0049131E"/>
    <w:rsid w:val="0049132D"/>
    <w:rsid w:val="00493595"/>
    <w:rsid w:val="004945F7"/>
    <w:rsid w:val="00496126"/>
    <w:rsid w:val="004A10E4"/>
    <w:rsid w:val="004A4413"/>
    <w:rsid w:val="004B072D"/>
    <w:rsid w:val="004B1373"/>
    <w:rsid w:val="004B21AD"/>
    <w:rsid w:val="004C0ED5"/>
    <w:rsid w:val="004C2810"/>
    <w:rsid w:val="004C2D3D"/>
    <w:rsid w:val="004E5170"/>
    <w:rsid w:val="004E5F0F"/>
    <w:rsid w:val="004F0C7C"/>
    <w:rsid w:val="004F40E0"/>
    <w:rsid w:val="00500DA4"/>
    <w:rsid w:val="005033E3"/>
    <w:rsid w:val="00523207"/>
    <w:rsid w:val="00526AA0"/>
    <w:rsid w:val="0053179D"/>
    <w:rsid w:val="00531FF7"/>
    <w:rsid w:val="00535B91"/>
    <w:rsid w:val="00535F4F"/>
    <w:rsid w:val="005416D9"/>
    <w:rsid w:val="00546D24"/>
    <w:rsid w:val="00547505"/>
    <w:rsid w:val="0055351A"/>
    <w:rsid w:val="0055504E"/>
    <w:rsid w:val="005576DA"/>
    <w:rsid w:val="00581F4C"/>
    <w:rsid w:val="00584E55"/>
    <w:rsid w:val="00591E67"/>
    <w:rsid w:val="00595763"/>
    <w:rsid w:val="005974FC"/>
    <w:rsid w:val="005B6240"/>
    <w:rsid w:val="005C3706"/>
    <w:rsid w:val="005C5BDF"/>
    <w:rsid w:val="005D36D0"/>
    <w:rsid w:val="005D4CA3"/>
    <w:rsid w:val="005D5ACB"/>
    <w:rsid w:val="005D64BD"/>
    <w:rsid w:val="005D6D3E"/>
    <w:rsid w:val="005E4EE5"/>
    <w:rsid w:val="005F301C"/>
    <w:rsid w:val="005F7BCE"/>
    <w:rsid w:val="00602730"/>
    <w:rsid w:val="00606696"/>
    <w:rsid w:val="00611638"/>
    <w:rsid w:val="00612285"/>
    <w:rsid w:val="0061241C"/>
    <w:rsid w:val="00616451"/>
    <w:rsid w:val="006276C5"/>
    <w:rsid w:val="00631915"/>
    <w:rsid w:val="006320B7"/>
    <w:rsid w:val="00635C5F"/>
    <w:rsid w:val="00636C0B"/>
    <w:rsid w:val="006410B4"/>
    <w:rsid w:val="00641E02"/>
    <w:rsid w:val="00647DCE"/>
    <w:rsid w:val="006523CB"/>
    <w:rsid w:val="00655F3A"/>
    <w:rsid w:val="006604F7"/>
    <w:rsid w:val="0066071B"/>
    <w:rsid w:val="006616BD"/>
    <w:rsid w:val="00671E99"/>
    <w:rsid w:val="00675B17"/>
    <w:rsid w:val="0067723C"/>
    <w:rsid w:val="006779A4"/>
    <w:rsid w:val="00682A1F"/>
    <w:rsid w:val="00683C53"/>
    <w:rsid w:val="00696B1D"/>
    <w:rsid w:val="006A318B"/>
    <w:rsid w:val="006A3AFC"/>
    <w:rsid w:val="006A4816"/>
    <w:rsid w:val="006A531B"/>
    <w:rsid w:val="006B495C"/>
    <w:rsid w:val="006B75A4"/>
    <w:rsid w:val="006C1051"/>
    <w:rsid w:val="006C2A0E"/>
    <w:rsid w:val="006C748D"/>
    <w:rsid w:val="006D1979"/>
    <w:rsid w:val="006E3C89"/>
    <w:rsid w:val="006E59D4"/>
    <w:rsid w:val="006E77E9"/>
    <w:rsid w:val="006F7386"/>
    <w:rsid w:val="00702B1C"/>
    <w:rsid w:val="00705A36"/>
    <w:rsid w:val="00707488"/>
    <w:rsid w:val="00713230"/>
    <w:rsid w:val="00717D15"/>
    <w:rsid w:val="0072076E"/>
    <w:rsid w:val="00720B8A"/>
    <w:rsid w:val="00722E27"/>
    <w:rsid w:val="00724591"/>
    <w:rsid w:val="00724B35"/>
    <w:rsid w:val="0072631C"/>
    <w:rsid w:val="0073072F"/>
    <w:rsid w:val="00732878"/>
    <w:rsid w:val="0073717E"/>
    <w:rsid w:val="00742D64"/>
    <w:rsid w:val="00742F42"/>
    <w:rsid w:val="0075338C"/>
    <w:rsid w:val="00760A49"/>
    <w:rsid w:val="00761424"/>
    <w:rsid w:val="00764FD9"/>
    <w:rsid w:val="00766E22"/>
    <w:rsid w:val="00767806"/>
    <w:rsid w:val="00770F04"/>
    <w:rsid w:val="00781828"/>
    <w:rsid w:val="00782DCC"/>
    <w:rsid w:val="0078624F"/>
    <w:rsid w:val="007907A1"/>
    <w:rsid w:val="007939B0"/>
    <w:rsid w:val="007A1571"/>
    <w:rsid w:val="007A73EC"/>
    <w:rsid w:val="007B049A"/>
    <w:rsid w:val="007B3328"/>
    <w:rsid w:val="007C56B2"/>
    <w:rsid w:val="007D24D7"/>
    <w:rsid w:val="007D3AAD"/>
    <w:rsid w:val="007D6824"/>
    <w:rsid w:val="007D6DEA"/>
    <w:rsid w:val="007E6719"/>
    <w:rsid w:val="007F0118"/>
    <w:rsid w:val="007F21F3"/>
    <w:rsid w:val="007F32AB"/>
    <w:rsid w:val="007F6F18"/>
    <w:rsid w:val="00803DD8"/>
    <w:rsid w:val="00805147"/>
    <w:rsid w:val="00807028"/>
    <w:rsid w:val="0080784D"/>
    <w:rsid w:val="00807D0D"/>
    <w:rsid w:val="008150BB"/>
    <w:rsid w:val="0082155D"/>
    <w:rsid w:val="00835751"/>
    <w:rsid w:val="00836486"/>
    <w:rsid w:val="00840BC3"/>
    <w:rsid w:val="0084426C"/>
    <w:rsid w:val="00845838"/>
    <w:rsid w:val="00852805"/>
    <w:rsid w:val="00853B78"/>
    <w:rsid w:val="008541E4"/>
    <w:rsid w:val="0085439C"/>
    <w:rsid w:val="00855F86"/>
    <w:rsid w:val="0085759A"/>
    <w:rsid w:val="0086374C"/>
    <w:rsid w:val="008648D1"/>
    <w:rsid w:val="00866AAB"/>
    <w:rsid w:val="0086721B"/>
    <w:rsid w:val="008743ED"/>
    <w:rsid w:val="00880613"/>
    <w:rsid w:val="0088511B"/>
    <w:rsid w:val="00885836"/>
    <w:rsid w:val="00886B1B"/>
    <w:rsid w:val="00892327"/>
    <w:rsid w:val="00892EC8"/>
    <w:rsid w:val="0089721A"/>
    <w:rsid w:val="008A0259"/>
    <w:rsid w:val="008A0CA8"/>
    <w:rsid w:val="008A2BAE"/>
    <w:rsid w:val="008A60DF"/>
    <w:rsid w:val="008A625D"/>
    <w:rsid w:val="008B2204"/>
    <w:rsid w:val="008B7C49"/>
    <w:rsid w:val="008C313C"/>
    <w:rsid w:val="008C31DC"/>
    <w:rsid w:val="008C6050"/>
    <w:rsid w:val="008C692C"/>
    <w:rsid w:val="008C75E1"/>
    <w:rsid w:val="008D5C1C"/>
    <w:rsid w:val="008D7670"/>
    <w:rsid w:val="008E2E17"/>
    <w:rsid w:val="008E2F92"/>
    <w:rsid w:val="008E48BC"/>
    <w:rsid w:val="008F7E76"/>
    <w:rsid w:val="00911D3E"/>
    <w:rsid w:val="009126E8"/>
    <w:rsid w:val="00912BAC"/>
    <w:rsid w:val="00914429"/>
    <w:rsid w:val="009148A6"/>
    <w:rsid w:val="009151EA"/>
    <w:rsid w:val="0091749F"/>
    <w:rsid w:val="00921AF0"/>
    <w:rsid w:val="00923B1D"/>
    <w:rsid w:val="009403FA"/>
    <w:rsid w:val="00944E9E"/>
    <w:rsid w:val="0095312B"/>
    <w:rsid w:val="00956EE1"/>
    <w:rsid w:val="00956F45"/>
    <w:rsid w:val="0096088A"/>
    <w:rsid w:val="0097136C"/>
    <w:rsid w:val="00980ECC"/>
    <w:rsid w:val="009816D4"/>
    <w:rsid w:val="009817AA"/>
    <w:rsid w:val="00983E6F"/>
    <w:rsid w:val="009850D5"/>
    <w:rsid w:val="00986D65"/>
    <w:rsid w:val="00987588"/>
    <w:rsid w:val="009916DB"/>
    <w:rsid w:val="00996A10"/>
    <w:rsid w:val="009B5610"/>
    <w:rsid w:val="009C0908"/>
    <w:rsid w:val="009C1EF8"/>
    <w:rsid w:val="009C769B"/>
    <w:rsid w:val="009D08E5"/>
    <w:rsid w:val="009D123D"/>
    <w:rsid w:val="009E5B98"/>
    <w:rsid w:val="009F3298"/>
    <w:rsid w:val="009F69A3"/>
    <w:rsid w:val="009F707E"/>
    <w:rsid w:val="00A14DB5"/>
    <w:rsid w:val="00A15194"/>
    <w:rsid w:val="00A15CEE"/>
    <w:rsid w:val="00A21964"/>
    <w:rsid w:val="00A21AE2"/>
    <w:rsid w:val="00A2217A"/>
    <w:rsid w:val="00A27CA8"/>
    <w:rsid w:val="00A30F7E"/>
    <w:rsid w:val="00A34C98"/>
    <w:rsid w:val="00A35FB0"/>
    <w:rsid w:val="00A362C8"/>
    <w:rsid w:val="00A36AD7"/>
    <w:rsid w:val="00A36C69"/>
    <w:rsid w:val="00A4019D"/>
    <w:rsid w:val="00A4349A"/>
    <w:rsid w:val="00A438E4"/>
    <w:rsid w:val="00A47D35"/>
    <w:rsid w:val="00A54558"/>
    <w:rsid w:val="00A54FA0"/>
    <w:rsid w:val="00A60326"/>
    <w:rsid w:val="00A7277F"/>
    <w:rsid w:val="00A737B7"/>
    <w:rsid w:val="00A824A0"/>
    <w:rsid w:val="00A842DD"/>
    <w:rsid w:val="00A86654"/>
    <w:rsid w:val="00A91FEB"/>
    <w:rsid w:val="00A94FFC"/>
    <w:rsid w:val="00A96BBC"/>
    <w:rsid w:val="00A96F43"/>
    <w:rsid w:val="00AA01E9"/>
    <w:rsid w:val="00AA088E"/>
    <w:rsid w:val="00AA15F8"/>
    <w:rsid w:val="00AB3B77"/>
    <w:rsid w:val="00AB5AD7"/>
    <w:rsid w:val="00AB65EF"/>
    <w:rsid w:val="00AC263D"/>
    <w:rsid w:val="00AC3388"/>
    <w:rsid w:val="00AC3B5D"/>
    <w:rsid w:val="00AD3DAC"/>
    <w:rsid w:val="00AD59CB"/>
    <w:rsid w:val="00AD772B"/>
    <w:rsid w:val="00AE1B05"/>
    <w:rsid w:val="00AE3C93"/>
    <w:rsid w:val="00AE6F66"/>
    <w:rsid w:val="00AF153F"/>
    <w:rsid w:val="00AF6642"/>
    <w:rsid w:val="00B015C0"/>
    <w:rsid w:val="00B01889"/>
    <w:rsid w:val="00B01B2A"/>
    <w:rsid w:val="00B020A2"/>
    <w:rsid w:val="00B13743"/>
    <w:rsid w:val="00B21141"/>
    <w:rsid w:val="00B2251B"/>
    <w:rsid w:val="00B245E8"/>
    <w:rsid w:val="00B254EA"/>
    <w:rsid w:val="00B42D72"/>
    <w:rsid w:val="00B43F20"/>
    <w:rsid w:val="00B538E2"/>
    <w:rsid w:val="00B5725B"/>
    <w:rsid w:val="00B61030"/>
    <w:rsid w:val="00B66D79"/>
    <w:rsid w:val="00B67DB0"/>
    <w:rsid w:val="00B70DC8"/>
    <w:rsid w:val="00B72900"/>
    <w:rsid w:val="00B841B9"/>
    <w:rsid w:val="00B867E0"/>
    <w:rsid w:val="00B90F55"/>
    <w:rsid w:val="00BA29CD"/>
    <w:rsid w:val="00BB3245"/>
    <w:rsid w:val="00BB7054"/>
    <w:rsid w:val="00BB7E9F"/>
    <w:rsid w:val="00BC2F58"/>
    <w:rsid w:val="00BC3967"/>
    <w:rsid w:val="00BC44D6"/>
    <w:rsid w:val="00BD2E43"/>
    <w:rsid w:val="00BD7E75"/>
    <w:rsid w:val="00BE1C52"/>
    <w:rsid w:val="00BE299B"/>
    <w:rsid w:val="00BE36DB"/>
    <w:rsid w:val="00BE477D"/>
    <w:rsid w:val="00BE4BEB"/>
    <w:rsid w:val="00BF1E66"/>
    <w:rsid w:val="00BF34B3"/>
    <w:rsid w:val="00BF3D5D"/>
    <w:rsid w:val="00BF6B05"/>
    <w:rsid w:val="00C02177"/>
    <w:rsid w:val="00C02A67"/>
    <w:rsid w:val="00C05869"/>
    <w:rsid w:val="00C07EF2"/>
    <w:rsid w:val="00C266A6"/>
    <w:rsid w:val="00C27D07"/>
    <w:rsid w:val="00C41E0E"/>
    <w:rsid w:val="00C45617"/>
    <w:rsid w:val="00C5309E"/>
    <w:rsid w:val="00C55F35"/>
    <w:rsid w:val="00C62D2D"/>
    <w:rsid w:val="00C63C8A"/>
    <w:rsid w:val="00C63E50"/>
    <w:rsid w:val="00C64BA5"/>
    <w:rsid w:val="00C7045E"/>
    <w:rsid w:val="00C8002F"/>
    <w:rsid w:val="00C832FA"/>
    <w:rsid w:val="00C95DBF"/>
    <w:rsid w:val="00C9646F"/>
    <w:rsid w:val="00CA0486"/>
    <w:rsid w:val="00CA4177"/>
    <w:rsid w:val="00CB48AE"/>
    <w:rsid w:val="00CC0014"/>
    <w:rsid w:val="00CC19B8"/>
    <w:rsid w:val="00CC2A25"/>
    <w:rsid w:val="00CC2FD1"/>
    <w:rsid w:val="00CC7B24"/>
    <w:rsid w:val="00CD4E67"/>
    <w:rsid w:val="00CD671C"/>
    <w:rsid w:val="00CE53B1"/>
    <w:rsid w:val="00CE64E2"/>
    <w:rsid w:val="00D005AC"/>
    <w:rsid w:val="00D01FDD"/>
    <w:rsid w:val="00D02C08"/>
    <w:rsid w:val="00D03382"/>
    <w:rsid w:val="00D03465"/>
    <w:rsid w:val="00D0613C"/>
    <w:rsid w:val="00D17C50"/>
    <w:rsid w:val="00D25168"/>
    <w:rsid w:val="00D30E14"/>
    <w:rsid w:val="00D33F9F"/>
    <w:rsid w:val="00D458AC"/>
    <w:rsid w:val="00D45F7A"/>
    <w:rsid w:val="00D46180"/>
    <w:rsid w:val="00D46AE6"/>
    <w:rsid w:val="00D51A19"/>
    <w:rsid w:val="00D5567E"/>
    <w:rsid w:val="00D644AB"/>
    <w:rsid w:val="00D6583C"/>
    <w:rsid w:val="00D67234"/>
    <w:rsid w:val="00D67D48"/>
    <w:rsid w:val="00D707ED"/>
    <w:rsid w:val="00D75220"/>
    <w:rsid w:val="00D83E78"/>
    <w:rsid w:val="00D84F3C"/>
    <w:rsid w:val="00D85013"/>
    <w:rsid w:val="00D8730A"/>
    <w:rsid w:val="00D94B4E"/>
    <w:rsid w:val="00D959D9"/>
    <w:rsid w:val="00DA1806"/>
    <w:rsid w:val="00DA5BAC"/>
    <w:rsid w:val="00DB2A1F"/>
    <w:rsid w:val="00DB6BFF"/>
    <w:rsid w:val="00DC20E9"/>
    <w:rsid w:val="00DD15D9"/>
    <w:rsid w:val="00DD187C"/>
    <w:rsid w:val="00DD18FE"/>
    <w:rsid w:val="00DD38A3"/>
    <w:rsid w:val="00DE3FC4"/>
    <w:rsid w:val="00E23AAB"/>
    <w:rsid w:val="00E24262"/>
    <w:rsid w:val="00E32662"/>
    <w:rsid w:val="00E339B9"/>
    <w:rsid w:val="00E3551A"/>
    <w:rsid w:val="00E35CAE"/>
    <w:rsid w:val="00E362B4"/>
    <w:rsid w:val="00E40045"/>
    <w:rsid w:val="00E41292"/>
    <w:rsid w:val="00E465CB"/>
    <w:rsid w:val="00E4735F"/>
    <w:rsid w:val="00E54966"/>
    <w:rsid w:val="00E565EA"/>
    <w:rsid w:val="00E56F1D"/>
    <w:rsid w:val="00E611D9"/>
    <w:rsid w:val="00E631CC"/>
    <w:rsid w:val="00E63D6C"/>
    <w:rsid w:val="00E654EB"/>
    <w:rsid w:val="00E65EE9"/>
    <w:rsid w:val="00E67628"/>
    <w:rsid w:val="00E67B80"/>
    <w:rsid w:val="00E7418D"/>
    <w:rsid w:val="00E7685B"/>
    <w:rsid w:val="00E83118"/>
    <w:rsid w:val="00E85645"/>
    <w:rsid w:val="00E9171C"/>
    <w:rsid w:val="00E92B7C"/>
    <w:rsid w:val="00E96D22"/>
    <w:rsid w:val="00EA0028"/>
    <w:rsid w:val="00EA45D6"/>
    <w:rsid w:val="00EA4DDB"/>
    <w:rsid w:val="00EA5945"/>
    <w:rsid w:val="00EB0A78"/>
    <w:rsid w:val="00EB0BD6"/>
    <w:rsid w:val="00EB7232"/>
    <w:rsid w:val="00EC2EEC"/>
    <w:rsid w:val="00EC4B08"/>
    <w:rsid w:val="00ED2E46"/>
    <w:rsid w:val="00ED500E"/>
    <w:rsid w:val="00ED70B7"/>
    <w:rsid w:val="00EE3283"/>
    <w:rsid w:val="00EE427D"/>
    <w:rsid w:val="00EE5614"/>
    <w:rsid w:val="00EE66B6"/>
    <w:rsid w:val="00EF6A0B"/>
    <w:rsid w:val="00F01403"/>
    <w:rsid w:val="00F14553"/>
    <w:rsid w:val="00F21B92"/>
    <w:rsid w:val="00F231F1"/>
    <w:rsid w:val="00F243F1"/>
    <w:rsid w:val="00F30412"/>
    <w:rsid w:val="00F34EFF"/>
    <w:rsid w:val="00F350F4"/>
    <w:rsid w:val="00F47156"/>
    <w:rsid w:val="00F478BC"/>
    <w:rsid w:val="00F47C74"/>
    <w:rsid w:val="00F53E21"/>
    <w:rsid w:val="00F55293"/>
    <w:rsid w:val="00F555EB"/>
    <w:rsid w:val="00F6014A"/>
    <w:rsid w:val="00F64B38"/>
    <w:rsid w:val="00F650A8"/>
    <w:rsid w:val="00F735FF"/>
    <w:rsid w:val="00F73A85"/>
    <w:rsid w:val="00F81F65"/>
    <w:rsid w:val="00F82304"/>
    <w:rsid w:val="00F91C95"/>
    <w:rsid w:val="00F961CC"/>
    <w:rsid w:val="00F97A24"/>
    <w:rsid w:val="00FA159D"/>
    <w:rsid w:val="00FA6D03"/>
    <w:rsid w:val="00FC24CE"/>
    <w:rsid w:val="00FC6C03"/>
    <w:rsid w:val="00FD2F35"/>
    <w:rsid w:val="00FD401E"/>
    <w:rsid w:val="00FE1597"/>
    <w:rsid w:val="00FE1AAA"/>
    <w:rsid w:val="00FE20ED"/>
    <w:rsid w:val="00FE3A42"/>
    <w:rsid w:val="00FE595E"/>
    <w:rsid w:val="00FF309F"/>
    <w:rsid w:val="00FF3D2B"/>
    <w:rsid w:val="00FF509D"/>
    <w:rsid w:val="00FF61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E60763"/>
  <w15:chartTrackingRefBased/>
  <w15:docId w15:val="{CCF62659-F6D8-4DF4-A072-887D46289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521D"/>
    <w:pPr>
      <w:ind w:left="720"/>
      <w:contextualSpacing/>
    </w:pPr>
  </w:style>
  <w:style w:type="paragraph" w:styleId="BalloonText">
    <w:name w:val="Balloon Text"/>
    <w:basedOn w:val="Normal"/>
    <w:link w:val="BalloonTextChar"/>
    <w:uiPriority w:val="99"/>
    <w:semiHidden/>
    <w:unhideWhenUsed/>
    <w:rsid w:val="00C021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2177"/>
    <w:rPr>
      <w:rFonts w:ascii="Segoe UI" w:hAnsi="Segoe UI" w:cs="Segoe UI"/>
      <w:sz w:val="18"/>
      <w:szCs w:val="18"/>
    </w:rPr>
  </w:style>
  <w:style w:type="character" w:styleId="CommentReference">
    <w:name w:val="annotation reference"/>
    <w:basedOn w:val="DefaultParagraphFont"/>
    <w:uiPriority w:val="99"/>
    <w:semiHidden/>
    <w:unhideWhenUsed/>
    <w:rsid w:val="00C02177"/>
    <w:rPr>
      <w:sz w:val="16"/>
      <w:szCs w:val="16"/>
    </w:rPr>
  </w:style>
  <w:style w:type="paragraph" w:styleId="CommentText">
    <w:name w:val="annotation text"/>
    <w:basedOn w:val="Normal"/>
    <w:link w:val="CommentTextChar"/>
    <w:uiPriority w:val="99"/>
    <w:semiHidden/>
    <w:unhideWhenUsed/>
    <w:rsid w:val="00C02177"/>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C02177"/>
    <w:rPr>
      <w:sz w:val="20"/>
      <w:szCs w:val="20"/>
    </w:rPr>
  </w:style>
  <w:style w:type="paragraph" w:styleId="CommentSubject">
    <w:name w:val="annotation subject"/>
    <w:basedOn w:val="CommentText"/>
    <w:next w:val="CommentText"/>
    <w:link w:val="CommentSubjectChar"/>
    <w:uiPriority w:val="99"/>
    <w:semiHidden/>
    <w:unhideWhenUsed/>
    <w:rsid w:val="00212982"/>
    <w:pPr>
      <w:spacing w:after="160"/>
    </w:pPr>
    <w:rPr>
      <w:b/>
      <w:bCs/>
    </w:rPr>
  </w:style>
  <w:style w:type="character" w:customStyle="1" w:styleId="CommentSubjectChar">
    <w:name w:val="Comment Subject Char"/>
    <w:basedOn w:val="CommentTextChar"/>
    <w:link w:val="CommentSubject"/>
    <w:uiPriority w:val="99"/>
    <w:semiHidden/>
    <w:rsid w:val="00212982"/>
    <w:rPr>
      <w:b/>
      <w:bCs/>
      <w:sz w:val="20"/>
      <w:szCs w:val="20"/>
    </w:rPr>
  </w:style>
  <w:style w:type="character" w:styleId="Hyperlink">
    <w:name w:val="Hyperlink"/>
    <w:basedOn w:val="DefaultParagraphFont"/>
    <w:uiPriority w:val="99"/>
    <w:unhideWhenUsed/>
    <w:rsid w:val="00AC3388"/>
    <w:rPr>
      <w:color w:val="F49100" w:themeColor="hyperlink"/>
      <w:u w:val="single"/>
    </w:rPr>
  </w:style>
  <w:style w:type="character" w:styleId="UnresolvedMention">
    <w:name w:val="Unresolved Mention"/>
    <w:basedOn w:val="DefaultParagraphFont"/>
    <w:uiPriority w:val="99"/>
    <w:semiHidden/>
    <w:unhideWhenUsed/>
    <w:rsid w:val="00AC3388"/>
    <w:rPr>
      <w:color w:val="605E5C"/>
      <w:shd w:val="clear" w:color="auto" w:fill="E1DFDD"/>
    </w:rPr>
  </w:style>
  <w:style w:type="character" w:customStyle="1" w:styleId="InternetLink">
    <w:name w:val="Internet Link"/>
    <w:basedOn w:val="DefaultParagraphFont"/>
    <w:uiPriority w:val="99"/>
    <w:semiHidden/>
    <w:unhideWhenUsed/>
    <w:rsid w:val="000D2F17"/>
    <w:rPr>
      <w:color w:val="0000FF"/>
      <w:u w:val="single"/>
    </w:rPr>
  </w:style>
  <w:style w:type="paragraph" w:customStyle="1" w:styleId="Default">
    <w:name w:val="Default"/>
    <w:qFormat/>
    <w:rsid w:val="004B1373"/>
    <w:pPr>
      <w:widowControl w:val="0"/>
      <w:spacing w:after="0" w:line="240" w:lineRule="auto"/>
    </w:pPr>
    <w:rPr>
      <w:rFonts w:ascii="Arial" w:eastAsia="Calibri" w:hAnsi="Arial" w:cs="Arial"/>
      <w:color w:val="000000"/>
      <w:sz w:val="24"/>
      <w:szCs w:val="24"/>
      <w:lang w:val="en-US"/>
    </w:rPr>
  </w:style>
  <w:style w:type="paragraph" w:styleId="Revision">
    <w:name w:val="Revision"/>
    <w:hidden/>
    <w:uiPriority w:val="99"/>
    <w:semiHidden/>
    <w:rsid w:val="00D5567E"/>
    <w:pPr>
      <w:spacing w:after="0" w:line="240" w:lineRule="auto"/>
    </w:pPr>
  </w:style>
  <w:style w:type="paragraph" w:styleId="NormalWeb">
    <w:name w:val="Normal (Web)"/>
    <w:basedOn w:val="Normal"/>
    <w:uiPriority w:val="99"/>
    <w:unhideWhenUsed/>
    <w:rsid w:val="0028367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5C37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3706"/>
  </w:style>
  <w:style w:type="paragraph" w:styleId="Footer">
    <w:name w:val="footer"/>
    <w:basedOn w:val="Normal"/>
    <w:link w:val="FooterChar"/>
    <w:uiPriority w:val="99"/>
    <w:unhideWhenUsed/>
    <w:rsid w:val="005C37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3706"/>
  </w:style>
  <w:style w:type="character" w:styleId="LineNumber">
    <w:name w:val="line number"/>
    <w:basedOn w:val="DefaultParagraphFont"/>
    <w:uiPriority w:val="99"/>
    <w:semiHidden/>
    <w:unhideWhenUsed/>
    <w:rsid w:val="002D5529"/>
  </w:style>
  <w:style w:type="character" w:styleId="Emphasis">
    <w:name w:val="Emphasis"/>
    <w:basedOn w:val="DefaultParagraphFont"/>
    <w:uiPriority w:val="20"/>
    <w:qFormat/>
    <w:rsid w:val="006E77E9"/>
    <w:rPr>
      <w:i/>
      <w:iCs/>
    </w:rPr>
  </w:style>
  <w:style w:type="character" w:styleId="FollowedHyperlink">
    <w:name w:val="FollowedHyperlink"/>
    <w:basedOn w:val="DefaultParagraphFont"/>
    <w:uiPriority w:val="99"/>
    <w:semiHidden/>
    <w:unhideWhenUsed/>
    <w:rsid w:val="006E77E9"/>
    <w:rPr>
      <w:color w:val="85DFD0" w:themeColor="followedHyperlink"/>
      <w:u w:val="single"/>
    </w:rPr>
  </w:style>
  <w:style w:type="character" w:customStyle="1" w:styleId="cit-auth">
    <w:name w:val="cit-auth"/>
    <w:basedOn w:val="DefaultParagraphFont"/>
    <w:rsid w:val="00CA4177"/>
  </w:style>
  <w:style w:type="character" w:customStyle="1" w:styleId="cit-name-surname">
    <w:name w:val="cit-name-surname"/>
    <w:basedOn w:val="DefaultParagraphFont"/>
    <w:rsid w:val="00CA4177"/>
  </w:style>
  <w:style w:type="character" w:customStyle="1" w:styleId="cit-name-given-names">
    <w:name w:val="cit-name-given-names"/>
    <w:basedOn w:val="DefaultParagraphFont"/>
    <w:rsid w:val="00CA4177"/>
  </w:style>
  <w:style w:type="character" w:styleId="HTMLCite">
    <w:name w:val="HTML Cite"/>
    <w:basedOn w:val="DefaultParagraphFont"/>
    <w:uiPriority w:val="99"/>
    <w:semiHidden/>
    <w:unhideWhenUsed/>
    <w:rsid w:val="00CA4177"/>
    <w:rPr>
      <w:i/>
      <w:iCs/>
    </w:rPr>
  </w:style>
  <w:style w:type="character" w:customStyle="1" w:styleId="cit-pub-date">
    <w:name w:val="cit-pub-date"/>
    <w:basedOn w:val="DefaultParagraphFont"/>
    <w:rsid w:val="00CA4177"/>
  </w:style>
  <w:style w:type="character" w:customStyle="1" w:styleId="cit-article-title">
    <w:name w:val="cit-article-title"/>
    <w:basedOn w:val="DefaultParagraphFont"/>
    <w:rsid w:val="00CA4177"/>
  </w:style>
  <w:style w:type="character" w:customStyle="1" w:styleId="cit-vol">
    <w:name w:val="cit-vol"/>
    <w:basedOn w:val="DefaultParagraphFont"/>
    <w:rsid w:val="00CA4177"/>
  </w:style>
  <w:style w:type="character" w:customStyle="1" w:styleId="cit-fpage">
    <w:name w:val="cit-fpage"/>
    <w:basedOn w:val="DefaultParagraphFont"/>
    <w:rsid w:val="00CA4177"/>
  </w:style>
  <w:style w:type="character" w:customStyle="1" w:styleId="cit-lpage">
    <w:name w:val="cit-lpage"/>
    <w:basedOn w:val="DefaultParagraphFont"/>
    <w:rsid w:val="00CA41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25405">
      <w:bodyDiv w:val="1"/>
      <w:marLeft w:val="0"/>
      <w:marRight w:val="0"/>
      <w:marTop w:val="0"/>
      <w:marBottom w:val="0"/>
      <w:divBdr>
        <w:top w:val="none" w:sz="0" w:space="0" w:color="auto"/>
        <w:left w:val="none" w:sz="0" w:space="0" w:color="auto"/>
        <w:bottom w:val="none" w:sz="0" w:space="0" w:color="auto"/>
        <w:right w:val="none" w:sz="0" w:space="0" w:color="auto"/>
      </w:divBdr>
      <w:divsChild>
        <w:div w:id="1239441448">
          <w:marLeft w:val="0"/>
          <w:marRight w:val="0"/>
          <w:marTop w:val="0"/>
          <w:marBottom w:val="0"/>
          <w:divBdr>
            <w:top w:val="none" w:sz="0" w:space="0" w:color="auto"/>
            <w:left w:val="none" w:sz="0" w:space="0" w:color="auto"/>
            <w:bottom w:val="none" w:sz="0" w:space="0" w:color="auto"/>
            <w:right w:val="none" w:sz="0" w:space="0" w:color="auto"/>
          </w:divBdr>
        </w:div>
      </w:divsChild>
    </w:div>
    <w:div w:id="700588575">
      <w:bodyDiv w:val="1"/>
      <w:marLeft w:val="0"/>
      <w:marRight w:val="0"/>
      <w:marTop w:val="0"/>
      <w:marBottom w:val="0"/>
      <w:divBdr>
        <w:top w:val="none" w:sz="0" w:space="0" w:color="auto"/>
        <w:left w:val="none" w:sz="0" w:space="0" w:color="auto"/>
        <w:bottom w:val="none" w:sz="0" w:space="0" w:color="auto"/>
        <w:right w:val="none" w:sz="0" w:space="0" w:color="auto"/>
      </w:divBdr>
    </w:div>
    <w:div w:id="1321035782">
      <w:bodyDiv w:val="1"/>
      <w:marLeft w:val="0"/>
      <w:marRight w:val="0"/>
      <w:marTop w:val="0"/>
      <w:marBottom w:val="0"/>
      <w:divBdr>
        <w:top w:val="none" w:sz="0" w:space="0" w:color="auto"/>
        <w:left w:val="none" w:sz="0" w:space="0" w:color="auto"/>
        <w:bottom w:val="none" w:sz="0" w:space="0" w:color="auto"/>
        <w:right w:val="none" w:sz="0" w:space="0" w:color="auto"/>
      </w:divBdr>
    </w:div>
    <w:div w:id="1507868804">
      <w:bodyDiv w:val="1"/>
      <w:marLeft w:val="0"/>
      <w:marRight w:val="0"/>
      <w:marTop w:val="0"/>
      <w:marBottom w:val="0"/>
      <w:divBdr>
        <w:top w:val="none" w:sz="0" w:space="0" w:color="auto"/>
        <w:left w:val="none" w:sz="0" w:space="0" w:color="auto"/>
        <w:bottom w:val="none" w:sz="0" w:space="0" w:color="auto"/>
        <w:right w:val="none" w:sz="0" w:space="0" w:color="auto"/>
      </w:divBdr>
      <w:divsChild>
        <w:div w:id="435909012">
          <w:marLeft w:val="0"/>
          <w:marRight w:val="0"/>
          <w:marTop w:val="0"/>
          <w:marBottom w:val="0"/>
          <w:divBdr>
            <w:top w:val="none" w:sz="0" w:space="0" w:color="auto"/>
            <w:left w:val="none" w:sz="0" w:space="0" w:color="auto"/>
            <w:bottom w:val="none" w:sz="0" w:space="0" w:color="auto"/>
            <w:right w:val="none" w:sz="0" w:space="0" w:color="auto"/>
          </w:divBdr>
        </w:div>
      </w:divsChild>
    </w:div>
    <w:div w:id="1676684539">
      <w:bodyDiv w:val="1"/>
      <w:marLeft w:val="0"/>
      <w:marRight w:val="0"/>
      <w:marTop w:val="0"/>
      <w:marBottom w:val="0"/>
      <w:divBdr>
        <w:top w:val="none" w:sz="0" w:space="0" w:color="auto"/>
        <w:left w:val="none" w:sz="0" w:space="0" w:color="auto"/>
        <w:bottom w:val="none" w:sz="0" w:space="0" w:color="auto"/>
        <w:right w:val="none" w:sz="0" w:space="0" w:color="auto"/>
      </w:divBdr>
      <w:divsChild>
        <w:div w:id="2086492536">
          <w:marLeft w:val="0"/>
          <w:marRight w:val="0"/>
          <w:marTop w:val="0"/>
          <w:marBottom w:val="0"/>
          <w:divBdr>
            <w:top w:val="none" w:sz="0" w:space="0" w:color="auto"/>
            <w:left w:val="none" w:sz="0" w:space="0" w:color="auto"/>
            <w:bottom w:val="none" w:sz="0" w:space="0" w:color="auto"/>
            <w:right w:val="none" w:sz="0" w:space="0" w:color="auto"/>
          </w:divBdr>
        </w:div>
      </w:divsChild>
    </w:div>
    <w:div w:id="2030402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19FEB3-BE26-4F07-A29E-59412D983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23384</Words>
  <Characters>133290</Characters>
  <Application>Microsoft Office Word</Application>
  <DocSecurity>0</DocSecurity>
  <Lines>1110</Lines>
  <Paragraphs>312</Paragraphs>
  <ScaleCrop>false</ScaleCrop>
  <HeadingPairs>
    <vt:vector size="2" baseType="variant">
      <vt:variant>
        <vt:lpstr>Title</vt:lpstr>
      </vt:variant>
      <vt:variant>
        <vt:i4>1</vt:i4>
      </vt:variant>
    </vt:vector>
  </HeadingPairs>
  <TitlesOfParts>
    <vt:vector size="1" baseType="lpstr">
      <vt:lpstr/>
    </vt:vector>
  </TitlesOfParts>
  <Company>Clinical School Computing Service</Company>
  <LinksUpToDate>false</LinksUpToDate>
  <CharactersWithSpaces>156362</CharactersWithSpaces>
  <SharedDoc>false</SharedDoc>
  <HLinks>
    <vt:vector size="300" baseType="variant">
      <vt:variant>
        <vt:i4>4194315</vt:i4>
      </vt:variant>
      <vt:variant>
        <vt:i4>296</vt:i4>
      </vt:variant>
      <vt:variant>
        <vt:i4>0</vt:i4>
      </vt:variant>
      <vt:variant>
        <vt:i4>5</vt:i4>
      </vt:variant>
      <vt:variant>
        <vt:lpwstr/>
      </vt:variant>
      <vt:variant>
        <vt:lpwstr>_ENREF_14</vt:lpwstr>
      </vt:variant>
      <vt:variant>
        <vt:i4>4194315</vt:i4>
      </vt:variant>
      <vt:variant>
        <vt:i4>290</vt:i4>
      </vt:variant>
      <vt:variant>
        <vt:i4>0</vt:i4>
      </vt:variant>
      <vt:variant>
        <vt:i4>5</vt:i4>
      </vt:variant>
      <vt:variant>
        <vt:lpwstr/>
      </vt:variant>
      <vt:variant>
        <vt:lpwstr>_ENREF_17</vt:lpwstr>
      </vt:variant>
      <vt:variant>
        <vt:i4>4390923</vt:i4>
      </vt:variant>
      <vt:variant>
        <vt:i4>282</vt:i4>
      </vt:variant>
      <vt:variant>
        <vt:i4>0</vt:i4>
      </vt:variant>
      <vt:variant>
        <vt:i4>5</vt:i4>
      </vt:variant>
      <vt:variant>
        <vt:lpwstr/>
      </vt:variant>
      <vt:variant>
        <vt:lpwstr>_ENREF_24</vt:lpwstr>
      </vt:variant>
      <vt:variant>
        <vt:i4>4390923</vt:i4>
      </vt:variant>
      <vt:variant>
        <vt:i4>276</vt:i4>
      </vt:variant>
      <vt:variant>
        <vt:i4>0</vt:i4>
      </vt:variant>
      <vt:variant>
        <vt:i4>5</vt:i4>
      </vt:variant>
      <vt:variant>
        <vt:lpwstr/>
      </vt:variant>
      <vt:variant>
        <vt:lpwstr>_ENREF_23</vt:lpwstr>
      </vt:variant>
      <vt:variant>
        <vt:i4>4194315</vt:i4>
      </vt:variant>
      <vt:variant>
        <vt:i4>273</vt:i4>
      </vt:variant>
      <vt:variant>
        <vt:i4>0</vt:i4>
      </vt:variant>
      <vt:variant>
        <vt:i4>5</vt:i4>
      </vt:variant>
      <vt:variant>
        <vt:lpwstr/>
      </vt:variant>
      <vt:variant>
        <vt:lpwstr>_ENREF_12</vt:lpwstr>
      </vt:variant>
      <vt:variant>
        <vt:i4>4194315</vt:i4>
      </vt:variant>
      <vt:variant>
        <vt:i4>265</vt:i4>
      </vt:variant>
      <vt:variant>
        <vt:i4>0</vt:i4>
      </vt:variant>
      <vt:variant>
        <vt:i4>5</vt:i4>
      </vt:variant>
      <vt:variant>
        <vt:lpwstr/>
      </vt:variant>
      <vt:variant>
        <vt:lpwstr>_ENREF_12</vt:lpwstr>
      </vt:variant>
      <vt:variant>
        <vt:i4>4456459</vt:i4>
      </vt:variant>
      <vt:variant>
        <vt:i4>257</vt:i4>
      </vt:variant>
      <vt:variant>
        <vt:i4>0</vt:i4>
      </vt:variant>
      <vt:variant>
        <vt:i4>5</vt:i4>
      </vt:variant>
      <vt:variant>
        <vt:lpwstr/>
      </vt:variant>
      <vt:variant>
        <vt:lpwstr>_ENREF_5</vt:lpwstr>
      </vt:variant>
      <vt:variant>
        <vt:i4>4194315</vt:i4>
      </vt:variant>
      <vt:variant>
        <vt:i4>251</vt:i4>
      </vt:variant>
      <vt:variant>
        <vt:i4>0</vt:i4>
      </vt:variant>
      <vt:variant>
        <vt:i4>5</vt:i4>
      </vt:variant>
      <vt:variant>
        <vt:lpwstr/>
      </vt:variant>
      <vt:variant>
        <vt:lpwstr>_ENREF_19</vt:lpwstr>
      </vt:variant>
      <vt:variant>
        <vt:i4>4194315</vt:i4>
      </vt:variant>
      <vt:variant>
        <vt:i4>248</vt:i4>
      </vt:variant>
      <vt:variant>
        <vt:i4>0</vt:i4>
      </vt:variant>
      <vt:variant>
        <vt:i4>5</vt:i4>
      </vt:variant>
      <vt:variant>
        <vt:lpwstr/>
      </vt:variant>
      <vt:variant>
        <vt:lpwstr>_ENREF_11</vt:lpwstr>
      </vt:variant>
      <vt:variant>
        <vt:i4>4194315</vt:i4>
      </vt:variant>
      <vt:variant>
        <vt:i4>245</vt:i4>
      </vt:variant>
      <vt:variant>
        <vt:i4>0</vt:i4>
      </vt:variant>
      <vt:variant>
        <vt:i4>5</vt:i4>
      </vt:variant>
      <vt:variant>
        <vt:lpwstr/>
      </vt:variant>
      <vt:variant>
        <vt:lpwstr>_ENREF_10</vt:lpwstr>
      </vt:variant>
      <vt:variant>
        <vt:i4>4194315</vt:i4>
      </vt:variant>
      <vt:variant>
        <vt:i4>237</vt:i4>
      </vt:variant>
      <vt:variant>
        <vt:i4>0</vt:i4>
      </vt:variant>
      <vt:variant>
        <vt:i4>5</vt:i4>
      </vt:variant>
      <vt:variant>
        <vt:lpwstr/>
      </vt:variant>
      <vt:variant>
        <vt:lpwstr>_ENREF_17</vt:lpwstr>
      </vt:variant>
      <vt:variant>
        <vt:i4>4194315</vt:i4>
      </vt:variant>
      <vt:variant>
        <vt:i4>229</vt:i4>
      </vt:variant>
      <vt:variant>
        <vt:i4>0</vt:i4>
      </vt:variant>
      <vt:variant>
        <vt:i4>5</vt:i4>
      </vt:variant>
      <vt:variant>
        <vt:lpwstr/>
      </vt:variant>
      <vt:variant>
        <vt:lpwstr>_ENREF_17</vt:lpwstr>
      </vt:variant>
      <vt:variant>
        <vt:i4>4194315</vt:i4>
      </vt:variant>
      <vt:variant>
        <vt:i4>221</vt:i4>
      </vt:variant>
      <vt:variant>
        <vt:i4>0</vt:i4>
      </vt:variant>
      <vt:variant>
        <vt:i4>5</vt:i4>
      </vt:variant>
      <vt:variant>
        <vt:lpwstr/>
      </vt:variant>
      <vt:variant>
        <vt:lpwstr>_ENREF_19</vt:lpwstr>
      </vt:variant>
      <vt:variant>
        <vt:i4>4194315</vt:i4>
      </vt:variant>
      <vt:variant>
        <vt:i4>218</vt:i4>
      </vt:variant>
      <vt:variant>
        <vt:i4>0</vt:i4>
      </vt:variant>
      <vt:variant>
        <vt:i4>5</vt:i4>
      </vt:variant>
      <vt:variant>
        <vt:lpwstr/>
      </vt:variant>
      <vt:variant>
        <vt:lpwstr>_ENREF_11</vt:lpwstr>
      </vt:variant>
      <vt:variant>
        <vt:i4>4194315</vt:i4>
      </vt:variant>
      <vt:variant>
        <vt:i4>210</vt:i4>
      </vt:variant>
      <vt:variant>
        <vt:i4>0</vt:i4>
      </vt:variant>
      <vt:variant>
        <vt:i4>5</vt:i4>
      </vt:variant>
      <vt:variant>
        <vt:lpwstr/>
      </vt:variant>
      <vt:variant>
        <vt:lpwstr>_ENREF_11</vt:lpwstr>
      </vt:variant>
      <vt:variant>
        <vt:i4>4194315</vt:i4>
      </vt:variant>
      <vt:variant>
        <vt:i4>207</vt:i4>
      </vt:variant>
      <vt:variant>
        <vt:i4>0</vt:i4>
      </vt:variant>
      <vt:variant>
        <vt:i4>5</vt:i4>
      </vt:variant>
      <vt:variant>
        <vt:lpwstr/>
      </vt:variant>
      <vt:variant>
        <vt:lpwstr>_ENREF_10</vt:lpwstr>
      </vt:variant>
      <vt:variant>
        <vt:i4>4194315</vt:i4>
      </vt:variant>
      <vt:variant>
        <vt:i4>199</vt:i4>
      </vt:variant>
      <vt:variant>
        <vt:i4>0</vt:i4>
      </vt:variant>
      <vt:variant>
        <vt:i4>5</vt:i4>
      </vt:variant>
      <vt:variant>
        <vt:lpwstr/>
      </vt:variant>
      <vt:variant>
        <vt:lpwstr>_ENREF_18</vt:lpwstr>
      </vt:variant>
      <vt:variant>
        <vt:i4>4194315</vt:i4>
      </vt:variant>
      <vt:variant>
        <vt:i4>193</vt:i4>
      </vt:variant>
      <vt:variant>
        <vt:i4>0</vt:i4>
      </vt:variant>
      <vt:variant>
        <vt:i4>5</vt:i4>
      </vt:variant>
      <vt:variant>
        <vt:lpwstr/>
      </vt:variant>
      <vt:variant>
        <vt:lpwstr>_ENREF_18</vt:lpwstr>
      </vt:variant>
      <vt:variant>
        <vt:i4>4390923</vt:i4>
      </vt:variant>
      <vt:variant>
        <vt:i4>187</vt:i4>
      </vt:variant>
      <vt:variant>
        <vt:i4>0</vt:i4>
      </vt:variant>
      <vt:variant>
        <vt:i4>5</vt:i4>
      </vt:variant>
      <vt:variant>
        <vt:lpwstr/>
      </vt:variant>
      <vt:variant>
        <vt:lpwstr>_ENREF_2</vt:lpwstr>
      </vt:variant>
      <vt:variant>
        <vt:i4>4194315</vt:i4>
      </vt:variant>
      <vt:variant>
        <vt:i4>181</vt:i4>
      </vt:variant>
      <vt:variant>
        <vt:i4>0</vt:i4>
      </vt:variant>
      <vt:variant>
        <vt:i4>5</vt:i4>
      </vt:variant>
      <vt:variant>
        <vt:lpwstr/>
      </vt:variant>
      <vt:variant>
        <vt:lpwstr>_ENREF_16</vt:lpwstr>
      </vt:variant>
      <vt:variant>
        <vt:i4>4194315</vt:i4>
      </vt:variant>
      <vt:variant>
        <vt:i4>175</vt:i4>
      </vt:variant>
      <vt:variant>
        <vt:i4>0</vt:i4>
      </vt:variant>
      <vt:variant>
        <vt:i4>5</vt:i4>
      </vt:variant>
      <vt:variant>
        <vt:lpwstr/>
      </vt:variant>
      <vt:variant>
        <vt:lpwstr>_ENREF_18</vt:lpwstr>
      </vt:variant>
      <vt:variant>
        <vt:i4>4194315</vt:i4>
      </vt:variant>
      <vt:variant>
        <vt:i4>169</vt:i4>
      </vt:variant>
      <vt:variant>
        <vt:i4>0</vt:i4>
      </vt:variant>
      <vt:variant>
        <vt:i4>5</vt:i4>
      </vt:variant>
      <vt:variant>
        <vt:lpwstr/>
      </vt:variant>
      <vt:variant>
        <vt:lpwstr>_ENREF_15</vt:lpwstr>
      </vt:variant>
      <vt:variant>
        <vt:i4>4194315</vt:i4>
      </vt:variant>
      <vt:variant>
        <vt:i4>163</vt:i4>
      </vt:variant>
      <vt:variant>
        <vt:i4>0</vt:i4>
      </vt:variant>
      <vt:variant>
        <vt:i4>5</vt:i4>
      </vt:variant>
      <vt:variant>
        <vt:lpwstr/>
      </vt:variant>
      <vt:variant>
        <vt:lpwstr>_ENREF_15</vt:lpwstr>
      </vt:variant>
      <vt:variant>
        <vt:i4>4390923</vt:i4>
      </vt:variant>
      <vt:variant>
        <vt:i4>157</vt:i4>
      </vt:variant>
      <vt:variant>
        <vt:i4>0</vt:i4>
      </vt:variant>
      <vt:variant>
        <vt:i4>5</vt:i4>
      </vt:variant>
      <vt:variant>
        <vt:lpwstr/>
      </vt:variant>
      <vt:variant>
        <vt:lpwstr>_ENREF_23</vt:lpwstr>
      </vt:variant>
      <vt:variant>
        <vt:i4>4194315</vt:i4>
      </vt:variant>
      <vt:variant>
        <vt:i4>151</vt:i4>
      </vt:variant>
      <vt:variant>
        <vt:i4>0</vt:i4>
      </vt:variant>
      <vt:variant>
        <vt:i4>5</vt:i4>
      </vt:variant>
      <vt:variant>
        <vt:lpwstr/>
      </vt:variant>
      <vt:variant>
        <vt:lpwstr>_ENREF_12</vt:lpwstr>
      </vt:variant>
      <vt:variant>
        <vt:i4>4194315</vt:i4>
      </vt:variant>
      <vt:variant>
        <vt:i4>143</vt:i4>
      </vt:variant>
      <vt:variant>
        <vt:i4>0</vt:i4>
      </vt:variant>
      <vt:variant>
        <vt:i4>5</vt:i4>
      </vt:variant>
      <vt:variant>
        <vt:lpwstr/>
      </vt:variant>
      <vt:variant>
        <vt:lpwstr>_ENREF_12</vt:lpwstr>
      </vt:variant>
      <vt:variant>
        <vt:i4>4456459</vt:i4>
      </vt:variant>
      <vt:variant>
        <vt:i4>135</vt:i4>
      </vt:variant>
      <vt:variant>
        <vt:i4>0</vt:i4>
      </vt:variant>
      <vt:variant>
        <vt:i4>5</vt:i4>
      </vt:variant>
      <vt:variant>
        <vt:lpwstr/>
      </vt:variant>
      <vt:variant>
        <vt:lpwstr>_ENREF_5</vt:lpwstr>
      </vt:variant>
      <vt:variant>
        <vt:i4>4718603</vt:i4>
      </vt:variant>
      <vt:variant>
        <vt:i4>129</vt:i4>
      </vt:variant>
      <vt:variant>
        <vt:i4>0</vt:i4>
      </vt:variant>
      <vt:variant>
        <vt:i4>5</vt:i4>
      </vt:variant>
      <vt:variant>
        <vt:lpwstr/>
      </vt:variant>
      <vt:variant>
        <vt:lpwstr>_ENREF_9</vt:lpwstr>
      </vt:variant>
      <vt:variant>
        <vt:i4>4587531</vt:i4>
      </vt:variant>
      <vt:variant>
        <vt:i4>126</vt:i4>
      </vt:variant>
      <vt:variant>
        <vt:i4>0</vt:i4>
      </vt:variant>
      <vt:variant>
        <vt:i4>5</vt:i4>
      </vt:variant>
      <vt:variant>
        <vt:lpwstr/>
      </vt:variant>
      <vt:variant>
        <vt:lpwstr>_ENREF_7</vt:lpwstr>
      </vt:variant>
      <vt:variant>
        <vt:i4>4194315</vt:i4>
      </vt:variant>
      <vt:variant>
        <vt:i4>120</vt:i4>
      </vt:variant>
      <vt:variant>
        <vt:i4>0</vt:i4>
      </vt:variant>
      <vt:variant>
        <vt:i4>5</vt:i4>
      </vt:variant>
      <vt:variant>
        <vt:lpwstr/>
      </vt:variant>
      <vt:variant>
        <vt:lpwstr>_ENREF_11</vt:lpwstr>
      </vt:variant>
      <vt:variant>
        <vt:i4>4194315</vt:i4>
      </vt:variant>
      <vt:variant>
        <vt:i4>114</vt:i4>
      </vt:variant>
      <vt:variant>
        <vt:i4>0</vt:i4>
      </vt:variant>
      <vt:variant>
        <vt:i4>5</vt:i4>
      </vt:variant>
      <vt:variant>
        <vt:lpwstr/>
      </vt:variant>
      <vt:variant>
        <vt:lpwstr>_ENREF_11</vt:lpwstr>
      </vt:variant>
      <vt:variant>
        <vt:i4>4194315</vt:i4>
      </vt:variant>
      <vt:variant>
        <vt:i4>108</vt:i4>
      </vt:variant>
      <vt:variant>
        <vt:i4>0</vt:i4>
      </vt:variant>
      <vt:variant>
        <vt:i4>5</vt:i4>
      </vt:variant>
      <vt:variant>
        <vt:lpwstr/>
      </vt:variant>
      <vt:variant>
        <vt:lpwstr>_ENREF_10</vt:lpwstr>
      </vt:variant>
      <vt:variant>
        <vt:i4>4194315</vt:i4>
      </vt:variant>
      <vt:variant>
        <vt:i4>100</vt:i4>
      </vt:variant>
      <vt:variant>
        <vt:i4>0</vt:i4>
      </vt:variant>
      <vt:variant>
        <vt:i4>5</vt:i4>
      </vt:variant>
      <vt:variant>
        <vt:lpwstr/>
      </vt:variant>
      <vt:variant>
        <vt:lpwstr>_ENREF_10</vt:lpwstr>
      </vt:variant>
      <vt:variant>
        <vt:i4>4194315</vt:i4>
      </vt:variant>
      <vt:variant>
        <vt:i4>92</vt:i4>
      </vt:variant>
      <vt:variant>
        <vt:i4>0</vt:i4>
      </vt:variant>
      <vt:variant>
        <vt:i4>5</vt:i4>
      </vt:variant>
      <vt:variant>
        <vt:lpwstr/>
      </vt:variant>
      <vt:variant>
        <vt:lpwstr>_ENREF_19</vt:lpwstr>
      </vt:variant>
      <vt:variant>
        <vt:i4>4194315</vt:i4>
      </vt:variant>
      <vt:variant>
        <vt:i4>86</vt:i4>
      </vt:variant>
      <vt:variant>
        <vt:i4>0</vt:i4>
      </vt:variant>
      <vt:variant>
        <vt:i4>5</vt:i4>
      </vt:variant>
      <vt:variant>
        <vt:lpwstr/>
      </vt:variant>
      <vt:variant>
        <vt:lpwstr>_ENREF_19</vt:lpwstr>
      </vt:variant>
      <vt:variant>
        <vt:i4>4194315</vt:i4>
      </vt:variant>
      <vt:variant>
        <vt:i4>83</vt:i4>
      </vt:variant>
      <vt:variant>
        <vt:i4>0</vt:i4>
      </vt:variant>
      <vt:variant>
        <vt:i4>5</vt:i4>
      </vt:variant>
      <vt:variant>
        <vt:lpwstr/>
      </vt:variant>
      <vt:variant>
        <vt:lpwstr>_ENREF_11</vt:lpwstr>
      </vt:variant>
      <vt:variant>
        <vt:i4>4194315</vt:i4>
      </vt:variant>
      <vt:variant>
        <vt:i4>80</vt:i4>
      </vt:variant>
      <vt:variant>
        <vt:i4>0</vt:i4>
      </vt:variant>
      <vt:variant>
        <vt:i4>5</vt:i4>
      </vt:variant>
      <vt:variant>
        <vt:lpwstr/>
      </vt:variant>
      <vt:variant>
        <vt:lpwstr>_ENREF_10</vt:lpwstr>
      </vt:variant>
      <vt:variant>
        <vt:i4>4194315</vt:i4>
      </vt:variant>
      <vt:variant>
        <vt:i4>72</vt:i4>
      </vt:variant>
      <vt:variant>
        <vt:i4>0</vt:i4>
      </vt:variant>
      <vt:variant>
        <vt:i4>5</vt:i4>
      </vt:variant>
      <vt:variant>
        <vt:lpwstr/>
      </vt:variant>
      <vt:variant>
        <vt:lpwstr>_ENREF_17</vt:lpwstr>
      </vt:variant>
      <vt:variant>
        <vt:i4>4194315</vt:i4>
      </vt:variant>
      <vt:variant>
        <vt:i4>64</vt:i4>
      </vt:variant>
      <vt:variant>
        <vt:i4>0</vt:i4>
      </vt:variant>
      <vt:variant>
        <vt:i4>5</vt:i4>
      </vt:variant>
      <vt:variant>
        <vt:lpwstr/>
      </vt:variant>
      <vt:variant>
        <vt:lpwstr>_ENREF_11</vt:lpwstr>
      </vt:variant>
      <vt:variant>
        <vt:i4>4390923</vt:i4>
      </vt:variant>
      <vt:variant>
        <vt:i4>58</vt:i4>
      </vt:variant>
      <vt:variant>
        <vt:i4>0</vt:i4>
      </vt:variant>
      <vt:variant>
        <vt:i4>5</vt:i4>
      </vt:variant>
      <vt:variant>
        <vt:lpwstr/>
      </vt:variant>
      <vt:variant>
        <vt:lpwstr>_ENREF_20</vt:lpwstr>
      </vt:variant>
      <vt:variant>
        <vt:i4>4194315</vt:i4>
      </vt:variant>
      <vt:variant>
        <vt:i4>50</vt:i4>
      </vt:variant>
      <vt:variant>
        <vt:i4>0</vt:i4>
      </vt:variant>
      <vt:variant>
        <vt:i4>5</vt:i4>
      </vt:variant>
      <vt:variant>
        <vt:lpwstr/>
      </vt:variant>
      <vt:variant>
        <vt:lpwstr>_ENREF_13</vt:lpwstr>
      </vt:variant>
      <vt:variant>
        <vt:i4>4194315</vt:i4>
      </vt:variant>
      <vt:variant>
        <vt:i4>44</vt:i4>
      </vt:variant>
      <vt:variant>
        <vt:i4>0</vt:i4>
      </vt:variant>
      <vt:variant>
        <vt:i4>5</vt:i4>
      </vt:variant>
      <vt:variant>
        <vt:lpwstr/>
      </vt:variant>
      <vt:variant>
        <vt:lpwstr>_ENREF_13</vt:lpwstr>
      </vt:variant>
      <vt:variant>
        <vt:i4>4784139</vt:i4>
      </vt:variant>
      <vt:variant>
        <vt:i4>38</vt:i4>
      </vt:variant>
      <vt:variant>
        <vt:i4>0</vt:i4>
      </vt:variant>
      <vt:variant>
        <vt:i4>5</vt:i4>
      </vt:variant>
      <vt:variant>
        <vt:lpwstr/>
      </vt:variant>
      <vt:variant>
        <vt:lpwstr>_ENREF_8</vt:lpwstr>
      </vt:variant>
      <vt:variant>
        <vt:i4>4653067</vt:i4>
      </vt:variant>
      <vt:variant>
        <vt:i4>35</vt:i4>
      </vt:variant>
      <vt:variant>
        <vt:i4>0</vt:i4>
      </vt:variant>
      <vt:variant>
        <vt:i4>5</vt:i4>
      </vt:variant>
      <vt:variant>
        <vt:lpwstr/>
      </vt:variant>
      <vt:variant>
        <vt:lpwstr>_ENREF_6</vt:lpwstr>
      </vt:variant>
      <vt:variant>
        <vt:i4>4390923</vt:i4>
      </vt:variant>
      <vt:variant>
        <vt:i4>27</vt:i4>
      </vt:variant>
      <vt:variant>
        <vt:i4>0</vt:i4>
      </vt:variant>
      <vt:variant>
        <vt:i4>5</vt:i4>
      </vt:variant>
      <vt:variant>
        <vt:lpwstr/>
      </vt:variant>
      <vt:variant>
        <vt:lpwstr>_ENREF_21</vt:lpwstr>
      </vt:variant>
      <vt:variant>
        <vt:i4>4521995</vt:i4>
      </vt:variant>
      <vt:variant>
        <vt:i4>24</vt:i4>
      </vt:variant>
      <vt:variant>
        <vt:i4>0</vt:i4>
      </vt:variant>
      <vt:variant>
        <vt:i4>5</vt:i4>
      </vt:variant>
      <vt:variant>
        <vt:lpwstr/>
      </vt:variant>
      <vt:variant>
        <vt:lpwstr>_ENREF_4</vt:lpwstr>
      </vt:variant>
      <vt:variant>
        <vt:i4>4521995</vt:i4>
      </vt:variant>
      <vt:variant>
        <vt:i4>16</vt:i4>
      </vt:variant>
      <vt:variant>
        <vt:i4>0</vt:i4>
      </vt:variant>
      <vt:variant>
        <vt:i4>5</vt:i4>
      </vt:variant>
      <vt:variant>
        <vt:lpwstr/>
      </vt:variant>
      <vt:variant>
        <vt:lpwstr>_ENREF_4</vt:lpwstr>
      </vt:variant>
      <vt:variant>
        <vt:i4>4390923</vt:i4>
      </vt:variant>
      <vt:variant>
        <vt:i4>10</vt:i4>
      </vt:variant>
      <vt:variant>
        <vt:i4>0</vt:i4>
      </vt:variant>
      <vt:variant>
        <vt:i4>5</vt:i4>
      </vt:variant>
      <vt:variant>
        <vt:lpwstr/>
      </vt:variant>
      <vt:variant>
        <vt:lpwstr>_ENREF_22</vt:lpwstr>
      </vt:variant>
      <vt:variant>
        <vt:i4>4325387</vt:i4>
      </vt:variant>
      <vt:variant>
        <vt:i4>7</vt:i4>
      </vt:variant>
      <vt:variant>
        <vt:i4>0</vt:i4>
      </vt:variant>
      <vt:variant>
        <vt:i4>5</vt:i4>
      </vt:variant>
      <vt:variant>
        <vt:lpwstr/>
      </vt:variant>
      <vt:variant>
        <vt:lpwstr>_ENREF_3</vt:lpwstr>
      </vt:variant>
      <vt:variant>
        <vt:i4>4194315</vt:i4>
      </vt:variant>
      <vt:variant>
        <vt:i4>4</vt:i4>
      </vt:variant>
      <vt:variant>
        <vt:i4>0</vt:i4>
      </vt:variant>
      <vt:variant>
        <vt:i4>5</vt:i4>
      </vt:variant>
      <vt:variant>
        <vt:lpwstr/>
      </vt:variant>
      <vt:variant>
        <vt:lpwstr>_ENREF_1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Kathrin Weidacker</dc:creator>
  <cp:keywords/>
  <dc:description/>
  <cp:lastModifiedBy>Timo Kvamme</cp:lastModifiedBy>
  <cp:revision>2</cp:revision>
  <dcterms:created xsi:type="dcterms:W3CDTF">2020-10-19T10:31:00Z</dcterms:created>
  <dcterms:modified xsi:type="dcterms:W3CDTF">2020-10-19T10:31:00Z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http://www.zotero.org/styles/cognition</vt:lpwstr>
  </property>
  <property fmtid="{D5CDD505-2E9C-101B-9397-08002B2CF9AE}" pid="13" name="Mendeley Recent Style Name 5_1">
    <vt:lpwstr>Cognition</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http://www.zotero.org/styles/neuropsychopharmacology</vt:lpwstr>
  </property>
  <property fmtid="{D5CDD505-2E9C-101B-9397-08002B2CF9AE}" pid="21" name="Mendeley Recent Style Name 9_1">
    <vt:lpwstr>Neuropsychopharmacology</vt:lpwstr>
  </property>
  <property fmtid="{D5CDD505-2E9C-101B-9397-08002B2CF9AE}" pid="22" name="Mendeley Document_1">
    <vt:lpwstr>True</vt:lpwstr>
  </property>
  <property fmtid="{D5CDD505-2E9C-101B-9397-08002B2CF9AE}" pid="23" name="Mendeley Unique User Id_1">
    <vt:lpwstr>f79e0237-ed78-34d5-a2a8-1d37c66221aa</vt:lpwstr>
  </property>
  <property fmtid="{D5CDD505-2E9C-101B-9397-08002B2CF9AE}" pid="24" name="Mendeley Citation Style_1">
    <vt:lpwstr>http://www.zotero.org/styles/cognition</vt:lpwstr>
  </property>
  <property fmtid="{D5CDD505-2E9C-101B-9397-08002B2CF9AE}" pid="25" name="FileId">
    <vt:lpwstr>1107980</vt:lpwstr>
  </property>
  <property fmtid="{D5CDD505-2E9C-101B-9397-08002B2CF9AE}" pid="26" name="ProjectId">
    <vt:lpwstr>-1</vt:lpwstr>
  </property>
  <property fmtid="{D5CDD505-2E9C-101B-9397-08002B2CF9AE}" pid="27" name="InsertAsFootnote">
    <vt:lpwstr>False</vt:lpwstr>
  </property>
  <property fmtid="{D5CDD505-2E9C-101B-9397-08002B2CF9AE}" pid="28" name="StyleId">
    <vt:lpwstr>http://www.zotero.org/styles/vancouver</vt:lpwstr>
  </property>
</Properties>
</file>