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402DE" w14:textId="47DD0F2B" w:rsidR="00556924" w:rsidRDefault="00B55A5B" w:rsidP="00E84C28">
      <w:pPr>
        <w:spacing w:line="360" w:lineRule="auto"/>
        <w:jc w:val="center"/>
        <w:rPr>
          <w:b/>
        </w:rPr>
      </w:pPr>
      <w:bookmarkStart w:id="0" w:name="OLE_LINK8"/>
      <w:bookmarkStart w:id="1" w:name="OLE_LINK15"/>
      <w:bookmarkStart w:id="2" w:name="OLE_LINK3"/>
      <w:r w:rsidRPr="007E51FB">
        <w:rPr>
          <w:b/>
        </w:rPr>
        <w:t>MEASURING CEREBRAL PERFUSION WITH [</w:t>
      </w:r>
      <w:r w:rsidRPr="007E51FB">
        <w:rPr>
          <w:b/>
          <w:vertAlign w:val="superscript"/>
        </w:rPr>
        <w:t>11</w:t>
      </w:r>
      <w:r w:rsidRPr="007E51FB">
        <w:rPr>
          <w:b/>
        </w:rPr>
        <w:t>C]-PIB R1 IN DOWN SYNDROME: ASSOCIATIONS WITH AMYLOID BURDEN AND LONGITUDINAL COGNITIVE DECLINE</w:t>
      </w:r>
    </w:p>
    <w:p w14:paraId="541C8AFD" w14:textId="77777777" w:rsidR="00DF13FC" w:rsidRDefault="00DF13FC" w:rsidP="00DF13FC">
      <w:pPr>
        <w:spacing w:line="360" w:lineRule="auto"/>
        <w:rPr>
          <w:b/>
        </w:rPr>
      </w:pPr>
    </w:p>
    <w:p w14:paraId="4864C4E3" w14:textId="153593D6" w:rsidR="00DF13FC" w:rsidRPr="00DF13FC" w:rsidRDefault="00DF13FC" w:rsidP="00DF13FC">
      <w:pPr>
        <w:spacing w:line="360" w:lineRule="auto"/>
        <w:rPr>
          <w:b/>
        </w:rPr>
      </w:pPr>
      <w:r w:rsidRPr="00DF13FC">
        <w:rPr>
          <w:b/>
        </w:rPr>
        <w:t>Short title</w:t>
      </w:r>
      <w:r>
        <w:rPr>
          <w:b/>
        </w:rPr>
        <w:t>: Amyloid burden and perfusion in Down Syndrome</w:t>
      </w:r>
    </w:p>
    <w:bookmarkEnd w:id="0"/>
    <w:bookmarkEnd w:id="1"/>
    <w:p w14:paraId="3B4F01EC" w14:textId="77777777" w:rsidR="00556924" w:rsidRPr="007E51FB" w:rsidRDefault="00556924" w:rsidP="00E84C28">
      <w:pPr>
        <w:spacing w:line="360" w:lineRule="auto"/>
        <w:jc w:val="center"/>
        <w:rPr>
          <w:b/>
        </w:rPr>
      </w:pPr>
    </w:p>
    <w:p w14:paraId="61099D90" w14:textId="7211C25F" w:rsidR="00556924" w:rsidRPr="007E51FB" w:rsidRDefault="00556924" w:rsidP="00E84C28">
      <w:pPr>
        <w:spacing w:line="360" w:lineRule="auto"/>
        <w:rPr>
          <w:vertAlign w:val="superscript"/>
        </w:rPr>
      </w:pPr>
      <w:bookmarkStart w:id="3" w:name="OLE_LINK99"/>
      <w:bookmarkStart w:id="4" w:name="OLE_LINK97"/>
      <w:bookmarkStart w:id="5" w:name="OLE_LINK142"/>
      <w:bookmarkStart w:id="6" w:name="OLE_LINK143"/>
      <w:bookmarkStart w:id="7" w:name="OLE_LINK154"/>
      <w:r w:rsidRPr="007E51FB">
        <w:t>Elijah Mak (PhD)</w:t>
      </w:r>
      <w:bookmarkStart w:id="8" w:name="OLE_LINK4"/>
      <w:bookmarkStart w:id="9" w:name="OLE_LINK7"/>
      <w:r w:rsidRPr="007E51FB">
        <w:rPr>
          <w:vertAlign w:val="superscript"/>
        </w:rPr>
        <w:t>1</w:t>
      </w:r>
      <w:bookmarkEnd w:id="8"/>
      <w:bookmarkEnd w:id="9"/>
      <w:r w:rsidRPr="007E51FB">
        <w:t>, Monika Grigorova (MSc)</w:t>
      </w:r>
      <w:r w:rsidRPr="007E51FB">
        <w:rPr>
          <w:vertAlign w:val="superscript"/>
        </w:rPr>
        <w:t xml:space="preserve"> </w:t>
      </w:r>
      <w:bookmarkStart w:id="10" w:name="OLE_LINK74"/>
      <w:bookmarkStart w:id="11" w:name="OLE_LINK75"/>
      <w:r w:rsidRPr="007E51FB">
        <w:rPr>
          <w:vertAlign w:val="superscript"/>
        </w:rPr>
        <w:t>1</w:t>
      </w:r>
      <w:bookmarkEnd w:id="10"/>
      <w:bookmarkEnd w:id="11"/>
      <w:r w:rsidRPr="007E51FB">
        <w:t xml:space="preserve">, Jessica Beresford-Webb (MSc), </w:t>
      </w:r>
      <w:r w:rsidR="006213A7" w:rsidRPr="007E51FB">
        <w:t xml:space="preserve">Maura </w:t>
      </w:r>
      <w:proofErr w:type="spellStart"/>
      <w:r w:rsidR="006213A7" w:rsidRPr="007E51FB">
        <w:t>Malpetti</w:t>
      </w:r>
      <w:proofErr w:type="spellEnd"/>
      <w:r w:rsidR="006213A7" w:rsidRPr="007E51FB">
        <w:t xml:space="preserve"> </w:t>
      </w:r>
      <w:r w:rsidR="00521570" w:rsidRPr="007E51FB">
        <w:rPr>
          <w:vertAlign w:val="superscript"/>
        </w:rPr>
        <w:t xml:space="preserve">2 </w:t>
      </w:r>
      <w:r w:rsidR="006213A7" w:rsidRPr="007E51FB">
        <w:t>(MSc)</w:t>
      </w:r>
      <w:r w:rsidR="006213A7" w:rsidRPr="007E51FB">
        <w:rPr>
          <w:vertAlign w:val="superscript"/>
        </w:rPr>
        <w:t xml:space="preserve"> </w:t>
      </w:r>
      <w:r w:rsidR="006213A7" w:rsidRPr="007E51FB">
        <w:t xml:space="preserve">, </w:t>
      </w:r>
      <w:r w:rsidRPr="007E51FB">
        <w:t xml:space="preserve">Madeline </w:t>
      </w:r>
      <w:proofErr w:type="spellStart"/>
      <w:r w:rsidRPr="007E51FB">
        <w:t>Walpert</w:t>
      </w:r>
      <w:proofErr w:type="spellEnd"/>
      <w:r w:rsidRPr="007E51FB">
        <w:t xml:space="preserve"> (PhD)</w:t>
      </w:r>
      <w:r w:rsidRPr="007E51FB">
        <w:rPr>
          <w:vertAlign w:val="superscript"/>
        </w:rPr>
        <w:t>1</w:t>
      </w:r>
      <w:r w:rsidRPr="007E51FB">
        <w:t>,</w:t>
      </w:r>
      <w:r w:rsidR="00136AF6" w:rsidRPr="007E51FB">
        <w:t xml:space="preserve"> </w:t>
      </w:r>
      <w:r w:rsidR="0073753E" w:rsidRPr="007E51FB">
        <w:t>Stephanie Brown (PhD)</w:t>
      </w:r>
      <w:r w:rsidR="0073753E" w:rsidRPr="007E51FB">
        <w:rPr>
          <w:vertAlign w:val="superscript"/>
        </w:rPr>
        <w:t xml:space="preserve"> 1</w:t>
      </w:r>
      <w:r w:rsidR="0073753E" w:rsidRPr="007E51FB">
        <w:t xml:space="preserve">, </w:t>
      </w:r>
      <w:r w:rsidR="00136AF6" w:rsidRPr="007E51FB">
        <w:t xml:space="preserve">Elizabeth Jones </w:t>
      </w:r>
      <w:r w:rsidR="00136AF6" w:rsidRPr="007E51FB">
        <w:rPr>
          <w:vertAlign w:val="superscript"/>
        </w:rPr>
        <w:t>1</w:t>
      </w:r>
      <w:r w:rsidRPr="007E51FB">
        <w:t xml:space="preserve"> </w:t>
      </w:r>
      <w:r w:rsidR="00136AF6" w:rsidRPr="007E51FB">
        <w:t xml:space="preserve">, </w:t>
      </w:r>
      <w:r w:rsidRPr="007E51FB">
        <w:t>Isabel Clare</w:t>
      </w:r>
      <w:r w:rsidR="00136AF6" w:rsidRPr="007E51FB">
        <w:t xml:space="preserve"> </w:t>
      </w:r>
      <w:r w:rsidR="00136AF6" w:rsidRPr="007E51FB">
        <w:rPr>
          <w:vertAlign w:val="superscript"/>
        </w:rPr>
        <w:t>1</w:t>
      </w:r>
      <w:r w:rsidRPr="007E51FB">
        <w:t xml:space="preserve"> (PhD) ,</w:t>
      </w:r>
      <w:r w:rsidR="00431083" w:rsidRPr="007E51FB">
        <w:t xml:space="preserve"> </w:t>
      </w:r>
      <w:r w:rsidRPr="007E51FB">
        <w:t xml:space="preserve">Young T Hong (PhD) </w:t>
      </w:r>
      <w:r w:rsidR="004E2617" w:rsidRPr="007E51FB">
        <w:rPr>
          <w:vertAlign w:val="superscript"/>
        </w:rPr>
        <w:t>3</w:t>
      </w:r>
      <w:r w:rsidRPr="007E51FB">
        <w:t xml:space="preserve">, Tim D Fryer (PhD) </w:t>
      </w:r>
      <w:r w:rsidR="004E2617" w:rsidRPr="007E51FB">
        <w:rPr>
          <w:vertAlign w:val="superscript"/>
        </w:rPr>
        <w:t>3</w:t>
      </w:r>
      <w:r w:rsidRPr="007E51FB">
        <w:t xml:space="preserve">, Jonathan P Coles (MD) </w:t>
      </w:r>
      <w:r w:rsidR="004E2617" w:rsidRPr="007E51FB">
        <w:rPr>
          <w:vertAlign w:val="superscript"/>
        </w:rPr>
        <w:t>4</w:t>
      </w:r>
      <w:r w:rsidRPr="007E51FB">
        <w:t xml:space="preserve">, Franklin I </w:t>
      </w:r>
      <w:proofErr w:type="spellStart"/>
      <w:r w:rsidRPr="007E51FB">
        <w:t>Aigbirhio</w:t>
      </w:r>
      <w:proofErr w:type="spellEnd"/>
      <w:r w:rsidRPr="007E51FB">
        <w:t xml:space="preserve"> (PhD) </w:t>
      </w:r>
      <w:r w:rsidR="004E2617" w:rsidRPr="007E51FB">
        <w:rPr>
          <w:vertAlign w:val="superscript"/>
        </w:rPr>
        <w:t>3</w:t>
      </w:r>
      <w:r w:rsidRPr="007E51FB">
        <w:t xml:space="preserve">, David K Menon (MD) </w:t>
      </w:r>
      <w:r w:rsidR="004E2617" w:rsidRPr="007E51FB">
        <w:rPr>
          <w:vertAlign w:val="superscript"/>
        </w:rPr>
        <w:t>4</w:t>
      </w:r>
      <w:r w:rsidRPr="007E51FB">
        <w:t xml:space="preserve">, Peter J Nestor (MD, PhD) </w:t>
      </w:r>
      <w:r w:rsidR="004E2617" w:rsidRPr="007E51FB">
        <w:rPr>
          <w:vertAlign w:val="superscript"/>
        </w:rPr>
        <w:t>5</w:t>
      </w:r>
      <w:r w:rsidR="00D44080" w:rsidRPr="007E51FB">
        <w:rPr>
          <w:vertAlign w:val="superscript"/>
        </w:rPr>
        <w:t>s</w:t>
      </w:r>
      <w:r w:rsidRPr="007E51FB">
        <w:t xml:space="preserve">, </w:t>
      </w:r>
      <w:bookmarkStart w:id="12" w:name="OLE_LINK76"/>
      <w:bookmarkStart w:id="13" w:name="OLE_LINK77"/>
      <w:bookmarkStart w:id="14" w:name="OLE_LINK78"/>
      <w:r w:rsidRPr="007E51FB">
        <w:t>Anthony J Holland (</w:t>
      </w:r>
      <w:proofErr w:type="spellStart"/>
      <w:r w:rsidRPr="007E51FB">
        <w:t>FRCPsych</w:t>
      </w:r>
      <w:proofErr w:type="spellEnd"/>
      <w:r w:rsidRPr="007E51FB">
        <w:t xml:space="preserve">) </w:t>
      </w:r>
      <w:r w:rsidRPr="007E51FB">
        <w:rPr>
          <w:vertAlign w:val="superscript"/>
        </w:rPr>
        <w:t xml:space="preserve">1 </w:t>
      </w:r>
      <w:bookmarkEnd w:id="12"/>
      <w:bookmarkEnd w:id="13"/>
      <w:bookmarkEnd w:id="14"/>
      <w:r w:rsidRPr="007E51FB">
        <w:t>, Shahid H Zaman (MD, PhD)</w:t>
      </w:r>
      <w:r w:rsidRPr="007E51FB">
        <w:rPr>
          <w:vertAlign w:val="superscript"/>
        </w:rPr>
        <w:t>1</w:t>
      </w:r>
      <w:r w:rsidR="00826480" w:rsidRPr="007E51FB">
        <w:rPr>
          <w:vertAlign w:val="superscript"/>
        </w:rPr>
        <w:t xml:space="preserve"> </w:t>
      </w:r>
    </w:p>
    <w:p w14:paraId="48EE8D8E" w14:textId="77777777" w:rsidR="00556924" w:rsidRPr="007E51FB" w:rsidRDefault="00556924" w:rsidP="00E84C28">
      <w:pPr>
        <w:spacing w:line="360" w:lineRule="auto"/>
        <w:jc w:val="center"/>
      </w:pPr>
    </w:p>
    <w:bookmarkEnd w:id="3"/>
    <w:bookmarkEnd w:id="4"/>
    <w:bookmarkEnd w:id="5"/>
    <w:bookmarkEnd w:id="6"/>
    <w:bookmarkEnd w:id="7"/>
    <w:p w14:paraId="02B95E2D" w14:textId="77777777" w:rsidR="00556924" w:rsidRPr="007E51FB" w:rsidRDefault="00556924" w:rsidP="00E84C28">
      <w:pPr>
        <w:spacing w:line="360" w:lineRule="auto"/>
        <w:jc w:val="both"/>
        <w:rPr>
          <w:b/>
        </w:rPr>
      </w:pPr>
      <w:r w:rsidRPr="007E51FB">
        <w:rPr>
          <w:b/>
        </w:rPr>
        <w:t>Affiliations</w:t>
      </w:r>
    </w:p>
    <w:p w14:paraId="1C5E92CE" w14:textId="3E858079" w:rsidR="00556924" w:rsidRPr="007E51FB" w:rsidRDefault="00556924" w:rsidP="00E84C28">
      <w:pPr>
        <w:spacing w:line="360" w:lineRule="auto"/>
        <w:jc w:val="both"/>
      </w:pPr>
      <w:r w:rsidRPr="007E51FB">
        <w:t>1 Department of Psychiatry, University of Cambridge, UK</w:t>
      </w:r>
    </w:p>
    <w:p w14:paraId="229E64A5" w14:textId="49CD8006" w:rsidR="004E2617" w:rsidRPr="007E51FB" w:rsidRDefault="004E2617" w:rsidP="00E84C28">
      <w:pPr>
        <w:spacing w:line="360" w:lineRule="auto"/>
        <w:jc w:val="both"/>
      </w:pPr>
      <w:r w:rsidRPr="007E51FB">
        <w:t>2 Department of Clinical Neurosciences, University of Cambridge, UK</w:t>
      </w:r>
    </w:p>
    <w:p w14:paraId="7332B3FD" w14:textId="1667351C" w:rsidR="00556924" w:rsidRPr="007E51FB" w:rsidRDefault="004E2617" w:rsidP="00E84C28">
      <w:pPr>
        <w:spacing w:line="360" w:lineRule="auto"/>
        <w:jc w:val="both"/>
      </w:pPr>
      <w:r w:rsidRPr="007E51FB">
        <w:t>3</w:t>
      </w:r>
      <w:r w:rsidR="00556924" w:rsidRPr="007E51FB">
        <w:t xml:space="preserve"> Wolfson Brain Imaging Centre, Cambridge, UK</w:t>
      </w:r>
    </w:p>
    <w:p w14:paraId="7B2FE8DE" w14:textId="106D3FE7" w:rsidR="00556924" w:rsidRPr="007E51FB" w:rsidRDefault="004E2617" w:rsidP="00E84C28">
      <w:pPr>
        <w:spacing w:line="360" w:lineRule="auto"/>
        <w:jc w:val="both"/>
      </w:pPr>
      <w:r w:rsidRPr="007E51FB">
        <w:t>4</w:t>
      </w:r>
      <w:r w:rsidR="00556924" w:rsidRPr="007E51FB">
        <w:t xml:space="preserve"> Division of Anaesthesia, University of Cambridge, UK</w:t>
      </w:r>
    </w:p>
    <w:p w14:paraId="4CE16CB3" w14:textId="0F9BD85E" w:rsidR="00556924" w:rsidRPr="007E51FB" w:rsidRDefault="004E2617" w:rsidP="00E84C28">
      <w:pPr>
        <w:spacing w:line="360" w:lineRule="auto"/>
        <w:jc w:val="both"/>
      </w:pPr>
      <w:r w:rsidRPr="007E51FB">
        <w:t>5</w:t>
      </w:r>
      <w:r w:rsidR="00556924" w:rsidRPr="007E51FB">
        <w:t xml:space="preserve"> Queensland Brain Institute, University of Queensland, Australia</w:t>
      </w:r>
    </w:p>
    <w:p w14:paraId="7F13E1BF" w14:textId="77777777" w:rsidR="00556924" w:rsidRPr="007E51FB" w:rsidRDefault="00556924" w:rsidP="00E84C28">
      <w:pPr>
        <w:spacing w:line="360" w:lineRule="auto"/>
        <w:jc w:val="both"/>
      </w:pPr>
    </w:p>
    <w:p w14:paraId="38C84A9B" w14:textId="77777777" w:rsidR="00556924" w:rsidRPr="007E51FB" w:rsidRDefault="00556924" w:rsidP="00E84C28">
      <w:pPr>
        <w:spacing w:line="360" w:lineRule="auto"/>
        <w:jc w:val="both"/>
        <w:outlineLvl w:val="0"/>
        <w:rPr>
          <w:b/>
        </w:rPr>
      </w:pPr>
      <w:r w:rsidRPr="007E51FB">
        <w:rPr>
          <w:b/>
        </w:rPr>
        <w:t>Corresponding Author</w:t>
      </w:r>
    </w:p>
    <w:p w14:paraId="76E2FDA3" w14:textId="6123B307" w:rsidR="00556924" w:rsidRDefault="00556924" w:rsidP="00E84C28">
      <w:pPr>
        <w:spacing w:line="360" w:lineRule="auto"/>
        <w:jc w:val="both"/>
        <w:outlineLvl w:val="0"/>
      </w:pPr>
      <w:r w:rsidRPr="007E51FB">
        <w:t>Elijah Mak</w:t>
      </w:r>
    </w:p>
    <w:p w14:paraId="3197FDF1" w14:textId="55854DBD" w:rsidR="00DF13FC" w:rsidRPr="007E51FB" w:rsidRDefault="00DF13FC" w:rsidP="00E84C28">
      <w:pPr>
        <w:spacing w:line="360" w:lineRule="auto"/>
        <w:jc w:val="both"/>
        <w:outlineLvl w:val="0"/>
      </w:pPr>
      <w:r>
        <w:t>fkm24@medschl.cam.ac.uk</w:t>
      </w:r>
    </w:p>
    <w:p w14:paraId="7D29548A" w14:textId="77777777" w:rsidR="00556924" w:rsidRPr="007E51FB" w:rsidRDefault="00556924" w:rsidP="00E84C28">
      <w:pPr>
        <w:spacing w:line="360" w:lineRule="auto"/>
        <w:jc w:val="both"/>
      </w:pPr>
      <w:r w:rsidRPr="007E51FB">
        <w:t>Department of Psychiatry</w:t>
      </w:r>
    </w:p>
    <w:p w14:paraId="359D3BED" w14:textId="77777777" w:rsidR="00556924" w:rsidRPr="007E51FB" w:rsidRDefault="00556924" w:rsidP="00E84C28">
      <w:pPr>
        <w:spacing w:line="360" w:lineRule="auto"/>
        <w:jc w:val="both"/>
      </w:pPr>
      <w:r w:rsidRPr="007E51FB">
        <w:t>University of Cambridge</w:t>
      </w:r>
    </w:p>
    <w:p w14:paraId="6C10CE6F" w14:textId="77777777" w:rsidR="00556924" w:rsidRPr="007E51FB" w:rsidRDefault="00556924" w:rsidP="00E84C28">
      <w:pPr>
        <w:spacing w:line="360" w:lineRule="auto"/>
        <w:jc w:val="both"/>
      </w:pPr>
      <w:r w:rsidRPr="007E51FB">
        <w:t>Douglas House 18B Trumpington Road</w:t>
      </w:r>
    </w:p>
    <w:p w14:paraId="5BCC6245" w14:textId="0CF76350" w:rsidR="00556924" w:rsidRPr="007E51FB" w:rsidRDefault="00556924" w:rsidP="00F230E2">
      <w:pPr>
        <w:spacing w:line="360" w:lineRule="auto"/>
        <w:jc w:val="both"/>
      </w:pPr>
      <w:r w:rsidRPr="007E51FB">
        <w:t>Cambridge CB2 8AH</w:t>
      </w:r>
    </w:p>
    <w:p w14:paraId="09A9A226" w14:textId="0F4209CC" w:rsidR="00B24DA9" w:rsidRPr="007E51FB" w:rsidRDefault="00B24DA9" w:rsidP="00F230E2">
      <w:pPr>
        <w:spacing w:line="360" w:lineRule="auto"/>
        <w:jc w:val="both"/>
      </w:pPr>
    </w:p>
    <w:p w14:paraId="5E3D5939" w14:textId="77777777" w:rsidR="00B24DA9" w:rsidRPr="007E51FB" w:rsidRDefault="00B24DA9">
      <w:pPr>
        <w:rPr>
          <w:b/>
          <w:bCs/>
        </w:rPr>
      </w:pPr>
      <w:r w:rsidRPr="007E51FB">
        <w:rPr>
          <w:b/>
          <w:bCs/>
        </w:rPr>
        <w:br w:type="page"/>
      </w:r>
    </w:p>
    <w:p w14:paraId="737E967F" w14:textId="2E7B008C" w:rsidR="00B24DA9" w:rsidRPr="007E51FB" w:rsidRDefault="00B24DA9" w:rsidP="00E84C28">
      <w:pPr>
        <w:spacing w:line="360" w:lineRule="auto"/>
        <w:jc w:val="both"/>
        <w:rPr>
          <w:b/>
          <w:bCs/>
        </w:rPr>
      </w:pPr>
      <w:r w:rsidRPr="007E51FB">
        <w:rPr>
          <w:b/>
          <w:bCs/>
        </w:rPr>
        <w:lastRenderedPageBreak/>
        <w:t>ABSTRACT</w:t>
      </w:r>
    </w:p>
    <w:p w14:paraId="0F09E7B1" w14:textId="028D328C" w:rsidR="00966BC3" w:rsidRPr="007E51FB" w:rsidRDefault="00966BC3" w:rsidP="00E84C28">
      <w:pPr>
        <w:spacing w:line="360" w:lineRule="auto"/>
        <w:jc w:val="both"/>
      </w:pPr>
      <w:bookmarkStart w:id="15" w:name="OLE_LINK84"/>
      <w:bookmarkStart w:id="16" w:name="OLE_LINK85"/>
      <w:bookmarkStart w:id="17" w:name="OLE_LINK86"/>
      <w:bookmarkStart w:id="18" w:name="OLE_LINK93"/>
      <w:bookmarkStart w:id="19" w:name="OLE_LINK94"/>
      <w:r w:rsidRPr="001D1A06">
        <w:t xml:space="preserve">PET imaging of glucose hypometabolism and </w:t>
      </w:r>
      <w:r w:rsidR="00DF13FC" w:rsidRPr="001D1A06">
        <w:t>amyloid</w:t>
      </w:r>
      <w:r w:rsidR="00812539" w:rsidRPr="001D1A06">
        <w:t xml:space="preserve"> </w:t>
      </w:r>
      <w:r w:rsidRPr="001D1A06">
        <w:t xml:space="preserve">deposition </w:t>
      </w:r>
      <w:r w:rsidR="00672A0E" w:rsidRPr="001D1A06">
        <w:t>are two wel</w:t>
      </w:r>
      <w:r w:rsidRPr="001D1A06">
        <w:t xml:space="preserve">l-established methods to evaluate preclinical changes in </w:t>
      </w:r>
      <w:r w:rsidR="00DF13FC" w:rsidRPr="001D1A06">
        <w:t>Alzheimer’s disease</w:t>
      </w:r>
      <w:r w:rsidR="00F745F4" w:rsidRPr="001D1A06">
        <w:t xml:space="preserve"> and people with Down’s Syndrome.</w:t>
      </w:r>
      <w:r w:rsidR="00B86C30" w:rsidRPr="001D1A06">
        <w:t xml:space="preserve"> However, </w:t>
      </w:r>
      <w:r w:rsidR="00D1759E" w:rsidRPr="001D1A06">
        <w:t xml:space="preserve">the use of both </w:t>
      </w:r>
      <w:r w:rsidR="00EA6710" w:rsidRPr="001D1A06">
        <w:t xml:space="preserve">imaging </w:t>
      </w:r>
      <w:r w:rsidR="00D1759E" w:rsidRPr="001D1A06">
        <w:t xml:space="preserve">modalities </w:t>
      </w:r>
      <w:r w:rsidR="0097180B" w:rsidRPr="001D1A06">
        <w:t>may overburden participants</w:t>
      </w:r>
      <w:r w:rsidR="004A2BD8" w:rsidRPr="001D1A06">
        <w:t>,</w:t>
      </w:r>
      <w:r w:rsidR="0097180B" w:rsidRPr="001D1A06">
        <w:t xml:space="preserve"> particularly </w:t>
      </w:r>
      <w:r w:rsidR="004A2BD8" w:rsidRPr="001D1A06">
        <w:t>those</w:t>
      </w:r>
      <w:r w:rsidR="0097180B" w:rsidRPr="001D1A06">
        <w:t xml:space="preserve"> with intellectual disabilities</w:t>
      </w:r>
      <w:r w:rsidR="00D322CF" w:rsidRPr="001D1A06">
        <w:t xml:space="preserve"> and cognitive impairment.</w:t>
      </w:r>
      <w:r w:rsidR="004A2BD8" w:rsidRPr="001D1A06">
        <w:t xml:space="preserve"> The relative tracer delivery of the [</w:t>
      </w:r>
      <w:r w:rsidR="004A2BD8" w:rsidRPr="001D1A06">
        <w:rPr>
          <w:vertAlign w:val="superscript"/>
        </w:rPr>
        <w:t>11</w:t>
      </w:r>
      <w:r w:rsidR="004A2BD8" w:rsidRPr="001D1A06">
        <w:t>C]-Pi</w:t>
      </w:r>
      <w:r w:rsidR="00DF13FC" w:rsidRPr="001D1A06">
        <w:t>ttsburgh Compound B</w:t>
      </w:r>
      <w:r w:rsidR="004A2BD8" w:rsidRPr="001D1A06">
        <w:t xml:space="preserve"> has been proposed as a viable </w:t>
      </w:r>
      <w:r w:rsidR="00204222" w:rsidRPr="001D1A06">
        <w:t>surrogate</w:t>
      </w:r>
      <w:r w:rsidR="004A2BD8" w:rsidRPr="001D1A06">
        <w:t xml:space="preserve"> for</w:t>
      </w:r>
      <w:r w:rsidR="00204222" w:rsidRPr="001D1A06">
        <w:t xml:space="preserve"> cerebral perfusion</w:t>
      </w:r>
      <w:r w:rsidR="004A2BD8" w:rsidRPr="001D1A06">
        <w:t xml:space="preserve">. </w:t>
      </w:r>
      <w:r w:rsidR="003D0AE5" w:rsidRPr="001D1A06">
        <w:t>Here, w</w:t>
      </w:r>
      <w:r w:rsidR="004A2BD8" w:rsidRPr="001D1A06">
        <w:t xml:space="preserve">e studied the impact of </w:t>
      </w:r>
      <w:r w:rsidR="00C411A2" w:rsidRPr="001D1A06">
        <w:t xml:space="preserve">amyloid </w:t>
      </w:r>
      <w:r w:rsidR="004A2BD8" w:rsidRPr="001D1A06">
        <w:t xml:space="preserve">pathology on </w:t>
      </w:r>
      <w:bookmarkStart w:id="20" w:name="OLE_LINK80"/>
      <w:bookmarkStart w:id="21" w:name="OLE_LINK81"/>
      <w:r w:rsidR="00C411A2" w:rsidRPr="001D1A06">
        <w:t xml:space="preserve">perfusion </w:t>
      </w:r>
      <w:bookmarkEnd w:id="20"/>
      <w:bookmarkEnd w:id="21"/>
      <w:r w:rsidR="003E28F2" w:rsidRPr="001D1A06">
        <w:t>changes in</w:t>
      </w:r>
      <w:r w:rsidR="004A2BD8" w:rsidRPr="001D1A06">
        <w:t xml:space="preserve"> </w:t>
      </w:r>
      <w:r w:rsidR="008E166C" w:rsidRPr="001D1A06">
        <w:t>Down’s Syndrome</w:t>
      </w:r>
      <w:r w:rsidR="004A2BD8" w:rsidRPr="001D1A06">
        <w:t xml:space="preserve"> </w:t>
      </w:r>
      <w:r w:rsidR="00A9799E" w:rsidRPr="001D1A06">
        <w:t>and</w:t>
      </w:r>
      <w:r w:rsidR="004A2BD8" w:rsidRPr="001D1A06">
        <w:t xml:space="preserve"> </w:t>
      </w:r>
      <w:bookmarkStart w:id="22" w:name="OLE_LINK82"/>
      <w:bookmarkStart w:id="23" w:name="OLE_LINK83"/>
      <w:r w:rsidR="00E93B42" w:rsidRPr="001D1A06">
        <w:t>evaluated its associations</w:t>
      </w:r>
      <w:r w:rsidR="004A2BD8" w:rsidRPr="001D1A06">
        <w:t xml:space="preserve"> </w:t>
      </w:r>
      <w:bookmarkEnd w:id="22"/>
      <w:bookmarkEnd w:id="23"/>
      <w:r w:rsidR="004A2BD8" w:rsidRPr="001D1A06">
        <w:t xml:space="preserve">with cognitive impairment. </w:t>
      </w:r>
      <w:r w:rsidR="00190780" w:rsidRPr="001D1A06">
        <w:t xml:space="preserve">47 adults with </w:t>
      </w:r>
      <w:r w:rsidR="00DA61AE" w:rsidRPr="001D1A06">
        <w:t xml:space="preserve">Down’s Syndrome </w:t>
      </w:r>
      <w:r w:rsidR="00190780" w:rsidRPr="001D1A06">
        <w:t xml:space="preserve">underwent </w:t>
      </w:r>
      <w:r w:rsidR="00DA61AE" w:rsidRPr="001D1A06">
        <w:t>the [</w:t>
      </w:r>
      <w:r w:rsidR="00DA61AE" w:rsidRPr="001D1A06">
        <w:rPr>
          <w:vertAlign w:val="superscript"/>
        </w:rPr>
        <w:t>11</w:t>
      </w:r>
      <w:r w:rsidR="00DA61AE" w:rsidRPr="001D1A06">
        <w:t xml:space="preserve">C]-Pittsburgh Compound B </w:t>
      </w:r>
      <w:r w:rsidR="00190780" w:rsidRPr="001D1A06">
        <w:t>imaging</w:t>
      </w:r>
      <w:r w:rsidR="009928AD" w:rsidRPr="001D1A06">
        <w:t xml:space="preserve"> and structural</w:t>
      </w:r>
      <w:r w:rsidR="005B2503" w:rsidRPr="001D1A06">
        <w:t xml:space="preserve"> imaging</w:t>
      </w:r>
      <w:r w:rsidR="00FD3571" w:rsidRPr="001D1A06">
        <w:t>.</w:t>
      </w:r>
      <w:r w:rsidR="00190780" w:rsidRPr="001D1A06">
        <w:t xml:space="preserve"> </w:t>
      </w:r>
      <w:r w:rsidR="009F1F6B" w:rsidRPr="001D1A06">
        <w:rPr>
          <w:bCs/>
        </w:rPr>
        <w:t xml:space="preserve">The </w:t>
      </w:r>
      <w:r w:rsidR="005C098F" w:rsidRPr="001D1A06">
        <w:rPr>
          <w:bCs/>
        </w:rPr>
        <w:t>structural</w:t>
      </w:r>
      <w:r w:rsidR="009F1F6B" w:rsidRPr="001D1A06">
        <w:rPr>
          <w:bCs/>
        </w:rPr>
        <w:t xml:space="preserve"> data were processed </w:t>
      </w:r>
      <w:r w:rsidR="000A4C2A">
        <w:rPr>
          <w:bCs/>
        </w:rPr>
        <w:t>with</w:t>
      </w:r>
      <w:r w:rsidR="009F1F6B" w:rsidRPr="001D1A06">
        <w:rPr>
          <w:bCs/>
        </w:rPr>
        <w:t xml:space="preserve"> </w:t>
      </w:r>
      <w:proofErr w:type="spellStart"/>
      <w:r w:rsidR="009F1F6B" w:rsidRPr="001D1A06">
        <w:rPr>
          <w:bCs/>
        </w:rPr>
        <w:t>Freesurfer</w:t>
      </w:r>
      <w:proofErr w:type="spellEnd"/>
      <w:r w:rsidR="009F1F6B" w:rsidRPr="001D1A06">
        <w:rPr>
          <w:bCs/>
        </w:rPr>
        <w:t xml:space="preserve"> to obtain </w:t>
      </w:r>
      <w:r w:rsidR="00A63324">
        <w:rPr>
          <w:bCs/>
        </w:rPr>
        <w:t>anatomical</w:t>
      </w:r>
      <w:r w:rsidR="009F1F6B" w:rsidRPr="001D1A06">
        <w:rPr>
          <w:bCs/>
        </w:rPr>
        <w:t xml:space="preserve"> segmentations </w:t>
      </w:r>
      <w:r w:rsidR="00E03A26" w:rsidRPr="001D1A06">
        <w:rPr>
          <w:bCs/>
        </w:rPr>
        <w:t xml:space="preserve">and </w:t>
      </w:r>
      <w:r w:rsidR="009F1F6B" w:rsidRPr="001D1A06">
        <w:rPr>
          <w:bCs/>
        </w:rPr>
        <w:t>cortical thicknes</w:t>
      </w:r>
      <w:r w:rsidR="004C69DA" w:rsidRPr="001D1A06">
        <w:rPr>
          <w:bCs/>
        </w:rPr>
        <w:t>s</w:t>
      </w:r>
      <w:r w:rsidR="009F1F6B" w:rsidRPr="001D1A06">
        <w:rPr>
          <w:bCs/>
        </w:rPr>
        <w:t xml:space="preserve">. </w:t>
      </w:r>
      <w:r w:rsidR="00A53C50" w:rsidRPr="001D1A06">
        <w:t xml:space="preserve">The relative tracer delivery </w:t>
      </w:r>
      <w:r w:rsidR="00E76A59" w:rsidRPr="001D1A06">
        <w:t xml:space="preserve">from </w:t>
      </w:r>
      <w:r w:rsidR="00711049" w:rsidRPr="001D1A06">
        <w:t>[</w:t>
      </w:r>
      <w:r w:rsidR="00711049" w:rsidRPr="001D1A06">
        <w:rPr>
          <w:vertAlign w:val="superscript"/>
        </w:rPr>
        <w:t>11</w:t>
      </w:r>
      <w:r w:rsidR="00711049" w:rsidRPr="001D1A06">
        <w:t xml:space="preserve">C]-Pittsburgh Compound B </w:t>
      </w:r>
      <w:r w:rsidR="00C60906" w:rsidRPr="001D1A06">
        <w:t>was</w:t>
      </w:r>
      <w:r w:rsidR="00E76A59" w:rsidRPr="001D1A06">
        <w:t xml:space="preserve"> derived </w:t>
      </w:r>
      <w:r w:rsidR="00172242" w:rsidRPr="001D1A06">
        <w:t xml:space="preserve">using </w:t>
      </w:r>
      <w:r w:rsidR="00E76A59" w:rsidRPr="001D1A06">
        <w:t>a simplified reference tissue model.</w:t>
      </w:r>
      <w:r w:rsidR="00411602" w:rsidRPr="001D1A06">
        <w:t xml:space="preserve"> </w:t>
      </w:r>
      <w:r w:rsidR="00FD3571" w:rsidRPr="001D1A06">
        <w:t>The sample was</w:t>
      </w:r>
      <w:r w:rsidR="00190780" w:rsidRPr="001D1A06">
        <w:t xml:space="preserve"> stratified into those with minimal amyloid burden (n = 25) and those with elevated amyloid (n = 22).</w:t>
      </w:r>
      <w:r w:rsidR="00CA73E9" w:rsidRPr="001D1A06">
        <w:t xml:space="preserve"> W</w:t>
      </w:r>
      <w:r w:rsidR="006C1E3E" w:rsidRPr="001D1A06">
        <w:t>e found significant</w:t>
      </w:r>
      <w:r w:rsidR="00F61640" w:rsidRPr="001D1A06">
        <w:t xml:space="preserve"> and widespread reductions of</w:t>
      </w:r>
      <w:r w:rsidR="006C1E3E" w:rsidRPr="001D1A06">
        <w:t xml:space="preserve"> </w:t>
      </w:r>
      <w:r w:rsidR="00605AB4" w:rsidRPr="001D1A06">
        <w:t xml:space="preserve">cerebral perfusion </w:t>
      </w:r>
      <w:r w:rsidR="001544BC" w:rsidRPr="001D1A06">
        <w:t>in t</w:t>
      </w:r>
      <w:r w:rsidR="00CB6937" w:rsidRPr="001D1A06">
        <w:t>hose with elevated amyloid</w:t>
      </w:r>
      <w:r w:rsidR="00BA7CBC" w:rsidRPr="001D1A06">
        <w:t xml:space="preserve"> burden, </w:t>
      </w:r>
      <w:r w:rsidR="005242C9" w:rsidRPr="001D1A06">
        <w:t xml:space="preserve">independent of age, gender, cognitive </w:t>
      </w:r>
      <w:r w:rsidR="004D1476" w:rsidRPr="001D1A06">
        <w:t xml:space="preserve">function </w:t>
      </w:r>
      <w:r w:rsidR="00FC124B">
        <w:t>and</w:t>
      </w:r>
      <w:r w:rsidR="004D1476" w:rsidRPr="001D1A06">
        <w:t xml:space="preserve"> cortical thickness.</w:t>
      </w:r>
      <w:r w:rsidR="00885328" w:rsidRPr="001D1A06">
        <w:t xml:space="preserve"> </w:t>
      </w:r>
      <w:r w:rsidR="00CB244F" w:rsidRPr="001D1A06">
        <w:t xml:space="preserve">In addition, </w:t>
      </w:r>
      <w:r w:rsidR="00350F14" w:rsidRPr="001D1A06">
        <w:t xml:space="preserve">cerebral perfusion </w:t>
      </w:r>
      <w:r w:rsidR="00CB244F" w:rsidRPr="001D1A06">
        <w:t xml:space="preserve">was associated with the </w:t>
      </w:r>
      <w:r w:rsidR="005811FF" w:rsidRPr="001D1A06">
        <w:t>cognitive impairment</w:t>
      </w:r>
      <w:r w:rsidR="00CB244F" w:rsidRPr="001D1A06">
        <w:t xml:space="preserve"> </w:t>
      </w:r>
      <w:r w:rsidR="00612061" w:rsidRPr="001D1A06">
        <w:t>amongst the Down’s Syndrome group</w:t>
      </w:r>
      <w:r w:rsidR="00B92CE9" w:rsidRPr="001D1A06">
        <w:t xml:space="preserve"> with </w:t>
      </w:r>
      <w:r w:rsidR="00D426A6" w:rsidRPr="001D1A06">
        <w:t>elevated amyloid burden</w:t>
      </w:r>
      <w:r w:rsidR="00C21420" w:rsidRPr="001D1A06">
        <w:t>.</w:t>
      </w:r>
      <w:r w:rsidR="009B63F7" w:rsidRPr="001D1A06">
        <w:t xml:space="preserve"> </w:t>
      </w:r>
      <w:r w:rsidR="00C21420" w:rsidRPr="001D1A06">
        <w:t xml:space="preserve">These findings highlight the promising </w:t>
      </w:r>
      <w:r w:rsidR="00D966E4" w:rsidRPr="001D1A06">
        <w:t>utility</w:t>
      </w:r>
      <w:r w:rsidR="00220CEE" w:rsidRPr="001D1A06">
        <w:t xml:space="preserve"> </w:t>
      </w:r>
      <w:r w:rsidR="00C21420" w:rsidRPr="001D1A06">
        <w:t xml:space="preserve">of </w:t>
      </w:r>
      <w:r w:rsidR="00D764BC" w:rsidRPr="001D1A06">
        <w:t xml:space="preserve">the </w:t>
      </w:r>
      <w:r w:rsidR="00F62C0D" w:rsidRPr="001D1A06">
        <w:t>relative tracer delivery</w:t>
      </w:r>
      <w:r w:rsidR="00EE76F0" w:rsidRPr="001D1A06">
        <w:t xml:space="preserve"> </w:t>
      </w:r>
      <w:r w:rsidR="00F62C0D" w:rsidRPr="001D1A06">
        <w:t>of the [</w:t>
      </w:r>
      <w:r w:rsidR="00F62C0D" w:rsidRPr="001D1A06">
        <w:rPr>
          <w:vertAlign w:val="superscript"/>
        </w:rPr>
        <w:t>11</w:t>
      </w:r>
      <w:r w:rsidR="00F62C0D" w:rsidRPr="001D1A06">
        <w:t xml:space="preserve">C]-Pittsburgh Compound B </w:t>
      </w:r>
      <w:r w:rsidR="00C21420" w:rsidRPr="001D1A06">
        <w:t>as a surrogate index in clinical trials for monitoring disease progression or tracking physiologic changes over time</w:t>
      </w:r>
      <w:r w:rsidR="00663FA1" w:rsidRPr="001D1A06">
        <w:t xml:space="preserve"> in Down’s Syndrome.</w:t>
      </w:r>
      <w:r w:rsidR="00C21420" w:rsidRPr="007E51FB">
        <w:t xml:space="preserve"> </w:t>
      </w:r>
    </w:p>
    <w:bookmarkEnd w:id="15"/>
    <w:bookmarkEnd w:id="16"/>
    <w:bookmarkEnd w:id="17"/>
    <w:bookmarkEnd w:id="18"/>
    <w:bookmarkEnd w:id="19"/>
    <w:p w14:paraId="06537882" w14:textId="4B42B8D7" w:rsidR="00966BC3" w:rsidRPr="007E51FB" w:rsidRDefault="00966BC3" w:rsidP="00E84C28">
      <w:pPr>
        <w:spacing w:line="360" w:lineRule="auto"/>
        <w:jc w:val="both"/>
      </w:pPr>
    </w:p>
    <w:p w14:paraId="27F96102" w14:textId="2EBAB720" w:rsidR="00330741" w:rsidRPr="007E51FB" w:rsidRDefault="00330741" w:rsidP="00E84C28">
      <w:pPr>
        <w:spacing w:line="360" w:lineRule="auto"/>
        <w:jc w:val="both"/>
      </w:pPr>
      <w:r w:rsidRPr="007E51FB">
        <w:rPr>
          <w:b/>
          <w:bCs/>
        </w:rPr>
        <w:t xml:space="preserve">KEYWORDS: </w:t>
      </w:r>
      <w:r w:rsidRPr="00696379">
        <w:t xml:space="preserve">Down Syndrome, Alzheimer’s disease, </w:t>
      </w:r>
      <w:r w:rsidR="007B2125" w:rsidRPr="00696379">
        <w:t>Positron Emission Tomography</w:t>
      </w:r>
      <w:r w:rsidRPr="00696379">
        <w:t>, Neurodegeneration,</w:t>
      </w:r>
      <w:r w:rsidR="007B2125" w:rsidRPr="00696379">
        <w:t xml:space="preserve"> Perfusion</w:t>
      </w:r>
    </w:p>
    <w:bookmarkEnd w:id="2"/>
    <w:p w14:paraId="0358EED3" w14:textId="77777777" w:rsidR="000106D9" w:rsidRPr="007E51FB" w:rsidRDefault="000106D9" w:rsidP="00E84C28">
      <w:pPr>
        <w:spacing w:line="360" w:lineRule="auto"/>
        <w:rPr>
          <w:b/>
          <w:bCs/>
        </w:rPr>
      </w:pPr>
    </w:p>
    <w:p w14:paraId="3B54D1C9" w14:textId="77777777" w:rsidR="00E56A25" w:rsidRPr="007E51FB" w:rsidRDefault="00E56A25">
      <w:pPr>
        <w:rPr>
          <w:b/>
          <w:bCs/>
        </w:rPr>
      </w:pPr>
      <w:r w:rsidRPr="007E51FB">
        <w:rPr>
          <w:b/>
          <w:bCs/>
        </w:rPr>
        <w:br w:type="page"/>
      </w:r>
    </w:p>
    <w:p w14:paraId="4FBB8559" w14:textId="6CC5CF76" w:rsidR="00556924" w:rsidRPr="007E51FB" w:rsidRDefault="00556924" w:rsidP="00E84C28">
      <w:pPr>
        <w:spacing w:line="360" w:lineRule="auto"/>
        <w:rPr>
          <w:b/>
          <w:bCs/>
        </w:rPr>
      </w:pPr>
      <w:r w:rsidRPr="007E51FB">
        <w:rPr>
          <w:b/>
          <w:bCs/>
        </w:rPr>
        <w:lastRenderedPageBreak/>
        <w:t>INTRODUCTION</w:t>
      </w:r>
    </w:p>
    <w:p w14:paraId="2053A1EE" w14:textId="6218822F" w:rsidR="00556924" w:rsidRPr="007E51FB" w:rsidRDefault="00556924" w:rsidP="00E84C28">
      <w:pPr>
        <w:tabs>
          <w:tab w:val="left" w:pos="3428"/>
        </w:tabs>
        <w:spacing w:line="360" w:lineRule="auto"/>
        <w:jc w:val="both"/>
        <w:outlineLvl w:val="0"/>
      </w:pPr>
      <w:r w:rsidRPr="007E51FB">
        <w:t>Down’s Syndrome (DS) is the most common neurodevelopmental disorder caused by the presence of trisomy 21 (1:800</w:t>
      </w:r>
      <w:r w:rsidR="003E3C7B" w:rsidRPr="007E51FB">
        <w:t xml:space="preserve"> to 1:1000</w:t>
      </w:r>
      <w:r w:rsidRPr="007E51FB">
        <w:t xml:space="preserve"> live births</w:t>
      </w:r>
      <w:r w:rsidR="003C2A92" w:rsidRPr="007E51FB">
        <w:t xml:space="preserve"> </w:t>
      </w:r>
      <w:r w:rsidR="00315623" w:rsidRPr="007E51FB">
        <w:t>worldwide</w:t>
      </w:r>
      <w:r w:rsidRPr="007E51FB">
        <w:t xml:space="preserve">). The extra copy of chromosome 21 is associated with a 4-5 fold overexpression of the amyloid precursor protein (APP) gene and increased accumulation of cerebral beta-amyloid (Aβ) deposition in the brain and subsequent NFT formation and neurodegeneration </w:t>
      </w:r>
      <w:r w:rsidRPr="007E51FB">
        <w:fldChar w:fldCharType="begin" w:fldLock="1"/>
      </w:r>
      <w:r w:rsidR="00005758" w:rsidRPr="007E51FB">
        <w:instrText>ADDIN CSL_CITATION {"citationItems":[{"id":"ITEM-1","itemData":{"DOI":"10.1038/nrn3983","ISSN":"1471-003X","abstract":"&lt;p&gt;Individuals with Down syndrome have an enhanced risk of developing early onset Alzheimer disease. Here, the authors describe the features of Alzheimer disease in Down syndrome and show how understanding the genetic and pathogenic mechanisms of this form of Alzheimer disea&amp;hellip;&lt;/p&gt;","author":[{"dropping-particle":"","family":"Wiseman","given":"Frances K.","non-dropping-particle":"","parse-names":false,"suffix":""},{"dropping-particle":"","family":"Al-Janabi","given":"Tamara","non-dropping-particle":"","parse-names":false,"suffix":""},{"dropping-particle":"","family":"Hardy","given":"John","non-dropping-particle":"","parse-names":false,"suffix":""},{"dropping-particle":"","family":"Karmiloff-Smith","given":"Annette","non-dropping-particle":"","parse-names":false,"suffix":""},{"dropping-particle":"","family":"Nizetic","given":"Dean","non-dropping-particle":"","parse-names":false,"suffix":""},{"dropping-particle":"","family":"Tybulewicz","given":"Victor L. J.","non-dropping-particle":"","parse-names":false,"suffix":""},{"dropping-particle":"","family":"Fisher","given":"Elizabeth M. C.","non-dropping-particle":"","parse-names":false,"suffix":""},{"dropping-particle":"","family":"Strydom","given":"André","non-dropping-particle":"","parse-names":false,"suffix":""}],"container-title":"Nature Reviews Neuroscience","id":"ITEM-1","issue":"9","issued":{"date-parts":[["2015","8","5"]]},"page":"564-574","publisher":"Nature Publishing Group","title":"A genetic cause of Alzheimer disease: mechanistic insights from Down syndrome","type":"article-journal","volume":"16"},"uris":["http://www.mendeley.com/documents/?uuid=157fb193-66f2-3bf5-af32-e21960ef2611"]}],"mendeley":{"formattedCitation":"(Wiseman &lt;i&gt;et al.&lt;/i&gt;, 2015)","plainTextFormattedCitation":"(Wiseman et al., 2015)","previouslyFormattedCitation":"(Wiseman &lt;i&gt;et al.&lt;/i&gt;, 2015)"},"properties":{"noteIndex":0},"schema":"https://github.com/citation-style-language/schema/raw/master/csl-citation.json"}</w:instrText>
      </w:r>
      <w:r w:rsidRPr="007E51FB">
        <w:fldChar w:fldCharType="separate"/>
      </w:r>
      <w:r w:rsidR="00CE6796" w:rsidRPr="007E51FB">
        <w:rPr>
          <w:noProof/>
        </w:rPr>
        <w:t xml:space="preserve">(Wiseman </w:t>
      </w:r>
      <w:r w:rsidR="00CE6796" w:rsidRPr="007E51FB">
        <w:rPr>
          <w:i/>
          <w:noProof/>
        </w:rPr>
        <w:t>et al.</w:t>
      </w:r>
      <w:r w:rsidR="00CE6796" w:rsidRPr="007E51FB">
        <w:rPr>
          <w:noProof/>
        </w:rPr>
        <w:t>, 2015)</w:t>
      </w:r>
      <w:r w:rsidRPr="007E51FB">
        <w:fldChar w:fldCharType="end"/>
      </w:r>
      <w:r w:rsidRPr="007E51FB">
        <w:t>. Consequently, dementia occurs in approximately 10-25% of persons with DS in their 40s, 20-50% of those in their 50s, and 60-75% of those over the age of 60.</w:t>
      </w:r>
      <w:r w:rsidRPr="007E51FB">
        <w:rPr>
          <w:vertAlign w:val="superscript"/>
        </w:rPr>
        <w:t xml:space="preserve"> </w:t>
      </w:r>
      <w:r w:rsidRPr="007E51FB">
        <w:t xml:space="preserve">Indeed, the strong dependency of AD progression on aging also means that multi-modal neuroimaging studies in DS may help delineate the natural history of biomarker change, and in the process identify early biomarkers of AD pathogenesis that may not be logistically feasible in the general population </w:t>
      </w:r>
      <w:r w:rsidRPr="007E51FB">
        <w:fldChar w:fldCharType="begin" w:fldLock="1"/>
      </w:r>
      <w:r w:rsidR="00005758" w:rsidRPr="007E51FB">
        <w:instrText>ADDIN CSL_CITATION {"citationItems":[{"id":"ITEM-1","itemData":{"DOI":"10.1016/j.nicl.2017.10.022","ISSN":"22131582","PMID":"29159043","abstract":"People with Down syndrome (DS) develop Alzheimer's disease (AD) at higher rates and a younger age of onset compared to the general population. As the average lifespan of people with DS is increasing, AD is becoming an important health concern in this group. Neuroimaging is becoming an increasingly useful tool in understanding the pathogenesis of dementia development in relation to clinical symptoms. Furthermore, neuroimaging has the potential to play a role in AD diagnosis and monitoring of therapeutics. This review describes major recent findings from in vivo neuroimaging studies analysing DS and AD via ligand-based positron emission tomography (PET), [18F] fluorodeoxyglucose (FDG)-PET, structural magnetic resonance imaging (sMRI), and diffusion tensor imaging (DTI). Electroencephalography (EEG) and retinal imaging are also discussed as emerging modalities. The review is organized by neuroimaging method and assesses the relationship between cognitive decline and neuroimaging changes. We find that amyloid accumulation seen on PET occurs prior to dementia onset, possibly as a precursor to the atrophy and white matter changes seen in MRI studies. Future PET studies relating tau distribution to clinical symptoms will provide further insight into the role this protein plays in dementia development. Brain activity changes demonstrated by EEG and metabolic changes seen via FDG-PET may also follow predictable patterns that can help track dementia progression. Finally, newer approaches such as retinal imaging will hopefully overcome some of the limitations of neuroimaging and allow for detection of dementia at an earlier stage.","author":[{"dropping-particle":"","family":"Neale","given":"Natalie","non-dropping-particle":"","parse-names":false,"suffix":""},{"dropping-particle":"","family":"Padilla","given":"Concepcion","non-dropping-particle":"","parse-names":false,"suffix":""},{"dropping-particle":"","family":"Fonseca","given":"Luciana Mascarenhas","non-dropping-particle":"","parse-names":false,"suffix":""},{"dropping-particle":"","family":"Holland","given":"Tony","non-dropping-particle":"","parse-names":false,"suffix":""},{"dropping-particle":"","family":"Zaman","given":"Shahid","non-dropping-particle":"","parse-names":false,"suffix":""}],"container-title":"NeuroImage: Clinical","id":"ITEM-1","issue":"August 2017","issued":{"date-parts":[["2018"]]},"page":"263-271","publisher":"Elsevier","title":"Neuroimaging and other modalities to assess Alzheimer's disease in Down syndrome","type":"article-journal","volume":"17"},"uris":["http://www.mendeley.com/documents/?uuid=bd2b8eac-d08c-46e4-8e2b-74460256ef6b"]}],"mendeley":{"formattedCitation":"(Neale &lt;i&gt;et al.&lt;/i&gt;, 2018)","plainTextFormattedCitation":"(Neale et al., 2018)","previouslyFormattedCitation":"(Neale &lt;i&gt;et al.&lt;/i&gt;, 2018)"},"properties":{"noteIndex":0},"schema":"https://github.com/citation-style-language/schema/raw/master/csl-citation.json"}</w:instrText>
      </w:r>
      <w:r w:rsidRPr="007E51FB">
        <w:fldChar w:fldCharType="separate"/>
      </w:r>
      <w:r w:rsidR="00CE6796" w:rsidRPr="007E51FB">
        <w:rPr>
          <w:noProof/>
        </w:rPr>
        <w:t xml:space="preserve">(Neale </w:t>
      </w:r>
      <w:r w:rsidR="00CE6796" w:rsidRPr="007E51FB">
        <w:rPr>
          <w:i/>
          <w:noProof/>
        </w:rPr>
        <w:t>et al.</w:t>
      </w:r>
      <w:r w:rsidR="00CE6796" w:rsidRPr="007E51FB">
        <w:rPr>
          <w:noProof/>
        </w:rPr>
        <w:t>, 2018)</w:t>
      </w:r>
      <w:r w:rsidRPr="007E51FB">
        <w:fldChar w:fldCharType="end"/>
      </w:r>
      <w:r w:rsidRPr="007E51FB">
        <w:t xml:space="preserve">. </w:t>
      </w:r>
    </w:p>
    <w:p w14:paraId="4377ED5F" w14:textId="77777777" w:rsidR="00556924" w:rsidRPr="007E51FB" w:rsidRDefault="00556924" w:rsidP="00E84C28">
      <w:pPr>
        <w:tabs>
          <w:tab w:val="left" w:pos="3428"/>
        </w:tabs>
        <w:spacing w:line="360" w:lineRule="auto"/>
        <w:jc w:val="both"/>
        <w:outlineLvl w:val="0"/>
      </w:pPr>
    </w:p>
    <w:p w14:paraId="6ADA1B0B" w14:textId="1511B717" w:rsidR="00556924" w:rsidRPr="007E51FB" w:rsidRDefault="00556924" w:rsidP="00E84C28">
      <w:pPr>
        <w:tabs>
          <w:tab w:val="left" w:pos="3428"/>
        </w:tabs>
        <w:spacing w:line="360" w:lineRule="auto"/>
        <w:jc w:val="both"/>
        <w:outlineLvl w:val="0"/>
      </w:pPr>
      <w:r w:rsidRPr="007E51FB">
        <w:t xml:space="preserve">Models of AD pathophysiology propose a sequential progression of brain changes that are reflected by neuroimaging abnormalities, beginning with an early increase in Aβ-PET </w:t>
      </w:r>
      <w:r w:rsidR="00C80FDE" w:rsidRPr="007E51FB">
        <w:t xml:space="preserve">(positron emission tomography) </w:t>
      </w:r>
      <w:r w:rsidRPr="007E51FB">
        <w:t>tracer binding, followed by a gradual progression of NFTs, deficits in cerebral glucose metabolism (i.e. [</w:t>
      </w:r>
      <w:r w:rsidRPr="007E51FB">
        <w:rPr>
          <w:vertAlign w:val="superscript"/>
        </w:rPr>
        <w:t>18</w:t>
      </w:r>
      <w:r w:rsidRPr="007E51FB">
        <w:t>F</w:t>
      </w:r>
      <w:r w:rsidR="00907089" w:rsidRPr="007E51FB">
        <w:t>]-fluorodeoxyglucose</w:t>
      </w:r>
      <w:r w:rsidR="00511CA0" w:rsidRPr="007E51FB">
        <w:t>-PET</w:t>
      </w:r>
      <w:r w:rsidR="00907089" w:rsidRPr="007E51FB">
        <w:t xml:space="preserve"> (</w:t>
      </w:r>
      <w:r w:rsidRPr="007E51FB">
        <w:t>FDG</w:t>
      </w:r>
      <w:r w:rsidR="00C23C05" w:rsidRPr="007E51FB">
        <w:t>-PET</w:t>
      </w:r>
      <w:r w:rsidRPr="007E51FB">
        <w:t xml:space="preserve">) and finally grey matter atrophy as seen with structural T1-MRI. </w:t>
      </w:r>
      <w:bookmarkStart w:id="24" w:name="OLE_LINK45"/>
      <w:bookmarkStart w:id="25" w:name="OLE_LINK48"/>
      <w:r w:rsidRPr="007E51FB">
        <w:t xml:space="preserve">To this end, two of the best-established methods for evaluating the preclinical phases of AD are PET imaging of Aβ accumulation and cerebral glucose hypometabolism, both of which occur up to 25 and 10 years prior to symptom onset </w:t>
      </w:r>
      <w:r w:rsidRPr="007E51FB">
        <w:fldChar w:fldCharType="begin" w:fldLock="1"/>
      </w:r>
      <w:r w:rsidR="00005758" w:rsidRPr="007E51FB">
        <w:instrText>ADDIN CSL_CITATION {"citationItems":[{"id":"ITEM-1","itemData":{"DOI":"10.1016/j.neuron.2013.12.003","ISBN":"1097-4199 (Electronic)\\r0896-6273 (Linking)","ISSN":"10974199","PMID":"24360540","abstract":"Alzheimer's disease (AD) is a slowly progressing disorder in which pathophysiological abnormalities, detectable invivo by biomarkers, precede overt clinical symptoms by many years to decades. Five AD biomarkers are sufficiently validated to have been incorporated into clinical diagnostic criteria and commonly used in therapeutic trials. Current AD biomarkers fall into two categories: biomarkers of amyloid-?? plaques and of tau-related neurodegeneration. Three of the five are imaging measures and two are cerebrospinal fluid analytes. AD biomarkers do not evolve in an identical manner but rather in a sequential but temporally overlapping manner. Models of the temporal evolution of AD biomarkers can take the form of plots of biomarker severity (degree of abnormality) versus time. In this Review, we discuss several time-dependent models of AD that take into consideration varying age of onset (early versus late) and the influence of aging and co-occurring brain pathologies that commonly arise in the elderly. ?? 2013 Elsevier Inc.","author":[{"dropping-particle":"","family":"Jack","given":"Clifford R.","non-dropping-particle":"","parse-names":false,"suffix":""},{"dropping-particle":"","family":"Holtzman","given":"David M.","non-dropping-particle":"","parse-names":false,"suffix":""}],"container-title":"Neuron","id":"ITEM-1","issue":"6","issued":{"date-parts":[["2013"]]},"page":"1347-1358","publisher":"Elsevier Inc.","title":"Biomarker modeling of alzheimer's disease","type":"article-journal","volume":"80"},"uris":["http://www.mendeley.com/documents/?uuid=859428a9-0ef8-4d2b-a716-69d00be781c7"]},{"id":"ITEM-2","itemData":{"DOI":"10.1056/NEJMoa1202753","ISBN":"1533-4406 (Electronic)\\r0028-4793 (Linking)","ISSN":"1533-4406","PMID":"22784036","abstract":"BACKGROUND: The order and magnitude of pathologic processes in Alzheimer's disease are not well understood, partly because the disease develops over many years. Autosomal dominant Alzheimer's disease has a predictable age at onset and provides an opportunity to determine the sequence and magnitude of pathologic changes that culminate in symptomatic disease.\\n\\nMETHODS: In this prospective, longitudinal study, we analyzed data from 128 participants who underwent baseline clinical and cognitive assessments, brain imaging, and cerebrospinal fluid (CSF) and blood tests. We used the participant's age at baseline assessment and the parent's age at the onset of symptoms of Alzheimer's disease to calculate the estimated years from expected symptom onset (age of the participant minus parent's age at symptom onset). We conducted cross-sectional analyses of baseline data in relation to estimated years from expected symptom onset in order to determine the relative order and magnitude of pathophysiological changes.\\n\\nRESULTS: Concentrations of amyloid-beta (Aβ)(42) in the CSF appeared to decline 25 years before expected symptom onset. Aβ deposition, as measured by positron-emission tomography with the use of Pittsburgh compound B, was detected 15 years before expected symptom onset. Increased concentrations of tau protein in the CSF and an increase in brain atrophy were detected 15 years before expected symptom onset. Cerebral hypometabolism and impaired episodic memory were observed 10 years before expected symptom onset. Global cognitive impairment, as measured by the Mini-Mental State Examination and the Clinical Dementia Rating scale, was detected 5 years before expected symptom onset, and patients met diagnostic criteria for dementia at an average of 3 years after expected symptom onset.\\n\\nCONCLUSIONS: We found that autosomal dominant Alzheimer's disease was associated with a series of pathophysiological changes over decades in CSF biochemical markers of Alzheimer's disease, brain amyloid deposition, and brain metabolism as well as progressive cognitive impairment. Our results require confirmation with the use of longitudinal data and may not apply to patients with sporadic Alzheimer's disease. (Funded by the National Institute on Aging and others; DIAN ClinicalTrials.gov number, NCT00869817.).","author":[{"dropping-particle":"","family":"Bateman","given":"Randall J","non-dropping-particle":"","parse-names":false,"suffix":""},{"dropping-particle":"","family":"Xiong","given":"Chengjie","non-dropping-particle":"","parse-names":false,"suffix":""},{"dropping-particle":"","family":"Benzinger","given":"Tammie L S","non-dropping-particle":"","parse-names":false,"suffix":""},{"dropping-particle":"","family":"Fagan","given":"Anne M","non-dropping-particle":"","parse-names":false,"suffix":""},{"dropping-particle":"","family":"Goate","given":"Alison","non-dropping-particle":"","parse-names":false,"suffix":""},{"dropping-particle":"","family":"Fox","given":"Nick C","non-dropping-particle":"","parse-names":false,"suffix":""},{"dropping-particle":"","family":"Marcus","given":"Daniel S","non-dropping-particle":"","parse-names":false,"suffix":""},{"dropping-particle":"","family":"Cairns","given":"Nigel J","non-dropping-particle":"","parse-names":false,"suffix":""},{"dropping-particle":"","family":"Xie","given":"Xianyun","non-dropping-particle":"","parse-names":false,"suffix":""},{"dropping-particle":"","family":"Blazey","given":"Tyler M","non-dropping-particle":"","parse-names":false,"suffix":""},{"dropping-particle":"","family":"Holtzman","given":"David M","non-dropping-particle":"","parse-names":false,"suffix":""},{"dropping-particle":"","family":"Santacruz","given":"Anna","non-dropping-particle":"","parse-names":false,"suffix":""},{"dropping-particle":"","family":"Buckles","given":"Virginia","non-dropping-particle":"","parse-names":false,"suffix":""},{"dropping-particle":"","family":"Oliver","given":"Angela","non-dropping-particle":"","parse-names":false,"suffix":""},{"dropping-particle":"","family":"Moulder","given":"Krista","non-dropping-particle":"","parse-names":false,"suffix":""},{"dropping-particle":"","family":"Aisen","given":"Paul S","non-dropping-particle":"","parse-names":false,"suffix":""},{"dropping-particle":"","family":"Ghetti","given":"Bernardino","non-dropping-particle":"","parse-names":false,"suffix":""},{"dropping-particle":"","family":"Klunk","given":"William E","non-dropping-particle":"","parse-names":false,"suffix":""},{"dropping-particle":"","family":"McDade","given":"Eric","non-dropping-particle":"","parse-names":false,"suffix":""},{"dropping-particle":"","family":"Martins","given":"Ralph N","non-dropping-particle":"","parse-names":false,"suffix":""},{"dropping-particle":"","family":"Masters","given":"Colin L","non-dropping-particle":"","parse-names":false,"suffix":""},{"dropping-particle":"","family":"Mayeux","given":"Richard","non-dropping-particle":"","parse-names":false,"suffix":""},{"dropping-particle":"","family":"Ringman","given":"John M","non-dropping-particle":"","parse-names":false,"suffix":""},{"dropping-particle":"","family":"Rossor","given":"Martin N","non-dropping-particle":"","parse-names":false,"suffix":""},{"dropping-particle":"","family":"Schofield","given":"Peter R","non-dropping-particle":"","parse-names":false,"suffix":""},{"dropping-particle":"","family":"Sperling","given":"Reisa A","non-dropping-particle":"","parse-names":false,"suffix":""},{"dropping-particle":"","family":"Salloway","given":"Stephen","non-dropping-particle":"","parse-names":false,"suffix":""},{"dropping-particle":"","family":"Morris","given":"John C","non-dropping-particle":"","parse-names":false,"suffix":""}],"container-title":"The New England journal of medicine","id":"ITEM-2","issue":"9","issued":{"date-parts":[["2012"]]},"page":"795-804","title":"Clinical and biomarker changes in dominantly inherited Alzheimer's disease.","type":"article-journal","volume":"367"},"uris":["http://www.mendeley.com/documents/?uuid=f2e413fb-4105-4d73-806d-4f915cfb99f3"]}],"mendeley":{"formattedCitation":"(Bateman &lt;i&gt;et al.&lt;/i&gt;, 2012; Jack and Holtzman, 2013)","plainTextFormattedCitation":"(Bateman et al., 2012; Jack and Holtzman, 2013)","previouslyFormattedCitation":"(Bateman &lt;i&gt;et al.&lt;/i&gt;, 2012; Jack and Holtzman, 2013)"},"properties":{"noteIndex":0},"schema":"https://github.com/citation-style-language/schema/raw/master/csl-citation.json"}</w:instrText>
      </w:r>
      <w:r w:rsidRPr="007E51FB">
        <w:fldChar w:fldCharType="separate"/>
      </w:r>
      <w:r w:rsidR="00CE6796" w:rsidRPr="007E51FB">
        <w:rPr>
          <w:noProof/>
        </w:rPr>
        <w:t xml:space="preserve">(Bateman </w:t>
      </w:r>
      <w:r w:rsidR="00CE6796" w:rsidRPr="007E51FB">
        <w:rPr>
          <w:i/>
          <w:noProof/>
        </w:rPr>
        <w:t>et al.</w:t>
      </w:r>
      <w:r w:rsidR="00CE6796" w:rsidRPr="007E51FB">
        <w:rPr>
          <w:noProof/>
        </w:rPr>
        <w:t>, 2012; Jack and Holtzman, 2013)</w:t>
      </w:r>
      <w:r w:rsidRPr="007E51FB">
        <w:fldChar w:fldCharType="end"/>
      </w:r>
      <w:r w:rsidRPr="007E51FB">
        <w:t xml:space="preserve">. </w:t>
      </w:r>
      <w:bookmarkEnd w:id="24"/>
      <w:bookmarkEnd w:id="25"/>
      <w:r w:rsidRPr="007E51FB">
        <w:t>The spatial topography and clinical implications of Aβ has been extensively studied in DS with</w:t>
      </w:r>
      <w:r w:rsidR="00094E03" w:rsidRPr="007E51FB">
        <w:t xml:space="preserve"> </w:t>
      </w:r>
      <w:r w:rsidRPr="007E51FB">
        <w:t xml:space="preserve">PET ligands that selectively bind to Aβ </w:t>
      </w:r>
      <w:r w:rsidRPr="007E51FB">
        <w:fldChar w:fldCharType="begin" w:fldLock="1"/>
      </w:r>
      <w:r w:rsidR="00005758" w:rsidRPr="007E51FB">
        <w:instrText>ADDIN CSL_CITATION {"citationItems":[{"id":"ITEM-1","itemData":{"DOI":"10.1016/j.neurobiolaging.2017.01.009","ISSN":"15581497","PMID":"28192686","abstract":"People with Down syndrome (DS) have a neurodevelopmentally distinct brain and invariably developed amyloid neuropathology by age 50. This cross-sectional study aimed to provide a detailed account of DS brain morphology and the changes occuring with amyloid neuropathology. Forty-six adults with DS underwent structural and amyloid imaging—the latter using Pittsburgh compound B (PIB) to stratify the cohort into PIB-positive (n = 19) and PIB-negative (n = 27). Age-matched controls (n = 30) underwent structural imaging. Group differences in deep gray matter volumetry and cortical thickness were studied. PIB-negative people with DS have neurodevelopmentally atypical brain, characterized by disproportionately thicker frontal and occipitoparietal cortex and thinner motor cortex and temporal pole with larger putamina and smaller hippocampi than controls. In the presence of amyloid neuropathology, the DS brains demonstrated a strikingly similar pattern of posterior dominant cortical thinning and subcortical atrophy in the hippocampus, thalamus, and striatum, to that observed in non-DS Alzheimer's disease. Care must be taken to avoid underestimating amyloid-associated morphologic changes in DS due to disproportionate size of some subcortical structures and thickness of the cortex.","author":[{"dropping-particle":"","family":"Annus","given":"Tiina","non-dropping-particle":"","parse-names":false,"suffix":""},{"dropping-particle":"","family":"Wilson","given":"Liam R.","non-dropping-particle":"","parse-names":false,"suffix":""},{"dropping-particle":"","family":"Acosta-Cabronero","given":"Julio","non-dropping-particle":"","parse-names":false,"suffix":""},{"dropping-particle":"","family":"Cardenas-Blanco","given":"Arturo","non-dropping-particle":"","parse-names":false,"suffix":""},{"dropping-particle":"","family":"Hong","given":"Young T.","non-dropping-particle":"","parse-names":false,"suffix":""},{"dropping-particle":"","family":"Fryer","given":"Tim D.","non-dropping-particle":"","parse-names":false,"suffix":""},{"dropping-particle":"","family":"Coles","given":"Jonathan P.","non-dropping-particle":"","parse-names":false,"suffix":""},{"dropping-particle":"","family":"Menon","given":"David K.","non-dropping-particle":"","parse-names":false,"suffix":""},{"dropping-particle":"","family":"Zaman","given":"Shahid H.","non-dropping-particle":"","parse-names":false,"suffix":""},{"dropping-particle":"","family":"Holland","given":"Anthony J.","non-dropping-particle":"","parse-names":false,"suffix":""},{"dropping-particle":"","family":"Nestor","given":"Peter J.","non-dropping-particle":"","parse-names":false,"suffix":""}],"container-title":"Neurobiology of Aging","id":"ITEM-1","issued":{"date-parts":[["2017"]]},"page":"11-19","title":"The Down syndrome brain in the presence and absence of fibrillar β-amyloidosis","type":"article-journal","volume":"53"},"uris":["http://www.mendeley.com/documents/?uuid=c712f306-c535-4b80-8fab-983da7b12581"]},{"id":"ITEM-2","itemData":{"DOI":"10.1016/j.dadm.2017.05.001","ISBN":"1608890295","ISSN":"23528729","PMID":"28603769","abstract":"Introduction Down syndrome (DS) arises from a triplication of chromosome 21, causing overproduction of the amyloid precursor protein and predisposes individuals to early Alzheimer's disease (AD). Methods Fifty-two nondemented adults with DS underwent two cycles of carbon 11-labeled Pittsburgh compound B ([11C]PiB) and T1 weighted magnetic resonance imaging (MRI) scans 3.0 ± 0.6 years apart. Standard uptake value ratio (SUVR) images (50–70 minutes; cerebellar gray matter [GM]) and GM volumes were analyzed in standardized space (Montreal Neurological Institute space). Results 85% of PiB(−) subjects remained PiB(−), whereas 15% converted to PiB(+), predominantly in the striatum. None reverted from PiB(+) to PiB(−). Increases in SUVR were distributed globally, but there were no decreases in GM volume. The PiB positivity groups differed in the percent rate of change in SUVR [PiB(−): 0.5%/year, PiB converters: 4.9%/year, and PiB(+): 3.7%/year], but not in GM volume. Discussion Despite the characteristic striatum-first pattern, the global rate of amyloid accumulation differs by pre-existing amyloid burden and precedes atrophy or dementia in the DS population, similar to general AD progression.","author":[{"dropping-particle":"","family":"Lao","given":"Patrick J.","non-dropping-particle":"","parse-names":false,"suffix":""},{"dropping-particle":"","family":"Handen","given":"Ben L.","non-dropping-particle":"","parse-names":false,"suffix":""},{"dropping-particle":"","family":"Betthauser","given":"Tobey J.","non-dropping-particle":"","parse-names":false,"suffix":""},{"dropping-particle":"","family":"Mihaila","given":"Iulia","non-dropping-particle":"","parse-names":false,"suffix":""},{"dropping-particle":"","family":"Hartley","given":"Sigan L.","non-dropping-particle":"","parse-names":false,"suffix":""},{"dropping-particle":"","family":"Cohen","given":"Annie D.","non-dropping-particle":"","parse-names":false,"suffix":""},{"dropping-particle":"","family":"Tudorascu","given":"Dana L.","non-dropping-particle":"","parse-names":false,"suffix":""},{"dropping-particle":"","family":"Bulova","given":"Peter D.","non-dropping-particle":"","parse-names":false,"suffix":""},{"dropping-particle":"","family":"Lopresti","given":"Brian J.","non-dropping-particle":"","parse-names":false,"suffix":""},{"dropping-particle":"V.","family":"Tumuluru","given":"Rameshwari","non-dropping-particle":"","parse-names":false,"suffix":""},{"dropping-particle":"","family":"Murali","given":"Dhanabalan","non-dropping-particle":"","parse-names":false,"suffix":""},{"dropping-particle":"","family":"Mathis","given":"Chester A.","non-dropping-particle":"","parse-names":false,"suffix":""},{"dropping-particle":"","family":"Barnhart","given":"Todd E.","non-dropping-particle":"","parse-names":false,"suffix":""},{"dropping-particle":"","family":"Stone","given":"Charles K.","non-dropping-particle":"","parse-names":false,"suffix":""},{"dropping-particle":"","family":"Price","given":"Julie C.","non-dropping-particle":"","parse-names":false,"suffix":""},{"dropping-particle":"","family":"Devenny","given":"Darlynne A.","non-dropping-particle":"","parse-names":false,"suffix":""},{"dropping-particle":"","family":"Mailick","given":"Marsha R.","non-dropping-particle":"","parse-names":false,"suffix":""},{"dropping-particle":"","family":"Klunk","given":"William E.","non-dropping-particle":"","parse-names":false,"suffix":""},{"dropping-particle":"","family":"Johnson","given":"Sterling C.","non-dropping-particle":"","parse-names":false,"suffix":""},{"dropping-particle":"","family":"Christian","given":"Bradley T.","non-dropping-particle":"","parse-names":false,"suffix":""}],"container-title":"Alzheimer's and Dementia: Diagnosis, Assessment and Disease Monitoring","id":"ITEM-2","issued":{"date-parts":[["2017"]]},"page":"1-9","publisher":"Elsevier Inc.","title":"Longitudinal changes in amyloid positron emission tomography and volumetric magnetic resonance imaging in the nondemented Down syndrome population","type":"article-journal","volume":"9"},"uris":["http://www.mendeley.com/documents/?uuid=54afb250-a4e7-43f6-8a52-6b75956d510a"]},{"id":"ITEM-3","itemData":{"DOI":"10.1093/brain/awu173","ISBN":"1460-2156 (Electronic) 0006-8950 (Linking)","ISSN":"14602156","PMID":"24993958","abstract":"Nearly all adults with Down syndrome show neuropathology of Alzheimer's disease, including amyloid-β deposition, by their fifth decade of life. In the current study, we examined the association between brain amyloid-β deposition, assessed via in vivo assessments of neocortical Pittsburgh compound B, and scores on an extensive neuropsychological battery of measures of cognitive functioning in 63 adults (31 male, 32 female) with Down syndrome aged 30-53 years who did not exhibit symptoms of dementia. Twenty-two of the adults with Down syndrome were identified as having elevated neocortical Pittsburgh compound B retention levels. There was a significant positive correlation (r = 0.62, P &lt; 0.0001) between age and neocortical Pittsburgh compound B retention. This robust association makes it difficult to discriminate normative age-related decline in cognitive functioning from any potential effects of amyloid-β deposition. When controlling for chronological age in addition to mental age, there were no significant differences between the adults with Down syndrome who had elevated neocortical Pittsburgh compound B retention levels and those who did not on any of the neuropsychological measures. Similarly, when examining Pittsburgh compound B as a continuous variable, after controlling for mental age and chronological age, only the Rivermead Picture Recognition score was significantly negatively associated with neocortical Pittsburgh compound B retention. Our findings indicate that many adults with Down syndrome can tolerate amyloid-β deposition without deleterious effects on cognitive functioning. However, we may have obscured true effects of amyloid-β deposition by controlling for chronological age in our analyses. Moreover, our sample included adults with Down syndrome who were most 'resistant' to the effects of amyloid-β deposition, as adults already exhibiting clinical symptoms of dementia symptoms were excluded from the study.","author":[{"dropping-particle":"","family":"Hartley","given":"Sigan L.","non-dropping-particle":"","parse-names":false,"suffix":""},{"dropping-particle":"","family":"Handen","given":"Benjamin L.","non-dropping-particle":"","parse-names":false,"suffix":""},{"dropping-particle":"","family":"Devenny","given":"Darlynne A.","non-dropping-particle":"","parse-names":false,"suffix":""},{"dropping-particle":"","family":"Hardison","given":"Regina","non-dropping-particle":"","parse-names":false,"suffix":""},{"dropping-particle":"","family":"Mihaila","given":"Iulia","non-dropping-particle":"","parse-names":false,"suffix":""},{"dropping-particle":"","family":"Price","given":"Julie C.","non-dropping-particle":"","parse-names":false,"suffix":""},{"dropping-particle":"","family":"Cohen","given":"Annie D.","non-dropping-particle":"","parse-names":false,"suffix":""},{"dropping-particle":"","family":"Klunk","given":"William E.","non-dropping-particle":"","parse-names":false,"suffix":""},{"dropping-particle":"","family":"Mailick","given":"Marsha R.","non-dropping-particle":"","parse-names":false,"suffix":""},{"dropping-particle":"","family":"Johnson","given":"Sterling C.","non-dropping-particle":"","parse-names":false,"suffix":""},{"dropping-particle":"","family":"Christian","given":"Bradley T.","non-dropping-particle":"","parse-names":false,"suffix":""}],"container-title":"Brain","id":"ITEM-3","issue":"9","issued":{"date-parts":[["2014"]]},"page":"2556-2563","title":"Cognitive functioning in relation to brain amyloid-β in healthy adults with Down syndrome","type":"article-journal","volume":"137"},"uris":["http://www.mendeley.com/documents/?uuid=35102c9d-e41e-477b-b1de-54fb03c0ff86"]},{"id":"ITEM-4","itemData":{"DOI":"10.1212/WNL.0000000000001212","ISBN":"1526-632X","ISSN":"1526-632X","PMID":"25568295","abstract":"OBJECTIVE To investigate brain β-amyloid binding in subjects with Down syndrome (DS) using [(18)F]florbetaben PET imaging. METHODS Thirty-nine subjects with DS (46.3 ± 4.7 years) were assessed with [(18)F]florbetaben PET imaging. Three blinded independent readers assessed the scans to provide a visual analysis. The primary quantitative imaging outcome was a standardized uptake value ratio (SUVR) obtained for 6 brain regions. Cognitive status was evaluated using the Dementia Screening Questionnaire for Individuals with Intellectual Disabilities (DSQIID). RESULTS [(18)F]Florbetaben uptake was correlated with age (p &lt; 0.0001, R(2) = 0.39); 90% of scans in subjects with DS aged 50 years or older (SUVR = 1.62 ± 0.26), 53% in those aged 45 to 49 years (SUVR = 1.43 ± 0.16), and 7% in those aged 40 to 45 years (SUVR = 1.27 ± 0.11) were visually assessed as positive. Visual and quantitative assessments were highly related (χ(2) = 11.3823, p = 0.0007; Cohen κ = 0.58). Only 2 of 34 participants were considered to have dementia by the DSQIID. CONCLUSIONS Brain β-amyloid binding, as measured by [(18)F]florbetaben, increases with age in DS. Subjects with DS who have no evidence of dementia demonstrate brain β-amyloid binding in vivo, suggesting that [(18)F]florbetaben PET imaging may detect β-amyloid in this at-risk population.","author":[{"dropping-particle":"","family":"Jennings","given":"Danna","non-dropping-particle":"","parse-names":false,"suffix":""},{"dropping-particle":"","family":"Seibyl","given":"John","non-dropping-particle":"","parse-names":false,"suffix":""},{"dropping-particle":"","family":"Sabbagh","given":"Marwan","non-dropping-particle":"","parse-names":false,"suffix":""},{"dropping-particle":"","family":"Lai","given":"Florence","non-dropping-particle":"","parse-names":false,"suffix":""},{"dropping-particle":"","family":"Hopkins","given":"William","non-dropping-particle":"","parse-names":false,"suffix":""},{"dropping-particle":"","family":"Bullich","given":"Santi","non-dropping-particle":"","parse-names":false,"suffix":""},{"dropping-particle":"","family":"Gimenez","given":"Monica","non-dropping-particle":"","parse-names":false,"suffix":""},{"dropping-particle":"","family":"Reininger","given":"Cornelia","non-dropping-particle":"","parse-names":false,"suffix":""},{"dropping-particle":"","family":"Putz","given":"Barbara","non-dropping-particle":"","parse-names":false,"suffix":""},{"dropping-particle":"","family":"Stephens","given":"Andrew","non-dropping-particle":"","parse-names":false,"suffix":""},{"dropping-particle":"","family":"Catafau","given":"Ana M","non-dropping-particle":"","parse-names":false,"suffix":""},{"dropping-particle":"","family":"Marek","given":"Ken","non-dropping-particle":"","parse-names":false,"suffix":""}],"container-title":"Neurology","id":"ITEM-4","issue":"5","issued":{"date-parts":[["2015"]]},"page":"500-7","title":"Age dependence of brain β-amyloid deposition in Down syndrome: An [18F]florbetaben PET study.","type":"article-journal","volume":"84"},"uris":["http://www.mendeley.com/documents/?uuid=f855ceca-4598-4cb2-a538-e68801b372e9"]}],"mendeley":{"formattedCitation":"(Hartley &lt;i&gt;et al.&lt;/i&gt;, 2014; Jennings &lt;i&gt;et al.&lt;/i&gt;, 2015; Annus &lt;i&gt;et al.&lt;/i&gt;, 2017, Lao &lt;i&gt;et al.&lt;/i&gt;, 2017&lt;i&gt;a&lt;/i&gt;)","plainTextFormattedCitation":"(Hartley et al., 2014; Jennings et al., 2015; Annus et al., 2017, Lao et al., 2017a)","previouslyFormattedCitation":"(Hartley &lt;i&gt;et al.&lt;/i&gt;, 2014; Jennings &lt;i&gt;et al.&lt;/i&gt;, 2015; Annus &lt;i&gt;et al.&lt;/i&gt;, 2017, Lao &lt;i&gt;et al.&lt;/i&gt;, 2017&lt;i&gt;a&lt;/i&gt;)"},"properties":{"noteIndex":0},"schema":"https://github.com/citation-style-language/schema/raw/master/csl-citation.json"}</w:instrText>
      </w:r>
      <w:r w:rsidRPr="007E51FB">
        <w:fldChar w:fldCharType="separate"/>
      </w:r>
      <w:r w:rsidR="00CE6796" w:rsidRPr="007E51FB">
        <w:rPr>
          <w:noProof/>
        </w:rPr>
        <w:t xml:space="preserve">(Hartley </w:t>
      </w:r>
      <w:r w:rsidR="00CE6796" w:rsidRPr="007E51FB">
        <w:rPr>
          <w:i/>
          <w:noProof/>
        </w:rPr>
        <w:t>et al.</w:t>
      </w:r>
      <w:r w:rsidR="00CE6796" w:rsidRPr="007E51FB">
        <w:rPr>
          <w:noProof/>
        </w:rPr>
        <w:t xml:space="preserve">, 2014; Jennings </w:t>
      </w:r>
      <w:r w:rsidR="00CE6796" w:rsidRPr="007E51FB">
        <w:rPr>
          <w:i/>
          <w:noProof/>
        </w:rPr>
        <w:t>et al.</w:t>
      </w:r>
      <w:r w:rsidR="00CE6796" w:rsidRPr="007E51FB">
        <w:rPr>
          <w:noProof/>
        </w:rPr>
        <w:t xml:space="preserve">, 2015; Annus </w:t>
      </w:r>
      <w:r w:rsidR="00CE6796" w:rsidRPr="007E51FB">
        <w:rPr>
          <w:i/>
          <w:noProof/>
        </w:rPr>
        <w:t>et al.</w:t>
      </w:r>
      <w:r w:rsidR="00CE6796" w:rsidRPr="007E51FB">
        <w:rPr>
          <w:noProof/>
        </w:rPr>
        <w:t xml:space="preserve">, 2017, Lao </w:t>
      </w:r>
      <w:r w:rsidR="00CE6796" w:rsidRPr="007E51FB">
        <w:rPr>
          <w:i/>
          <w:noProof/>
        </w:rPr>
        <w:t>et al.</w:t>
      </w:r>
      <w:r w:rsidR="00CE6796" w:rsidRPr="007E51FB">
        <w:rPr>
          <w:noProof/>
        </w:rPr>
        <w:t>, 2017</w:t>
      </w:r>
      <w:r w:rsidR="00CE6796" w:rsidRPr="007E51FB">
        <w:rPr>
          <w:i/>
          <w:noProof/>
        </w:rPr>
        <w:t>a</w:t>
      </w:r>
      <w:r w:rsidR="00CE6796" w:rsidRPr="007E51FB">
        <w:rPr>
          <w:noProof/>
        </w:rPr>
        <w:t>)</w:t>
      </w:r>
      <w:r w:rsidRPr="007E51FB">
        <w:fldChar w:fldCharType="end"/>
      </w:r>
      <w:r w:rsidRPr="007E51FB">
        <w:t xml:space="preserve">. Elevated amyloid is typically observed after 35 years of age </w:t>
      </w:r>
      <w:r w:rsidRPr="007E51FB">
        <w:fldChar w:fldCharType="begin" w:fldLock="1"/>
      </w:r>
      <w:r w:rsidR="00005758" w:rsidRPr="007E51FB">
        <w:instrText>ADDIN CSL_CITATION {"citationItems":[{"id":"ITEM-1","itemData":{"DOI":"10.1016/j.jalz.2015.07.490","ISBN":"1552-5279 (Electronic)\\r1552-5260 (Linking)","ISSN":"15525279","PMID":"26362596","abstract":"Introduction Adults with Down syndrome (DS) invariably develop Alzheimer's disease (AD) neuropathology. Understanding amyloid deposition in DS can yield crucial information about disease pathogenesis. Methods Forty-nine adults with DS aged 25-65 underwent positron emission tomography with Pittsburgh compound-B (PIB). Regional PIB binding was assessed with respect to age, clinical, and cognitive status. Results Abnormal PIB binding became evident from 39 years, first in striatum followed by rostral prefrontal-cingulo-parietal regions, then caudal frontal, rostral temporal, primary sensorimotor and occipital, and finally parahippocampal cortex, thalamus, and amygdala. PIB binding was related to age, diagnostic status, and cognitive function. Discussion PIB binding in DS, first appearing in striatum, began around age 40 and was strongly associated with dementia and cognitive decline. The absence of a substantial time lag between amyloid accumulation and cognitive decline contrasts to sporadic/familial AD and suggests this population's suitability for an amyloid primary prevention trial.","author":[{"dropping-particle":"","family":"Annus","given":"Tiina","non-dropping-particle":"","parse-names":false,"suffix":""},{"dropping-particle":"","family":"Wilson","given":"Liam R.","non-dropping-particle":"","parse-names":false,"suffix":""},{"dropping-particle":"","family":"Hong","given":"Young T.","non-dropping-particle":"","parse-names":false,"suffix":""},{"dropping-particle":"","family":"Acosta-Cabronero","given":"Julio","non-dropping-particle":"","parse-names":false,"suffix":""},{"dropping-particle":"","family":"Fryer","given":"Tim D.","non-dropping-particle":"","parse-names":false,"suffix":""},{"dropping-particle":"","family":"Cardenas-Blanco","given":"Arturo","non-dropping-particle":"","parse-names":false,"suffix":""},{"dropping-particle":"","family":"Smith","given":"Robert","non-dropping-particle":"","parse-names":false,"suffix":""},{"dropping-particle":"","family":"Boros","given":"Istvan","non-dropping-particle":"","parse-names":false,"suffix":""},{"dropping-particle":"","family":"Coles","given":"Jonathan P.","non-dropping-particle":"","parse-names":false,"suffix":""},{"dropping-particle":"","family":"Aigbirhio","given":"Franklin I.","non-dropping-particle":"","parse-names":false,"suffix":""},{"dropping-particle":"","family":"Menon","given":"David K.","non-dropping-particle":"","parse-names":false,"suffix":""},{"dropping-particle":"","family":"Zaman","given":"Shahid H.","non-dropping-particle":"","parse-names":false,"suffix":""},{"dropping-particle":"","family":"Nestor","given":"Peter J.","non-dropping-particle":"","parse-names":false,"suffix":""},{"dropping-particle":"","family":"Holland","given":"Anthony J.","non-dropping-particle":"","parse-names":false,"suffix":""}],"container-title":"Alzheimer's and Dementia","id":"ITEM-1","issue":"5","issued":{"date-parts":[["2016"]]},"page":"538-545","publisher":"Elsevier Inc.","title":"The pattern of amyloid accumulation in the brains of adults with Down syndrome","type":"article-journal","volume":"12"},"uris":["http://www.mendeley.com/documents/?uuid=2eb561aa-6810-4247-b0f8-6eb3b1ca06d0"]}],"mendeley":{"formattedCitation":"(Annus &lt;i&gt;et al.&lt;/i&gt;, 2016)","plainTextFormattedCitation":"(Annus et al., 2016)","previouslyFormattedCitation":"(Annus &lt;i&gt;et al.&lt;/i&gt;, 2016)"},"properties":{"noteIndex":0},"schema":"https://github.com/citation-style-language/schema/raw/master/csl-citation.json"}</w:instrText>
      </w:r>
      <w:r w:rsidRPr="007E51FB">
        <w:fldChar w:fldCharType="separate"/>
      </w:r>
      <w:r w:rsidR="00CE6796" w:rsidRPr="007E51FB">
        <w:rPr>
          <w:noProof/>
        </w:rPr>
        <w:t xml:space="preserve">(Annus </w:t>
      </w:r>
      <w:r w:rsidR="00CE6796" w:rsidRPr="007E51FB">
        <w:rPr>
          <w:i/>
          <w:noProof/>
        </w:rPr>
        <w:t>et al.</w:t>
      </w:r>
      <w:r w:rsidR="00CE6796" w:rsidRPr="007E51FB">
        <w:rPr>
          <w:noProof/>
        </w:rPr>
        <w:t>, 2016)</w:t>
      </w:r>
      <w:r w:rsidRPr="007E51FB">
        <w:fldChar w:fldCharType="end"/>
      </w:r>
      <w:r w:rsidRPr="007E51FB">
        <w:t xml:space="preserve"> and is associated with early cognitive impairment and brain atrophy </w:t>
      </w:r>
      <w:r w:rsidRPr="007E51FB">
        <w:fldChar w:fldCharType="begin" w:fldLock="1"/>
      </w:r>
      <w:r w:rsidR="005E77C9" w:rsidRPr="007E51FB">
        <w:instrText>ADDIN CSL_CITATION {"citationItems":[{"id":"ITEM-1","itemData":{"DOI":"10.1016/j.neurobiolaging.2017.01.009","ISSN":"15581497","PMID":"28192686","abstract":"People with Down syndrome (DS) have a neurodevelopmentally distinct brain and invariably developed amyloid neuropathology by age 50. This cross-sectional study aimed to provide a detailed account of DS brain morphology and the changes occuring with amyloid neuropathology. Forty-six adults with DS underwent structural and amyloid imaging—the latter using Pittsburgh compound B (PIB) to stratify the cohort into PIB-positive (n = 19) and PIB-negative (n = 27). Age-matched controls (n = 30) underwent structural imaging. Group differences in deep gray matter volumetry and cortical thickness were studied. PIB-negative people with DS have neurodevelopmentally atypical brain, characterized by disproportionately thicker frontal and occipitoparietal cortex and thinner motor cortex and temporal pole with larger putamina and smaller hippocampi than controls. In the presence of amyloid neuropathology, the DS brains demonstrated a strikingly similar pattern of posterior dominant cortical thinning and subcortical atrophy in the hippocampus, thalamus, and striatum, to that observed in non-DS Alzheimer's disease. Care must be taken to avoid underestimating amyloid-associated morphologic changes in DS due to disproportionate size of some subcortical structures and thickness of the cortex.","author":[{"dropping-particle":"","family":"Annus","given":"Tiina","non-dropping-particle":"","parse-names":false,"suffix":""},{"dropping-particle":"","family":"Wilson","given":"Liam R.","non-dropping-particle":"","parse-names":false,"suffix":""},{"dropping-particle":"","family":"Acosta-Cabronero","given":"Julio","non-dropping-particle":"","parse-names":false,"suffix":""},{"dropping-particle":"","family":"Cardenas-Blanco","given":"Arturo","non-dropping-particle":"","parse-names":false,"suffix":""},{"dropping-particle":"","family":"Hong","given":"Young T.","non-dropping-particle":"","parse-names":false,"suffix":""},{"dropping-particle":"","family":"Fryer","given":"Tim D.","non-dropping-particle":"","parse-names":false,"suffix":""},{"dropping-particle":"","family":"Coles","given":"Jonathan P.","non-dropping-particle":"","parse-names":false,"suffix":""},{"dropping-particle":"","family":"Menon","given":"David K.","non-dropping-particle":"","parse-names":false,"suffix":""},{"dropping-particle":"","family":"Zaman","given":"Shahid H.","non-dropping-particle":"","parse-names":false,"suffix":""},{"dropping-particle":"","family":"Holland","given":"Anthony J.","non-dropping-particle":"","parse-names":false,"suffix":""},{"dropping-particle":"","family":"Nestor","given":"Peter J.","non-dropping-particle":"","parse-names":false,"suffix":""}],"container-title":"Neurobiology of Aging","id":"ITEM-1","issued":{"date-parts":[["2017"]]},"page":"11-19","title":"The Down syndrome brain in the presence and absence of fibrillar β-amyloidosis","type":"article-journal","volume":"53"},"uris":["http://www.mendeley.com/documents/?uuid=c712f306-c535-4b80-8fab-983da7b12581"]},{"id":"ITEM-2","itemData":{"DOI":"10.1016/j.neurobiolaging.2019.02.018","ISSN":"01974580","author":[{"dropping-particle":"","family":"Mak","given":"Elijah","non-dropping-particle":"","parse-names":false,"suffix":""},{"dropping-particle":"","family":"Padilla","given":"Concepcion","non-dropping-particle":"","parse-names":false,"suffix":""},{"dropping-particle":"","family":"Annus","given":"Tiina","non-dropping-particle":"","parse-names":false,"suffix":""},{"dropping-particle":"","family":"Wilson","given":"Liam R.","non-dropping-particle":"","parse-names":false,"suffix":""},{"dropping-particle":"","family":"Hong","given":"Young T.","non-dropping-particle":"","parse-names":false,"suffix":""},{"dropping-particle":"","family":"Fryer","given":"Tim D.","non-dropping-particle":"","parse-names":false,"suffix":""},{"dropping-particle":"","family":"Coles","given":"Jonathan P.","non-dropping-particle":"","parse-names":false,"suffix":""},{"dropping-particle":"","family":"Aigbirhio","given":"Franklin I.","non-dropping-particle":"","parse-names":false,"suffix":""},{"dropping-particle":"","family":"Menon","given":"David K.","non-dropping-particle":"","parse-names":false,"suffix":""},{"dropping-particle":"","family":"Nestor","given":"Peter J.","non-dropping-particle":"","parse-names":false,"suffix":""},{"dropping-particle":"","family":"Zaman","given":"Shahid H.","non-dropping-particle":"","parse-names":false,"suffix":""},{"dropping-particle":"","family":"Holland","given":"Anthony J.","non-dropping-particle":"","parse-names":false,"suffix":""}],"container-title":"Neurobiology of Aging","id":"ITEM-2","issued":{"date-parts":[["2019"]]},"publisher":"Elsevier Inc.","title":"Delineating the topography of amyloid-associated cortical atrophy in Down’s syndrome","type":"article-journal"},"uris":["http://www.mendeley.com/documents/?uuid=730d4b1d-cc9b-4d29-9312-b40ff22a20ff"]}],"mendeley":{"formattedCitation":"(Annus &lt;i&gt;et al.&lt;/i&gt;, 2017, Mak &lt;i&gt;et al.&lt;/i&gt;, 2019&lt;i&gt;b&lt;/i&gt;)","plainTextFormattedCitation":"(Annus et al., 2017, Mak et al., 2019b)","previouslyFormattedCitation":"(Annus &lt;i&gt;et al.&lt;/i&gt;, 2017, Mak &lt;i&gt;et al.&lt;/i&gt;, 2019&lt;i&gt;b&lt;/i&gt;)"},"properties":{"noteIndex":0},"schema":"https://github.com/citation-style-language/schema/raw/master/csl-citation.json"}</w:instrText>
      </w:r>
      <w:r w:rsidRPr="007E51FB">
        <w:fldChar w:fldCharType="separate"/>
      </w:r>
      <w:r w:rsidR="00081F98" w:rsidRPr="007E51FB">
        <w:rPr>
          <w:noProof/>
        </w:rPr>
        <w:t xml:space="preserve">(Annus </w:t>
      </w:r>
      <w:r w:rsidR="00081F98" w:rsidRPr="007E51FB">
        <w:rPr>
          <w:i/>
          <w:noProof/>
        </w:rPr>
        <w:t>et al.</w:t>
      </w:r>
      <w:r w:rsidR="00081F98" w:rsidRPr="007E51FB">
        <w:rPr>
          <w:noProof/>
        </w:rPr>
        <w:t xml:space="preserve">, 2017, Mak </w:t>
      </w:r>
      <w:r w:rsidR="00081F98" w:rsidRPr="007E51FB">
        <w:rPr>
          <w:i/>
          <w:noProof/>
        </w:rPr>
        <w:t>et al.</w:t>
      </w:r>
      <w:r w:rsidR="00081F98" w:rsidRPr="007E51FB">
        <w:rPr>
          <w:noProof/>
        </w:rPr>
        <w:t>, 2019</w:t>
      </w:r>
      <w:r w:rsidR="00081F98" w:rsidRPr="007E51FB">
        <w:rPr>
          <w:i/>
          <w:noProof/>
        </w:rPr>
        <w:t>b</w:t>
      </w:r>
      <w:r w:rsidR="00081F98" w:rsidRPr="007E51FB">
        <w:rPr>
          <w:noProof/>
        </w:rPr>
        <w:t>)</w:t>
      </w:r>
      <w:r w:rsidRPr="007E51FB">
        <w:fldChar w:fldCharType="end"/>
      </w:r>
      <w:r w:rsidRPr="007E51FB">
        <w:t xml:space="preserve">. </w:t>
      </w:r>
    </w:p>
    <w:p w14:paraId="4C4C646A" w14:textId="77777777" w:rsidR="00556924" w:rsidRPr="007E51FB" w:rsidRDefault="00556924" w:rsidP="00E84C28">
      <w:pPr>
        <w:tabs>
          <w:tab w:val="left" w:pos="3428"/>
        </w:tabs>
        <w:spacing w:line="360" w:lineRule="auto"/>
        <w:jc w:val="both"/>
        <w:outlineLvl w:val="0"/>
      </w:pPr>
    </w:p>
    <w:p w14:paraId="22D67148" w14:textId="0BBD4779" w:rsidR="00556924" w:rsidRPr="007E51FB" w:rsidRDefault="00162761" w:rsidP="00E84C28">
      <w:pPr>
        <w:tabs>
          <w:tab w:val="left" w:pos="3428"/>
        </w:tabs>
        <w:spacing w:line="360" w:lineRule="auto"/>
        <w:jc w:val="both"/>
        <w:outlineLvl w:val="0"/>
      </w:pPr>
      <w:r w:rsidRPr="007E51FB">
        <w:t xml:space="preserve">As a “state” biomarker, </w:t>
      </w:r>
      <w:r w:rsidR="00556924" w:rsidRPr="007E51FB">
        <w:t>Aβ</w:t>
      </w:r>
      <w:r w:rsidR="005235DF" w:rsidRPr="007E51FB">
        <w:t xml:space="preserve"> PET</w:t>
      </w:r>
      <w:r w:rsidR="00556924" w:rsidRPr="007E51FB">
        <w:t xml:space="preserve"> imaging has allowed us to stratify </w:t>
      </w:r>
      <w:r w:rsidR="00C54DCE" w:rsidRPr="007E51FB">
        <w:t>into “</w:t>
      </w:r>
      <w:r w:rsidR="00556924" w:rsidRPr="007E51FB">
        <w:t>Aβ group</w:t>
      </w:r>
      <w:r w:rsidR="00C54DCE" w:rsidRPr="007E51FB">
        <w:t>ings”</w:t>
      </w:r>
      <w:r w:rsidR="00556924" w:rsidRPr="007E51FB">
        <w:t xml:space="preserve"> </w:t>
      </w:r>
      <w:r w:rsidR="0063410D" w:rsidRPr="007E51FB">
        <w:t xml:space="preserve">that </w:t>
      </w:r>
      <w:r w:rsidR="00556924" w:rsidRPr="007E51FB">
        <w:t>aid in patient selection and enrichment of study samples, however, it</w:t>
      </w:r>
      <w:r w:rsidR="0063410D" w:rsidRPr="007E51FB">
        <w:t xml:space="preserve"> lacks</w:t>
      </w:r>
      <w:r w:rsidR="00556924" w:rsidRPr="007E51FB">
        <w:t xml:space="preserve"> ability </w:t>
      </w:r>
      <w:r w:rsidR="0063410D" w:rsidRPr="007E51FB">
        <w:t>to</w:t>
      </w:r>
      <w:r w:rsidR="00556924" w:rsidRPr="007E51FB">
        <w:t xml:space="preserve"> track dementia severity in AD</w:t>
      </w:r>
      <w:r w:rsidR="00081F98" w:rsidRPr="007E51FB">
        <w:t xml:space="preserve"> </w:t>
      </w:r>
      <w:r w:rsidR="00081F98" w:rsidRPr="007E51FB">
        <w:fldChar w:fldCharType="begin" w:fldLock="1"/>
      </w:r>
      <w:r w:rsidR="00081F98" w:rsidRPr="007E51FB">
        <w:instrText>ADDIN CSL_CITATION {"citationItems":[{"id":"ITEM-1","itemData":{"DOI":"10.1093/brain/awl178","ISBN":"0006-8950","ISSN":"00068950","PMID":"16854944","abstract":"Beta amyloid is one of the major histopathological hallmarks of Alzheimer's disease. We recently reported in vivo imaging of amyloid in 16 Alzheimer patients, using the PET ligand N-methyl[11C]2-(4'-methylaminophenyl)-6-hydroxy-benzothiazole (PIB). In the present study we rescanned these 16 Alzheimer patients after 2.0 +/- 0.5 years and have described the interval change in amyloid deposition and regional cerebral metabolic rate for glucose (rCMRGlc) at follow-up. Sixteen patients with Alzheimer's disease were re-examined by means of PET, using PIB and 2-[18F]fluoro-2-deoxy-d-glucose (FDG) after 2.0 +/- 0.5 years. The patients were all on cholinesterase inhibitor treatment and five also on treatment with the N-methyl-d-aspartate (NMDA) antagonist memantine. In order to estimate the accuracy of the PET PIB measurements, four additional Alzheimer patients underwent repeated examinations with PIB within 20 days (test-retest). Relative PIB retention in cortical regions differed by 3-7% in the test-retest study. No significant difference in PIB retention was observed between baseline and follow-up while a significant (P &lt; 0.01) 20% decrease in rCMRGlc was observed in cortical brain regions. A significant negative correlation between rCMRGlc and PIB retention was observed in the parietal cortex in the Alzheimer patients at follow-up (r = 0.67, P = 0.009). A non-significant decline in Mini-Mental State Examination (MMSE) score from 24.3 +/- 3.7 (mean +/- standard deviation) to 22.7 +/- 6.1 was measured at follow-up. Five of the Alzheimer patients showed a significant decline in MMSE score of &gt;3 (21.4 +/- 3.5 to 15.6 +/- 3.9, P &lt; 0.01) (AD-progressive) while the rest of the patients were cognitively more stable (MMSE score = 25.6 +/- 3.1 to 25.9 +/- 3.7) (AD-stable) compared with baseline. A positive correlation (P = 0.001) was observed in the parietal cortex between Rey Auditory Verbal Learning (RAVL) test score and rCMRGlc at follow-up while a negative correlation (P = 0.018) was observed between RAVL test and PIB retention in the parietal at follow-up. Relatively stable PIB retention after 2 years of follow-up in patients with mild Alzheimer's disease suggests that amyloid deposition in the brain reaches a plateau by the early clinical stages of Alzheimer's disease and therefore may precede a decline in rCMRGlc and cognition. It appears that anti-amyloid therapies will need to induce a significant decrease in amyloid load in order for PIB PET images to detec…","author":[{"dropping-particle":"","family":"Engler","given":"Henry","non-dropping-particle":"","parse-names":false,"suffix":""},{"dropping-particle":"","family":"Forsberg","given":"Anton","non-dropping-particle":"","parse-names":false,"suffix":""},{"dropping-particle":"","family":"Almkvist","given":"Ove","non-dropping-particle":"","parse-names":false,"suffix":""},{"dropping-particle":"","family":"Blomquist","given":"Gunnar","non-dropping-particle":"","parse-names":false,"suffix":""},{"dropping-particle":"","family":"Larsson","given":"Emma","non-dropping-particle":"","parse-names":false,"suffix":""},{"dropping-particle":"","family":"Savitcheva","given":"Irina","non-dropping-particle":"","parse-names":false,"suffix":""},{"dropping-particle":"","family":"Wall","given":"Anders","non-dropping-particle":"","parse-names":false,"suffix":""},{"dropping-particle":"","family":"Ringheim","given":"Anna","non-dropping-particle":"","parse-names":false,"suffix":""},{"dropping-particle":"","family":"Långström","given":"Bengt","non-dropping-particle":"","parse-names":false,"suffix":""},{"dropping-particle":"","family":"Nordberg","given":"Agneta","non-dropping-particle":"","parse-names":false,"suffix":""}],"container-title":"Brain","id":"ITEM-1","issue":"11","issued":{"date-parts":[["2006"]]},"page":"2856-2866","title":"Two-year follow-up of amyloid deposition in patients with Alzheimer's disease","type":"article-journal","volume":"129"},"uris":["http://www.mendeley.com/documents/?uuid=c712ca99-092f-45da-b3e9-7d62c88b4905"]}],"mendeley":{"formattedCitation":"(Engler &lt;i&gt;et al.&lt;/i&gt;, 2006)","plainTextFormattedCitation":"(Engler et al., 2006)","previouslyFormattedCitation":"(Engler &lt;i&gt;et al.&lt;/i&gt;, 2006)"},"properties":{"noteIndex":0},"schema":"https://github.com/citation-style-language/schema/raw/master/csl-citation.json"}</w:instrText>
      </w:r>
      <w:r w:rsidR="00081F98" w:rsidRPr="007E51FB">
        <w:fldChar w:fldCharType="separate"/>
      </w:r>
      <w:r w:rsidR="00081F98" w:rsidRPr="007E51FB">
        <w:rPr>
          <w:noProof/>
        </w:rPr>
        <w:t xml:space="preserve">(Engler </w:t>
      </w:r>
      <w:r w:rsidR="00081F98" w:rsidRPr="007E51FB">
        <w:rPr>
          <w:i/>
          <w:noProof/>
        </w:rPr>
        <w:t>et al.</w:t>
      </w:r>
      <w:r w:rsidR="00081F98" w:rsidRPr="007E51FB">
        <w:rPr>
          <w:noProof/>
        </w:rPr>
        <w:t>, 2006)</w:t>
      </w:r>
      <w:r w:rsidR="00081F98" w:rsidRPr="007E51FB">
        <w:fldChar w:fldCharType="end"/>
      </w:r>
      <w:r w:rsidR="00081F98" w:rsidRPr="007E51FB">
        <w:t xml:space="preserve">. </w:t>
      </w:r>
      <w:r w:rsidR="00556924" w:rsidRPr="007E51FB">
        <w:t>This was also illustrated in a case study of a DS patient with 3 serial PET scans, showing that dementia onset occurred almost 2 years after a sharp spike in Aβ burden</w:t>
      </w:r>
      <w:r w:rsidR="00270671" w:rsidRPr="007E51FB">
        <w:t xml:space="preserve"> </w:t>
      </w:r>
      <w:r w:rsidR="00081F98" w:rsidRPr="007E51FB">
        <w:fldChar w:fldCharType="begin" w:fldLock="1"/>
      </w:r>
      <w:r w:rsidR="005E77C9" w:rsidRPr="007E51FB">
        <w:instrText>ADDIN CSL_CITATION {"citationItems":[{"id":"ITEM-1","itemData":{"author":[{"dropping-particle":"","family":"Mak","given":"Elijah","non-dropping-particle":"","parse-names":false,"suffix":""},{"dropping-particle":"","family":"Bickerton","given":"Anastasia","non-dropping-particle":"","parse-names":false,"suffix":""},{"dropping-particle":"","family":"Padilla","given":"Concepcion","non-dropping-particle":"","parse-names":false,"suffix":""},{"dropping-particle":"","family":"Walpert","given":"Madeline","non-dropping-particle":"","parse-names":false,"suffix":""},{"dropping-particle":"","family":"Annus","given":"Tiina","non-dropping-particle":"","parse-names":false,"suffix":""},{"dropping-particle":"","family":"Wilson","given":"Liam R","non-dropping-particle":"","parse-names":false,"suffix":""},{"dropping-particle":"","family":"Hong","given":"Young T","non-dropping-particle":"","parse-names":false,"suffix":""},{"dropping-particle":"","family":"Fryer","given":"Tim D","non-dropping-particle":"","parse-names":false,"suffix":""},{"dropping-particle":"","family":"Coles","given":"Jonathan P","non-dropping-particle":"","parse-names":false,"suffix":""},{"dropping-particle":"","family":"Aigbirhio","given":"Franklin I","non-dropping-particle":"","parse-names":false,"suffix":""},{"dropping-particle":"","family":"Christian","given":"Bradley T","non-dropping-particle":"","parse-names":false,"suffix":""},{"dropping-particle":"","family":"Handen","given":"Benjamin L","non-dropping-particle":"","parse-names":false,"suffix":""},{"dropping-particle":"","family":"Klunk","given":"William E","non-dropping-particle":"","parse-names":false,"suffix":""},{"dropping-particle":"","family":"Menon","given":"David K","non-dropping-particle":"","parse-names":false,"suffix":""},{"dropping-particle":"","family":"Nestor","given":"Peter J","non-dropping-particle":"","parse-names":false,"suffix":""},{"dropping-particle":"","family":"Zaman","given":"Shahid H","non-dropping-particle":"","parse-names":false,"suffix":""},{"dropping-particle":"","family":"Holland","given":"Anthony J","non-dropping-particle":"","parse-names":false,"suffix":""}],"container-title":"Alzheimer's &amp; Dementia: Diagnosis, Assessment &amp; Disease Monitoring","id":"ITEM-1","issue":"C","issued":{"date-parts":[["2019"]]},"page":"654-658","title":"Longitudinal trajectories of amyloid deposition, cortical thickness and tau deposition in Down syndrome: a deep-phenotyping case report.","type":"article-journal","volume":"11"},"uris":["http://www.mendeley.com/documents/?uuid=73585735-cefb-4de2-9ff0-33dddbc296bd"]}],"mendeley":{"formattedCitation":"(Mak &lt;i&gt;et al.&lt;/i&gt;, 2019&lt;i&gt;a&lt;/i&gt;)","plainTextFormattedCitation":"(Mak et al., 2019a)","previouslyFormattedCitation":"(Mak &lt;i&gt;et al.&lt;/i&gt;, 2019&lt;i&gt;a&lt;/i&gt;)"},"properties":{"noteIndex":0},"schema":"https://github.com/citation-style-language/schema/raw/master/csl-citation.json"}</w:instrText>
      </w:r>
      <w:r w:rsidR="00081F98" w:rsidRPr="007E51FB">
        <w:fldChar w:fldCharType="separate"/>
      </w:r>
      <w:r w:rsidR="00081F98" w:rsidRPr="007E51FB">
        <w:rPr>
          <w:noProof/>
        </w:rPr>
        <w:t xml:space="preserve">(Mak </w:t>
      </w:r>
      <w:r w:rsidR="00081F98" w:rsidRPr="007E51FB">
        <w:rPr>
          <w:i/>
          <w:noProof/>
        </w:rPr>
        <w:t>et al.</w:t>
      </w:r>
      <w:r w:rsidR="00081F98" w:rsidRPr="007E51FB">
        <w:rPr>
          <w:noProof/>
        </w:rPr>
        <w:t>, 2019</w:t>
      </w:r>
      <w:r w:rsidR="00081F98" w:rsidRPr="007E51FB">
        <w:rPr>
          <w:i/>
          <w:noProof/>
        </w:rPr>
        <w:t>a</w:t>
      </w:r>
      <w:r w:rsidR="00081F98" w:rsidRPr="007E51FB">
        <w:rPr>
          <w:noProof/>
        </w:rPr>
        <w:t>)</w:t>
      </w:r>
      <w:r w:rsidR="00081F98" w:rsidRPr="007E51FB">
        <w:fldChar w:fldCharType="end"/>
      </w:r>
      <w:r w:rsidR="00081F98" w:rsidRPr="007E51FB">
        <w:t xml:space="preserve">. </w:t>
      </w:r>
      <w:r w:rsidR="00556924" w:rsidRPr="007E51FB">
        <w:t>Additional</w:t>
      </w:r>
      <w:r w:rsidR="00556924" w:rsidRPr="007E51FB">
        <w:rPr>
          <w:vertAlign w:val="superscript"/>
        </w:rPr>
        <w:t xml:space="preserve"> </w:t>
      </w:r>
      <w:r w:rsidR="00556924" w:rsidRPr="007E51FB">
        <w:t>FDG</w:t>
      </w:r>
      <w:r w:rsidR="00452985" w:rsidRPr="007E51FB">
        <w:t>-PET</w:t>
      </w:r>
      <w:r w:rsidR="00556924" w:rsidRPr="007E51FB">
        <w:t xml:space="preserve"> or CBF </w:t>
      </w:r>
      <w:r w:rsidR="0068510C" w:rsidRPr="007E51FB">
        <w:t xml:space="preserve">(cerebral blood flow) </w:t>
      </w:r>
      <w:r w:rsidR="00556924" w:rsidRPr="007E51FB">
        <w:t xml:space="preserve">imaging is highly sensitive to downstream phenomenon of synaptic dysfunction and cerebral perfusion, both of which are tightly coupled and thought to reflect local neuronal </w:t>
      </w:r>
      <w:r w:rsidR="00556924" w:rsidRPr="007E51FB">
        <w:lastRenderedPageBreak/>
        <w:t xml:space="preserve">dysfunction </w:t>
      </w:r>
      <w:r w:rsidR="00556924" w:rsidRPr="007E51FB">
        <w:fldChar w:fldCharType="begin" w:fldLock="1"/>
      </w:r>
      <w:r w:rsidR="00005758" w:rsidRPr="007E51FB">
        <w:instrText>ADDIN CSL_CITATION {"citationItems":[{"id":"ITEM-1","itemData":{"DOI":"10.1016/j.dadm.2018.08.012","ISSN":"23528729","abstract":"Introduction: 18F-fluorodeoxyglucose (FDG) positron emission tomography (PET) is commonly used to estimate neuronal injury in Alzheimer's disease (AD). Here, we evaluate the utility of dynamic PET measures of perfusion using 11C-Pittsburgh compound B (PiB) to estimate neuronal injury in comparison to FDG PET. Methods: FDG, early frames of PiB images, and relative PiB delivery rate constants (PiB-R1) were obtained from 110 participants from the Dominantly Inherited Alzheimer Network. Voxelwise, regional cross-sectional, and longitudinal analyses were done to evaluate the correlation between images and estimate the relationship of the imaging biomarkers with estimated time to disease progression based on family history. Results: Metabolism and perfusion images were spatially correlated. Regional PiB-R1 values and FDG, but not early frames of PiB images, significantly decreased in the mutation carriers with estimated year to onset and with increasing dementia severity. Discussion: Hypometabolism estimated by PiB-R1 may provide a measure of brain perfusion without increasing radiation exposure.","author":[{"dropping-particle":"","family":"Joseph-Mathurin","given":"Nelly","non-dropping-particle":"","parse-names":false,"suffix":""},{"dropping-particle":"","family":"Su","given":"Yi","non-dropping-particle":"","parse-names":false,"suffix":""},{"dropping-particle":"","family":"Blazey","given":"Tyler M.","non-dropping-particle":"","parse-names":false,"suffix":""},{"dropping-particle":"","family":"Jasielec","given":"Mateusz","non-dropping-particle":"","parse-names":false,"suffix":""},{"dropping-particle":"","family":"Vlassenko","given":"Andrei","non-dropping-particle":"","parse-names":false,"suffix":""},{"dropping-particle":"","family":"Friedrichsen","given":"Karl","non-dropping-particle":"","parse-names":false,"suffix":""},{"dropping-particle":"","family":"Gordon","given":"Brian A.","non-dropping-particle":"","parse-names":false,"suffix":""},{"dropping-particle":"","family":"Hornbeck","given":"Russ C.","non-dropping-particle":"","parse-names":false,"suffix":""},{"dropping-particle":"","family":"Cash","given":"Lisa","non-dropping-particle":"","parse-names":false,"suffix":""},{"dropping-particle":"","family":"Ances","given":"Beau M.","non-dropping-particle":"","parse-names":false,"suffix":""},{"dropping-particle":"","family":"Veale","given":"Thomas","non-dropping-particle":"","parse-names":false,"suffix":""},{"dropping-particle":"","family":"Cash","given":"David M.","non-dropping-particle":"","parse-names":false,"suffix":""},{"dropping-particle":"","family":"Brickman","given":"Adam M.","non-dropping-particle":"","parse-names":false,"suffix":""},{"dropping-particle":"","family":"Buckles","given":"Virginia","non-dropping-particle":"","parse-names":false,"suffix":""},{"dropping-particle":"","family":"Cairns","given":"Nigel J.","non-dropping-particle":"","parse-names":false,"suffix":""},{"dropping-particle":"","family":"Cruchaga","given":"Carlos","non-dropping-particle":"","parse-names":false,"suffix":""},{"dropping-particle":"","family":"Goate","given":"Alison","non-dropping-particle":"","parse-names":false,"suffix":""},{"dropping-particle":"","family":"Jack","given":"Clifford R.","non-dropping-particle":"","parse-names":false,"suffix":""},{"dropping-particle":"","family":"Karch","given":"Celeste","non-dropping-particle":"","parse-names":false,"suffix":""},{"dropping-particle":"","family":"Klunk","given":"William","non-dropping-particle":"","parse-names":false,"suffix":""},{"dropping-particle":"","family":"Koeppe","given":"Robert A.","non-dropping-particle":"","parse-names":false,"suffix":""},{"dropping-particle":"","family":"Marcus","given":"Daniel S.","non-dropping-particle":"","parse-names":false,"suffix":""},{"dropping-particle":"","family":"Mayeux","given":"Richard","non-dropping-particle":"","parse-names":false,"suffix":""},{"dropping-particle":"","family":"McDade","given":"Eric","non-dropping-particle":"","parse-names":false,"suffix":""},{"dropping-particle":"","family":"Noble","given":"James M.","non-dropping-particle":"","parse-names":false,"suffix":""},{"dropping-particle":"","family":"Ringman","given":"John","non-dropping-particle":"","parse-names":false,"suffix":""},{"dropping-particle":"","family":"Saykin","given":"Andrew J.","non-dropping-particle":"","parse-names":false,"suffix":""},{"dropping-particle":"","family":"Thompson","given":"Paul M.","non-dropping-particle":"","parse-names":false,"suffix":""},{"dropping-particle":"","family":"Xiong","given":"Chengjie","non-dropping-particle":"","parse-names":false,"suffix":""},{"dropping-particle":"","family":"Morris","given":"John C.","non-dropping-particle":"","parse-names":false,"suffix":""},{"dropping-particle":"","family":"Bateman","given":"Randall J.","non-dropping-particle":"","parse-names":false,"suffix":""},{"dropping-particle":"","family":"Benzinger","given":"Tammie L.S.","non-dropping-particle":"","parse-names":false,"suffix":""}],"container-title":"Alzheimer's and Dementia: Diagnosis, Assessment and Disease Monitoring","id":"ITEM-1","issued":{"date-parts":[["2018"]]},"page":"669-677","title":"Utility of perfusion PET measures to assess neuronal injury in Alzheimer's disease","type":"article-journal","volume":"10"},"uris":["http://www.mendeley.com/documents/?uuid=7af6b85d-c08a-4fcf-80db-5492d18a042d"]}],"mendeley":{"formattedCitation":"(Joseph-Mathurin &lt;i&gt;et al.&lt;/i&gt;, 2018)","plainTextFormattedCitation":"(Joseph-Mathurin et al., 2018)","previouslyFormattedCitation":"(Joseph-Mathurin &lt;i&gt;et al.&lt;/i&gt;, 2018)"},"properties":{"noteIndex":0},"schema":"https://github.com/citation-style-language/schema/raw/master/csl-citation.json"}</w:instrText>
      </w:r>
      <w:r w:rsidR="00556924" w:rsidRPr="007E51FB">
        <w:fldChar w:fldCharType="separate"/>
      </w:r>
      <w:r w:rsidR="00CE6796" w:rsidRPr="007E51FB">
        <w:rPr>
          <w:noProof/>
        </w:rPr>
        <w:t xml:space="preserve">(Joseph-Mathurin </w:t>
      </w:r>
      <w:r w:rsidR="00CE6796" w:rsidRPr="007E51FB">
        <w:rPr>
          <w:i/>
          <w:noProof/>
        </w:rPr>
        <w:t>et al.</w:t>
      </w:r>
      <w:r w:rsidR="00CE6796" w:rsidRPr="007E51FB">
        <w:rPr>
          <w:noProof/>
        </w:rPr>
        <w:t>, 2018)</w:t>
      </w:r>
      <w:r w:rsidR="00556924" w:rsidRPr="007E51FB">
        <w:fldChar w:fldCharType="end"/>
      </w:r>
      <w:r w:rsidR="00EB2F11" w:rsidRPr="007E51FB">
        <w:t xml:space="preserve"> and therefore cognitive </w:t>
      </w:r>
      <w:r w:rsidR="002D7CCA" w:rsidRPr="007E51FB">
        <w:t>symptoms</w:t>
      </w:r>
      <w:r w:rsidR="00556924" w:rsidRPr="007E51FB">
        <w:t xml:space="preserve">. In </w:t>
      </w:r>
      <w:r w:rsidR="002D7CCA" w:rsidRPr="007E51FB">
        <w:t xml:space="preserve">sporadic </w:t>
      </w:r>
      <w:r w:rsidR="00556924" w:rsidRPr="007E51FB">
        <w:t xml:space="preserve">AD, a characteristic pattern of glucose hypometabolism emerges </w:t>
      </w:r>
      <w:r w:rsidR="00683210" w:rsidRPr="007E51FB">
        <w:t>involving</w:t>
      </w:r>
      <w:r w:rsidR="00556924" w:rsidRPr="007E51FB">
        <w:t xml:space="preserve"> posterior cingulate</w:t>
      </w:r>
      <w:r w:rsidR="00683210" w:rsidRPr="007E51FB">
        <w:t xml:space="preserve"> at the MCI stage</w:t>
      </w:r>
      <w:r w:rsidR="00556924" w:rsidRPr="007E51FB">
        <w:t xml:space="preserve">, </w:t>
      </w:r>
      <w:r w:rsidR="00D71FA9" w:rsidRPr="007E51FB">
        <w:t>with extension</w:t>
      </w:r>
      <w:r w:rsidR="00556924" w:rsidRPr="007E51FB">
        <w:t xml:space="preserve"> to </w:t>
      </w:r>
      <w:r w:rsidR="00D71FA9" w:rsidRPr="007E51FB">
        <w:t xml:space="preserve">lateral </w:t>
      </w:r>
      <w:r w:rsidR="00556924" w:rsidRPr="007E51FB">
        <w:t>temporo-parietal regions</w:t>
      </w:r>
      <w:r w:rsidR="00D71FA9" w:rsidRPr="007E51FB">
        <w:t xml:space="preserve"> by the time mild dementia is evident</w:t>
      </w:r>
      <w:r w:rsidR="005E77C9" w:rsidRPr="007E51FB">
        <w:t xml:space="preserve"> </w:t>
      </w:r>
      <w:r w:rsidR="005E77C9" w:rsidRPr="007E51FB">
        <w:fldChar w:fldCharType="begin" w:fldLock="1"/>
      </w:r>
      <w:r w:rsidR="00290472" w:rsidRPr="007E51FB">
        <w:instrText>ADDIN CSL_CITATION {"citationItems":[{"id":"ITEM-1","itemData":{"DOI":"10.1002/ana.410420114","ISBN":"0364-5134","ISSN":"0364-5134","PMID":"9225689","abstract":"This study investigated cerebral glucose metabolism in very early Alzheimer's disease, before a clinical diagnosis of probable Alzheimer's disease is possible, using [18F]fluorodeoxyglucose positron emission tomography. First, 66 patients with probable Alzheimer's disease with a spectrum of dementia severity (Mini-Mental State Examination score, 0-23) were recruited and studied. Cortical metabolic activity was analyzed topographically using three-dimensional stereotactic surface projections. Regression analysis was performed for each brain pixel to predict metabolic patterns of very early disease. Predictions were tested prospectively in a group of 8 patients who complained only of memory impairment without general cognitive decline (Mini-Mental State Examination score, 25 +/- 1) at the time of scanning but whose condition later progressed to probable Alzheimer's disease. Both results were compared to cerebral metabolic activity in 22 age-similar normal control subjects. Prediction and analysis of actual patients consistently indicated marked metabolic reduction (21-22%) in the posterior cingulate cortex and cinguloparietal transitional area in patients with very early Alzheimer's disease. Mean metabolic reduction in the posterior cingulate cortex was significantly greater than that in the lateral neocortices or parahippocampal cortex. The result suggests a functional importance for the posterior cingulate cortex in impairment of learning and memory, which is a feature of very early Alzheimer's disease.","author":[{"dropping-particle":"","family":"Minoshima","given":"S","non-dropping-particle":"","parse-names":false,"suffix":""},{"dropping-particle":"","family":"Giordani","given":"B","non-dropping-particle":"","parse-names":false,"suffix":""},{"dropping-particle":"","family":"Berent","given":"S","non-dropping-particle":"","parse-names":false,"suffix":""},{"dropping-particle":"","family":"Frey","given":"K A","non-dropping-particle":"","parse-names":false,"suffix":""},{"dropping-particle":"","family":"Foster","given":"N L","non-dropping-particle":"","parse-names":false,"suffix":""},{"dropping-particle":"","family":"Kuhl","given":"D E","non-dropping-particle":"","parse-names":false,"suffix":""}],"container-title":"Annals of neurology","id":"ITEM-1","issue":"1","issued":{"date-parts":[["1997"]]},"page":"85-94","title":"Metabolic reduction in the posterior cingulate cortex in very early Alzheimer's disease.","type":"article-journal","volume":"42"},"uris":["http://www.mendeley.com/documents/?uuid=527364ee-cb0a-4a4c-85d6-27ea6e0ade93"]},{"id":"ITEM-2","itemData":{"DOI":"10.1002/ana.10669","ISSN":"0364-5134","PMID":"12953266","abstract":"The neural basis of the amnesia characterizing early Alzheimer's disease (AD) remains uncertain. Postmortem pathological studies have suggested early involvement of the mesial temporal lobe, whereas in vivo metabolic studies have shown hypometabolism of the posterior cingulate cortex. Using a technique that combined the anatomic precision of magnetic resonance imaging with positron emission tomography, we found severe reductions of metabolism throughout a network of limbic structures (the hippocampal complex, medial thalamus, mamillary bodies, and posterior cingulate) in patients with mild AD. We then studied a cohort with mild cognitive impairment in whom amnesia was the only cognitive abnormality and found comparable hypometabolism through the same network. The AD and mild cognitive impairment groups were differentiated, however, by changes outside this network, the former showing significant hypometabolism in amygdala and temporoparietal and frontal association cortex, whereas the latter did not. The amnesia of very early AD reflects severe but localized limbic dysfunction.","author":[{"dropping-particle":"","family":"Nestor","given":"Peter J","non-dropping-particle":"","parse-names":false,"suffix":""},{"dropping-particle":"","family":"Fryer","given":"Tim D","non-dropping-particle":"","parse-names":false,"suffix":""},{"dropping-particle":"","family":"Smielewski","given":"Peter","non-dropping-particle":"","parse-names":false,"suffix":""},{"dropping-particle":"","family":"Hodges","given":"John R","non-dropping-particle":"","parse-names":false,"suffix":""}],"container-title":"Annals of neurology","id":"ITEM-2","issue":"3","issued":{"date-parts":[["2003","9"]]},"page":"343-51","title":"Limbic hypometabolism in Alzheimer's disease and mild cognitive impairment.","type":"article-journal","volume":"54"},"uris":["http://www.mendeley.com/documents/?uuid=1627e0ef-2737-37c8-a77d-adec5f286c78"]}],"mendeley":{"formattedCitation":"(Minoshima &lt;i&gt;et al.&lt;/i&gt;, 1997; Nestor &lt;i&gt;et al.&lt;/i&gt;, 2003)","plainTextFormattedCitation":"(Minoshima et al., 1997; Nestor et al., 2003)","previouslyFormattedCitation":"(Minoshima &lt;i&gt;et al.&lt;/i&gt;, 1997; Nestor &lt;i&gt;et al.&lt;/i&gt;, 2003)"},"properties":{"noteIndex":0},"schema":"https://github.com/citation-style-language/schema/raw/master/csl-citation.json"}</w:instrText>
      </w:r>
      <w:r w:rsidR="005E77C9" w:rsidRPr="007E51FB">
        <w:fldChar w:fldCharType="separate"/>
      </w:r>
      <w:r w:rsidR="005E77C9" w:rsidRPr="007E51FB">
        <w:rPr>
          <w:noProof/>
        </w:rPr>
        <w:t xml:space="preserve">(Minoshima </w:t>
      </w:r>
      <w:r w:rsidR="005E77C9" w:rsidRPr="007E51FB">
        <w:rPr>
          <w:i/>
          <w:noProof/>
        </w:rPr>
        <w:t>et al.</w:t>
      </w:r>
      <w:r w:rsidR="005E77C9" w:rsidRPr="007E51FB">
        <w:rPr>
          <w:noProof/>
        </w:rPr>
        <w:t xml:space="preserve">, 1997; Nestor </w:t>
      </w:r>
      <w:r w:rsidR="005E77C9" w:rsidRPr="007E51FB">
        <w:rPr>
          <w:i/>
          <w:noProof/>
        </w:rPr>
        <w:t>et al.</w:t>
      </w:r>
      <w:r w:rsidR="005E77C9" w:rsidRPr="007E51FB">
        <w:rPr>
          <w:noProof/>
        </w:rPr>
        <w:t>, 2003)</w:t>
      </w:r>
      <w:r w:rsidR="005E77C9" w:rsidRPr="007E51FB">
        <w:fldChar w:fldCharType="end"/>
      </w:r>
      <w:r w:rsidR="00556924" w:rsidRPr="007E51FB">
        <w:t xml:space="preserve">, and </w:t>
      </w:r>
      <w:r w:rsidR="00D45E0F" w:rsidRPr="007E51FB">
        <w:t>ultimately affecting</w:t>
      </w:r>
      <w:r w:rsidR="00556924" w:rsidRPr="007E51FB">
        <w:t xml:space="preserve"> most cortical tissue.</w:t>
      </w:r>
      <w:r w:rsidR="00F11268" w:rsidRPr="007E51FB">
        <w:t xml:space="preserve"> Significant deficits in glucose metabolism </w:t>
      </w:r>
      <w:r w:rsidR="00556924" w:rsidRPr="007E51FB">
        <w:t>are</w:t>
      </w:r>
      <w:r w:rsidR="00F11268" w:rsidRPr="007E51FB">
        <w:t xml:space="preserve"> typically</w:t>
      </w:r>
      <w:r w:rsidR="00556924" w:rsidRPr="007E51FB">
        <w:t xml:space="preserve"> found in genetically at-risk individuals  </w:t>
      </w:r>
      <w:r w:rsidR="00556924" w:rsidRPr="007E51FB">
        <w:fldChar w:fldCharType="begin" w:fldLock="1"/>
      </w:r>
      <w:r w:rsidR="00005758" w:rsidRPr="007E51FB">
        <w:instrText>ADDIN CSL_CITATION {"citationItems":[{"id":"ITEM-1","itemData":{"DOI":"10.1001/2013.jamaneurol.286","ISBN":"2168-6157 (Electronic)\\r2168-6149 (Linking)","ISSN":"2168-6157","PMID":"23599929","abstract":"OBJECTIVE: To characterize and compare measurements of the posterior cingulate glucose metabolism, the hippocampal glucose metabolism, and hippocampal volume so as to distinguish cognitively normal, late-middle-aged persons with 2, 1, or 0 copies of the apolipoprotein E (APOE) epsilon4 allele, reflecting 3 levels of risk for late-onset Alzheimer disease. DESIGN: Cross-sectional comparison of measurements of cerebral glucose metabolism using 18F-fluorodeoxyglucose positron emission tomography and measurements of brain volume using magnetic resonance imaging in cognitively normal epsilon4 homozygotes, epsilon4 heterozygotes, and noncarriers. SETTING: Academic medical center. PARTICIPANTS: A total of 31 epsilon4 homozygotes, 42 epsilon4 heterozygotes, and 76 noncarriers, 49 to 67 years old, matched for sex, age, and educational level. MAIN OUTCOME MEASURES: The measurements of posterior cingulate and hippocampal glucose metabolism were characterized using automated region-of-interest algorithms and normalized for whole-brain measurements. The hippocampal volume measurements were characterized using a semiautomated algorithm and normalized for total intracranial volume. RESULTS: Although there were no significant differences among the 3 groups of participants in their clinical ratings, neuropsychological test scores, hippocampal volumes (P = .60), or hippocampal glucose metabolism measurements (P = .12), there were significant group differences in their posterior cingulate glucose metabolism measurements (P = .001). The APOE epsilon4 gene dose was significantly associated with posterior cingulate glucose metabolism (r = 0.29, P = .0003), and this association was significantly greater than those with hippocampal volume or hippocampal glucose metabolism (P &lt; .05, determined by use of pairwise Fisher z tests). CONCLUSIONS: Although our findings may depend in part on the analysis algorithms used, they suggest that a reduction in posterior cingulate glucose metabolism precedes a reduction in hippocampal volume or metabolism in cognitively normal persons at increased genetic risk for Alzheimer disease.","author":[{"dropping-particle":"","family":"Protas","given":"H D","non-dropping-particle":"","parse-names":false,"suffix":""},{"dropping-particle":"","family":"Chen","given":"K","non-dropping-particle":"","parse-names":false,"suffix":""},{"dropping-particle":"","family":"Langbaum","given":"J B","non-dropping-particle":"","parse-names":false,"suffix":""},{"dropping-particle":"","family":"Fleisher","given":"a S","non-dropping-particle":"","parse-names":false,"suffix":""},{"dropping-particle":"","family":"Alexander","given":"G E","non-dropping-particle":"","parse-names":false,"suffix":""},{"dropping-particle":"","family":"Lee","given":"W","non-dropping-particle":"","parse-names":false,"suffix":""},{"dropping-particle":"","family":"Bandy","given":"D","non-dropping-particle":"","parse-names":false,"suffix":""},{"dropping-particle":"","family":"Leon","given":"M J","non-dropping-particle":"de","parse-names":false,"suffix":""},{"dropping-particle":"","family":"Mosconi","given":"L","non-dropping-particle":"","parse-names":false,"suffix":""},{"dropping-particle":"","family":"Buckley","given":"S","non-dropping-particle":"","parse-names":false,"suffix":""},{"dropping-particle":"","family":"Truran-Sacrey","given":"D","non-dropping-particle":"","parse-names":false,"suffix":""},{"dropping-particle":"","family":"Schuff","given":"N","non-dropping-particle":"","parse-names":false,"suffix":""},{"dropping-particle":"","family":"Weiner","given":"M W","non-dropping-particle":"","parse-names":false,"suffix":""},{"dropping-particle":"","family":"Caselli","given":"R J","non-dropping-particle":"","parse-names":false,"suffix":""},{"dropping-particle":"","family":"Reiman","given":"E M","non-dropping-particle":"","parse-names":false,"suffix":""}],"container-title":"JAMA Neurol","id":"ITEM-1","issue":"3","issued":{"date-parts":[["2013"]]},"page":"320-325","title":"Posterior cingulate glucose metabolism, hippocampal glucose metabolism, and hippocampal volume in cognitively normal, late-middle-aged persons at 3 levels of genetic risk for Alzheimer disease","type":"article-journal","volume":"70"},"uris":["http://www.mendeley.com/documents/?uuid=8d5be5ae-cec5-4bf1-aa7a-cbebaa1ca986"]}],"mendeley":{"formattedCitation":"(Protas &lt;i&gt;et al.&lt;/i&gt;, 2013)","plainTextFormattedCitation":"(Protas et al., 2013)","previouslyFormattedCitation":"(Protas &lt;i&gt;et al.&lt;/i&gt;, 2013)"},"properties":{"noteIndex":0},"schema":"https://github.com/citation-style-language/schema/raw/master/csl-citation.json"}</w:instrText>
      </w:r>
      <w:r w:rsidR="00556924" w:rsidRPr="007E51FB">
        <w:fldChar w:fldCharType="separate"/>
      </w:r>
      <w:r w:rsidR="00CE6796" w:rsidRPr="007E51FB">
        <w:rPr>
          <w:noProof/>
        </w:rPr>
        <w:t xml:space="preserve">(Protas </w:t>
      </w:r>
      <w:r w:rsidR="00CE6796" w:rsidRPr="007E51FB">
        <w:rPr>
          <w:i/>
          <w:noProof/>
        </w:rPr>
        <w:t>et al.</w:t>
      </w:r>
      <w:r w:rsidR="00CE6796" w:rsidRPr="007E51FB">
        <w:rPr>
          <w:noProof/>
        </w:rPr>
        <w:t>, 2013)</w:t>
      </w:r>
      <w:r w:rsidR="00556924" w:rsidRPr="007E51FB">
        <w:fldChar w:fldCharType="end"/>
      </w:r>
      <w:r w:rsidR="00556924" w:rsidRPr="007E51FB">
        <w:t xml:space="preserve"> and is associated with clinical decline from MCI to AD </w:t>
      </w:r>
      <w:r w:rsidR="00556924" w:rsidRPr="007E51FB">
        <w:fldChar w:fldCharType="begin" w:fldLock="1"/>
      </w:r>
      <w:r w:rsidR="00005758" w:rsidRPr="007E51FB">
        <w:instrText>ADDIN CSL_CITATION {"citationItems":[{"id":"ITEM-1","itemData":{"DOI":"10.1007/s00259-003-1194-1","ISSN":"1619-7070","PMID":"12764551","abstract":"A high percentage of patients with mild cognitive impairment (MCI) develop clinical dementia of the Alzheimer type (AD) within 1 year. The aim of this longitudinal study was to identify characteristic patterns of cerebral metabolism at baseline in patients converting from MCI to AD, and to evaluate the changes in these patterns over time. Baseline and follow-up examinations after 1 year were performed in 22 MCI patients (12 males, 10 females, aged 69.8+/-5.8 years); these examinations included neuropsychological testing, structural cranial magnetic resonance imaging and fluorine-18 fluorodeoxyglucose positron emission tomography (PET) evaluation of relative cerebral glucose metabolic rate (rCMRglc). Individual PET scans were stereotactically normalised with NEUROSTAT software (Univ. of Michigan, Ann Arbor, USA). Subsequently, statistical comparison of PET data with an age-matched healthy control population and between patient subgroups was performed using SPM 99 (Wellcome Dept. of Neuroimaging Sciences, London, UK). After 1 year, eight patients (36%) had developed probable AD (referred to as MCI(AD)), whereas 12 (55%) were still classified as having stable MCI (referred to as MCI(MCI)). Compared with the healthy control group, a reduced rCMRglc in AD-typical regions, including the temporoparietal and posterior cingulate cortex, was detected at baseline in patients with MCI(AD). Abnormalities in the posterior cingulate cortex reached significance even in comparison with the MCI(MCI) group. After 1 year, MCI(AD) patients demonstrated an additional bilateral reduction of rCMRglc in prefrontal areas, along with a further progression of the abnormalities in the parietal and posterior cingulate cortex. No such changes were observed in the MCI(MCI) group. In patients with MCI, characteristic cerebral metabolic differences can be delineated at the time of initial presentation, which helps to define prognostic subgroups. A newly emerging reduction of rCMRglc in prefrontal cortical areas is associated with the transition from MCI to AD.","author":[{"dropping-particle":"","family":"Drzezga","given":"Alexander","non-dropping-particle":"","parse-names":false,"suffix":""},{"dropping-particle":"","family":"Lautenschlager","given":"Nicola","non-dropping-particle":"","parse-names":false,"suffix":""},{"dropping-particle":"","family":"Siebner","given":"Hartwig","non-dropping-particle":"","parse-names":false,"suffix":""},{"dropping-particle":"","family":"Riemenschneider","given":"Matthias","non-dropping-particle":"","parse-names":false,"suffix":""},{"dropping-particle":"","family":"Willoch","given":"Frode","non-dropping-particle":"","parse-names":false,"suffix":""},{"dropping-particle":"","family":"Minoshima","given":"Satoshi","non-dropping-particle":"","parse-names":false,"suffix":""},{"dropping-particle":"","family":"Schwaiger","given":"Markus","non-dropping-particle":"","parse-names":false,"suffix":""},{"dropping-particle":"","family":"Kurz","given":"Alexander","non-dropping-particle":"","parse-names":false,"suffix":""}],"container-title":"European Journal of Nuclear Medicine and Molecular Imaging","id":"ITEM-1","issue":"8","issued":{"date-parts":[["2003","8","1"]]},"page":"1104-1113","title":"Cerebral metabolic changes accompanying conversion of mild cognitive impairment into Alzheimer's disease: a PET follow-up study","type":"article-journal","volume":"30"},"uris":["http://www.mendeley.com/documents/?uuid=44b55623-e49d-3f15-a9fb-6e4e85d88201"]}],"mendeley":{"formattedCitation":"(Drzezga &lt;i&gt;et al.&lt;/i&gt;, 2003)","plainTextFormattedCitation":"(Drzezga et al., 2003)","previouslyFormattedCitation":"(Drzezga &lt;i&gt;et al.&lt;/i&gt;, 2003)"},"properties":{"noteIndex":0},"schema":"https://github.com/citation-style-language/schema/raw/master/csl-citation.json"}</w:instrText>
      </w:r>
      <w:r w:rsidR="00556924" w:rsidRPr="007E51FB">
        <w:fldChar w:fldCharType="separate"/>
      </w:r>
      <w:r w:rsidR="00CE6796" w:rsidRPr="007E51FB">
        <w:rPr>
          <w:noProof/>
        </w:rPr>
        <w:t xml:space="preserve">(Drzezga </w:t>
      </w:r>
      <w:r w:rsidR="00CE6796" w:rsidRPr="007E51FB">
        <w:rPr>
          <w:i/>
          <w:noProof/>
        </w:rPr>
        <w:t>et al.</w:t>
      </w:r>
      <w:r w:rsidR="00CE6796" w:rsidRPr="007E51FB">
        <w:rPr>
          <w:noProof/>
        </w:rPr>
        <w:t>, 2003)</w:t>
      </w:r>
      <w:r w:rsidR="00556924" w:rsidRPr="007E51FB">
        <w:fldChar w:fldCharType="end"/>
      </w:r>
      <w:r w:rsidR="00556924" w:rsidRPr="007E51FB">
        <w:t>. However, few studies have investigated levels of glucose metabolism in DS, yielding mixed findings across small samples that d</w:t>
      </w:r>
      <w:r w:rsidR="00C12D25" w:rsidRPr="007E51FB">
        <w:t>id</w:t>
      </w:r>
      <w:r w:rsidR="00556924" w:rsidRPr="007E51FB">
        <w:t xml:space="preserve"> not account for amyloid status </w:t>
      </w:r>
      <w:r w:rsidR="00556924" w:rsidRPr="007E51FB">
        <w:fldChar w:fldCharType="begin" w:fldLock="1"/>
      </w:r>
      <w:r w:rsidR="00005758" w:rsidRPr="007E51FB">
        <w:instrText>ADDIN CSL_CITATION {"citationItems":[{"id":"ITEM-1","itemData":{"DOI":"10.3233/JAD-170720","ISSN":"13872877","PMID":"29254096","abstract":"BACKGROUND The Down syndrome (DS) population is genetically predisposed to amyloid-β protein precursor overproduction and Alzheimer's disease (AD). OBJECTIVE The temporal ordering and spatial association between amyloid-β, glucose metabolism, and gray matter (GM) volume in the DS population can provide insight into those associations in the more common sporadic AD. METHODS Twenty-four adults (13 male, 11 female; 39±7 years) with DS underwent [11C]PiB, [18F]FDG, and volumetric MRI scans. Voxel-wise associations between PiB SUVR, FDG SUVR, and GM volume were investigated, with and without individual adjustments for variables of interest. RESULTS Positive associations of PiB and age were widespread throughout the neocortex and striatum. Negative associations of FDG and age (frontal, parietal, and temporal cortex) and of GM volume and age (frontal and insular cortex) were observed. PiB and FDG were negatively associated in parietal cortex, after adjustment for GM volume. CONCLUSIONS In adults with DS, early amyloid-β accumulation in the striatum is divergent from sporadic AD; however, despite the early striatal amyloid-β, glucose hypometabolism was confined to the typical AD-associated regions, which occurs similarly in autosomal dominant AD. Importantly, the glucose hypometabolism was not explained solely by increased partial volume effect due to GM volume reductions.","author":[{"dropping-particle":"","family":"Lao","given":"Patrick J.","non-dropping-particle":"","parse-names":false,"suffix":""},{"dropping-particle":"","family":"Handen","given":"Ben L.","non-dropping-particle":"","parse-names":false,"suffix":""},{"dropping-particle":"","family":"Betthauser","given":"Tobey J.","non-dropping-particle":"","parse-names":false,"suffix":""},{"dropping-particle":"","family":"Mihaila","given":"Iulia","non-dropping-particle":"","parse-names":false,"suffix":""},{"dropping-particle":"","family":"Hartley","given":"Sigan L.","non-dropping-particle":"","parse-names":false,"suffix":""},{"dropping-particle":"","family":"Cohen","given":"Annie D.","non-dropping-particle":"","parse-names":false,"suffix":""},{"dropping-particle":"","family":"Tudorascu","given":"Dana L.","non-dropping-particle":"","parse-names":false,"suffix":""},{"dropping-particle":"","family":"Bulova","given":"Peter D.","non-dropping-particle":"","parse-names":false,"suffix":""},{"dropping-particle":"","family":"Lopresti","given":"Brian J.","non-dropping-particle":"","parse-names":false,"suffix":""},{"dropping-particle":"V.","family":"Tumuluru","given":"Rameshwari","non-dropping-particle":"","parse-names":false,"suffix":""},{"dropping-particle":"","family":"Murali","given":"Dhanabalan","non-dropping-particle":"","parse-names":false,"suffix":""},{"dropping-particle":"","family":"Mathis","given":"Chester A.","non-dropping-particle":"","parse-names":false,"suffix":""},{"dropping-particle":"","family":"Barnhart","given":"Todd E.","non-dropping-particle":"","parse-names":false,"suffix":""},{"dropping-particle":"","family":"Stone","given":"Charles K.","non-dropping-particle":"","parse-names":false,"suffix":""},{"dropping-particle":"","family":"Price","given":"Julie C.","non-dropping-particle":"","parse-names":false,"suffix":""},{"dropping-particle":"","family":"Devenny","given":"Darlynne A.","non-dropping-particle":"","parse-names":false,"suffix":""},{"dropping-particle":"","family":"Johnson","given":"Sterling C.","non-dropping-particle":"","parse-names":false,"suffix":""},{"dropping-particle":"","family":"Klunk","given":"William E.","non-dropping-particle":"","parse-names":false,"suffix":""},{"dropping-particle":"","family":"Christian","given":"Bradley T.","non-dropping-particle":"","parse-names":false,"suffix":""}],"container-title":"Journal of Alzheimer's Disease","editor":[{"dropping-particle":"","family":"Head","given":"Elizabeth","non-dropping-particle":"","parse-names":false,"suffix":""}],"id":"ITEM-1","issue":"2","issued":{"date-parts":[["2017","12","19"]]},"page":"631-644","title":"Alzheimer-Like Pattern of Hypometabolism Emerges with Elevated Amyloid-β Burden in Down Syndrome","type":"article-journal","volume":"61"},"uris":["http://www.mendeley.com/documents/?uuid=2fa8d8cd-a516-32b4-a526-c59213e3bbfd"]},{"id":"ITEM-2","itemData":{"DOI":"10.1038/jcbfm.1990.35","ISSN":"0271-678X","PMID":"2137464","abstract":"Regional CMRglc (rCMRglc) values were measured with [18F]2-fluoro-2-deoxy-D-glucose (18FDG) and positron emission tomography (PET), using a Scanditronix PC-1024-7B scanner, in 14 healthy, noninstitutionalized subjects with trisomy 21 (Down syndrome; DS) (mean age 30.0 years, range 25-38 years) and in 13 sex-matched, healthy volunteers (mean age 29.5 years, range 22-38 years). In the DS group, mean mental age on the Peabody Picture Vocabulary Test was 7.8 years and dementia was not present. Resting rCMRglc was determined with eyes covered and ears occluded in a quiet, darkened room. Global gray CMRglc equaled 8.76 +/- 0.76 mg/100 g/min (mean +/- SD) in the DS group as compared with 8.74 +/- 1.19 mg/100 g/min in the control group (p greater than 0.05). Gray matter regional measurements also did not differ between groups. The ratio of rCMRglc to global CMRglc, calculated to reduce the variance associated with absolute rCMRglc, and right/left ratios did not show any consistent differences. These results show that healthy young DS adults do not have alterations in regional or global brain glucose metabolism, as measured with 18FDG and PET, prior to an age at which the neuropathological changes in Alzheimer disease are reported to occur.","author":[{"dropping-particle":"","family":"Schapiro","given":"Mark B.","non-dropping-particle":"","parse-names":false,"suffix":""},{"dropping-particle":"","family":"Grady","given":"Cheryl L.","non-dropping-particle":"","parse-names":false,"suffix":""},{"dropping-particle":"","family":"Kumar","given":"Anand","non-dropping-particle":"","parse-names":false,"suffix":""},{"dropping-particle":"","family":"Herscovitch","given":"Peter","non-dropping-particle":"","parse-names":false,"suffix":""},{"dropping-particle":"V.","family":"Haxby","given":"James","non-dropping-particle":"","parse-names":false,"suffix":""},{"dropping-particle":"","family":"Moore","given":"Angela M.","non-dropping-particle":"","parse-names":false,"suffix":""},{"dropping-particle":"","family":"White","given":"Beverly","non-dropping-particle":"","parse-names":false,"suffix":""},{"dropping-particle":"","family":"Friedland","given":"Robert P.","non-dropping-particle":"","parse-names":false,"suffix":""},{"dropping-particle":"","family":"Rapoport","given":"Stanley I.","non-dropping-particle":"","parse-names":false,"suffix":""}],"container-title":"Journal of Cerebral Blood Flow &amp; Metabolism","id":"ITEM-2","issue":"2","issued":{"date-parts":[["1990","3","28"]]},"page":"199-206","title":"Regional Cerebral Glucose Metabolism is Normal in Young Adults with down Syndrome","type":"article-journal","volume":"10"},"uris":["http://www.mendeley.com/documents/?uuid=e890d7b4-ceb1-3c04-b4c0-eb361293ba7f"]}],"mendeley":{"formattedCitation":"(Schapiro &lt;i&gt;et al.&lt;/i&gt;, 1990, Lao &lt;i&gt;et al.&lt;/i&gt;, 2017&lt;i&gt;b&lt;/i&gt;)","plainTextFormattedCitation":"(Schapiro et al., 1990, Lao et al., 2017b)","previouslyFormattedCitation":"(Schapiro &lt;i&gt;et al.&lt;/i&gt;, 1990, Lao &lt;i&gt;et al.&lt;/i&gt;, 2017&lt;i&gt;b&lt;/i&gt;)"},"properties":{"noteIndex":0},"schema":"https://github.com/citation-style-language/schema/raw/master/csl-citation.json"}</w:instrText>
      </w:r>
      <w:r w:rsidR="00556924" w:rsidRPr="007E51FB">
        <w:fldChar w:fldCharType="separate"/>
      </w:r>
      <w:r w:rsidR="00CE6796" w:rsidRPr="007E51FB">
        <w:rPr>
          <w:noProof/>
        </w:rPr>
        <w:t xml:space="preserve">(Schapiro </w:t>
      </w:r>
      <w:r w:rsidR="00CE6796" w:rsidRPr="007E51FB">
        <w:rPr>
          <w:i/>
          <w:noProof/>
        </w:rPr>
        <w:t>et al.</w:t>
      </w:r>
      <w:r w:rsidR="00CE6796" w:rsidRPr="007E51FB">
        <w:rPr>
          <w:noProof/>
        </w:rPr>
        <w:t xml:space="preserve">, 1990, Lao </w:t>
      </w:r>
      <w:r w:rsidR="00CE6796" w:rsidRPr="007E51FB">
        <w:rPr>
          <w:i/>
          <w:noProof/>
        </w:rPr>
        <w:t>et al.</w:t>
      </w:r>
      <w:r w:rsidR="00CE6796" w:rsidRPr="007E51FB">
        <w:rPr>
          <w:noProof/>
        </w:rPr>
        <w:t>, 2017</w:t>
      </w:r>
      <w:r w:rsidR="00CE6796" w:rsidRPr="007E51FB">
        <w:rPr>
          <w:i/>
          <w:noProof/>
        </w:rPr>
        <w:t>b</w:t>
      </w:r>
      <w:r w:rsidR="00CE6796" w:rsidRPr="007E51FB">
        <w:rPr>
          <w:noProof/>
        </w:rPr>
        <w:t>)</w:t>
      </w:r>
      <w:r w:rsidR="00556924" w:rsidRPr="007E51FB">
        <w:fldChar w:fldCharType="end"/>
      </w:r>
      <w:r w:rsidR="00556924" w:rsidRPr="007E51FB">
        <w:t>.</w:t>
      </w:r>
    </w:p>
    <w:p w14:paraId="17C49A12" w14:textId="77777777" w:rsidR="00556924" w:rsidRPr="007E51FB" w:rsidRDefault="00556924" w:rsidP="00E84C28">
      <w:pPr>
        <w:tabs>
          <w:tab w:val="left" w:pos="3428"/>
        </w:tabs>
        <w:spacing w:line="360" w:lineRule="auto"/>
        <w:jc w:val="both"/>
        <w:outlineLvl w:val="0"/>
      </w:pPr>
    </w:p>
    <w:p w14:paraId="6C575FE1" w14:textId="7FA4DBFB" w:rsidR="00556924" w:rsidRPr="007E51FB" w:rsidRDefault="00556924" w:rsidP="00E84C28">
      <w:pPr>
        <w:tabs>
          <w:tab w:val="left" w:pos="3428"/>
        </w:tabs>
        <w:spacing w:line="360" w:lineRule="auto"/>
        <w:jc w:val="both"/>
        <w:outlineLvl w:val="0"/>
      </w:pPr>
      <w:r w:rsidRPr="007E51FB">
        <w:t xml:space="preserve">The scarcity of studies on glucose metabolism relative to </w:t>
      </w:r>
      <w:bookmarkStart w:id="26" w:name="OLE_LINK13"/>
      <w:bookmarkStart w:id="27" w:name="OLE_LINK14"/>
      <w:r w:rsidRPr="007E51FB">
        <w:t xml:space="preserve">Aβ </w:t>
      </w:r>
      <w:bookmarkEnd w:id="26"/>
      <w:bookmarkEnd w:id="27"/>
      <w:r w:rsidRPr="007E51FB">
        <w:t xml:space="preserve">accumulation and cortical atrophy is most likely due to the </w:t>
      </w:r>
      <w:bookmarkStart w:id="28" w:name="OLE_LINK51"/>
      <w:bookmarkStart w:id="29" w:name="OLE_LINK58"/>
      <w:r w:rsidRPr="007E51FB">
        <w:t>prohibitive study costs and cumulative radiation exposure inherent in multi-PET tracer study designs (i.e. [</w:t>
      </w:r>
      <w:r w:rsidRPr="007E51FB">
        <w:rPr>
          <w:vertAlign w:val="superscript"/>
        </w:rPr>
        <w:t>11</w:t>
      </w:r>
      <w:r w:rsidRPr="007E51FB">
        <w:t>C]-PiB and [</w:t>
      </w:r>
      <w:r w:rsidRPr="007E51FB">
        <w:rPr>
          <w:vertAlign w:val="superscript"/>
        </w:rPr>
        <w:t>18</w:t>
      </w:r>
      <w:r w:rsidRPr="007E51FB">
        <w:t xml:space="preserve">F]-FDG PET imaging). The issue of participant overburden is also </w:t>
      </w:r>
      <w:r w:rsidR="00C95241">
        <w:t>pertinent</w:t>
      </w:r>
      <w:r w:rsidRPr="007E51FB">
        <w:t xml:space="preserve"> in study samples of participants with intellectual disabilities. </w:t>
      </w:r>
      <w:r w:rsidR="00C12D25" w:rsidRPr="007E51FB">
        <w:t>T</w:t>
      </w:r>
      <w:r w:rsidRPr="007E51FB">
        <w:t>o circumvent these obstacles, several groups have</w:t>
      </w:r>
      <w:r w:rsidR="00560C3C">
        <w:t xml:space="preserve"> successfully </w:t>
      </w:r>
      <w:r w:rsidRPr="007E51FB">
        <w:t>validated the relative tracer delivery (R</w:t>
      </w:r>
      <w:r w:rsidRPr="007E51FB">
        <w:rPr>
          <w:vertAlign w:val="subscript"/>
        </w:rPr>
        <w:t>1</w:t>
      </w:r>
      <w:r w:rsidRPr="007E51FB">
        <w:t>) of [</w:t>
      </w:r>
      <w:r w:rsidRPr="007E51FB">
        <w:rPr>
          <w:vertAlign w:val="superscript"/>
        </w:rPr>
        <w:t>11</w:t>
      </w:r>
      <w:r w:rsidRPr="007E51FB">
        <w:t xml:space="preserve">C]-PiB as a proxy of cerebral blood flow </w:t>
      </w:r>
      <w:r w:rsidRPr="007E51FB">
        <w:fldChar w:fldCharType="begin" w:fldLock="1"/>
      </w:r>
      <w:r w:rsidR="00005758" w:rsidRPr="007E51FB">
        <w:instrText>ADDIN CSL_CITATION {"citationItems":[{"id":"ITEM-1","itemData":{"DOI":"10.2967/jnumed.110.083683","ISSN":"0161-5505","abstract":"PET studies with biomarkers of regional neuronal activity (cerebral glucose metabolism or blood flow [CBF]) and amyloid-β (Aβ) depositions provide complementary information for the early diagnosis of dementia and follow-up of patients with dementia. We investigated the validity of relative regional CBF estimates (R 1 ) gained from pharmacokinetic analyses of  11 C-labeled Pittsburgh compound B ( 11 C-PIB) PET studies as a marker of neuronal activity and neurodegeneration. Methods: Twenty-two patients with cognitive impairment (16 patients with early Alzheimer disease) underwent  18 F-FDG and  11 C-PIB PET studies for the assessment of regional glucose metabolism and Aβ load. Parametric images of R 1  (relative CBF) and binding potential (BP ND ; Aβ load) were generated by 2-step simplified reference tissue model (SRTM2) analyses of dynamic  11 C-PIB data. Volume-of-interest and voxel-based statistical analyses were performed to investigate the association between normalized  18 F-FDG uptake and  11 C-PIB R 1  and the correlation of these measures with symptom severity (Mini-Mental State Examination [MMSE] scores) in patients with Alzheimer disease. Results: SRTM2 analyses provided high-quality  11 C-PIB R 1  images that were comparable to  18 F-FDG PET images. Regional  11 C-PIB R  1  values strongly correlated with normalized regional  18 F-FDG uptake when correlations were calculated separately for each patient (R 2  [mean ± SD], 0.73 ± 0.11) or across all regions of all patients (R 2 , 0.62). A regression model including  18 F-FDG uptake, subject identification, and region grouping (into cortical, subcortical, and limbic regions to allow for possible differences in flow/metabolism coupling) accounted for 86% of total  11 C-PIB R  1  variability. Voxel-based correlation analyses of  18 F-FDG uptake and  11 C-PIB R 1  with MMSE scores revealed similar core findings of positive correlations in the posterior cingulate gyrus/precuneus and negative correlations (preserved activity) in the bilateral sensorimotor cortex. There was no correlation between Aβ load (BP  ND ) and MMSE scores. Conclusion: These results strongly suggest that  11 C-PIB R 1  can serve as a complementary biomarker of neuronal activity and, thus, neurodegeneration in addition to Aβ load given by  11 C-PIB BP ND . Further studies are needed to validate the diagnostic value of dual-biomarker  11 C-PIB PET studies in comparison with combined  18 F-FDG and  11 C-PIB PET studies. Compared w…","author":[{"dropping-particle":"","family":"Meyer","given":"P. T.","non-dropping-particle":"","parse-names":false,"suffix":""},{"dropping-particle":"","family":"Hellwig","given":"S.","non-dropping-particle":"","parse-names":false,"suffix":""},{"dropping-particle":"","family":"Amtage","given":"F.","non-dropping-particle":"","parse-names":false,"suffix":""},{"dropping-particle":"","family":"Rottenburger","given":"C.","non-dropping-particle":"","parse-names":false,"suffix":""},{"dropping-particle":"","family":"Sahm","given":"U.","non-dropping-particle":"","parse-names":false,"suffix":""},{"dropping-particle":"","family":"Reuland","given":"P.","non-dropping-particle":"","parse-names":false,"suffix":""},{"dropping-particle":"","family":"Weber","given":"W. A.","non-dropping-particle":"","parse-names":false,"suffix":""},{"dropping-particle":"","family":"Hull","given":"M.","non-dropping-particle":"","parse-names":false,"suffix":""}],"container-title":"Journal of Nuclear Medicine","id":"ITEM-1","issue":"3","issued":{"date-parts":[["2011"]]},"page":"393-400","title":"Dual-Biomarker Imaging of Regional Cerebral Amyloid Load and Neuronal Activity in Dementia with PET and 11C-Labeled Pittsburgh Compound B","type":"article-journal","volume":"52"},"uris":["http://www.mendeley.com/documents/?uuid=eaed0cdc-3e67-4dba-af02-60d4bcb4fc2f"]},{"id":"ITEM-2","itemData":{"DOI":"10.1016/j.dadm.2018.08.012","ISSN":"23528729","abstract":"Introduction: 18F-fluorodeoxyglucose (FDG) positron emission tomography (PET) is commonly used to estimate neuronal injury in Alzheimer's disease (AD). Here, we evaluate the utility of dynamic PET measures of perfusion using 11C-Pittsburgh compound B (PiB) to estimate neuronal injury in comparison to FDG PET. Methods: FDG, early frames of PiB images, and relative PiB delivery rate constants (PiB-R1) were obtained from 110 participants from the Dominantly Inherited Alzheimer Network. Voxelwise, regional cross-sectional, and longitudinal analyses were done to evaluate the correlation between images and estimate the relationship of the imaging biomarkers with estimated time to disease progression based on family history. Results: Metabolism and perfusion images were spatially correlated. Regional PiB-R1 values and FDG, but not early frames of PiB images, significantly decreased in the mutation carriers with estimated year to onset and with increasing dementia severity. Discussion: Hypometabolism estimated by PiB-R1 may provide a measure of brain perfusion without increasing radiation exposure.","author":[{"dropping-particle":"","family":"Joseph-Mathurin","given":"Nelly","non-dropping-particle":"","parse-names":false,"suffix":""},{"dropping-particle":"","family":"Su","given":"Yi","non-dropping-particle":"","parse-names":false,"suffix":""},{"dropping-particle":"","family":"Blazey","given":"Tyler M.","non-dropping-particle":"","parse-names":false,"suffix":""},{"dropping-particle":"","family":"Jasielec","given":"Mateusz","non-dropping-particle":"","parse-names":false,"suffix":""},{"dropping-particle":"","family":"Vlassenko","given":"Andrei","non-dropping-particle":"","parse-names":false,"suffix":""},{"dropping-particle":"","family":"Friedrichsen","given":"Karl","non-dropping-particle":"","parse-names":false,"suffix":""},{"dropping-particle":"","family":"Gordon","given":"Brian A.","non-dropping-particle":"","parse-names":false,"suffix":""},{"dropping-particle":"","family":"Hornbeck","given":"Russ C.","non-dropping-particle":"","parse-names":false,"suffix":""},{"dropping-particle":"","family":"Cash","given":"Lisa","non-dropping-particle":"","parse-names":false,"suffix":""},{"dropping-particle":"","family":"Ances","given":"Beau M.","non-dropping-particle":"","parse-names":false,"suffix":""},{"dropping-particle":"","family":"Veale","given":"Thomas","non-dropping-particle":"","parse-names":false,"suffix":""},{"dropping-particle":"","family":"Cash","given":"David M.","non-dropping-particle":"","parse-names":false,"suffix":""},{"dropping-particle":"","family":"Brickman","given":"Adam M.","non-dropping-particle":"","parse-names":false,"suffix":""},{"dropping-particle":"","family":"Buckles","given":"Virginia","non-dropping-particle":"","parse-names":false,"suffix":""},{"dropping-particle":"","family":"Cairns","given":"Nigel J.","non-dropping-particle":"","parse-names":false,"suffix":""},{"dropping-particle":"","family":"Cruchaga","given":"Carlos","non-dropping-particle":"","parse-names":false,"suffix":""},{"dropping-particle":"","family":"Goate","given":"Alison","non-dropping-particle":"","parse-names":false,"suffix":""},{"dropping-particle":"","family":"Jack","given":"Clifford R.","non-dropping-particle":"","parse-names":false,"suffix":""},{"dropping-particle":"","family":"Karch","given":"Celeste","non-dropping-particle":"","parse-names":false,"suffix":""},{"dropping-particle":"","family":"Klunk","given":"William","non-dropping-particle":"","parse-names":false,"suffix":""},{"dropping-particle":"","family":"Koeppe","given":"Robert A.","non-dropping-particle":"","parse-names":false,"suffix":""},{"dropping-particle":"","family":"Marcus","given":"Daniel S.","non-dropping-particle":"","parse-names":false,"suffix":""},{"dropping-particle":"","family":"Mayeux","given":"Richard","non-dropping-particle":"","parse-names":false,"suffix":""},{"dropping-particle":"","family":"McDade","given":"Eric","non-dropping-particle":"","parse-names":false,"suffix":""},{"dropping-particle":"","family":"Noble","given":"James M.","non-dropping-particle":"","parse-names":false,"suffix":""},{"dropping-particle":"","family":"Ringman","given":"John","non-dropping-particle":"","parse-names":false,"suffix":""},{"dropping-particle":"","family":"Saykin","given":"Andrew J.","non-dropping-particle":"","parse-names":false,"suffix":""},{"dropping-particle":"","family":"Thompson","given":"Paul M.","non-dropping-particle":"","parse-names":false,"suffix":""},{"dropping-particle":"","family":"Xiong","given":"Chengjie","non-dropping-particle":"","parse-names":false,"suffix":""},{"dropping-particle":"","family":"Morris","given":"John C.","non-dropping-particle":"","parse-names":false,"suffix":""},{"dropping-particle":"","family":"Bateman","given":"Randall J.","non-dropping-particle":"","parse-names":false,"suffix":""},{"dropping-particle":"","family":"Benzinger","given":"Tammie L.S.","non-dropping-particle":"","parse-names":false,"suffix":""}],"container-title":"Alzheimer's and Dementia: Diagnosis, Assessment and Disease Monitoring","id":"ITEM-2","issued":{"date-parts":[["2018"]]},"page":"669-677","title":"Utility of perfusion PET measures to assess neuronal injury in Alzheimer's disease","type":"article-journal","volume":"10"},"uris":["http://www.mendeley.com/documents/?uuid=7af6b85d-c08a-4fcf-80db-5492d18a042d"]},{"id":"ITEM-3","itemData":{"DOI":"10.2967/jnumed.114.152405","ISBN":"0161-5505","ISSN":"01615505","PMID":"26045309","abstract":"The primary goal of this study was to assess the suitability of 11C-Pittsburgh compound B (11C-PiB) blood–brain barrier delivery (K1) and relative delivery (R1) parameters as surrogate indices of cerebral blood flow (CBF), with a secondary goal of directly examining the extent to which simplified uptake measures of 11C-PiB retention (amyloid-β load) may be influenced by CBF, in a cohort of controls and patients with mild cognitive impairment (MCI) and Alzheimer disease (AD). Methods: Nineteen participants (6 controls, 5 AD, 8 MCI) underwent MR imaging, 15O-water PET, and 11C-PiB PET in a single session. Fourteen regions of interest (including cerebellar reference region) were defined on MR imaging and applied to dynamic coregistered PET to generate time–activity curves. Multiple analysis approaches provided regional 15O-water and 11C-PiB measures of delivery and 11C-PiB retention that included compartmental modeling distribution volume ratio (DVR), arterial- and reference-based Logan DVR, simplified reference tissue modeling 2 (SRTM2) DVR, and standardized uptake value ratios. Spearman correlation was performed among delivery measures (i.e., 15O-water K1 and 11C-PiB K1, relative K1 normalized to cerebellum [Rel-K1-Water and Rel-K1-PiB], and 11C-PiB SRTM2-R1) and between delivery measures and 11C-PiB retention, using the Bonferroni method for multiple-comparison correction. Results: Primary analysis showed positive correlations (ρ ≈0.2–0.5) between 15O-water K1 and 11C-PiB K1 that did not survive Bonferroni adjustment. Significant positive correlations were found between Rel-K1-Water and Rel-K1-PiB and between Rel-K1-Water and 11C-PiB SRTM2-R1 (ρ ≈0.5–0.8, P &lt; 0.0036) across primary cortical regions. Secondary analysis showed few significant correlations between 11C-PiB retention and relative 11C-PiB delivery measures (but not 15O-water delivery measures) in primary cortical areas that arose only after accounting for cerebrospinal fluid dilution. Conclusion: 11C-PiB SRTM2-R1 is highly correlated with regional relative CBF, as measured by 15O-water K1 normalized to cerebellum, and cross-sectional 11C-PiB retention did not strongly depend on CBF across primary cortical regions. These results provide further support for potential dual-imaging assessments of regional brain status (i.e., amyloid-β load and relative CBF) through dynamic 11C-PiB imaging.","author":[{"dropping-particle":"","family":"Chen","given":"Yin J","non-dropping-particle":"","parse-names":false,"suffix":""},{"dropping-particle":"","family":"Rosario","given":"Bedda L","non-dropping-particle":"","parse-names":false,"suffix":""},{"dropping-particle":"","family":"Mowrey","given":"Wenzhu","non-dropping-particle":"","parse-names":false,"suffix":""},{"dropping-particle":"","family":"Laymon","given":"Charles M","non-dropping-particle":"","parse-names":false,"suffix":""},{"dropping-particle":"","family":"Lu","given":"Xueling","non-dropping-particle":"","parse-names":false,"suffix":""},{"dropping-particle":"","family":"Lopez","given":"Oscar L","non-dropping-particle":"","parse-names":false,"suffix":""},{"dropping-particle":"","family":"Klunk","given":"William E","non-dropping-particle":"","parse-names":false,"suffix":""},{"dropping-particle":"","family":"Lopresti","given":"Brian J","non-dropping-particle":"","parse-names":false,"suffix":""},{"dropping-particle":"","family":"Mathis","given":"Chester A","non-dropping-particle":"","parse-names":false,"suffix":""},{"dropping-particle":"","family":"Price","given":"Julie C","non-dropping-particle":"","parse-names":false,"suffix":""}],"container-title":"Journal of Nuclear Medicine","id":"ITEM-3","issue":"8","issued":{"date-parts":[["2015"]]},"page":"1199-1205","title":"Relative 11C-PiB Delivery as a Proxy of Relative CBF: Quantitative Evaluation Using Single-Session 15O-Water and 11C-PiB PET","type":"article-journal","volume":"56"},"uris":["http://www.mendeley.com/documents/?uuid=6e85a6a9-6762-473e-ac86-45c92e372f9a"]}],"mendeley":{"formattedCitation":"(Meyer &lt;i&gt;et al.&lt;/i&gt;, 2011; Chen &lt;i&gt;et al.&lt;/i&gt;, 2015; Joseph-Mathurin &lt;i&gt;et al.&lt;/i&gt;, 2018)","plainTextFormattedCitation":"(Meyer et al., 2011; Chen et al., 2015; Joseph-Mathurin et al., 2018)","previouslyFormattedCitation":"(Meyer &lt;i&gt;et al.&lt;/i&gt;, 2011; Chen &lt;i&gt;et al.&lt;/i&gt;, 2015; Joseph-Mathurin &lt;i&gt;et al.&lt;/i&gt;, 2018)"},"properties":{"noteIndex":0},"schema":"https://github.com/citation-style-language/schema/raw/master/csl-citation.json"}</w:instrText>
      </w:r>
      <w:r w:rsidRPr="007E51FB">
        <w:fldChar w:fldCharType="separate"/>
      </w:r>
      <w:r w:rsidR="00CE6796" w:rsidRPr="007E51FB">
        <w:rPr>
          <w:noProof/>
        </w:rPr>
        <w:t xml:space="preserve">(Meyer </w:t>
      </w:r>
      <w:r w:rsidR="00CE6796" w:rsidRPr="007E51FB">
        <w:rPr>
          <w:i/>
          <w:noProof/>
        </w:rPr>
        <w:t>et al.</w:t>
      </w:r>
      <w:r w:rsidR="00CE6796" w:rsidRPr="007E51FB">
        <w:rPr>
          <w:noProof/>
        </w:rPr>
        <w:t xml:space="preserve">, 2011; Chen </w:t>
      </w:r>
      <w:r w:rsidR="00CE6796" w:rsidRPr="007E51FB">
        <w:rPr>
          <w:i/>
          <w:noProof/>
        </w:rPr>
        <w:t>et al.</w:t>
      </w:r>
      <w:r w:rsidR="00CE6796" w:rsidRPr="007E51FB">
        <w:rPr>
          <w:noProof/>
        </w:rPr>
        <w:t xml:space="preserve">, 2015; Joseph-Mathurin </w:t>
      </w:r>
      <w:r w:rsidR="00CE6796" w:rsidRPr="007E51FB">
        <w:rPr>
          <w:i/>
          <w:noProof/>
        </w:rPr>
        <w:t>et al.</w:t>
      </w:r>
      <w:r w:rsidR="00CE6796" w:rsidRPr="007E51FB">
        <w:rPr>
          <w:noProof/>
        </w:rPr>
        <w:t>, 2018)</w:t>
      </w:r>
      <w:r w:rsidRPr="007E51FB">
        <w:fldChar w:fldCharType="end"/>
      </w:r>
      <w:r w:rsidRPr="007E51FB">
        <w:t xml:space="preserve">, a process that is tightly coupled with glucose metabolism </w:t>
      </w:r>
      <w:r w:rsidRPr="007E51FB">
        <w:fldChar w:fldCharType="begin" w:fldLock="1"/>
      </w:r>
      <w:r w:rsidR="00005758" w:rsidRPr="007E51FB">
        <w:instrText>ADDIN CSL_CITATION {"citationItems":[{"id":"ITEM-1","itemData":{"DOI":"10.1038/jcbfm.2009.188","ISSN":"0271678X","abstract":"Cerebral blood flow (CBF) and cerebral metabolic rate are normally coupled, that is an increase in metabolic demand will lead to an increase in flow. However, during functional activation, CBF and glucose metabolism remain coupled as they increase in proportion, whereas oxygen metabolism only increases to a minor degree-the so-called uncoupling of CBF and oxidative metabolism. Several studies have dealt with these issues, and theories have been forwarded regarding the underlying mechanisms. Some reports have speculated about the existence of a potentially deficient oxygen supply to the tissue most distant from the capillaries, whereas other studies point to a shift toward a higher degree of non-oxidative glucose consumption during activation. In this review, we argue that the key mechanism responsible for the regional CBF (rCBF) increase during functional activation is a tight coupling between rCBF and glucose metabolism. We assert that uncoupling of rCBF and oxidative metabolism is a consequence of a less pronounced increase in oxygen consumption. On the basis of earlier studies, we take into consideration the functional recruitment of capillaries and attempt to accommodate the cerebral tissue's increased demand for glucose supply during neural activation with recent evidence supporting a key function for astrocytes in rCBF regulation.","author":[{"dropping-particle":"","family":"Paulson","given":"Olaf B.","non-dropping-particle":"","parse-names":false,"suffix":""},{"dropping-particle":"","family":"Hasselbalch","given":"Steen G.","non-dropping-particle":"","parse-names":false,"suffix":""},{"dropping-particle":"","family":"Rostrup","given":"Egill","non-dropping-particle":"","parse-names":false,"suffix":""},{"dropping-particle":"","family":"Knudsen","given":"Gitte Moos","non-dropping-particle":"","parse-names":false,"suffix":""},{"dropping-particle":"","family":"Pelligrino","given":"Dale","non-dropping-particle":"","parse-names":false,"suffix":""}],"container-title":"Journal of Cerebral Blood Flow and Metabolism","id":"ITEM-1","issue":"1","issued":{"date-parts":[["2010"]]},"page":"2-14","publisher":"Nature Publishing Group","title":"Cerebral blood flow response to functional activation","type":"article-journal","volume":"30"},"uris":["http://www.mendeley.com/documents/?uuid=48b33b60-ce57-4a31-9188-0178d198524a"]}],"mendeley":{"formattedCitation":"(Paulson &lt;i&gt;et al.&lt;/i&gt;, 2010)","plainTextFormattedCitation":"(Paulson et al., 2010)","previouslyFormattedCitation":"(Paulson &lt;i&gt;et al.&lt;/i&gt;, 2010)"},"properties":{"noteIndex":0},"schema":"https://github.com/citation-style-language/schema/raw/master/csl-citation.json"}</w:instrText>
      </w:r>
      <w:r w:rsidRPr="007E51FB">
        <w:fldChar w:fldCharType="separate"/>
      </w:r>
      <w:r w:rsidR="00CE6796" w:rsidRPr="007E51FB">
        <w:rPr>
          <w:noProof/>
        </w:rPr>
        <w:t xml:space="preserve">(Paulson </w:t>
      </w:r>
      <w:r w:rsidR="00CE6796" w:rsidRPr="007E51FB">
        <w:rPr>
          <w:i/>
          <w:noProof/>
        </w:rPr>
        <w:t>et al.</w:t>
      </w:r>
      <w:r w:rsidR="00CE6796" w:rsidRPr="007E51FB">
        <w:rPr>
          <w:noProof/>
        </w:rPr>
        <w:t>, 2010)</w:t>
      </w:r>
      <w:r w:rsidRPr="007E51FB">
        <w:fldChar w:fldCharType="end"/>
      </w:r>
      <w:r w:rsidRPr="007E51FB">
        <w:t xml:space="preserve">. </w:t>
      </w:r>
      <w:r w:rsidR="00A2580D">
        <w:t xml:space="preserve">In addition, </w:t>
      </w:r>
      <w:r w:rsidR="00904FB2">
        <w:t xml:space="preserve">a </w:t>
      </w:r>
      <w:r w:rsidRPr="007E51FB">
        <w:t xml:space="preserve">study </w:t>
      </w:r>
      <w:bookmarkEnd w:id="28"/>
      <w:bookmarkEnd w:id="29"/>
      <w:r w:rsidR="004C228B">
        <w:t xml:space="preserve">from the </w:t>
      </w:r>
      <w:r w:rsidRPr="007E51FB">
        <w:t>Dominantly Inherent Alzheimer Network (DIAN) demonstrated that PiB-R</w:t>
      </w:r>
      <w:r w:rsidRPr="007E51FB">
        <w:rPr>
          <w:vertAlign w:val="subscript"/>
        </w:rPr>
        <w:t xml:space="preserve">1 </w:t>
      </w:r>
      <w:r w:rsidRPr="007E51FB">
        <w:t xml:space="preserve">was spatially congruent with FDG-PET and sensitive to longitudinal </w:t>
      </w:r>
      <w:r w:rsidR="007E03B1">
        <w:t>changes</w:t>
      </w:r>
      <w:r w:rsidRPr="007E51FB">
        <w:t xml:space="preserve"> </w:t>
      </w:r>
      <w:r w:rsidR="007E03B1">
        <w:t>among</w:t>
      </w:r>
      <w:r w:rsidRPr="007E51FB">
        <w:t xml:space="preserve"> </w:t>
      </w:r>
      <w:r w:rsidR="00E1791D">
        <w:t xml:space="preserve">familial </w:t>
      </w:r>
      <w:r w:rsidRPr="007E51FB">
        <w:t xml:space="preserve">mutation carriers </w:t>
      </w:r>
      <w:r w:rsidRPr="007E51FB">
        <w:fldChar w:fldCharType="begin" w:fldLock="1"/>
      </w:r>
      <w:r w:rsidR="00005758" w:rsidRPr="007E51FB">
        <w:instrText>ADDIN CSL_CITATION {"citationItems":[{"id":"ITEM-1","itemData":{"DOI":"10.1016/j.dadm.2018.08.012","ISSN":"23528729","abstract":"Introduction: 18F-fluorodeoxyglucose (FDG) positron emission tomography (PET) is commonly used to estimate neuronal injury in Alzheimer's disease (AD). Here, we evaluate the utility of dynamic PET measures of perfusion using 11C-Pittsburgh compound B (PiB) to estimate neuronal injury in comparison to FDG PET. Methods: FDG, early frames of PiB images, and relative PiB delivery rate constants (PiB-R1) were obtained from 110 participants from the Dominantly Inherited Alzheimer Network. Voxelwise, regional cross-sectional, and longitudinal analyses were done to evaluate the correlation between images and estimate the relationship of the imaging biomarkers with estimated time to disease progression based on family history. Results: Metabolism and perfusion images were spatially correlated. Regional PiB-R1 values and FDG, but not early frames of PiB images, significantly decreased in the mutation carriers with estimated year to onset and with increasing dementia severity. Discussion: Hypometabolism estimated by PiB-R1 may provide a measure of brain perfusion without increasing radiation exposure.","author":[{"dropping-particle":"","family":"Joseph-Mathurin","given":"Nelly","non-dropping-particle":"","parse-names":false,"suffix":""},{"dropping-particle":"","family":"Su","given":"Yi","non-dropping-particle":"","parse-names":false,"suffix":""},{"dropping-particle":"","family":"Blazey","given":"Tyler M.","non-dropping-particle":"","parse-names":false,"suffix":""},{"dropping-particle":"","family":"Jasielec","given":"Mateusz","non-dropping-particle":"","parse-names":false,"suffix":""},{"dropping-particle":"","family":"Vlassenko","given":"Andrei","non-dropping-particle":"","parse-names":false,"suffix":""},{"dropping-particle":"","family":"Friedrichsen","given":"Karl","non-dropping-particle":"","parse-names":false,"suffix":""},{"dropping-particle":"","family":"Gordon","given":"Brian A.","non-dropping-particle":"","parse-names":false,"suffix":""},{"dropping-particle":"","family":"Hornbeck","given":"Russ C.","non-dropping-particle":"","parse-names":false,"suffix":""},{"dropping-particle":"","family":"Cash","given":"Lisa","non-dropping-particle":"","parse-names":false,"suffix":""},{"dropping-particle":"","family":"Ances","given":"Beau M.","non-dropping-particle":"","parse-names":false,"suffix":""},{"dropping-particle":"","family":"Veale","given":"Thomas","non-dropping-particle":"","parse-names":false,"suffix":""},{"dropping-particle":"","family":"Cash","given":"David M.","non-dropping-particle":"","parse-names":false,"suffix":""},{"dropping-particle":"","family":"Brickman","given":"Adam M.","non-dropping-particle":"","parse-names":false,"suffix":""},{"dropping-particle":"","family":"Buckles","given":"Virginia","non-dropping-particle":"","parse-names":false,"suffix":""},{"dropping-particle":"","family":"Cairns","given":"Nigel J.","non-dropping-particle":"","parse-names":false,"suffix":""},{"dropping-particle":"","family":"Cruchaga","given":"Carlos","non-dropping-particle":"","parse-names":false,"suffix":""},{"dropping-particle":"","family":"Goate","given":"Alison","non-dropping-particle":"","parse-names":false,"suffix":""},{"dropping-particle":"","family":"Jack","given":"Clifford R.","non-dropping-particle":"","parse-names":false,"suffix":""},{"dropping-particle":"","family":"Karch","given":"Celeste","non-dropping-particle":"","parse-names":false,"suffix":""},{"dropping-particle":"","family":"Klunk","given":"William","non-dropping-particle":"","parse-names":false,"suffix":""},{"dropping-particle":"","family":"Koeppe","given":"Robert A.","non-dropping-particle":"","parse-names":false,"suffix":""},{"dropping-particle":"","family":"Marcus","given":"Daniel S.","non-dropping-particle":"","parse-names":false,"suffix":""},{"dropping-particle":"","family":"Mayeux","given":"Richard","non-dropping-particle":"","parse-names":false,"suffix":""},{"dropping-particle":"","family":"McDade","given":"Eric","non-dropping-particle":"","parse-names":false,"suffix":""},{"dropping-particle":"","family":"Noble","given":"James M.","non-dropping-particle":"","parse-names":false,"suffix":""},{"dropping-particle":"","family":"Ringman","given":"John","non-dropping-particle":"","parse-names":false,"suffix":""},{"dropping-particle":"","family":"Saykin","given":"Andrew J.","non-dropping-particle":"","parse-names":false,"suffix":""},{"dropping-particle":"","family":"Thompson","given":"Paul M.","non-dropping-particle":"","parse-names":false,"suffix":""},{"dropping-particle":"","family":"Xiong","given":"Chengjie","non-dropping-particle":"","parse-names":false,"suffix":""},{"dropping-particle":"","family":"Morris","given":"John C.","non-dropping-particle":"","parse-names":false,"suffix":""},{"dropping-particle":"","family":"Bateman","given":"Randall J.","non-dropping-particle":"","parse-names":false,"suffix":""},{"dropping-particle":"","family":"Benzinger","given":"Tammie L.S.","non-dropping-particle":"","parse-names":false,"suffix":""}],"container-title":"Alzheimer's and Dementia: Diagnosis, Assessment and Disease Monitoring","id":"ITEM-1","issued":{"date-parts":[["2018"]]},"page":"669-677","title":"Utility of perfusion PET measures to assess neuronal injury in Alzheimer's disease","type":"article-journal","volume":"10"},"uris":["http://www.mendeley.com/documents/?uuid=7af6b85d-c08a-4fcf-80db-5492d18a042d"]}],"mendeley":{"formattedCitation":"(Joseph-Mathurin &lt;i&gt;et al.&lt;/i&gt;, 2018)","plainTextFormattedCitation":"(Joseph-Mathurin et al., 2018)","previouslyFormattedCitation":"(Joseph-Mathurin &lt;i&gt;et al.&lt;/i&gt;, 2018)"},"properties":{"noteIndex":0},"schema":"https://github.com/citation-style-language/schema/raw/master/csl-citation.json"}</w:instrText>
      </w:r>
      <w:r w:rsidRPr="007E51FB">
        <w:fldChar w:fldCharType="separate"/>
      </w:r>
      <w:r w:rsidR="00CE6796" w:rsidRPr="007E51FB">
        <w:rPr>
          <w:noProof/>
        </w:rPr>
        <w:t xml:space="preserve">(Joseph-Mathurin </w:t>
      </w:r>
      <w:r w:rsidR="00CE6796" w:rsidRPr="007E51FB">
        <w:rPr>
          <w:i/>
          <w:noProof/>
        </w:rPr>
        <w:t>et al.</w:t>
      </w:r>
      <w:r w:rsidR="00CE6796" w:rsidRPr="007E51FB">
        <w:rPr>
          <w:noProof/>
        </w:rPr>
        <w:t>, 2018)</w:t>
      </w:r>
      <w:r w:rsidRPr="007E51FB">
        <w:fldChar w:fldCharType="end"/>
      </w:r>
      <w:r w:rsidRPr="007E51FB">
        <w:t xml:space="preserve"> </w:t>
      </w:r>
    </w:p>
    <w:p w14:paraId="6F06358B" w14:textId="77777777" w:rsidR="00556924" w:rsidRPr="007E51FB" w:rsidRDefault="00556924" w:rsidP="00835725">
      <w:pPr>
        <w:tabs>
          <w:tab w:val="left" w:pos="3428"/>
        </w:tabs>
        <w:spacing w:line="360" w:lineRule="auto"/>
        <w:jc w:val="center"/>
        <w:outlineLvl w:val="0"/>
      </w:pPr>
    </w:p>
    <w:p w14:paraId="5C410A9C" w14:textId="2CEEC656" w:rsidR="00556924" w:rsidRPr="007E51FB" w:rsidRDefault="00556924" w:rsidP="00E84C28">
      <w:pPr>
        <w:tabs>
          <w:tab w:val="left" w:pos="3428"/>
        </w:tabs>
        <w:spacing w:line="360" w:lineRule="auto"/>
        <w:jc w:val="both"/>
        <w:outlineLvl w:val="0"/>
      </w:pPr>
      <w:r w:rsidRPr="007E51FB">
        <w:t>To our knowledge, Aβ-associated changes in PiB-R1 and their association with clinical outcomes have</w:t>
      </w:r>
      <w:r w:rsidR="00DB6C26">
        <w:t xml:space="preserve"> not been investigated in </w:t>
      </w:r>
      <w:r w:rsidRPr="007E51FB">
        <w:t>DS</w:t>
      </w:r>
      <w:r w:rsidR="00F154B3" w:rsidRPr="007E51FB">
        <w:t xml:space="preserve"> to date</w:t>
      </w:r>
      <w:r w:rsidRPr="007E51FB">
        <w:t xml:space="preserve">. </w:t>
      </w:r>
      <w:bookmarkStart w:id="30" w:name="OLE_LINK59"/>
      <w:bookmarkStart w:id="31" w:name="OLE_LINK60"/>
      <w:r w:rsidRPr="007E51FB">
        <w:t xml:space="preserve">Here, we studied the impact of Aβ pathology on the PiB-R1 in DS to evaluate their utility in clinical </w:t>
      </w:r>
      <w:r w:rsidR="007E62AF" w:rsidRPr="007E51FB">
        <w:t>trials</w:t>
      </w:r>
      <w:r w:rsidRPr="007E51FB">
        <w:t xml:space="preserve"> and further evaluate the </w:t>
      </w:r>
      <w:r w:rsidR="001D4225" w:rsidRPr="007E51FB">
        <w:t>associations of</w:t>
      </w:r>
      <w:r w:rsidRPr="007E51FB">
        <w:t xml:space="preserve"> PiB-R1 </w:t>
      </w:r>
      <w:r w:rsidR="001D4225" w:rsidRPr="007E51FB">
        <w:t>with cognitive impairment.</w:t>
      </w:r>
      <w:r w:rsidR="00805D5C" w:rsidRPr="007E51FB">
        <w:t xml:space="preserve"> </w:t>
      </w:r>
      <w:bookmarkEnd w:id="30"/>
      <w:bookmarkEnd w:id="31"/>
      <w:r w:rsidR="00805D5C" w:rsidRPr="007E51FB">
        <w:t xml:space="preserve">We hypothesized that </w:t>
      </w:r>
      <w:r w:rsidR="00895BF4" w:rsidRPr="007E51FB">
        <w:t>(a)</w:t>
      </w:r>
      <w:r w:rsidR="00610DCF" w:rsidRPr="007E51FB">
        <w:t xml:space="preserve"> </w:t>
      </w:r>
      <w:r w:rsidR="00B2038C" w:rsidRPr="007E51FB">
        <w:t xml:space="preserve">DS adults with elevated Aβ burden will show reductions in cerebral perfusion relative to DS adults without Aβ burden; </w:t>
      </w:r>
      <w:r w:rsidR="00854139" w:rsidRPr="007E51FB">
        <w:t xml:space="preserve">and (b) </w:t>
      </w:r>
      <w:r w:rsidR="00550D28" w:rsidRPr="007E51FB">
        <w:t>R1 perfusion will be strongly associated with cognitive function</w:t>
      </w:r>
      <w:r w:rsidR="00841401" w:rsidRPr="007E51FB">
        <w:t xml:space="preserve"> </w:t>
      </w:r>
      <w:r w:rsidR="00EF0A11" w:rsidRPr="007E51FB">
        <w:t xml:space="preserve">and (c) baseline reductions in R1 perfusion will be associated with subsequent </w:t>
      </w:r>
      <w:r w:rsidR="00550D28" w:rsidRPr="007E51FB">
        <w:t>decline in cognitive status.</w:t>
      </w:r>
    </w:p>
    <w:p w14:paraId="7EFE55C5" w14:textId="77777777" w:rsidR="006A1D99" w:rsidRPr="007E51FB" w:rsidRDefault="006A1D99" w:rsidP="00E84C28">
      <w:pPr>
        <w:tabs>
          <w:tab w:val="left" w:pos="3428"/>
        </w:tabs>
        <w:spacing w:line="360" w:lineRule="auto"/>
        <w:jc w:val="both"/>
        <w:outlineLvl w:val="0"/>
      </w:pPr>
    </w:p>
    <w:p w14:paraId="0ACF4435" w14:textId="52C82795" w:rsidR="00F713B4" w:rsidRPr="007E51FB" w:rsidRDefault="00F713B4" w:rsidP="00E84C28">
      <w:pPr>
        <w:tabs>
          <w:tab w:val="left" w:pos="3428"/>
        </w:tabs>
        <w:spacing w:line="360" w:lineRule="auto"/>
        <w:jc w:val="both"/>
        <w:outlineLvl w:val="0"/>
        <w:rPr>
          <w:b/>
        </w:rPr>
      </w:pPr>
      <w:r w:rsidRPr="007E51FB">
        <w:rPr>
          <w:b/>
        </w:rPr>
        <w:t>METHODS</w:t>
      </w:r>
      <w:r w:rsidR="002A2B2A" w:rsidRPr="007E51FB">
        <w:rPr>
          <w:b/>
        </w:rPr>
        <w:t xml:space="preserve"> AND METHODS</w:t>
      </w:r>
    </w:p>
    <w:p w14:paraId="4C785894" w14:textId="587B0BB0" w:rsidR="00F713B4" w:rsidRPr="007E51FB" w:rsidRDefault="00F713B4" w:rsidP="00E84C28">
      <w:pPr>
        <w:tabs>
          <w:tab w:val="left" w:pos="3428"/>
        </w:tabs>
        <w:spacing w:line="360" w:lineRule="auto"/>
        <w:jc w:val="both"/>
        <w:outlineLvl w:val="0"/>
        <w:rPr>
          <w:b/>
        </w:rPr>
      </w:pPr>
      <w:r w:rsidRPr="007E51FB">
        <w:rPr>
          <w:b/>
        </w:rPr>
        <w:t>Study design and participants</w:t>
      </w:r>
    </w:p>
    <w:p w14:paraId="3FEB0FDD" w14:textId="72DFF576" w:rsidR="00F713B4" w:rsidRPr="007E51FB" w:rsidRDefault="000D1F53" w:rsidP="00E84C28">
      <w:pPr>
        <w:tabs>
          <w:tab w:val="left" w:pos="3428"/>
        </w:tabs>
        <w:spacing w:line="360" w:lineRule="auto"/>
        <w:jc w:val="both"/>
        <w:outlineLvl w:val="0"/>
        <w:rPr>
          <w:bCs/>
        </w:rPr>
      </w:pPr>
      <w:r w:rsidRPr="007E51FB">
        <w:lastRenderedPageBreak/>
        <w:t>47</w:t>
      </w:r>
      <w:r w:rsidR="00F713B4" w:rsidRPr="007E51FB">
        <w:t xml:space="preserve"> adults with DS underwent [</w:t>
      </w:r>
      <w:r w:rsidR="00F713B4" w:rsidRPr="007E51FB">
        <w:rPr>
          <w:vertAlign w:val="superscript"/>
        </w:rPr>
        <w:t>11</w:t>
      </w:r>
      <w:r w:rsidR="00F713B4" w:rsidRPr="007E51FB">
        <w:t>C]-PiB-PET imaging</w:t>
      </w:r>
      <w:r w:rsidRPr="007E51FB">
        <w:t xml:space="preserve"> and structural MRI. </w:t>
      </w:r>
      <w:r w:rsidR="00F713B4" w:rsidRPr="007E51FB">
        <w:rPr>
          <w:bCs/>
        </w:rPr>
        <w:t>Participants were identified via services for people with intellectual disabilities in England and Scotland, through the Down’s Syndrome Association or following responses to our website. All participants had previously received a clinical diagnosis of DS based on having the characteristic phenotype. The study was approved by the National Research Ethics Committee of East of England and the Administration of Radioactive Substances Advisory Committee. Written consent was obtained from all adults with DS with the capacity to consent. For participants lacking the capacity to consent, the procedures set out in the England and Wales Mental Capacity Act (2005) or the Adults with incapacity (Scotland Act), depending on place of residence, were followed.</w:t>
      </w:r>
    </w:p>
    <w:p w14:paraId="37CC72EB" w14:textId="77777777" w:rsidR="00F713B4" w:rsidRPr="007E51FB" w:rsidRDefault="00F713B4" w:rsidP="00E84C28">
      <w:pPr>
        <w:tabs>
          <w:tab w:val="left" w:pos="3428"/>
        </w:tabs>
        <w:spacing w:line="360" w:lineRule="auto"/>
        <w:jc w:val="both"/>
        <w:outlineLvl w:val="0"/>
        <w:rPr>
          <w:bCs/>
        </w:rPr>
      </w:pPr>
    </w:p>
    <w:p w14:paraId="504684A2" w14:textId="4BDB378C" w:rsidR="00A2726D" w:rsidRPr="007E51FB" w:rsidRDefault="00F713B4" w:rsidP="00E84C28">
      <w:pPr>
        <w:tabs>
          <w:tab w:val="left" w:pos="3428"/>
        </w:tabs>
        <w:spacing w:line="360" w:lineRule="auto"/>
        <w:jc w:val="both"/>
        <w:outlineLvl w:val="0"/>
        <w:rPr>
          <w:b/>
        </w:rPr>
      </w:pPr>
      <w:r w:rsidRPr="007E51FB">
        <w:rPr>
          <w:b/>
        </w:rPr>
        <w:t>Clinical assessments</w:t>
      </w:r>
    </w:p>
    <w:p w14:paraId="69E64DA0" w14:textId="55BC8B79" w:rsidR="00F713B4" w:rsidRPr="007E51FB" w:rsidRDefault="00F713B4" w:rsidP="00E84C28">
      <w:pPr>
        <w:tabs>
          <w:tab w:val="left" w:pos="3428"/>
        </w:tabs>
        <w:spacing w:line="360" w:lineRule="auto"/>
        <w:jc w:val="both"/>
        <w:outlineLvl w:val="0"/>
        <w:rPr>
          <w:bCs/>
        </w:rPr>
      </w:pPr>
      <w:r w:rsidRPr="007E51FB">
        <w:rPr>
          <w:bCs/>
        </w:rPr>
        <w:t>All</w:t>
      </w:r>
      <w:r w:rsidR="00CB7CB2" w:rsidRPr="007E51FB">
        <w:rPr>
          <w:bCs/>
        </w:rPr>
        <w:t xml:space="preserve"> </w:t>
      </w:r>
      <w:r w:rsidRPr="007E51FB">
        <w:rPr>
          <w:bCs/>
        </w:rPr>
        <w:t xml:space="preserve">participants were assessed for dementia using the Cambridge Examination for Mental Disorders of Older people with Down’s Syndrome and Others with Intellectual Disabilities (CAMDEX-DS) informant interview, designed for diagnosing dementia in this population </w:t>
      </w:r>
      <w:r w:rsidRPr="007E51FB">
        <w:rPr>
          <w:bCs/>
        </w:rPr>
        <w:fldChar w:fldCharType="begin" w:fldLock="1"/>
      </w:r>
      <w:r w:rsidR="00005758" w:rsidRPr="007E51FB">
        <w:rPr>
          <w:bCs/>
        </w:rPr>
        <w:instrText>ADDIN CSL_CITATION {"citationItems":[{"id":"ITEM-1","itemData":{"ISSN":"0007-1250","PMID":"3790869","abstract":"A new interview schedule for the diagnosis and measurement of dementia in the elderly is described. The schedule named the Cambridge Mental Disorders of the Elderly Examination (CAMDEX), consists of three main sections: A structured clinical interview with the patient to obtain systematic information about the present state, past history and family history; a range of objective cognitive tests which constitute a mini-neuropsychological battery; a structured interview with a relative or other informant to obtain independent information about the respondent's present state, past history and family history. The CAMDEX is acceptable to patients, has a high inter-rater reliability and the cognitive section has been shown to have high sensitivity and specificity.","author":[{"dropping-particle":"","family":"Roth","given":"M","non-dropping-particle":"","parse-names":false,"suffix":""},{"dropping-particle":"","family":"Tym","given":"E","non-dropping-particle":"","parse-names":false,"suffix":""},{"dropping-particle":"","family":"Mountjoy","given":"C Q","non-dropping-particle":"","parse-names":false,"suffix":""},{"dropping-particle":"","family":"Huppert","given":"F A","non-dropping-particle":"","parse-names":false,"suffix":""},{"dropping-particle":"","family":"Hendrie","given":"H","non-dropping-particle":"","parse-names":false,"suffix":""},{"dropping-particle":"","family":"Verma","given":"S","non-dropping-particle":"","parse-names":false,"suffix":""},{"dropping-particle":"","family":"Goddard","given":"R","non-dropping-particle":"","parse-names":false,"suffix":""}],"container-title":"The British journal of psychiatry : the journal of mental science","id":"ITEM-1","issued":{"date-parts":[["1986","12"]]},"page":"698-709","title":"CAMDEX. A standardised instrument for the diagnosis of mental disorder in the elderly with special reference to the early detection of dementia.","type":"article-journal","volume":"149"},"uris":["http://www.mendeley.com/documents/?uuid=bb18fe24-b164-3010-97be-c480e92dd483"]}],"mendeley":{"formattedCitation":"(Roth &lt;i&gt;et al.&lt;/i&gt;, 1986)","plainTextFormattedCitation":"(Roth et al., 1986)","previouslyFormattedCitation":"(Roth &lt;i&gt;et al.&lt;/i&gt;, 1986)"},"properties":{"noteIndex":0},"schema":"https://github.com/citation-style-language/schema/raw/master/csl-citation.json"}</w:instrText>
      </w:r>
      <w:r w:rsidRPr="007E51FB">
        <w:rPr>
          <w:bCs/>
        </w:rPr>
        <w:fldChar w:fldCharType="separate"/>
      </w:r>
      <w:r w:rsidR="00CE6796" w:rsidRPr="007E51FB">
        <w:rPr>
          <w:bCs/>
          <w:noProof/>
        </w:rPr>
        <w:t xml:space="preserve">(Roth </w:t>
      </w:r>
      <w:r w:rsidR="00CE6796" w:rsidRPr="007E51FB">
        <w:rPr>
          <w:bCs/>
          <w:i/>
          <w:noProof/>
        </w:rPr>
        <w:t>et al.</w:t>
      </w:r>
      <w:r w:rsidR="00CE6796" w:rsidRPr="007E51FB">
        <w:rPr>
          <w:bCs/>
          <w:noProof/>
        </w:rPr>
        <w:t>, 1986)</w:t>
      </w:r>
      <w:r w:rsidRPr="007E51FB">
        <w:rPr>
          <w:bCs/>
        </w:rPr>
        <w:fldChar w:fldCharType="end"/>
      </w:r>
      <w:r w:rsidRPr="007E51FB">
        <w:rPr>
          <w:bCs/>
        </w:rPr>
        <w:t>. An experienced clinician (S.H.Z. or A.J.H.), who was blinded to the age of the participant and the PiB status, allocated each participant into the categories of (a) those without acquired cognitive impairment, (b)</w:t>
      </w:r>
      <w:r w:rsidR="00643E4D" w:rsidRPr="007E51FB">
        <w:rPr>
          <w:bCs/>
        </w:rPr>
        <w:t xml:space="preserve"> mild</w:t>
      </w:r>
      <w:r w:rsidRPr="007E51FB">
        <w:rPr>
          <w:bCs/>
        </w:rPr>
        <w:t xml:space="preserve"> cognitive decline, (c) or dementia. Dementia was diagnosed in accordance with the International Classification of Diseases-10 (ICD-10) criteria for dementia. The diagnosis of functional “cognitive decline” was given to participants with informant reported evidence of decline in one or more cognitive domains without fulfilling the full ICD-10 criteria for dementia.</w:t>
      </w:r>
      <w:r w:rsidR="00DE18A6" w:rsidRPr="007E51FB">
        <w:rPr>
          <w:bCs/>
        </w:rPr>
        <w:t xml:space="preserve"> </w:t>
      </w:r>
      <w:r w:rsidR="001F3A60" w:rsidRPr="007E51FB">
        <w:rPr>
          <w:bCs/>
        </w:rPr>
        <w:t>30</w:t>
      </w:r>
      <w:r w:rsidR="00DE18A6" w:rsidRPr="007E51FB">
        <w:rPr>
          <w:bCs/>
        </w:rPr>
        <w:t xml:space="preserve"> DS participants returned after </w:t>
      </w:r>
      <w:r w:rsidR="00776B9A" w:rsidRPr="007E51FB">
        <w:rPr>
          <w:bCs/>
        </w:rPr>
        <w:t xml:space="preserve">2 – 5 </w:t>
      </w:r>
      <w:r w:rsidR="00DE18A6" w:rsidRPr="007E51FB">
        <w:rPr>
          <w:bCs/>
        </w:rPr>
        <w:t xml:space="preserve">years </w:t>
      </w:r>
      <w:r w:rsidR="004319F3" w:rsidRPr="007E51FB">
        <w:rPr>
          <w:bCs/>
        </w:rPr>
        <w:t>for a repeat diagnosis of cognitive status.</w:t>
      </w:r>
      <w:r w:rsidR="00712232" w:rsidRPr="007E51FB">
        <w:t xml:space="preserve"> 9 DS adults experienced a progressive decline in their cognitive status (i.e. No acquired cognitive decline </w:t>
      </w:r>
      <w:r w:rsidR="00712232" w:rsidRPr="007E51FB">
        <w:sym w:font="Wingdings" w:char="F0E0"/>
      </w:r>
      <w:r w:rsidR="00712232" w:rsidRPr="007E51FB">
        <w:t xml:space="preserve"> MCI or dementia; MCI </w:t>
      </w:r>
      <w:r w:rsidR="00712232" w:rsidRPr="007E51FB">
        <w:sym w:font="Wingdings" w:char="F0E0"/>
      </w:r>
      <w:r w:rsidR="00712232" w:rsidRPr="007E51FB">
        <w:t xml:space="preserve"> dementia) while 21 remained cognitively stable.</w:t>
      </w:r>
    </w:p>
    <w:p w14:paraId="433CE850" w14:textId="77777777" w:rsidR="00F713B4" w:rsidRPr="007E51FB" w:rsidRDefault="00F713B4" w:rsidP="00E84C28">
      <w:pPr>
        <w:tabs>
          <w:tab w:val="left" w:pos="3428"/>
        </w:tabs>
        <w:spacing w:line="360" w:lineRule="auto"/>
        <w:jc w:val="both"/>
        <w:outlineLvl w:val="0"/>
        <w:rPr>
          <w:bCs/>
        </w:rPr>
      </w:pPr>
    </w:p>
    <w:p w14:paraId="12A92234" w14:textId="28FD93A6" w:rsidR="00F713B4" w:rsidRPr="007E51FB" w:rsidRDefault="00F713B4" w:rsidP="00E84C28">
      <w:pPr>
        <w:tabs>
          <w:tab w:val="left" w:pos="3428"/>
        </w:tabs>
        <w:spacing w:line="360" w:lineRule="auto"/>
        <w:jc w:val="both"/>
        <w:outlineLvl w:val="0"/>
        <w:rPr>
          <w:b/>
          <w:bCs/>
        </w:rPr>
      </w:pPr>
      <w:r w:rsidRPr="007E51FB">
        <w:rPr>
          <w:b/>
          <w:bCs/>
        </w:rPr>
        <w:t>Imaging protocol</w:t>
      </w:r>
    </w:p>
    <w:p w14:paraId="7D91CFE5" w14:textId="76F34745" w:rsidR="00F713B4" w:rsidRPr="007E51FB" w:rsidRDefault="00F713B4" w:rsidP="00E84C28">
      <w:pPr>
        <w:tabs>
          <w:tab w:val="left" w:pos="3428"/>
        </w:tabs>
        <w:spacing w:line="360" w:lineRule="auto"/>
        <w:jc w:val="both"/>
        <w:outlineLvl w:val="0"/>
        <w:rPr>
          <w:i/>
          <w:iCs/>
          <w:lang w:val="en-US"/>
        </w:rPr>
      </w:pPr>
      <w:r w:rsidRPr="007E51FB">
        <w:rPr>
          <w:i/>
          <w:iCs/>
          <w:lang w:val="en-US"/>
        </w:rPr>
        <w:t>Structural MRI</w:t>
      </w:r>
    </w:p>
    <w:p w14:paraId="5DE18E6F" w14:textId="542C29AA" w:rsidR="00F713B4" w:rsidRPr="007E51FB" w:rsidRDefault="00F713B4" w:rsidP="00E84C28">
      <w:pPr>
        <w:tabs>
          <w:tab w:val="left" w:pos="3428"/>
        </w:tabs>
        <w:spacing w:line="360" w:lineRule="auto"/>
        <w:jc w:val="both"/>
        <w:outlineLvl w:val="0"/>
      </w:pPr>
      <w:bookmarkStart w:id="32" w:name="OLE_LINK87"/>
      <w:bookmarkStart w:id="33" w:name="OLE_LINK88"/>
      <w:r w:rsidRPr="007E51FB">
        <w:rPr>
          <w:bCs/>
        </w:rPr>
        <w:t xml:space="preserve">The T1-MPRAGE data were processed using </w:t>
      </w:r>
      <w:proofErr w:type="spellStart"/>
      <w:r w:rsidRPr="007E51FB">
        <w:rPr>
          <w:bCs/>
        </w:rPr>
        <w:t>Freesurfer</w:t>
      </w:r>
      <w:proofErr w:type="spellEnd"/>
      <w:r w:rsidRPr="007E51FB">
        <w:rPr>
          <w:bCs/>
        </w:rPr>
        <w:t xml:space="preserve"> to obtain cortical segmentation</w:t>
      </w:r>
      <w:r w:rsidR="000978F3" w:rsidRPr="007E51FB">
        <w:rPr>
          <w:bCs/>
        </w:rPr>
        <w:t>s</w:t>
      </w:r>
      <w:r w:rsidRPr="007E51FB">
        <w:rPr>
          <w:bCs/>
        </w:rPr>
        <w:t xml:space="preserve"> </w:t>
      </w:r>
      <w:r w:rsidR="0042672F" w:rsidRPr="007E51FB">
        <w:rPr>
          <w:bCs/>
        </w:rPr>
        <w:t xml:space="preserve">and </w:t>
      </w:r>
      <w:r w:rsidR="00D66839" w:rsidRPr="007E51FB">
        <w:rPr>
          <w:bCs/>
        </w:rPr>
        <w:t>region of interest (ROI) estimates</w:t>
      </w:r>
      <w:r w:rsidR="0042672F" w:rsidRPr="007E51FB">
        <w:rPr>
          <w:bCs/>
        </w:rPr>
        <w:t xml:space="preserve"> of cortical thickness </w:t>
      </w:r>
      <w:r w:rsidRPr="007E51FB">
        <w:rPr>
          <w:bCs/>
        </w:rPr>
        <w:t xml:space="preserve">based on the </w:t>
      </w:r>
      <w:proofErr w:type="spellStart"/>
      <w:r w:rsidRPr="007E51FB">
        <w:rPr>
          <w:bCs/>
        </w:rPr>
        <w:t>Desikan-Killiany</w:t>
      </w:r>
      <w:proofErr w:type="spellEnd"/>
      <w:r w:rsidRPr="007E51FB">
        <w:rPr>
          <w:bCs/>
        </w:rPr>
        <w:t xml:space="preserve"> parcellation scheme </w:t>
      </w:r>
      <w:bookmarkEnd w:id="32"/>
      <w:bookmarkEnd w:id="33"/>
      <w:r w:rsidRPr="007E51FB">
        <w:rPr>
          <w:bCs/>
        </w:rPr>
        <w:fldChar w:fldCharType="begin" w:fldLock="1"/>
      </w:r>
      <w:r w:rsidR="00005758" w:rsidRPr="007E51FB">
        <w:rPr>
          <w:bCs/>
        </w:rPr>
        <w:instrText>ADDIN CSL_CITATION {"citationItems":[{"id":"ITEM-1","itemData":{"DOI":"10.1016/j.neuroimage.2006.01.021","ISBN":"1053-8119 (Print)\\n1053-8119 (Linking)","ISSN":"10538119","PMID":"16530430","abstract":"In this study, we have assessed the validity and reliability of an automated labeling system that we have developed for subdividing the human cerebral cortex on magnetic resonance images into gyral based regions of interest (ROIs). Using a dataset of 40 MRI scans we manually identified 34 cortical ROIs in each of the individual hemispheres. This information was then encoded in the form of an atlas that was utilized to automatically label ROIs. To examine the validity, as well as the intra- and inter-rater reliability of the automated system, we used both intraclass correlation coefficients (ICC), and a new method known as mean distance maps, to assess the degree of mismatch between the manual and the automated sets of ROIs. When compared with the manual ROIs, the automated ROIs were highly accurate, with an average ICC of 0.835 across all of the ROIs, and a mean distance error of less than 1 mm. Intra- and inter-rater comparisons yielded little to no difference between the sets of ROIs. These findings suggest that the automated method we have developed for subdividing the human cerebral cortex into standard gyral-based neuroanatomical regions is both anatomically valid and reliable. This method may be useful for both morphometric and functional studies of the cerebral cortex as well as for clinical investigations aimed at tracking the evolution of disease-induced changes over time, including clinical trials in which MRI-based measures are used to examine response to treatment. © 2006 Elsevier Inc. All rights reserved.","author":[{"dropping-particle":"","family":"Desikan","given":"Rahul S.","non-dropping-particle":"","parse-names":false,"suffix":""},{"dropping-particle":"","family":"Ségonne","given":"Florent","non-dropping-particle":"","parse-names":false,"suffix":""},{"dropping-particle":"","family":"Fischl","given":"Bruce","non-dropping-particle":"","parse-names":false,"suffix":""},{"dropping-particle":"","family":"Quinn","given":"Brian T.","non-dropping-particle":"","parse-names":false,"suffix":""},{"dropping-particle":"","family":"Dickerson","given":"Bradford C.","non-dropping-particle":"","parse-names":false,"suffix":""},{"dropping-particle":"","family":"Blacker","given":"Deborah","non-dropping-particle":"","parse-names":false,"suffix":""},{"dropping-particle":"","family":"Buckner","given":"Randy L.","non-dropping-particle":"","parse-names":false,"suffix":""},{"dropping-particle":"","family":"Dale","given":"Anders M.","non-dropping-particle":"","parse-names":false,"suffix":""},{"dropping-particle":"","family":"Maguire","given":"R. Paul","non-dropping-particle":"","parse-names":false,"suffix":""},{"dropping-particle":"","family":"Hyman","given":"Bradley T.","non-dropping-particle":"","parse-names":false,"suffix":""},{"dropping-particle":"","family":"Albert","given":"Marilyn S.","non-dropping-particle":"","parse-names":false,"suffix":""},{"dropping-particle":"","family":"Killiany","given":"Ronald J.","non-dropping-particle":"","parse-names":false,"suffix":""}],"container-title":"NeuroImage","id":"ITEM-1","issue":"3","issued":{"date-parts":[["2006"]]},"page":"968-980","title":"An automated labeling system for subdividing the human cerebral cortex on MRI scans into gyral based regions of interest","type":"article-journal","volume":"31"},"uris":["http://www.mendeley.com/documents/?uuid=dd551d48-a399-4f57-9400-ea3860741237"]}],"mendeley":{"formattedCitation":"(Desikan &lt;i&gt;et al.&lt;/i&gt;, 2006)","plainTextFormattedCitation":"(Desikan et al., 2006)","previouslyFormattedCitation":"(Desikan &lt;i&gt;et al.&lt;/i&gt;, 2006)"},"properties":{"noteIndex":0},"schema":"https://github.com/citation-style-language/schema/raw/master/csl-citation.json"}</w:instrText>
      </w:r>
      <w:r w:rsidRPr="007E51FB">
        <w:rPr>
          <w:bCs/>
        </w:rPr>
        <w:fldChar w:fldCharType="separate"/>
      </w:r>
      <w:r w:rsidR="00CE6796" w:rsidRPr="007E51FB">
        <w:rPr>
          <w:bCs/>
          <w:noProof/>
        </w:rPr>
        <w:t xml:space="preserve">(Desikan </w:t>
      </w:r>
      <w:r w:rsidR="00CE6796" w:rsidRPr="007E51FB">
        <w:rPr>
          <w:bCs/>
          <w:i/>
          <w:noProof/>
        </w:rPr>
        <w:t>et al.</w:t>
      </w:r>
      <w:r w:rsidR="00CE6796" w:rsidRPr="007E51FB">
        <w:rPr>
          <w:bCs/>
          <w:noProof/>
        </w:rPr>
        <w:t>, 2006)</w:t>
      </w:r>
      <w:r w:rsidRPr="007E51FB">
        <w:rPr>
          <w:bCs/>
        </w:rPr>
        <w:fldChar w:fldCharType="end"/>
      </w:r>
      <w:r w:rsidRPr="007E51FB">
        <w:rPr>
          <w:bCs/>
        </w:rPr>
        <w:t xml:space="preserve">. The technical details for the quantification of cortical thickness have been extensively described </w:t>
      </w:r>
      <w:r w:rsidRPr="007E51FB">
        <w:rPr>
          <w:bCs/>
        </w:rPr>
        <w:fldChar w:fldCharType="begin" w:fldLock="1"/>
      </w:r>
      <w:r w:rsidR="00005758" w:rsidRPr="007E51FB">
        <w:rPr>
          <w:bCs/>
        </w:rPr>
        <w:instrText>ADDIN CSL_CITATION {"citationItems":[{"id":"ITEM-1","itemData":{"DOI":"10.1073/pnas.200033797","ISBN":"0027-8424 (Print)\n0027-8424 (Linking)","ISSN":"0027-8424","PMID":"10984517","abstract":"Accurate and automated methods for measuring the thickness of human cerebral cortex could provide powerful tools for diagnosing and studying a variety of neurodegenerative and psychiatric disorders. Manual methods for estimating cortical thickness from neuroimaging data are labor intensive, requiring several days of effort by a trained anatomist. Furthermore, the highly folded nature of the cortex is problematic for manual techniques, frequently resulting in measurement errors in regions in which the cortical surface is not perpendicular to any of the cardinal axes. As a consequence, it has been impractical to obtain accurate thickness estimates for the entire cortex in individual subjects, or group statistics for patient or control populations. Here, we present an automated method for accurately measuring the thickness of the cerebral cortex across the entire brain and for generating cross-subject statistics in a coordinate system based on cortical anatomy. The intersubject standard deviation of the thickness measures is shown to be less than 0.5 mm, implying the ability to detect focal atrophy in small populations or even individual subjects. The reliability and accuracy of this new method are assessed by within-subject test-retest studies, as well as by comparison of cross-subject regional thickness measures with published values.","author":[{"dropping-particle":"","family":"Fischl","given":"B","non-dropping-particle":"","parse-names":false,"suffix":""},{"dropping-particle":"","family":"Dale","given":"A M","non-dropping-particle":"","parse-names":false,"suffix":""}],"container-title":"Proceedings of the National Academy of Sciences of the United States of America","edition":"2000/09/14","id":"ITEM-1","issue":"20","issued":{"date-parts":[["2000","9","26"]]},"language":"eng","note":"Fischl, B\nDale, A M\nP41-RR14075/RR/NCRR NIH HHS/United States\nR01-NS39581/NS/NINDS NIH HHS/United States\nR01-RR13609/RR/NCRR NIH HHS/United States\nResearch Support, U.S. Gov't, P.H.S.\nUNITED STATES\nProc Natl Acad Sci U S A. 2000 Sep 26;97(20):11050-5.","page":"11050-5","title":"Measuring the thickness of the human cerebral cortex from magnetic resonance images.","type":"article-journal","volume":"97"},"uris":["http://www.mendeley.com/documents/?uuid=b280b017-6022-46b4-8a5f-87436d09e37a"]}],"mendeley":{"formattedCitation":"(Fischl and Dale, 2000)","plainTextFormattedCitation":"(Fischl and Dale, 2000)","previouslyFormattedCitation":"(Fischl and Dale, 2000)"},"properties":{"noteIndex":0},"schema":"https://github.com/citation-style-language/schema/raw/master/csl-citation.json"}</w:instrText>
      </w:r>
      <w:r w:rsidRPr="007E51FB">
        <w:rPr>
          <w:bCs/>
        </w:rPr>
        <w:fldChar w:fldCharType="separate"/>
      </w:r>
      <w:r w:rsidR="00CE6796" w:rsidRPr="007E51FB">
        <w:rPr>
          <w:bCs/>
          <w:noProof/>
        </w:rPr>
        <w:t>(Fischl and Dale, 2000)</w:t>
      </w:r>
      <w:r w:rsidRPr="007E51FB">
        <w:rPr>
          <w:bCs/>
        </w:rPr>
        <w:fldChar w:fldCharType="end"/>
      </w:r>
      <w:r w:rsidRPr="007E51FB">
        <w:rPr>
          <w:bCs/>
        </w:rPr>
        <w:t xml:space="preserve">. </w:t>
      </w:r>
    </w:p>
    <w:p w14:paraId="3122171C" w14:textId="77777777" w:rsidR="00F713B4" w:rsidRPr="007E51FB" w:rsidRDefault="00F713B4" w:rsidP="00E84C28">
      <w:pPr>
        <w:tabs>
          <w:tab w:val="left" w:pos="3428"/>
        </w:tabs>
        <w:spacing w:line="360" w:lineRule="auto"/>
        <w:jc w:val="both"/>
        <w:outlineLvl w:val="0"/>
        <w:rPr>
          <w:b/>
          <w:bCs/>
        </w:rPr>
      </w:pPr>
    </w:p>
    <w:p w14:paraId="03DD5E66" w14:textId="437C2AA5" w:rsidR="00F713B4" w:rsidRPr="007E51FB" w:rsidRDefault="00F713B4" w:rsidP="00E84C28">
      <w:pPr>
        <w:tabs>
          <w:tab w:val="left" w:pos="3428"/>
        </w:tabs>
        <w:spacing w:line="360" w:lineRule="auto"/>
        <w:jc w:val="both"/>
        <w:outlineLvl w:val="0"/>
        <w:rPr>
          <w:i/>
          <w:iCs/>
        </w:rPr>
      </w:pPr>
      <w:r w:rsidRPr="007E51FB">
        <w:rPr>
          <w:i/>
          <w:iCs/>
        </w:rPr>
        <w:t>[</w:t>
      </w:r>
      <w:r w:rsidRPr="007E51FB">
        <w:rPr>
          <w:i/>
          <w:iCs/>
          <w:vertAlign w:val="superscript"/>
        </w:rPr>
        <w:t>11</w:t>
      </w:r>
      <w:r w:rsidRPr="007E51FB">
        <w:rPr>
          <w:i/>
          <w:iCs/>
        </w:rPr>
        <w:t>C]-PiB</w:t>
      </w:r>
      <w:r w:rsidR="00F5054C" w:rsidRPr="007E51FB">
        <w:rPr>
          <w:i/>
          <w:iCs/>
        </w:rPr>
        <w:t xml:space="preserve"> imaging</w:t>
      </w:r>
    </w:p>
    <w:p w14:paraId="5557DAC4" w14:textId="1281A56C" w:rsidR="00AA3A4B" w:rsidRPr="007E51FB" w:rsidRDefault="00F713B4" w:rsidP="00E84C28">
      <w:pPr>
        <w:tabs>
          <w:tab w:val="left" w:pos="3428"/>
        </w:tabs>
        <w:spacing w:line="360" w:lineRule="auto"/>
        <w:jc w:val="both"/>
        <w:outlineLvl w:val="0"/>
        <w:rPr>
          <w:bCs/>
        </w:rPr>
      </w:pPr>
      <w:r w:rsidRPr="007E51FB">
        <w:rPr>
          <w:bCs/>
        </w:rPr>
        <w:lastRenderedPageBreak/>
        <w:t>[</w:t>
      </w:r>
      <w:r w:rsidRPr="007E51FB">
        <w:rPr>
          <w:bCs/>
          <w:vertAlign w:val="superscript"/>
        </w:rPr>
        <w:t>11</w:t>
      </w:r>
      <w:r w:rsidRPr="007E51FB">
        <w:rPr>
          <w:bCs/>
        </w:rPr>
        <w:t>C]-PiB data were acquired in three-dimensional (3D) mode on a GE Advance scanner. Before [</w:t>
      </w:r>
      <w:r w:rsidRPr="007E51FB">
        <w:rPr>
          <w:bCs/>
          <w:vertAlign w:val="superscript"/>
        </w:rPr>
        <w:t>11</w:t>
      </w:r>
      <w:r w:rsidRPr="007E51FB">
        <w:rPr>
          <w:bCs/>
        </w:rPr>
        <w:t xml:space="preserve">C]-PiB injection, a 15-minute transmission scan using rotating </w:t>
      </w:r>
      <w:r w:rsidRPr="007E51FB">
        <w:rPr>
          <w:bCs/>
          <w:vertAlign w:val="superscript"/>
        </w:rPr>
        <w:t>68</w:t>
      </w:r>
      <w:r w:rsidRPr="007E51FB">
        <w:rPr>
          <w:bCs/>
        </w:rPr>
        <w:t>Ge rod sources was acquired to correct for photon attenuation. [</w:t>
      </w:r>
      <w:r w:rsidRPr="007E51FB">
        <w:rPr>
          <w:bCs/>
          <w:vertAlign w:val="superscript"/>
        </w:rPr>
        <w:t>11</w:t>
      </w:r>
      <w:r w:rsidRPr="007E51FB">
        <w:rPr>
          <w:bCs/>
        </w:rPr>
        <w:t xml:space="preserve">C]-PiB was produced with high radiochemical purity (&gt;95%) and specific activity (&gt;150 </w:t>
      </w:r>
      <w:proofErr w:type="spellStart"/>
      <w:r w:rsidRPr="007E51FB">
        <w:rPr>
          <w:bCs/>
        </w:rPr>
        <w:t>GBq</w:t>
      </w:r>
      <w:proofErr w:type="spellEnd"/>
      <w:r w:rsidRPr="007E51FB">
        <w:rPr>
          <w:bCs/>
        </w:rPr>
        <w:t>/</w:t>
      </w:r>
      <w:proofErr w:type="spellStart"/>
      <w:r w:rsidRPr="007E51FB">
        <w:rPr>
          <w:bCs/>
        </w:rPr>
        <w:t>umol</w:t>
      </w:r>
      <w:proofErr w:type="spellEnd"/>
      <w:r w:rsidRPr="007E51FB">
        <w:rPr>
          <w:bCs/>
        </w:rPr>
        <w:t>). [</w:t>
      </w:r>
      <w:r w:rsidRPr="007E51FB">
        <w:rPr>
          <w:bCs/>
          <w:vertAlign w:val="superscript"/>
        </w:rPr>
        <w:t>11</w:t>
      </w:r>
      <w:r w:rsidRPr="007E51FB">
        <w:rPr>
          <w:bCs/>
        </w:rPr>
        <w:t>C]-PiB was injected as a bolus (median= 545 MBq, interquartile range = 465-576MBq) through an antecubital venous catheter, and data were acquired for 90 min after injection in 58 frames (18 x 5, 6 x 15 seconds, 10 x 30 seconds, 7 x 1 minute, 4 x 2.5 minutes, and 13 x 5 minutes). For each frame, sonogram data were reconstructed using the PROMIS 3D filtered back projection algorithm into a 128 x 128 x 35 image array with a voxel size of 2.34 x 2.34 x 4.25mm</w:t>
      </w:r>
      <w:r w:rsidRPr="007E51FB">
        <w:rPr>
          <w:bCs/>
          <w:vertAlign w:val="superscript"/>
        </w:rPr>
        <w:t>3</w:t>
      </w:r>
      <w:r w:rsidRPr="007E51FB">
        <w:rPr>
          <w:bCs/>
        </w:rPr>
        <w:t>.</w:t>
      </w:r>
      <w:r w:rsidRPr="007E51FB">
        <w:rPr>
          <w:b/>
          <w:bCs/>
        </w:rPr>
        <w:t xml:space="preserve"> </w:t>
      </w:r>
      <w:r w:rsidRPr="007E51FB">
        <w:rPr>
          <w:bCs/>
        </w:rPr>
        <w:t>Corrections were applied for random coincidences, dead time, normalization, scatter, attenuation and sensitivity.</w:t>
      </w:r>
      <w:r w:rsidR="00AA3A4B" w:rsidRPr="007E51FB">
        <w:rPr>
          <w:bCs/>
        </w:rPr>
        <w:t xml:space="preserve"> The dynamic PET images were </w:t>
      </w:r>
      <w:r w:rsidR="00365734" w:rsidRPr="007E51FB">
        <w:rPr>
          <w:bCs/>
        </w:rPr>
        <w:t xml:space="preserve">realigned with statistical parametric mapping (SPM) and then averaged. The resultant mean images were rigidly </w:t>
      </w:r>
      <w:proofErr w:type="spellStart"/>
      <w:r w:rsidR="00365734" w:rsidRPr="007E51FB">
        <w:rPr>
          <w:bCs/>
        </w:rPr>
        <w:t>coregistered</w:t>
      </w:r>
      <w:proofErr w:type="spellEnd"/>
      <w:r w:rsidR="00365734" w:rsidRPr="007E51FB">
        <w:rPr>
          <w:bCs/>
        </w:rPr>
        <w:t xml:space="preserve"> with ANTs to their corresponding bias-corrected magnetisation-prepared rapid gradient echo MRI (MPRAGE) volume. Compositions of concatenated transformations (from PET native space to study template) were calculated and applied to PET images followed by linear interpolation. The intersection of the standardized </w:t>
      </w:r>
      <w:proofErr w:type="spellStart"/>
      <w:r w:rsidR="00365734" w:rsidRPr="007E51FB">
        <w:rPr>
          <w:bCs/>
        </w:rPr>
        <w:t>Brodmannn</w:t>
      </w:r>
      <w:proofErr w:type="spellEnd"/>
      <w:r w:rsidR="00365734" w:rsidRPr="007E51FB">
        <w:rPr>
          <w:bCs/>
        </w:rPr>
        <w:t xml:space="preserve"> atlas with greater or equal than 65% </w:t>
      </w:r>
      <w:proofErr w:type="spellStart"/>
      <w:r w:rsidR="00365734" w:rsidRPr="007E51FB">
        <w:rPr>
          <w:bCs/>
        </w:rPr>
        <w:t>gray</w:t>
      </w:r>
      <w:proofErr w:type="spellEnd"/>
      <w:r w:rsidR="00365734" w:rsidRPr="007E51FB">
        <w:rPr>
          <w:bCs/>
        </w:rPr>
        <w:t xml:space="preserve"> matter probability mask was applied to spatially normalize PET images to extract time activity curves (TAC) for each region</w:t>
      </w:r>
      <w:r w:rsidR="00B10419" w:rsidRPr="007E51FB">
        <w:rPr>
          <w:bCs/>
        </w:rPr>
        <w:t xml:space="preserve">, which were then subjected to reference tissue input kinetic modelling. The reference tissue ROI was the superior cerebellar region constrained to &gt; 90% </w:t>
      </w:r>
      <w:proofErr w:type="spellStart"/>
      <w:r w:rsidR="00B10419" w:rsidRPr="007E51FB">
        <w:rPr>
          <w:bCs/>
        </w:rPr>
        <w:t>gray</w:t>
      </w:r>
      <w:proofErr w:type="spellEnd"/>
      <w:r w:rsidR="00B10419" w:rsidRPr="007E51FB">
        <w:rPr>
          <w:bCs/>
        </w:rPr>
        <w:t xml:space="preserve"> matter probability. To ameliorate partial volume error from CSF contamination, Gaussian smoothing was applied to the CSF segment to approximate the PET spatial resolution and hence each ROI TAC was divided by 1 – </w:t>
      </w:r>
      <w:proofErr w:type="spellStart"/>
      <w:r w:rsidR="00B10419" w:rsidRPr="007E51FB">
        <w:rPr>
          <w:bCs/>
        </w:rPr>
        <w:t>f</w:t>
      </w:r>
      <w:r w:rsidR="00AD2431" w:rsidRPr="007E51FB">
        <w:rPr>
          <w:bCs/>
        </w:rPr>
        <w:t>s</w:t>
      </w:r>
      <w:r w:rsidR="00B10419" w:rsidRPr="007E51FB">
        <w:rPr>
          <w:bCs/>
          <w:vertAlign w:val="subscript"/>
        </w:rPr>
        <w:t>CSF</w:t>
      </w:r>
      <w:proofErr w:type="spellEnd"/>
      <w:r w:rsidR="00B10419" w:rsidRPr="007E51FB">
        <w:rPr>
          <w:bCs/>
        </w:rPr>
        <w:t xml:space="preserve">, where </w:t>
      </w:r>
      <w:proofErr w:type="spellStart"/>
      <w:r w:rsidR="00B10419" w:rsidRPr="007E51FB">
        <w:rPr>
          <w:bCs/>
        </w:rPr>
        <w:t>f</w:t>
      </w:r>
      <w:r w:rsidR="00B10419" w:rsidRPr="007E51FB">
        <w:rPr>
          <w:bCs/>
          <w:vertAlign w:val="subscript"/>
        </w:rPr>
        <w:t>CSF</w:t>
      </w:r>
      <w:proofErr w:type="spellEnd"/>
      <w:r w:rsidR="00B10419" w:rsidRPr="007E51FB">
        <w:rPr>
          <w:bCs/>
        </w:rPr>
        <w:t xml:space="preserve"> is the average CSF fraction in the ROI. For each ROI, BP</w:t>
      </w:r>
      <w:r w:rsidR="00B10419" w:rsidRPr="007E51FB">
        <w:rPr>
          <w:bCs/>
          <w:vertAlign w:val="subscript"/>
        </w:rPr>
        <w:t>ND</w:t>
      </w:r>
      <w:r w:rsidR="00B10419" w:rsidRPr="007E51FB">
        <w:rPr>
          <w:bCs/>
        </w:rPr>
        <w:t xml:space="preserve"> was obtained using a basis function implementation of the simplified reference tissue model. </w:t>
      </w:r>
      <w:r w:rsidR="00B3397E" w:rsidRPr="007E51FB">
        <w:rPr>
          <w:bCs/>
        </w:rPr>
        <w:t>PiB positive and PiB negative groups were assigned on the basis of striatal BP</w:t>
      </w:r>
      <w:r w:rsidR="00B3397E" w:rsidRPr="007E51FB">
        <w:rPr>
          <w:bCs/>
          <w:vertAlign w:val="subscript"/>
        </w:rPr>
        <w:t>ND</w:t>
      </w:r>
      <w:r w:rsidR="00B3397E" w:rsidRPr="007E51FB">
        <w:rPr>
          <w:bCs/>
        </w:rPr>
        <w:t>, which had previously</w:t>
      </w:r>
      <w:r w:rsidR="008B3598" w:rsidRPr="007E51FB">
        <w:rPr>
          <w:bCs/>
        </w:rPr>
        <w:t xml:space="preserve"> revealed  a bimodal distribution with clear separation of positive </w:t>
      </w:r>
      <w:r w:rsidR="000804BA" w:rsidRPr="007E51FB">
        <w:rPr>
          <w:bCs/>
        </w:rPr>
        <w:t xml:space="preserve">(DS-POS) </w:t>
      </w:r>
      <w:r w:rsidR="008B3598" w:rsidRPr="007E51FB">
        <w:rPr>
          <w:bCs/>
        </w:rPr>
        <w:t xml:space="preserve">and negative </w:t>
      </w:r>
      <w:r w:rsidR="000804BA" w:rsidRPr="007E51FB">
        <w:rPr>
          <w:bCs/>
        </w:rPr>
        <w:t xml:space="preserve">(DS-NEG) </w:t>
      </w:r>
      <w:r w:rsidR="008B3598" w:rsidRPr="007E51FB">
        <w:rPr>
          <w:bCs/>
        </w:rPr>
        <w:t xml:space="preserve">groups </w:t>
      </w:r>
      <w:r w:rsidR="008B3598" w:rsidRPr="007E51FB">
        <w:rPr>
          <w:bCs/>
        </w:rPr>
        <w:fldChar w:fldCharType="begin" w:fldLock="1"/>
      </w:r>
      <w:r w:rsidR="00005758" w:rsidRPr="007E51FB">
        <w:rPr>
          <w:bCs/>
        </w:rPr>
        <w:instrText>ADDIN CSL_CITATION {"citationItems":[{"id":"ITEM-1","itemData":{"DOI":"10.1016/j.jalz.2015.07.490","ISBN":"1552-5279 (Electronic)\\r1552-5260 (Linking)","ISSN":"15525279","PMID":"26362596","abstract":"Introduction Adults with Down syndrome (DS) invariably develop Alzheimer's disease (AD) neuropathology. Understanding amyloid deposition in DS can yield crucial information about disease pathogenesis. Methods Forty-nine adults with DS aged 25-65 underwent positron emission tomography with Pittsburgh compound-B (PIB). Regional PIB binding was assessed with respect to age, clinical, and cognitive status. Results Abnormal PIB binding became evident from 39 years, first in striatum followed by rostral prefrontal-cingulo-parietal regions, then caudal frontal, rostral temporal, primary sensorimotor and occipital, and finally parahippocampal cortex, thalamus, and amygdala. PIB binding was related to age, diagnostic status, and cognitive function. Discussion PIB binding in DS, first appearing in striatum, began around age 40 and was strongly associated with dementia and cognitive decline. The absence of a substantial time lag between amyloid accumulation and cognitive decline contrasts to sporadic/familial AD and suggests this population's suitability for an amyloid primary prevention trial.","author":[{"dropping-particle":"","family":"Annus","given":"Tiina","non-dropping-particle":"","parse-names":false,"suffix":""},{"dropping-particle":"","family":"Wilson","given":"Liam R.","non-dropping-particle":"","parse-names":false,"suffix":""},{"dropping-particle":"","family":"Hong","given":"Young T.","non-dropping-particle":"","parse-names":false,"suffix":""},{"dropping-particle":"","family":"Acosta-Cabronero","given":"Julio","non-dropping-particle":"","parse-names":false,"suffix":""},{"dropping-particle":"","family":"Fryer","given":"Tim D.","non-dropping-particle":"","parse-names":false,"suffix":""},{"dropping-particle":"","family":"Cardenas-Blanco","given":"Arturo","non-dropping-particle":"","parse-names":false,"suffix":""},{"dropping-particle":"","family":"Smith","given":"Robert","non-dropping-particle":"","parse-names":false,"suffix":""},{"dropping-particle":"","family":"Boros","given":"Istvan","non-dropping-particle":"","parse-names":false,"suffix":""},{"dropping-particle":"","family":"Coles","given":"Jonathan P.","non-dropping-particle":"","parse-names":false,"suffix":""},{"dropping-particle":"","family":"Aigbirhio","given":"Franklin I.","non-dropping-particle":"","parse-names":false,"suffix":""},{"dropping-particle":"","family":"Menon","given":"David K.","non-dropping-particle":"","parse-names":false,"suffix":""},{"dropping-particle":"","family":"Zaman","given":"Shahid H.","non-dropping-particle":"","parse-names":false,"suffix":""},{"dropping-particle":"","family":"Nestor","given":"Peter J.","non-dropping-particle":"","parse-names":false,"suffix":""},{"dropping-particle":"","family":"Holland","given":"Anthony J.","non-dropping-particle":"","parse-names":false,"suffix":""}],"container-title":"Alzheimer's and Dementia","id":"ITEM-1","issue":"5","issued":{"date-parts":[["2016"]]},"page":"538-545","publisher":"Elsevier Inc.","title":"The pattern of amyloid accumulation in the brains of adults with Down syndrome","type":"article-journal","volume":"12"},"uris":["http://www.mendeley.com/documents/?uuid=2eb561aa-6810-4247-b0f8-6eb3b1ca06d0"]}],"mendeley":{"formattedCitation":"(Annus &lt;i&gt;et al.&lt;/i&gt;, 2016)","plainTextFormattedCitation":"(Annus et al., 2016)","previouslyFormattedCitation":"(Annus &lt;i&gt;et al.&lt;/i&gt;, 2016)"},"properties":{"noteIndex":0},"schema":"https://github.com/citation-style-language/schema/raw/master/csl-citation.json"}</w:instrText>
      </w:r>
      <w:r w:rsidR="008B3598" w:rsidRPr="007E51FB">
        <w:rPr>
          <w:bCs/>
        </w:rPr>
        <w:fldChar w:fldCharType="separate"/>
      </w:r>
      <w:r w:rsidR="00CE6796" w:rsidRPr="007E51FB">
        <w:rPr>
          <w:bCs/>
          <w:noProof/>
        </w:rPr>
        <w:t xml:space="preserve">(Annus </w:t>
      </w:r>
      <w:r w:rsidR="00CE6796" w:rsidRPr="007E51FB">
        <w:rPr>
          <w:bCs/>
          <w:i/>
          <w:noProof/>
        </w:rPr>
        <w:t>et al.</w:t>
      </w:r>
      <w:r w:rsidR="00CE6796" w:rsidRPr="007E51FB">
        <w:rPr>
          <w:bCs/>
          <w:noProof/>
        </w:rPr>
        <w:t>, 2016)</w:t>
      </w:r>
      <w:r w:rsidR="008B3598" w:rsidRPr="007E51FB">
        <w:rPr>
          <w:bCs/>
        </w:rPr>
        <w:fldChar w:fldCharType="end"/>
      </w:r>
      <w:r w:rsidR="008B3598" w:rsidRPr="007E51FB">
        <w:rPr>
          <w:bCs/>
        </w:rPr>
        <w:t>.</w:t>
      </w:r>
    </w:p>
    <w:p w14:paraId="160B9087" w14:textId="77777777" w:rsidR="00072270" w:rsidRPr="007E51FB" w:rsidRDefault="00072270" w:rsidP="00E84C28">
      <w:pPr>
        <w:tabs>
          <w:tab w:val="left" w:pos="3428"/>
        </w:tabs>
        <w:spacing w:line="360" w:lineRule="auto"/>
        <w:jc w:val="both"/>
        <w:outlineLvl w:val="0"/>
        <w:rPr>
          <w:bCs/>
        </w:rPr>
      </w:pPr>
    </w:p>
    <w:p w14:paraId="536C24FF" w14:textId="09CC5DD3" w:rsidR="00A478B2" w:rsidRPr="007E51FB" w:rsidRDefault="00A478B2" w:rsidP="00E84C28">
      <w:pPr>
        <w:tabs>
          <w:tab w:val="left" w:pos="3428"/>
        </w:tabs>
        <w:spacing w:line="360" w:lineRule="auto"/>
        <w:jc w:val="both"/>
        <w:outlineLvl w:val="0"/>
        <w:rPr>
          <w:i/>
          <w:iCs/>
        </w:rPr>
      </w:pPr>
      <w:r w:rsidRPr="007E51FB">
        <w:rPr>
          <w:i/>
          <w:iCs/>
        </w:rPr>
        <w:t>Quantification of relative delivery ratio R1 parametric image</w:t>
      </w:r>
      <w:r w:rsidR="0073151F" w:rsidRPr="007E51FB">
        <w:rPr>
          <w:i/>
          <w:iCs/>
        </w:rPr>
        <w:t>s</w:t>
      </w:r>
    </w:p>
    <w:p w14:paraId="0374B668" w14:textId="531AF8BA" w:rsidR="00A478B2" w:rsidRPr="007E51FB" w:rsidRDefault="00490974" w:rsidP="00E84C28">
      <w:pPr>
        <w:tabs>
          <w:tab w:val="left" w:pos="3428"/>
        </w:tabs>
        <w:spacing w:line="360" w:lineRule="auto"/>
        <w:jc w:val="both"/>
        <w:outlineLvl w:val="0"/>
      </w:pPr>
      <w:bookmarkStart w:id="34" w:name="OLE_LINK65"/>
      <w:bookmarkStart w:id="35" w:name="OLE_LINK66"/>
      <w:bookmarkStart w:id="36" w:name="OLE_LINK1"/>
      <w:bookmarkStart w:id="37" w:name="OLE_LINK2"/>
      <w:r w:rsidRPr="007E51FB">
        <w:t>R1 from PiB were derived from the full</w:t>
      </w:r>
      <w:r w:rsidR="00C13F68" w:rsidRPr="007E51FB">
        <w:t xml:space="preserve"> </w:t>
      </w:r>
      <w:r w:rsidRPr="007E51FB">
        <w:t xml:space="preserve">PiB dynamic </w:t>
      </w:r>
      <w:r w:rsidR="005A0724" w:rsidRPr="007E51FB">
        <w:t>TAC</w:t>
      </w:r>
      <w:r w:rsidRPr="007E51FB">
        <w:t xml:space="preserve"> using a simplified reference tissue model</w:t>
      </w:r>
      <w:r w:rsidR="00173A86" w:rsidRPr="007E51FB">
        <w:t xml:space="preserve"> </w:t>
      </w:r>
      <w:r w:rsidRPr="007E51FB">
        <w:t xml:space="preserve">on a regional basis to characterize </w:t>
      </w:r>
      <w:r w:rsidR="00041FF4" w:rsidRPr="007E51FB">
        <w:t xml:space="preserve">regional </w:t>
      </w:r>
      <w:r w:rsidRPr="007E51FB">
        <w:t>perfusion</w:t>
      </w:r>
      <w:r w:rsidR="00041FF4" w:rsidRPr="007E51FB">
        <w:t xml:space="preserve"> relative to </w:t>
      </w:r>
      <w:r w:rsidRPr="007E51FB">
        <w:t>the cerebellar grey matter</w:t>
      </w:r>
      <w:bookmarkEnd w:id="34"/>
      <w:bookmarkEnd w:id="35"/>
      <w:r w:rsidR="002527DE" w:rsidRPr="007E51FB">
        <w:t xml:space="preserve">. </w:t>
      </w:r>
      <w:r w:rsidR="002527DE" w:rsidRPr="007B24CF">
        <w:t xml:space="preserve">The original and fitted TAC for regions with high and low amyloid burden </w:t>
      </w:r>
      <w:proofErr w:type="gramStart"/>
      <w:r w:rsidR="002527DE" w:rsidRPr="007B24CF">
        <w:t>are</w:t>
      </w:r>
      <w:proofErr w:type="gramEnd"/>
      <w:r w:rsidR="002527DE" w:rsidRPr="007B24CF">
        <w:t xml:space="preserve"> illustrated in </w:t>
      </w:r>
      <w:r w:rsidR="0073161E" w:rsidRPr="007B24CF">
        <w:t>Supplementary Figure 1.</w:t>
      </w:r>
      <w:r w:rsidR="00FB5A3F" w:rsidRPr="007B24CF">
        <w:t xml:space="preserve"> </w:t>
      </w:r>
      <w:r w:rsidR="002D4225" w:rsidRPr="007B24CF">
        <w:t>Subsequently</w:t>
      </w:r>
      <w:r w:rsidR="002D4225" w:rsidRPr="007E51FB">
        <w:t xml:space="preserve">, the R1 datasets were </w:t>
      </w:r>
      <w:proofErr w:type="spellStart"/>
      <w:r w:rsidR="002D4225" w:rsidRPr="007E51FB">
        <w:t>coregistered</w:t>
      </w:r>
      <w:proofErr w:type="spellEnd"/>
      <w:r w:rsidR="002D4225" w:rsidRPr="007E51FB">
        <w:t xml:space="preserve"> to the structural MR</w:t>
      </w:r>
      <w:r w:rsidR="00DE633B" w:rsidRPr="007E51FB">
        <w:t>I</w:t>
      </w:r>
      <w:r w:rsidR="002A7EC1" w:rsidRPr="007E51FB">
        <w:t>.</w:t>
      </w:r>
      <w:r w:rsidR="00DB27E1" w:rsidRPr="007E51FB">
        <w:t xml:space="preserve"> </w:t>
      </w:r>
      <w:r w:rsidR="00C31B2D" w:rsidRPr="007E51FB">
        <w:t xml:space="preserve">Inverse transformations were applied to resample the </w:t>
      </w:r>
      <w:proofErr w:type="spellStart"/>
      <w:r w:rsidR="00C31B2D" w:rsidRPr="007E51FB">
        <w:t>Freesurfer</w:t>
      </w:r>
      <w:proofErr w:type="spellEnd"/>
      <w:r w:rsidR="00C31B2D" w:rsidRPr="007E51FB">
        <w:t xml:space="preserve"> </w:t>
      </w:r>
      <w:r w:rsidR="006D5D3F" w:rsidRPr="007E51FB">
        <w:t xml:space="preserve">cortical </w:t>
      </w:r>
      <w:r w:rsidR="00C31B2D" w:rsidRPr="007E51FB">
        <w:t>segmentation</w:t>
      </w:r>
      <w:r w:rsidR="00234249" w:rsidRPr="007E51FB">
        <w:t>s</w:t>
      </w:r>
      <w:r w:rsidR="005E0D2B" w:rsidRPr="007E51FB">
        <w:t xml:space="preserve"> into the native R1 space</w:t>
      </w:r>
      <w:r w:rsidR="00234249" w:rsidRPr="007E51FB">
        <w:t xml:space="preserve"> </w:t>
      </w:r>
      <w:r w:rsidR="00832491" w:rsidRPr="007E51FB">
        <w:t>in order to</w:t>
      </w:r>
      <w:r w:rsidR="00234249" w:rsidRPr="007E51FB">
        <w:t xml:space="preserve"> estimate regional R1 values.</w:t>
      </w:r>
      <w:r w:rsidR="002D7B04" w:rsidRPr="007E51FB">
        <w:t xml:space="preserve"> </w:t>
      </w:r>
    </w:p>
    <w:bookmarkEnd w:id="36"/>
    <w:bookmarkEnd w:id="37"/>
    <w:p w14:paraId="722B8F56" w14:textId="12705060" w:rsidR="00F713B4" w:rsidRPr="007E51FB" w:rsidRDefault="00F713B4" w:rsidP="00E84C28">
      <w:pPr>
        <w:tabs>
          <w:tab w:val="left" w:pos="3428"/>
        </w:tabs>
        <w:spacing w:line="360" w:lineRule="auto"/>
        <w:jc w:val="both"/>
        <w:outlineLvl w:val="0"/>
        <w:rPr>
          <w:b/>
        </w:rPr>
      </w:pPr>
      <w:r w:rsidRPr="007E51FB">
        <w:rPr>
          <w:b/>
        </w:rPr>
        <w:lastRenderedPageBreak/>
        <w:t>Statistical analyses</w:t>
      </w:r>
    </w:p>
    <w:p w14:paraId="7B01E666" w14:textId="010D389B" w:rsidR="00E75EA0" w:rsidRPr="007E51FB" w:rsidRDefault="00F713B4" w:rsidP="00E84C28">
      <w:pPr>
        <w:tabs>
          <w:tab w:val="left" w:pos="3428"/>
        </w:tabs>
        <w:spacing w:line="360" w:lineRule="auto"/>
        <w:jc w:val="both"/>
        <w:outlineLvl w:val="0"/>
        <w:rPr>
          <w:bCs/>
        </w:rPr>
      </w:pPr>
      <w:r w:rsidRPr="00971C69">
        <w:rPr>
          <w:bCs/>
        </w:rPr>
        <w:t xml:space="preserve">All statistical analyses were performed </w:t>
      </w:r>
      <w:r w:rsidR="001310D4" w:rsidRPr="00971C69">
        <w:rPr>
          <w:bCs/>
        </w:rPr>
        <w:t xml:space="preserve">using the </w:t>
      </w:r>
      <w:r w:rsidRPr="00971C69">
        <w:rPr>
          <w:bCs/>
          <w:i/>
        </w:rPr>
        <w:t>R</w:t>
      </w:r>
      <w:r w:rsidRPr="00971C69">
        <w:rPr>
          <w:bCs/>
        </w:rPr>
        <w:t xml:space="preserve"> statistical package</w:t>
      </w:r>
      <w:r w:rsidR="00A430DC" w:rsidRPr="00971C69">
        <w:rPr>
          <w:bCs/>
        </w:rPr>
        <w:t xml:space="preserve">. </w:t>
      </w:r>
      <w:r w:rsidR="00F45E7F" w:rsidRPr="00971C69">
        <w:rPr>
          <w:bCs/>
        </w:rPr>
        <w:t xml:space="preserve">Normality of the </w:t>
      </w:r>
      <w:r w:rsidR="00EE603C" w:rsidRPr="00971C69">
        <w:rPr>
          <w:bCs/>
        </w:rPr>
        <w:t xml:space="preserve">main </w:t>
      </w:r>
      <w:r w:rsidR="00F45E7F" w:rsidRPr="00971C69">
        <w:rPr>
          <w:bCs/>
        </w:rPr>
        <w:t>imaging measures</w:t>
      </w:r>
      <w:r w:rsidR="00AD0FB3" w:rsidRPr="00971C69">
        <w:rPr>
          <w:bCs/>
        </w:rPr>
        <w:t xml:space="preserve"> (i.e. cortical R1, cortical PiB and cortical thickness)</w:t>
      </w:r>
      <w:r w:rsidR="00F45E7F" w:rsidRPr="00971C69">
        <w:rPr>
          <w:bCs/>
        </w:rPr>
        <w:t xml:space="preserve"> </w:t>
      </w:r>
      <w:r w:rsidR="00621DC3" w:rsidRPr="00971C69">
        <w:rPr>
          <w:bCs/>
        </w:rPr>
        <w:t>was</w:t>
      </w:r>
      <w:r w:rsidR="00F45E7F" w:rsidRPr="00971C69">
        <w:rPr>
          <w:bCs/>
        </w:rPr>
        <w:t xml:space="preserve"> assessed with skewness tests and visual inspection of density plots</w:t>
      </w:r>
      <w:r w:rsidR="00850825" w:rsidRPr="00971C69">
        <w:rPr>
          <w:bCs/>
        </w:rPr>
        <w:t xml:space="preserve">. </w:t>
      </w:r>
      <w:r w:rsidR="00826CBA" w:rsidRPr="00971C69">
        <w:rPr>
          <w:bCs/>
        </w:rPr>
        <w:t>Owing to the skewed distributions,</w:t>
      </w:r>
      <w:r w:rsidR="0099060D" w:rsidRPr="00971C69">
        <w:rPr>
          <w:bCs/>
        </w:rPr>
        <w:t xml:space="preserve"> mean R1, PiB and cortical thickness values were</w:t>
      </w:r>
      <w:r w:rsidR="00826CBA" w:rsidRPr="00971C69">
        <w:rPr>
          <w:bCs/>
        </w:rPr>
        <w:t xml:space="preserve"> subjected to inverse normal transformation</w:t>
      </w:r>
      <w:r w:rsidR="006311B6" w:rsidRPr="00971C69">
        <w:rPr>
          <w:bCs/>
        </w:rPr>
        <w:t>s</w:t>
      </w:r>
      <w:r w:rsidR="008F3810" w:rsidRPr="00971C69">
        <w:rPr>
          <w:bCs/>
        </w:rPr>
        <w:t xml:space="preserve"> so as to fulfil</w:t>
      </w:r>
      <w:r w:rsidR="007E20C3" w:rsidRPr="00971C69">
        <w:rPr>
          <w:bCs/>
        </w:rPr>
        <w:t xml:space="preserve"> the normality assumptions of</w:t>
      </w:r>
      <w:r w:rsidR="008F3810" w:rsidRPr="00971C69">
        <w:rPr>
          <w:bCs/>
        </w:rPr>
        <w:t xml:space="preserve"> linear regression and ANOVA </w:t>
      </w:r>
      <w:r w:rsidR="00EE603C" w:rsidRPr="00971C69">
        <w:rPr>
          <w:bCs/>
        </w:rPr>
        <w:fldChar w:fldCharType="begin" w:fldLock="1"/>
      </w:r>
      <w:r w:rsidR="00005758" w:rsidRPr="00971C69">
        <w:rPr>
          <w:bCs/>
        </w:rPr>
        <w:instrText>ADDIN CSL_CITATION {"citationItems":[{"id":"ITEM-1","itemData":{"DOI":"10.1016/j.jalz.2018.01.003","ISSN":"15525279","abstract":"Introduction: Metabolite, lipid, and lipoprotein lipid profiling can provide novel insights into mechanisms underlying incident dementia and Alzheimer's disease. Methods: We studied eight prospective cohorts with 22,623 participants profiled by nuclear magnetic resonance or mass spectrometry metabolomics. Four cohorts were used for discovery with replication undertaken in the other four to avoid false positives. For metabolites that survived replication, combined association results are presented. Results: Over 246,698 person-years, 995 and 745 cases of incident dementia and Alzheimer's disease were detected, respectively. Three branched-chain amino acids (isoleucine, leucine, and valine), creatinine and two very low density lipoprotein (VLDL)-specific lipoprotein lipid subclasses were associated with lower dementia risk. One high density lipoprotein (HDL; the concentration of cholesterol esters relative to total lipids in large HDL) and one VLDL (total cholesterol to total lipids ratio in very large VLDL) lipoprotein lipid subclass was associated with increased dementia risk. Branched-chain amino acids were also associated with decreased Alzheimer's disease risk and the concentration of cholesterol esters relative to total lipids in large HDL with increased Alzheimer's disease risk. Discussion: Further studies can clarify whether these molecules play a causal role in dementia pathogenesis or are merely markers of early pathology.","author":[{"dropping-particle":"","family":"Tynkkynen","given":"Juho","non-dropping-particle":"","parse-names":false,"suffix":""},{"dropping-particle":"","family":"Chouraki","given":"Vincent","non-dropping-particle":"","parse-names":false,"suffix":""},{"dropping-particle":"","family":"Lee","given":"Sven J.","non-dropping-particle":"van der","parse-names":false,"suffix":""},{"dropping-particle":"","family":"Hernesniemi","given":"Jussi","non-dropping-particle":"","parse-names":false,"suffix":""},{"dropping-particle":"","family":"Yang","given":"Qiong","non-dropping-particle":"","parse-names":false,"suffix":""},{"dropping-particle":"","family":"Li","given":"Shuo","non-dropping-particle":"","parse-names":false,"suffix":""},{"dropping-particle":"","family":"Beiser","given":"Alexa","non-dropping-particle":"","parse-names":false,"suffix":""},{"dropping-particle":"","family":"Larson","given":"Martin G.","non-dropping-particle":"","parse-names":false,"suffix":""},{"dropping-particle":"","family":"Sääksjärvi","given":"Katri","non-dropping-particle":"","parse-names":false,"suffix":""},{"dropping-particle":"","family":"Shipley","given":"Martin J.","non-dropping-particle":"","parse-names":false,"suffix":""},{"dropping-particle":"","family":"Singh-Manoux","given":"Archana","non-dropping-particle":"","parse-names":false,"suffix":""},{"dropping-particle":"","family":"Gerszten","given":"Robert E.","non-dropping-particle":"","parse-names":false,"suffix":""},{"dropping-particle":"","family":"Wang","given":"Thomas J.","non-dropping-particle":"","parse-names":false,"suffix":""},{"dropping-particle":"","family":"Havulinna","given":"Aki S.","non-dropping-particle":"","parse-names":false,"suffix":""},{"dropping-particle":"","family":"Würtz","given":"Peter","non-dropping-particle":"","parse-names":false,"suffix":""},{"dropping-particle":"","family":"Fischer","given":"Krista","non-dropping-particle":"","parse-names":false,"suffix":""},{"dropping-particle":"","family":"Demirkan","given":"Ayse","non-dropping-particle":"","parse-names":false,"suffix":""},{"dropping-particle":"","family":"Ikram","given":"M. Arfan","non-dropping-particle":"","parse-names":false,"suffix":""},{"dropping-particle":"","family":"Amin","given":"Najaf","non-dropping-particle":"","parse-names":false,"suffix":""},{"dropping-particle":"","family":"Lehtimäki","given":"Terho","non-dropping-particle":"","parse-names":false,"suffix":""},{"dropping-particle":"","family":"Kähönen","given":"Mika","non-dropping-particle":"","parse-names":false,"suffix":""},{"dropping-particle":"","family":"Perola","given":"Markus","non-dropping-particle":"","parse-names":false,"suffix":""},{"dropping-particle":"","family":"Metspalu","given":"Andres","non-dropping-particle":"","parse-names":false,"suffix":""},{"dropping-particle":"","family":"Kangas","given":"Antti J.","non-dropping-particle":"","parse-names":false,"suffix":""},{"dropping-particle":"","family":"Soininen","given":"Pasi","non-dropping-particle":"","parse-names":false,"suffix":""},{"dropping-particle":"","family":"Ala-Korpela","given":"Mika","non-dropping-particle":"","parse-names":false,"suffix":""},{"dropping-particle":"","family":"Vasan","given":"Ramachandran S.","non-dropping-particle":"","parse-names":false,"suffix":""},{"dropping-particle":"","family":"Kivimäki","given":"Mika","non-dropping-particle":"","parse-names":false,"suffix":""},{"dropping-particle":"","family":"Duijn","given":"Cornelia M.","non-dropping-particle":"van","parse-names":false,"suffix":""},{"dropping-particle":"","family":"Seshadri","given":"Sudha","non-dropping-particle":"","parse-names":false,"suffix":""},{"dropping-particle":"","family":"Salomaa","given":"Veikko","non-dropping-particle":"","parse-names":false,"suffix":""}],"container-title":"Alzheimer's and Dementia","id":"ITEM-1","issue":"6","issued":{"date-parts":[["2018"]]},"page":"723-733","title":"Association of branched-chain amino acids and other circulating metabolites with risk of incident dementia and Alzheimer's disease: A prospective study in eight cohorts","type":"article-journal","volume":"14"},"uris":["http://www.mendeley.com/documents/?uuid=2976dc94-1f29-4a4f-801e-7aa4a23f6cbc","http://www.mendeley.com/documents/?uuid=8e122fb0-d7c5-44d6-b2d4-27aae4476663"]},{"id":"ITEM-2","itemData":{"DOI":"10.1016/j.neurobiolaging.2014.11.008","author":[{"dropping-particle":"","family":"Raffield","given":"Laura M","non-dropping-particle":"","parse-names":false,"suffix":""},{"dropping-particle":"","family":"Cox","given":"Amanda J","non-dropping-particle":"","parse-names":false,"suffix":""},{"dropping-particle":"","family":"Hugenschmidt","given":"Christina E","non-dropping-particle":"","parse-names":false,"suffix":""},{"dropping-particle":"","family":"Freedman","given":"Barry I","non-dropping-particle":"","parse-names":false,"suffix":""},{"dropping-particle":"","family":"Langefeld","given":"Carl D","non-dropping-particle":"","parse-names":false,"suffix":""},{"dropping-particle":"","family":"Williamson","given":"Jeff D","non-dropping-particle":"","parse-names":false,"suffix":""},{"dropping-particle":"","family":"Hsu","given":"Fang-chi","non-dropping-particle":"","parse-names":false,"suffix":""},{"dropping-particle":"","family":"Maldjian","given":"Joseph A","non-dropping-particle":"","parse-names":false,"suffix":""},{"dropping-particle":"","family":"Bowden","given":"Donald W","non-dropping-particle":"","parse-names":false,"suffix":""}],"container-title":"Neurobiology of Aging","id":"ITEM-2","issued":{"date-parts":[["2015"]]},"page":"7-15","title":"Heritability and genetic association analysis of neuroimaging measures in the Diabetes Heart Study","type":"article-journal","volume":"36"},"uris":["http://www.mendeley.com/documents/?uuid=1452e193-b2e1-4625-9767-37378b617390","http://www.mendeley.com/documents/?uuid=02a6650b-f877-42c1-80cd-07726d792e3d"]},{"id":"ITEM-3","itemData":{"DOI":"10.1016/j.neuroimage.2015.03.005","ISSN":"10959572","abstract":"Heritability estimation has become an important tool for imaging genetics studies. The large number of voxel- and vertex-wise measurements in imaging genetics studies presents a challenge both in terms of computational intensity and the need to account for elevated false positive risk because of the multiple testing problem. There is a gap in existing tools, as standard neuroimaging software cannot estimate heritability, and yet standard quantitative genetics tools cannot provide essential neuroimaging inferences, like family-wise error corrected voxel-wise or cluster-wiseP-values. Moreover, available heritability tools rely on P-values that can be inaccurate with usual parametric inference methods.In this work we develop fast estimation and inference procedures for voxel-wise heritability, drawing on recent methodological results that simplify heritability likelihood computations (Blangero etal., 2013). We review the family of score and Wald tests and propose novel inference methods based on explained sum of squares of an auxiliary linear model. To address problems with inaccuracies with the standard results used to find P-values, we propose four different permutation schemes to allow semi-parametric inference (parametric likelihood-based estimation, non-parametric sampling distribution). In total, we evaluate 5 different significance tests for heritability, with either asymptotic parametric or permutation-basedP-value computations. We identify a number of tests that are both computationally efficient and powerful, making them ideal candidates for heritability studies in the massive data setting. We illustrate our method on fractional anisotropy measures in 859 subjects from the Genetics of Brain Structure study.","author":[{"dropping-particle":"","family":"Ganjgahi","given":"Habib","non-dropping-particle":"","parse-names":false,"suffix":""},{"dropping-particle":"","family":"Winkler","given":"Anderson M.","non-dropping-particle":"","parse-names":false,"suffix":""},{"dropping-particle":"","family":"Glahn","given":"David C.","non-dropping-particle":"","parse-names":false,"suffix":""},{"dropping-particle":"","family":"Blangero","given":"John","non-dropping-particle":"","parse-names":false,"suffix":""},{"dropping-particle":"","family":"Kochunov","given":"Peter","non-dropping-particle":"","parse-names":false,"suffix":""},{"dropping-particle":"","family":"Nichols","given":"Thomas E.","non-dropping-particle":"","parse-names":false,"suffix":""}],"container-title":"NeuroImage","id":"ITEM-3","issued":{"date-parts":[["2015"]]},"page":"256-268","publisher":"Elsevier B.V.","title":"Fast and powerful heritability inference for family-based neuroimaging studies","type":"article-journal","volume":"115"},"uris":["http://www.mendeley.com/documents/?uuid=aff4d3ed-1700-4c82-b1ac-bc1064d786d1"]},{"id":"ITEM-4","itemData":{"DOI":"10.1093/cercor/bhw321","ISSN":"14602199","abstract":"Head movements are typically viewed as a nuisance to functional magnetic resonance imaging (fMRI) analysis, and are particularly problematic for resting state fMRI. However, there is growing evidence that head motion is a behavioral trait with neural and genetic underpinnings. Using data from a large randomly ascertained extended pedigree sample of Mexican Americans (n = 689), we modeled the genetic structure of head motion during resting state fMRI and its relation to 48 other demographic and behavioral phenotypes. A replication analysis was performed using data from the Human Connectome Project, which uses an extended twin design (n = 864). In both samples, head motion was significantly heritable (h(2) = 0.313 and 0.427, respectively), and phenotypically correlated with numerous traits. The most strongly replicated relationship was between head motion and body mass index, which showed evidence of shared genetic influences in both data sets. These results highlight the need to view head motion in fMRI as a complex neurobehavioral trait correlated with a number of other demographic and behavioral phenotypes. Given this, when examining individual differences in functional connectivity, the confounding of head motion with other traits of interest needs to be taken into consideration alongside the critical important of addressing head motion artifacts.","author":[{"dropping-particle":"","family":"Hodgson","given":"Karen","non-dropping-particle":"","parse-names":false,"suffix":""},{"dropping-particle":"","family":"Poldrack","given":"Russell A.","non-dropping-particle":"","parse-names":false,"suffix":""},{"dropping-particle":"","family":"Curran","given":"Joanne E.","non-dropping-particle":"","parse-names":false,"suffix":""},{"dropping-particle":"","family":"Knowles","given":"Emma E.","non-dropping-particle":"","parse-names":false,"suffix":""},{"dropping-particle":"","family":"Mathias","given":"Samuel","non-dropping-particle":"","parse-names":false,"suffix":""},{"dropping-particle":"","family":"Göring","given":"Harald H.H.","non-dropping-particle":"","parse-names":false,"suffix":""},{"dropping-particle":"","family":"Yao","given":"Nailin","non-dropping-particle":"","parse-names":false,"suffix":""},{"dropping-particle":"","family":"Olvera","given":"Rene L.","non-dropping-particle":"","parse-names":false,"suffix":""},{"dropping-particle":"","family":"Fox","given":"Peter T.","non-dropping-particle":"","parse-names":false,"suffix":""},{"dropping-particle":"","family":"Almasy","given":"Laura","non-dropping-particle":"","parse-names":false,"suffix":""},{"dropping-particle":"","family":"Duggirala","given":"Ravi","non-dropping-particle":"","parse-names":false,"suffix":""},{"dropping-particle":"","family":"Barch","given":"Deanna M.","non-dropping-particle":"","parse-names":false,"suffix":""},{"dropping-particle":"","family":"Blangero","given":"John","non-dropping-particle":"","parse-names":false,"suffix":""},{"dropping-particle":"","family":"Glahn","given":"David C.","non-dropping-particle":"","parse-names":false,"suffix":""}],"container-title":"Cerebral cortex (New York, N.Y. : 1991)","id":"ITEM-4","issue":"12","issued":{"date-parts":[["2017"]]},"page":"5539-5546","title":"Shared Genetic Factors Influence Head Motion During MRI and Body Mass Index","type":"article-journal","volume":"27"},"uris":["http://www.mendeley.com/documents/?uuid=8769ae25-b6df-4780-b063-b7c9e08ebbb8","http://www.mendeley.com/documents/?uuid=c81f56ca-b68c-4308-a5b6-89d6e721a6a8"]}],"mendeley":{"formattedCitation":"(Ganjgahi &lt;i&gt;et al.&lt;/i&gt;, 2015; Raffield &lt;i&gt;et al.&lt;/i&gt;, 2015; Hodgson &lt;i&gt;et al.&lt;/i&gt;, 2017; Tynkkynen &lt;i&gt;et al.&lt;/i&gt;, 2018)","plainTextFormattedCitation":"(Ganjgahi et al., 2015; Raffield et al., 2015; Hodgson et al., 2017; Tynkkynen et al., 2018)","previouslyFormattedCitation":"(Ganjgahi &lt;i&gt;et al.&lt;/i&gt;, 2015; Raffield &lt;i&gt;et al.&lt;/i&gt;, 2015; Hodgson &lt;i&gt;et al.&lt;/i&gt;, 2017; Tynkkynen &lt;i&gt;et al.&lt;/i&gt;, 2018)"},"properties":{"noteIndex":0},"schema":"https://github.com/citation-style-language/schema/raw/master/csl-citation.json"}</w:instrText>
      </w:r>
      <w:r w:rsidR="00EE603C" w:rsidRPr="00971C69">
        <w:rPr>
          <w:bCs/>
        </w:rPr>
        <w:fldChar w:fldCharType="separate"/>
      </w:r>
      <w:r w:rsidR="00CE6796" w:rsidRPr="00971C69">
        <w:rPr>
          <w:bCs/>
          <w:noProof/>
        </w:rPr>
        <w:t xml:space="preserve">(Ganjgahi </w:t>
      </w:r>
      <w:r w:rsidR="00CE6796" w:rsidRPr="00971C69">
        <w:rPr>
          <w:bCs/>
          <w:i/>
          <w:noProof/>
        </w:rPr>
        <w:t>et al.</w:t>
      </w:r>
      <w:r w:rsidR="00CE6796" w:rsidRPr="00971C69">
        <w:rPr>
          <w:bCs/>
          <w:noProof/>
        </w:rPr>
        <w:t xml:space="preserve">, 2015; Raffield </w:t>
      </w:r>
      <w:r w:rsidR="00CE6796" w:rsidRPr="00971C69">
        <w:rPr>
          <w:bCs/>
          <w:i/>
          <w:noProof/>
        </w:rPr>
        <w:t>et al.</w:t>
      </w:r>
      <w:r w:rsidR="00CE6796" w:rsidRPr="00971C69">
        <w:rPr>
          <w:bCs/>
          <w:noProof/>
        </w:rPr>
        <w:t xml:space="preserve">, 2015; Hodgson </w:t>
      </w:r>
      <w:r w:rsidR="00CE6796" w:rsidRPr="00971C69">
        <w:rPr>
          <w:bCs/>
          <w:i/>
          <w:noProof/>
        </w:rPr>
        <w:t>et al.</w:t>
      </w:r>
      <w:r w:rsidR="00CE6796" w:rsidRPr="00971C69">
        <w:rPr>
          <w:bCs/>
          <w:noProof/>
        </w:rPr>
        <w:t xml:space="preserve">, 2017; Tynkkynen </w:t>
      </w:r>
      <w:r w:rsidR="00CE6796" w:rsidRPr="00971C69">
        <w:rPr>
          <w:bCs/>
          <w:i/>
          <w:noProof/>
        </w:rPr>
        <w:t>et al.</w:t>
      </w:r>
      <w:r w:rsidR="00CE6796" w:rsidRPr="00971C69">
        <w:rPr>
          <w:bCs/>
          <w:noProof/>
        </w:rPr>
        <w:t>, 2018)</w:t>
      </w:r>
      <w:r w:rsidR="00EE603C" w:rsidRPr="00971C69">
        <w:rPr>
          <w:bCs/>
        </w:rPr>
        <w:fldChar w:fldCharType="end"/>
      </w:r>
      <w:r w:rsidR="00D818D5" w:rsidRPr="00971C69">
        <w:rPr>
          <w:bCs/>
        </w:rPr>
        <w:t xml:space="preserve">. </w:t>
      </w:r>
      <w:r w:rsidR="009A1E64" w:rsidRPr="00971C69">
        <w:rPr>
          <w:bCs/>
        </w:rPr>
        <w:t>Robust linear regressions were used to compare cortical thickness and R1 between DS-POS and DS-NEG</w:t>
      </w:r>
      <w:r w:rsidR="00F65FD3" w:rsidRPr="00971C69">
        <w:rPr>
          <w:bCs/>
        </w:rPr>
        <w:t xml:space="preserve">. </w:t>
      </w:r>
      <w:r w:rsidR="00DB2790" w:rsidRPr="00971C69">
        <w:rPr>
          <w:bCs/>
        </w:rPr>
        <w:t xml:space="preserve">The model included nuisance covariates such as age, gender and cognitive status (i.e. </w:t>
      </w:r>
      <w:r w:rsidR="00926175" w:rsidRPr="00971C69">
        <w:rPr>
          <w:bCs/>
        </w:rPr>
        <w:t xml:space="preserve">those without acquired cognitive impairment, those with mild cognitive decline, and those with </w:t>
      </w:r>
      <w:r w:rsidR="00DB2790" w:rsidRPr="00971C69">
        <w:rPr>
          <w:bCs/>
        </w:rPr>
        <w:t>dementia)</w:t>
      </w:r>
      <w:r w:rsidR="003A24D5" w:rsidRPr="00971C69">
        <w:rPr>
          <w:bCs/>
        </w:rPr>
        <w:t>. A second model further adjusted for mean cortical thickness to determine whether any R1 changes are independent of brain atrophy</w:t>
      </w:r>
      <w:r w:rsidR="00A60B83" w:rsidRPr="00971C69">
        <w:rPr>
          <w:bCs/>
        </w:rPr>
        <w:t xml:space="preserve"> in DS-POS</w:t>
      </w:r>
      <w:r w:rsidR="003A24D5" w:rsidRPr="00971C69">
        <w:rPr>
          <w:bCs/>
        </w:rPr>
        <w:t>.</w:t>
      </w:r>
      <w:r w:rsidR="003A24D5" w:rsidRPr="00971C69">
        <w:rPr>
          <w:b/>
        </w:rPr>
        <w:t xml:space="preserve"> </w:t>
      </w:r>
      <w:r w:rsidR="00DB2790" w:rsidRPr="00971C69">
        <w:rPr>
          <w:b/>
        </w:rPr>
        <w:t xml:space="preserve"> </w:t>
      </w:r>
      <w:r w:rsidR="00FC09E0" w:rsidRPr="00971C69">
        <w:t>To delineate the topography of Aβ-associated R1 changes, between-group differences in regional R1 values were compared between the DS-POS and DS-NEG groups, adjusting for age, gender and cognitive status</w:t>
      </w:r>
      <w:r w:rsidR="006444CE" w:rsidRPr="00971C69">
        <w:t>es</w:t>
      </w:r>
      <w:r w:rsidR="00FC09E0" w:rsidRPr="00971C69">
        <w:t xml:space="preserve">. </w:t>
      </w:r>
      <w:r w:rsidR="00D255FA" w:rsidRPr="00971C69">
        <w:rPr>
          <w:bCs/>
        </w:rPr>
        <w:t>F</w:t>
      </w:r>
      <w:r w:rsidR="00F1532A" w:rsidRPr="00971C69">
        <w:rPr>
          <w:bCs/>
        </w:rPr>
        <w:t>alse Discovery Rate</w:t>
      </w:r>
      <w:r w:rsidR="00F65FD3" w:rsidRPr="00971C69">
        <w:rPr>
          <w:bCs/>
        </w:rPr>
        <w:t xml:space="preserve"> correction (</w:t>
      </w:r>
      <w:r w:rsidR="00F1532A" w:rsidRPr="00971C69">
        <w:rPr>
          <w:bCs/>
        </w:rPr>
        <w:t>FDR</w:t>
      </w:r>
      <w:r w:rsidR="00F65FD3" w:rsidRPr="00971C69">
        <w:rPr>
          <w:bCs/>
        </w:rPr>
        <w:t xml:space="preserve">) was </w:t>
      </w:r>
      <w:r w:rsidR="00790C22" w:rsidRPr="00971C69">
        <w:rPr>
          <w:bCs/>
        </w:rPr>
        <w:t>performed</w:t>
      </w:r>
      <w:r w:rsidR="00F65FD3" w:rsidRPr="00971C69">
        <w:rPr>
          <w:bCs/>
        </w:rPr>
        <w:t xml:space="preserve"> to account for multiple tests across the 68 cortical regions.</w:t>
      </w:r>
      <w:r w:rsidR="00256BF5" w:rsidRPr="00971C69">
        <w:rPr>
          <w:bCs/>
        </w:rPr>
        <w:t xml:space="preserve"> </w:t>
      </w:r>
      <w:r w:rsidR="00297442" w:rsidRPr="00971C69">
        <w:t xml:space="preserve">The next set of analyses were designed to address </w:t>
      </w:r>
      <w:r w:rsidR="007D03C5" w:rsidRPr="00971C69">
        <w:t>our</w:t>
      </w:r>
      <w:r w:rsidR="00297442" w:rsidRPr="00971C69">
        <w:t xml:space="preserve"> hypothesis that cortical R1 is associated </w:t>
      </w:r>
      <w:r w:rsidR="00727AFD" w:rsidRPr="00971C69">
        <w:t>with cognitive functio</w:t>
      </w:r>
      <w:r w:rsidR="00456DCE" w:rsidRPr="00971C69">
        <w:t>n</w:t>
      </w:r>
      <w:r w:rsidR="00727AFD" w:rsidRPr="00971C69">
        <w:t>.</w:t>
      </w:r>
      <w:r w:rsidR="007D03C5" w:rsidRPr="00971C69">
        <w:t xml:space="preserve"> </w:t>
      </w:r>
      <w:r w:rsidR="002303DE" w:rsidRPr="00971C69">
        <w:t>Amongst the DS-POS group with cognitive impairment, we used partial Spearman rank correlation to test the association between CAMCOG total scores and cortical R1</w:t>
      </w:r>
      <w:r w:rsidR="00515C05" w:rsidRPr="00971C69">
        <w:t xml:space="preserve">, adjusting for age, gender and mean cortical thickness. </w:t>
      </w:r>
      <w:r w:rsidR="00263FB1" w:rsidRPr="00971C69">
        <w:t>Finally,</w:t>
      </w:r>
      <w:r w:rsidR="007C3F32" w:rsidRPr="00971C69">
        <w:t xml:space="preserve"> </w:t>
      </w:r>
      <w:r w:rsidR="00753EFF" w:rsidRPr="00971C69">
        <w:t xml:space="preserve">we also compared </w:t>
      </w:r>
      <w:r w:rsidR="00737924" w:rsidRPr="00971C69">
        <w:t xml:space="preserve">mean </w:t>
      </w:r>
      <w:r w:rsidR="008F6981" w:rsidRPr="00971C69">
        <w:t xml:space="preserve">cortical </w:t>
      </w:r>
      <w:r w:rsidR="00737924" w:rsidRPr="00971C69">
        <w:t>R1 between DS adults who remained cognitively stable (n=21) and those who showed a decline in cognition that warranted a change in diagnosis</w:t>
      </w:r>
      <w:r w:rsidR="00BD666C" w:rsidRPr="00971C69">
        <w:t>,</w:t>
      </w:r>
      <w:r w:rsidR="008D4AF0" w:rsidRPr="00971C69">
        <w:t xml:space="preserve"> while</w:t>
      </w:r>
      <w:r w:rsidR="00BD666C" w:rsidRPr="00971C69">
        <w:t xml:space="preserve"> adjusting for age, gender</w:t>
      </w:r>
      <w:r w:rsidR="00753EFF" w:rsidRPr="00971C69">
        <w:t>, cognitive status and PiB status.</w:t>
      </w:r>
    </w:p>
    <w:p w14:paraId="6C755348" w14:textId="6C08F4A7" w:rsidR="00EE23F3" w:rsidRPr="007E51FB" w:rsidRDefault="00EE23F3" w:rsidP="00E84C28">
      <w:pPr>
        <w:tabs>
          <w:tab w:val="left" w:pos="3428"/>
        </w:tabs>
        <w:spacing w:line="360" w:lineRule="auto"/>
        <w:jc w:val="both"/>
        <w:outlineLvl w:val="0"/>
      </w:pPr>
    </w:p>
    <w:p w14:paraId="2E9EA27B" w14:textId="3873074C" w:rsidR="00EE23F3" w:rsidRPr="007E51FB" w:rsidRDefault="00EE23F3" w:rsidP="00E84C28">
      <w:pPr>
        <w:tabs>
          <w:tab w:val="left" w:pos="3428"/>
        </w:tabs>
        <w:spacing w:line="360" w:lineRule="auto"/>
        <w:jc w:val="both"/>
        <w:outlineLvl w:val="0"/>
        <w:rPr>
          <w:b/>
          <w:bCs/>
        </w:rPr>
      </w:pPr>
      <w:r w:rsidRPr="007E51FB">
        <w:rPr>
          <w:b/>
          <w:bCs/>
        </w:rPr>
        <w:t>Data availability</w:t>
      </w:r>
    </w:p>
    <w:p w14:paraId="39C7F7D9" w14:textId="312F851F" w:rsidR="00EE23F3" w:rsidRPr="007E51FB" w:rsidRDefault="00EE23F3" w:rsidP="00E84C28">
      <w:pPr>
        <w:tabs>
          <w:tab w:val="left" w:pos="3428"/>
        </w:tabs>
        <w:spacing w:line="360" w:lineRule="auto"/>
        <w:jc w:val="both"/>
        <w:outlineLvl w:val="0"/>
      </w:pPr>
      <w:r w:rsidRPr="007E51FB">
        <w:t>Data are available upon reasonable requests.</w:t>
      </w:r>
    </w:p>
    <w:p w14:paraId="1F1ECD7C" w14:textId="52AD8213" w:rsidR="00402649" w:rsidRPr="007E51FB" w:rsidRDefault="004360EA" w:rsidP="005D4616">
      <w:pPr>
        <w:tabs>
          <w:tab w:val="left" w:pos="3428"/>
        </w:tabs>
        <w:spacing w:line="360" w:lineRule="auto"/>
        <w:jc w:val="both"/>
        <w:outlineLvl w:val="0"/>
        <w:rPr>
          <w:b/>
          <w:bCs/>
        </w:rPr>
      </w:pPr>
      <w:r w:rsidRPr="007E51FB">
        <w:rPr>
          <w:b/>
          <w:bCs/>
        </w:rPr>
        <w:t>RESULTS</w:t>
      </w:r>
      <w:r w:rsidR="00B9798E" w:rsidRPr="007E51FB">
        <w:t xml:space="preserve"> </w:t>
      </w:r>
      <w:r w:rsidR="00B9798E" w:rsidRPr="007E51FB">
        <w:rPr>
          <w:b/>
          <w:bCs/>
        </w:rPr>
        <w:fldChar w:fldCharType="begin"/>
      </w:r>
      <w:r w:rsidR="00B9798E" w:rsidRPr="007E51FB">
        <w:rPr>
          <w:b/>
          <w:bCs/>
        </w:rPr>
        <w:instrText xml:space="preserve"> INCLUDEPICTURE "http://127.0.0.1:43477/chunk_output/s/FA919FFE/cvle0llj2sqfz/000005.png" \* MERGEFORMATINET </w:instrText>
      </w:r>
      <w:r w:rsidR="00B9798E" w:rsidRPr="007E51FB">
        <w:rPr>
          <w:b/>
          <w:bCs/>
        </w:rPr>
        <w:fldChar w:fldCharType="separate"/>
      </w:r>
      <w:r w:rsidR="00B9798E" w:rsidRPr="007E51FB">
        <w:rPr>
          <w:b/>
          <w:bCs/>
          <w:noProof/>
        </w:rPr>
        <mc:AlternateContent>
          <mc:Choice Requires="wps">
            <w:drawing>
              <wp:inline distT="0" distB="0" distL="0" distR="0" wp14:anchorId="24BB1402" wp14:editId="113171B2">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6EEAD"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815VC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00B9798E" w:rsidRPr="007E51FB">
        <w:rPr>
          <w:b/>
          <w:bCs/>
        </w:rPr>
        <w:fldChar w:fldCharType="end"/>
      </w:r>
    </w:p>
    <w:p w14:paraId="2858A96D" w14:textId="619D2F37" w:rsidR="00616CE1" w:rsidRPr="007E51FB" w:rsidRDefault="00402649" w:rsidP="00E84C28">
      <w:pPr>
        <w:spacing w:line="360" w:lineRule="auto"/>
        <w:rPr>
          <w:b/>
          <w:bCs/>
        </w:rPr>
      </w:pPr>
      <w:r w:rsidRPr="007E51FB">
        <w:rPr>
          <w:b/>
          <w:bCs/>
        </w:rPr>
        <w:t>Clinical characteristic</w:t>
      </w:r>
      <w:r w:rsidR="00616CE1" w:rsidRPr="007E51FB">
        <w:rPr>
          <w:b/>
          <w:bCs/>
        </w:rPr>
        <w:t>s</w:t>
      </w:r>
    </w:p>
    <w:p w14:paraId="6C278208" w14:textId="72710A8B" w:rsidR="00402649" w:rsidRPr="007E51FB" w:rsidRDefault="007D2979" w:rsidP="00E84C28">
      <w:pPr>
        <w:spacing w:line="360" w:lineRule="auto"/>
        <w:jc w:val="both"/>
        <w:rPr>
          <w:b/>
          <w:bCs/>
        </w:rPr>
      </w:pPr>
      <w:r w:rsidRPr="007E51FB">
        <w:t xml:space="preserve">Group comparisons of demographics and cognitive data are shown in </w:t>
      </w:r>
      <w:r w:rsidRPr="007E51FB">
        <w:rPr>
          <w:b/>
          <w:bCs/>
        </w:rPr>
        <w:t>Table 1.</w:t>
      </w:r>
      <w:r w:rsidRPr="007E51FB">
        <w:t xml:space="preserve"> </w:t>
      </w:r>
      <w:r w:rsidR="00616CE1" w:rsidRPr="007E51FB">
        <w:t>The DS-POS group were significantly older and cognitively impaired relative to the DS-NEG group</w:t>
      </w:r>
      <w:r w:rsidR="005E663A" w:rsidRPr="007E51FB">
        <w:t>. Gender distribution was not significantly different between groups.</w:t>
      </w:r>
      <w:r w:rsidR="00402649" w:rsidRPr="007E51FB">
        <w:rPr>
          <w:b/>
          <w:bCs/>
        </w:rPr>
        <w:t xml:space="preserve"> </w:t>
      </w:r>
    </w:p>
    <w:p w14:paraId="1935370A" w14:textId="77777777" w:rsidR="00971C69" w:rsidRDefault="00971C69" w:rsidP="00E84C28">
      <w:pPr>
        <w:spacing w:line="360" w:lineRule="auto"/>
        <w:rPr>
          <w:b/>
          <w:bCs/>
        </w:rPr>
      </w:pPr>
    </w:p>
    <w:p w14:paraId="53F329FD" w14:textId="21CA1987" w:rsidR="002A7D41" w:rsidRPr="007E51FB" w:rsidRDefault="002A7D41" w:rsidP="00E84C28">
      <w:pPr>
        <w:spacing w:line="360" w:lineRule="auto"/>
        <w:rPr>
          <w:b/>
          <w:bCs/>
        </w:rPr>
      </w:pPr>
      <w:r w:rsidRPr="007E51FB">
        <w:rPr>
          <w:b/>
          <w:bCs/>
        </w:rPr>
        <w:t>Group comparisons of mean cortical R1</w:t>
      </w:r>
      <w:r w:rsidR="00866A60" w:rsidRPr="007E51FB">
        <w:rPr>
          <w:b/>
          <w:bCs/>
        </w:rPr>
        <w:t xml:space="preserve"> and thickness</w:t>
      </w:r>
    </w:p>
    <w:p w14:paraId="3F469DC1" w14:textId="1471BAD2" w:rsidR="00826CFC" w:rsidRPr="007E51FB" w:rsidRDefault="00826CFC" w:rsidP="00E84C28">
      <w:pPr>
        <w:spacing w:line="360" w:lineRule="auto"/>
        <w:rPr>
          <w:i/>
          <w:iCs/>
        </w:rPr>
      </w:pPr>
      <w:r w:rsidRPr="007E51FB">
        <w:rPr>
          <w:i/>
          <w:iCs/>
        </w:rPr>
        <w:t>Global comparisons</w:t>
      </w:r>
    </w:p>
    <w:p w14:paraId="76D015B8" w14:textId="701FCD67" w:rsidR="007A6DCD" w:rsidRPr="007E51FB" w:rsidRDefault="001508EE" w:rsidP="00E84C28">
      <w:pPr>
        <w:spacing w:line="360" w:lineRule="auto"/>
        <w:jc w:val="both"/>
      </w:pPr>
      <w:r w:rsidRPr="00971C69">
        <w:lastRenderedPageBreak/>
        <w:t xml:space="preserve">After adjusting for age, gender and cognitive status, </w:t>
      </w:r>
      <w:r w:rsidR="009F798E" w:rsidRPr="00971C69">
        <w:t xml:space="preserve">robust linear regressions showed that </w:t>
      </w:r>
      <w:r w:rsidRPr="00971C69">
        <w:t xml:space="preserve">DS-POS adults </w:t>
      </w:r>
      <w:r w:rsidR="008A3287" w:rsidRPr="00971C69">
        <w:t>had</w:t>
      </w:r>
      <w:r w:rsidR="00F06747" w:rsidRPr="00971C69">
        <w:t xml:space="preserve"> </w:t>
      </w:r>
      <w:r w:rsidR="008A3287" w:rsidRPr="00971C69">
        <w:t>sig</w:t>
      </w:r>
      <w:r w:rsidRPr="00971C69">
        <w:t xml:space="preserve">nificantly reduced mean </w:t>
      </w:r>
      <w:r w:rsidR="003A1EB0" w:rsidRPr="00971C69">
        <w:t xml:space="preserve">cortical </w:t>
      </w:r>
      <w:r w:rsidRPr="00971C69">
        <w:t xml:space="preserve">R1 compared to DS-NEG adults </w:t>
      </w:r>
      <w:r w:rsidR="00917A0D" w:rsidRPr="00971C69">
        <w:t>(p = 0.01).</w:t>
      </w:r>
      <w:r w:rsidR="00257F90" w:rsidRPr="00971C69">
        <w:t xml:space="preserve"> </w:t>
      </w:r>
      <w:r w:rsidR="00ED1036" w:rsidRPr="00971C69">
        <w:rPr>
          <w:color w:val="333333"/>
        </w:rPr>
        <w:t>The Wilcoxon Rank Sum test was also used to evaluate group differences of mean R1, showing significantly decreased mean R1 in DS-POS relative to DS-NEG (W = 481, p &lt; 0.001)</w:t>
      </w:r>
      <w:r w:rsidR="00CD5FAA" w:rsidRPr="00971C69">
        <w:rPr>
          <w:color w:val="333333"/>
        </w:rPr>
        <w:t xml:space="preserve">. </w:t>
      </w:r>
      <w:r w:rsidR="00147FC1" w:rsidRPr="00971C69">
        <w:t>Furthermore</w:t>
      </w:r>
      <w:r w:rsidR="00A8701D" w:rsidRPr="00971C69">
        <w:t>,</w:t>
      </w:r>
      <w:r w:rsidR="00CD5FAA" w:rsidRPr="00971C69">
        <w:t xml:space="preserve"> </w:t>
      </w:r>
      <w:r w:rsidR="00A8701D" w:rsidRPr="00971C69">
        <w:t xml:space="preserve">the R1 deficit remained significant after controlling for </w:t>
      </w:r>
      <w:r w:rsidR="00C1282A" w:rsidRPr="00971C69">
        <w:t>mean cortical thickness</w:t>
      </w:r>
      <w:r w:rsidR="00FC2FBB" w:rsidRPr="00971C69">
        <w:t xml:space="preserve"> (p </w:t>
      </w:r>
      <w:r w:rsidR="000C3285" w:rsidRPr="00971C69">
        <w:t>= 0.</w:t>
      </w:r>
      <w:r w:rsidR="007A6DCD" w:rsidRPr="00971C69">
        <w:t>03). In contrast, there was only a trend-level differences in cortical thickness within the model including age, gender, cognitive status and mean cortical R1</w:t>
      </w:r>
      <w:r w:rsidR="005911FF" w:rsidRPr="00971C69">
        <w:t xml:space="preserve"> as covariates</w:t>
      </w:r>
      <w:r w:rsidR="00CF77FB" w:rsidRPr="00971C69">
        <w:t xml:space="preserve"> </w:t>
      </w:r>
      <w:r w:rsidR="007A6DCD" w:rsidRPr="00971C69">
        <w:t>(p = 0.085).</w:t>
      </w:r>
      <w:r w:rsidR="003502D7" w:rsidRPr="00971C69">
        <w:t xml:space="preserve"> A supplementary Receiver Operator Characteristics (ROC) analysis showed that </w:t>
      </w:r>
      <w:r w:rsidR="00FD2121" w:rsidRPr="00971C69">
        <w:t xml:space="preserve">age-adjusted R1 values achieved an AUC of 64% in separating DS-POS from DS-NEG cases (Supplementary Figure </w:t>
      </w:r>
      <w:r w:rsidR="00987B7A">
        <w:t>2</w:t>
      </w:r>
      <w:r w:rsidR="00FD2121" w:rsidRPr="00971C69">
        <w:t>).</w:t>
      </w:r>
    </w:p>
    <w:p w14:paraId="34F2D29A" w14:textId="77777777" w:rsidR="001E1B6B" w:rsidRDefault="001E1B6B" w:rsidP="00E84C28">
      <w:pPr>
        <w:spacing w:line="360" w:lineRule="auto"/>
      </w:pPr>
    </w:p>
    <w:p w14:paraId="1C075BDC" w14:textId="465B3AFD" w:rsidR="00D93F58" w:rsidRPr="007E51FB" w:rsidRDefault="00D93F58" w:rsidP="00E84C28">
      <w:pPr>
        <w:spacing w:line="360" w:lineRule="auto"/>
        <w:rPr>
          <w:i/>
          <w:iCs/>
        </w:rPr>
      </w:pPr>
      <w:r w:rsidRPr="007E51FB">
        <w:rPr>
          <w:i/>
          <w:iCs/>
        </w:rPr>
        <w:t>Regional comparisons</w:t>
      </w:r>
    </w:p>
    <w:p w14:paraId="7E175FC4" w14:textId="3696B6AE" w:rsidR="001A3483" w:rsidRPr="007E51FB" w:rsidRDefault="004F4739" w:rsidP="00E84C28">
      <w:pPr>
        <w:spacing w:line="360" w:lineRule="auto"/>
        <w:jc w:val="both"/>
      </w:pPr>
      <w:r w:rsidRPr="006E0F01">
        <w:t xml:space="preserve">After adjusting for age, gender, cognitive status, we observed </w:t>
      </w:r>
      <w:r w:rsidR="00DB41AC" w:rsidRPr="006E0F01">
        <w:t xml:space="preserve">a </w:t>
      </w:r>
      <w:r w:rsidR="00CC6FFE" w:rsidRPr="006E0F01">
        <w:t>widespread pattern of s</w:t>
      </w:r>
      <w:r w:rsidRPr="006E0F01">
        <w:t>ignificant R1 reductions in the DS-POS group</w:t>
      </w:r>
      <w:r w:rsidR="00DA366B" w:rsidRPr="006E0F01">
        <w:t>, predominantly in the temporo-parietal cortices and frontal cortices (</w:t>
      </w:r>
      <w:r w:rsidR="00C7235C" w:rsidRPr="006E0F01">
        <w:t>FDR</w:t>
      </w:r>
      <w:r w:rsidR="00BC0F45" w:rsidRPr="006E0F01">
        <w:t xml:space="preserve"> p &lt; 0.05</w:t>
      </w:r>
      <w:r w:rsidR="00DA366B" w:rsidRPr="006E0F01">
        <w:t xml:space="preserve">, Figure 2). </w:t>
      </w:r>
      <w:r w:rsidR="001A3483" w:rsidRPr="006E0F01">
        <w:t xml:space="preserve"> Including the mean cortical thickness or local cortical thickness did not substantially affect the findings</w:t>
      </w:r>
      <w:r w:rsidR="00EB3022" w:rsidRPr="006E0F01">
        <w:t>.</w:t>
      </w:r>
    </w:p>
    <w:p w14:paraId="52337757" w14:textId="77777777" w:rsidR="001A3483" w:rsidRPr="007E51FB" w:rsidRDefault="001A3483" w:rsidP="00E84C28">
      <w:pPr>
        <w:spacing w:line="360" w:lineRule="auto"/>
        <w:jc w:val="both"/>
        <w:rPr>
          <w:b/>
          <w:bCs/>
        </w:rPr>
      </w:pPr>
    </w:p>
    <w:p w14:paraId="23AFE8AF" w14:textId="4218A56D" w:rsidR="00A94D68" w:rsidRPr="007E51FB" w:rsidRDefault="00A94D68" w:rsidP="00E84C28">
      <w:pPr>
        <w:spacing w:line="360" w:lineRule="auto"/>
        <w:rPr>
          <w:b/>
          <w:bCs/>
        </w:rPr>
      </w:pPr>
      <w:bookmarkStart w:id="38" w:name="OLE_LINK46"/>
      <w:bookmarkStart w:id="39" w:name="OLE_LINK47"/>
      <w:r w:rsidRPr="007E51FB">
        <w:rPr>
          <w:b/>
          <w:bCs/>
        </w:rPr>
        <w:t xml:space="preserve">Relationship between perfusion and cognitive </w:t>
      </w:r>
      <w:r w:rsidR="002C41A4" w:rsidRPr="007E51FB">
        <w:rPr>
          <w:b/>
          <w:bCs/>
        </w:rPr>
        <w:t>function</w:t>
      </w:r>
    </w:p>
    <w:bookmarkEnd w:id="38"/>
    <w:bookmarkEnd w:id="39"/>
    <w:p w14:paraId="16402207" w14:textId="6F32B73C" w:rsidR="007C7ACA" w:rsidRPr="00971C69" w:rsidRDefault="00FF4C1F" w:rsidP="00701D52">
      <w:pPr>
        <w:spacing w:line="360" w:lineRule="auto"/>
        <w:jc w:val="both"/>
      </w:pPr>
      <w:r w:rsidRPr="00971C69">
        <w:t>A</w:t>
      </w:r>
      <w:r w:rsidR="008E1B90" w:rsidRPr="00971C69">
        <w:t>mongst DS-POS cases with cognitive impairment, partial spearman correlations indicated a significant and positive association between mean cortical R1 and total CAMCOG after adjusting for age, gender, and mean cortical thickness [spearman R: 0.84, p value: 0.037]</w:t>
      </w:r>
      <w:r w:rsidR="00265A4B" w:rsidRPr="00971C69">
        <w:t xml:space="preserve"> Figure 3</w:t>
      </w:r>
      <w:r w:rsidR="008E1B90" w:rsidRPr="00971C69">
        <w:t>)</w:t>
      </w:r>
      <w:r w:rsidR="00B7466B" w:rsidRPr="00971C69">
        <w:t>. I</w:t>
      </w:r>
      <w:r w:rsidR="00123087" w:rsidRPr="00971C69">
        <w:t>n addition, there was a significant PiB Status by R1 interaction</w:t>
      </w:r>
      <w:r w:rsidR="00D926BD" w:rsidRPr="00971C69">
        <w:t xml:space="preserve"> in our robust linear regression models</w:t>
      </w:r>
      <w:r w:rsidR="00123087" w:rsidRPr="00971C69">
        <w:t>, suggesting that the effect of R1 in predicting CAMCOG scores was significantly higher in the DS-POS group compared to the DS-NEG group (p = 0.033, adjusted for age, gender, cognitive status, and mean cortical thickness).</w:t>
      </w:r>
    </w:p>
    <w:p w14:paraId="5FB8DE20" w14:textId="77777777" w:rsidR="008F78FA" w:rsidRDefault="008E1B90" w:rsidP="00E84C28">
      <w:pPr>
        <w:spacing w:line="360" w:lineRule="auto"/>
        <w:jc w:val="both"/>
      </w:pPr>
      <w:r w:rsidRPr="007E51FB">
        <w:rPr>
          <w:highlight w:val="cyan"/>
        </w:rPr>
        <w:t xml:space="preserve"> </w:t>
      </w:r>
    </w:p>
    <w:p w14:paraId="309D46F1" w14:textId="7764590A" w:rsidR="008514E4" w:rsidRPr="007E51FB" w:rsidRDefault="001E1B6B" w:rsidP="00E84C28">
      <w:pPr>
        <w:spacing w:line="360" w:lineRule="auto"/>
        <w:jc w:val="both"/>
      </w:pPr>
      <w:r>
        <w:rPr>
          <w:b/>
          <w:bCs/>
        </w:rPr>
        <w:t>Cerebral</w:t>
      </w:r>
      <w:r w:rsidR="00724FA7" w:rsidRPr="007E51FB">
        <w:rPr>
          <w:b/>
          <w:bCs/>
        </w:rPr>
        <w:t xml:space="preserve"> </w:t>
      </w:r>
      <w:r w:rsidR="00422C42" w:rsidRPr="007E51FB">
        <w:rPr>
          <w:b/>
          <w:bCs/>
        </w:rPr>
        <w:t>perfusion</w:t>
      </w:r>
      <w:r w:rsidR="00881BE8" w:rsidRPr="007E51FB">
        <w:rPr>
          <w:b/>
          <w:bCs/>
        </w:rPr>
        <w:t xml:space="preserve"> at baseline predict</w:t>
      </w:r>
      <w:r w:rsidR="00936398" w:rsidRPr="007E51FB">
        <w:rPr>
          <w:b/>
          <w:bCs/>
        </w:rPr>
        <w:t>ed</w:t>
      </w:r>
      <w:r w:rsidR="00881BE8" w:rsidRPr="007E51FB">
        <w:rPr>
          <w:b/>
          <w:bCs/>
        </w:rPr>
        <w:t xml:space="preserve"> subsequent cognitive decline</w:t>
      </w:r>
    </w:p>
    <w:p w14:paraId="68AE2155" w14:textId="156649D7" w:rsidR="00AF3019" w:rsidRPr="007E51FB" w:rsidRDefault="00507C30" w:rsidP="00E84C28">
      <w:pPr>
        <w:spacing w:line="360" w:lineRule="auto"/>
        <w:jc w:val="both"/>
      </w:pPr>
      <w:r w:rsidRPr="007E51FB">
        <w:t>Between</w:t>
      </w:r>
      <w:r w:rsidR="005D42EB" w:rsidRPr="007E51FB">
        <w:t xml:space="preserve"> 2010 – </w:t>
      </w:r>
      <w:r w:rsidR="00E5570A" w:rsidRPr="007E51FB">
        <w:t>2018</w:t>
      </w:r>
      <w:r w:rsidR="005D42EB" w:rsidRPr="007E51FB">
        <w:t xml:space="preserve">, 9 DS </w:t>
      </w:r>
      <w:r w:rsidR="001915D9" w:rsidRPr="007E51FB">
        <w:t>adults</w:t>
      </w:r>
      <w:r w:rsidR="00E874F7" w:rsidRPr="007E51FB">
        <w:t xml:space="preserve"> experienced a progressive decline in their cognitive status (i.e. </w:t>
      </w:r>
      <w:r w:rsidR="0066767A" w:rsidRPr="007E51FB">
        <w:t>No acquired cognitive decline</w:t>
      </w:r>
      <w:r w:rsidR="00E874F7" w:rsidRPr="007E51FB">
        <w:t xml:space="preserve"> </w:t>
      </w:r>
      <w:r w:rsidR="00E874F7" w:rsidRPr="007E51FB">
        <w:sym w:font="Wingdings" w:char="F0E0"/>
      </w:r>
      <w:r w:rsidR="00E874F7" w:rsidRPr="007E51FB">
        <w:t xml:space="preserve"> MCI or dementia</w:t>
      </w:r>
      <w:r w:rsidR="000A31D4" w:rsidRPr="007E51FB">
        <w:t xml:space="preserve">; </w:t>
      </w:r>
      <w:r w:rsidR="00E874F7" w:rsidRPr="007E51FB">
        <w:t xml:space="preserve">MCI </w:t>
      </w:r>
      <w:r w:rsidR="00E874F7" w:rsidRPr="007E51FB">
        <w:sym w:font="Wingdings" w:char="F0E0"/>
      </w:r>
      <w:r w:rsidR="00E874F7" w:rsidRPr="007E51FB">
        <w:t xml:space="preserve"> dementia)</w:t>
      </w:r>
      <w:r w:rsidR="0040443A" w:rsidRPr="007E51FB">
        <w:t xml:space="preserve"> while 21 remained cognitively stable</w:t>
      </w:r>
      <w:r w:rsidR="00E0490E" w:rsidRPr="007E51FB">
        <w:t>.</w:t>
      </w:r>
      <w:r w:rsidR="00406C7C" w:rsidRPr="007E51FB">
        <w:t xml:space="preserve"> </w:t>
      </w:r>
      <w:r w:rsidR="00B433E8" w:rsidRPr="00D4558A">
        <w:t>Compared to the group of DS adults that remained cognitively stable,</w:t>
      </w:r>
      <w:r w:rsidR="000B3DD8" w:rsidRPr="00D4558A">
        <w:t xml:space="preserve"> the cognitive decliners had</w:t>
      </w:r>
      <w:r w:rsidR="00BC79B1" w:rsidRPr="00D4558A">
        <w:t xml:space="preserve"> significantly lower </w:t>
      </w:r>
      <w:r w:rsidR="00C13E4E" w:rsidRPr="00D4558A">
        <w:t>R1 at baseline, adjusted for age, gender,</w:t>
      </w:r>
      <w:r w:rsidR="005C3C3C" w:rsidRPr="00D4558A">
        <w:t xml:space="preserve"> and cognitive</w:t>
      </w:r>
      <w:r w:rsidR="00C13E4E" w:rsidRPr="00D4558A">
        <w:t xml:space="preserve"> status </w:t>
      </w:r>
      <w:r w:rsidR="00BC79B1" w:rsidRPr="00D4558A">
        <w:t>(</w:t>
      </w:r>
      <w:r w:rsidR="00956394" w:rsidRPr="00D4558A">
        <w:t xml:space="preserve">robust linear regression </w:t>
      </w:r>
      <w:r w:rsidR="00BC79B1" w:rsidRPr="00D4558A">
        <w:t xml:space="preserve">p </w:t>
      </w:r>
      <w:r w:rsidR="00173EAF" w:rsidRPr="00D4558A">
        <w:t>&lt; 0.01</w:t>
      </w:r>
      <w:r w:rsidR="00017268" w:rsidRPr="00D4558A">
        <w:t>, Figure 4).</w:t>
      </w:r>
    </w:p>
    <w:p w14:paraId="6B3EFBC3" w14:textId="77777777" w:rsidR="005E3D85" w:rsidRPr="007E51FB" w:rsidRDefault="005E3D85" w:rsidP="00E84C28">
      <w:pPr>
        <w:spacing w:line="360" w:lineRule="auto"/>
        <w:jc w:val="both"/>
      </w:pPr>
    </w:p>
    <w:p w14:paraId="61DD84A6" w14:textId="77777777" w:rsidR="008B57A2" w:rsidRDefault="008B57A2" w:rsidP="00E84C28">
      <w:pPr>
        <w:spacing w:line="360" w:lineRule="auto"/>
        <w:jc w:val="both"/>
        <w:rPr>
          <w:b/>
          <w:bCs/>
        </w:rPr>
      </w:pPr>
    </w:p>
    <w:p w14:paraId="2E723835" w14:textId="10D8A278" w:rsidR="00E52206" w:rsidRPr="007E51FB" w:rsidRDefault="000308D7" w:rsidP="00E84C28">
      <w:pPr>
        <w:spacing w:line="360" w:lineRule="auto"/>
        <w:jc w:val="both"/>
        <w:rPr>
          <w:b/>
          <w:bCs/>
        </w:rPr>
      </w:pPr>
      <w:r w:rsidRPr="007E51FB">
        <w:rPr>
          <w:b/>
          <w:bCs/>
        </w:rPr>
        <w:lastRenderedPageBreak/>
        <w:t>DISCUSSION</w:t>
      </w:r>
    </w:p>
    <w:p w14:paraId="16149774" w14:textId="35D9B536" w:rsidR="00E52206" w:rsidRPr="007E51FB" w:rsidRDefault="00006817" w:rsidP="00006817">
      <w:pPr>
        <w:tabs>
          <w:tab w:val="left" w:pos="5191"/>
        </w:tabs>
        <w:spacing w:line="360" w:lineRule="auto"/>
        <w:jc w:val="both"/>
        <w:rPr>
          <w:b/>
          <w:bCs/>
        </w:rPr>
      </w:pPr>
      <w:r w:rsidRPr="007E51FB">
        <w:rPr>
          <w:b/>
          <w:bCs/>
        </w:rPr>
        <w:tab/>
      </w:r>
    </w:p>
    <w:p w14:paraId="4189F045" w14:textId="1B865FED" w:rsidR="00C94E1E" w:rsidRPr="007E51FB" w:rsidRDefault="00716929" w:rsidP="00E84C28">
      <w:pPr>
        <w:spacing w:line="360" w:lineRule="auto"/>
        <w:jc w:val="both"/>
      </w:pPr>
      <w:r w:rsidRPr="007912BC">
        <w:t xml:space="preserve">Imaging biomarkers that are sensitive to </w:t>
      </w:r>
      <w:r w:rsidR="00177BFF" w:rsidRPr="007912BC">
        <w:t>the earl</w:t>
      </w:r>
      <w:r w:rsidR="007E4E1A" w:rsidRPr="007912BC">
        <w:t>iest</w:t>
      </w:r>
      <w:r w:rsidR="00177BFF" w:rsidRPr="007912BC">
        <w:t xml:space="preserve"> stages of</w:t>
      </w:r>
      <w:r w:rsidRPr="007912BC">
        <w:t xml:space="preserve"> AD</w:t>
      </w:r>
      <w:r w:rsidR="00AC5DC1" w:rsidRPr="007912BC">
        <w:t xml:space="preserve"> </w:t>
      </w:r>
      <w:r w:rsidR="00177BFF" w:rsidRPr="007912BC">
        <w:t xml:space="preserve">progression </w:t>
      </w:r>
      <w:r w:rsidR="008F3E84" w:rsidRPr="007912BC">
        <w:t xml:space="preserve">and </w:t>
      </w:r>
      <w:r w:rsidR="00AC5DC1" w:rsidRPr="007912BC">
        <w:t xml:space="preserve">cognitive impairment are </w:t>
      </w:r>
      <w:r w:rsidR="007759F8" w:rsidRPr="007912BC">
        <w:t>critical for the optimisation of clinical trials.</w:t>
      </w:r>
      <w:r w:rsidR="005978E5" w:rsidRPr="007912BC">
        <w:t xml:space="preserve"> While</w:t>
      </w:r>
      <w:r w:rsidR="003E4F2D" w:rsidRPr="007912BC">
        <w:t xml:space="preserve"> </w:t>
      </w:r>
      <w:r w:rsidR="009176EE" w:rsidRPr="007912BC">
        <w:t>hypometabolism</w:t>
      </w:r>
      <w:r w:rsidR="003E4F2D" w:rsidRPr="007912BC">
        <w:t xml:space="preserve"> is </w:t>
      </w:r>
      <w:r w:rsidR="00E03373" w:rsidRPr="007912BC">
        <w:t>a highly sensitive measure of neurodegeneration</w:t>
      </w:r>
      <w:r w:rsidR="006847DE" w:rsidRPr="007912BC">
        <w:t xml:space="preserve">, </w:t>
      </w:r>
      <w:r w:rsidR="009176EE" w:rsidRPr="007912BC">
        <w:t>[</w:t>
      </w:r>
      <w:r w:rsidR="005978E5" w:rsidRPr="007912BC">
        <w:rPr>
          <w:vertAlign w:val="superscript"/>
        </w:rPr>
        <w:t>18</w:t>
      </w:r>
      <w:r w:rsidR="005978E5" w:rsidRPr="007912BC">
        <w:t xml:space="preserve">F]-FDG PET </w:t>
      </w:r>
      <w:r w:rsidR="008B4547" w:rsidRPr="007912BC">
        <w:t>imaging</w:t>
      </w:r>
      <w:r w:rsidR="009176EE" w:rsidRPr="007912BC">
        <w:t xml:space="preserve"> comes with drawbacks </w:t>
      </w:r>
      <w:r w:rsidR="00E03373" w:rsidRPr="007912BC">
        <w:t xml:space="preserve">in terms of </w:t>
      </w:r>
      <w:r w:rsidR="009176EE" w:rsidRPr="007912BC">
        <w:t xml:space="preserve">logistical challenges and </w:t>
      </w:r>
      <w:r w:rsidR="00C53DFC" w:rsidRPr="007912BC">
        <w:t>cumulative</w:t>
      </w:r>
      <w:r w:rsidR="009176EE" w:rsidRPr="007912BC">
        <w:t xml:space="preserve"> exposure to radioactive tracers</w:t>
      </w:r>
      <w:r w:rsidR="003622F1" w:rsidRPr="007912BC">
        <w:t xml:space="preserve"> for research participants.</w:t>
      </w:r>
      <w:r w:rsidR="00DD56E9" w:rsidRPr="007912BC">
        <w:t xml:space="preserve"> In this study,</w:t>
      </w:r>
      <w:r w:rsidR="00792CEB" w:rsidRPr="007912BC">
        <w:t xml:space="preserve"> </w:t>
      </w:r>
      <w:r w:rsidR="00A676B5" w:rsidRPr="007912BC">
        <w:t xml:space="preserve">we </w:t>
      </w:r>
      <w:r w:rsidR="00BB1D0C" w:rsidRPr="007912BC">
        <w:t>report th</w:t>
      </w:r>
      <w:r w:rsidR="00DD56E9" w:rsidRPr="007912BC">
        <w:t xml:space="preserve">e first application of </w:t>
      </w:r>
      <w:bookmarkStart w:id="40" w:name="OLE_LINK19"/>
      <w:bookmarkStart w:id="41" w:name="OLE_LINK20"/>
      <w:bookmarkStart w:id="42" w:name="OLE_LINK21"/>
      <w:r w:rsidR="00DD56E9" w:rsidRPr="007912BC">
        <w:t>[</w:t>
      </w:r>
      <w:bookmarkStart w:id="43" w:name="OLE_LINK17"/>
      <w:bookmarkStart w:id="44" w:name="OLE_LINK18"/>
      <w:r w:rsidR="00DD56E9" w:rsidRPr="007912BC">
        <w:rPr>
          <w:vertAlign w:val="superscript"/>
        </w:rPr>
        <w:t>11</w:t>
      </w:r>
      <w:r w:rsidR="00DD56E9" w:rsidRPr="007912BC">
        <w:t xml:space="preserve">C]-PiB R1 </w:t>
      </w:r>
      <w:bookmarkEnd w:id="40"/>
      <w:bookmarkEnd w:id="41"/>
      <w:bookmarkEnd w:id="42"/>
      <w:bookmarkEnd w:id="43"/>
      <w:bookmarkEnd w:id="44"/>
      <w:r w:rsidR="00DD56E9" w:rsidRPr="007912BC">
        <w:t>in a cohort of</w:t>
      </w:r>
      <w:r w:rsidR="00EB276C" w:rsidRPr="007912BC">
        <w:t xml:space="preserve"> people with DS</w:t>
      </w:r>
      <w:r w:rsidR="003C5BD8" w:rsidRPr="007912BC">
        <w:t xml:space="preserve"> a</w:t>
      </w:r>
      <w:r w:rsidR="001866D6" w:rsidRPr="007912BC">
        <w:t>nd evaluated its utilit</w:t>
      </w:r>
      <w:r w:rsidR="003B45BB" w:rsidRPr="007912BC">
        <w:t>y</w:t>
      </w:r>
      <w:r w:rsidR="004B3122" w:rsidRPr="007912BC">
        <w:t xml:space="preserve"> </w:t>
      </w:r>
      <w:r w:rsidR="00DE33BC" w:rsidRPr="007912BC">
        <w:t xml:space="preserve">as a biomarker for use in clinical trials. </w:t>
      </w:r>
      <w:r w:rsidR="004B3122" w:rsidRPr="007912BC">
        <w:t>In keeping with our hypotheses,</w:t>
      </w:r>
      <w:r w:rsidR="00D204FE" w:rsidRPr="007912BC">
        <w:t xml:space="preserve"> </w:t>
      </w:r>
      <w:r w:rsidR="004B3122" w:rsidRPr="007912BC">
        <w:t xml:space="preserve">this study </w:t>
      </w:r>
      <w:r w:rsidR="00BB1D0C" w:rsidRPr="007912BC">
        <w:t>demonstrated</w:t>
      </w:r>
      <w:r w:rsidR="006C0A4D" w:rsidRPr="007912BC">
        <w:t xml:space="preserve"> </w:t>
      </w:r>
      <w:r w:rsidR="00BB1D0C" w:rsidRPr="007912BC">
        <w:t>(</w:t>
      </w:r>
      <w:proofErr w:type="spellStart"/>
      <w:r w:rsidR="00BB1D0C" w:rsidRPr="007912BC">
        <w:t>i</w:t>
      </w:r>
      <w:proofErr w:type="spellEnd"/>
      <w:r w:rsidR="00BB1D0C" w:rsidRPr="007912BC">
        <w:t>)</w:t>
      </w:r>
      <w:r w:rsidR="00C50C4B" w:rsidRPr="007912BC">
        <w:t xml:space="preserve"> </w:t>
      </w:r>
      <w:r w:rsidR="0091596F" w:rsidRPr="007912BC">
        <w:t xml:space="preserve">that </w:t>
      </w:r>
      <w:bookmarkStart w:id="45" w:name="OLE_LINK24"/>
      <w:bookmarkStart w:id="46" w:name="OLE_LINK25"/>
      <w:r w:rsidR="0091596F" w:rsidRPr="007912BC">
        <w:t xml:space="preserve">Aβ </w:t>
      </w:r>
      <w:bookmarkEnd w:id="45"/>
      <w:bookmarkEnd w:id="46"/>
      <w:r w:rsidR="0091596F" w:rsidRPr="007912BC">
        <w:t xml:space="preserve">accumulation is </w:t>
      </w:r>
      <w:r w:rsidR="00760757" w:rsidRPr="007912BC">
        <w:t>accompanied by</w:t>
      </w:r>
      <w:r w:rsidR="0091596F" w:rsidRPr="007912BC">
        <w:t xml:space="preserve"> </w:t>
      </w:r>
      <w:r w:rsidR="009462C5" w:rsidRPr="007912BC">
        <w:t xml:space="preserve">decreased </w:t>
      </w:r>
      <w:r w:rsidR="00F25132" w:rsidRPr="007912BC">
        <w:t>cerebral perfusio</w:t>
      </w:r>
      <w:r w:rsidR="0091596F" w:rsidRPr="007912BC">
        <w:t xml:space="preserve">n </w:t>
      </w:r>
      <w:r w:rsidR="001E6133" w:rsidRPr="007912BC">
        <w:t>prior to the onset of dementia; (ii)</w:t>
      </w:r>
      <w:r w:rsidR="006755D6" w:rsidRPr="007912BC">
        <w:t xml:space="preserve"> </w:t>
      </w:r>
      <w:r w:rsidR="00AC5C04" w:rsidRPr="007912BC">
        <w:t>Deficits of R1 in DS-POS retained statistical significance after additional adjustment for cortical thickness</w:t>
      </w:r>
      <w:r w:rsidR="00305604" w:rsidRPr="007912BC">
        <w:t>; (iii)</w:t>
      </w:r>
      <w:r w:rsidR="00842D15" w:rsidRPr="007912BC">
        <w:t xml:space="preserve"> </w:t>
      </w:r>
      <w:bookmarkStart w:id="47" w:name="OLE_LINK22"/>
      <w:bookmarkStart w:id="48" w:name="OLE_LINK23"/>
      <w:r w:rsidR="009B4C9E" w:rsidRPr="007912BC">
        <w:t xml:space="preserve">baseline </w:t>
      </w:r>
      <w:r w:rsidR="006D1106" w:rsidRPr="007912BC">
        <w:t>[</w:t>
      </w:r>
      <w:r w:rsidR="006D1106" w:rsidRPr="007912BC">
        <w:rPr>
          <w:vertAlign w:val="superscript"/>
        </w:rPr>
        <w:t>11</w:t>
      </w:r>
      <w:r w:rsidR="006D1106" w:rsidRPr="007912BC">
        <w:t xml:space="preserve">C]-PiB R1 </w:t>
      </w:r>
      <w:bookmarkEnd w:id="47"/>
      <w:bookmarkEnd w:id="48"/>
      <w:r w:rsidR="006D1106" w:rsidRPr="007912BC">
        <w:t>is strongly associated</w:t>
      </w:r>
      <w:r w:rsidR="00037388" w:rsidRPr="007912BC">
        <w:t xml:space="preserve"> </w:t>
      </w:r>
      <w:r w:rsidR="00511FF6" w:rsidRPr="007912BC">
        <w:t>with cognitive impairment and subsequent decline in cognitive status.</w:t>
      </w:r>
    </w:p>
    <w:p w14:paraId="0D1AB688" w14:textId="77777777" w:rsidR="001069AB" w:rsidRPr="007E51FB" w:rsidRDefault="001069AB" w:rsidP="00E84C28">
      <w:pPr>
        <w:spacing w:line="360" w:lineRule="auto"/>
        <w:jc w:val="both"/>
      </w:pPr>
    </w:p>
    <w:p w14:paraId="73898E28" w14:textId="57EBA38C" w:rsidR="00721602" w:rsidRPr="007E51FB" w:rsidRDefault="005E2AD5" w:rsidP="00E84C28">
      <w:pPr>
        <w:spacing w:line="360" w:lineRule="auto"/>
        <w:jc w:val="both"/>
      </w:pPr>
      <w:r w:rsidRPr="007E51FB">
        <w:t>To the best of our knowledge, there ha</w:t>
      </w:r>
      <w:r w:rsidR="00E03373" w:rsidRPr="007E51FB">
        <w:t>ve</w:t>
      </w:r>
      <w:r w:rsidRPr="007E51FB">
        <w:t xml:space="preserve"> not been any prior reports of </w:t>
      </w:r>
      <w:bookmarkStart w:id="49" w:name="OLE_LINK28"/>
      <w:bookmarkStart w:id="50" w:name="OLE_LINK29"/>
      <w:r w:rsidRPr="007E51FB">
        <w:t>[</w:t>
      </w:r>
      <w:r w:rsidRPr="007E51FB">
        <w:rPr>
          <w:vertAlign w:val="superscript"/>
        </w:rPr>
        <w:t>11</w:t>
      </w:r>
      <w:r w:rsidRPr="007E51FB">
        <w:t xml:space="preserve">C]-PiB </w:t>
      </w:r>
      <w:bookmarkStart w:id="51" w:name="OLE_LINK26"/>
      <w:bookmarkStart w:id="52" w:name="OLE_LINK27"/>
      <w:r w:rsidRPr="007E51FB">
        <w:t xml:space="preserve">R1 </w:t>
      </w:r>
      <w:bookmarkEnd w:id="49"/>
      <w:bookmarkEnd w:id="50"/>
      <w:bookmarkEnd w:id="51"/>
      <w:bookmarkEnd w:id="52"/>
      <w:r w:rsidRPr="007E51FB">
        <w:t>in DS cohorts.</w:t>
      </w:r>
      <w:r w:rsidR="00631314" w:rsidRPr="007E51FB">
        <w:t xml:space="preserve"> </w:t>
      </w:r>
      <w:r w:rsidR="00406F63" w:rsidRPr="007E51FB">
        <w:t>Given</w:t>
      </w:r>
      <w:r w:rsidR="00631314" w:rsidRPr="007E51FB">
        <w:t xml:space="preserve"> the </w:t>
      </w:r>
      <w:r w:rsidR="00406F63" w:rsidRPr="007E51FB">
        <w:t>lack</w:t>
      </w:r>
      <w:r w:rsidR="00631314" w:rsidRPr="007E51FB">
        <w:t xml:space="preserve"> of [</w:t>
      </w:r>
      <w:r w:rsidR="00631314" w:rsidRPr="007E51FB">
        <w:rPr>
          <w:vertAlign w:val="superscript"/>
        </w:rPr>
        <w:t>18</w:t>
      </w:r>
      <w:r w:rsidR="00631314" w:rsidRPr="007E51FB">
        <w:t xml:space="preserve">F]-FDG PET in </w:t>
      </w:r>
      <w:r w:rsidR="00C6054E" w:rsidRPr="007E51FB">
        <w:t>this</w:t>
      </w:r>
      <w:r w:rsidR="00631314" w:rsidRPr="007E51FB">
        <w:t xml:space="preserve"> </w:t>
      </w:r>
      <w:r w:rsidR="00C6054E" w:rsidRPr="007E51FB">
        <w:t>study</w:t>
      </w:r>
      <w:r w:rsidR="00631314" w:rsidRPr="007E51FB">
        <w:t>,</w:t>
      </w:r>
      <w:r w:rsidR="00845530" w:rsidRPr="007E51FB">
        <w:t xml:space="preserve"> it is important to</w:t>
      </w:r>
      <w:r w:rsidR="00AD7496" w:rsidRPr="007E51FB">
        <w:t xml:space="preserve"> </w:t>
      </w:r>
      <w:r w:rsidR="00465B08" w:rsidRPr="007E51FB">
        <w:t>interpret</w:t>
      </w:r>
      <w:r w:rsidR="00845530" w:rsidRPr="007E51FB">
        <w:t xml:space="preserve"> our </w:t>
      </w:r>
      <w:r w:rsidR="00465B08" w:rsidRPr="007E51FB">
        <w:t>[</w:t>
      </w:r>
      <w:r w:rsidR="00465B08" w:rsidRPr="007E51FB">
        <w:rPr>
          <w:vertAlign w:val="superscript"/>
        </w:rPr>
        <w:t>11</w:t>
      </w:r>
      <w:r w:rsidR="00465B08" w:rsidRPr="007E51FB">
        <w:t xml:space="preserve">C]-PiB R1 </w:t>
      </w:r>
      <w:r w:rsidR="00845530" w:rsidRPr="007E51FB">
        <w:t xml:space="preserve">findings </w:t>
      </w:r>
      <w:r w:rsidR="00B57BAA" w:rsidRPr="007E51FB">
        <w:t>in light of</w:t>
      </w:r>
      <w:r w:rsidR="00860C12" w:rsidRPr="007E51FB">
        <w:t xml:space="preserve"> the existing literature in </w:t>
      </w:r>
      <w:r w:rsidR="006D43AA" w:rsidRPr="007E51FB">
        <w:t>AD and other familial forms of dementia.</w:t>
      </w:r>
      <w:r w:rsidR="005A7E20" w:rsidRPr="007E51FB">
        <w:t xml:space="preserve"> </w:t>
      </w:r>
      <w:r w:rsidR="00E53F0D" w:rsidRPr="007E51FB">
        <w:t xml:space="preserve"> </w:t>
      </w:r>
      <w:r w:rsidR="006440DF" w:rsidRPr="007E51FB">
        <w:t>Relative</w:t>
      </w:r>
      <w:r w:rsidR="00E53F0D" w:rsidRPr="007E51FB">
        <w:t xml:space="preserve"> to the DS-NEG group, t</w:t>
      </w:r>
      <w:r w:rsidR="0033589A" w:rsidRPr="007E51FB">
        <w:t>h</w:t>
      </w:r>
      <w:r w:rsidR="00721602" w:rsidRPr="007E51FB">
        <w:t xml:space="preserve">e reduction of cortical perfusion </w:t>
      </w:r>
      <w:r w:rsidR="002C66D4" w:rsidRPr="007E51FB">
        <w:t xml:space="preserve">in the presence of </w:t>
      </w:r>
      <w:r w:rsidR="00316077" w:rsidRPr="007E51FB">
        <w:t>elevated</w:t>
      </w:r>
      <w:r w:rsidR="002C66D4" w:rsidRPr="007E51FB">
        <w:t xml:space="preserve"> Aβ burden </w:t>
      </w:r>
      <w:r w:rsidR="00BB3949" w:rsidRPr="007E51FB">
        <w:t xml:space="preserve">is highly consistent </w:t>
      </w:r>
      <w:r w:rsidR="002C66D4" w:rsidRPr="007E51FB">
        <w:t xml:space="preserve">with the </w:t>
      </w:r>
      <w:r w:rsidR="006367F4" w:rsidRPr="007E51FB">
        <w:t xml:space="preserve">temporal </w:t>
      </w:r>
      <w:r w:rsidR="004F4E06" w:rsidRPr="007E51FB">
        <w:t xml:space="preserve">trajectory of biomarker events proposed in the </w:t>
      </w:r>
      <w:r w:rsidR="002C66D4" w:rsidRPr="007E51FB">
        <w:t>amyloid cascade model</w:t>
      </w:r>
      <w:r w:rsidR="00335ACF" w:rsidRPr="007E51FB">
        <w:t xml:space="preserve"> </w:t>
      </w:r>
      <w:r w:rsidR="00335ACF" w:rsidRPr="007E51FB">
        <w:fldChar w:fldCharType="begin" w:fldLock="1"/>
      </w:r>
      <w:r w:rsidR="00005758" w:rsidRPr="007E51FB">
        <w:instrText>ADDIN CSL_CITATION {"citationItems":[{"id":"ITEM-1","itemData":{"DOI":"10.1016/S1474-4422(12)70291-0","ISSN":"14744422","author":[{"dropping-particle":"","family":"Jack","given":"Clifford R","non-dropping-particle":"","parse-names":false,"suffix":""},{"dropping-particle":"","family":"Knopman","given":"David S","non-dropping-particle":"","parse-names":false,"suffix":""},{"dropping-particle":"","family":"Jagust","given":"William J","non-dropping-particle":"","parse-names":false,"suffix":""},{"dropping-particle":"","family":"Petersen","given":"Ronald C","non-dropping-particle":"","parse-names":false,"suffix":""},{"dropping-particle":"","family":"Weiner","given":"Michael W","non-dropping-particle":"","parse-names":false,"suffix":""},{"dropping-particle":"","family":"Aisen","given":"Paul S","non-dropping-particle":"","parse-names":false,"suffix":""},{"dropping-particle":"","family":"Shaw","given":"Leslie M","non-dropping-particle":"","parse-names":false,"suffix":""},{"dropping-particle":"","family":"Vemuri","given":"Prashanthi","non-dropping-particle":"","parse-names":false,"suffix":""},{"dropping-particle":"","family":"Wiste","given":"Heather J","non-dropping-particle":"","parse-names":false,"suffix":""},{"dropping-particle":"","family":"Weigand","given":"Stephen D","non-dropping-particle":"","parse-names":false,"suffix":""},{"dropping-particle":"","family":"Lesnick","given":"Timothy G","non-dropping-particle":"","parse-names":false,"suffix":""},{"dropping-particle":"","family":"Pankratz","given":"Vernon S","non-dropping-particle":"","parse-names":false,"suffix":""},{"dropping-particle":"","family":"Donohue","given":"Michael C","non-dropping-particle":"","parse-names":false,"suffix":""},{"dropping-particle":"","family":"Trojanowski","given":"John Q","non-dropping-particle":"","parse-names":false,"suffix":""}],"container-title":"The Lancet Neurology","id":"ITEM-1","issue":"2","issued":{"date-parts":[["2013","2"]]},"page":"207-216","title":"Tracking pathophysiological processes in Alzheimer's disease: an updated hypothetical model of dynamic biomarkers","type":"article-journal","volume":"12"},"uris":["http://www.mendeley.com/documents/?uuid=4935254c-9d90-3daf-8e04-01b183d9ea2d"]}],"mendeley":{"formattedCitation":"(Jack &lt;i&gt;et al.&lt;/i&gt;, 2013)","plainTextFormattedCitation":"(Jack et al., 2013)","previouslyFormattedCitation":"(Jack &lt;i&gt;et al.&lt;/i&gt;, 2013)"},"properties":{"noteIndex":0},"schema":"https://github.com/citation-style-language/schema/raw/master/csl-citation.json"}</w:instrText>
      </w:r>
      <w:r w:rsidR="00335ACF" w:rsidRPr="007E51FB">
        <w:fldChar w:fldCharType="separate"/>
      </w:r>
      <w:r w:rsidR="00CE6796" w:rsidRPr="007E51FB">
        <w:rPr>
          <w:noProof/>
        </w:rPr>
        <w:t xml:space="preserve">(Jack </w:t>
      </w:r>
      <w:r w:rsidR="00CE6796" w:rsidRPr="007E51FB">
        <w:rPr>
          <w:i/>
          <w:noProof/>
        </w:rPr>
        <w:t>et al.</w:t>
      </w:r>
      <w:r w:rsidR="00CE6796" w:rsidRPr="007E51FB">
        <w:rPr>
          <w:noProof/>
        </w:rPr>
        <w:t>, 2013)</w:t>
      </w:r>
      <w:r w:rsidR="00335ACF" w:rsidRPr="007E51FB">
        <w:fldChar w:fldCharType="end"/>
      </w:r>
      <w:r w:rsidR="002C66D4" w:rsidRPr="007E51FB">
        <w:t>.</w:t>
      </w:r>
      <w:r w:rsidR="007866B1" w:rsidRPr="007E51FB">
        <w:t xml:space="preserve"> </w:t>
      </w:r>
      <w:r w:rsidR="00884830" w:rsidRPr="007E51FB">
        <w:t>For instance, </w:t>
      </w:r>
      <w:r w:rsidR="00884830" w:rsidRPr="007E51FB">
        <w:rPr>
          <w:vertAlign w:val="superscript"/>
        </w:rPr>
        <w:t>18</w:t>
      </w:r>
      <w:r w:rsidR="00884830" w:rsidRPr="007E51FB">
        <w:t>F-fluorodeoxyglucose (FDG)–PET studies</w:t>
      </w:r>
      <w:r w:rsidR="00884830" w:rsidRPr="007E51FB">
        <w:rPr>
          <w:vertAlign w:val="superscript"/>
        </w:rPr>
        <w:t xml:space="preserve"> </w:t>
      </w:r>
      <w:r w:rsidR="00884830" w:rsidRPr="007E51FB">
        <w:t>reveal characteristic and progressive metabolic reductions in the posterior cingulate, precuneus, and parietal, temporal, and prefrontal brain regions beginning years before the clinical onset of AD</w:t>
      </w:r>
      <w:r w:rsidR="00AA4B23" w:rsidRPr="007E51FB">
        <w:t xml:space="preserve">. </w:t>
      </w:r>
      <w:r w:rsidR="00BF2694" w:rsidRPr="007E51FB">
        <w:t>Furthermore, o</w:t>
      </w:r>
      <w:r w:rsidR="00B73FAA" w:rsidRPr="007E51FB">
        <w:t xml:space="preserve">ur regional analyses </w:t>
      </w:r>
      <w:r w:rsidR="002B101B" w:rsidRPr="007E51FB">
        <w:t>revealed</w:t>
      </w:r>
      <w:r w:rsidR="00CB61C6" w:rsidRPr="007E51FB">
        <w:t xml:space="preserve"> a topography of perfusion deficits in DS-POS that is </w:t>
      </w:r>
      <w:r w:rsidR="00483E45" w:rsidRPr="007E51FB">
        <w:t xml:space="preserve">well aligned </w:t>
      </w:r>
      <w:r w:rsidR="00CB61C6" w:rsidRPr="007E51FB">
        <w:t xml:space="preserve">with </w:t>
      </w:r>
      <w:r w:rsidR="00483E45" w:rsidRPr="007E51FB">
        <w:t>published data</w:t>
      </w:r>
      <w:r w:rsidR="00CB61C6" w:rsidRPr="007E51FB">
        <w:t xml:space="preserve"> in AD and ADAD</w:t>
      </w:r>
      <w:r w:rsidR="002D05AA" w:rsidRPr="007E51FB">
        <w:t xml:space="preserve"> </w:t>
      </w:r>
      <w:r w:rsidR="002D05AA" w:rsidRPr="007E51FB">
        <w:fldChar w:fldCharType="begin" w:fldLock="1"/>
      </w:r>
      <w:r w:rsidR="00005758" w:rsidRPr="007E51FB">
        <w:instrText>ADDIN CSL_CITATION {"citationItems":[{"id":"ITEM-1","itemData":{"DOI":"10.1016/j.dadm.2018.08.012","ISSN":"23528729","abstract":"Introduction: 18F-fluorodeoxyglucose (FDG) positron emission tomography (PET) is commonly used to estimate neuronal injury in Alzheimer's disease (AD). Here, we evaluate the utility of dynamic PET measures of perfusion using 11C-Pittsburgh compound B (PiB) to estimate neuronal injury in comparison to FDG PET. Methods: FDG, early frames of PiB images, and relative PiB delivery rate constants (PiB-R1) were obtained from 110 participants from the Dominantly Inherited Alzheimer Network. Voxelwise, regional cross-sectional, and longitudinal analyses were done to evaluate the correlation between images and estimate the relationship of the imaging biomarkers with estimated time to disease progression based on family history. Results: Metabolism and perfusion images were spatially correlated. Regional PiB-R1 values and FDG, but not early frames of PiB images, significantly decreased in the mutation carriers with estimated year to onset and with increasing dementia severity. Discussion: Hypometabolism estimated by PiB-R1 may provide a measure of brain perfusion without increasing radiation exposure.","author":[{"dropping-particle":"","family":"Joseph-Mathurin","given":"Nelly","non-dropping-particle":"","parse-names":false,"suffix":""},{"dropping-particle":"","family":"Su","given":"Yi","non-dropping-particle":"","parse-names":false,"suffix":""},{"dropping-particle":"","family":"Blazey","given":"Tyler M.","non-dropping-particle":"","parse-names":false,"suffix":""},{"dropping-particle":"","family":"Jasielec","given":"Mateusz","non-dropping-particle":"","parse-names":false,"suffix":""},{"dropping-particle":"","family":"Vlassenko","given":"Andrei","non-dropping-particle":"","parse-names":false,"suffix":""},{"dropping-particle":"","family":"Friedrichsen","given":"Karl","non-dropping-particle":"","parse-names":false,"suffix":""},{"dropping-particle":"","family":"Gordon","given":"Brian A.","non-dropping-particle":"","parse-names":false,"suffix":""},{"dropping-particle":"","family":"Hornbeck","given":"Russ C.","non-dropping-particle":"","parse-names":false,"suffix":""},{"dropping-particle":"","family":"Cash","given":"Lisa","non-dropping-particle":"","parse-names":false,"suffix":""},{"dropping-particle":"","family":"Ances","given":"Beau M.","non-dropping-particle":"","parse-names":false,"suffix":""},{"dropping-particle":"","family":"Veale","given":"Thomas","non-dropping-particle":"","parse-names":false,"suffix":""},{"dropping-particle":"","family":"Cash","given":"David M.","non-dropping-particle":"","parse-names":false,"suffix":""},{"dropping-particle":"","family":"Brickman","given":"Adam M.","non-dropping-particle":"","parse-names":false,"suffix":""},{"dropping-particle":"","family":"Buckles","given":"Virginia","non-dropping-particle":"","parse-names":false,"suffix":""},{"dropping-particle":"","family":"Cairns","given":"Nigel J.","non-dropping-particle":"","parse-names":false,"suffix":""},{"dropping-particle":"","family":"Cruchaga","given":"Carlos","non-dropping-particle":"","parse-names":false,"suffix":""},{"dropping-particle":"","family":"Goate","given":"Alison","non-dropping-particle":"","parse-names":false,"suffix":""},{"dropping-particle":"","family":"Jack","given":"Clifford R.","non-dropping-particle":"","parse-names":false,"suffix":""},{"dropping-particle":"","family":"Karch","given":"Celeste","non-dropping-particle":"","parse-names":false,"suffix":""},{"dropping-particle":"","family":"Klunk","given":"William","non-dropping-particle":"","parse-names":false,"suffix":""},{"dropping-particle":"","family":"Koeppe","given":"Robert A.","non-dropping-particle":"","parse-names":false,"suffix":""},{"dropping-particle":"","family":"Marcus","given":"Daniel S.","non-dropping-particle":"","parse-names":false,"suffix":""},{"dropping-particle":"","family":"Mayeux","given":"Richard","non-dropping-particle":"","parse-names":false,"suffix":""},{"dropping-particle":"","family":"McDade","given":"Eric","non-dropping-particle":"","parse-names":false,"suffix":""},{"dropping-particle":"","family":"Noble","given":"James M.","non-dropping-particle":"","parse-names":false,"suffix":""},{"dropping-particle":"","family":"Ringman","given":"John","non-dropping-particle":"","parse-names":false,"suffix":""},{"dropping-particle":"","family":"Saykin","given":"Andrew J.","non-dropping-particle":"","parse-names":false,"suffix":""},{"dropping-particle":"","family":"Thompson","given":"Paul M.","non-dropping-particle":"","parse-names":false,"suffix":""},{"dropping-particle":"","family":"Xiong","given":"Chengjie","non-dropping-particle":"","parse-names":false,"suffix":""},{"dropping-particle":"","family":"Morris","given":"John C.","non-dropping-particle":"","parse-names":false,"suffix":""},{"dropping-particle":"","family":"Bateman","given":"Randall J.","non-dropping-particle":"","parse-names":false,"suffix":""},{"dropping-particle":"","family":"Benzinger","given":"Tammie L.S.","non-dropping-particle":"","parse-names":false,"suffix":""}],"container-title":"Alzheimer's and Dementia: Diagnosis, Assessment and Disease Monitoring","id":"ITEM-1","issued":{"date-parts":[["2018"]]},"page":"669-677","title":"Utility of perfusion PET measures to assess neuronal injury in Alzheimer's disease","type":"article-journal","volume":"10"},"uris":["http://www.mendeley.com/documents/?uuid=7af6b85d-c08a-4fcf-80db-5492d18a042d"]}],"mendeley":{"formattedCitation":"(Joseph-Mathurin &lt;i&gt;et al.&lt;/i&gt;, 2018)","plainTextFormattedCitation":"(Joseph-Mathurin et al., 2018)","previouslyFormattedCitation":"(Joseph-Mathurin &lt;i&gt;et al.&lt;/i&gt;, 2018)"},"properties":{"noteIndex":0},"schema":"https://github.com/citation-style-language/schema/raw/master/csl-citation.json"}</w:instrText>
      </w:r>
      <w:r w:rsidR="002D05AA" w:rsidRPr="007E51FB">
        <w:fldChar w:fldCharType="separate"/>
      </w:r>
      <w:r w:rsidR="00CE6796" w:rsidRPr="007E51FB">
        <w:rPr>
          <w:noProof/>
        </w:rPr>
        <w:t xml:space="preserve">(Joseph-Mathurin </w:t>
      </w:r>
      <w:r w:rsidR="00CE6796" w:rsidRPr="007E51FB">
        <w:rPr>
          <w:i/>
          <w:noProof/>
        </w:rPr>
        <w:t>et al.</w:t>
      </w:r>
      <w:r w:rsidR="00CE6796" w:rsidRPr="007E51FB">
        <w:rPr>
          <w:noProof/>
        </w:rPr>
        <w:t>, 2018)</w:t>
      </w:r>
      <w:r w:rsidR="002D05AA" w:rsidRPr="007E51FB">
        <w:fldChar w:fldCharType="end"/>
      </w:r>
      <w:r w:rsidR="00CB61C6" w:rsidRPr="007E51FB">
        <w:t xml:space="preserve">.  </w:t>
      </w:r>
      <w:r w:rsidR="00A2340C" w:rsidRPr="007E51FB">
        <w:t xml:space="preserve">In particular, </w:t>
      </w:r>
      <w:r w:rsidR="006F1FFA" w:rsidRPr="007E51FB">
        <w:t>the DS-POS group showed</w:t>
      </w:r>
      <w:r w:rsidR="00A2340C" w:rsidRPr="007E51FB">
        <w:t xml:space="preserve"> </w:t>
      </w:r>
      <w:r w:rsidR="006F1FFA" w:rsidRPr="007E51FB">
        <w:t xml:space="preserve">significant perfusion deficits in </w:t>
      </w:r>
      <w:r w:rsidR="004F73EF" w:rsidRPr="007E51FB">
        <w:t xml:space="preserve">precuneus, </w:t>
      </w:r>
      <w:r w:rsidR="006F1FFA" w:rsidRPr="007E51FB">
        <w:t xml:space="preserve">posterior cingulate and </w:t>
      </w:r>
      <w:r w:rsidR="000B553B" w:rsidRPr="007E51FB">
        <w:t xml:space="preserve">lateral </w:t>
      </w:r>
      <w:proofErr w:type="spellStart"/>
      <w:r w:rsidR="000B553B" w:rsidRPr="007E51FB">
        <w:t>temoro</w:t>
      </w:r>
      <w:proofErr w:type="spellEnd"/>
      <w:r w:rsidR="000B553B" w:rsidRPr="007E51FB">
        <w:t>-</w:t>
      </w:r>
      <w:r w:rsidR="006F1FFA" w:rsidRPr="007E51FB">
        <w:t>parietal regions</w:t>
      </w:r>
      <w:r w:rsidR="005C6D93" w:rsidRPr="007E51FB">
        <w:t xml:space="preserve"> – regions that are preferentially affected in the early </w:t>
      </w:r>
      <w:r w:rsidR="00F45EA6" w:rsidRPr="007E51FB">
        <w:t>stages</w:t>
      </w:r>
      <w:r w:rsidR="005C6D93" w:rsidRPr="007E51FB">
        <w:t xml:space="preserve"> of AD</w:t>
      </w:r>
      <w:r w:rsidR="000B553B" w:rsidRPr="007E51FB">
        <w:t xml:space="preserve"> with FDG-PET</w:t>
      </w:r>
      <w:r w:rsidR="005C6D93" w:rsidRPr="007E51FB">
        <w:t>.</w:t>
      </w:r>
      <w:r w:rsidR="00DB399A" w:rsidRPr="007E51FB">
        <w:t xml:space="preserve"> </w:t>
      </w:r>
      <w:r w:rsidR="003721D9" w:rsidRPr="007E51FB">
        <w:t xml:space="preserve">Our data </w:t>
      </w:r>
      <w:r w:rsidR="00DB399A" w:rsidRPr="007E51FB">
        <w:t xml:space="preserve">also </w:t>
      </w:r>
      <w:r w:rsidR="00F907C2" w:rsidRPr="007E51FB">
        <w:t xml:space="preserve">substantiated </w:t>
      </w:r>
      <w:r w:rsidR="00F8005C" w:rsidRPr="007E51FB">
        <w:t xml:space="preserve">a </w:t>
      </w:r>
      <w:r w:rsidR="000A7AF8" w:rsidRPr="007E51FB">
        <w:t xml:space="preserve">similar finding of </w:t>
      </w:r>
      <w:r w:rsidR="00325165" w:rsidRPr="007E51FB">
        <w:t>hypo</w:t>
      </w:r>
      <w:r w:rsidR="00DB0A16" w:rsidRPr="007E51FB">
        <w:t xml:space="preserve">metabolism in </w:t>
      </w:r>
      <w:r w:rsidR="00266C77" w:rsidRPr="007E51FB">
        <w:t>a small</w:t>
      </w:r>
      <w:r w:rsidR="00316AFC" w:rsidRPr="007E51FB">
        <w:t>er</w:t>
      </w:r>
      <w:r w:rsidR="00266C77" w:rsidRPr="007E51FB">
        <w:t xml:space="preserve"> sample of </w:t>
      </w:r>
      <w:r w:rsidR="00DB0A16" w:rsidRPr="007E51FB">
        <w:t xml:space="preserve">DS adults </w:t>
      </w:r>
      <w:r w:rsidR="00783137" w:rsidRPr="007E51FB">
        <w:t xml:space="preserve">with a clinical diagnosis of AD </w:t>
      </w:r>
      <w:r w:rsidR="00266C77" w:rsidRPr="007E51FB">
        <w:t>(n =</w:t>
      </w:r>
      <w:r w:rsidR="00783137" w:rsidRPr="007E51FB">
        <w:t xml:space="preserve"> 5) </w:t>
      </w:r>
      <w:r w:rsidR="00DB0A16" w:rsidRPr="007E51FB">
        <w:fldChar w:fldCharType="begin" w:fldLock="1"/>
      </w:r>
      <w:r w:rsidR="00005758" w:rsidRPr="007E51FB">
        <w:instrText>ADDIN CSL_CITATION {"citationItems":[{"id":"ITEM-1","itemData":{"DOI":"10.1016/j.jalz.2015.01.006","ISSN":"1552-5279","PMID":"25849033","abstract":"INTRODUCTION Down syndrome (DS) is associated with amyloid b (Ab) deposition. METHODS We characterized imaging measurements of regional fibrillar Ab burden, cerebral metabolic rate for glucose (rCMRgl), gray matter volumes (rGMVs), and age associations in 5 DS with dementia (DS/AD1), 12 DS without dementia (DS/AD2), and 9 normal controls (NCs). RESULTS There were significant group differences in mean standard uptake value ratios (SUVRs) for florbetapir with DS/AD1 having the highest, followed by DS/AD2, followed by NC. For [18F]-fluorodeoxyglucose positron emission tomography, posterior cingulate rCMRgl in DS/AD1 was significantly reduced compared with DS/AD2 and NC. For volumetric magnetic resonance imaging (vMRI), hippocampal volumes were significantly reduced for the DS/AD1 compared with DS/AD2 and NC. Age-related SUVR increases and rCMRgl reductions were greater in DS participants than in NCs. DISCUSSION DS is associated with fibrillar Ab, rCMRgl, and rGMV alterations in the dementia stage and before the presence of clinical decline. This study provides a foundation for the studies needed to inform treatment and prevention in DS.","author":[{"dropping-particle":"","family":"Sabbagh","given":"Marwan N","non-dropping-particle":"","parse-names":false,"suffix":""},{"dropping-particle":"","family":"Chen","given":"Kewei","non-dropping-particle":"","parse-names":false,"suffix":""},{"dropping-particle":"","family":"Rogers","given":"Joseph","non-dropping-particle":"","parse-names":false,"suffix":""},{"dropping-particle":"","family":"Fleisher","given":"Adam S","non-dropping-particle":"","parse-names":false,"suffix":""},{"dropping-particle":"","family":"Liebsack","given":"Carolyn","non-dropping-particle":"","parse-names":false,"suffix":""},{"dropping-particle":"","family":"Bandy","given":"Dan","non-dropping-particle":"","parse-names":false,"suffix":""},{"dropping-particle":"","family":"Belden","given":"Christine","non-dropping-particle":"","parse-names":false,"suffix":""},{"dropping-particle":"","family":"Protas","given":"Hillary","non-dropping-particle":"","parse-names":false,"suffix":""},{"dropping-particle":"","family":"Thiyyagura","given":"Pradeep","non-dropping-particle":"","parse-names":false,"suffix":""},{"dropping-particle":"","family":"Liu","given":"Xiaofen","non-dropping-particle":"","parse-names":false,"suffix":""},{"dropping-particle":"","family":"Roontiva","given":"Auttawut","non-dropping-particle":"","parse-names":false,"suffix":""},{"dropping-particle":"","family":"Luo","given":"Ji","non-dropping-particle":"","parse-names":false,"suffix":""},{"dropping-particle":"","family":"Jacobson","given":"Sandra","non-dropping-particle":"","parse-names":false,"suffix":""},{"dropping-particle":"","family":"Malek-Ahmadi","given":"Michael","non-dropping-particle":"","parse-names":false,"suffix":""},{"dropping-particle":"","family":"Powell","given":"Jessica","non-dropping-particle":"","parse-names":false,"suffix":""},{"dropping-particle":"","family":"Reiman","given":"Eric M","non-dropping-particle":"","parse-names":false,"suffix":""}],"container-title":"Alzheimer's &amp; Dementia : the journal of the Alzheimer's Association","id":"ITEM-1","issue":"8","issued":{"date-parts":[["2015","8"]]},"page":"994-1004","publisher":"NIH Public Access","title":"Florbetapir PET, FDG PET, and MRI in Down syndrome individuals with and without Alzheimer's dementia.","type":"article-journal","volume":"11"},"uris":["http://www.mendeley.com/documents/?uuid=1dab784c-e94d-30dc-bcfc-a1d69862880c"]}],"mendeley":{"formattedCitation":"(Sabbagh &lt;i&gt;et al.&lt;/i&gt;, 2015)","plainTextFormattedCitation":"(Sabbagh et al., 2015)","previouslyFormattedCitation":"(Sabbagh &lt;i&gt;et al.&lt;/i&gt;, 2015)"},"properties":{"noteIndex":0},"schema":"https://github.com/citation-style-language/schema/raw/master/csl-citation.json"}</w:instrText>
      </w:r>
      <w:r w:rsidR="00DB0A16" w:rsidRPr="007E51FB">
        <w:fldChar w:fldCharType="separate"/>
      </w:r>
      <w:r w:rsidR="00CE6796" w:rsidRPr="007E51FB">
        <w:rPr>
          <w:noProof/>
        </w:rPr>
        <w:t xml:space="preserve">(Sabbagh </w:t>
      </w:r>
      <w:r w:rsidR="00CE6796" w:rsidRPr="007E51FB">
        <w:rPr>
          <w:i/>
          <w:noProof/>
        </w:rPr>
        <w:t>et al.</w:t>
      </w:r>
      <w:r w:rsidR="00CE6796" w:rsidRPr="007E51FB">
        <w:rPr>
          <w:noProof/>
        </w:rPr>
        <w:t>, 2015)</w:t>
      </w:r>
      <w:r w:rsidR="00DB0A16" w:rsidRPr="007E51FB">
        <w:fldChar w:fldCharType="end"/>
      </w:r>
      <w:r w:rsidR="00DB0A16" w:rsidRPr="007E51FB">
        <w:t>.</w:t>
      </w:r>
      <w:r w:rsidR="00B8381E" w:rsidRPr="007E51FB">
        <w:t xml:space="preserve"> </w:t>
      </w:r>
      <w:r w:rsidR="00B9059F" w:rsidRPr="007E51FB">
        <w:t xml:space="preserve">Decreased posterior cingulate metabolism has </w:t>
      </w:r>
      <w:r w:rsidR="00283E98" w:rsidRPr="007E51FB">
        <w:t>also</w:t>
      </w:r>
      <w:r w:rsidR="00B9059F" w:rsidRPr="007E51FB">
        <w:t xml:space="preserve"> been </w:t>
      </w:r>
      <w:r w:rsidR="008F3C63" w:rsidRPr="007E51FB">
        <w:t>observed</w:t>
      </w:r>
      <w:r w:rsidR="00B9059F" w:rsidRPr="007E51FB">
        <w:t xml:space="preserve"> in asymptomatic APOE4 </w:t>
      </w:r>
      <w:r w:rsidR="00283E98" w:rsidRPr="007E51FB">
        <w:t>carriers</w:t>
      </w:r>
      <w:r w:rsidR="00B9059F" w:rsidRPr="007E51FB">
        <w:t xml:space="preserve"> in the general population</w:t>
      </w:r>
      <w:r w:rsidR="00283E98" w:rsidRPr="007E51FB">
        <w:t xml:space="preserve"> </w:t>
      </w:r>
      <w:r w:rsidR="00283E98" w:rsidRPr="007E51FB">
        <w:fldChar w:fldCharType="begin" w:fldLock="1"/>
      </w:r>
      <w:r w:rsidR="00005758" w:rsidRPr="007E51FB">
        <w:instrText>ADDIN CSL_CITATION {"citationItems":[{"id":"ITEM-1","itemData":{"DOI":"10.1001/2013.jamaneurol.286","ISBN":"2168-6157 (Electronic)\\r2168-6149 (Linking)","ISSN":"2168-6157","PMID":"23599929","abstract":"OBJECTIVE: To characterize and compare measurements of the posterior cingulate glucose metabolism, the hippocampal glucose metabolism, and hippocampal volume so as to distinguish cognitively normal, late-middle-aged persons with 2, 1, or 0 copies of the apolipoprotein E (APOE) epsilon4 allele, reflecting 3 levels of risk for late-onset Alzheimer disease. DESIGN: Cross-sectional comparison of measurements of cerebral glucose metabolism using 18F-fluorodeoxyglucose positron emission tomography and measurements of brain volume using magnetic resonance imaging in cognitively normal epsilon4 homozygotes, epsilon4 heterozygotes, and noncarriers. SETTING: Academic medical center. PARTICIPANTS: A total of 31 epsilon4 homozygotes, 42 epsilon4 heterozygotes, and 76 noncarriers, 49 to 67 years old, matched for sex, age, and educational level. MAIN OUTCOME MEASURES: The measurements of posterior cingulate and hippocampal glucose metabolism were characterized using automated region-of-interest algorithms and normalized for whole-brain measurements. The hippocampal volume measurements were characterized using a semiautomated algorithm and normalized for total intracranial volume. RESULTS: Although there were no significant differences among the 3 groups of participants in their clinical ratings, neuropsychological test scores, hippocampal volumes (P = .60), or hippocampal glucose metabolism measurements (P = .12), there were significant group differences in their posterior cingulate glucose metabolism measurements (P = .001). The APOE epsilon4 gene dose was significantly associated with posterior cingulate glucose metabolism (r = 0.29, P = .0003), and this association was significantly greater than those with hippocampal volume or hippocampal glucose metabolism (P &lt; .05, determined by use of pairwise Fisher z tests). CONCLUSIONS: Although our findings may depend in part on the analysis algorithms used, they suggest that a reduction in posterior cingulate glucose metabolism precedes a reduction in hippocampal volume or metabolism in cognitively normal persons at increased genetic risk for Alzheimer disease.","author":[{"dropping-particle":"","family":"Protas","given":"H D","non-dropping-particle":"","parse-names":false,"suffix":""},{"dropping-particle":"","family":"Chen","given":"K","non-dropping-particle":"","parse-names":false,"suffix":""},{"dropping-particle":"","family":"Langbaum","given":"J B","non-dropping-particle":"","parse-names":false,"suffix":""},{"dropping-particle":"","family":"Fleisher","given":"a S","non-dropping-particle":"","parse-names":false,"suffix":""},{"dropping-particle":"","family":"Alexander","given":"G E","non-dropping-particle":"","parse-names":false,"suffix":""},{"dropping-particle":"","family":"Lee","given":"W","non-dropping-particle":"","parse-names":false,"suffix":""},{"dropping-particle":"","family":"Bandy","given":"D","non-dropping-particle":"","parse-names":false,"suffix":""},{"dropping-particle":"","family":"Leon","given":"M J","non-dropping-particle":"de","parse-names":false,"suffix":""},{"dropping-particle":"","family":"Mosconi","given":"L","non-dropping-particle":"","parse-names":false,"suffix":""},{"dropping-particle":"","family":"Buckley","given":"S","non-dropping-particle":"","parse-names":false,"suffix":""},{"dropping-particle":"","family":"Truran-Sacrey","given":"D","non-dropping-particle":"","parse-names":false,"suffix":""},{"dropping-particle":"","family":"Schuff","given":"N","non-dropping-particle":"","parse-names":false,"suffix":""},{"dropping-particle":"","family":"Weiner","given":"M W","non-dropping-particle":"","parse-names":false,"suffix":""},{"dropping-particle":"","family":"Caselli","given":"R J","non-dropping-particle":"","parse-names":false,"suffix":""},{"dropping-particle":"","family":"Reiman","given":"E M","non-dropping-particle":"","parse-names":false,"suffix":""}],"container-title":"JAMA Neurol","id":"ITEM-1","issue":"3","issued":{"date-parts":[["2013"]]},"page":"320-325","title":"Posterior cingulate glucose metabolism, hippocampal glucose metabolism, and hippocampal volume in cognitively normal, late-middle-aged persons at 3 levels of genetic risk for Alzheimer disease","type":"article-journal","volume":"70"},"uris":["http://www.mendeley.com/documents/?uuid=8d5be5ae-cec5-4bf1-aa7a-cbebaa1ca986"]}],"mendeley":{"formattedCitation":"(Protas &lt;i&gt;et al.&lt;/i&gt;, 2013)","plainTextFormattedCitation":"(Protas et al., 2013)","previouslyFormattedCitation":"(Protas &lt;i&gt;et al.&lt;/i&gt;, 2013)"},"properties":{"noteIndex":0},"schema":"https://github.com/citation-style-language/schema/raw/master/csl-citation.json"}</w:instrText>
      </w:r>
      <w:r w:rsidR="00283E98" w:rsidRPr="007E51FB">
        <w:fldChar w:fldCharType="separate"/>
      </w:r>
      <w:r w:rsidR="00CE6796" w:rsidRPr="007E51FB">
        <w:rPr>
          <w:noProof/>
        </w:rPr>
        <w:t xml:space="preserve">(Protas </w:t>
      </w:r>
      <w:r w:rsidR="00CE6796" w:rsidRPr="007E51FB">
        <w:rPr>
          <w:i/>
          <w:noProof/>
        </w:rPr>
        <w:t>et al.</w:t>
      </w:r>
      <w:r w:rsidR="00CE6796" w:rsidRPr="007E51FB">
        <w:rPr>
          <w:noProof/>
        </w:rPr>
        <w:t>, 2013)</w:t>
      </w:r>
      <w:r w:rsidR="00283E98" w:rsidRPr="007E51FB">
        <w:fldChar w:fldCharType="end"/>
      </w:r>
      <w:r w:rsidR="00283E98" w:rsidRPr="007E51FB">
        <w:t xml:space="preserve">. </w:t>
      </w:r>
    </w:p>
    <w:p w14:paraId="0CE95F23" w14:textId="5930648C" w:rsidR="00C467C9" w:rsidRPr="007E51FB" w:rsidRDefault="00C467C9" w:rsidP="00E84C28">
      <w:pPr>
        <w:spacing w:line="360" w:lineRule="auto"/>
        <w:jc w:val="both"/>
      </w:pPr>
    </w:p>
    <w:p w14:paraId="5897C90F" w14:textId="4982EA41" w:rsidR="00FA6811" w:rsidRPr="007E51FB" w:rsidRDefault="00843F74" w:rsidP="00E84C28">
      <w:pPr>
        <w:spacing w:line="360" w:lineRule="auto"/>
        <w:jc w:val="both"/>
        <w:rPr>
          <w:strike/>
        </w:rPr>
      </w:pPr>
      <w:r w:rsidRPr="007912BC">
        <w:t xml:space="preserve">At present, </w:t>
      </w:r>
      <w:r w:rsidR="009F2AFC" w:rsidRPr="007912BC">
        <w:t>one of</w:t>
      </w:r>
      <w:r w:rsidRPr="007912BC">
        <w:t xml:space="preserve"> </w:t>
      </w:r>
      <w:r w:rsidR="008C248B" w:rsidRPr="007912BC">
        <w:t>key challeng</w:t>
      </w:r>
      <w:r w:rsidRPr="007912BC">
        <w:t>e</w:t>
      </w:r>
      <w:r w:rsidR="009F2AFC" w:rsidRPr="007912BC">
        <w:t>s</w:t>
      </w:r>
      <w:r w:rsidR="008C248B" w:rsidRPr="007912BC">
        <w:t xml:space="preserve"> </w:t>
      </w:r>
      <w:r w:rsidR="004B2B0F" w:rsidRPr="007912BC">
        <w:t xml:space="preserve">for </w:t>
      </w:r>
      <w:r w:rsidR="002F69E2" w:rsidRPr="007912BC">
        <w:t xml:space="preserve">a </w:t>
      </w:r>
      <w:r w:rsidR="004B2B0F" w:rsidRPr="007912BC">
        <w:t>candidate biomarker</w:t>
      </w:r>
      <w:r w:rsidR="002F69E2" w:rsidRPr="007912BC">
        <w:t xml:space="preserve"> </w:t>
      </w:r>
      <w:r w:rsidR="004B2B0F" w:rsidRPr="007912BC">
        <w:t>in</w:t>
      </w:r>
      <w:r w:rsidR="00D3090A" w:rsidRPr="007912BC">
        <w:t xml:space="preserve"> </w:t>
      </w:r>
      <w:r w:rsidR="006947E8" w:rsidRPr="007912BC">
        <w:t xml:space="preserve">AD </w:t>
      </w:r>
      <w:r w:rsidR="00D3090A" w:rsidRPr="007912BC">
        <w:t xml:space="preserve">clinical trials </w:t>
      </w:r>
      <w:r w:rsidR="00F47176" w:rsidRPr="007912BC">
        <w:t>concerns</w:t>
      </w:r>
      <w:r w:rsidR="008C38C9" w:rsidRPr="007912BC">
        <w:t xml:space="preserve"> </w:t>
      </w:r>
      <w:r w:rsidR="00F47176" w:rsidRPr="007912BC">
        <w:t xml:space="preserve">its sensitivity </w:t>
      </w:r>
      <w:r w:rsidR="00C6017E" w:rsidRPr="007912BC">
        <w:t xml:space="preserve">to </w:t>
      </w:r>
      <w:r w:rsidR="009D4D45" w:rsidRPr="007912BC">
        <w:t>track</w:t>
      </w:r>
      <w:r w:rsidR="00C6017E" w:rsidRPr="007912BC">
        <w:t xml:space="preserve"> </w:t>
      </w:r>
      <w:r w:rsidR="008C248B" w:rsidRPr="007912BC">
        <w:t>disease</w:t>
      </w:r>
      <w:r w:rsidR="00C75F63" w:rsidRPr="007912BC">
        <w:t>-</w:t>
      </w:r>
      <w:r w:rsidR="008C248B" w:rsidRPr="007912BC">
        <w:t>related changes that occur</w:t>
      </w:r>
      <w:r w:rsidR="00B1487A" w:rsidRPr="007912BC">
        <w:t xml:space="preserve"> </w:t>
      </w:r>
      <w:r w:rsidR="003E1368" w:rsidRPr="007912BC">
        <w:t>before the overt manifestations of cognitive and functional decline</w:t>
      </w:r>
      <w:r w:rsidR="006000E6" w:rsidRPr="007912BC">
        <w:t>.</w:t>
      </w:r>
      <w:r w:rsidR="003E1368" w:rsidRPr="007912BC">
        <w:t xml:space="preserve"> </w:t>
      </w:r>
      <w:r w:rsidR="001C2703" w:rsidRPr="007912BC">
        <w:t>In AD, t</w:t>
      </w:r>
      <w:r w:rsidR="00477663" w:rsidRPr="007912BC">
        <w:t>he t</w:t>
      </w:r>
      <w:r w:rsidR="00A54E0A" w:rsidRPr="007912BC">
        <w:t xml:space="preserve">emporal evolution of biomarkers </w:t>
      </w:r>
      <w:r w:rsidR="00477663" w:rsidRPr="007912BC">
        <w:t xml:space="preserve">has </w:t>
      </w:r>
      <w:r w:rsidR="009A544C" w:rsidRPr="007912BC">
        <w:t>often been</w:t>
      </w:r>
      <w:r w:rsidR="00A7078C" w:rsidRPr="007912BC">
        <w:t xml:space="preserve"> </w:t>
      </w:r>
      <w:r w:rsidR="00477663" w:rsidRPr="007912BC">
        <w:lastRenderedPageBreak/>
        <w:t>e</w:t>
      </w:r>
      <w:r w:rsidR="00A7078C" w:rsidRPr="007912BC">
        <w:t>xtrapolat</w:t>
      </w:r>
      <w:r w:rsidR="00477663" w:rsidRPr="007912BC">
        <w:t>ed</w:t>
      </w:r>
      <w:r w:rsidR="00A7078C" w:rsidRPr="007912BC">
        <w:t xml:space="preserve"> </w:t>
      </w:r>
      <w:r w:rsidR="00477663" w:rsidRPr="007912BC">
        <w:t xml:space="preserve">on the </w:t>
      </w:r>
      <w:r w:rsidR="00A7078C" w:rsidRPr="007912BC">
        <w:t>basis of biomarker severity</w:t>
      </w:r>
      <w:r w:rsidR="006B3455" w:rsidRPr="007912BC">
        <w:t xml:space="preserve"> </w:t>
      </w:r>
      <w:r w:rsidR="00B7136D" w:rsidRPr="007912BC">
        <w:t xml:space="preserve">in cross-sectional </w:t>
      </w:r>
      <w:r w:rsidR="005A1D58" w:rsidRPr="007912BC">
        <w:t>de</w:t>
      </w:r>
      <w:r w:rsidR="00614CCA" w:rsidRPr="007912BC">
        <w:t>signs</w:t>
      </w:r>
      <w:r w:rsidR="00650D4C" w:rsidRPr="007912BC">
        <w:t xml:space="preserve"> </w:t>
      </w:r>
      <w:r w:rsidR="00650D4C" w:rsidRPr="007912BC">
        <w:fldChar w:fldCharType="begin" w:fldLock="1"/>
      </w:r>
      <w:r w:rsidR="00005758" w:rsidRPr="007912BC">
        <w:instrText>ADDIN CSL_CITATION {"citationItems":[{"id":"ITEM-1","itemData":{"DOI":"10.1016/S1474-4422(12)70291-0","ISSN":"14744422","author":[{"dropping-particle":"","family":"Jack","given":"Clifford R","non-dropping-particle":"","parse-names":false,"suffix":""},{"dropping-particle":"","family":"Knopman","given":"David S","non-dropping-particle":"","parse-names":false,"suffix":""},{"dropping-particle":"","family":"Jagust","given":"William J","non-dropping-particle":"","parse-names":false,"suffix":""},{"dropping-particle":"","family":"Petersen","given":"Ronald C","non-dropping-particle":"","parse-names":false,"suffix":""},{"dropping-particle":"","family":"Weiner","given":"Michael W","non-dropping-particle":"","parse-names":false,"suffix":""},{"dropping-particle":"","family":"Aisen","given":"Paul S","non-dropping-particle":"","parse-names":false,"suffix":""},{"dropping-particle":"","family":"Shaw","given":"Leslie M","non-dropping-particle":"","parse-names":false,"suffix":""},{"dropping-particle":"","family":"Vemuri","given":"Prashanthi","non-dropping-particle":"","parse-names":false,"suffix":""},{"dropping-particle":"","family":"Wiste","given":"Heather J","non-dropping-particle":"","parse-names":false,"suffix":""},{"dropping-particle":"","family":"Weigand","given":"Stephen D","non-dropping-particle":"","parse-names":false,"suffix":""},{"dropping-particle":"","family":"Lesnick","given":"Timothy G","non-dropping-particle":"","parse-names":false,"suffix":""},{"dropping-particle":"","family":"Pankratz","given":"Vernon S","non-dropping-particle":"","parse-names":false,"suffix":""},{"dropping-particle":"","family":"Donohue","given":"Michael C","non-dropping-particle":"","parse-names":false,"suffix":""},{"dropping-particle":"","family":"Trojanowski","given":"John Q","non-dropping-particle":"","parse-names":false,"suffix":""}],"container-title":"The Lancet Neurology","id":"ITEM-1","issue":"2","issued":{"date-parts":[["2013","2"]]},"page":"207-216","title":"Tracking pathophysiological processes in Alzheimer's disease: an updated hypothetical model of dynamic biomarkers","type":"article-journal","volume":"12"},"uris":["http://www.mendeley.com/documents/?uuid=4935254c-9d90-3daf-8e04-01b183d9ea2d"]}],"mendeley":{"formattedCitation":"(Jack &lt;i&gt;et al.&lt;/i&gt;, 2013)","plainTextFormattedCitation":"(Jack et al., 2013)","previouslyFormattedCitation":"(Jack &lt;i&gt;et al.&lt;/i&gt;, 2013)"},"properties":{"noteIndex":0},"schema":"https://github.com/citation-style-language/schema/raw/master/csl-citation.json"}</w:instrText>
      </w:r>
      <w:r w:rsidR="00650D4C" w:rsidRPr="007912BC">
        <w:fldChar w:fldCharType="separate"/>
      </w:r>
      <w:r w:rsidR="00CE6796" w:rsidRPr="007912BC">
        <w:rPr>
          <w:noProof/>
        </w:rPr>
        <w:t>(Jack et al., 2013)</w:t>
      </w:r>
      <w:r w:rsidR="00650D4C" w:rsidRPr="007912BC">
        <w:fldChar w:fldCharType="end"/>
      </w:r>
      <w:r w:rsidR="00A33E9D" w:rsidRPr="007912BC">
        <w:t>.</w:t>
      </w:r>
      <w:r w:rsidR="008578CF" w:rsidRPr="007912BC">
        <w:t xml:space="preserve"> </w:t>
      </w:r>
      <w:r w:rsidR="00431D24" w:rsidRPr="007912BC">
        <w:t xml:space="preserve">To this end, </w:t>
      </w:r>
      <w:r w:rsidR="00CF5BB3" w:rsidRPr="007912BC">
        <w:t>t</w:t>
      </w:r>
      <w:r w:rsidR="008043CB" w:rsidRPr="007912BC">
        <w:t>he</w:t>
      </w:r>
      <w:r w:rsidR="00D559C2" w:rsidRPr="007912BC">
        <w:t xml:space="preserve"> </w:t>
      </w:r>
      <w:r w:rsidR="00CF5BB3" w:rsidRPr="007912BC">
        <w:t xml:space="preserve">severe </w:t>
      </w:r>
      <w:r w:rsidR="00D559C2" w:rsidRPr="007912BC">
        <w:t xml:space="preserve">reductions </w:t>
      </w:r>
      <w:r w:rsidR="00966D2C" w:rsidRPr="007912BC">
        <w:t>of</w:t>
      </w:r>
      <w:r w:rsidR="00D559C2" w:rsidRPr="007912BC">
        <w:t xml:space="preserve"> R1 </w:t>
      </w:r>
      <w:r w:rsidR="00AC173E" w:rsidRPr="007912BC">
        <w:t xml:space="preserve">perfusion </w:t>
      </w:r>
      <w:r w:rsidR="008043CB" w:rsidRPr="007912BC">
        <w:t xml:space="preserve">seen in </w:t>
      </w:r>
      <w:r w:rsidR="002841CA" w:rsidRPr="007912BC">
        <w:t>our</w:t>
      </w:r>
      <w:r w:rsidR="00CE549A" w:rsidRPr="007912BC">
        <w:t xml:space="preserve"> </w:t>
      </w:r>
      <w:r w:rsidR="008043CB" w:rsidRPr="007912BC">
        <w:t xml:space="preserve">DS-POS </w:t>
      </w:r>
      <w:r w:rsidR="00CE549A" w:rsidRPr="007912BC">
        <w:t xml:space="preserve">group </w:t>
      </w:r>
      <w:r w:rsidR="00F07F4D" w:rsidRPr="007912BC">
        <w:t xml:space="preserve">were still apparent </w:t>
      </w:r>
      <w:r w:rsidR="004B1817" w:rsidRPr="007912BC">
        <w:t xml:space="preserve">even </w:t>
      </w:r>
      <w:r w:rsidR="00D559C2" w:rsidRPr="007912BC">
        <w:t>after controlling for cortical thinning</w:t>
      </w:r>
      <w:r w:rsidR="00D0195F" w:rsidRPr="007912BC">
        <w:t xml:space="preserve"> (as well as age, gender and cognitive status)</w:t>
      </w:r>
      <w:r w:rsidR="004712FA" w:rsidRPr="007912BC">
        <w:t>.</w:t>
      </w:r>
      <w:r w:rsidR="00B10D8F" w:rsidRPr="007912BC">
        <w:t xml:space="preserve"> </w:t>
      </w:r>
      <w:r w:rsidR="00636868" w:rsidRPr="007912BC">
        <w:t xml:space="preserve">Interestingly, </w:t>
      </w:r>
      <w:r w:rsidR="000B553B" w:rsidRPr="007912BC">
        <w:t>disproportionate</w:t>
      </w:r>
      <w:r w:rsidR="00636868" w:rsidRPr="007912BC">
        <w:t xml:space="preserve"> hypometabolism relative to structural atrophy has been reported in presymptomatic individuals carrying mutations in the Presenilin 1 gene </w:t>
      </w:r>
      <w:r w:rsidR="00636868" w:rsidRPr="007912BC">
        <w:fldChar w:fldCharType="begin" w:fldLock="1"/>
      </w:r>
      <w:r w:rsidR="00005758" w:rsidRPr="007912BC">
        <w:instrText>ADDIN CSL_CITATION {"citationItems":[{"id":"ITEM-1","itemData":{"DOI":"47/11/1778 [pii]","ISBN":"0161-5505","ISSN":"0161-5505","PMID":"17079810","abstract":"The aim of the present study is to compare brain atrophy with hypometabolism as preclinical markers of Alzheimer's disease (AD) by studying presymptomatic individuals from families with known early-onset autosomal dominant AD (FAD) carrying mutations in the Presenilin 1 gene.","author":[{"dropping-particle":"","family":"Mosconi","given":"Lisa","non-dropping-particle":"","parse-names":false,"suffix":""},{"dropping-particle":"","family":"Sorbi","given":"Sandro","non-dropping-particle":"","parse-names":false,"suffix":""},{"dropping-particle":"","family":"Leon","given":"Mony J","non-dropping-particle":"de","parse-names":false,"suffix":""},{"dropping-particle":"","family":"Li","given":"Yi","non-dropping-particle":"","parse-names":false,"suffix":""},{"dropping-particle":"","family":"Nacmias","given":"Benedetta","non-dropping-particle":"","parse-names":false,"suffix":""},{"dropping-particle":"","family":"Myoung","given":"Paul S","non-dropping-particle":"","parse-names":false,"suffix":""},{"dropping-particle":"","family":"Tsui","given":"Wai","non-dropping-particle":"","parse-names":false,"suffix":""},{"dropping-particle":"","family":"Ginestroni","given":"Andrea","non-dropping-particle":"","parse-names":false,"suffix":""},{"dropping-particle":"","family":"Bessi","given":"Valentina","non-dropping-particle":"","parse-names":false,"suffix":""},{"dropping-particle":"","family":"Fayyazz","given":"Mozghan","non-dropping-particle":"","parse-names":false,"suffix":""},{"dropping-particle":"","family":"Caffarra","given":"Paolo","non-dropping-particle":"","parse-names":false,"suffix":""},{"dropping-particle":"","family":"Pupi","given":"Alberto","non-dropping-particle":"","parse-names":false,"suffix":""}],"container-title":"Journal of nuclear medicine : official publication, Society of Nuclear Medicine","id":"ITEM-1","issue":"11","issued":{"date-parts":[["2006"]]},"page":"1778-1786","title":"Hypometabolism exceeds atrophy in presymptomatic early-onset familial Alzheimer's disease.","type":"article-journal","volume":"47"},"uris":["http://www.mendeley.com/documents/?uuid=5b444563-6716-4fc5-b597-d8e49feb8ed2"]}],"mendeley":{"formattedCitation":"(Mosconi &lt;i&gt;et al.&lt;/i&gt;, 2006)","plainTextFormattedCitation":"(Mosconi et al., 2006)","previouslyFormattedCitation":"(Mosconi &lt;i&gt;et al.&lt;/i&gt;, 2006)"},"properties":{"noteIndex":0},"schema":"https://github.com/citation-style-language/schema/raw/master/csl-citation.json"}</w:instrText>
      </w:r>
      <w:r w:rsidR="00636868" w:rsidRPr="007912BC">
        <w:fldChar w:fldCharType="separate"/>
      </w:r>
      <w:r w:rsidR="00CE6796" w:rsidRPr="007912BC">
        <w:rPr>
          <w:noProof/>
        </w:rPr>
        <w:t>(Mosconi et al., 2006)</w:t>
      </w:r>
      <w:r w:rsidR="00636868" w:rsidRPr="007912BC">
        <w:fldChar w:fldCharType="end"/>
      </w:r>
      <w:r w:rsidR="002D6A66" w:rsidRPr="007912BC">
        <w:t xml:space="preserve">, while reductions of </w:t>
      </w:r>
      <w:r w:rsidR="00C15F02" w:rsidRPr="007912BC">
        <w:t xml:space="preserve">posterior cingulate </w:t>
      </w:r>
      <w:r w:rsidR="002D6A66" w:rsidRPr="007912BC">
        <w:t>[</w:t>
      </w:r>
      <w:r w:rsidR="002D6A66" w:rsidRPr="007912BC">
        <w:rPr>
          <w:vertAlign w:val="superscript"/>
        </w:rPr>
        <w:t>18</w:t>
      </w:r>
      <w:r w:rsidR="002D6A66" w:rsidRPr="007912BC">
        <w:t xml:space="preserve">F]-FDG </w:t>
      </w:r>
      <w:r w:rsidR="00C15F02" w:rsidRPr="007912BC">
        <w:t xml:space="preserve">deficits were </w:t>
      </w:r>
      <w:r w:rsidR="00A5764D" w:rsidRPr="007912BC">
        <w:t xml:space="preserve">still </w:t>
      </w:r>
      <w:r w:rsidR="00C15F02" w:rsidRPr="007912BC">
        <w:t xml:space="preserve">detected </w:t>
      </w:r>
      <w:r w:rsidR="00A5764D" w:rsidRPr="007912BC">
        <w:t xml:space="preserve">after </w:t>
      </w:r>
      <w:r w:rsidR="002D6A66" w:rsidRPr="007912BC">
        <w:t>controlling for hippocampal volume</w:t>
      </w:r>
      <w:r w:rsidR="004647C1" w:rsidRPr="007912BC">
        <w:t>s</w:t>
      </w:r>
      <w:r w:rsidR="00A5764D" w:rsidRPr="007912BC">
        <w:t xml:space="preserve"> </w:t>
      </w:r>
      <w:r w:rsidR="00A5764D" w:rsidRPr="007912BC">
        <w:fldChar w:fldCharType="begin" w:fldLock="1"/>
      </w:r>
      <w:r w:rsidR="00005758" w:rsidRPr="007912BC">
        <w:instrText>ADDIN CSL_CITATION {"citationItems":[{"id":"ITEM-1","itemData":{"DOI":"10.1001/2013.jamaneurol.286","ISBN":"2168-6157 (Electronic)\\r2168-6149 (Linking)","ISSN":"2168-6157","PMID":"23599929","abstract":"OBJECTIVE: To characterize and compare measurements of the posterior cingulate glucose metabolism, the hippocampal glucose metabolism, and hippocampal volume so as to distinguish cognitively normal, late-middle-aged persons with 2, 1, or 0 copies of the apolipoprotein E (APOE) epsilon4 allele, reflecting 3 levels of risk for late-onset Alzheimer disease. DESIGN: Cross-sectional comparison of measurements of cerebral glucose metabolism using 18F-fluorodeoxyglucose positron emission tomography and measurements of brain volume using magnetic resonance imaging in cognitively normal epsilon4 homozygotes, epsilon4 heterozygotes, and noncarriers. SETTING: Academic medical center. PARTICIPANTS: A total of 31 epsilon4 homozygotes, 42 epsilon4 heterozygotes, and 76 noncarriers, 49 to 67 years old, matched for sex, age, and educational level. MAIN OUTCOME MEASURES: The measurements of posterior cingulate and hippocampal glucose metabolism were characterized using automated region-of-interest algorithms and normalized for whole-brain measurements. The hippocampal volume measurements were characterized using a semiautomated algorithm and normalized for total intracranial volume. RESULTS: Although there were no significant differences among the 3 groups of participants in their clinical ratings, neuropsychological test scores, hippocampal volumes (P = .60), or hippocampal glucose metabolism measurements (P = .12), there were significant group differences in their posterior cingulate glucose metabolism measurements (P = .001). The APOE epsilon4 gene dose was significantly associated with posterior cingulate glucose metabolism (r = 0.29, P = .0003), and this association was significantly greater than those with hippocampal volume or hippocampal glucose metabolism (P &lt; .05, determined by use of pairwise Fisher z tests). CONCLUSIONS: Although our findings may depend in part on the analysis algorithms used, they suggest that a reduction in posterior cingulate glucose metabolism precedes a reduction in hippocampal volume or metabolism in cognitively normal persons at increased genetic risk for Alzheimer disease.","author":[{"dropping-particle":"","family":"Protas","given":"H D","non-dropping-particle":"","parse-names":false,"suffix":""},{"dropping-particle":"","family":"Chen","given":"K","non-dropping-particle":"","parse-names":false,"suffix":""},{"dropping-particle":"","family":"Langbaum","given":"J B","non-dropping-particle":"","parse-names":false,"suffix":""},{"dropping-particle":"","family":"Fleisher","given":"a S","non-dropping-particle":"","parse-names":false,"suffix":""},{"dropping-particle":"","family":"Alexander","given":"G E","non-dropping-particle":"","parse-names":false,"suffix":""},{"dropping-particle":"","family":"Lee","given":"W","non-dropping-particle":"","parse-names":false,"suffix":""},{"dropping-particle":"","family":"Bandy","given":"D","non-dropping-particle":"","parse-names":false,"suffix":""},{"dropping-particle":"","family":"Leon","given":"M J","non-dropping-particle":"de","parse-names":false,"suffix":""},{"dropping-particle":"","family":"Mosconi","given":"L","non-dropping-particle":"","parse-names":false,"suffix":""},{"dropping-particle":"","family":"Buckley","given":"S","non-dropping-particle":"","parse-names":false,"suffix":""},{"dropping-particle":"","family":"Truran-Sacrey","given":"D","non-dropping-particle":"","parse-names":false,"suffix":""},{"dropping-particle":"","family":"Schuff","given":"N","non-dropping-particle":"","parse-names":false,"suffix":""},{"dropping-particle":"","family":"Weiner","given":"M W","non-dropping-particle":"","parse-names":false,"suffix":""},{"dropping-particle":"","family":"Caselli","given":"R J","non-dropping-particle":"","parse-names":false,"suffix":""},{"dropping-particle":"","family":"Reiman","given":"E M","non-dropping-particle":"","parse-names":false,"suffix":""}],"container-title":"JAMA Neurol","id":"ITEM-1","issue":"3","issued":{"date-parts":[["2013"]]},"page":"320-325","title":"Posterior cingulate glucose metabolism, hippocampal glucose metabolism, and hippocampal volume in cognitively normal, late-middle-aged persons at 3 levels of genetic risk for Alzheimer disease","type":"article-journal","volume":"70"},"uris":["http://www.mendeley.com/documents/?uuid=8d5be5ae-cec5-4bf1-aa7a-cbebaa1ca986"]}],"mendeley":{"formattedCitation":"(Protas &lt;i&gt;et al.&lt;/i&gt;, 2013)","plainTextFormattedCitation":"(Protas et al., 2013)","previouslyFormattedCitation":"(Protas &lt;i&gt;et al.&lt;/i&gt;, 2013)"},"properties":{"noteIndex":0},"schema":"https://github.com/citation-style-language/schema/raw/master/csl-citation.json"}</w:instrText>
      </w:r>
      <w:r w:rsidR="00A5764D" w:rsidRPr="007912BC">
        <w:fldChar w:fldCharType="separate"/>
      </w:r>
      <w:r w:rsidR="00CE6796" w:rsidRPr="007912BC">
        <w:rPr>
          <w:noProof/>
        </w:rPr>
        <w:t>(Protas et al., 2013)</w:t>
      </w:r>
      <w:r w:rsidR="00A5764D" w:rsidRPr="007912BC">
        <w:fldChar w:fldCharType="end"/>
      </w:r>
      <w:r w:rsidR="00A5764D" w:rsidRPr="007912BC">
        <w:t xml:space="preserve">. </w:t>
      </w:r>
      <w:r w:rsidR="00FE688B" w:rsidRPr="007912BC">
        <w:t xml:space="preserve">Together, these findings dovetail with similar reports in </w:t>
      </w:r>
      <w:r w:rsidR="00AC5C04" w:rsidRPr="007912BC">
        <w:t xml:space="preserve">in AD and MCI, where hypometabolism has been found to more severe compared to atrophy  </w:t>
      </w:r>
      <w:r w:rsidR="00AC5C04" w:rsidRPr="007912BC">
        <w:fldChar w:fldCharType="begin" w:fldLock="1"/>
      </w:r>
      <w:r w:rsidR="00AC5C04" w:rsidRPr="007912BC">
        <w:instrText>ADDIN CSL_CITATION {"citationItems":[{"id":"ITEM-1","itemData":{"DOI":"10.1016/S0197-4580(01)00230-5","ISSN":"0197-4580","abstract":"We used MRI volume sampling with coregistered and atrophy corrected FDG-PET scans to test three hypotheses: 1) hippocampal formation measures are superior to temporal neocortical measures in the discrimination of normal (NL) and mild cognitive impairment (MCI); 2) neocortical measures are most useful in the separation of Alzheimer disease (AD) from NL or MCI; 3) measures of PET glucose metabolism (MRglu) have greater diagnostic sensitivity than MRI volume. Three groups of age, education, and gender matched NL, MCI, and AD subjects were studied. The results supported the hypotheses: 1) entorhinal cortex MRglu and hippocampal volume were most accurate in classifying NL and MCI; 2) both imaging modalities identified the temporal neocortex as best separating MCI and AD, whereas widespread changes accurately classified NL and AD; 3) In most between group comparisons regional MRglu measures were diagnostically superior to volume measures. These cross-sectional data show that in MCI hippocampal formation changes exist without significant neocortical changes. Neocortical changes best characterize AD. In both MCI and AD, metabolism reductions exceed volume losses.","author":[{"dropping-particle":"","family":"Santi","given":"Susan","non-dropping-particle":"De","parse-names":false,"suffix":""},{"dropping-particle":"","family":"Leon","given":"Mony J","non-dropping-particle":"de","parse-names":false,"suffix":""},{"dropping-particle":"","family":"Rusinek","given":"Henry","non-dropping-particle":"","parse-names":false,"suffix":""},{"dropping-particle":"","family":"Convit","given":"Antonio","non-dropping-particle":"","parse-names":false,"suffix":""},{"dropping-particle":"","family":"Tarshish","given":"Chaim Y","non-dropping-particle":"","parse-names":false,"suffix":""},{"dropping-particle":"","family":"Roche","given":"Alexandra","non-dropping-particle":"","parse-names":false,"suffix":""},{"dropping-particle":"","family":"Tsui","given":"Wai Hon","non-dropping-particle":"","parse-names":false,"suffix":""},{"dropping-particle":"","family":"Kandil","given":"Emad","non-dropping-particle":"","parse-names":false,"suffix":""},{"dropping-particle":"","family":"Boppana","given":"Madhu","non-dropping-particle":"","parse-names":false,"suffix":""},{"dropping-particle":"","family":"Daisley","given":"Katherine","non-dropping-particle":"","parse-names":false,"suffix":""},{"dropping-particle":"","family":"Wang","given":"Gene Jack","non-dropping-particle":"","parse-names":false,"suffix":""},{"dropping-particle":"","family":"Schlyer","given":"David","non-dropping-particle":"","parse-names":false,"suffix":""},{"dropping-particle":"","family":"Fowler","given":"Joanna","non-dropping-particle":"","parse-names":false,"suffix":""}],"container-title":"Neurobiology of Aging","id":"ITEM-1","issue":"4","issued":{"date-parts":[["2001","7","1"]]},"page":"529-539","publisher":"Elsevier","title":"Hippocampal formation glucose metabolism and volume losses in MCI and AD","type":"article-journal","volume":"22"},"uris":["http://www.mendeley.com/documents/?uuid=a4d9ab79-8fe6-3d2d-b620-53e13ebc45c7"]}],"mendeley":{"formattedCitation":"(De Santi &lt;i&gt;et al.&lt;/i&gt;, 2001)","plainTextFormattedCitation":"(De Santi et al., 2001)","previouslyFormattedCitation":"(De Santi &lt;i&gt;et al.&lt;/i&gt;, 2001)"},"properties":{"noteIndex":0},"schema":"https://github.com/citation-style-language/schema/raw/master/csl-citation.json"}</w:instrText>
      </w:r>
      <w:r w:rsidR="00AC5C04" w:rsidRPr="007912BC">
        <w:fldChar w:fldCharType="separate"/>
      </w:r>
      <w:r w:rsidR="00AC5C04" w:rsidRPr="007912BC">
        <w:t>(De Santi et al., 2001)</w:t>
      </w:r>
      <w:r w:rsidR="00AC5C04" w:rsidRPr="007912BC">
        <w:fldChar w:fldCharType="end"/>
      </w:r>
      <w:r w:rsidR="00026273" w:rsidRPr="007912BC">
        <w:t>.</w:t>
      </w:r>
      <w:r w:rsidR="003E7D70" w:rsidRPr="007912BC">
        <w:t xml:space="preserve"> </w:t>
      </w:r>
      <w:r w:rsidR="00530D92" w:rsidRPr="007912BC">
        <w:t xml:space="preserve">As reductions in FDG-PET or R1 are understood to </w:t>
      </w:r>
      <w:r w:rsidR="00F01353" w:rsidRPr="007912BC">
        <w:t>reflect</w:t>
      </w:r>
      <w:r w:rsidR="00530D92" w:rsidRPr="007912BC">
        <w:t xml:space="preserve"> synaptic </w:t>
      </w:r>
      <w:r w:rsidR="000B553B" w:rsidRPr="007912BC">
        <w:t xml:space="preserve">loss or </w:t>
      </w:r>
      <w:r w:rsidR="00530D92" w:rsidRPr="007912BC">
        <w:t>dysfunctio</w:t>
      </w:r>
      <w:r w:rsidR="00F73DB5" w:rsidRPr="007912BC">
        <w:t xml:space="preserve">n, </w:t>
      </w:r>
      <w:r w:rsidR="00BA4BB2" w:rsidRPr="007912BC">
        <w:t xml:space="preserve">it is likely that </w:t>
      </w:r>
      <w:r w:rsidR="00530D92" w:rsidRPr="007912BC">
        <w:t xml:space="preserve">neuronal </w:t>
      </w:r>
      <w:r w:rsidR="00BA4BB2" w:rsidRPr="007912BC">
        <w:t>injury</w:t>
      </w:r>
      <w:r w:rsidR="00530D92" w:rsidRPr="007912BC">
        <w:t xml:space="preserve"> is</w:t>
      </w:r>
      <w:r w:rsidR="00E061B2" w:rsidRPr="007912BC">
        <w:t xml:space="preserve"> underway</w:t>
      </w:r>
      <w:r w:rsidR="00BA4BB2" w:rsidRPr="007912BC">
        <w:t xml:space="preserve"> </w:t>
      </w:r>
      <w:r w:rsidR="00E061B2" w:rsidRPr="007912BC">
        <w:t>but</w:t>
      </w:r>
      <w:r w:rsidR="00530D92" w:rsidRPr="007912BC">
        <w:t xml:space="preserve"> </w:t>
      </w:r>
      <w:r w:rsidR="00B5308D" w:rsidRPr="007912BC">
        <w:t xml:space="preserve">has not reached the critical </w:t>
      </w:r>
      <w:r w:rsidR="00373CEA" w:rsidRPr="007912BC">
        <w:t>threshold</w:t>
      </w:r>
      <w:r w:rsidR="00530D92" w:rsidRPr="007912BC">
        <w:t xml:space="preserve"> to result in</w:t>
      </w:r>
      <w:r w:rsidR="003E2DDE" w:rsidRPr="007912BC">
        <w:t xml:space="preserve"> </w:t>
      </w:r>
      <w:r w:rsidR="00530D92" w:rsidRPr="007912BC">
        <w:t>atrophy detectable with MRI.</w:t>
      </w:r>
      <w:r w:rsidR="00F73DB5" w:rsidRPr="007E51FB">
        <w:t xml:space="preserve"> </w:t>
      </w:r>
    </w:p>
    <w:p w14:paraId="7487F9D8" w14:textId="11DC1803" w:rsidR="008B2C92" w:rsidRPr="007E51FB" w:rsidRDefault="008B2C92" w:rsidP="00E84C28">
      <w:pPr>
        <w:spacing w:line="360" w:lineRule="auto"/>
        <w:jc w:val="both"/>
      </w:pPr>
    </w:p>
    <w:p w14:paraId="6A9ADB98" w14:textId="7F1FA6E8" w:rsidR="00F03A33" w:rsidRPr="007E51FB" w:rsidRDefault="0098072F" w:rsidP="00E84C28">
      <w:pPr>
        <w:spacing w:line="360" w:lineRule="auto"/>
        <w:jc w:val="both"/>
        <w:rPr>
          <w:strike/>
        </w:rPr>
      </w:pPr>
      <w:r w:rsidRPr="008B57A2">
        <w:t>A</w:t>
      </w:r>
      <w:r w:rsidR="00C55766" w:rsidRPr="008B57A2">
        <w:t>n important prerequisite for a biomarker is the extent to which it is capable of tracking disease progression</w:t>
      </w:r>
      <w:r w:rsidR="00B8721F" w:rsidRPr="008B57A2">
        <w:t xml:space="preserve"> and monitoring outcomes over time</w:t>
      </w:r>
      <w:r w:rsidR="00C55766" w:rsidRPr="008B57A2">
        <w:t>.</w:t>
      </w:r>
      <w:r w:rsidR="00D16868" w:rsidRPr="008B57A2">
        <w:t xml:space="preserve"> To th</w:t>
      </w:r>
      <w:r w:rsidR="00D60E9D" w:rsidRPr="008B57A2">
        <w:t>is</w:t>
      </w:r>
      <w:r w:rsidR="00D16868" w:rsidRPr="008B57A2">
        <w:t xml:space="preserve"> end,</w:t>
      </w:r>
      <w:r w:rsidR="008E1C61" w:rsidRPr="008B57A2">
        <w:t xml:space="preserve"> we found that </w:t>
      </w:r>
      <w:r w:rsidR="000F3B6C" w:rsidRPr="008B57A2">
        <w:t>R1</w:t>
      </w:r>
      <w:r w:rsidR="00D16868" w:rsidRPr="008B57A2">
        <w:t xml:space="preserve"> </w:t>
      </w:r>
      <w:r w:rsidR="00292BDA" w:rsidRPr="008B57A2">
        <w:t xml:space="preserve">perfusion </w:t>
      </w:r>
      <w:r w:rsidR="00D16868" w:rsidRPr="008B57A2">
        <w:t xml:space="preserve">was strongly associated with </w:t>
      </w:r>
      <w:r w:rsidR="00120A35" w:rsidRPr="008B57A2">
        <w:t>the CAMCOG score</w:t>
      </w:r>
      <w:r w:rsidR="003B4A37" w:rsidRPr="008B57A2">
        <w:t>s amongst DS-POS individuals with cognitive impairment.</w:t>
      </w:r>
      <w:r w:rsidR="00120A35" w:rsidRPr="008B57A2">
        <w:t xml:space="preserve"> </w:t>
      </w:r>
      <w:r w:rsidR="00C57AFA" w:rsidRPr="008B57A2">
        <w:t xml:space="preserve">While others have </w:t>
      </w:r>
      <w:r w:rsidR="001C3F6C" w:rsidRPr="008B57A2">
        <w:t xml:space="preserve">reported </w:t>
      </w:r>
      <w:r w:rsidR="00C57AFA" w:rsidRPr="008B57A2">
        <w:t>relationship</w:t>
      </w:r>
      <w:r w:rsidR="001C3F6C" w:rsidRPr="008B57A2">
        <w:t>s</w:t>
      </w:r>
      <w:r w:rsidR="00C57AFA" w:rsidRPr="008B57A2">
        <w:t xml:space="preserve"> of glucose metabolism </w:t>
      </w:r>
      <w:r w:rsidR="00921E2D" w:rsidRPr="008B57A2">
        <w:t xml:space="preserve">with cognitive measures in DS </w:t>
      </w:r>
      <w:r w:rsidR="00921E2D" w:rsidRPr="008B57A2">
        <w:fldChar w:fldCharType="begin" w:fldLock="1"/>
      </w:r>
      <w:r w:rsidR="00005758" w:rsidRPr="008B57A2">
        <w:instrText>ADDIN CSL_CITATION {"citationItems":[{"id":"ITEM-1","itemData":{"DOI":"10.1016/j.trci.2016.02.004","ISBN":"1352294583","ISSN":"23528737","PMID":"28642933","abstract":"Introduction Down Syndrome (DS) adults experience accumulation of Alzheimer's disease (AD)-like amyloid plaques and tangles and a high incidence of dementia and could provide an enriched population to study AD-targeted treatments. However, to evaluate effects of therapeutic intervention, it is necessary to dissociate the contributions of DS and AD from overall phenotype. Imaging biomarkers offer the potential to characterize and stratify patients who will worsen clinically but have yielded mixed findings in DS subjects. Methods We evaluated 18F fluorodeoxyglucose positron emission tomography (PET), florbetapir PET, and structural magnetic resonance (sMR) image data from 12 nondemented DS adults using advanced multivariate machine learning methods. Results Our results showed distinctive patterns of glucose metabolism and brain volume enabling dissociation of DS and AD effects. AD-like pattern expression corresponded to amyloid burden and clinical measures. Discussion These findings lay groundwork to enable AD clinical trials with characterization and disease-specific tracking of DS adults.","author":[{"dropping-particle":"","family":"Matthews","given":"Dawn C.","non-dropping-particle":"","parse-names":false,"suffix":""},{"dropping-particle":"","family":"Lukic","given":"Ana S.","non-dropping-particle":"","parse-names":false,"suffix":""},{"dropping-particle":"","family":"Andrews","given":"Randolph D.","non-dropping-particle":"","parse-names":false,"suffix":""},{"dropping-particle":"","family":"Marendic","given":"Boris","non-dropping-particle":"","parse-names":false,"suffix":""},{"dropping-particle":"","family":"Brewer","given":"James","non-dropping-particle":"","parse-names":false,"suffix":""},{"dropping-particle":"","family":"Rissman","given":"Robert A.","non-dropping-particle":"","parse-names":false,"suffix":""},{"dropping-particle":"","family":"Mosconi","given":"Lisa","non-dropping-particle":"","parse-names":false,"suffix":""},{"dropping-particle":"","family":"Strother","given":"Stephen C.","non-dropping-particle":"","parse-names":false,"suffix":""},{"dropping-particle":"","family":"Wernick","given":"Miles N.","non-dropping-particle":"","parse-names":false,"suffix":""},{"dropping-particle":"","family":"Mobley","given":"William C.","non-dropping-particle":"","parse-names":false,"suffix":""},{"dropping-particle":"","family":"Ness","given":"Seth","non-dropping-particle":"","parse-names":false,"suffix":""},{"dropping-particle":"","family":"Schmidt","given":"Mark E.","non-dropping-particle":"","parse-names":false,"suffix":""},{"dropping-particle":"","family":"Rafii","given":"Michael S.","non-dropping-particle":"","parse-names":false,"suffix":""}],"container-title":"Alzheimer's and Dementia: Translational Research and Clinical Interventions","id":"ITEM-1","issue":"2","issued":{"date-parts":[["2016"]]},"page":"69-81","publisher":"Elsevier Inc.","title":"Dissociation of Down syndrome and Alzheimer's disease effects with imaging","type":"article-journal","volume":"2"},"uris":["http://www.mendeley.com/documents/?uuid=ecbe29e1-e10a-4e39-8b0d-bb2318d0d2c8"]},{"id":"ITEM-2","itemData":{"DOI":"10.1212/01.wnl.0000098935.36984.25","ISSN":"1526-632X","PMID":"14694028","abstract":"BACKGROUND Adults with Down syndrome (DS) are at increased risk for dementia and provide an opportunity to identify patterns of brain activity that may precede dementia. Studies of early Alzheimer's disease (AD) and risk of AD show decreased function in posterior cingulate and temporal cortex as initial indicators of the disease process, but whether the origin and sequence of predementia brain changes are the same in DS is unknown. METHODS The regional cerebral glucose metabolic rates (GMR) among middle-aged nondemented people with DS (n = 17), people with moderate AD (n = 10), and age-matched control subjects (n = 24) were compared using PET during a cognitive task. RESULTS Statistical parametric mapping conjunction analyses showed that 1) both DS and AD groups had lower GMR than their respective controls primarily in posterior cingulate and 2) compared with respective controls, the subjects with DS had higher GMR in the same areas of inferior temporal/entorhinal cortex where the AD subjects had lower GMR. The same results were replicated after 1 year of follow-up. CONCLUSIONS As the DS subjects were not clinically demented, inferior temporal/entorhinal cortex hypermetabolism may reflect a compensatory response early in disease progression. Compensatory responses may subsequently fail, leading to neurodegenerative processes that the authors anticipate will be detectable in vivo as future GMR decreases in inferior temporal/entorhinal cortex are accompanied by clinical signs of dementia.","author":[{"dropping-particle":"","family":"Haier","given":"R J","non-dropping-particle":"","parse-names":false,"suffix":""},{"dropping-particle":"","family":"Alkire","given":"M T","non-dropping-particle":"","parse-names":false,"suffix":""},{"dropping-particle":"","family":"White","given":"N S","non-dropping-particle":"","parse-names":false,"suffix":""},{"dropping-particle":"","family":"Uncapher","given":"M R","non-dropping-particle":"","parse-names":false,"suffix":""},{"dropping-particle":"","family":"Head","given":"E","non-dropping-particle":"","parse-names":false,"suffix":""},{"dropping-particle":"","family":"Lott","given":"I T","non-dropping-particle":"","parse-names":false,"suffix":""},{"dropping-particle":"","family":"Cotman","given":"C W","non-dropping-particle":"","parse-names":false,"suffix":""}],"container-title":"Neurology","id":"ITEM-2","issue":"12","issued":{"date-parts":[["2003","12","23"]]},"page":"1673-9","title":"Temporal cortex hypermetabolism in Down syndrome prior to the onset of dementia.","type":"article-journal","volume":"61"},"uris":["http://www.mendeley.com/documents/?uuid=80e138e1-adea-32b1-9b4b-cb23d8e32dd6"]},{"id":"ITEM-3","itemData":{"DOI":"10.1016/j.jalz.2015.01.006","ISSN":"1552-5279","PMID":"25849033","abstract":"INTRODUCTION Down syndrome (DS) is associated with amyloid b (Ab) deposition. METHODS We characterized imaging measurements of regional fibrillar Ab burden, cerebral metabolic rate for glucose (rCMRgl), gray matter volumes (rGMVs), and age associations in 5 DS with dementia (DS/AD1), 12 DS without dementia (DS/AD2), and 9 normal controls (NCs). RESULTS There were significant group differences in mean standard uptake value ratios (SUVRs) for florbetapir with DS/AD1 having the highest, followed by DS/AD2, followed by NC. For [18F]-fluorodeoxyglucose positron emission tomography, posterior cingulate rCMRgl in DS/AD1 was significantly reduced compared with DS/AD2 and NC. For volumetric magnetic resonance imaging (vMRI), hippocampal volumes were significantly reduced for the DS/AD1 compared with DS/AD2 and NC. Age-related SUVR increases and rCMRgl reductions were greater in DS participants than in NCs. DISCUSSION DS is associated with fibrillar Ab, rCMRgl, and rGMV alterations in the dementia stage and before the presence of clinical decline. This study provides a foundation for the studies needed to inform treatment and prevention in DS.","author":[{"dropping-particle":"","family":"Sabbagh","given":"Marwan N","non-dropping-particle":"","parse-names":false,"suffix":""},{"dropping-particle":"","family":"Chen","given":"Kewei","non-dropping-particle":"","parse-names":false,"suffix":""},{"dropping-particle":"","family":"Rogers","given":"Joseph","non-dropping-particle":"","parse-names":false,"suffix":""},{"dropping-particle":"","family":"Fleisher","given":"Adam S","non-dropping-particle":"","parse-names":false,"suffix":""},{"dropping-particle":"","family":"Liebsack","given":"Carolyn","non-dropping-particle":"","parse-names":false,"suffix":""},{"dropping-particle":"","family":"Bandy","given":"Dan","non-dropping-particle":"","parse-names":false,"suffix":""},{"dropping-particle":"","family":"Belden","given":"Christine","non-dropping-particle":"","parse-names":false,"suffix":""},{"dropping-particle":"","family":"Protas","given":"Hillary","non-dropping-particle":"","parse-names":false,"suffix":""},{"dropping-particle":"","family":"Thiyyagura","given":"Pradeep","non-dropping-particle":"","parse-names":false,"suffix":""},{"dropping-particle":"","family":"Liu","given":"Xiaofen","non-dropping-particle":"","parse-names":false,"suffix":""},{"dropping-particle":"","family":"Roontiva","given":"Auttawut","non-dropping-particle":"","parse-names":false,"suffix":""},{"dropping-particle":"","family":"Luo","given":"Ji","non-dropping-particle":"","parse-names":false,"suffix":""},{"dropping-particle":"","family":"Jacobson","given":"Sandra","non-dropping-particle":"","parse-names":false,"suffix":""},{"dropping-particle":"","family":"Malek-Ahmadi","given":"Michael","non-dropping-particle":"","parse-names":false,"suffix":""},{"dropping-particle":"","family":"Powell","given":"Jessica","non-dropping-particle":"","parse-names":false,"suffix":""},{"dropping-particle":"","family":"Reiman","given":"Eric M","non-dropping-particle":"","parse-names":false,"suffix":""}],"container-title":"Alzheimer's &amp; Dementia : the journal of the Alzheimer's Association","id":"ITEM-3","issue":"8","issued":{"date-parts":[["2015","8"]]},"page":"994-1004","publisher":"NIH Public Access","title":"Florbetapir PET, FDG PET, and MRI in Down syndrome individuals with and without Alzheimer's dementia.","type":"article-journal","volume":"11"},"uris":["http://www.mendeley.com/documents/?uuid=1dab784c-e94d-30dc-bcfc-a1d69862880c"]}],"mendeley":{"formattedCitation":"(Haier &lt;i&gt;et al.&lt;/i&gt;, 2003; Sabbagh &lt;i&gt;et al.&lt;/i&gt;, 2015; Matthews &lt;i&gt;et al.&lt;/i&gt;, 2016)","plainTextFormattedCitation":"(Haier et al., 2003; Sabbagh et al., 2015; Matthews et al., 2016)","previouslyFormattedCitation":"(Haier &lt;i&gt;et al.&lt;/i&gt;, 2003; Sabbagh &lt;i&gt;et al.&lt;/i&gt;, 2015; Matthews &lt;i&gt;et al.&lt;/i&gt;, 2016)"},"properties":{"noteIndex":0},"schema":"https://github.com/citation-style-language/schema/raw/master/csl-citation.json"}</w:instrText>
      </w:r>
      <w:r w:rsidR="00921E2D" w:rsidRPr="008B57A2">
        <w:fldChar w:fldCharType="separate"/>
      </w:r>
      <w:r w:rsidR="00CE6796" w:rsidRPr="008B57A2">
        <w:rPr>
          <w:noProof/>
        </w:rPr>
        <w:t xml:space="preserve">(Haier </w:t>
      </w:r>
      <w:r w:rsidR="00CE6796" w:rsidRPr="008B57A2">
        <w:rPr>
          <w:i/>
          <w:noProof/>
        </w:rPr>
        <w:t>et al.</w:t>
      </w:r>
      <w:r w:rsidR="00CE6796" w:rsidRPr="008B57A2">
        <w:rPr>
          <w:noProof/>
        </w:rPr>
        <w:t xml:space="preserve">, 2003; Sabbagh </w:t>
      </w:r>
      <w:r w:rsidR="00CE6796" w:rsidRPr="008B57A2">
        <w:rPr>
          <w:i/>
          <w:noProof/>
        </w:rPr>
        <w:t>et al.</w:t>
      </w:r>
      <w:r w:rsidR="00CE6796" w:rsidRPr="008B57A2">
        <w:rPr>
          <w:noProof/>
        </w:rPr>
        <w:t xml:space="preserve">, 2015; Matthews </w:t>
      </w:r>
      <w:r w:rsidR="00CE6796" w:rsidRPr="008B57A2">
        <w:rPr>
          <w:i/>
          <w:noProof/>
        </w:rPr>
        <w:t>et al.</w:t>
      </w:r>
      <w:r w:rsidR="00CE6796" w:rsidRPr="008B57A2">
        <w:rPr>
          <w:noProof/>
        </w:rPr>
        <w:t>, 2016)</w:t>
      </w:r>
      <w:r w:rsidR="00921E2D" w:rsidRPr="008B57A2">
        <w:fldChar w:fldCharType="end"/>
      </w:r>
      <w:r w:rsidR="00F4222E" w:rsidRPr="008B57A2">
        <w:t>,</w:t>
      </w:r>
      <w:r w:rsidR="00F24DF7" w:rsidRPr="008B57A2">
        <w:t xml:space="preserve"> </w:t>
      </w:r>
      <w:r w:rsidR="000457A0" w:rsidRPr="008B57A2">
        <w:t xml:space="preserve">no </w:t>
      </w:r>
      <w:r w:rsidR="00BC243B" w:rsidRPr="008B57A2">
        <w:t>previous</w:t>
      </w:r>
      <w:r w:rsidR="000457A0" w:rsidRPr="008B57A2">
        <w:t xml:space="preserve"> study has</w:t>
      </w:r>
      <w:r w:rsidR="00FA04D1" w:rsidRPr="008B57A2">
        <w:t xml:space="preserve"> </w:t>
      </w:r>
      <w:r w:rsidR="00846883" w:rsidRPr="008B57A2">
        <w:t xml:space="preserve">determined whether the correlations were independent of existing </w:t>
      </w:r>
      <w:r w:rsidR="002F23FF" w:rsidRPr="008B57A2">
        <w:t xml:space="preserve">Aβ </w:t>
      </w:r>
      <w:r w:rsidR="00846883" w:rsidRPr="008B57A2">
        <w:t>status or degree of cortical thinning</w:t>
      </w:r>
      <w:r w:rsidR="00981CC7" w:rsidRPr="008B57A2">
        <w:t>.</w:t>
      </w:r>
      <w:r w:rsidR="00134C72" w:rsidRPr="008B57A2">
        <w:t xml:space="preserve"> </w:t>
      </w:r>
      <w:r w:rsidR="005738EC" w:rsidRPr="008B57A2">
        <w:t>Our interaction analyses</w:t>
      </w:r>
      <w:r w:rsidR="002D462F" w:rsidRPr="008B57A2">
        <w:t xml:space="preserve"> </w:t>
      </w:r>
      <w:r w:rsidR="005738EC" w:rsidRPr="008B57A2">
        <w:t>also showed</w:t>
      </w:r>
      <w:r w:rsidR="002D462F" w:rsidRPr="008B57A2">
        <w:t xml:space="preserve"> that </w:t>
      </w:r>
      <w:r w:rsidR="00B46476" w:rsidRPr="008B57A2">
        <w:t xml:space="preserve">amyloid status </w:t>
      </w:r>
      <w:r w:rsidR="00E97523" w:rsidRPr="008B57A2">
        <w:t xml:space="preserve">exerted a strong </w:t>
      </w:r>
      <w:r w:rsidR="00E658C4" w:rsidRPr="008B57A2">
        <w:t>interaction</w:t>
      </w:r>
      <w:r w:rsidR="00E97523" w:rsidRPr="008B57A2">
        <w:t xml:space="preserve"> on the </w:t>
      </w:r>
      <w:r w:rsidR="00B46476" w:rsidRPr="008B57A2">
        <w:t>coupling between R1 and CAMCOG</w:t>
      </w:r>
      <w:r w:rsidR="00600CD2" w:rsidRPr="008B57A2">
        <w:t xml:space="preserve"> scores</w:t>
      </w:r>
      <w:r w:rsidR="00E21E36" w:rsidRPr="008B57A2">
        <w:t>,</w:t>
      </w:r>
      <w:r w:rsidR="00DF11C9" w:rsidRPr="008B57A2">
        <w:t xml:space="preserve"> such that </w:t>
      </w:r>
      <w:r w:rsidR="00B4667F" w:rsidRPr="008B57A2">
        <w:t xml:space="preserve">the effect of R1 </w:t>
      </w:r>
      <w:r w:rsidR="007D4D63" w:rsidRPr="008B57A2">
        <w:t xml:space="preserve">on cognitive impairment </w:t>
      </w:r>
      <w:r w:rsidR="00B4667F" w:rsidRPr="008B57A2">
        <w:t>was most pronounced</w:t>
      </w:r>
      <w:r w:rsidR="00697648" w:rsidRPr="008B57A2">
        <w:t xml:space="preserve"> when accompanied by the</w:t>
      </w:r>
      <w:r w:rsidR="00B4667F" w:rsidRPr="008B57A2">
        <w:t xml:space="preserve"> presence of abnormal </w:t>
      </w:r>
      <w:r w:rsidR="002F23FF" w:rsidRPr="008B57A2">
        <w:t xml:space="preserve">Aβ </w:t>
      </w:r>
      <w:r w:rsidR="00641765" w:rsidRPr="008B57A2">
        <w:t>burden</w:t>
      </w:r>
      <w:r w:rsidR="00B4667F" w:rsidRPr="008B57A2">
        <w:t xml:space="preserve">. </w:t>
      </w:r>
      <w:r w:rsidR="008E73F3" w:rsidRPr="008B57A2">
        <w:t>Similar</w:t>
      </w:r>
      <w:r w:rsidR="00FA7F41" w:rsidRPr="008B57A2">
        <w:t xml:space="preserve"> </w:t>
      </w:r>
      <w:r w:rsidR="00A65EAE" w:rsidRPr="008B57A2">
        <w:t>evidence</w:t>
      </w:r>
      <w:r w:rsidR="00FA7F41" w:rsidRPr="008B57A2">
        <w:t xml:space="preserve"> of </w:t>
      </w:r>
      <w:r w:rsidR="004C06BB" w:rsidRPr="008B57A2">
        <w:t xml:space="preserve">Aβ </w:t>
      </w:r>
      <w:r w:rsidR="00DF5F8F" w:rsidRPr="008B57A2">
        <w:t>status</w:t>
      </w:r>
      <w:r w:rsidR="00FA7F41" w:rsidRPr="008B57A2">
        <w:t xml:space="preserve"> interacting</w:t>
      </w:r>
      <w:r w:rsidR="00D872C4" w:rsidRPr="008B57A2">
        <w:t xml:space="preserve"> with relationships between downstream processes have been </w:t>
      </w:r>
      <w:r w:rsidR="00A65EAE" w:rsidRPr="008B57A2">
        <w:t>reported</w:t>
      </w:r>
      <w:r w:rsidR="00D872C4" w:rsidRPr="008B57A2">
        <w:t xml:space="preserve"> in </w:t>
      </w:r>
      <w:r w:rsidR="00B17AE8" w:rsidRPr="008B57A2">
        <w:t xml:space="preserve">cognitively normal elderly </w:t>
      </w:r>
      <w:r w:rsidR="0021367F" w:rsidRPr="008B57A2">
        <w:t xml:space="preserve">groups </w:t>
      </w:r>
      <w:r w:rsidR="00B73445" w:rsidRPr="008B57A2">
        <w:t xml:space="preserve">(i.e. tau PET and hippocampal atrophy) </w:t>
      </w:r>
      <w:r w:rsidR="00D872C4" w:rsidRPr="008B57A2">
        <w:fldChar w:fldCharType="begin" w:fldLock="1"/>
      </w:r>
      <w:r w:rsidR="00005758" w:rsidRPr="008B57A2">
        <w:instrText>ADDIN CSL_CITATION {"citationItems":[{"id":"ITEM-1","itemData":{"DOI":"10.1001/jamaneurol.2016.2078","ISSN":"2168-6149","PMID":"27454922","abstract":"IMPORTANCE: In vivo tau imaging may become a diagnostic marker for Alzheimer disease (AD) and provides insights into the pathophysiology of AD. OBJECTIVE: To evaluate the usefulness of [18F]-AV-1451 positron emission tomography (PET) imaging to stage AD and assess the associations among β-amyloid (Aβ), tau, and volume loss. DESIGN, SETTING, AND PARTICIPANTS: An imaging study conducted at Knight Alzheimer Disease Research Center at Washington University in St Louis, Missouri. A total of 59 participants who were cognitively normal (CN) (Clinical Dementia Rating [CDR] score, 0) or had AD dementia (CDR score, &gt;0) were included. MAIN OUTCOMES AND MEASURES: Standardized uptake value ratio (SUVR) of [18F]-AV-1451 in the hippocampus and a priori-defined AD cortical signature regions, cerebrospinal fluid Aβ42, hippocampal volume, and AD signature cortical thickness. RESULTS: Of the 59 participants, 38 (64%) were male; mean (SD) age was 74 (6) years. The [18F]-AV-1451 SUVR in the hippocampus and AD cortical signature regions distinguished AD from CN participants (area under the receiver operating characteristic curve range [95% CI], 0.89 [0.73-1.00] to 0.98 [0.92-1.00]). An [18F]-AV-1451 SUVR cutoff value of 1.19 (sensitivity, 100%; specificity, 86%) from AD cortical signature regions best separated cerebrospinal fluid Aβ42-positive (Aβ+) AD from cerebrospinal fluid Aβ42-negative (Aβ-) CN participants. This same cutoff also divided Aβ+ CN participants into low vs high tau groups. Moreover, the presence of Aβ+ was associated with an elevated [18F]-AV-1451 SUVR in AD cortical signature regions (Aβ+ participants: mean [SD], 1.3 [0.3]; Aβ- participants: 1.1 [0.1]; F = 4.3, P = .04) but not in the hippocampus. The presence of Aβ+ alone was not related to hippocampal volume or AD signature cortical thickness. An elevated [18F]-AV-1451 SUVR was associated with volumetric loss in both the hippocampus and AD cortical signature regions. The observed [18F]-AV-1451 SUVR volumetric association was modified by Aβ status in the hippocampus but not in AD cortical signature regions. An inverse association between hippocampal [18F]-AV-1451 SUVR and volume was seen in Aβ+ participants (R2 = 0.55; P &lt; .001) but not Aβ- (R2 = 0; P = .97) participants. CONCLUSIONS AND RELEVANCE: Use of [18F]-AV-1451 has a potential for staging of the preclinical and clinical phases of AD. β-Amyloid interacts with hippocampal and cortical tauopathy to affect neurodegeneration. In the absence of Aβ, hip…","author":[{"dropping-particle":"","family":"Wang","given":"Liang","non-dropping-particle":"","parse-names":false,"suffix":""},{"dropping-particle":"","family":"Benzinger","given":"Tammie L.","non-dropping-particle":"","parse-names":false,"suffix":""},{"dropping-particle":"","family":"Su","given":"Yi","non-dropping-particle":"","parse-names":false,"suffix":""},{"dropping-particle":"","family":"Christensen","given":"Jon","non-dropping-particle":"","parse-names":false,"suffix":""},{"dropping-particle":"","family":"Friedrichsen","given":"Karl","non-dropping-particle":"","parse-names":false,"suffix":""},{"dropping-particle":"","family":"Aldea","given":"Patricia","non-dropping-particle":"","parse-names":false,"suffix":""},{"dropping-particle":"","family":"McConathy","given":"Jonathan","non-dropping-particle":"","parse-names":false,"suffix":""},{"dropping-particle":"","family":"Cairns","given":"Nigel J.","non-dropping-particle":"","parse-names":false,"suffix":""},{"dropping-particle":"","family":"Fagan","given":"Anne M.","non-dropping-particle":"","parse-names":false,"suffix":""},{"dropping-particle":"","family":"Morris","given":"John C.","non-dropping-particle":"","parse-names":false,"suffix":""},{"dropping-particle":"","family":"Ances","given":"Beau M.","non-dropping-particle":"","parse-names":false,"suffix":""}],"container-title":"JAMA Neurol","id":"ITEM-1","issue":"9","issued":{"date-parts":[["2016"]]},"page":"1070-1077","title":"Evaluation of tau imaging in staging Alzheimer disease and revealing interactions between β-amyloid and tauopathy","type":"article-journal","volume":"73"},"uris":["http://www.mendeley.com/documents/?uuid=c60dadcf-2611-492b-9889-9d0a7977712e"]}],"mendeley":{"formattedCitation":"(Wang &lt;i&gt;et al.&lt;/i&gt;, 2016)","plainTextFormattedCitation":"(Wang et al., 2016)","previouslyFormattedCitation":"(Wang &lt;i&gt;et al.&lt;/i&gt;, 2016)"},"properties":{"noteIndex":0},"schema":"https://github.com/citation-style-language/schema/raw/master/csl-citation.json"}</w:instrText>
      </w:r>
      <w:r w:rsidR="00D872C4" w:rsidRPr="008B57A2">
        <w:fldChar w:fldCharType="separate"/>
      </w:r>
      <w:r w:rsidR="00CE6796" w:rsidRPr="008B57A2">
        <w:rPr>
          <w:noProof/>
        </w:rPr>
        <w:t xml:space="preserve">(Wang </w:t>
      </w:r>
      <w:r w:rsidR="00CE6796" w:rsidRPr="008B57A2">
        <w:rPr>
          <w:i/>
          <w:noProof/>
        </w:rPr>
        <w:t>et al.</w:t>
      </w:r>
      <w:r w:rsidR="00CE6796" w:rsidRPr="008B57A2">
        <w:rPr>
          <w:noProof/>
        </w:rPr>
        <w:t>, 2016)</w:t>
      </w:r>
      <w:r w:rsidR="00D872C4" w:rsidRPr="008B57A2">
        <w:fldChar w:fldCharType="end"/>
      </w:r>
      <w:r w:rsidR="00D15FD1" w:rsidRPr="008B57A2">
        <w:t>.</w:t>
      </w:r>
      <w:r w:rsidR="00D15FD1" w:rsidRPr="007E51FB">
        <w:t xml:space="preserve"> </w:t>
      </w:r>
    </w:p>
    <w:p w14:paraId="196233CB" w14:textId="37CFAC7C" w:rsidR="00F67E6D" w:rsidRPr="007E51FB" w:rsidRDefault="00F67E6D" w:rsidP="00E84C28">
      <w:pPr>
        <w:spacing w:line="360" w:lineRule="auto"/>
        <w:jc w:val="both"/>
      </w:pPr>
    </w:p>
    <w:p w14:paraId="2292CB59" w14:textId="233C66D3" w:rsidR="001842A6" w:rsidRPr="007E51FB" w:rsidRDefault="00E12D99" w:rsidP="00E84C28">
      <w:pPr>
        <w:spacing w:line="360" w:lineRule="auto"/>
        <w:jc w:val="both"/>
      </w:pPr>
      <w:r w:rsidRPr="007E51FB">
        <w:t xml:space="preserve">We also evaluated the potential utility of perfusion R1 </w:t>
      </w:r>
      <w:r w:rsidR="00771D6C" w:rsidRPr="007E51FB">
        <w:t xml:space="preserve">to predict subsequent clinical </w:t>
      </w:r>
      <w:r w:rsidR="00A5274E" w:rsidRPr="007E51FB">
        <w:t>deterioration</w:t>
      </w:r>
      <w:r w:rsidR="00771D6C" w:rsidRPr="007E51FB">
        <w:t>.</w:t>
      </w:r>
      <w:r w:rsidR="00FA2073" w:rsidRPr="007E51FB">
        <w:t xml:space="preserve"> </w:t>
      </w:r>
      <w:r w:rsidR="00B36DD8" w:rsidRPr="007E51FB">
        <w:t xml:space="preserve">Compared to DS individuals who remained cognitively stable throughout the </w:t>
      </w:r>
      <w:r w:rsidR="00F67A36" w:rsidRPr="007E51FB">
        <w:t>assessment period,</w:t>
      </w:r>
      <w:r w:rsidR="00077862" w:rsidRPr="007E51FB">
        <w:t xml:space="preserve"> those who exhibited a decline in cognitive function were found to have significantly reduced R1</w:t>
      </w:r>
      <w:r w:rsidR="00164628" w:rsidRPr="007E51FB">
        <w:t>.</w:t>
      </w:r>
      <w:r w:rsidR="004035AF" w:rsidRPr="007E51FB">
        <w:t xml:space="preserve"> </w:t>
      </w:r>
      <w:r w:rsidR="008438B4" w:rsidRPr="007E51FB">
        <w:t xml:space="preserve">This </w:t>
      </w:r>
      <w:r w:rsidR="00ED3AA9" w:rsidRPr="007E51FB">
        <w:t xml:space="preserve">finding </w:t>
      </w:r>
      <w:r w:rsidR="001F1FB1" w:rsidRPr="007E51FB">
        <w:t>is consistent</w:t>
      </w:r>
      <w:r w:rsidR="00ED3AA9" w:rsidRPr="007E51FB">
        <w:t xml:space="preserve"> with l</w:t>
      </w:r>
      <w:r w:rsidR="007265CA" w:rsidRPr="007E51FB">
        <w:t>ongitudinal</w:t>
      </w:r>
      <w:r w:rsidR="006E06FA" w:rsidRPr="007E51FB">
        <w:t xml:space="preserve"> evidence showing metabolic reductions preceding the onset of AD in</w:t>
      </w:r>
      <w:r w:rsidR="00012E6E" w:rsidRPr="007E51FB">
        <w:t xml:space="preserve"> </w:t>
      </w:r>
      <w:r w:rsidR="005A2FDA" w:rsidRPr="007E51FB">
        <w:t>MCI</w:t>
      </w:r>
      <w:r w:rsidR="001F55DC" w:rsidRPr="007E51FB">
        <w:t xml:space="preserve"> </w:t>
      </w:r>
      <w:r w:rsidR="001F55DC" w:rsidRPr="007E51FB">
        <w:fldChar w:fldCharType="begin" w:fldLock="1"/>
      </w:r>
      <w:r w:rsidR="00005758" w:rsidRPr="007E51FB">
        <w:instrText>ADDIN CSL_CITATION {"citationItems":[{"id":"ITEM-1","itemData":{"DOI":"10.1007/s00259-005-1762-7","ISSN":"1619-7070","author":[{"dropping-particle":"","family":"Mosconi","given":"Lisa","non-dropping-particle":"","parse-names":false,"suffix":""}],"container-title":"European Journal of Nuclear Medicine and Molecular Imaging","id":"ITEM-1","issue":"4","issued":{"date-parts":[["2005","4","4"]]},"page":"486-510","publisher":"Springer-Verlag","title":"Brain glucose metabolism in the early and specific diagnosis of Alzheimer?s disease","type":"article-journal","volume":"32"},"uris":["http://www.mendeley.com/documents/?uuid=29d49692-154f-306c-a615-224144f646e6"]}],"mendeley":{"formattedCitation":"(Mosconi, 2005)","plainTextFormattedCitation":"(Mosconi, 2005)","previouslyFormattedCitation":"(Mosconi, 2005)"},"properties":{"noteIndex":0},"schema":"https://github.com/citation-style-language/schema/raw/master/csl-citation.json"}</w:instrText>
      </w:r>
      <w:r w:rsidR="001F55DC" w:rsidRPr="007E51FB">
        <w:fldChar w:fldCharType="separate"/>
      </w:r>
      <w:r w:rsidR="00CE6796" w:rsidRPr="007E51FB">
        <w:rPr>
          <w:noProof/>
        </w:rPr>
        <w:t>(Mosconi, 2005)</w:t>
      </w:r>
      <w:r w:rsidR="001F55DC" w:rsidRPr="007E51FB">
        <w:fldChar w:fldCharType="end"/>
      </w:r>
      <w:r w:rsidR="001F55DC" w:rsidRPr="007E51FB">
        <w:t xml:space="preserve"> and</w:t>
      </w:r>
      <w:r w:rsidR="005A2FDA" w:rsidRPr="007E51FB">
        <w:t xml:space="preserve"> </w:t>
      </w:r>
      <w:r w:rsidR="006E06FA" w:rsidRPr="007E51FB">
        <w:t xml:space="preserve">cognitively normal individuals </w:t>
      </w:r>
      <w:r w:rsidR="006E06FA" w:rsidRPr="007E51FB">
        <w:fldChar w:fldCharType="begin" w:fldLock="1"/>
      </w:r>
      <w:r w:rsidR="00005758" w:rsidRPr="007E51FB">
        <w:instrText>ADDIN CSL_CITATION {"citationItems":[{"id":"ITEM-1","itemData":{"DOI":"10.1007/s00259-008-1039-z","ISSN":"1619-7070","PMID":"19142633","abstract":"PURPOSE We report the first clinicopathological series of longitudinal FDG-PET scans in post-mortem (PM) verified cognitively normal elderly (NL) followed to the onset of Alzheimer's-type dementia (DAT), and in patients with mild DAT with progressive cognitive deterioration. METHODS Four NL subjects and three patients with mild DAT received longitudinal clinical, neuropsychological and dynamic FDG-PET examinations with arterial input functions. NL subjects were followed for 13 +/- 5 years, received FDG-PET examinations over 7 +/- 2 years, and autopsy 6 +/- 3 years after the last FDG-PET. Two NL declined to mild cognitive impairment (MCI), and two developed probable DAT before death. DAT patients were followed for 9 +/- 3 years, received FDG-PET examinations over 3 +/- 2 years, and autopsy 7 +/- 1 years after the last FDG-PET. Two DAT patients progressed to moderate-to-severe dementia and one developed vascular dementia. RESULTS The two NL subjects who declined to DAT received a PM diagnosis of definite AD. Their FDG-PET scans indicated a progression of deficits in the cerebral metabolic rate for glucose (CMRglc) from the hippocampus to the parietotemporal and posterior cingulate cortices. One DAT patient showed AD with diffuse Lewy body disease (LBD) at PM, and her last in vivo PET was indicative of possible LBD for the presence of occipital as well as parietotemporal hypometabolism. CONCLUSION Progressive CMRglc reductions on FDG-PET occur years in advance of clinical DAT symptoms in patients with pathologically verified disease. The FDG-PET profiles in life were consistent with the PM diagnosis.","author":[{"dropping-particle":"","family":"Mosconi","given":"Lisa","non-dropping-particle":"","parse-names":false,"suffix":""},{"dropping-particle":"","family":"Mistur","given":"Rachel","non-dropping-particle":"","parse-names":false,"suffix":""},{"dropping-particle":"","family":"Switalski","given":"Remigiusz","non-dropping-particle":"","parse-names":false,"suffix":""},{"dropping-particle":"","family":"Tsui","given":"Wai Hon","non-dropping-particle":"","parse-names":false,"suffix":""},{"dropping-particle":"","family":"Glodzik","given":"Lidia","non-dropping-particle":"","parse-names":false,"suffix":""},{"dropping-particle":"","family":"Li","given":"Yi","non-dropping-particle":"","parse-names":false,"suffix":""},{"dropping-particle":"","family":"Pirraglia","given":"Elizabeth","non-dropping-particle":"","parse-names":false,"suffix":""},{"dropping-particle":"","family":"Santi","given":"Susan","non-dropping-particle":"De","parse-names":false,"suffix":""},{"dropping-particle":"","family":"Reisberg","given":"Barry","non-dropping-particle":"","parse-names":false,"suffix":""},{"dropping-particle":"","family":"Wisniewski","given":"Thomas","non-dropping-particle":"","parse-names":false,"suffix":""},{"dropping-particle":"","family":"Leon","given":"Mony J.","non-dropping-particle":"de","parse-names":false,"suffix":""}],"container-title":"European Journal of Nuclear Medicine and Molecular Imaging","id":"ITEM-1","issue":"5","issued":{"date-parts":[["2009","5","14"]]},"page":"811-822","publisher":"NIH Public Access","title":"FDG-PET changes in brain glucose metabolism from normal cognition to pathologically verified Alzheimer’s disease","type":"article-journal","volume":"36"},"uris":["http://www.mendeley.com/documents/?uuid=e2f4f48a-6a64-3974-9138-1595e5972796"]}],"mendeley":{"formattedCitation":"(Mosconi &lt;i&gt;et al.&lt;/i&gt;, 2009)","plainTextFormattedCitation":"(Mosconi et al., 2009)","previouslyFormattedCitation":"(Mosconi &lt;i&gt;et al.&lt;/i&gt;, 2009)"},"properties":{"noteIndex":0},"schema":"https://github.com/citation-style-language/schema/raw/master/csl-citation.json"}</w:instrText>
      </w:r>
      <w:r w:rsidR="006E06FA" w:rsidRPr="007E51FB">
        <w:fldChar w:fldCharType="separate"/>
      </w:r>
      <w:r w:rsidR="00CE6796" w:rsidRPr="007E51FB">
        <w:rPr>
          <w:noProof/>
        </w:rPr>
        <w:t xml:space="preserve">(Mosconi </w:t>
      </w:r>
      <w:r w:rsidR="00CE6796" w:rsidRPr="007E51FB">
        <w:rPr>
          <w:i/>
          <w:noProof/>
        </w:rPr>
        <w:t>et al.</w:t>
      </w:r>
      <w:r w:rsidR="00CE6796" w:rsidRPr="007E51FB">
        <w:rPr>
          <w:noProof/>
        </w:rPr>
        <w:t>, 2009)</w:t>
      </w:r>
      <w:r w:rsidR="006E06FA" w:rsidRPr="007E51FB">
        <w:fldChar w:fldCharType="end"/>
      </w:r>
      <w:r w:rsidR="002E39C1" w:rsidRPr="007E51FB">
        <w:t>, and</w:t>
      </w:r>
      <w:r w:rsidR="008E272B" w:rsidRPr="007E51FB">
        <w:t xml:space="preserve"> collectively implicate</w:t>
      </w:r>
      <w:r w:rsidR="00D42780" w:rsidRPr="007E51FB">
        <w:t xml:space="preserve"> cerebral perfusion</w:t>
      </w:r>
      <w:r w:rsidR="00274B7A" w:rsidRPr="007E51FB">
        <w:t xml:space="preserve"> </w:t>
      </w:r>
      <w:r w:rsidR="00CF3A69" w:rsidRPr="007E51FB">
        <w:t>loss</w:t>
      </w:r>
      <w:r w:rsidR="00D42780" w:rsidRPr="007E51FB">
        <w:t xml:space="preserve"> as </w:t>
      </w:r>
      <w:r w:rsidR="00843C4C" w:rsidRPr="007E51FB">
        <w:t xml:space="preserve">an early </w:t>
      </w:r>
      <w:r w:rsidR="00577491" w:rsidRPr="007E51FB">
        <w:t>Alzheimer</w:t>
      </w:r>
      <w:r w:rsidR="00185A7C" w:rsidRPr="007E51FB">
        <w:t xml:space="preserve">-related </w:t>
      </w:r>
      <w:r w:rsidR="00843C4C" w:rsidRPr="007E51FB">
        <w:t>process</w:t>
      </w:r>
      <w:r w:rsidR="002A6790" w:rsidRPr="007E51FB">
        <w:t xml:space="preserve"> foreshadow</w:t>
      </w:r>
      <w:r w:rsidR="00577491" w:rsidRPr="007E51FB">
        <w:t>ing</w:t>
      </w:r>
      <w:r w:rsidR="002A6790" w:rsidRPr="007E51FB">
        <w:t xml:space="preserve"> future</w:t>
      </w:r>
      <w:r w:rsidR="00D42780" w:rsidRPr="007E51FB">
        <w:t xml:space="preserve"> cognitive decline</w:t>
      </w:r>
      <w:bookmarkStart w:id="53" w:name="OLE_LINK69"/>
      <w:bookmarkStart w:id="54" w:name="OLE_LINK70"/>
      <w:r w:rsidR="00A75359" w:rsidRPr="007E51FB">
        <w:t>; c</w:t>
      </w:r>
      <w:r w:rsidR="00A9595D" w:rsidRPr="007E51FB">
        <w:t>ortical R1 may be used alongside PiB imaging to identify clinical drug trial participants who</w:t>
      </w:r>
      <w:r w:rsidR="003B1784" w:rsidRPr="007E51FB">
        <w:t xml:space="preserve"> may be likely to exhibit </w:t>
      </w:r>
      <w:r w:rsidR="00383B19" w:rsidRPr="007E51FB">
        <w:t>cognitive impairment within a short window of time.</w:t>
      </w:r>
      <w:r w:rsidR="00625B58" w:rsidRPr="007E51FB">
        <w:t xml:space="preserve"> Considering the small sample size </w:t>
      </w:r>
      <w:r w:rsidR="00625B58" w:rsidRPr="007E51FB">
        <w:lastRenderedPageBreak/>
        <w:t xml:space="preserve">included in this comparison, future prospective studies in other independent longitudinal cohorts of DS are </w:t>
      </w:r>
      <w:r w:rsidR="00247716" w:rsidRPr="007E51FB">
        <w:t xml:space="preserve">ultimately </w:t>
      </w:r>
      <w:r w:rsidR="00625B58" w:rsidRPr="007E51FB">
        <w:t>necessary to confirm our result.</w:t>
      </w:r>
    </w:p>
    <w:p w14:paraId="45775099" w14:textId="77777777" w:rsidR="002D0DC2" w:rsidRPr="007E51FB" w:rsidRDefault="002D0DC2" w:rsidP="00E84C28">
      <w:pPr>
        <w:spacing w:line="360" w:lineRule="auto"/>
        <w:jc w:val="both"/>
      </w:pPr>
    </w:p>
    <w:p w14:paraId="4C6F6742" w14:textId="17A73B9D" w:rsidR="00B9128A" w:rsidRPr="007E51FB" w:rsidRDefault="00B9128A" w:rsidP="00E84C28">
      <w:pPr>
        <w:spacing w:line="360" w:lineRule="auto"/>
        <w:jc w:val="both"/>
        <w:rPr>
          <w:strike/>
        </w:rPr>
      </w:pPr>
      <w:bookmarkStart w:id="55" w:name="OLE_LINK67"/>
      <w:bookmarkStart w:id="56" w:name="OLE_LINK68"/>
      <w:r w:rsidRPr="007E51FB">
        <w:t xml:space="preserve">The results herein show promising utility for the PiB-R1 to be used as a surrogate index in clinical trials </w:t>
      </w:r>
      <w:r w:rsidR="007071D2" w:rsidRPr="007E51FB">
        <w:t>for monitoring disease progression or tracking physiologic changes over time.</w:t>
      </w:r>
      <w:r w:rsidR="002F5C05" w:rsidRPr="007E51FB">
        <w:t xml:space="preserve"> However, several caveats should be considered</w:t>
      </w:r>
      <w:bookmarkEnd w:id="55"/>
      <w:bookmarkEnd w:id="56"/>
      <w:r w:rsidR="002F5C05" w:rsidRPr="007E51FB">
        <w:t>.</w:t>
      </w:r>
      <w:r w:rsidR="00A07E78" w:rsidRPr="007E51FB">
        <w:t xml:space="preserve"> The calculation of the PiB-R1 entails a </w:t>
      </w:r>
      <w:r w:rsidR="000B0517" w:rsidRPr="007E51FB">
        <w:t>full dynamic PET scan</w:t>
      </w:r>
      <w:r w:rsidR="00040903" w:rsidRPr="007E51FB">
        <w:t xml:space="preserve"> </w:t>
      </w:r>
      <w:r w:rsidR="00A07E78" w:rsidRPr="007E51FB">
        <w:t xml:space="preserve">that may not be well tolerated by individuals with cognitive </w:t>
      </w:r>
      <w:r w:rsidR="004022FB" w:rsidRPr="007E51FB">
        <w:t>impairment</w:t>
      </w:r>
      <w:r w:rsidR="00A07E78" w:rsidRPr="007E51FB">
        <w:t xml:space="preserve"> or other intellectual disabilities</w:t>
      </w:r>
      <w:r w:rsidR="00CE6127" w:rsidRPr="007E51FB">
        <w:t>.</w:t>
      </w:r>
      <w:r w:rsidR="00493253" w:rsidRPr="007E51FB">
        <w:t xml:space="preserve"> </w:t>
      </w:r>
      <w:r w:rsidR="001A3917" w:rsidRPr="007E51FB">
        <w:t>In the interest of avoiding a full dynamic PET scan, e</w:t>
      </w:r>
      <w:r w:rsidR="00493253" w:rsidRPr="007E51FB">
        <w:t xml:space="preserve">arly-PiB SUVR has been </w:t>
      </w:r>
      <w:r w:rsidR="001A3917" w:rsidRPr="007E51FB">
        <w:t>evaluated</w:t>
      </w:r>
      <w:r w:rsidR="00493253" w:rsidRPr="007E51FB">
        <w:t xml:space="preserve"> as an alternative over R1</w:t>
      </w:r>
      <w:r w:rsidR="00F6448D" w:rsidRPr="007E51FB">
        <w:t xml:space="preserve">. </w:t>
      </w:r>
      <w:r w:rsidR="002A05F4" w:rsidRPr="007E51FB">
        <w:t xml:space="preserve">However, </w:t>
      </w:r>
      <w:r w:rsidR="001B20BF" w:rsidRPr="007E51FB">
        <w:t xml:space="preserve">the </w:t>
      </w:r>
      <w:r w:rsidR="0025062C" w:rsidRPr="007E51FB">
        <w:t>limitations</w:t>
      </w:r>
      <w:r w:rsidR="002A05F4" w:rsidRPr="007E51FB">
        <w:t xml:space="preserve"> </w:t>
      </w:r>
      <w:r w:rsidR="001B20BF" w:rsidRPr="007E51FB">
        <w:t xml:space="preserve">of early PiB SUVR </w:t>
      </w:r>
      <w:r w:rsidR="002A05F4" w:rsidRPr="007E51FB">
        <w:t>include (a)</w:t>
      </w:r>
      <w:r w:rsidR="009D084C" w:rsidRPr="007E51FB">
        <w:t xml:space="preserve"> underestimation of cerebral blood flow signal, (b) weaker correlations with cognitive data and (c) poorer discriminative ability compared to the R1</w:t>
      </w:r>
      <w:r w:rsidR="00741489" w:rsidRPr="007E51FB">
        <w:t xml:space="preserve"> </w:t>
      </w:r>
      <w:r w:rsidR="00FA5A91" w:rsidRPr="007E51FB">
        <w:fldChar w:fldCharType="begin" w:fldLock="1"/>
      </w:r>
      <w:r w:rsidR="00005758" w:rsidRPr="007E51FB">
        <w:instrText>ADDIN CSL_CITATION {"citationItems":[{"id":"ITEM-1","itemData":{"DOI":"10.1016/j.jalz.2019.05.010","ISSN":"15525260","author":[{"dropping-particle":"","family":"Ottoy","given":"Julie","non-dropping-particle":"","parse-names":false,"suffix":""},{"dropping-particle":"","family":"Verhaeghe","given":"Jeroen","non-dropping-particle":"","parse-names":false,"suffix":""},{"dropping-particle":"","family":"Niemantsverdriet","given":"Ellis","non-dropping-particle":"","parse-names":false,"suffix":""},{"dropping-particle":"","family":"Roeck","given":"Ellen","non-dropping-particle":"De","parse-names":false,"suffix":""},{"dropping-particle":"","family":"wyffels","given":"Leonie","non-dropping-particle":"","parse-names":false,"suffix":""},{"dropping-particle":"","family":"Ceyssens","given":"Sarah","non-dropping-particle":"","parse-names":false,"suffix":""},{"dropping-particle":"","family":"Broeckhoven","given":"Christine","non-dropping-particle":"Van","parse-names":false,"suffix":""},{"dropping-particle":"","family":"Engelborghs","given":"Sebastiaan","non-dropping-particle":"","parse-names":false,"suffix":""},{"dropping-particle":"","family":"Stroobants","given":"Sigrid","non-dropping-particle":"","parse-names":false,"suffix":""},{"dropping-particle":"","family":"Staelens","given":"Steven","non-dropping-particle":"","parse-names":false,"suffix":""}],"container-title":"Alzheimer's &amp; Dementia","id":"ITEM-1","issued":{"date-parts":[["2019"]]},"page":"1-11","publisher":"Elsevier Inc.","title":"18F-FDG PET, the early phases and the delivery rate of 18F-AV45 PET as proxies of cerebral blood flow in Alzheimer's disease: Validation against 15O-H2O PET","type":"article-journal"},"uris":["http://www.mendeley.com/documents/?uuid=a16c0923-d315-46e0-993e-9c7b162c625f"]}],"mendeley":{"formattedCitation":"(Ottoy &lt;i&gt;et al.&lt;/i&gt;, 2019)","plainTextFormattedCitation":"(Ottoy et al., 2019)","previouslyFormattedCitation":"(Ottoy &lt;i&gt;et al.&lt;/i&gt;, 2019)"},"properties":{"noteIndex":0},"schema":"https://github.com/citation-style-language/schema/raw/master/csl-citation.json"}</w:instrText>
      </w:r>
      <w:r w:rsidR="00FA5A91" w:rsidRPr="007E51FB">
        <w:fldChar w:fldCharType="separate"/>
      </w:r>
      <w:r w:rsidR="00CE6796" w:rsidRPr="007E51FB">
        <w:rPr>
          <w:noProof/>
        </w:rPr>
        <w:t xml:space="preserve">(Ottoy </w:t>
      </w:r>
      <w:r w:rsidR="00CE6796" w:rsidRPr="007E51FB">
        <w:rPr>
          <w:i/>
          <w:noProof/>
        </w:rPr>
        <w:t>et al.</w:t>
      </w:r>
      <w:r w:rsidR="00CE6796" w:rsidRPr="007E51FB">
        <w:rPr>
          <w:noProof/>
        </w:rPr>
        <w:t>, 2019)</w:t>
      </w:r>
      <w:r w:rsidR="00FA5A91" w:rsidRPr="007E51FB">
        <w:fldChar w:fldCharType="end"/>
      </w:r>
      <w:r w:rsidR="00741489" w:rsidRPr="007E51FB">
        <w:t xml:space="preserve">. </w:t>
      </w:r>
      <w:r w:rsidR="007A5F9A" w:rsidRPr="007E51FB">
        <w:rPr>
          <w:strike/>
        </w:rPr>
        <w:t>O</w:t>
      </w:r>
      <w:r w:rsidR="00BA7967" w:rsidRPr="007E51FB">
        <w:t>ur study also has several limitations</w:t>
      </w:r>
      <w:r w:rsidR="00934A0A" w:rsidRPr="007E51FB">
        <w:t xml:space="preserve">. </w:t>
      </w:r>
      <w:r w:rsidR="00DC2291" w:rsidRPr="007E51FB">
        <w:t>Not all DS adults returned for follow-up cognitive assessments</w:t>
      </w:r>
      <w:r w:rsidR="00E90988" w:rsidRPr="007E51FB">
        <w:t xml:space="preserve"> and the stratification of DS adults </w:t>
      </w:r>
      <w:r w:rsidR="001D0056" w:rsidRPr="007E51FB">
        <w:t>into those with</w:t>
      </w:r>
      <w:r w:rsidR="00E90988" w:rsidRPr="007E51FB">
        <w:t xml:space="preserve"> stable cognition (n = 21) and decliners (n = 9) resulted in unbalanced sample sizes</w:t>
      </w:r>
      <w:r w:rsidR="00D42131" w:rsidRPr="007E51FB">
        <w:t>.</w:t>
      </w:r>
      <w:r w:rsidR="00F42C9B" w:rsidRPr="007E51FB">
        <w:t xml:space="preserve"> </w:t>
      </w:r>
      <w:r w:rsidR="00D42131" w:rsidRPr="007E51FB">
        <w:t>D</w:t>
      </w:r>
      <w:r w:rsidR="00B3627F" w:rsidRPr="007E51FB">
        <w:t>iagnosing dementia in DS populations remains inherently challenging</w:t>
      </w:r>
      <w:r w:rsidR="00C4464D" w:rsidRPr="007E51FB">
        <w:t xml:space="preserve"> </w:t>
      </w:r>
      <w:r w:rsidR="00E151F1" w:rsidRPr="007E51FB">
        <w:t>amidst</w:t>
      </w:r>
      <w:r w:rsidR="00C4464D" w:rsidRPr="007E51FB">
        <w:t xml:space="preserve"> the </w:t>
      </w:r>
      <w:r w:rsidR="009B0274" w:rsidRPr="007E51FB">
        <w:t>clinical b</w:t>
      </w:r>
      <w:r w:rsidR="00C4464D" w:rsidRPr="007E51FB">
        <w:t>ackground of intellectual disability, lack of information regarding premorbid level of functioning and difficulties in communication the full extent of cognitive impairment</w:t>
      </w:r>
      <w:r w:rsidR="004038FA" w:rsidRPr="007E51FB">
        <w:t>.</w:t>
      </w:r>
      <w:r w:rsidR="00F67431" w:rsidRPr="007E51FB">
        <w:t xml:space="preserve"> </w:t>
      </w:r>
    </w:p>
    <w:bookmarkEnd w:id="53"/>
    <w:bookmarkEnd w:id="54"/>
    <w:p w14:paraId="086FF1F2" w14:textId="77777777" w:rsidR="004016F3" w:rsidRPr="007E51FB" w:rsidRDefault="004016F3" w:rsidP="00E84C28">
      <w:pPr>
        <w:spacing w:line="360" w:lineRule="auto"/>
        <w:jc w:val="both"/>
      </w:pPr>
    </w:p>
    <w:p w14:paraId="5C7EC733" w14:textId="587B3B25" w:rsidR="0089192F" w:rsidRPr="007E51FB" w:rsidRDefault="00613741" w:rsidP="00E84C28">
      <w:pPr>
        <w:spacing w:line="360" w:lineRule="auto"/>
        <w:jc w:val="both"/>
      </w:pPr>
      <w:r w:rsidRPr="007E51FB">
        <w:t xml:space="preserve">DS represents the largest population of individuals at risk for AD, far exceeding the number of people who are currently carrying the autosomal dominant AD mutations. In the context of better healthcare and consequently longer life spans, there is an urgent need to develop clinical trials in this vulnerable population. </w:t>
      </w:r>
      <w:r w:rsidR="00CD49FE" w:rsidRPr="007E51FB">
        <w:t xml:space="preserve">The findings in the present study show clear utility of </w:t>
      </w:r>
      <w:bookmarkStart w:id="57" w:name="OLE_LINK30"/>
      <w:bookmarkStart w:id="58" w:name="OLE_LINK31"/>
      <w:r w:rsidR="00CD49FE" w:rsidRPr="007E51FB">
        <w:t>[</w:t>
      </w:r>
      <w:r w:rsidR="00CD49FE" w:rsidRPr="007E51FB">
        <w:rPr>
          <w:vertAlign w:val="superscript"/>
        </w:rPr>
        <w:t>11</w:t>
      </w:r>
      <w:r w:rsidR="00CD49FE" w:rsidRPr="007E51FB">
        <w:t>C]-PiB</w:t>
      </w:r>
      <w:r w:rsidR="0087376B" w:rsidRPr="007E51FB">
        <w:t xml:space="preserve"> R1</w:t>
      </w:r>
      <w:r w:rsidR="00CD49FE" w:rsidRPr="007E51FB">
        <w:t xml:space="preserve"> </w:t>
      </w:r>
      <w:bookmarkEnd w:id="57"/>
      <w:bookmarkEnd w:id="58"/>
      <w:r w:rsidR="00CD49FE" w:rsidRPr="007E51FB">
        <w:t xml:space="preserve">in clinical research or trials. </w:t>
      </w:r>
      <w:r w:rsidR="00FD76FE" w:rsidRPr="007E51FB">
        <w:t>W</w:t>
      </w:r>
      <w:r w:rsidR="00095195" w:rsidRPr="007E51FB">
        <w:t xml:space="preserve">hile our </w:t>
      </w:r>
      <w:r w:rsidR="00AB1FAB" w:rsidRPr="007E51FB">
        <w:t>findings are not intended to make an argument that PiB-R1 is a more sensitive marker of neuronal injury or synaptic dysfunction compared to [</w:t>
      </w:r>
      <w:r w:rsidR="00AB1FAB" w:rsidRPr="007E51FB">
        <w:rPr>
          <w:vertAlign w:val="superscript"/>
        </w:rPr>
        <w:t>18</w:t>
      </w:r>
      <w:r w:rsidR="00AB1FAB" w:rsidRPr="007E51FB">
        <w:t>F]-FDG PET</w:t>
      </w:r>
      <w:r w:rsidR="002B0DA9" w:rsidRPr="007E51FB">
        <w:t>, t</w:t>
      </w:r>
      <w:r w:rsidR="003A0CF2" w:rsidRPr="007E51FB">
        <w:t>he significant reductions</w:t>
      </w:r>
      <w:r w:rsidR="00A97266" w:rsidRPr="007E51FB">
        <w:t xml:space="preserve"> of R1</w:t>
      </w:r>
      <w:r w:rsidR="003A0CF2" w:rsidRPr="007E51FB">
        <w:t xml:space="preserve"> in DS-POS and their strong </w:t>
      </w:r>
      <w:r w:rsidR="001B3C60" w:rsidRPr="007E51FB">
        <w:t>associations</w:t>
      </w:r>
      <w:r w:rsidR="003A0CF2" w:rsidRPr="007E51FB">
        <w:t xml:space="preserve"> with cognitive outcome measurements suggest that [</w:t>
      </w:r>
      <w:r w:rsidR="003A0CF2" w:rsidRPr="007E51FB">
        <w:rPr>
          <w:vertAlign w:val="superscript"/>
        </w:rPr>
        <w:t>11</w:t>
      </w:r>
      <w:r w:rsidR="003A0CF2" w:rsidRPr="007E51FB">
        <w:t>C]-PiB-R1 may be a</w:t>
      </w:r>
      <w:r w:rsidR="00D7372C" w:rsidRPr="007E51FB">
        <w:t xml:space="preserve"> </w:t>
      </w:r>
      <w:r w:rsidR="00C90FE3" w:rsidRPr="007E51FB">
        <w:t>viable</w:t>
      </w:r>
      <w:r w:rsidR="003A0CF2" w:rsidRPr="007E51FB">
        <w:t xml:space="preserve"> </w:t>
      </w:r>
      <w:r w:rsidR="00C90FE3" w:rsidRPr="007E51FB">
        <w:t>biomarker</w:t>
      </w:r>
      <w:r w:rsidR="00C57877" w:rsidRPr="007E51FB">
        <w:t xml:space="preserve"> while minimising radiation exposure, participant burden and overall study costs.</w:t>
      </w:r>
      <w:r w:rsidR="00932FF9" w:rsidRPr="007E51FB">
        <w:t xml:space="preserve"> </w:t>
      </w:r>
      <w:bookmarkStart w:id="59" w:name="OLE_LINK34"/>
      <w:bookmarkStart w:id="60" w:name="OLE_LINK35"/>
    </w:p>
    <w:p w14:paraId="08403B80" w14:textId="528F27CD" w:rsidR="00ED397B" w:rsidRPr="007E51FB" w:rsidRDefault="00ED397B" w:rsidP="00E84C28">
      <w:pPr>
        <w:spacing w:line="360" w:lineRule="auto"/>
        <w:jc w:val="both"/>
      </w:pPr>
    </w:p>
    <w:bookmarkEnd w:id="59"/>
    <w:bookmarkEnd w:id="60"/>
    <w:p w14:paraId="7A6AECFF" w14:textId="2F62F4A9" w:rsidR="005B44F0" w:rsidRPr="007E51FB" w:rsidRDefault="005B44F0" w:rsidP="00F230E2">
      <w:pPr>
        <w:spacing w:line="360" w:lineRule="auto"/>
        <w:jc w:val="both"/>
        <w:rPr>
          <w:b/>
          <w:bCs/>
        </w:rPr>
      </w:pPr>
      <w:r w:rsidRPr="007E51FB">
        <w:rPr>
          <w:b/>
          <w:bCs/>
        </w:rPr>
        <w:t>ACKNOWLEDGMENTS</w:t>
      </w:r>
    </w:p>
    <w:p w14:paraId="3D19BE04" w14:textId="77777777" w:rsidR="005C3DBC" w:rsidRPr="007E51FB" w:rsidRDefault="005C3DBC" w:rsidP="005C3DBC">
      <w:pPr>
        <w:spacing w:line="360" w:lineRule="auto"/>
        <w:jc w:val="both"/>
      </w:pPr>
      <w:r w:rsidRPr="007E51FB">
        <w:t xml:space="preserve">The research team thank the PET imaging technologist, MR radiographers, technicians, and radiochemists at the Wolfson Brain Imaging Centre, together with clinicians for their help in acquiring the data reported in this article. The authors particularly thank all participants with Down syndrome, their families, and carers for their time and commitment to this research. </w:t>
      </w:r>
    </w:p>
    <w:p w14:paraId="288F1AAE" w14:textId="77777777" w:rsidR="005C3DBC" w:rsidRPr="007E51FB" w:rsidRDefault="005C3DBC" w:rsidP="005C3DBC">
      <w:pPr>
        <w:spacing w:line="360" w:lineRule="auto"/>
        <w:jc w:val="both"/>
      </w:pPr>
    </w:p>
    <w:p w14:paraId="17FE4B51" w14:textId="6741C6D6" w:rsidR="005C3DBC" w:rsidRPr="007E51FB" w:rsidRDefault="005C3DBC" w:rsidP="005C3DBC">
      <w:pPr>
        <w:spacing w:line="360" w:lineRule="auto"/>
        <w:jc w:val="both"/>
        <w:rPr>
          <w:b/>
          <w:bCs/>
        </w:rPr>
      </w:pPr>
      <w:bookmarkStart w:id="61" w:name="OLE_LINK43"/>
      <w:bookmarkStart w:id="62" w:name="OLE_LINK44"/>
      <w:r w:rsidRPr="007E51FB">
        <w:rPr>
          <w:b/>
          <w:bCs/>
        </w:rPr>
        <w:lastRenderedPageBreak/>
        <w:t>FUNDING</w:t>
      </w:r>
    </w:p>
    <w:bookmarkEnd w:id="61"/>
    <w:bookmarkEnd w:id="62"/>
    <w:p w14:paraId="6767F39B" w14:textId="4ADF7049" w:rsidR="0045394E" w:rsidRPr="007E51FB" w:rsidRDefault="005C3DBC" w:rsidP="005C3DBC">
      <w:pPr>
        <w:spacing w:line="360" w:lineRule="auto"/>
        <w:jc w:val="both"/>
      </w:pPr>
      <w:r w:rsidRPr="007E51FB">
        <w:t>The data collection for this research was generously supported by a grant from the Medical Research Council (grant ID number: 98480).</w:t>
      </w:r>
      <w:r w:rsidRPr="007E51FB" w:rsidDel="00841481">
        <w:t xml:space="preserve"> </w:t>
      </w:r>
      <w:r w:rsidRPr="007E51FB">
        <w:t xml:space="preserve"> The subsequent analysis of this data was undertaken as part of a study funded by </w:t>
      </w:r>
      <w:r w:rsidR="00493856">
        <w:t>Alzheimer’s Research UK</w:t>
      </w:r>
      <w:r w:rsidRPr="007E51FB">
        <w:t xml:space="preserve">. </w:t>
      </w:r>
      <w:r w:rsidR="00A7107D" w:rsidRPr="007E51FB">
        <w:t xml:space="preserve">Elijah Mak is supported by the </w:t>
      </w:r>
      <w:r w:rsidR="00847BFA" w:rsidRPr="007E51FB">
        <w:t>Alzheimer’s</w:t>
      </w:r>
      <w:r w:rsidR="00A7107D" w:rsidRPr="007E51FB">
        <w:t xml:space="preserve"> Society Junior Research Fellowship (RG9611</w:t>
      </w:r>
      <w:r w:rsidR="00833F38">
        <w:t xml:space="preserve">; 443 JF-18-017). </w:t>
      </w:r>
      <w:r w:rsidRPr="007E51FB">
        <w:t xml:space="preserve">Additional support came from the </w:t>
      </w:r>
      <w:r w:rsidR="005F1F48">
        <w:t>National Institute for Health Research,</w:t>
      </w:r>
      <w:r w:rsidRPr="007E51FB">
        <w:t xml:space="preserve"> Cambridge Biomedical Research Centre, the </w:t>
      </w:r>
      <w:r w:rsidR="005F1F48">
        <w:t>National Institute for Health Research</w:t>
      </w:r>
      <w:r w:rsidR="005F1F48" w:rsidRPr="007E51FB">
        <w:t xml:space="preserve"> </w:t>
      </w:r>
      <w:r w:rsidRPr="007E51FB">
        <w:t xml:space="preserve">Collaborations in Leadership for Applied Health Research and </w:t>
      </w:r>
      <w:proofErr w:type="gramStart"/>
      <w:r w:rsidRPr="007E51FB">
        <w:t xml:space="preserve">Care </w:t>
      </w:r>
      <w:r w:rsidR="00A15056">
        <w:t xml:space="preserve"> </w:t>
      </w:r>
      <w:r w:rsidRPr="007E51FB">
        <w:t>for</w:t>
      </w:r>
      <w:proofErr w:type="gramEnd"/>
      <w:r w:rsidRPr="007E51FB">
        <w:t xml:space="preserve"> the East of England, the </w:t>
      </w:r>
      <w:r w:rsidR="00F847E4">
        <w:t>National Institute for Health Research</w:t>
      </w:r>
      <w:r w:rsidR="00F847E4" w:rsidRPr="007E51FB">
        <w:t xml:space="preserve"> </w:t>
      </w:r>
      <w:r w:rsidRPr="007E51FB">
        <w:t xml:space="preserve">Cambridge </w:t>
      </w:r>
      <w:r w:rsidR="00923206">
        <w:t>Dementia</w:t>
      </w:r>
      <w:r w:rsidRPr="007E51FB">
        <w:t xml:space="preserve"> Biomedical Research Unit, the Down Syndrome Association, and the Health Foundation.</w:t>
      </w:r>
      <w:r w:rsidRPr="007E51FB" w:rsidDel="00841481">
        <w:t xml:space="preserve"> </w:t>
      </w:r>
      <w:r w:rsidRPr="007E51FB">
        <w:t>The sponsors of the study had no role in the design and conduct of the study; collection, management, analysis and interpretation of the data; writing and review of the report; and decision to submit the article for publication.</w:t>
      </w:r>
      <w:r w:rsidRPr="007E51FB" w:rsidDel="00841481">
        <w:t xml:space="preserve"> </w:t>
      </w:r>
      <w:r w:rsidRPr="007E51FB">
        <w:t xml:space="preserve">The views expressed here are those of the authors and not necessarily those of the Department of Health, </w:t>
      </w:r>
      <w:r w:rsidR="00425AEE">
        <w:t>National Institute for Health Research</w:t>
      </w:r>
      <w:r w:rsidRPr="007E51FB">
        <w:t xml:space="preserve">, or of other funders.  </w:t>
      </w:r>
    </w:p>
    <w:p w14:paraId="3FE7C52D" w14:textId="77777777" w:rsidR="008B57A2" w:rsidRDefault="008B57A2" w:rsidP="0045394E">
      <w:pPr>
        <w:spacing w:line="360" w:lineRule="auto"/>
        <w:jc w:val="both"/>
        <w:rPr>
          <w:b/>
          <w:bCs/>
        </w:rPr>
      </w:pPr>
    </w:p>
    <w:p w14:paraId="1B482B9B" w14:textId="27032D26" w:rsidR="0045394E" w:rsidRPr="007E51FB" w:rsidRDefault="0045394E" w:rsidP="0045394E">
      <w:pPr>
        <w:spacing w:line="360" w:lineRule="auto"/>
        <w:jc w:val="both"/>
        <w:rPr>
          <w:b/>
          <w:bCs/>
        </w:rPr>
      </w:pPr>
      <w:r w:rsidRPr="007E51FB">
        <w:rPr>
          <w:b/>
          <w:bCs/>
        </w:rPr>
        <w:t>COMPETING INTERESTS</w:t>
      </w:r>
    </w:p>
    <w:p w14:paraId="09EC98F6" w14:textId="13CD5DF3" w:rsidR="0045394E" w:rsidRPr="007E51FB" w:rsidRDefault="0045394E" w:rsidP="0045394E">
      <w:pPr>
        <w:spacing w:line="360" w:lineRule="auto"/>
        <w:jc w:val="both"/>
      </w:pPr>
      <w:r w:rsidRPr="007E51FB">
        <w:t>The authors have no competing interests to declare.</w:t>
      </w:r>
    </w:p>
    <w:p w14:paraId="0EBA6A23" w14:textId="77777777" w:rsidR="00123087" w:rsidRDefault="005C3DBC" w:rsidP="00E84C28">
      <w:pPr>
        <w:spacing w:line="360" w:lineRule="auto"/>
        <w:jc w:val="both"/>
      </w:pPr>
      <w:r w:rsidRPr="007E51FB" w:rsidDel="00841481">
        <w:t xml:space="preserve"> </w:t>
      </w:r>
    </w:p>
    <w:p w14:paraId="39A8DD3A" w14:textId="195BA93A" w:rsidR="00AF27D7" w:rsidRPr="007E51FB" w:rsidRDefault="00AF27D7" w:rsidP="00E84C28">
      <w:pPr>
        <w:spacing w:line="360" w:lineRule="auto"/>
        <w:jc w:val="both"/>
        <w:rPr>
          <w:b/>
        </w:rPr>
      </w:pPr>
      <w:bookmarkStart w:id="63" w:name="OLE_LINK39"/>
      <w:bookmarkStart w:id="64" w:name="OLE_LINK40"/>
      <w:r w:rsidRPr="007E51FB">
        <w:rPr>
          <w:b/>
          <w:bCs/>
        </w:rPr>
        <w:t>REFERENCES</w:t>
      </w:r>
      <w:bookmarkEnd w:id="63"/>
      <w:bookmarkEnd w:id="64"/>
    </w:p>
    <w:p w14:paraId="448099CE" w14:textId="0F361217" w:rsidR="00290472" w:rsidRPr="007E51FB" w:rsidRDefault="00CD10B5" w:rsidP="00E84C28">
      <w:pPr>
        <w:widowControl w:val="0"/>
        <w:autoSpaceDE w:val="0"/>
        <w:autoSpaceDN w:val="0"/>
        <w:adjustRightInd w:val="0"/>
        <w:spacing w:line="360" w:lineRule="auto"/>
        <w:rPr>
          <w:noProof/>
        </w:rPr>
      </w:pPr>
      <w:r w:rsidRPr="007E51FB">
        <w:rPr>
          <w:b/>
          <w:bCs/>
        </w:rPr>
        <w:fldChar w:fldCharType="begin" w:fldLock="1"/>
      </w:r>
      <w:r w:rsidRPr="007E51FB">
        <w:rPr>
          <w:b/>
          <w:bCs/>
        </w:rPr>
        <w:instrText xml:space="preserve">ADDIN Mendeley Bibliography CSL_BIBLIOGRAPHY </w:instrText>
      </w:r>
      <w:r w:rsidRPr="007E51FB">
        <w:rPr>
          <w:b/>
          <w:bCs/>
        </w:rPr>
        <w:fldChar w:fldCharType="separate"/>
      </w:r>
      <w:r w:rsidR="00290472" w:rsidRPr="007E51FB">
        <w:rPr>
          <w:noProof/>
        </w:rPr>
        <w:t>Annus T, Wilson LR, Acosta-Cabronero J, Cardenas-Blanco A, Hong YT, Fryer TD, et al. The Down syndrome brain in the presence and absence of fibrillar β-amyloidosis. Neurobiol Aging 2017; 53: 11–19.</w:t>
      </w:r>
    </w:p>
    <w:p w14:paraId="14993C98" w14:textId="77777777" w:rsidR="00290472" w:rsidRPr="007E51FB" w:rsidRDefault="00290472" w:rsidP="00E84C28">
      <w:pPr>
        <w:widowControl w:val="0"/>
        <w:autoSpaceDE w:val="0"/>
        <w:autoSpaceDN w:val="0"/>
        <w:adjustRightInd w:val="0"/>
        <w:spacing w:line="360" w:lineRule="auto"/>
        <w:rPr>
          <w:noProof/>
        </w:rPr>
      </w:pPr>
      <w:r w:rsidRPr="007E51FB">
        <w:rPr>
          <w:noProof/>
        </w:rPr>
        <w:t>Annus T, Wilson LR, Hong YT, Acosta-Cabronero J, Fryer TD, Cardenas-Blanco A, et al. The pattern of amyloid accumulation in the brains of adults with Down syndrome. Alzheimer’s Dement 2016; 12: 538–545.</w:t>
      </w:r>
    </w:p>
    <w:p w14:paraId="55B65501" w14:textId="77777777" w:rsidR="00290472" w:rsidRPr="007E51FB" w:rsidRDefault="00290472" w:rsidP="00E84C28">
      <w:pPr>
        <w:widowControl w:val="0"/>
        <w:autoSpaceDE w:val="0"/>
        <w:autoSpaceDN w:val="0"/>
        <w:adjustRightInd w:val="0"/>
        <w:spacing w:line="360" w:lineRule="auto"/>
        <w:rPr>
          <w:noProof/>
        </w:rPr>
      </w:pPr>
      <w:r w:rsidRPr="007E51FB">
        <w:rPr>
          <w:noProof/>
        </w:rPr>
        <w:t>Bateman RJ, Xiong C, Benzinger TLS, Fagan AM, Goate A, Fox NC, et al. Clinical and biomarker changes in dominantly inherited Alzheimer’s disease. N Engl J Med 2012; 367: 795–804.</w:t>
      </w:r>
    </w:p>
    <w:p w14:paraId="4EE7F3A2" w14:textId="77777777" w:rsidR="00290472" w:rsidRPr="007E51FB" w:rsidRDefault="00290472" w:rsidP="00E84C28">
      <w:pPr>
        <w:widowControl w:val="0"/>
        <w:autoSpaceDE w:val="0"/>
        <w:autoSpaceDN w:val="0"/>
        <w:adjustRightInd w:val="0"/>
        <w:spacing w:line="360" w:lineRule="auto"/>
        <w:rPr>
          <w:noProof/>
        </w:rPr>
      </w:pPr>
      <w:r w:rsidRPr="007E51FB">
        <w:rPr>
          <w:noProof/>
        </w:rPr>
        <w:t>Chen YJ, Rosario BL, Mowrey W, Laymon CM, Lu X, Lopez OL, et al. Relative 11C-PiB Delivery as a Proxy of Relative CBF: Quantitative Evaluation Using Single-Session 15O-Water and 11C-PiB PET. J Nucl Med 2015; 56: 1199–1205.</w:t>
      </w:r>
    </w:p>
    <w:p w14:paraId="337A79C0" w14:textId="77777777" w:rsidR="00290472" w:rsidRPr="007E51FB" w:rsidRDefault="00290472" w:rsidP="00E84C28">
      <w:pPr>
        <w:widowControl w:val="0"/>
        <w:autoSpaceDE w:val="0"/>
        <w:autoSpaceDN w:val="0"/>
        <w:adjustRightInd w:val="0"/>
        <w:spacing w:line="360" w:lineRule="auto"/>
        <w:rPr>
          <w:noProof/>
        </w:rPr>
      </w:pPr>
      <w:r w:rsidRPr="007E51FB">
        <w:rPr>
          <w:noProof/>
        </w:rPr>
        <w:t>Desikan RS, Ségonne F, Fischl B, Quinn BT, Dickerson BC, Blacker D, et al. An automated labeling system for subdividing the human cerebral cortex on MRI scans into gyral based regions of interest. Neuroimage 2006; 31: 968–980.</w:t>
      </w:r>
    </w:p>
    <w:p w14:paraId="7C9D83CD" w14:textId="77777777" w:rsidR="00290472" w:rsidRPr="007E51FB" w:rsidRDefault="00290472" w:rsidP="00E84C28">
      <w:pPr>
        <w:widowControl w:val="0"/>
        <w:autoSpaceDE w:val="0"/>
        <w:autoSpaceDN w:val="0"/>
        <w:adjustRightInd w:val="0"/>
        <w:spacing w:line="360" w:lineRule="auto"/>
        <w:rPr>
          <w:noProof/>
        </w:rPr>
      </w:pPr>
      <w:r w:rsidRPr="007E51FB">
        <w:rPr>
          <w:noProof/>
        </w:rPr>
        <w:lastRenderedPageBreak/>
        <w:t>Drzezga A, Lautenschlager N, Siebner H, Riemenschneider M, Willoch F, Minoshima S, et al. Cerebral metabolic changes accompanying conversion of mild cognitive impairment into Alzheimer’s disease: a PET follow-up study. Eur J Nucl Med Mol Imaging 2003; 30: 1104–1113.</w:t>
      </w:r>
    </w:p>
    <w:p w14:paraId="41D6537F" w14:textId="77777777" w:rsidR="00290472" w:rsidRPr="007E51FB" w:rsidRDefault="00290472" w:rsidP="00E84C28">
      <w:pPr>
        <w:widowControl w:val="0"/>
        <w:autoSpaceDE w:val="0"/>
        <w:autoSpaceDN w:val="0"/>
        <w:adjustRightInd w:val="0"/>
        <w:spacing w:line="360" w:lineRule="auto"/>
        <w:rPr>
          <w:noProof/>
        </w:rPr>
      </w:pPr>
      <w:r w:rsidRPr="007E51FB">
        <w:rPr>
          <w:noProof/>
        </w:rPr>
        <w:t>Engler H, Forsberg A, Almkvist O, Blomquist G, Larsson E, Savitcheva I, et al. Two-year follow-up of amyloid deposition in patients with Alzheimer’s disease. Brain 2006; 129: 2856–2866.</w:t>
      </w:r>
    </w:p>
    <w:p w14:paraId="564E0B13" w14:textId="77777777" w:rsidR="00290472" w:rsidRPr="007E51FB" w:rsidRDefault="00290472" w:rsidP="00E84C28">
      <w:pPr>
        <w:widowControl w:val="0"/>
        <w:autoSpaceDE w:val="0"/>
        <w:autoSpaceDN w:val="0"/>
        <w:adjustRightInd w:val="0"/>
        <w:spacing w:line="360" w:lineRule="auto"/>
        <w:rPr>
          <w:noProof/>
        </w:rPr>
      </w:pPr>
      <w:r w:rsidRPr="007E51FB">
        <w:rPr>
          <w:noProof/>
        </w:rPr>
        <w:t>Fischl B, Dale AM. Measuring the thickness of the human cerebral cortex from magnetic resonance images. Proc Natl Acad Sci U S A 2000; 97: 11050–5.</w:t>
      </w:r>
    </w:p>
    <w:p w14:paraId="0B0BACE0" w14:textId="77777777" w:rsidR="00290472" w:rsidRPr="007E51FB" w:rsidRDefault="00290472" w:rsidP="00E84C28">
      <w:pPr>
        <w:widowControl w:val="0"/>
        <w:autoSpaceDE w:val="0"/>
        <w:autoSpaceDN w:val="0"/>
        <w:adjustRightInd w:val="0"/>
        <w:spacing w:line="360" w:lineRule="auto"/>
        <w:rPr>
          <w:noProof/>
        </w:rPr>
      </w:pPr>
      <w:r w:rsidRPr="007E51FB">
        <w:rPr>
          <w:noProof/>
        </w:rPr>
        <w:t>Ganjgahi H, Winkler AM, Glahn DC, Blangero J, Kochunov P, Nichols TE. Fast and powerful heritability inference for family-based neuroimaging studies. Neuroimage 2015; 115: 256–268.</w:t>
      </w:r>
    </w:p>
    <w:p w14:paraId="59F3C01A" w14:textId="77777777" w:rsidR="00290472" w:rsidRPr="007E51FB" w:rsidRDefault="00290472" w:rsidP="00E84C28">
      <w:pPr>
        <w:widowControl w:val="0"/>
        <w:autoSpaceDE w:val="0"/>
        <w:autoSpaceDN w:val="0"/>
        <w:adjustRightInd w:val="0"/>
        <w:spacing w:line="360" w:lineRule="auto"/>
        <w:rPr>
          <w:noProof/>
        </w:rPr>
      </w:pPr>
      <w:r w:rsidRPr="007E51FB">
        <w:rPr>
          <w:noProof/>
        </w:rPr>
        <w:t>Haier RJ, Alkire MT, White NS, Uncapher MR, Head E, Lott IT, et al. Temporal cortex hypermetabolism in Down syndrome prior to the onset of dementia. Neurology 2003; 61: 1673–9.</w:t>
      </w:r>
    </w:p>
    <w:p w14:paraId="771D7E28" w14:textId="77777777" w:rsidR="00290472" w:rsidRPr="007E51FB" w:rsidRDefault="00290472" w:rsidP="00E84C28">
      <w:pPr>
        <w:widowControl w:val="0"/>
        <w:autoSpaceDE w:val="0"/>
        <w:autoSpaceDN w:val="0"/>
        <w:adjustRightInd w:val="0"/>
        <w:spacing w:line="360" w:lineRule="auto"/>
        <w:rPr>
          <w:noProof/>
        </w:rPr>
      </w:pPr>
      <w:r w:rsidRPr="007E51FB">
        <w:rPr>
          <w:noProof/>
        </w:rPr>
        <w:t>Hartley SL, Handen BL, Devenny DA, Hardison R, Mihaila I, Price JC, et al. Cognitive functioning in relation to brain amyloid-β in healthy adults with Down syndrome. Brain 2014; 137: 2556–2563.</w:t>
      </w:r>
    </w:p>
    <w:p w14:paraId="417DC722" w14:textId="77777777" w:rsidR="00290472" w:rsidRPr="007E51FB" w:rsidRDefault="00290472" w:rsidP="00E84C28">
      <w:pPr>
        <w:widowControl w:val="0"/>
        <w:autoSpaceDE w:val="0"/>
        <w:autoSpaceDN w:val="0"/>
        <w:adjustRightInd w:val="0"/>
        <w:spacing w:line="360" w:lineRule="auto"/>
        <w:rPr>
          <w:noProof/>
        </w:rPr>
      </w:pPr>
      <w:r w:rsidRPr="007E51FB">
        <w:rPr>
          <w:noProof/>
        </w:rPr>
        <w:t>Hodgson K, Poldrack RA, Curran JE, Knowles EE, Mathias S, Göring HHH, et al. Shared Genetic Factors Influence Head Motion During MRI and Body Mass Index. Cereb Cortex 2017; 27: 5539–5546.</w:t>
      </w:r>
    </w:p>
    <w:p w14:paraId="114D2DE9" w14:textId="77777777" w:rsidR="00290472" w:rsidRPr="007E51FB" w:rsidRDefault="00290472" w:rsidP="00E84C28">
      <w:pPr>
        <w:widowControl w:val="0"/>
        <w:autoSpaceDE w:val="0"/>
        <w:autoSpaceDN w:val="0"/>
        <w:adjustRightInd w:val="0"/>
        <w:spacing w:line="360" w:lineRule="auto"/>
        <w:rPr>
          <w:noProof/>
        </w:rPr>
      </w:pPr>
      <w:r w:rsidRPr="007E51FB">
        <w:rPr>
          <w:noProof/>
        </w:rPr>
        <w:t>Jack CR, Holtzman DM. Biomarker modeling of alzheimer’s disease. Neuron 2013; 80: 1347–1358.</w:t>
      </w:r>
    </w:p>
    <w:p w14:paraId="58E6ECDB" w14:textId="77777777" w:rsidR="00290472" w:rsidRPr="007E51FB" w:rsidRDefault="00290472" w:rsidP="00E84C28">
      <w:pPr>
        <w:widowControl w:val="0"/>
        <w:autoSpaceDE w:val="0"/>
        <w:autoSpaceDN w:val="0"/>
        <w:adjustRightInd w:val="0"/>
        <w:spacing w:line="360" w:lineRule="auto"/>
        <w:rPr>
          <w:noProof/>
        </w:rPr>
      </w:pPr>
      <w:r w:rsidRPr="007E51FB">
        <w:rPr>
          <w:noProof/>
        </w:rPr>
        <w:t>Jack CR, Knopman DS, Jagust WJ, Petersen RC, Weiner MW, Aisen PS, et al. Tracking pathophysiological processes in Alzheimer’s disease: an updated hypothetical model of dynamic biomarkers. Lancet Neurol 2013; 12: 207–216.</w:t>
      </w:r>
    </w:p>
    <w:p w14:paraId="2E1963A7" w14:textId="77777777" w:rsidR="00290472" w:rsidRPr="007E51FB" w:rsidRDefault="00290472" w:rsidP="00E84C28">
      <w:pPr>
        <w:widowControl w:val="0"/>
        <w:autoSpaceDE w:val="0"/>
        <w:autoSpaceDN w:val="0"/>
        <w:adjustRightInd w:val="0"/>
        <w:spacing w:line="360" w:lineRule="auto"/>
        <w:rPr>
          <w:noProof/>
        </w:rPr>
      </w:pPr>
      <w:r w:rsidRPr="007E51FB">
        <w:rPr>
          <w:noProof/>
        </w:rPr>
        <w:t>Jennings D, Seibyl J, Sabbagh M, Lai F, Hopkins W, Bullich S, et al. Age dependence of brain β-amyloid deposition in Down syndrome: An [18F]florbetaben PET study. Neurology 2015; 84: 500–7.</w:t>
      </w:r>
    </w:p>
    <w:p w14:paraId="1F10CC32" w14:textId="77777777" w:rsidR="00290472" w:rsidRPr="007E51FB" w:rsidRDefault="00290472" w:rsidP="00E84C28">
      <w:pPr>
        <w:widowControl w:val="0"/>
        <w:autoSpaceDE w:val="0"/>
        <w:autoSpaceDN w:val="0"/>
        <w:adjustRightInd w:val="0"/>
        <w:spacing w:line="360" w:lineRule="auto"/>
        <w:rPr>
          <w:noProof/>
        </w:rPr>
      </w:pPr>
      <w:r w:rsidRPr="007E51FB">
        <w:rPr>
          <w:noProof/>
        </w:rPr>
        <w:t>Joseph-Mathurin N, Su Y, Blazey TM, Jasielec M, Vlassenko A, Friedrichsen K, et al. Utility of perfusion PET measures to assess neuronal injury in Alzheimer’s disease. Alzheimer’s Dement Diagnosis, Assess Dis Monit 2018; 10: 669–677.</w:t>
      </w:r>
    </w:p>
    <w:p w14:paraId="62765B6D" w14:textId="77777777" w:rsidR="00290472" w:rsidRPr="007E51FB" w:rsidRDefault="00290472" w:rsidP="00E84C28">
      <w:pPr>
        <w:widowControl w:val="0"/>
        <w:autoSpaceDE w:val="0"/>
        <w:autoSpaceDN w:val="0"/>
        <w:adjustRightInd w:val="0"/>
        <w:spacing w:line="360" w:lineRule="auto"/>
        <w:rPr>
          <w:noProof/>
        </w:rPr>
      </w:pPr>
      <w:r w:rsidRPr="007E51FB">
        <w:rPr>
          <w:noProof/>
        </w:rPr>
        <w:t xml:space="preserve">Lao PJ, Handen BL, Betthauser TJ, Mihaila I, Hartley SL, Cohen AD, et al. Longitudinal changes in amyloid positron emission tomography and volumetric magnetic resonance </w:t>
      </w:r>
      <w:r w:rsidRPr="007E51FB">
        <w:rPr>
          <w:noProof/>
        </w:rPr>
        <w:lastRenderedPageBreak/>
        <w:t>imaging in the nondemented Down syndrome population. Alzheimer’s Dement Diagnosis, Assess Dis Monit 2017; 9: 1–9.</w:t>
      </w:r>
    </w:p>
    <w:p w14:paraId="719E4674" w14:textId="77777777" w:rsidR="00290472" w:rsidRPr="007E51FB" w:rsidRDefault="00290472" w:rsidP="00E84C28">
      <w:pPr>
        <w:widowControl w:val="0"/>
        <w:autoSpaceDE w:val="0"/>
        <w:autoSpaceDN w:val="0"/>
        <w:adjustRightInd w:val="0"/>
        <w:spacing w:line="360" w:lineRule="auto"/>
        <w:rPr>
          <w:noProof/>
        </w:rPr>
      </w:pPr>
      <w:r w:rsidRPr="007E51FB">
        <w:rPr>
          <w:noProof/>
        </w:rPr>
        <w:t>Lao PJ, Handen BL, Betthauser TJ, Mihaila I, Hartley SL, Cohen AD, et al. Alzheimer-Like Pattern of Hypometabolism Emerges with Elevated Amyloid-β Burden in Down Syndrome. J Alzheimer’s Dis 2017; 61: 631–644.</w:t>
      </w:r>
    </w:p>
    <w:p w14:paraId="6001B285" w14:textId="77777777" w:rsidR="00290472" w:rsidRPr="007E51FB" w:rsidRDefault="00290472" w:rsidP="00E84C28">
      <w:pPr>
        <w:widowControl w:val="0"/>
        <w:autoSpaceDE w:val="0"/>
        <w:autoSpaceDN w:val="0"/>
        <w:adjustRightInd w:val="0"/>
        <w:spacing w:line="360" w:lineRule="auto"/>
        <w:rPr>
          <w:noProof/>
        </w:rPr>
      </w:pPr>
      <w:r w:rsidRPr="007E51FB">
        <w:rPr>
          <w:noProof/>
        </w:rPr>
        <w:t>Mak E, Bickerton A, Padilla C, Walpert M, Annus T, Wilson LR, et al. Longitudinal trajectories of amyloid deposition, cortical thickness and tau deposition in Down syndrome: a deep-phenotyping case report. Alzheimer’s Dement Diagnosis, Assess Dis Monit 2019; 11: 654–658.</w:t>
      </w:r>
    </w:p>
    <w:p w14:paraId="3C2A8530" w14:textId="77777777" w:rsidR="00290472" w:rsidRPr="007E51FB" w:rsidRDefault="00290472" w:rsidP="00E84C28">
      <w:pPr>
        <w:widowControl w:val="0"/>
        <w:autoSpaceDE w:val="0"/>
        <w:autoSpaceDN w:val="0"/>
        <w:adjustRightInd w:val="0"/>
        <w:spacing w:line="360" w:lineRule="auto"/>
        <w:rPr>
          <w:noProof/>
        </w:rPr>
      </w:pPr>
      <w:r w:rsidRPr="007E51FB">
        <w:rPr>
          <w:noProof/>
        </w:rPr>
        <w:t>Mak E, Padilla C, Annus T, Wilson LR, Hong YT, Fryer TD, et al. Delineating the topography of amyloid-associated cortical atrophy in Down’s syndrome [Internet]. Neurobiol Aging 2019Available from: https://linkinghub.elsevier.com/retrieve/pii/S0197458019300685</w:t>
      </w:r>
    </w:p>
    <w:p w14:paraId="4644595B" w14:textId="77777777" w:rsidR="00290472" w:rsidRPr="007E51FB" w:rsidRDefault="00290472" w:rsidP="00E84C28">
      <w:pPr>
        <w:widowControl w:val="0"/>
        <w:autoSpaceDE w:val="0"/>
        <w:autoSpaceDN w:val="0"/>
        <w:adjustRightInd w:val="0"/>
        <w:spacing w:line="360" w:lineRule="auto"/>
        <w:rPr>
          <w:noProof/>
        </w:rPr>
      </w:pPr>
      <w:r w:rsidRPr="007E51FB">
        <w:rPr>
          <w:noProof/>
        </w:rPr>
        <w:t>Matthews DC, Lukic AS, Andrews RD, Marendic B, Brewer J, Rissman RA, et al. Dissociation of Down syndrome and Alzheimer’s disease effects with imaging. Alzheimer’s Dement Transl Res Clin Interv 2016; 2: 69–81.</w:t>
      </w:r>
    </w:p>
    <w:p w14:paraId="4724C682" w14:textId="77777777" w:rsidR="00290472" w:rsidRPr="007E51FB" w:rsidRDefault="00290472" w:rsidP="00E84C28">
      <w:pPr>
        <w:widowControl w:val="0"/>
        <w:autoSpaceDE w:val="0"/>
        <w:autoSpaceDN w:val="0"/>
        <w:adjustRightInd w:val="0"/>
        <w:spacing w:line="360" w:lineRule="auto"/>
        <w:rPr>
          <w:noProof/>
        </w:rPr>
      </w:pPr>
      <w:r w:rsidRPr="007E51FB">
        <w:rPr>
          <w:noProof/>
        </w:rPr>
        <w:t>Meyer PT, Hellwig S, Amtage F, Rottenburger C, Sahm U, Reuland P, et al. Dual-Biomarker Imaging of Regional Cerebral Amyloid Load and Neuronal Activity in Dementia with PET and 11C-Labeled Pittsburgh Compound B. J Nucl Med 2011; 52: 393–400.</w:t>
      </w:r>
    </w:p>
    <w:p w14:paraId="68E049E2" w14:textId="77777777" w:rsidR="00290472" w:rsidRPr="007E51FB" w:rsidRDefault="00290472" w:rsidP="00E84C28">
      <w:pPr>
        <w:widowControl w:val="0"/>
        <w:autoSpaceDE w:val="0"/>
        <w:autoSpaceDN w:val="0"/>
        <w:adjustRightInd w:val="0"/>
        <w:spacing w:line="360" w:lineRule="auto"/>
        <w:rPr>
          <w:noProof/>
        </w:rPr>
      </w:pPr>
      <w:r w:rsidRPr="007E51FB">
        <w:rPr>
          <w:noProof/>
        </w:rPr>
        <w:t>Minoshima S, Giordani B, Berent S, Frey KA, Foster NL, Kuhl DE. Metabolic reduction in the posterior cingulate cortex in very early Alzheimer’s disease. Ann Neurol 1997; 42: 85–94.</w:t>
      </w:r>
    </w:p>
    <w:p w14:paraId="7F7F4913" w14:textId="77777777" w:rsidR="00290472" w:rsidRPr="007E51FB" w:rsidRDefault="00290472" w:rsidP="00E84C28">
      <w:pPr>
        <w:widowControl w:val="0"/>
        <w:autoSpaceDE w:val="0"/>
        <w:autoSpaceDN w:val="0"/>
        <w:adjustRightInd w:val="0"/>
        <w:spacing w:line="360" w:lineRule="auto"/>
        <w:rPr>
          <w:noProof/>
        </w:rPr>
      </w:pPr>
      <w:r w:rsidRPr="007E51FB">
        <w:rPr>
          <w:noProof/>
        </w:rPr>
        <w:t>Mosconi L. Brain glucose metabolism in the early and specific diagnosis of Alzheimer?s disease. Eur J Nucl Med Mol Imaging 2005; 32: 486–510.</w:t>
      </w:r>
    </w:p>
    <w:p w14:paraId="51236645" w14:textId="77777777" w:rsidR="00290472" w:rsidRPr="007E51FB" w:rsidRDefault="00290472" w:rsidP="00E84C28">
      <w:pPr>
        <w:widowControl w:val="0"/>
        <w:autoSpaceDE w:val="0"/>
        <w:autoSpaceDN w:val="0"/>
        <w:adjustRightInd w:val="0"/>
        <w:spacing w:line="360" w:lineRule="auto"/>
        <w:rPr>
          <w:noProof/>
        </w:rPr>
      </w:pPr>
      <w:r w:rsidRPr="007E51FB">
        <w:rPr>
          <w:noProof/>
        </w:rPr>
        <w:t>Mosconi L, Mistur R, Switalski R, Tsui WH, Glodzik L, Li Y, et al. FDG-PET changes in brain glucose metabolism from normal cognition to pathologically verified Alzheimer’s disease. Eur J Nucl Med Mol Imaging 2009; 36: 811–822.</w:t>
      </w:r>
    </w:p>
    <w:p w14:paraId="56175562" w14:textId="77777777" w:rsidR="00290472" w:rsidRPr="007E51FB" w:rsidRDefault="00290472" w:rsidP="00E84C28">
      <w:pPr>
        <w:widowControl w:val="0"/>
        <w:autoSpaceDE w:val="0"/>
        <w:autoSpaceDN w:val="0"/>
        <w:adjustRightInd w:val="0"/>
        <w:spacing w:line="360" w:lineRule="auto"/>
        <w:rPr>
          <w:noProof/>
        </w:rPr>
      </w:pPr>
      <w:r w:rsidRPr="007E51FB">
        <w:rPr>
          <w:noProof/>
        </w:rPr>
        <w:t>Mosconi L, Sorbi S, de Leon MJ, Li Y, Nacmias B, Myoung PS, et al. Hypometabolism exceeds atrophy in presymptomatic early-onset familial Alzheimer’s disease. J Nucl Med 2006; 47: 1778–1786.</w:t>
      </w:r>
    </w:p>
    <w:p w14:paraId="58337527" w14:textId="77777777" w:rsidR="00290472" w:rsidRPr="007E51FB" w:rsidRDefault="00290472" w:rsidP="00E84C28">
      <w:pPr>
        <w:widowControl w:val="0"/>
        <w:autoSpaceDE w:val="0"/>
        <w:autoSpaceDN w:val="0"/>
        <w:adjustRightInd w:val="0"/>
        <w:spacing w:line="360" w:lineRule="auto"/>
        <w:rPr>
          <w:noProof/>
        </w:rPr>
      </w:pPr>
      <w:r w:rsidRPr="007E51FB">
        <w:rPr>
          <w:noProof/>
        </w:rPr>
        <w:t>Neale N, Padilla C, Fonseca LM, Holland T, Zaman S. Neuroimaging and other modalities to assess Alzheimer’s disease in Down syndrome. NeuroImage Clin 2018; 17: 263–271.</w:t>
      </w:r>
    </w:p>
    <w:p w14:paraId="4922503B" w14:textId="77777777" w:rsidR="00290472" w:rsidRPr="007E51FB" w:rsidRDefault="00290472" w:rsidP="00E84C28">
      <w:pPr>
        <w:widowControl w:val="0"/>
        <w:autoSpaceDE w:val="0"/>
        <w:autoSpaceDN w:val="0"/>
        <w:adjustRightInd w:val="0"/>
        <w:spacing w:line="360" w:lineRule="auto"/>
        <w:rPr>
          <w:noProof/>
        </w:rPr>
      </w:pPr>
      <w:r w:rsidRPr="007E51FB">
        <w:rPr>
          <w:noProof/>
        </w:rPr>
        <w:t>Nestor PJ, Fryer TD, Smielewski P, Hodges JR. Limbic hypometabolism in Alzheimer’s disease and mild cognitive impairment. Ann Neurol 2003; 54: 343–51.</w:t>
      </w:r>
    </w:p>
    <w:p w14:paraId="446CB2F6" w14:textId="77777777" w:rsidR="00290472" w:rsidRPr="007E51FB" w:rsidRDefault="00290472" w:rsidP="00E84C28">
      <w:pPr>
        <w:widowControl w:val="0"/>
        <w:autoSpaceDE w:val="0"/>
        <w:autoSpaceDN w:val="0"/>
        <w:adjustRightInd w:val="0"/>
        <w:spacing w:line="360" w:lineRule="auto"/>
        <w:rPr>
          <w:noProof/>
        </w:rPr>
      </w:pPr>
      <w:r w:rsidRPr="007E51FB">
        <w:rPr>
          <w:noProof/>
        </w:rPr>
        <w:t>Ottoy J, Verhaeghe J, Niemantsverdriet E, De Roeck E, wyffels L, Ceyssens S, et al. 18F-</w:t>
      </w:r>
      <w:r w:rsidRPr="007E51FB">
        <w:rPr>
          <w:noProof/>
        </w:rPr>
        <w:lastRenderedPageBreak/>
        <w:t>FDG PET, the early phases and the delivery rate of 18F-AV45 PET as proxies of cerebral blood flow in Alzheimer’s disease: Validation against 15O-H2O PET. Alzheimer’s Dement 2019: 1–11.</w:t>
      </w:r>
    </w:p>
    <w:p w14:paraId="191A64CE" w14:textId="77777777" w:rsidR="00290472" w:rsidRPr="007E51FB" w:rsidRDefault="00290472" w:rsidP="00E84C28">
      <w:pPr>
        <w:widowControl w:val="0"/>
        <w:autoSpaceDE w:val="0"/>
        <w:autoSpaceDN w:val="0"/>
        <w:adjustRightInd w:val="0"/>
        <w:spacing w:line="360" w:lineRule="auto"/>
        <w:rPr>
          <w:noProof/>
        </w:rPr>
      </w:pPr>
      <w:r w:rsidRPr="007E51FB">
        <w:rPr>
          <w:noProof/>
        </w:rPr>
        <w:t>Paulson OB, Hasselbalch SG, Rostrup E, Knudsen GM, Pelligrino D. Cerebral blood flow response to functional activation. J Cereb Blood Flow Metab 2010; 30: 2–14.</w:t>
      </w:r>
    </w:p>
    <w:p w14:paraId="2499F9B8" w14:textId="77777777" w:rsidR="00290472" w:rsidRPr="007E51FB" w:rsidRDefault="00290472" w:rsidP="00E84C28">
      <w:pPr>
        <w:widowControl w:val="0"/>
        <w:autoSpaceDE w:val="0"/>
        <w:autoSpaceDN w:val="0"/>
        <w:adjustRightInd w:val="0"/>
        <w:spacing w:line="360" w:lineRule="auto"/>
        <w:rPr>
          <w:noProof/>
        </w:rPr>
      </w:pPr>
      <w:r w:rsidRPr="007E51FB">
        <w:rPr>
          <w:noProof/>
        </w:rPr>
        <w:t>Protas HD, Chen K, Langbaum JB, Fleisher  a S, Alexander GE, Lee W, et al. Posterior cingulate glucose metabolism, hippocampal glucose metabolism, and hippocampal volume in cognitively normal, late-middle-aged persons at 3 levels of genetic risk for Alzheimer disease. JAMA Neurol 2013; 70: 320–325.</w:t>
      </w:r>
    </w:p>
    <w:p w14:paraId="420DDB3D" w14:textId="77777777" w:rsidR="00290472" w:rsidRPr="007E51FB" w:rsidRDefault="00290472" w:rsidP="00E84C28">
      <w:pPr>
        <w:widowControl w:val="0"/>
        <w:autoSpaceDE w:val="0"/>
        <w:autoSpaceDN w:val="0"/>
        <w:adjustRightInd w:val="0"/>
        <w:spacing w:line="360" w:lineRule="auto"/>
        <w:rPr>
          <w:noProof/>
        </w:rPr>
      </w:pPr>
      <w:r w:rsidRPr="007E51FB">
        <w:rPr>
          <w:noProof/>
        </w:rPr>
        <w:t>Raffield LM, Cox AJ, Hugenschmidt CE, Freedman BI, Langefeld CD, Williamson JD, et al. Heritability and genetic association analysis of neuroimaging measures in the Diabetes Heart Study. Neurobiol Aging 2015; 36: 7–15.</w:t>
      </w:r>
    </w:p>
    <w:p w14:paraId="28A0935F" w14:textId="77777777" w:rsidR="00290472" w:rsidRPr="007E51FB" w:rsidRDefault="00290472" w:rsidP="00E84C28">
      <w:pPr>
        <w:widowControl w:val="0"/>
        <w:autoSpaceDE w:val="0"/>
        <w:autoSpaceDN w:val="0"/>
        <w:adjustRightInd w:val="0"/>
        <w:spacing w:line="360" w:lineRule="auto"/>
        <w:rPr>
          <w:noProof/>
        </w:rPr>
      </w:pPr>
      <w:r w:rsidRPr="007E51FB">
        <w:rPr>
          <w:noProof/>
        </w:rPr>
        <w:t>Roth M, Tym E, Mountjoy CQ, Huppert FA, Hendrie H, Verma S, et al. CAMDEX. A standardised instrument for the diagnosis of mental disorder in the elderly with special reference to the early detection of dementia. Br J Psychiatry 1986; 149: 698–709.</w:t>
      </w:r>
    </w:p>
    <w:p w14:paraId="33425FAE" w14:textId="77777777" w:rsidR="00290472" w:rsidRPr="007E51FB" w:rsidRDefault="00290472" w:rsidP="00E84C28">
      <w:pPr>
        <w:widowControl w:val="0"/>
        <w:autoSpaceDE w:val="0"/>
        <w:autoSpaceDN w:val="0"/>
        <w:adjustRightInd w:val="0"/>
        <w:spacing w:line="360" w:lineRule="auto"/>
        <w:rPr>
          <w:noProof/>
        </w:rPr>
      </w:pPr>
      <w:r w:rsidRPr="007E51FB">
        <w:rPr>
          <w:noProof/>
        </w:rPr>
        <w:t>Sabbagh MN, Chen K, Rogers J, Fleisher AS, Liebsack C, Bandy D, et al. Florbetapir PET, FDG PET, and MRI in Down syndrome individuals with and without Alzheimer’s dementia. Alzheimers Dement 2015; 11: 994–1004.</w:t>
      </w:r>
    </w:p>
    <w:p w14:paraId="145D6A95" w14:textId="77777777" w:rsidR="00290472" w:rsidRPr="007E51FB" w:rsidRDefault="00290472" w:rsidP="00E84C28">
      <w:pPr>
        <w:widowControl w:val="0"/>
        <w:autoSpaceDE w:val="0"/>
        <w:autoSpaceDN w:val="0"/>
        <w:adjustRightInd w:val="0"/>
        <w:spacing w:line="360" w:lineRule="auto"/>
        <w:rPr>
          <w:noProof/>
        </w:rPr>
      </w:pPr>
      <w:r w:rsidRPr="007E51FB">
        <w:rPr>
          <w:noProof/>
        </w:rPr>
        <w:t>De Santi S, de Leon MJ, Rusinek H, Convit A, Tarshish CY, Roche A, et al. Hippocampal formation glucose metabolism and volume losses in MCI and AD. Neurobiol Aging 2001; 22: 529–539.</w:t>
      </w:r>
    </w:p>
    <w:p w14:paraId="5ECE9DD5" w14:textId="77777777" w:rsidR="00290472" w:rsidRPr="007E51FB" w:rsidRDefault="00290472" w:rsidP="00E84C28">
      <w:pPr>
        <w:widowControl w:val="0"/>
        <w:autoSpaceDE w:val="0"/>
        <w:autoSpaceDN w:val="0"/>
        <w:adjustRightInd w:val="0"/>
        <w:spacing w:line="360" w:lineRule="auto"/>
        <w:rPr>
          <w:noProof/>
        </w:rPr>
      </w:pPr>
      <w:r w:rsidRPr="007E51FB">
        <w:rPr>
          <w:noProof/>
        </w:rPr>
        <w:t>Schapiro MB, Grady CL, Kumar A, Herscovitch P, Haxby J V., Moore AM, et al. Regional Cerebral Glucose Metabolism is Normal in Young Adults with down Syndrome. J Cereb Blood Flow Metab 1990; 10: 199–206.</w:t>
      </w:r>
    </w:p>
    <w:p w14:paraId="3789EE10" w14:textId="77777777" w:rsidR="00290472" w:rsidRPr="007E51FB" w:rsidRDefault="00290472" w:rsidP="00E84C28">
      <w:pPr>
        <w:widowControl w:val="0"/>
        <w:autoSpaceDE w:val="0"/>
        <w:autoSpaceDN w:val="0"/>
        <w:adjustRightInd w:val="0"/>
        <w:spacing w:line="360" w:lineRule="auto"/>
        <w:rPr>
          <w:noProof/>
        </w:rPr>
      </w:pPr>
      <w:r w:rsidRPr="007E51FB">
        <w:rPr>
          <w:noProof/>
        </w:rPr>
        <w:t>Tynkkynen J, Chouraki V, van der Lee SJ, Hernesniemi J, Yang Q, Li S, et al. Association of branched-chain amino acids and other circulating metabolites with risk of incident dementia and Alzheimer’s disease: A prospective study in eight cohorts. Alzheimer’s Dement 2018; 14: 723–733.</w:t>
      </w:r>
    </w:p>
    <w:p w14:paraId="417EB50D" w14:textId="77777777" w:rsidR="00290472" w:rsidRPr="007E51FB" w:rsidRDefault="00290472" w:rsidP="00E84C28">
      <w:pPr>
        <w:widowControl w:val="0"/>
        <w:autoSpaceDE w:val="0"/>
        <w:autoSpaceDN w:val="0"/>
        <w:adjustRightInd w:val="0"/>
        <w:spacing w:line="360" w:lineRule="auto"/>
        <w:rPr>
          <w:noProof/>
        </w:rPr>
      </w:pPr>
      <w:r w:rsidRPr="007E51FB">
        <w:rPr>
          <w:noProof/>
        </w:rPr>
        <w:t>Wang L, Benzinger TL, Su Y, Christensen J, Friedrichsen K, Aldea P, et al. Evaluation of tau imaging in staging Alzheimer disease and revealing interactions between β-amyloid and tauopathy. JAMA Neurol 2016; 73: 1070–1077.</w:t>
      </w:r>
    </w:p>
    <w:p w14:paraId="34F49A60" w14:textId="77777777" w:rsidR="00290472" w:rsidRPr="007E51FB" w:rsidRDefault="00290472" w:rsidP="00E84C28">
      <w:pPr>
        <w:widowControl w:val="0"/>
        <w:autoSpaceDE w:val="0"/>
        <w:autoSpaceDN w:val="0"/>
        <w:adjustRightInd w:val="0"/>
        <w:spacing w:line="360" w:lineRule="auto"/>
        <w:rPr>
          <w:noProof/>
        </w:rPr>
      </w:pPr>
      <w:r w:rsidRPr="007E51FB">
        <w:rPr>
          <w:noProof/>
        </w:rPr>
        <w:t>Winkler AM, Webster MA, Brooks JC, Tracey I, Smith SM, Nichols TE. Non-parametric combination and related permutation tests for neuroimaging. Hum Brain Mapp 2016; 37: 1486–1511.</w:t>
      </w:r>
    </w:p>
    <w:p w14:paraId="26D328DF" w14:textId="77777777" w:rsidR="00290472" w:rsidRPr="007E51FB" w:rsidRDefault="00290472" w:rsidP="00E84C28">
      <w:pPr>
        <w:widowControl w:val="0"/>
        <w:autoSpaceDE w:val="0"/>
        <w:autoSpaceDN w:val="0"/>
        <w:adjustRightInd w:val="0"/>
        <w:spacing w:line="360" w:lineRule="auto"/>
        <w:rPr>
          <w:noProof/>
        </w:rPr>
      </w:pPr>
      <w:r w:rsidRPr="007E51FB">
        <w:rPr>
          <w:noProof/>
        </w:rPr>
        <w:lastRenderedPageBreak/>
        <w:t>Wiseman FK, Al-Janabi T, Hardy J, Karmiloff-Smith A, Nizetic D, Tybulewicz VLJ, et al. A genetic cause of Alzheimer disease: mechanistic insights from Down syndrome. Nat Rev Neurosci 2015; 16: 564–574.</w:t>
      </w:r>
    </w:p>
    <w:p w14:paraId="48A462D5" w14:textId="26963E10" w:rsidR="00AF27D7" w:rsidRDefault="00CD10B5" w:rsidP="00E84C28">
      <w:pPr>
        <w:widowControl w:val="0"/>
        <w:autoSpaceDE w:val="0"/>
        <w:autoSpaceDN w:val="0"/>
        <w:adjustRightInd w:val="0"/>
        <w:spacing w:line="360" w:lineRule="auto"/>
      </w:pPr>
      <w:r w:rsidRPr="007E51FB">
        <w:rPr>
          <w:b/>
          <w:bCs/>
        </w:rPr>
        <w:fldChar w:fldCharType="end"/>
      </w:r>
    </w:p>
    <w:p w14:paraId="6CD7ADAC" w14:textId="7134848F" w:rsidR="00AF6240" w:rsidRDefault="00AF6240" w:rsidP="00E84C28">
      <w:pPr>
        <w:widowControl w:val="0"/>
        <w:autoSpaceDE w:val="0"/>
        <w:autoSpaceDN w:val="0"/>
        <w:adjustRightInd w:val="0"/>
        <w:spacing w:line="360" w:lineRule="auto"/>
        <w:rPr>
          <w:b/>
          <w:bCs/>
        </w:rPr>
      </w:pPr>
      <w:r>
        <w:rPr>
          <w:b/>
          <w:bCs/>
        </w:rPr>
        <w:t>LEGENDS</w:t>
      </w:r>
    </w:p>
    <w:p w14:paraId="6A6DF327" w14:textId="77777777" w:rsidR="00CC4143" w:rsidRDefault="00CC4143" w:rsidP="006E25B4">
      <w:pPr>
        <w:spacing w:line="360" w:lineRule="auto"/>
        <w:jc w:val="both"/>
        <w:rPr>
          <w:b/>
          <w:bCs/>
        </w:rPr>
      </w:pPr>
    </w:p>
    <w:p w14:paraId="5A64899C" w14:textId="7C9E92AD" w:rsidR="00971C69" w:rsidRDefault="00971C69" w:rsidP="006E25B4">
      <w:pPr>
        <w:spacing w:line="360" w:lineRule="auto"/>
        <w:jc w:val="both"/>
      </w:pPr>
      <w:r w:rsidRPr="007E51FB">
        <w:rPr>
          <w:b/>
          <w:bCs/>
        </w:rPr>
        <w:t xml:space="preserve">Table 1. Demographics and clinical characteristics of the study sample. </w:t>
      </w:r>
      <w:r w:rsidRPr="007E51FB">
        <w:t xml:space="preserve">Abbreviations: DS-NEG = Amyloid-negative Down Syndrome adults; DS-POS = Amyloid-positive Down Syndrome adults; </w:t>
      </w:r>
      <w:r w:rsidR="006E25B4">
        <w:t xml:space="preserve">CAMCOG = </w:t>
      </w:r>
      <w:r w:rsidR="006E25B4" w:rsidRPr="001E1B6B">
        <w:t>Cambridge Cognitive Examination</w:t>
      </w:r>
      <w:r w:rsidR="006E25B4">
        <w:t>.</w:t>
      </w:r>
    </w:p>
    <w:p w14:paraId="5A6FA0B3" w14:textId="77777777" w:rsidR="00987B7A" w:rsidRDefault="00987B7A" w:rsidP="00971C69">
      <w:pPr>
        <w:spacing w:line="360" w:lineRule="auto"/>
        <w:jc w:val="both"/>
      </w:pPr>
    </w:p>
    <w:p w14:paraId="20F5B36B" w14:textId="799168D5" w:rsidR="00971C69" w:rsidRPr="007E51FB" w:rsidRDefault="00855E21" w:rsidP="00971C69">
      <w:pPr>
        <w:spacing w:line="360" w:lineRule="auto"/>
        <w:jc w:val="both"/>
      </w:pPr>
      <w:r>
        <w:rPr>
          <w:b/>
          <w:bCs/>
        </w:rPr>
        <w:t>F</w:t>
      </w:r>
      <w:r w:rsidR="00971C69" w:rsidRPr="00855E21">
        <w:rPr>
          <w:b/>
          <w:bCs/>
        </w:rPr>
        <w:t xml:space="preserve">igure 1. Boxplots of rank transformed mean cortical R1 and cortical thickness values in each DS amyloid group. </w:t>
      </w:r>
      <w:r w:rsidR="00971C69" w:rsidRPr="00855E21">
        <w:t>After adjusting for age, gender and cognitive status and mean cortical thickness, DS-POS adults showed significantly reduced mean R1 compared to DS-NEG adults. Abbreviations: DS-NEG = Amyloid-negative Down Syndrome adults; DS-POS = Amyloid-positive Down Syndrome adults; R1 = Relative influx of the [</w:t>
      </w:r>
      <w:r w:rsidR="00971C69" w:rsidRPr="00855E21">
        <w:rPr>
          <w:vertAlign w:val="superscript"/>
        </w:rPr>
        <w:t>11</w:t>
      </w:r>
      <w:r w:rsidR="00971C69" w:rsidRPr="00855E21">
        <w:t xml:space="preserve">C]-PiB tracer; </w:t>
      </w:r>
      <w:proofErr w:type="spellStart"/>
      <w:r w:rsidR="00971C69" w:rsidRPr="00855E21">
        <w:t>Cth</w:t>
      </w:r>
      <w:proofErr w:type="spellEnd"/>
      <w:r w:rsidR="00971C69" w:rsidRPr="00855E21">
        <w:t xml:space="preserve"> = Cortical thickness.</w:t>
      </w:r>
    </w:p>
    <w:p w14:paraId="03032C6F" w14:textId="77777777" w:rsidR="00971C69" w:rsidRDefault="00971C69" w:rsidP="00E84C28">
      <w:pPr>
        <w:widowControl w:val="0"/>
        <w:autoSpaceDE w:val="0"/>
        <w:autoSpaceDN w:val="0"/>
        <w:adjustRightInd w:val="0"/>
        <w:spacing w:line="360" w:lineRule="auto"/>
        <w:rPr>
          <w:b/>
          <w:bCs/>
        </w:rPr>
      </w:pPr>
    </w:p>
    <w:p w14:paraId="5FB5A991" w14:textId="673F7264" w:rsidR="00987B7A" w:rsidRDefault="00971C69" w:rsidP="00971C69">
      <w:pPr>
        <w:spacing w:line="360" w:lineRule="auto"/>
        <w:jc w:val="both"/>
      </w:pPr>
      <w:r w:rsidRPr="008214C5">
        <w:rPr>
          <w:b/>
          <w:bCs/>
        </w:rPr>
        <w:t xml:space="preserve">Figure 2. Decreased regional R1 in DS-POS relative to DS-NEG adults. </w:t>
      </w:r>
      <w:r w:rsidRPr="008214C5">
        <w:t xml:space="preserve">Regional FDR adjusted </w:t>
      </w:r>
      <w:r w:rsidRPr="008214C5">
        <w:rPr>
          <w:i/>
          <w:iCs/>
        </w:rPr>
        <w:t>p</w:t>
      </w:r>
      <w:r w:rsidRPr="008214C5">
        <w:t xml:space="preserve"> values of reduced R1 are overlaid on each of the cortical regions. Brighter colours reflect a greater magnitude of difference.  Covariates include age, gender and cognitive status. Abbreviations: DS-NEG = Amyloid-negative Down Syndrome adults; DS-POS = Amyloid-positive Down Syndrome adults; R1 = Relative influx of the [</w:t>
      </w:r>
      <w:r w:rsidRPr="008214C5">
        <w:rPr>
          <w:vertAlign w:val="superscript"/>
        </w:rPr>
        <w:t>11</w:t>
      </w:r>
      <w:r w:rsidRPr="008214C5">
        <w:t>C]-PiB tracer; FDR = False Discovery Rate</w:t>
      </w:r>
      <w:r w:rsidR="00F35417">
        <w:tab/>
      </w:r>
    </w:p>
    <w:p w14:paraId="7DF61BF6" w14:textId="77777777" w:rsidR="00987B7A" w:rsidRDefault="00987B7A" w:rsidP="00971C69">
      <w:pPr>
        <w:spacing w:line="360" w:lineRule="auto"/>
        <w:jc w:val="both"/>
        <w:rPr>
          <w:b/>
          <w:bCs/>
        </w:rPr>
      </w:pPr>
    </w:p>
    <w:p w14:paraId="77492482" w14:textId="490FCB46" w:rsidR="00971C69" w:rsidRPr="007E51FB" w:rsidRDefault="00971C69" w:rsidP="00971C69">
      <w:pPr>
        <w:spacing w:line="360" w:lineRule="auto"/>
        <w:jc w:val="both"/>
      </w:pPr>
      <w:r w:rsidRPr="001E1B6B">
        <w:rPr>
          <w:b/>
          <w:bCs/>
        </w:rPr>
        <w:t>Figure 3. Association between cortical perfusion and CAMCOG scores amongst DS-POS individuals with cognitive impairment.</w:t>
      </w:r>
      <w:r w:rsidRPr="001E1B6B">
        <w:t xml:space="preserve"> Abbreviation: R1 = Relative influx of the [</w:t>
      </w:r>
      <w:r w:rsidRPr="001E1B6B">
        <w:rPr>
          <w:vertAlign w:val="superscript"/>
        </w:rPr>
        <w:t>11</w:t>
      </w:r>
      <w:r w:rsidRPr="001E1B6B">
        <w:t>C]-PiB tracer; CAMCOG = Cambridge Cognitive Examination.</w:t>
      </w:r>
    </w:p>
    <w:p w14:paraId="501FC0D3" w14:textId="4C0A89F5" w:rsidR="00971C69" w:rsidRDefault="00971C69" w:rsidP="00971C69">
      <w:pPr>
        <w:widowControl w:val="0"/>
        <w:autoSpaceDE w:val="0"/>
        <w:autoSpaceDN w:val="0"/>
        <w:adjustRightInd w:val="0"/>
        <w:spacing w:line="360" w:lineRule="auto"/>
      </w:pPr>
    </w:p>
    <w:p w14:paraId="0C391A52" w14:textId="78B80B82" w:rsidR="00971C69" w:rsidRPr="00375146" w:rsidRDefault="00971C69" w:rsidP="00375146">
      <w:pPr>
        <w:spacing w:line="360" w:lineRule="auto"/>
        <w:jc w:val="both"/>
      </w:pPr>
      <w:r w:rsidRPr="007912BC">
        <w:rPr>
          <w:b/>
          <w:bCs/>
        </w:rPr>
        <w:t xml:space="preserve">Figure 4. Comparison of cortical R1 between DS adults who remained cognitively stable and DS adults with subsequent cognitive decline. </w:t>
      </w:r>
      <w:r w:rsidRPr="007912BC">
        <w:t>Robust linear regression indicated significantly reduced cortical R1 in DS adults who subsequently showed cognitive decline compared to DS adults who remained cognitively stable. Abbreviations: DS-NEG = Amyloid-negative Down Syndrome adults; DS-POS = Amyloid-positive Down Syndrome adults; R1 = Relative influx of the [</w:t>
      </w:r>
      <w:r w:rsidRPr="007912BC">
        <w:rPr>
          <w:vertAlign w:val="superscript"/>
        </w:rPr>
        <w:t>11</w:t>
      </w:r>
      <w:r w:rsidRPr="007912BC">
        <w:t>C]-PiB tracer.</w:t>
      </w:r>
    </w:p>
    <w:sectPr w:rsidR="00971C69" w:rsidRPr="00375146" w:rsidSect="009418C7">
      <w:footerReference w:type="even" r:id="rId7"/>
      <w:footerReference w:type="default" r:id="rId8"/>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8412" w14:textId="77777777" w:rsidR="00A35F61" w:rsidRDefault="00A35F61" w:rsidP="000C3F10">
      <w:r>
        <w:separator/>
      </w:r>
    </w:p>
  </w:endnote>
  <w:endnote w:type="continuationSeparator" w:id="0">
    <w:p w14:paraId="3038E577" w14:textId="77777777" w:rsidR="00A35F61" w:rsidRDefault="00A35F61" w:rsidP="000C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292351"/>
      <w:docPartObj>
        <w:docPartGallery w:val="Page Numbers (Bottom of Page)"/>
        <w:docPartUnique/>
      </w:docPartObj>
    </w:sdtPr>
    <w:sdtEndPr>
      <w:rPr>
        <w:rStyle w:val="PageNumber"/>
      </w:rPr>
    </w:sdtEndPr>
    <w:sdtContent>
      <w:p w14:paraId="56DC4AA1" w14:textId="03AECC7D" w:rsidR="003502D7" w:rsidRDefault="003502D7" w:rsidP="009418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6D7AA" w14:textId="77777777" w:rsidR="003502D7" w:rsidRDefault="003502D7" w:rsidP="002E4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690479"/>
      <w:docPartObj>
        <w:docPartGallery w:val="Page Numbers (Bottom of Page)"/>
        <w:docPartUnique/>
      </w:docPartObj>
    </w:sdtPr>
    <w:sdtEndPr>
      <w:rPr>
        <w:rStyle w:val="PageNumber"/>
      </w:rPr>
    </w:sdtEndPr>
    <w:sdtContent>
      <w:p w14:paraId="0446F5A7" w14:textId="409E64A4" w:rsidR="003502D7" w:rsidRDefault="003502D7" w:rsidP="009F7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6FFCC41E" w14:textId="77777777" w:rsidR="003502D7" w:rsidRDefault="003502D7" w:rsidP="002E4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04C3B" w14:textId="77777777" w:rsidR="00A35F61" w:rsidRDefault="00A35F61" w:rsidP="000C3F10">
      <w:r>
        <w:separator/>
      </w:r>
    </w:p>
  </w:footnote>
  <w:footnote w:type="continuationSeparator" w:id="0">
    <w:p w14:paraId="7A55FB7B" w14:textId="77777777" w:rsidR="00A35F61" w:rsidRDefault="00A35F61" w:rsidP="000C3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24"/>
    <w:rsid w:val="00000689"/>
    <w:rsid w:val="00001074"/>
    <w:rsid w:val="000011E5"/>
    <w:rsid w:val="000023B9"/>
    <w:rsid w:val="000028A5"/>
    <w:rsid w:val="00003567"/>
    <w:rsid w:val="00003E38"/>
    <w:rsid w:val="00005758"/>
    <w:rsid w:val="00006817"/>
    <w:rsid w:val="000072A9"/>
    <w:rsid w:val="000106D9"/>
    <w:rsid w:val="000114AA"/>
    <w:rsid w:val="000115CA"/>
    <w:rsid w:val="000118BF"/>
    <w:rsid w:val="000119DB"/>
    <w:rsid w:val="00012E6E"/>
    <w:rsid w:val="00013005"/>
    <w:rsid w:val="000134B9"/>
    <w:rsid w:val="0001413B"/>
    <w:rsid w:val="00014253"/>
    <w:rsid w:val="000143A8"/>
    <w:rsid w:val="00015021"/>
    <w:rsid w:val="00016B4F"/>
    <w:rsid w:val="00016C5B"/>
    <w:rsid w:val="00017268"/>
    <w:rsid w:val="00020086"/>
    <w:rsid w:val="000208D3"/>
    <w:rsid w:val="00021369"/>
    <w:rsid w:val="00021E70"/>
    <w:rsid w:val="000225F5"/>
    <w:rsid w:val="000229FD"/>
    <w:rsid w:val="000248DB"/>
    <w:rsid w:val="000251CB"/>
    <w:rsid w:val="000257EB"/>
    <w:rsid w:val="00025A96"/>
    <w:rsid w:val="00026109"/>
    <w:rsid w:val="00026273"/>
    <w:rsid w:val="000277B0"/>
    <w:rsid w:val="000308D7"/>
    <w:rsid w:val="00031817"/>
    <w:rsid w:val="00031ADB"/>
    <w:rsid w:val="0003513E"/>
    <w:rsid w:val="00035B33"/>
    <w:rsid w:val="00037388"/>
    <w:rsid w:val="000377B5"/>
    <w:rsid w:val="00040903"/>
    <w:rsid w:val="00041FF4"/>
    <w:rsid w:val="00042724"/>
    <w:rsid w:val="000433E5"/>
    <w:rsid w:val="00044632"/>
    <w:rsid w:val="00044A33"/>
    <w:rsid w:val="00044FF5"/>
    <w:rsid w:val="000457A0"/>
    <w:rsid w:val="0004635F"/>
    <w:rsid w:val="00046FEE"/>
    <w:rsid w:val="000501F9"/>
    <w:rsid w:val="00050368"/>
    <w:rsid w:val="000513E2"/>
    <w:rsid w:val="0005163C"/>
    <w:rsid w:val="000529CA"/>
    <w:rsid w:val="00052C06"/>
    <w:rsid w:val="00053B4E"/>
    <w:rsid w:val="00053C76"/>
    <w:rsid w:val="00054D4B"/>
    <w:rsid w:val="00055025"/>
    <w:rsid w:val="00056841"/>
    <w:rsid w:val="00056A30"/>
    <w:rsid w:val="00057049"/>
    <w:rsid w:val="000578DE"/>
    <w:rsid w:val="00060C74"/>
    <w:rsid w:val="000615DE"/>
    <w:rsid w:val="00063692"/>
    <w:rsid w:val="000640F7"/>
    <w:rsid w:val="00064546"/>
    <w:rsid w:val="00064830"/>
    <w:rsid w:val="0006484C"/>
    <w:rsid w:val="00065793"/>
    <w:rsid w:val="0006624E"/>
    <w:rsid w:val="0006666D"/>
    <w:rsid w:val="0006705A"/>
    <w:rsid w:val="0006721A"/>
    <w:rsid w:val="000677AF"/>
    <w:rsid w:val="00067D43"/>
    <w:rsid w:val="00070C32"/>
    <w:rsid w:val="000715B2"/>
    <w:rsid w:val="00072270"/>
    <w:rsid w:val="0007359A"/>
    <w:rsid w:val="000741D2"/>
    <w:rsid w:val="000748DC"/>
    <w:rsid w:val="00074BC4"/>
    <w:rsid w:val="000764BE"/>
    <w:rsid w:val="000772C9"/>
    <w:rsid w:val="0007778B"/>
    <w:rsid w:val="00077862"/>
    <w:rsid w:val="00077948"/>
    <w:rsid w:val="00080005"/>
    <w:rsid w:val="000802AF"/>
    <w:rsid w:val="000804BA"/>
    <w:rsid w:val="0008124E"/>
    <w:rsid w:val="0008145F"/>
    <w:rsid w:val="0008182A"/>
    <w:rsid w:val="00081F98"/>
    <w:rsid w:val="00082B5D"/>
    <w:rsid w:val="00083C9F"/>
    <w:rsid w:val="0008434A"/>
    <w:rsid w:val="00085E36"/>
    <w:rsid w:val="000866B4"/>
    <w:rsid w:val="00086ACF"/>
    <w:rsid w:val="00086AEF"/>
    <w:rsid w:val="000879E9"/>
    <w:rsid w:val="0009092A"/>
    <w:rsid w:val="00091AAA"/>
    <w:rsid w:val="00093234"/>
    <w:rsid w:val="00093707"/>
    <w:rsid w:val="000942D3"/>
    <w:rsid w:val="00094E03"/>
    <w:rsid w:val="00095195"/>
    <w:rsid w:val="000953A1"/>
    <w:rsid w:val="00095E12"/>
    <w:rsid w:val="00096B85"/>
    <w:rsid w:val="00097240"/>
    <w:rsid w:val="000978F3"/>
    <w:rsid w:val="000A06E5"/>
    <w:rsid w:val="000A08B1"/>
    <w:rsid w:val="000A0DFE"/>
    <w:rsid w:val="000A13CF"/>
    <w:rsid w:val="000A2474"/>
    <w:rsid w:val="000A2A9D"/>
    <w:rsid w:val="000A2D5B"/>
    <w:rsid w:val="000A31D4"/>
    <w:rsid w:val="000A4C2A"/>
    <w:rsid w:val="000A5A54"/>
    <w:rsid w:val="000A6E3E"/>
    <w:rsid w:val="000A7764"/>
    <w:rsid w:val="000A7AF8"/>
    <w:rsid w:val="000A7FC7"/>
    <w:rsid w:val="000B00EA"/>
    <w:rsid w:val="000B0517"/>
    <w:rsid w:val="000B077F"/>
    <w:rsid w:val="000B1F2A"/>
    <w:rsid w:val="000B2089"/>
    <w:rsid w:val="000B3DD8"/>
    <w:rsid w:val="000B498C"/>
    <w:rsid w:val="000B553B"/>
    <w:rsid w:val="000B5867"/>
    <w:rsid w:val="000B6389"/>
    <w:rsid w:val="000B74B2"/>
    <w:rsid w:val="000C027F"/>
    <w:rsid w:val="000C0301"/>
    <w:rsid w:val="000C0BDA"/>
    <w:rsid w:val="000C1960"/>
    <w:rsid w:val="000C1A0A"/>
    <w:rsid w:val="000C2560"/>
    <w:rsid w:val="000C3285"/>
    <w:rsid w:val="000C3744"/>
    <w:rsid w:val="000C3F10"/>
    <w:rsid w:val="000C421B"/>
    <w:rsid w:val="000C4DEA"/>
    <w:rsid w:val="000C674D"/>
    <w:rsid w:val="000C7A81"/>
    <w:rsid w:val="000D0175"/>
    <w:rsid w:val="000D07DE"/>
    <w:rsid w:val="000D09DF"/>
    <w:rsid w:val="000D176D"/>
    <w:rsid w:val="000D1F53"/>
    <w:rsid w:val="000D2019"/>
    <w:rsid w:val="000D27A4"/>
    <w:rsid w:val="000D2AE9"/>
    <w:rsid w:val="000D31F6"/>
    <w:rsid w:val="000D37B6"/>
    <w:rsid w:val="000D40EB"/>
    <w:rsid w:val="000D44E4"/>
    <w:rsid w:val="000D4563"/>
    <w:rsid w:val="000D61D5"/>
    <w:rsid w:val="000D6AAC"/>
    <w:rsid w:val="000D79FD"/>
    <w:rsid w:val="000E2B2D"/>
    <w:rsid w:val="000E2E15"/>
    <w:rsid w:val="000E59A4"/>
    <w:rsid w:val="000E5DBD"/>
    <w:rsid w:val="000E6EB7"/>
    <w:rsid w:val="000E7CAC"/>
    <w:rsid w:val="000E7FAC"/>
    <w:rsid w:val="000F0721"/>
    <w:rsid w:val="000F0D0A"/>
    <w:rsid w:val="000F0DC2"/>
    <w:rsid w:val="000F2422"/>
    <w:rsid w:val="000F2AFF"/>
    <w:rsid w:val="000F347E"/>
    <w:rsid w:val="000F3B6C"/>
    <w:rsid w:val="000F48A3"/>
    <w:rsid w:val="000F4FD9"/>
    <w:rsid w:val="000F5680"/>
    <w:rsid w:val="00100A0F"/>
    <w:rsid w:val="0010188D"/>
    <w:rsid w:val="0010287C"/>
    <w:rsid w:val="001028E9"/>
    <w:rsid w:val="00102D95"/>
    <w:rsid w:val="00102F31"/>
    <w:rsid w:val="0010341B"/>
    <w:rsid w:val="0010564E"/>
    <w:rsid w:val="00105722"/>
    <w:rsid w:val="001060F2"/>
    <w:rsid w:val="001069AB"/>
    <w:rsid w:val="00106CEC"/>
    <w:rsid w:val="00110528"/>
    <w:rsid w:val="00110F85"/>
    <w:rsid w:val="0011143D"/>
    <w:rsid w:val="001120FB"/>
    <w:rsid w:val="00114248"/>
    <w:rsid w:val="00114858"/>
    <w:rsid w:val="00114B23"/>
    <w:rsid w:val="00114E3A"/>
    <w:rsid w:val="00116724"/>
    <w:rsid w:val="00116C70"/>
    <w:rsid w:val="00117666"/>
    <w:rsid w:val="00120A35"/>
    <w:rsid w:val="00120AF5"/>
    <w:rsid w:val="00120E50"/>
    <w:rsid w:val="001212A9"/>
    <w:rsid w:val="00123087"/>
    <w:rsid w:val="0012421E"/>
    <w:rsid w:val="00125A28"/>
    <w:rsid w:val="00125C82"/>
    <w:rsid w:val="001265A6"/>
    <w:rsid w:val="001302D1"/>
    <w:rsid w:val="0013035A"/>
    <w:rsid w:val="00130639"/>
    <w:rsid w:val="00130C27"/>
    <w:rsid w:val="00130EA4"/>
    <w:rsid w:val="001310D4"/>
    <w:rsid w:val="00132B38"/>
    <w:rsid w:val="001332D7"/>
    <w:rsid w:val="00133EE3"/>
    <w:rsid w:val="001344BA"/>
    <w:rsid w:val="00134C72"/>
    <w:rsid w:val="00134CAC"/>
    <w:rsid w:val="0013580D"/>
    <w:rsid w:val="00136078"/>
    <w:rsid w:val="00136AF6"/>
    <w:rsid w:val="00140239"/>
    <w:rsid w:val="0014232D"/>
    <w:rsid w:val="00142CB0"/>
    <w:rsid w:val="0014538C"/>
    <w:rsid w:val="001458AB"/>
    <w:rsid w:val="00147FC1"/>
    <w:rsid w:val="001508EE"/>
    <w:rsid w:val="00151089"/>
    <w:rsid w:val="00151453"/>
    <w:rsid w:val="00151EC5"/>
    <w:rsid w:val="00152933"/>
    <w:rsid w:val="0015340E"/>
    <w:rsid w:val="00153E63"/>
    <w:rsid w:val="001544BC"/>
    <w:rsid w:val="001556E4"/>
    <w:rsid w:val="001565F5"/>
    <w:rsid w:val="00157545"/>
    <w:rsid w:val="001600EE"/>
    <w:rsid w:val="00161FE1"/>
    <w:rsid w:val="00162761"/>
    <w:rsid w:val="0016342C"/>
    <w:rsid w:val="001643B1"/>
    <w:rsid w:val="00164628"/>
    <w:rsid w:val="00164766"/>
    <w:rsid w:val="00167FB8"/>
    <w:rsid w:val="00170075"/>
    <w:rsid w:val="001716D4"/>
    <w:rsid w:val="00171B64"/>
    <w:rsid w:val="00172242"/>
    <w:rsid w:val="00173640"/>
    <w:rsid w:val="00173A86"/>
    <w:rsid w:val="00173EAF"/>
    <w:rsid w:val="00176D52"/>
    <w:rsid w:val="00176EAC"/>
    <w:rsid w:val="00177BFF"/>
    <w:rsid w:val="00177E5D"/>
    <w:rsid w:val="00180667"/>
    <w:rsid w:val="00181516"/>
    <w:rsid w:val="00181B55"/>
    <w:rsid w:val="00181C98"/>
    <w:rsid w:val="00181D87"/>
    <w:rsid w:val="001823D8"/>
    <w:rsid w:val="001833A8"/>
    <w:rsid w:val="001839D7"/>
    <w:rsid w:val="0018425F"/>
    <w:rsid w:val="001842A6"/>
    <w:rsid w:val="00185A7C"/>
    <w:rsid w:val="00185AD8"/>
    <w:rsid w:val="00185E1C"/>
    <w:rsid w:val="001865D8"/>
    <w:rsid w:val="001866D6"/>
    <w:rsid w:val="00186E23"/>
    <w:rsid w:val="00186F06"/>
    <w:rsid w:val="00190780"/>
    <w:rsid w:val="001915D9"/>
    <w:rsid w:val="00191742"/>
    <w:rsid w:val="001923DA"/>
    <w:rsid w:val="001929DC"/>
    <w:rsid w:val="00194CD3"/>
    <w:rsid w:val="001954C5"/>
    <w:rsid w:val="00196CDC"/>
    <w:rsid w:val="00197301"/>
    <w:rsid w:val="001975B6"/>
    <w:rsid w:val="00197F93"/>
    <w:rsid w:val="001A0D32"/>
    <w:rsid w:val="001A0DCC"/>
    <w:rsid w:val="001A0E10"/>
    <w:rsid w:val="001A1129"/>
    <w:rsid w:val="001A195C"/>
    <w:rsid w:val="001A1F47"/>
    <w:rsid w:val="001A1FBA"/>
    <w:rsid w:val="001A206A"/>
    <w:rsid w:val="001A239D"/>
    <w:rsid w:val="001A3483"/>
    <w:rsid w:val="001A3917"/>
    <w:rsid w:val="001A4296"/>
    <w:rsid w:val="001A4365"/>
    <w:rsid w:val="001A45E3"/>
    <w:rsid w:val="001A76CC"/>
    <w:rsid w:val="001A789E"/>
    <w:rsid w:val="001A7C38"/>
    <w:rsid w:val="001B04E0"/>
    <w:rsid w:val="001B20BF"/>
    <w:rsid w:val="001B3C60"/>
    <w:rsid w:val="001B3FB3"/>
    <w:rsid w:val="001B40E3"/>
    <w:rsid w:val="001B433C"/>
    <w:rsid w:val="001B5291"/>
    <w:rsid w:val="001B5316"/>
    <w:rsid w:val="001B6A43"/>
    <w:rsid w:val="001B6CFD"/>
    <w:rsid w:val="001B78BC"/>
    <w:rsid w:val="001C00F1"/>
    <w:rsid w:val="001C19C3"/>
    <w:rsid w:val="001C1EAC"/>
    <w:rsid w:val="001C2703"/>
    <w:rsid w:val="001C3F6C"/>
    <w:rsid w:val="001C4574"/>
    <w:rsid w:val="001C557E"/>
    <w:rsid w:val="001C6231"/>
    <w:rsid w:val="001C636C"/>
    <w:rsid w:val="001C67D7"/>
    <w:rsid w:val="001C7B00"/>
    <w:rsid w:val="001C7D12"/>
    <w:rsid w:val="001D0056"/>
    <w:rsid w:val="001D1A06"/>
    <w:rsid w:val="001D2A6B"/>
    <w:rsid w:val="001D2AD1"/>
    <w:rsid w:val="001D2B8F"/>
    <w:rsid w:val="001D317B"/>
    <w:rsid w:val="001D4225"/>
    <w:rsid w:val="001D424F"/>
    <w:rsid w:val="001D4352"/>
    <w:rsid w:val="001D455E"/>
    <w:rsid w:val="001D53BF"/>
    <w:rsid w:val="001D55CD"/>
    <w:rsid w:val="001D576B"/>
    <w:rsid w:val="001D596E"/>
    <w:rsid w:val="001D7540"/>
    <w:rsid w:val="001E0366"/>
    <w:rsid w:val="001E06DB"/>
    <w:rsid w:val="001E1B6B"/>
    <w:rsid w:val="001E2CE4"/>
    <w:rsid w:val="001E3175"/>
    <w:rsid w:val="001E3BB6"/>
    <w:rsid w:val="001E4C2E"/>
    <w:rsid w:val="001E5774"/>
    <w:rsid w:val="001E6133"/>
    <w:rsid w:val="001E6508"/>
    <w:rsid w:val="001E689F"/>
    <w:rsid w:val="001E6E47"/>
    <w:rsid w:val="001E76E1"/>
    <w:rsid w:val="001F074B"/>
    <w:rsid w:val="001F0FB2"/>
    <w:rsid w:val="001F1E38"/>
    <w:rsid w:val="001F1FB1"/>
    <w:rsid w:val="001F2CCE"/>
    <w:rsid w:val="001F33D3"/>
    <w:rsid w:val="001F3A60"/>
    <w:rsid w:val="001F469F"/>
    <w:rsid w:val="001F4D45"/>
    <w:rsid w:val="001F55DC"/>
    <w:rsid w:val="00201024"/>
    <w:rsid w:val="00201C87"/>
    <w:rsid w:val="00201D64"/>
    <w:rsid w:val="00203418"/>
    <w:rsid w:val="00203BF9"/>
    <w:rsid w:val="00204222"/>
    <w:rsid w:val="00205795"/>
    <w:rsid w:val="00205833"/>
    <w:rsid w:val="00206880"/>
    <w:rsid w:val="00206B6E"/>
    <w:rsid w:val="00207A5A"/>
    <w:rsid w:val="0021053C"/>
    <w:rsid w:val="0021126C"/>
    <w:rsid w:val="00211F92"/>
    <w:rsid w:val="00212C12"/>
    <w:rsid w:val="0021367F"/>
    <w:rsid w:val="0021406B"/>
    <w:rsid w:val="00214C6B"/>
    <w:rsid w:val="00214DE9"/>
    <w:rsid w:val="00216821"/>
    <w:rsid w:val="00216C55"/>
    <w:rsid w:val="00217BF3"/>
    <w:rsid w:val="00220CEE"/>
    <w:rsid w:val="00220FA9"/>
    <w:rsid w:val="00221FE4"/>
    <w:rsid w:val="002236CC"/>
    <w:rsid w:val="00224844"/>
    <w:rsid w:val="0022773F"/>
    <w:rsid w:val="002303DE"/>
    <w:rsid w:val="00231059"/>
    <w:rsid w:val="00232D10"/>
    <w:rsid w:val="00233FBC"/>
    <w:rsid w:val="00234249"/>
    <w:rsid w:val="00234606"/>
    <w:rsid w:val="00234F55"/>
    <w:rsid w:val="00235B72"/>
    <w:rsid w:val="0023762E"/>
    <w:rsid w:val="00240895"/>
    <w:rsid w:val="0024109F"/>
    <w:rsid w:val="00241365"/>
    <w:rsid w:val="00241526"/>
    <w:rsid w:val="002432E5"/>
    <w:rsid w:val="002445AA"/>
    <w:rsid w:val="00244887"/>
    <w:rsid w:val="002458D4"/>
    <w:rsid w:val="002463F1"/>
    <w:rsid w:val="00246569"/>
    <w:rsid w:val="00246978"/>
    <w:rsid w:val="0024724B"/>
    <w:rsid w:val="00247716"/>
    <w:rsid w:val="00247B72"/>
    <w:rsid w:val="0025062C"/>
    <w:rsid w:val="0025074C"/>
    <w:rsid w:val="00251046"/>
    <w:rsid w:val="002527DE"/>
    <w:rsid w:val="00252B04"/>
    <w:rsid w:val="00253622"/>
    <w:rsid w:val="00253B83"/>
    <w:rsid w:val="00255B28"/>
    <w:rsid w:val="0025625F"/>
    <w:rsid w:val="002564A3"/>
    <w:rsid w:val="00256BF5"/>
    <w:rsid w:val="00257EFE"/>
    <w:rsid w:val="00257F90"/>
    <w:rsid w:val="00260837"/>
    <w:rsid w:val="002629EE"/>
    <w:rsid w:val="00262E57"/>
    <w:rsid w:val="00263FB1"/>
    <w:rsid w:val="00264A57"/>
    <w:rsid w:val="00264F31"/>
    <w:rsid w:val="00265A41"/>
    <w:rsid w:val="00265A4B"/>
    <w:rsid w:val="002663B0"/>
    <w:rsid w:val="00266C77"/>
    <w:rsid w:val="002700F1"/>
    <w:rsid w:val="00270671"/>
    <w:rsid w:val="00270856"/>
    <w:rsid w:val="00271383"/>
    <w:rsid w:val="00271B63"/>
    <w:rsid w:val="00272F14"/>
    <w:rsid w:val="0027328A"/>
    <w:rsid w:val="002732C7"/>
    <w:rsid w:val="002745BD"/>
    <w:rsid w:val="0027493C"/>
    <w:rsid w:val="00274B7A"/>
    <w:rsid w:val="00274CB7"/>
    <w:rsid w:val="002765A4"/>
    <w:rsid w:val="00276A5C"/>
    <w:rsid w:val="00277A83"/>
    <w:rsid w:val="00277B28"/>
    <w:rsid w:val="0028168E"/>
    <w:rsid w:val="00281922"/>
    <w:rsid w:val="002819EE"/>
    <w:rsid w:val="00282AE9"/>
    <w:rsid w:val="00282C14"/>
    <w:rsid w:val="00283E98"/>
    <w:rsid w:val="002840D4"/>
    <w:rsid w:val="002841CA"/>
    <w:rsid w:val="0028567B"/>
    <w:rsid w:val="00285AD4"/>
    <w:rsid w:val="00286EFF"/>
    <w:rsid w:val="0028746C"/>
    <w:rsid w:val="00290472"/>
    <w:rsid w:val="00292A4D"/>
    <w:rsid w:val="00292BDA"/>
    <w:rsid w:val="00292DAA"/>
    <w:rsid w:val="00293067"/>
    <w:rsid w:val="00293362"/>
    <w:rsid w:val="00294107"/>
    <w:rsid w:val="00295B20"/>
    <w:rsid w:val="00296D5B"/>
    <w:rsid w:val="00297442"/>
    <w:rsid w:val="00297BAA"/>
    <w:rsid w:val="002A05F4"/>
    <w:rsid w:val="002A2580"/>
    <w:rsid w:val="002A29B8"/>
    <w:rsid w:val="002A2B2A"/>
    <w:rsid w:val="002A4EE1"/>
    <w:rsid w:val="002A5716"/>
    <w:rsid w:val="002A654E"/>
    <w:rsid w:val="002A6790"/>
    <w:rsid w:val="002A6CA7"/>
    <w:rsid w:val="002A736D"/>
    <w:rsid w:val="002A74C9"/>
    <w:rsid w:val="002A79BD"/>
    <w:rsid w:val="002A7D41"/>
    <w:rsid w:val="002A7EC1"/>
    <w:rsid w:val="002A7EF0"/>
    <w:rsid w:val="002B026D"/>
    <w:rsid w:val="002B0DA9"/>
    <w:rsid w:val="002B101B"/>
    <w:rsid w:val="002B3C99"/>
    <w:rsid w:val="002B6393"/>
    <w:rsid w:val="002B6419"/>
    <w:rsid w:val="002B69B6"/>
    <w:rsid w:val="002B6D2C"/>
    <w:rsid w:val="002B71D6"/>
    <w:rsid w:val="002B7893"/>
    <w:rsid w:val="002C2702"/>
    <w:rsid w:val="002C325B"/>
    <w:rsid w:val="002C3CF1"/>
    <w:rsid w:val="002C41A4"/>
    <w:rsid w:val="002C48F0"/>
    <w:rsid w:val="002C61EA"/>
    <w:rsid w:val="002C66D4"/>
    <w:rsid w:val="002C66E0"/>
    <w:rsid w:val="002C6C36"/>
    <w:rsid w:val="002C70B7"/>
    <w:rsid w:val="002C7596"/>
    <w:rsid w:val="002D03CE"/>
    <w:rsid w:val="002D05AA"/>
    <w:rsid w:val="002D0BB6"/>
    <w:rsid w:val="002D0DC2"/>
    <w:rsid w:val="002D2687"/>
    <w:rsid w:val="002D2992"/>
    <w:rsid w:val="002D3D35"/>
    <w:rsid w:val="002D3DAF"/>
    <w:rsid w:val="002D3EC3"/>
    <w:rsid w:val="002D41D8"/>
    <w:rsid w:val="002D4225"/>
    <w:rsid w:val="002D462F"/>
    <w:rsid w:val="002D48FC"/>
    <w:rsid w:val="002D5AA1"/>
    <w:rsid w:val="002D5CB8"/>
    <w:rsid w:val="002D6478"/>
    <w:rsid w:val="002D6A66"/>
    <w:rsid w:val="002D7B04"/>
    <w:rsid w:val="002D7B9B"/>
    <w:rsid w:val="002D7CCA"/>
    <w:rsid w:val="002D7F1A"/>
    <w:rsid w:val="002E02C1"/>
    <w:rsid w:val="002E2040"/>
    <w:rsid w:val="002E20C7"/>
    <w:rsid w:val="002E30CD"/>
    <w:rsid w:val="002E39C1"/>
    <w:rsid w:val="002E3BB1"/>
    <w:rsid w:val="002E3F3C"/>
    <w:rsid w:val="002E4205"/>
    <w:rsid w:val="002E420C"/>
    <w:rsid w:val="002E4392"/>
    <w:rsid w:val="002E4D7B"/>
    <w:rsid w:val="002E4E5C"/>
    <w:rsid w:val="002E5A5B"/>
    <w:rsid w:val="002E5DFE"/>
    <w:rsid w:val="002E70B2"/>
    <w:rsid w:val="002E7837"/>
    <w:rsid w:val="002F04B8"/>
    <w:rsid w:val="002F23FF"/>
    <w:rsid w:val="002F2B02"/>
    <w:rsid w:val="002F30C7"/>
    <w:rsid w:val="002F38BD"/>
    <w:rsid w:val="002F3ED3"/>
    <w:rsid w:val="002F463F"/>
    <w:rsid w:val="002F56A2"/>
    <w:rsid w:val="002F5C05"/>
    <w:rsid w:val="002F5CA8"/>
    <w:rsid w:val="002F60A4"/>
    <w:rsid w:val="002F69E2"/>
    <w:rsid w:val="002F7079"/>
    <w:rsid w:val="003002BD"/>
    <w:rsid w:val="00300864"/>
    <w:rsid w:val="00302C56"/>
    <w:rsid w:val="00302CE7"/>
    <w:rsid w:val="00303CB7"/>
    <w:rsid w:val="00305604"/>
    <w:rsid w:val="00305B5F"/>
    <w:rsid w:val="00305D11"/>
    <w:rsid w:val="00306673"/>
    <w:rsid w:val="0030690B"/>
    <w:rsid w:val="00306FF9"/>
    <w:rsid w:val="0030724F"/>
    <w:rsid w:val="00307393"/>
    <w:rsid w:val="00307855"/>
    <w:rsid w:val="00307DFA"/>
    <w:rsid w:val="00310B1D"/>
    <w:rsid w:val="00311382"/>
    <w:rsid w:val="003118DB"/>
    <w:rsid w:val="00311A9D"/>
    <w:rsid w:val="00311ED8"/>
    <w:rsid w:val="00312050"/>
    <w:rsid w:val="0031334D"/>
    <w:rsid w:val="00313AAA"/>
    <w:rsid w:val="00313AE2"/>
    <w:rsid w:val="00315623"/>
    <w:rsid w:val="00315DA1"/>
    <w:rsid w:val="00316077"/>
    <w:rsid w:val="003168A9"/>
    <w:rsid w:val="00316AFC"/>
    <w:rsid w:val="0031757B"/>
    <w:rsid w:val="00317ACE"/>
    <w:rsid w:val="00320A1C"/>
    <w:rsid w:val="00320B3B"/>
    <w:rsid w:val="00321093"/>
    <w:rsid w:val="00322121"/>
    <w:rsid w:val="00322975"/>
    <w:rsid w:val="00322A19"/>
    <w:rsid w:val="00323B8B"/>
    <w:rsid w:val="00323F56"/>
    <w:rsid w:val="00324292"/>
    <w:rsid w:val="00325165"/>
    <w:rsid w:val="00325E97"/>
    <w:rsid w:val="00326A81"/>
    <w:rsid w:val="0033045B"/>
    <w:rsid w:val="00330741"/>
    <w:rsid w:val="00332BDE"/>
    <w:rsid w:val="0033432F"/>
    <w:rsid w:val="003347E1"/>
    <w:rsid w:val="003352F4"/>
    <w:rsid w:val="0033548E"/>
    <w:rsid w:val="00335496"/>
    <w:rsid w:val="0033567C"/>
    <w:rsid w:val="0033589A"/>
    <w:rsid w:val="00335ACF"/>
    <w:rsid w:val="00335C36"/>
    <w:rsid w:val="0033701B"/>
    <w:rsid w:val="00337E9A"/>
    <w:rsid w:val="003407C8"/>
    <w:rsid w:val="003416D3"/>
    <w:rsid w:val="003419EB"/>
    <w:rsid w:val="003436C9"/>
    <w:rsid w:val="0034425A"/>
    <w:rsid w:val="00344892"/>
    <w:rsid w:val="00346FB1"/>
    <w:rsid w:val="003502D7"/>
    <w:rsid w:val="00350D69"/>
    <w:rsid w:val="00350F14"/>
    <w:rsid w:val="003522EB"/>
    <w:rsid w:val="00355192"/>
    <w:rsid w:val="00361BF5"/>
    <w:rsid w:val="003622F1"/>
    <w:rsid w:val="00362BBD"/>
    <w:rsid w:val="00364673"/>
    <w:rsid w:val="003650E4"/>
    <w:rsid w:val="00365734"/>
    <w:rsid w:val="003701C0"/>
    <w:rsid w:val="00370C80"/>
    <w:rsid w:val="00370CB5"/>
    <w:rsid w:val="00371C71"/>
    <w:rsid w:val="00371C9F"/>
    <w:rsid w:val="003721D9"/>
    <w:rsid w:val="0037302B"/>
    <w:rsid w:val="00373922"/>
    <w:rsid w:val="00373CEA"/>
    <w:rsid w:val="003740F6"/>
    <w:rsid w:val="0037440B"/>
    <w:rsid w:val="003748B4"/>
    <w:rsid w:val="00375146"/>
    <w:rsid w:val="003751BE"/>
    <w:rsid w:val="003756FF"/>
    <w:rsid w:val="00375750"/>
    <w:rsid w:val="003771A6"/>
    <w:rsid w:val="003814E6"/>
    <w:rsid w:val="00382070"/>
    <w:rsid w:val="00383B19"/>
    <w:rsid w:val="003850E3"/>
    <w:rsid w:val="0038516D"/>
    <w:rsid w:val="003858EC"/>
    <w:rsid w:val="0038620A"/>
    <w:rsid w:val="003874D9"/>
    <w:rsid w:val="0038784F"/>
    <w:rsid w:val="0039127D"/>
    <w:rsid w:val="003912DE"/>
    <w:rsid w:val="003926C1"/>
    <w:rsid w:val="00393107"/>
    <w:rsid w:val="00393773"/>
    <w:rsid w:val="003950DD"/>
    <w:rsid w:val="003961BC"/>
    <w:rsid w:val="00397CA6"/>
    <w:rsid w:val="003A0086"/>
    <w:rsid w:val="003A0AF1"/>
    <w:rsid w:val="003A0CF2"/>
    <w:rsid w:val="003A1265"/>
    <w:rsid w:val="003A1EB0"/>
    <w:rsid w:val="003A24D5"/>
    <w:rsid w:val="003A26D1"/>
    <w:rsid w:val="003A760D"/>
    <w:rsid w:val="003A79D0"/>
    <w:rsid w:val="003B0242"/>
    <w:rsid w:val="003B1784"/>
    <w:rsid w:val="003B2E10"/>
    <w:rsid w:val="003B30BD"/>
    <w:rsid w:val="003B45BB"/>
    <w:rsid w:val="003B4A37"/>
    <w:rsid w:val="003B5DDD"/>
    <w:rsid w:val="003B60EF"/>
    <w:rsid w:val="003B7C6E"/>
    <w:rsid w:val="003C1574"/>
    <w:rsid w:val="003C2A92"/>
    <w:rsid w:val="003C3239"/>
    <w:rsid w:val="003C4570"/>
    <w:rsid w:val="003C45A2"/>
    <w:rsid w:val="003C56F3"/>
    <w:rsid w:val="003C5BD8"/>
    <w:rsid w:val="003C5F71"/>
    <w:rsid w:val="003D0316"/>
    <w:rsid w:val="003D072C"/>
    <w:rsid w:val="003D0A1B"/>
    <w:rsid w:val="003D0AE5"/>
    <w:rsid w:val="003D0DC0"/>
    <w:rsid w:val="003D1021"/>
    <w:rsid w:val="003D11EE"/>
    <w:rsid w:val="003D13B5"/>
    <w:rsid w:val="003D16BB"/>
    <w:rsid w:val="003D1C4D"/>
    <w:rsid w:val="003D2603"/>
    <w:rsid w:val="003D2CF2"/>
    <w:rsid w:val="003D4FC7"/>
    <w:rsid w:val="003D5F88"/>
    <w:rsid w:val="003D6B29"/>
    <w:rsid w:val="003D75E5"/>
    <w:rsid w:val="003D78D8"/>
    <w:rsid w:val="003E003A"/>
    <w:rsid w:val="003E0B5A"/>
    <w:rsid w:val="003E1368"/>
    <w:rsid w:val="003E18A2"/>
    <w:rsid w:val="003E1C11"/>
    <w:rsid w:val="003E28F2"/>
    <w:rsid w:val="003E2DDE"/>
    <w:rsid w:val="003E3C46"/>
    <w:rsid w:val="003E3C7B"/>
    <w:rsid w:val="003E3E82"/>
    <w:rsid w:val="003E4F2D"/>
    <w:rsid w:val="003E5C6F"/>
    <w:rsid w:val="003E5FAB"/>
    <w:rsid w:val="003E6273"/>
    <w:rsid w:val="003E7D70"/>
    <w:rsid w:val="003F0E71"/>
    <w:rsid w:val="003F2791"/>
    <w:rsid w:val="003F2CF8"/>
    <w:rsid w:val="003F31BB"/>
    <w:rsid w:val="003F36BA"/>
    <w:rsid w:val="003F75B5"/>
    <w:rsid w:val="003F7E61"/>
    <w:rsid w:val="004016F3"/>
    <w:rsid w:val="004022FB"/>
    <w:rsid w:val="00402649"/>
    <w:rsid w:val="004035AF"/>
    <w:rsid w:val="004038FA"/>
    <w:rsid w:val="0040443A"/>
    <w:rsid w:val="00404CA9"/>
    <w:rsid w:val="00404EFA"/>
    <w:rsid w:val="004053EE"/>
    <w:rsid w:val="0040647E"/>
    <w:rsid w:val="00406C7C"/>
    <w:rsid w:val="00406F63"/>
    <w:rsid w:val="00407ECD"/>
    <w:rsid w:val="00411602"/>
    <w:rsid w:val="004125E9"/>
    <w:rsid w:val="00412798"/>
    <w:rsid w:val="00416E6E"/>
    <w:rsid w:val="00417832"/>
    <w:rsid w:val="00417B82"/>
    <w:rsid w:val="00417DA6"/>
    <w:rsid w:val="00420598"/>
    <w:rsid w:val="00420B11"/>
    <w:rsid w:val="00421697"/>
    <w:rsid w:val="00421BEE"/>
    <w:rsid w:val="004220C4"/>
    <w:rsid w:val="004220F7"/>
    <w:rsid w:val="004228E4"/>
    <w:rsid w:val="00422C42"/>
    <w:rsid w:val="0042371E"/>
    <w:rsid w:val="0042562D"/>
    <w:rsid w:val="00425AEE"/>
    <w:rsid w:val="0042672F"/>
    <w:rsid w:val="004276E9"/>
    <w:rsid w:val="00430B24"/>
    <w:rsid w:val="00431083"/>
    <w:rsid w:val="004319F3"/>
    <w:rsid w:val="00431D06"/>
    <w:rsid w:val="00431D24"/>
    <w:rsid w:val="0043331E"/>
    <w:rsid w:val="0043363E"/>
    <w:rsid w:val="004337D7"/>
    <w:rsid w:val="00433B0B"/>
    <w:rsid w:val="004340A6"/>
    <w:rsid w:val="00435D39"/>
    <w:rsid w:val="004360EA"/>
    <w:rsid w:val="00436CD5"/>
    <w:rsid w:val="00437005"/>
    <w:rsid w:val="00437A5D"/>
    <w:rsid w:val="00440D02"/>
    <w:rsid w:val="004414AD"/>
    <w:rsid w:val="0044169F"/>
    <w:rsid w:val="0044210B"/>
    <w:rsid w:val="00444725"/>
    <w:rsid w:val="00444A14"/>
    <w:rsid w:val="0044586A"/>
    <w:rsid w:val="0044612B"/>
    <w:rsid w:val="0044636D"/>
    <w:rsid w:val="004479F5"/>
    <w:rsid w:val="004506F6"/>
    <w:rsid w:val="0045141F"/>
    <w:rsid w:val="00451586"/>
    <w:rsid w:val="00451F81"/>
    <w:rsid w:val="00452195"/>
    <w:rsid w:val="00452446"/>
    <w:rsid w:val="0045255D"/>
    <w:rsid w:val="004526E2"/>
    <w:rsid w:val="00452985"/>
    <w:rsid w:val="00452F68"/>
    <w:rsid w:val="0045394E"/>
    <w:rsid w:val="0045428A"/>
    <w:rsid w:val="004558E4"/>
    <w:rsid w:val="00456466"/>
    <w:rsid w:val="00456479"/>
    <w:rsid w:val="00456DCE"/>
    <w:rsid w:val="00456EDE"/>
    <w:rsid w:val="004600EB"/>
    <w:rsid w:val="00461122"/>
    <w:rsid w:val="00461BE6"/>
    <w:rsid w:val="00461FA8"/>
    <w:rsid w:val="0046292F"/>
    <w:rsid w:val="00462DF7"/>
    <w:rsid w:val="0046438E"/>
    <w:rsid w:val="004647C1"/>
    <w:rsid w:val="0046508D"/>
    <w:rsid w:val="00465B08"/>
    <w:rsid w:val="00466D80"/>
    <w:rsid w:val="00466E95"/>
    <w:rsid w:val="0047062A"/>
    <w:rsid w:val="00470CC5"/>
    <w:rsid w:val="004712FA"/>
    <w:rsid w:val="00472948"/>
    <w:rsid w:val="004729A7"/>
    <w:rsid w:val="0047331B"/>
    <w:rsid w:val="00473497"/>
    <w:rsid w:val="00473D9E"/>
    <w:rsid w:val="00474B75"/>
    <w:rsid w:val="00475944"/>
    <w:rsid w:val="00475B86"/>
    <w:rsid w:val="00476FB2"/>
    <w:rsid w:val="00477663"/>
    <w:rsid w:val="004777A9"/>
    <w:rsid w:val="004803A0"/>
    <w:rsid w:val="00480758"/>
    <w:rsid w:val="00480E22"/>
    <w:rsid w:val="00483552"/>
    <w:rsid w:val="00483E45"/>
    <w:rsid w:val="00483F20"/>
    <w:rsid w:val="00485857"/>
    <w:rsid w:val="00486761"/>
    <w:rsid w:val="00486DB5"/>
    <w:rsid w:val="00487259"/>
    <w:rsid w:val="00490974"/>
    <w:rsid w:val="00491040"/>
    <w:rsid w:val="004916E4"/>
    <w:rsid w:val="00493253"/>
    <w:rsid w:val="00493492"/>
    <w:rsid w:val="00493856"/>
    <w:rsid w:val="00493A81"/>
    <w:rsid w:val="00495723"/>
    <w:rsid w:val="0049609B"/>
    <w:rsid w:val="0049679A"/>
    <w:rsid w:val="00497387"/>
    <w:rsid w:val="004A0082"/>
    <w:rsid w:val="004A0662"/>
    <w:rsid w:val="004A0C73"/>
    <w:rsid w:val="004A12EF"/>
    <w:rsid w:val="004A23C8"/>
    <w:rsid w:val="004A2BD8"/>
    <w:rsid w:val="004A31BF"/>
    <w:rsid w:val="004A4137"/>
    <w:rsid w:val="004A432B"/>
    <w:rsid w:val="004A4D81"/>
    <w:rsid w:val="004A6D05"/>
    <w:rsid w:val="004B1817"/>
    <w:rsid w:val="004B1AD5"/>
    <w:rsid w:val="004B2B0F"/>
    <w:rsid w:val="004B2BEC"/>
    <w:rsid w:val="004B3122"/>
    <w:rsid w:val="004B341F"/>
    <w:rsid w:val="004B38FD"/>
    <w:rsid w:val="004B502C"/>
    <w:rsid w:val="004B5FE3"/>
    <w:rsid w:val="004B61D6"/>
    <w:rsid w:val="004B630B"/>
    <w:rsid w:val="004B65E0"/>
    <w:rsid w:val="004B6955"/>
    <w:rsid w:val="004C04D7"/>
    <w:rsid w:val="004C04F2"/>
    <w:rsid w:val="004C06BB"/>
    <w:rsid w:val="004C0A3F"/>
    <w:rsid w:val="004C13F1"/>
    <w:rsid w:val="004C15AF"/>
    <w:rsid w:val="004C19D2"/>
    <w:rsid w:val="004C228B"/>
    <w:rsid w:val="004C3842"/>
    <w:rsid w:val="004C3D13"/>
    <w:rsid w:val="004C5AB8"/>
    <w:rsid w:val="004C5AEC"/>
    <w:rsid w:val="004C69DA"/>
    <w:rsid w:val="004C6C9D"/>
    <w:rsid w:val="004C77A4"/>
    <w:rsid w:val="004C790F"/>
    <w:rsid w:val="004D0454"/>
    <w:rsid w:val="004D0742"/>
    <w:rsid w:val="004D1074"/>
    <w:rsid w:val="004D1476"/>
    <w:rsid w:val="004D25C0"/>
    <w:rsid w:val="004D25E7"/>
    <w:rsid w:val="004D32FB"/>
    <w:rsid w:val="004D5493"/>
    <w:rsid w:val="004D6743"/>
    <w:rsid w:val="004D7C4F"/>
    <w:rsid w:val="004E0499"/>
    <w:rsid w:val="004E0D4D"/>
    <w:rsid w:val="004E1017"/>
    <w:rsid w:val="004E1354"/>
    <w:rsid w:val="004E18F3"/>
    <w:rsid w:val="004E2617"/>
    <w:rsid w:val="004E37A1"/>
    <w:rsid w:val="004E39FB"/>
    <w:rsid w:val="004E4A5B"/>
    <w:rsid w:val="004E4BCA"/>
    <w:rsid w:val="004E52B8"/>
    <w:rsid w:val="004E6554"/>
    <w:rsid w:val="004E6DA5"/>
    <w:rsid w:val="004E7D15"/>
    <w:rsid w:val="004E7E30"/>
    <w:rsid w:val="004F083C"/>
    <w:rsid w:val="004F0BC3"/>
    <w:rsid w:val="004F14B6"/>
    <w:rsid w:val="004F38F1"/>
    <w:rsid w:val="004F3E28"/>
    <w:rsid w:val="004F4739"/>
    <w:rsid w:val="004F4E06"/>
    <w:rsid w:val="004F5018"/>
    <w:rsid w:val="004F681D"/>
    <w:rsid w:val="004F6C1A"/>
    <w:rsid w:val="004F7225"/>
    <w:rsid w:val="004F738A"/>
    <w:rsid w:val="004F73EF"/>
    <w:rsid w:val="004F7E83"/>
    <w:rsid w:val="004F7EDD"/>
    <w:rsid w:val="0050164F"/>
    <w:rsid w:val="005017FB"/>
    <w:rsid w:val="0050448D"/>
    <w:rsid w:val="00504FCC"/>
    <w:rsid w:val="00505CE7"/>
    <w:rsid w:val="005077D8"/>
    <w:rsid w:val="00507C30"/>
    <w:rsid w:val="005100DC"/>
    <w:rsid w:val="005107A7"/>
    <w:rsid w:val="00511CA0"/>
    <w:rsid w:val="00511FF6"/>
    <w:rsid w:val="0051297D"/>
    <w:rsid w:val="00513A0E"/>
    <w:rsid w:val="00513CC1"/>
    <w:rsid w:val="005142AC"/>
    <w:rsid w:val="005147C2"/>
    <w:rsid w:val="00515C01"/>
    <w:rsid w:val="00515C05"/>
    <w:rsid w:val="00521570"/>
    <w:rsid w:val="00521A3E"/>
    <w:rsid w:val="00522A2D"/>
    <w:rsid w:val="005235DF"/>
    <w:rsid w:val="00524055"/>
    <w:rsid w:val="005242C9"/>
    <w:rsid w:val="005245F6"/>
    <w:rsid w:val="0052596F"/>
    <w:rsid w:val="0052609D"/>
    <w:rsid w:val="005267A3"/>
    <w:rsid w:val="005267DE"/>
    <w:rsid w:val="00526A04"/>
    <w:rsid w:val="005273A8"/>
    <w:rsid w:val="00527517"/>
    <w:rsid w:val="00530D92"/>
    <w:rsid w:val="005315EE"/>
    <w:rsid w:val="005322FF"/>
    <w:rsid w:val="00532751"/>
    <w:rsid w:val="0053300B"/>
    <w:rsid w:val="00533437"/>
    <w:rsid w:val="0053399F"/>
    <w:rsid w:val="0053447D"/>
    <w:rsid w:val="00534955"/>
    <w:rsid w:val="005359D0"/>
    <w:rsid w:val="00535C14"/>
    <w:rsid w:val="005375F0"/>
    <w:rsid w:val="00537F4C"/>
    <w:rsid w:val="0054091D"/>
    <w:rsid w:val="005413EA"/>
    <w:rsid w:val="00541433"/>
    <w:rsid w:val="0054159B"/>
    <w:rsid w:val="005423EC"/>
    <w:rsid w:val="005424A8"/>
    <w:rsid w:val="00545319"/>
    <w:rsid w:val="00545877"/>
    <w:rsid w:val="00545EFF"/>
    <w:rsid w:val="00546495"/>
    <w:rsid w:val="00546F33"/>
    <w:rsid w:val="0054723E"/>
    <w:rsid w:val="00547537"/>
    <w:rsid w:val="00550D28"/>
    <w:rsid w:val="00551A2B"/>
    <w:rsid w:val="0055283F"/>
    <w:rsid w:val="0055401E"/>
    <w:rsid w:val="0055478F"/>
    <w:rsid w:val="005552D3"/>
    <w:rsid w:val="00556924"/>
    <w:rsid w:val="00557AD9"/>
    <w:rsid w:val="00560C3C"/>
    <w:rsid w:val="00561BED"/>
    <w:rsid w:val="00561E4C"/>
    <w:rsid w:val="00562ED9"/>
    <w:rsid w:val="00563F12"/>
    <w:rsid w:val="00564770"/>
    <w:rsid w:val="005666FB"/>
    <w:rsid w:val="00571F16"/>
    <w:rsid w:val="00573342"/>
    <w:rsid w:val="005738EC"/>
    <w:rsid w:val="00573B42"/>
    <w:rsid w:val="00574196"/>
    <w:rsid w:val="00574769"/>
    <w:rsid w:val="00574974"/>
    <w:rsid w:val="0057502F"/>
    <w:rsid w:val="005751F9"/>
    <w:rsid w:val="00577491"/>
    <w:rsid w:val="00580099"/>
    <w:rsid w:val="00580566"/>
    <w:rsid w:val="005807C8"/>
    <w:rsid w:val="00580D08"/>
    <w:rsid w:val="005811FF"/>
    <w:rsid w:val="00581A91"/>
    <w:rsid w:val="00582726"/>
    <w:rsid w:val="00582ABD"/>
    <w:rsid w:val="0058364B"/>
    <w:rsid w:val="0058374A"/>
    <w:rsid w:val="00585073"/>
    <w:rsid w:val="005851D3"/>
    <w:rsid w:val="00585DDC"/>
    <w:rsid w:val="00586682"/>
    <w:rsid w:val="00586F8A"/>
    <w:rsid w:val="00587042"/>
    <w:rsid w:val="00587B7C"/>
    <w:rsid w:val="00590FC6"/>
    <w:rsid w:val="005911FF"/>
    <w:rsid w:val="00591992"/>
    <w:rsid w:val="00593146"/>
    <w:rsid w:val="00593741"/>
    <w:rsid w:val="00594764"/>
    <w:rsid w:val="00596DC3"/>
    <w:rsid w:val="005971D8"/>
    <w:rsid w:val="005978E5"/>
    <w:rsid w:val="00597A33"/>
    <w:rsid w:val="005A0724"/>
    <w:rsid w:val="005A0B34"/>
    <w:rsid w:val="005A14E7"/>
    <w:rsid w:val="005A1B26"/>
    <w:rsid w:val="005A1D58"/>
    <w:rsid w:val="005A1DC2"/>
    <w:rsid w:val="005A28A6"/>
    <w:rsid w:val="005A2FDA"/>
    <w:rsid w:val="005A30E2"/>
    <w:rsid w:val="005A417F"/>
    <w:rsid w:val="005A448F"/>
    <w:rsid w:val="005A46A4"/>
    <w:rsid w:val="005A52AC"/>
    <w:rsid w:val="005A7E20"/>
    <w:rsid w:val="005B0741"/>
    <w:rsid w:val="005B0EE7"/>
    <w:rsid w:val="005B1B1E"/>
    <w:rsid w:val="005B2503"/>
    <w:rsid w:val="005B3DB1"/>
    <w:rsid w:val="005B44F0"/>
    <w:rsid w:val="005B5931"/>
    <w:rsid w:val="005B5BD3"/>
    <w:rsid w:val="005B61AF"/>
    <w:rsid w:val="005B65C4"/>
    <w:rsid w:val="005B6C16"/>
    <w:rsid w:val="005C019E"/>
    <w:rsid w:val="005C0451"/>
    <w:rsid w:val="005C098F"/>
    <w:rsid w:val="005C0E8E"/>
    <w:rsid w:val="005C3324"/>
    <w:rsid w:val="005C3A39"/>
    <w:rsid w:val="005C3C3C"/>
    <w:rsid w:val="005C3C4C"/>
    <w:rsid w:val="005C3DBC"/>
    <w:rsid w:val="005C48D0"/>
    <w:rsid w:val="005C492D"/>
    <w:rsid w:val="005C4B88"/>
    <w:rsid w:val="005C53CE"/>
    <w:rsid w:val="005C60E0"/>
    <w:rsid w:val="005C6D93"/>
    <w:rsid w:val="005D116E"/>
    <w:rsid w:val="005D137C"/>
    <w:rsid w:val="005D2CA4"/>
    <w:rsid w:val="005D2EEA"/>
    <w:rsid w:val="005D3022"/>
    <w:rsid w:val="005D355D"/>
    <w:rsid w:val="005D38D4"/>
    <w:rsid w:val="005D3F52"/>
    <w:rsid w:val="005D42EB"/>
    <w:rsid w:val="005D4616"/>
    <w:rsid w:val="005D4D88"/>
    <w:rsid w:val="005D4E5B"/>
    <w:rsid w:val="005D60A2"/>
    <w:rsid w:val="005D633D"/>
    <w:rsid w:val="005D6FA4"/>
    <w:rsid w:val="005D79AA"/>
    <w:rsid w:val="005E0C04"/>
    <w:rsid w:val="005E0D2B"/>
    <w:rsid w:val="005E130D"/>
    <w:rsid w:val="005E1B51"/>
    <w:rsid w:val="005E22D7"/>
    <w:rsid w:val="005E27EE"/>
    <w:rsid w:val="005E2971"/>
    <w:rsid w:val="005E2AD5"/>
    <w:rsid w:val="005E3B4E"/>
    <w:rsid w:val="005E3D85"/>
    <w:rsid w:val="005E425C"/>
    <w:rsid w:val="005E4A93"/>
    <w:rsid w:val="005E595A"/>
    <w:rsid w:val="005E5D31"/>
    <w:rsid w:val="005E663A"/>
    <w:rsid w:val="005E6D13"/>
    <w:rsid w:val="005E77C9"/>
    <w:rsid w:val="005F1F48"/>
    <w:rsid w:val="005F4039"/>
    <w:rsid w:val="005F4D3C"/>
    <w:rsid w:val="005F53CC"/>
    <w:rsid w:val="005F78CA"/>
    <w:rsid w:val="006000E6"/>
    <w:rsid w:val="00600358"/>
    <w:rsid w:val="006005BE"/>
    <w:rsid w:val="00600CD2"/>
    <w:rsid w:val="00605440"/>
    <w:rsid w:val="00605AB4"/>
    <w:rsid w:val="00607A60"/>
    <w:rsid w:val="006107F8"/>
    <w:rsid w:val="00610B2B"/>
    <w:rsid w:val="00610DCF"/>
    <w:rsid w:val="0061133A"/>
    <w:rsid w:val="00612061"/>
    <w:rsid w:val="00612384"/>
    <w:rsid w:val="00613741"/>
    <w:rsid w:val="00614CCA"/>
    <w:rsid w:val="00615CB4"/>
    <w:rsid w:val="00615EFE"/>
    <w:rsid w:val="0061649B"/>
    <w:rsid w:val="00616CE1"/>
    <w:rsid w:val="006172DA"/>
    <w:rsid w:val="00620422"/>
    <w:rsid w:val="00620C34"/>
    <w:rsid w:val="006213A7"/>
    <w:rsid w:val="00621DC3"/>
    <w:rsid w:val="00622420"/>
    <w:rsid w:val="00623F60"/>
    <w:rsid w:val="0062433C"/>
    <w:rsid w:val="0062466A"/>
    <w:rsid w:val="00625B58"/>
    <w:rsid w:val="00626808"/>
    <w:rsid w:val="006311B6"/>
    <w:rsid w:val="00631314"/>
    <w:rsid w:val="00631EB8"/>
    <w:rsid w:val="006328E5"/>
    <w:rsid w:val="00632CFD"/>
    <w:rsid w:val="00633684"/>
    <w:rsid w:val="006338C0"/>
    <w:rsid w:val="0063410D"/>
    <w:rsid w:val="006365DC"/>
    <w:rsid w:val="006367F4"/>
    <w:rsid w:val="00636819"/>
    <w:rsid w:val="00636868"/>
    <w:rsid w:val="00640F0C"/>
    <w:rsid w:val="00641765"/>
    <w:rsid w:val="00641DE9"/>
    <w:rsid w:val="00643E4D"/>
    <w:rsid w:val="006440DF"/>
    <w:rsid w:val="006444CE"/>
    <w:rsid w:val="00644525"/>
    <w:rsid w:val="006448B5"/>
    <w:rsid w:val="006458FD"/>
    <w:rsid w:val="00646D26"/>
    <w:rsid w:val="0064705F"/>
    <w:rsid w:val="006477B8"/>
    <w:rsid w:val="00647F18"/>
    <w:rsid w:val="00650D4C"/>
    <w:rsid w:val="0065113C"/>
    <w:rsid w:val="0065217E"/>
    <w:rsid w:val="00653225"/>
    <w:rsid w:val="00653D32"/>
    <w:rsid w:val="006600FB"/>
    <w:rsid w:val="0066056D"/>
    <w:rsid w:val="00661396"/>
    <w:rsid w:val="00662135"/>
    <w:rsid w:val="00663055"/>
    <w:rsid w:val="00663260"/>
    <w:rsid w:val="00663FA1"/>
    <w:rsid w:val="0066431A"/>
    <w:rsid w:val="00664367"/>
    <w:rsid w:val="0066494D"/>
    <w:rsid w:val="00664BA2"/>
    <w:rsid w:val="00665494"/>
    <w:rsid w:val="0066767A"/>
    <w:rsid w:val="00672A0E"/>
    <w:rsid w:val="006755D6"/>
    <w:rsid w:val="00675799"/>
    <w:rsid w:val="00675B7D"/>
    <w:rsid w:val="00675C5E"/>
    <w:rsid w:val="00675CFB"/>
    <w:rsid w:val="00676F1D"/>
    <w:rsid w:val="00677C39"/>
    <w:rsid w:val="00680247"/>
    <w:rsid w:val="00680900"/>
    <w:rsid w:val="00681531"/>
    <w:rsid w:val="00683210"/>
    <w:rsid w:val="006847DE"/>
    <w:rsid w:val="00684A41"/>
    <w:rsid w:val="0068510C"/>
    <w:rsid w:val="00685A51"/>
    <w:rsid w:val="00686994"/>
    <w:rsid w:val="00686A10"/>
    <w:rsid w:val="0068778A"/>
    <w:rsid w:val="006877F4"/>
    <w:rsid w:val="00690EA2"/>
    <w:rsid w:val="00691F69"/>
    <w:rsid w:val="00691FF8"/>
    <w:rsid w:val="00692349"/>
    <w:rsid w:val="00692D61"/>
    <w:rsid w:val="00692F1F"/>
    <w:rsid w:val="006936E2"/>
    <w:rsid w:val="006947E8"/>
    <w:rsid w:val="00694893"/>
    <w:rsid w:val="0069551B"/>
    <w:rsid w:val="00696379"/>
    <w:rsid w:val="00697081"/>
    <w:rsid w:val="006973B3"/>
    <w:rsid w:val="00697648"/>
    <w:rsid w:val="00697FF1"/>
    <w:rsid w:val="006A0C52"/>
    <w:rsid w:val="006A0EC6"/>
    <w:rsid w:val="006A1D99"/>
    <w:rsid w:val="006A3751"/>
    <w:rsid w:val="006A498D"/>
    <w:rsid w:val="006A498E"/>
    <w:rsid w:val="006A4A75"/>
    <w:rsid w:val="006A60A6"/>
    <w:rsid w:val="006A686F"/>
    <w:rsid w:val="006A6CF5"/>
    <w:rsid w:val="006A736E"/>
    <w:rsid w:val="006A7894"/>
    <w:rsid w:val="006A7BCB"/>
    <w:rsid w:val="006B268E"/>
    <w:rsid w:val="006B3455"/>
    <w:rsid w:val="006B4619"/>
    <w:rsid w:val="006B5148"/>
    <w:rsid w:val="006B51E8"/>
    <w:rsid w:val="006C0A4D"/>
    <w:rsid w:val="006C17E0"/>
    <w:rsid w:val="006C1E3E"/>
    <w:rsid w:val="006C2A8A"/>
    <w:rsid w:val="006C3308"/>
    <w:rsid w:val="006C5386"/>
    <w:rsid w:val="006C54DE"/>
    <w:rsid w:val="006C6211"/>
    <w:rsid w:val="006C7D51"/>
    <w:rsid w:val="006D0A22"/>
    <w:rsid w:val="006D1106"/>
    <w:rsid w:val="006D184F"/>
    <w:rsid w:val="006D1DB6"/>
    <w:rsid w:val="006D1F00"/>
    <w:rsid w:val="006D1F5B"/>
    <w:rsid w:val="006D1FC7"/>
    <w:rsid w:val="006D2E03"/>
    <w:rsid w:val="006D305E"/>
    <w:rsid w:val="006D3301"/>
    <w:rsid w:val="006D3DBB"/>
    <w:rsid w:val="006D43AA"/>
    <w:rsid w:val="006D44C1"/>
    <w:rsid w:val="006D44CC"/>
    <w:rsid w:val="006D5D3F"/>
    <w:rsid w:val="006D60BF"/>
    <w:rsid w:val="006D6B26"/>
    <w:rsid w:val="006D6BCE"/>
    <w:rsid w:val="006D6E80"/>
    <w:rsid w:val="006E06FA"/>
    <w:rsid w:val="006E09E6"/>
    <w:rsid w:val="006E0A49"/>
    <w:rsid w:val="006E0DBC"/>
    <w:rsid w:val="006E0F01"/>
    <w:rsid w:val="006E0F87"/>
    <w:rsid w:val="006E25B4"/>
    <w:rsid w:val="006E408A"/>
    <w:rsid w:val="006E5D51"/>
    <w:rsid w:val="006E66B3"/>
    <w:rsid w:val="006E6931"/>
    <w:rsid w:val="006E6C58"/>
    <w:rsid w:val="006E6FEE"/>
    <w:rsid w:val="006E73D3"/>
    <w:rsid w:val="006E73FB"/>
    <w:rsid w:val="006E75C2"/>
    <w:rsid w:val="006F0C7F"/>
    <w:rsid w:val="006F15FF"/>
    <w:rsid w:val="006F18D1"/>
    <w:rsid w:val="006F1B66"/>
    <w:rsid w:val="006F1FFA"/>
    <w:rsid w:val="006F2410"/>
    <w:rsid w:val="006F28F5"/>
    <w:rsid w:val="006F3190"/>
    <w:rsid w:val="006F3A0D"/>
    <w:rsid w:val="006F4403"/>
    <w:rsid w:val="006F4941"/>
    <w:rsid w:val="006F5505"/>
    <w:rsid w:val="006F574D"/>
    <w:rsid w:val="006F684E"/>
    <w:rsid w:val="006F7826"/>
    <w:rsid w:val="00701893"/>
    <w:rsid w:val="00701ABA"/>
    <w:rsid w:val="00701D52"/>
    <w:rsid w:val="00701FA0"/>
    <w:rsid w:val="007044AE"/>
    <w:rsid w:val="00705409"/>
    <w:rsid w:val="007071D2"/>
    <w:rsid w:val="0070777B"/>
    <w:rsid w:val="00707952"/>
    <w:rsid w:val="00711049"/>
    <w:rsid w:val="00712232"/>
    <w:rsid w:val="007135C0"/>
    <w:rsid w:val="007136FA"/>
    <w:rsid w:val="007137F4"/>
    <w:rsid w:val="00713AF2"/>
    <w:rsid w:val="00714018"/>
    <w:rsid w:val="00714375"/>
    <w:rsid w:val="00714ED3"/>
    <w:rsid w:val="00715ABA"/>
    <w:rsid w:val="007167D5"/>
    <w:rsid w:val="00716929"/>
    <w:rsid w:val="00716EF0"/>
    <w:rsid w:val="0071740B"/>
    <w:rsid w:val="0071783D"/>
    <w:rsid w:val="0072008B"/>
    <w:rsid w:val="0072089A"/>
    <w:rsid w:val="007208C5"/>
    <w:rsid w:val="00721602"/>
    <w:rsid w:val="007218C6"/>
    <w:rsid w:val="00721E86"/>
    <w:rsid w:val="007226B4"/>
    <w:rsid w:val="00722B58"/>
    <w:rsid w:val="0072376A"/>
    <w:rsid w:val="00723920"/>
    <w:rsid w:val="007240B9"/>
    <w:rsid w:val="007244FF"/>
    <w:rsid w:val="00724FA7"/>
    <w:rsid w:val="007253B6"/>
    <w:rsid w:val="00726469"/>
    <w:rsid w:val="007265CA"/>
    <w:rsid w:val="0072706C"/>
    <w:rsid w:val="00727AFD"/>
    <w:rsid w:val="00731463"/>
    <w:rsid w:val="0073151F"/>
    <w:rsid w:val="0073161E"/>
    <w:rsid w:val="00731A62"/>
    <w:rsid w:val="00733921"/>
    <w:rsid w:val="00734B7A"/>
    <w:rsid w:val="00736815"/>
    <w:rsid w:val="00736A89"/>
    <w:rsid w:val="0073753E"/>
    <w:rsid w:val="00737924"/>
    <w:rsid w:val="00737AD1"/>
    <w:rsid w:val="00740594"/>
    <w:rsid w:val="007410A0"/>
    <w:rsid w:val="00741489"/>
    <w:rsid w:val="00742A68"/>
    <w:rsid w:val="0074301D"/>
    <w:rsid w:val="00743763"/>
    <w:rsid w:val="00743A99"/>
    <w:rsid w:val="007447C8"/>
    <w:rsid w:val="00745E30"/>
    <w:rsid w:val="00746090"/>
    <w:rsid w:val="007476C3"/>
    <w:rsid w:val="00750CB2"/>
    <w:rsid w:val="00750FBE"/>
    <w:rsid w:val="00751609"/>
    <w:rsid w:val="007530B4"/>
    <w:rsid w:val="007531D4"/>
    <w:rsid w:val="00753925"/>
    <w:rsid w:val="00753EFF"/>
    <w:rsid w:val="0075424C"/>
    <w:rsid w:val="00754EAB"/>
    <w:rsid w:val="00755A9F"/>
    <w:rsid w:val="00757303"/>
    <w:rsid w:val="0075738D"/>
    <w:rsid w:val="00760757"/>
    <w:rsid w:val="00760AC5"/>
    <w:rsid w:val="00762944"/>
    <w:rsid w:val="0076315E"/>
    <w:rsid w:val="00765E72"/>
    <w:rsid w:val="007702F3"/>
    <w:rsid w:val="00770E72"/>
    <w:rsid w:val="0077130D"/>
    <w:rsid w:val="00771D6C"/>
    <w:rsid w:val="00772402"/>
    <w:rsid w:val="00772CE3"/>
    <w:rsid w:val="00773DD7"/>
    <w:rsid w:val="00773ED1"/>
    <w:rsid w:val="007749B7"/>
    <w:rsid w:val="00774FF0"/>
    <w:rsid w:val="007759F8"/>
    <w:rsid w:val="00775AE8"/>
    <w:rsid w:val="00776416"/>
    <w:rsid w:val="00776B9A"/>
    <w:rsid w:val="007804BB"/>
    <w:rsid w:val="007810B8"/>
    <w:rsid w:val="0078157C"/>
    <w:rsid w:val="00781B1B"/>
    <w:rsid w:val="007827F6"/>
    <w:rsid w:val="00782E31"/>
    <w:rsid w:val="00783137"/>
    <w:rsid w:val="00784453"/>
    <w:rsid w:val="00784E37"/>
    <w:rsid w:val="00786009"/>
    <w:rsid w:val="007866B1"/>
    <w:rsid w:val="00790189"/>
    <w:rsid w:val="00790C22"/>
    <w:rsid w:val="007912BC"/>
    <w:rsid w:val="007915C9"/>
    <w:rsid w:val="00792CEB"/>
    <w:rsid w:val="00792FDA"/>
    <w:rsid w:val="007930A2"/>
    <w:rsid w:val="007957C0"/>
    <w:rsid w:val="00795B39"/>
    <w:rsid w:val="007966FE"/>
    <w:rsid w:val="007A1473"/>
    <w:rsid w:val="007A3C46"/>
    <w:rsid w:val="007A442D"/>
    <w:rsid w:val="007A5F45"/>
    <w:rsid w:val="007A5F9A"/>
    <w:rsid w:val="007A6B8F"/>
    <w:rsid w:val="007A6DCD"/>
    <w:rsid w:val="007A70C5"/>
    <w:rsid w:val="007A78C8"/>
    <w:rsid w:val="007A7AB6"/>
    <w:rsid w:val="007B12F3"/>
    <w:rsid w:val="007B1FCE"/>
    <w:rsid w:val="007B2125"/>
    <w:rsid w:val="007B24CF"/>
    <w:rsid w:val="007B3353"/>
    <w:rsid w:val="007B3ABD"/>
    <w:rsid w:val="007B3E41"/>
    <w:rsid w:val="007B503D"/>
    <w:rsid w:val="007B5B32"/>
    <w:rsid w:val="007B5FE6"/>
    <w:rsid w:val="007B620D"/>
    <w:rsid w:val="007B6A36"/>
    <w:rsid w:val="007C029C"/>
    <w:rsid w:val="007C06ED"/>
    <w:rsid w:val="007C074D"/>
    <w:rsid w:val="007C0B37"/>
    <w:rsid w:val="007C1B82"/>
    <w:rsid w:val="007C336F"/>
    <w:rsid w:val="007C3F32"/>
    <w:rsid w:val="007C49AF"/>
    <w:rsid w:val="007C61BF"/>
    <w:rsid w:val="007C7A55"/>
    <w:rsid w:val="007C7ACA"/>
    <w:rsid w:val="007D03C5"/>
    <w:rsid w:val="007D0840"/>
    <w:rsid w:val="007D08E7"/>
    <w:rsid w:val="007D106D"/>
    <w:rsid w:val="007D1E34"/>
    <w:rsid w:val="007D2979"/>
    <w:rsid w:val="007D4D63"/>
    <w:rsid w:val="007D5E05"/>
    <w:rsid w:val="007D618C"/>
    <w:rsid w:val="007D7E96"/>
    <w:rsid w:val="007E0025"/>
    <w:rsid w:val="007E03B1"/>
    <w:rsid w:val="007E20C3"/>
    <w:rsid w:val="007E2946"/>
    <w:rsid w:val="007E3523"/>
    <w:rsid w:val="007E36E5"/>
    <w:rsid w:val="007E3FBD"/>
    <w:rsid w:val="007E444C"/>
    <w:rsid w:val="007E4E1A"/>
    <w:rsid w:val="007E51FB"/>
    <w:rsid w:val="007E5A57"/>
    <w:rsid w:val="007E62AF"/>
    <w:rsid w:val="007E7ED6"/>
    <w:rsid w:val="007F173C"/>
    <w:rsid w:val="007F288C"/>
    <w:rsid w:val="007F3C48"/>
    <w:rsid w:val="007F415C"/>
    <w:rsid w:val="007F46B2"/>
    <w:rsid w:val="007F528B"/>
    <w:rsid w:val="007F5B20"/>
    <w:rsid w:val="007F5DD5"/>
    <w:rsid w:val="007F6082"/>
    <w:rsid w:val="00801385"/>
    <w:rsid w:val="0080186C"/>
    <w:rsid w:val="008043CB"/>
    <w:rsid w:val="008046C1"/>
    <w:rsid w:val="00805D5C"/>
    <w:rsid w:val="008077EC"/>
    <w:rsid w:val="00807EC8"/>
    <w:rsid w:val="0081115D"/>
    <w:rsid w:val="00812539"/>
    <w:rsid w:val="00812B4B"/>
    <w:rsid w:val="00815B42"/>
    <w:rsid w:val="00815DC1"/>
    <w:rsid w:val="00815FAC"/>
    <w:rsid w:val="0081677A"/>
    <w:rsid w:val="008169B8"/>
    <w:rsid w:val="008173FD"/>
    <w:rsid w:val="008214C5"/>
    <w:rsid w:val="008221B2"/>
    <w:rsid w:val="00823133"/>
    <w:rsid w:val="008231D2"/>
    <w:rsid w:val="0082494D"/>
    <w:rsid w:val="00824C23"/>
    <w:rsid w:val="00825125"/>
    <w:rsid w:val="008257B2"/>
    <w:rsid w:val="00826480"/>
    <w:rsid w:val="00826CBA"/>
    <w:rsid w:val="00826CFC"/>
    <w:rsid w:val="0082770B"/>
    <w:rsid w:val="00827748"/>
    <w:rsid w:val="00827A0A"/>
    <w:rsid w:val="00827B37"/>
    <w:rsid w:val="00827F8C"/>
    <w:rsid w:val="0083053A"/>
    <w:rsid w:val="0083077E"/>
    <w:rsid w:val="00831302"/>
    <w:rsid w:val="008315B4"/>
    <w:rsid w:val="00831945"/>
    <w:rsid w:val="00831A64"/>
    <w:rsid w:val="00831BD4"/>
    <w:rsid w:val="00831C4F"/>
    <w:rsid w:val="00832491"/>
    <w:rsid w:val="00833F38"/>
    <w:rsid w:val="0083571F"/>
    <w:rsid w:val="00835725"/>
    <w:rsid w:val="00836FBA"/>
    <w:rsid w:val="0083701B"/>
    <w:rsid w:val="00841401"/>
    <w:rsid w:val="00842529"/>
    <w:rsid w:val="00842D15"/>
    <w:rsid w:val="008438B4"/>
    <w:rsid w:val="00843C4C"/>
    <w:rsid w:val="00843F74"/>
    <w:rsid w:val="00843FF5"/>
    <w:rsid w:val="0084517F"/>
    <w:rsid w:val="00845513"/>
    <w:rsid w:val="00845530"/>
    <w:rsid w:val="00846883"/>
    <w:rsid w:val="00846A8C"/>
    <w:rsid w:val="00846F78"/>
    <w:rsid w:val="008476EA"/>
    <w:rsid w:val="00847BFA"/>
    <w:rsid w:val="00847D9E"/>
    <w:rsid w:val="00850336"/>
    <w:rsid w:val="00850825"/>
    <w:rsid w:val="008514E4"/>
    <w:rsid w:val="0085337F"/>
    <w:rsid w:val="00854139"/>
    <w:rsid w:val="008544BE"/>
    <w:rsid w:val="0085486E"/>
    <w:rsid w:val="00854D9B"/>
    <w:rsid w:val="00854F01"/>
    <w:rsid w:val="00855166"/>
    <w:rsid w:val="008551A7"/>
    <w:rsid w:val="00855E21"/>
    <w:rsid w:val="00856249"/>
    <w:rsid w:val="00856823"/>
    <w:rsid w:val="00856E13"/>
    <w:rsid w:val="008578CF"/>
    <w:rsid w:val="00857C31"/>
    <w:rsid w:val="00857F76"/>
    <w:rsid w:val="00860614"/>
    <w:rsid w:val="00860C12"/>
    <w:rsid w:val="00860EB9"/>
    <w:rsid w:val="008629CB"/>
    <w:rsid w:val="00862B1B"/>
    <w:rsid w:val="00862C35"/>
    <w:rsid w:val="00862EA3"/>
    <w:rsid w:val="008644D9"/>
    <w:rsid w:val="00865362"/>
    <w:rsid w:val="008653A6"/>
    <w:rsid w:val="0086656A"/>
    <w:rsid w:val="00866A60"/>
    <w:rsid w:val="00870C2C"/>
    <w:rsid w:val="008727DF"/>
    <w:rsid w:val="00872E54"/>
    <w:rsid w:val="0087376B"/>
    <w:rsid w:val="008743EC"/>
    <w:rsid w:val="008751D3"/>
    <w:rsid w:val="00875493"/>
    <w:rsid w:val="00876688"/>
    <w:rsid w:val="00876E8B"/>
    <w:rsid w:val="00877237"/>
    <w:rsid w:val="00880C8F"/>
    <w:rsid w:val="00881365"/>
    <w:rsid w:val="00881BE8"/>
    <w:rsid w:val="00883C24"/>
    <w:rsid w:val="00884830"/>
    <w:rsid w:val="00884FC9"/>
    <w:rsid w:val="0088530A"/>
    <w:rsid w:val="00885328"/>
    <w:rsid w:val="0088578F"/>
    <w:rsid w:val="00887C8D"/>
    <w:rsid w:val="00891252"/>
    <w:rsid w:val="0089192F"/>
    <w:rsid w:val="00891D25"/>
    <w:rsid w:val="00892AED"/>
    <w:rsid w:val="00892C58"/>
    <w:rsid w:val="00893386"/>
    <w:rsid w:val="00893C27"/>
    <w:rsid w:val="00895BF4"/>
    <w:rsid w:val="00896E32"/>
    <w:rsid w:val="008971DF"/>
    <w:rsid w:val="008A1ABA"/>
    <w:rsid w:val="008A325E"/>
    <w:rsid w:val="008A3287"/>
    <w:rsid w:val="008A3563"/>
    <w:rsid w:val="008A3D1E"/>
    <w:rsid w:val="008A3EF0"/>
    <w:rsid w:val="008A5837"/>
    <w:rsid w:val="008A6125"/>
    <w:rsid w:val="008A6C42"/>
    <w:rsid w:val="008A72DE"/>
    <w:rsid w:val="008B025B"/>
    <w:rsid w:val="008B0320"/>
    <w:rsid w:val="008B09ED"/>
    <w:rsid w:val="008B0F56"/>
    <w:rsid w:val="008B2C15"/>
    <w:rsid w:val="008B2C92"/>
    <w:rsid w:val="008B3598"/>
    <w:rsid w:val="008B3644"/>
    <w:rsid w:val="008B3BDD"/>
    <w:rsid w:val="008B4168"/>
    <w:rsid w:val="008B4547"/>
    <w:rsid w:val="008B4D1E"/>
    <w:rsid w:val="008B57A2"/>
    <w:rsid w:val="008B6122"/>
    <w:rsid w:val="008C06FA"/>
    <w:rsid w:val="008C0745"/>
    <w:rsid w:val="008C0E3B"/>
    <w:rsid w:val="008C157C"/>
    <w:rsid w:val="008C2264"/>
    <w:rsid w:val="008C2391"/>
    <w:rsid w:val="008C248B"/>
    <w:rsid w:val="008C38C9"/>
    <w:rsid w:val="008C4901"/>
    <w:rsid w:val="008C532E"/>
    <w:rsid w:val="008C5835"/>
    <w:rsid w:val="008C63E4"/>
    <w:rsid w:val="008C69A3"/>
    <w:rsid w:val="008C6B8C"/>
    <w:rsid w:val="008C703C"/>
    <w:rsid w:val="008D26CB"/>
    <w:rsid w:val="008D4AF0"/>
    <w:rsid w:val="008D5908"/>
    <w:rsid w:val="008D6211"/>
    <w:rsid w:val="008D6ADE"/>
    <w:rsid w:val="008E166C"/>
    <w:rsid w:val="008E1ADE"/>
    <w:rsid w:val="008E1B90"/>
    <w:rsid w:val="008E1C61"/>
    <w:rsid w:val="008E272B"/>
    <w:rsid w:val="008E2C78"/>
    <w:rsid w:val="008E389F"/>
    <w:rsid w:val="008E50C1"/>
    <w:rsid w:val="008E64FA"/>
    <w:rsid w:val="008E6DCE"/>
    <w:rsid w:val="008E7345"/>
    <w:rsid w:val="008E73F3"/>
    <w:rsid w:val="008F2B81"/>
    <w:rsid w:val="008F2C62"/>
    <w:rsid w:val="008F2C8F"/>
    <w:rsid w:val="008F32D1"/>
    <w:rsid w:val="008F3810"/>
    <w:rsid w:val="008F3C63"/>
    <w:rsid w:val="008F3E84"/>
    <w:rsid w:val="008F55D8"/>
    <w:rsid w:val="008F5C7A"/>
    <w:rsid w:val="008F5C84"/>
    <w:rsid w:val="008F5F6A"/>
    <w:rsid w:val="008F61CA"/>
    <w:rsid w:val="008F688C"/>
    <w:rsid w:val="008F6981"/>
    <w:rsid w:val="008F6B05"/>
    <w:rsid w:val="008F78FA"/>
    <w:rsid w:val="009004A9"/>
    <w:rsid w:val="00900FBD"/>
    <w:rsid w:val="00901525"/>
    <w:rsid w:val="009032CF"/>
    <w:rsid w:val="00903AB1"/>
    <w:rsid w:val="00904FB2"/>
    <w:rsid w:val="009060D7"/>
    <w:rsid w:val="00907089"/>
    <w:rsid w:val="00907B36"/>
    <w:rsid w:val="00907D83"/>
    <w:rsid w:val="009105D9"/>
    <w:rsid w:val="00911B55"/>
    <w:rsid w:val="00911F81"/>
    <w:rsid w:val="009132D2"/>
    <w:rsid w:val="00913509"/>
    <w:rsid w:val="0091596F"/>
    <w:rsid w:val="009176EE"/>
    <w:rsid w:val="00917986"/>
    <w:rsid w:val="00917A0D"/>
    <w:rsid w:val="009206E2"/>
    <w:rsid w:val="00920DE7"/>
    <w:rsid w:val="009210EC"/>
    <w:rsid w:val="00921E2D"/>
    <w:rsid w:val="00922221"/>
    <w:rsid w:val="00922608"/>
    <w:rsid w:val="00923206"/>
    <w:rsid w:val="00923534"/>
    <w:rsid w:val="00923804"/>
    <w:rsid w:val="00923EB1"/>
    <w:rsid w:val="00924C97"/>
    <w:rsid w:val="00926175"/>
    <w:rsid w:val="00926DF1"/>
    <w:rsid w:val="00927BB2"/>
    <w:rsid w:val="009305BB"/>
    <w:rsid w:val="00930780"/>
    <w:rsid w:val="00931F45"/>
    <w:rsid w:val="00932AB3"/>
    <w:rsid w:val="00932FF9"/>
    <w:rsid w:val="0093443B"/>
    <w:rsid w:val="00934A0A"/>
    <w:rsid w:val="00934CDD"/>
    <w:rsid w:val="00934EE8"/>
    <w:rsid w:val="00935C30"/>
    <w:rsid w:val="00935C57"/>
    <w:rsid w:val="00936398"/>
    <w:rsid w:val="009363BD"/>
    <w:rsid w:val="009364CA"/>
    <w:rsid w:val="00937C0B"/>
    <w:rsid w:val="0094019E"/>
    <w:rsid w:val="009418C7"/>
    <w:rsid w:val="00944318"/>
    <w:rsid w:val="009444BE"/>
    <w:rsid w:val="00944FA7"/>
    <w:rsid w:val="009462C5"/>
    <w:rsid w:val="009504FE"/>
    <w:rsid w:val="009541E7"/>
    <w:rsid w:val="00954E09"/>
    <w:rsid w:val="00955A5E"/>
    <w:rsid w:val="00956394"/>
    <w:rsid w:val="00956DAE"/>
    <w:rsid w:val="00957933"/>
    <w:rsid w:val="009612F4"/>
    <w:rsid w:val="009621D8"/>
    <w:rsid w:val="009624CF"/>
    <w:rsid w:val="00963867"/>
    <w:rsid w:val="0096436F"/>
    <w:rsid w:val="009654BC"/>
    <w:rsid w:val="00966ABB"/>
    <w:rsid w:val="00966BC3"/>
    <w:rsid w:val="00966D2C"/>
    <w:rsid w:val="0097180B"/>
    <w:rsid w:val="00971972"/>
    <w:rsid w:val="00971C69"/>
    <w:rsid w:val="009723E5"/>
    <w:rsid w:val="0097251A"/>
    <w:rsid w:val="009727B1"/>
    <w:rsid w:val="00973D57"/>
    <w:rsid w:val="00974973"/>
    <w:rsid w:val="00975010"/>
    <w:rsid w:val="00975103"/>
    <w:rsid w:val="0097545B"/>
    <w:rsid w:val="0097566E"/>
    <w:rsid w:val="009766D8"/>
    <w:rsid w:val="009777C0"/>
    <w:rsid w:val="0098042F"/>
    <w:rsid w:val="0098072F"/>
    <w:rsid w:val="00981CC7"/>
    <w:rsid w:val="00982086"/>
    <w:rsid w:val="00982BC3"/>
    <w:rsid w:val="00983EC4"/>
    <w:rsid w:val="00984884"/>
    <w:rsid w:val="009856F3"/>
    <w:rsid w:val="00987B7A"/>
    <w:rsid w:val="00987C40"/>
    <w:rsid w:val="0099060D"/>
    <w:rsid w:val="00990CC9"/>
    <w:rsid w:val="00991412"/>
    <w:rsid w:val="00991B92"/>
    <w:rsid w:val="00992708"/>
    <w:rsid w:val="009928AD"/>
    <w:rsid w:val="00994059"/>
    <w:rsid w:val="00994EA4"/>
    <w:rsid w:val="009966C5"/>
    <w:rsid w:val="009979E2"/>
    <w:rsid w:val="009A099D"/>
    <w:rsid w:val="009A14A5"/>
    <w:rsid w:val="009A1630"/>
    <w:rsid w:val="009A1E3F"/>
    <w:rsid w:val="009A1E64"/>
    <w:rsid w:val="009A2C48"/>
    <w:rsid w:val="009A37E1"/>
    <w:rsid w:val="009A50B0"/>
    <w:rsid w:val="009A544C"/>
    <w:rsid w:val="009A579B"/>
    <w:rsid w:val="009A64C0"/>
    <w:rsid w:val="009A750E"/>
    <w:rsid w:val="009B0274"/>
    <w:rsid w:val="009B07FF"/>
    <w:rsid w:val="009B18E1"/>
    <w:rsid w:val="009B1995"/>
    <w:rsid w:val="009B2102"/>
    <w:rsid w:val="009B4C9E"/>
    <w:rsid w:val="009B5693"/>
    <w:rsid w:val="009B5B12"/>
    <w:rsid w:val="009B5DDE"/>
    <w:rsid w:val="009B63F7"/>
    <w:rsid w:val="009B6436"/>
    <w:rsid w:val="009B71D6"/>
    <w:rsid w:val="009B789B"/>
    <w:rsid w:val="009C0F8D"/>
    <w:rsid w:val="009C109D"/>
    <w:rsid w:val="009C12E8"/>
    <w:rsid w:val="009C20F4"/>
    <w:rsid w:val="009C2EC7"/>
    <w:rsid w:val="009C3B46"/>
    <w:rsid w:val="009C3EBD"/>
    <w:rsid w:val="009C4255"/>
    <w:rsid w:val="009C510B"/>
    <w:rsid w:val="009C5684"/>
    <w:rsid w:val="009C5C52"/>
    <w:rsid w:val="009C5EBA"/>
    <w:rsid w:val="009C6D75"/>
    <w:rsid w:val="009C737C"/>
    <w:rsid w:val="009D084C"/>
    <w:rsid w:val="009D175C"/>
    <w:rsid w:val="009D1EB3"/>
    <w:rsid w:val="009D2D70"/>
    <w:rsid w:val="009D45CF"/>
    <w:rsid w:val="009D49AB"/>
    <w:rsid w:val="009D4D45"/>
    <w:rsid w:val="009D566A"/>
    <w:rsid w:val="009D707A"/>
    <w:rsid w:val="009D7ACD"/>
    <w:rsid w:val="009E0AFA"/>
    <w:rsid w:val="009E1F02"/>
    <w:rsid w:val="009E26C9"/>
    <w:rsid w:val="009E3BF3"/>
    <w:rsid w:val="009E407E"/>
    <w:rsid w:val="009E4A8C"/>
    <w:rsid w:val="009E5018"/>
    <w:rsid w:val="009E5D44"/>
    <w:rsid w:val="009E618D"/>
    <w:rsid w:val="009E6410"/>
    <w:rsid w:val="009E7A51"/>
    <w:rsid w:val="009F0E2F"/>
    <w:rsid w:val="009F1001"/>
    <w:rsid w:val="009F185A"/>
    <w:rsid w:val="009F1979"/>
    <w:rsid w:val="009F1F6B"/>
    <w:rsid w:val="009F29EF"/>
    <w:rsid w:val="009F2AFC"/>
    <w:rsid w:val="009F2B49"/>
    <w:rsid w:val="009F3068"/>
    <w:rsid w:val="009F3870"/>
    <w:rsid w:val="009F408D"/>
    <w:rsid w:val="009F5792"/>
    <w:rsid w:val="009F61B9"/>
    <w:rsid w:val="009F65D7"/>
    <w:rsid w:val="009F7524"/>
    <w:rsid w:val="009F798E"/>
    <w:rsid w:val="00A00178"/>
    <w:rsid w:val="00A01DF7"/>
    <w:rsid w:val="00A0356E"/>
    <w:rsid w:val="00A03D2C"/>
    <w:rsid w:val="00A04927"/>
    <w:rsid w:val="00A04AF5"/>
    <w:rsid w:val="00A04B2C"/>
    <w:rsid w:val="00A059F0"/>
    <w:rsid w:val="00A06120"/>
    <w:rsid w:val="00A062DA"/>
    <w:rsid w:val="00A07E78"/>
    <w:rsid w:val="00A11A13"/>
    <w:rsid w:val="00A11FC8"/>
    <w:rsid w:val="00A124AA"/>
    <w:rsid w:val="00A12ECB"/>
    <w:rsid w:val="00A14559"/>
    <w:rsid w:val="00A15056"/>
    <w:rsid w:val="00A1579A"/>
    <w:rsid w:val="00A20292"/>
    <w:rsid w:val="00A211F6"/>
    <w:rsid w:val="00A213C3"/>
    <w:rsid w:val="00A21D3D"/>
    <w:rsid w:val="00A2262C"/>
    <w:rsid w:val="00A2310B"/>
    <w:rsid w:val="00A2340C"/>
    <w:rsid w:val="00A2396C"/>
    <w:rsid w:val="00A240EC"/>
    <w:rsid w:val="00A2580D"/>
    <w:rsid w:val="00A25F4A"/>
    <w:rsid w:val="00A2670D"/>
    <w:rsid w:val="00A2683B"/>
    <w:rsid w:val="00A26B89"/>
    <w:rsid w:val="00A2726D"/>
    <w:rsid w:val="00A276C0"/>
    <w:rsid w:val="00A27DFC"/>
    <w:rsid w:val="00A30C6D"/>
    <w:rsid w:val="00A31B9F"/>
    <w:rsid w:val="00A31BCA"/>
    <w:rsid w:val="00A3251B"/>
    <w:rsid w:val="00A336AF"/>
    <w:rsid w:val="00A33E9D"/>
    <w:rsid w:val="00A35495"/>
    <w:rsid w:val="00A35BCE"/>
    <w:rsid w:val="00A35F61"/>
    <w:rsid w:val="00A377C3"/>
    <w:rsid w:val="00A413EA"/>
    <w:rsid w:val="00A41D8A"/>
    <w:rsid w:val="00A426C1"/>
    <w:rsid w:val="00A42BE9"/>
    <w:rsid w:val="00A430DC"/>
    <w:rsid w:val="00A43A95"/>
    <w:rsid w:val="00A445FB"/>
    <w:rsid w:val="00A446BD"/>
    <w:rsid w:val="00A45EC7"/>
    <w:rsid w:val="00A45F47"/>
    <w:rsid w:val="00A46001"/>
    <w:rsid w:val="00A46CCC"/>
    <w:rsid w:val="00A478B2"/>
    <w:rsid w:val="00A47AD2"/>
    <w:rsid w:val="00A47B9E"/>
    <w:rsid w:val="00A5274E"/>
    <w:rsid w:val="00A53B7E"/>
    <w:rsid w:val="00A53C50"/>
    <w:rsid w:val="00A54BC6"/>
    <w:rsid w:val="00A54E0A"/>
    <w:rsid w:val="00A5581E"/>
    <w:rsid w:val="00A564E6"/>
    <w:rsid w:val="00A56CAD"/>
    <w:rsid w:val="00A5764D"/>
    <w:rsid w:val="00A576B3"/>
    <w:rsid w:val="00A57D24"/>
    <w:rsid w:val="00A57FB0"/>
    <w:rsid w:val="00A60B83"/>
    <w:rsid w:val="00A611F9"/>
    <w:rsid w:val="00A61320"/>
    <w:rsid w:val="00A61594"/>
    <w:rsid w:val="00A620FA"/>
    <w:rsid w:val="00A6257B"/>
    <w:rsid w:val="00A63324"/>
    <w:rsid w:val="00A6377B"/>
    <w:rsid w:val="00A65308"/>
    <w:rsid w:val="00A65A6C"/>
    <w:rsid w:val="00A65DEF"/>
    <w:rsid w:val="00A65EAE"/>
    <w:rsid w:val="00A676B5"/>
    <w:rsid w:val="00A67CFE"/>
    <w:rsid w:val="00A705F4"/>
    <w:rsid w:val="00A7078C"/>
    <w:rsid w:val="00A7107D"/>
    <w:rsid w:val="00A72064"/>
    <w:rsid w:val="00A7392B"/>
    <w:rsid w:val="00A75359"/>
    <w:rsid w:val="00A75C30"/>
    <w:rsid w:val="00A77887"/>
    <w:rsid w:val="00A8053D"/>
    <w:rsid w:val="00A805E6"/>
    <w:rsid w:val="00A80661"/>
    <w:rsid w:val="00A8313A"/>
    <w:rsid w:val="00A83C9D"/>
    <w:rsid w:val="00A83E56"/>
    <w:rsid w:val="00A85C2D"/>
    <w:rsid w:val="00A86880"/>
    <w:rsid w:val="00A8701D"/>
    <w:rsid w:val="00A8761F"/>
    <w:rsid w:val="00A87BC4"/>
    <w:rsid w:val="00A906FB"/>
    <w:rsid w:val="00A90FBD"/>
    <w:rsid w:val="00A91CBB"/>
    <w:rsid w:val="00A94622"/>
    <w:rsid w:val="00A946FC"/>
    <w:rsid w:val="00A94D68"/>
    <w:rsid w:val="00A9595D"/>
    <w:rsid w:val="00A9661F"/>
    <w:rsid w:val="00A97046"/>
    <w:rsid w:val="00A97266"/>
    <w:rsid w:val="00A97714"/>
    <w:rsid w:val="00A9799E"/>
    <w:rsid w:val="00AA0C93"/>
    <w:rsid w:val="00AA1D92"/>
    <w:rsid w:val="00AA2BF3"/>
    <w:rsid w:val="00AA2FB8"/>
    <w:rsid w:val="00AA3A4B"/>
    <w:rsid w:val="00AA3D11"/>
    <w:rsid w:val="00AA4B23"/>
    <w:rsid w:val="00AA4B6A"/>
    <w:rsid w:val="00AA52EB"/>
    <w:rsid w:val="00AA6C7F"/>
    <w:rsid w:val="00AA70CD"/>
    <w:rsid w:val="00AB13AC"/>
    <w:rsid w:val="00AB1FAB"/>
    <w:rsid w:val="00AB28DE"/>
    <w:rsid w:val="00AB3676"/>
    <w:rsid w:val="00AB3CA1"/>
    <w:rsid w:val="00AB577E"/>
    <w:rsid w:val="00AB5DD9"/>
    <w:rsid w:val="00AB600D"/>
    <w:rsid w:val="00AB6175"/>
    <w:rsid w:val="00AB6E4B"/>
    <w:rsid w:val="00AB72FC"/>
    <w:rsid w:val="00AC014B"/>
    <w:rsid w:val="00AC0B90"/>
    <w:rsid w:val="00AC0BC7"/>
    <w:rsid w:val="00AC1506"/>
    <w:rsid w:val="00AC173E"/>
    <w:rsid w:val="00AC4F69"/>
    <w:rsid w:val="00AC4F95"/>
    <w:rsid w:val="00AC5C04"/>
    <w:rsid w:val="00AC5DC1"/>
    <w:rsid w:val="00AC7162"/>
    <w:rsid w:val="00AC7216"/>
    <w:rsid w:val="00AC73B7"/>
    <w:rsid w:val="00AC745A"/>
    <w:rsid w:val="00AC7F2C"/>
    <w:rsid w:val="00AD0FB3"/>
    <w:rsid w:val="00AD1436"/>
    <w:rsid w:val="00AD1685"/>
    <w:rsid w:val="00AD2431"/>
    <w:rsid w:val="00AD33F3"/>
    <w:rsid w:val="00AD3712"/>
    <w:rsid w:val="00AD7496"/>
    <w:rsid w:val="00AE0CA1"/>
    <w:rsid w:val="00AE1556"/>
    <w:rsid w:val="00AE1DA9"/>
    <w:rsid w:val="00AE1DD9"/>
    <w:rsid w:val="00AE1DEA"/>
    <w:rsid w:val="00AE22E4"/>
    <w:rsid w:val="00AE41E6"/>
    <w:rsid w:val="00AE4B5A"/>
    <w:rsid w:val="00AE5B72"/>
    <w:rsid w:val="00AE6359"/>
    <w:rsid w:val="00AE65C1"/>
    <w:rsid w:val="00AE68B7"/>
    <w:rsid w:val="00AE6C70"/>
    <w:rsid w:val="00AF15F5"/>
    <w:rsid w:val="00AF27D7"/>
    <w:rsid w:val="00AF3019"/>
    <w:rsid w:val="00AF391E"/>
    <w:rsid w:val="00AF3A6A"/>
    <w:rsid w:val="00AF3A79"/>
    <w:rsid w:val="00AF54C1"/>
    <w:rsid w:val="00AF6240"/>
    <w:rsid w:val="00AF6621"/>
    <w:rsid w:val="00AF6805"/>
    <w:rsid w:val="00AF70AE"/>
    <w:rsid w:val="00AF7E5F"/>
    <w:rsid w:val="00B0106D"/>
    <w:rsid w:val="00B016D6"/>
    <w:rsid w:val="00B03F86"/>
    <w:rsid w:val="00B06CF6"/>
    <w:rsid w:val="00B10419"/>
    <w:rsid w:val="00B10D8F"/>
    <w:rsid w:val="00B10DBD"/>
    <w:rsid w:val="00B11AA5"/>
    <w:rsid w:val="00B12C1B"/>
    <w:rsid w:val="00B1487A"/>
    <w:rsid w:val="00B14ABE"/>
    <w:rsid w:val="00B14BE3"/>
    <w:rsid w:val="00B16B8D"/>
    <w:rsid w:val="00B17AE8"/>
    <w:rsid w:val="00B2038C"/>
    <w:rsid w:val="00B20C53"/>
    <w:rsid w:val="00B20E29"/>
    <w:rsid w:val="00B212BB"/>
    <w:rsid w:val="00B2348A"/>
    <w:rsid w:val="00B241F4"/>
    <w:rsid w:val="00B244C2"/>
    <w:rsid w:val="00B245BC"/>
    <w:rsid w:val="00B24DA9"/>
    <w:rsid w:val="00B25EE1"/>
    <w:rsid w:val="00B2647B"/>
    <w:rsid w:val="00B30934"/>
    <w:rsid w:val="00B30AB3"/>
    <w:rsid w:val="00B3167E"/>
    <w:rsid w:val="00B31B89"/>
    <w:rsid w:val="00B32C91"/>
    <w:rsid w:val="00B3397E"/>
    <w:rsid w:val="00B3488E"/>
    <w:rsid w:val="00B34E5C"/>
    <w:rsid w:val="00B3627F"/>
    <w:rsid w:val="00B36DD8"/>
    <w:rsid w:val="00B40409"/>
    <w:rsid w:val="00B40461"/>
    <w:rsid w:val="00B404F3"/>
    <w:rsid w:val="00B43263"/>
    <w:rsid w:val="00B433E8"/>
    <w:rsid w:val="00B4376C"/>
    <w:rsid w:val="00B43CAD"/>
    <w:rsid w:val="00B44F9A"/>
    <w:rsid w:val="00B46476"/>
    <w:rsid w:val="00B4667F"/>
    <w:rsid w:val="00B474CE"/>
    <w:rsid w:val="00B5308D"/>
    <w:rsid w:val="00B53F64"/>
    <w:rsid w:val="00B55523"/>
    <w:rsid w:val="00B55A5B"/>
    <w:rsid w:val="00B55FAD"/>
    <w:rsid w:val="00B57BAA"/>
    <w:rsid w:val="00B57C7F"/>
    <w:rsid w:val="00B60221"/>
    <w:rsid w:val="00B60728"/>
    <w:rsid w:val="00B60865"/>
    <w:rsid w:val="00B60D62"/>
    <w:rsid w:val="00B60E95"/>
    <w:rsid w:val="00B61738"/>
    <w:rsid w:val="00B626A7"/>
    <w:rsid w:val="00B6417B"/>
    <w:rsid w:val="00B6517E"/>
    <w:rsid w:val="00B65906"/>
    <w:rsid w:val="00B65B2C"/>
    <w:rsid w:val="00B66CAE"/>
    <w:rsid w:val="00B67A96"/>
    <w:rsid w:val="00B70752"/>
    <w:rsid w:val="00B7136D"/>
    <w:rsid w:val="00B72A5E"/>
    <w:rsid w:val="00B73058"/>
    <w:rsid w:val="00B73445"/>
    <w:rsid w:val="00B73FA1"/>
    <w:rsid w:val="00B73FAA"/>
    <w:rsid w:val="00B7466B"/>
    <w:rsid w:val="00B74843"/>
    <w:rsid w:val="00B75BE0"/>
    <w:rsid w:val="00B764B3"/>
    <w:rsid w:val="00B77970"/>
    <w:rsid w:val="00B80330"/>
    <w:rsid w:val="00B80BAC"/>
    <w:rsid w:val="00B80F94"/>
    <w:rsid w:val="00B8159A"/>
    <w:rsid w:val="00B825A9"/>
    <w:rsid w:val="00B82CE3"/>
    <w:rsid w:val="00B83262"/>
    <w:rsid w:val="00B83393"/>
    <w:rsid w:val="00B8372D"/>
    <w:rsid w:val="00B8377C"/>
    <w:rsid w:val="00B8381E"/>
    <w:rsid w:val="00B83BAC"/>
    <w:rsid w:val="00B83C3B"/>
    <w:rsid w:val="00B83FBE"/>
    <w:rsid w:val="00B842C5"/>
    <w:rsid w:val="00B84B64"/>
    <w:rsid w:val="00B85AEE"/>
    <w:rsid w:val="00B8635C"/>
    <w:rsid w:val="00B865BB"/>
    <w:rsid w:val="00B86C30"/>
    <w:rsid w:val="00B8721F"/>
    <w:rsid w:val="00B9059F"/>
    <w:rsid w:val="00B9128A"/>
    <w:rsid w:val="00B91BC6"/>
    <w:rsid w:val="00B92CE9"/>
    <w:rsid w:val="00B92EC9"/>
    <w:rsid w:val="00B9349C"/>
    <w:rsid w:val="00B93E53"/>
    <w:rsid w:val="00B94883"/>
    <w:rsid w:val="00B95F66"/>
    <w:rsid w:val="00B970BC"/>
    <w:rsid w:val="00B97522"/>
    <w:rsid w:val="00B97695"/>
    <w:rsid w:val="00B9798E"/>
    <w:rsid w:val="00BA01CA"/>
    <w:rsid w:val="00BA20A9"/>
    <w:rsid w:val="00BA4BB2"/>
    <w:rsid w:val="00BA5823"/>
    <w:rsid w:val="00BA5EBF"/>
    <w:rsid w:val="00BA7967"/>
    <w:rsid w:val="00BA7CBC"/>
    <w:rsid w:val="00BB1D0C"/>
    <w:rsid w:val="00BB1D72"/>
    <w:rsid w:val="00BB207E"/>
    <w:rsid w:val="00BB2824"/>
    <w:rsid w:val="00BB2C9E"/>
    <w:rsid w:val="00BB3949"/>
    <w:rsid w:val="00BB4D0D"/>
    <w:rsid w:val="00BB59E8"/>
    <w:rsid w:val="00BB6686"/>
    <w:rsid w:val="00BB7440"/>
    <w:rsid w:val="00BB76DF"/>
    <w:rsid w:val="00BB7E49"/>
    <w:rsid w:val="00BC0F45"/>
    <w:rsid w:val="00BC0FCE"/>
    <w:rsid w:val="00BC1BB7"/>
    <w:rsid w:val="00BC1CC6"/>
    <w:rsid w:val="00BC243B"/>
    <w:rsid w:val="00BC2F93"/>
    <w:rsid w:val="00BC40C6"/>
    <w:rsid w:val="00BC4192"/>
    <w:rsid w:val="00BC4F85"/>
    <w:rsid w:val="00BC57A5"/>
    <w:rsid w:val="00BC71B7"/>
    <w:rsid w:val="00BC7589"/>
    <w:rsid w:val="00BC79B1"/>
    <w:rsid w:val="00BD04D9"/>
    <w:rsid w:val="00BD071E"/>
    <w:rsid w:val="00BD1B7A"/>
    <w:rsid w:val="00BD4FC5"/>
    <w:rsid w:val="00BD596F"/>
    <w:rsid w:val="00BD614C"/>
    <w:rsid w:val="00BD666C"/>
    <w:rsid w:val="00BD6D0C"/>
    <w:rsid w:val="00BE0DA6"/>
    <w:rsid w:val="00BE1EFA"/>
    <w:rsid w:val="00BE2651"/>
    <w:rsid w:val="00BE2F39"/>
    <w:rsid w:val="00BE3862"/>
    <w:rsid w:val="00BE624A"/>
    <w:rsid w:val="00BE7E94"/>
    <w:rsid w:val="00BF028C"/>
    <w:rsid w:val="00BF1632"/>
    <w:rsid w:val="00BF1D12"/>
    <w:rsid w:val="00BF2359"/>
    <w:rsid w:val="00BF2694"/>
    <w:rsid w:val="00BF347C"/>
    <w:rsid w:val="00BF3D55"/>
    <w:rsid w:val="00BF3EAF"/>
    <w:rsid w:val="00BF551C"/>
    <w:rsid w:val="00BF6B8D"/>
    <w:rsid w:val="00C0005C"/>
    <w:rsid w:val="00C0164B"/>
    <w:rsid w:val="00C053AA"/>
    <w:rsid w:val="00C05E1D"/>
    <w:rsid w:val="00C06610"/>
    <w:rsid w:val="00C06F65"/>
    <w:rsid w:val="00C074D4"/>
    <w:rsid w:val="00C07D56"/>
    <w:rsid w:val="00C102F7"/>
    <w:rsid w:val="00C10C38"/>
    <w:rsid w:val="00C11E16"/>
    <w:rsid w:val="00C1282A"/>
    <w:rsid w:val="00C12D25"/>
    <w:rsid w:val="00C13E4E"/>
    <w:rsid w:val="00C13F68"/>
    <w:rsid w:val="00C15F02"/>
    <w:rsid w:val="00C16704"/>
    <w:rsid w:val="00C171F0"/>
    <w:rsid w:val="00C21420"/>
    <w:rsid w:val="00C21FA8"/>
    <w:rsid w:val="00C22CFB"/>
    <w:rsid w:val="00C23C05"/>
    <w:rsid w:val="00C23DC0"/>
    <w:rsid w:val="00C2522A"/>
    <w:rsid w:val="00C25430"/>
    <w:rsid w:val="00C276B4"/>
    <w:rsid w:val="00C278BC"/>
    <w:rsid w:val="00C27F46"/>
    <w:rsid w:val="00C301FF"/>
    <w:rsid w:val="00C3137E"/>
    <w:rsid w:val="00C31B2D"/>
    <w:rsid w:val="00C325E1"/>
    <w:rsid w:val="00C32964"/>
    <w:rsid w:val="00C33672"/>
    <w:rsid w:val="00C33750"/>
    <w:rsid w:val="00C3390D"/>
    <w:rsid w:val="00C339DB"/>
    <w:rsid w:val="00C34C4C"/>
    <w:rsid w:val="00C34EE3"/>
    <w:rsid w:val="00C36250"/>
    <w:rsid w:val="00C372B4"/>
    <w:rsid w:val="00C37525"/>
    <w:rsid w:val="00C37707"/>
    <w:rsid w:val="00C37E74"/>
    <w:rsid w:val="00C406F6"/>
    <w:rsid w:val="00C40716"/>
    <w:rsid w:val="00C40C78"/>
    <w:rsid w:val="00C411A2"/>
    <w:rsid w:val="00C4144C"/>
    <w:rsid w:val="00C4165B"/>
    <w:rsid w:val="00C41CB9"/>
    <w:rsid w:val="00C42308"/>
    <w:rsid w:val="00C42EFD"/>
    <w:rsid w:val="00C4464D"/>
    <w:rsid w:val="00C448D4"/>
    <w:rsid w:val="00C44E12"/>
    <w:rsid w:val="00C467C9"/>
    <w:rsid w:val="00C471AD"/>
    <w:rsid w:val="00C50838"/>
    <w:rsid w:val="00C50C4B"/>
    <w:rsid w:val="00C510D3"/>
    <w:rsid w:val="00C522CC"/>
    <w:rsid w:val="00C52DBC"/>
    <w:rsid w:val="00C53DFC"/>
    <w:rsid w:val="00C545EA"/>
    <w:rsid w:val="00C54DCE"/>
    <w:rsid w:val="00C54DF7"/>
    <w:rsid w:val="00C5555D"/>
    <w:rsid w:val="00C55766"/>
    <w:rsid w:val="00C566D7"/>
    <w:rsid w:val="00C56BCF"/>
    <w:rsid w:val="00C574A3"/>
    <w:rsid w:val="00C57877"/>
    <w:rsid w:val="00C57AFA"/>
    <w:rsid w:val="00C6017E"/>
    <w:rsid w:val="00C6054E"/>
    <w:rsid w:val="00C60906"/>
    <w:rsid w:val="00C615B7"/>
    <w:rsid w:val="00C62650"/>
    <w:rsid w:val="00C628D9"/>
    <w:rsid w:val="00C63B07"/>
    <w:rsid w:val="00C63BF8"/>
    <w:rsid w:val="00C63D2F"/>
    <w:rsid w:val="00C64502"/>
    <w:rsid w:val="00C64B09"/>
    <w:rsid w:val="00C65B80"/>
    <w:rsid w:val="00C6625E"/>
    <w:rsid w:val="00C70062"/>
    <w:rsid w:val="00C7056C"/>
    <w:rsid w:val="00C707B8"/>
    <w:rsid w:val="00C7235C"/>
    <w:rsid w:val="00C72630"/>
    <w:rsid w:val="00C734F4"/>
    <w:rsid w:val="00C74A61"/>
    <w:rsid w:val="00C74B1A"/>
    <w:rsid w:val="00C75F63"/>
    <w:rsid w:val="00C77ECF"/>
    <w:rsid w:val="00C80723"/>
    <w:rsid w:val="00C80FDE"/>
    <w:rsid w:val="00C81AA7"/>
    <w:rsid w:val="00C82902"/>
    <w:rsid w:val="00C82C21"/>
    <w:rsid w:val="00C83490"/>
    <w:rsid w:val="00C840DE"/>
    <w:rsid w:val="00C855E4"/>
    <w:rsid w:val="00C86211"/>
    <w:rsid w:val="00C86A90"/>
    <w:rsid w:val="00C86DD6"/>
    <w:rsid w:val="00C871C9"/>
    <w:rsid w:val="00C877A9"/>
    <w:rsid w:val="00C87F9C"/>
    <w:rsid w:val="00C9053B"/>
    <w:rsid w:val="00C90FE3"/>
    <w:rsid w:val="00C91ADA"/>
    <w:rsid w:val="00C92BB9"/>
    <w:rsid w:val="00C94401"/>
    <w:rsid w:val="00C94C17"/>
    <w:rsid w:val="00C94E1E"/>
    <w:rsid w:val="00C95020"/>
    <w:rsid w:val="00C95241"/>
    <w:rsid w:val="00C959AC"/>
    <w:rsid w:val="00C962D5"/>
    <w:rsid w:val="00C969F2"/>
    <w:rsid w:val="00C96D83"/>
    <w:rsid w:val="00C978CB"/>
    <w:rsid w:val="00C97B5B"/>
    <w:rsid w:val="00CA0216"/>
    <w:rsid w:val="00CA0DA2"/>
    <w:rsid w:val="00CA11BD"/>
    <w:rsid w:val="00CA1522"/>
    <w:rsid w:val="00CA18FE"/>
    <w:rsid w:val="00CA46CE"/>
    <w:rsid w:val="00CA73E9"/>
    <w:rsid w:val="00CA7A67"/>
    <w:rsid w:val="00CB0B79"/>
    <w:rsid w:val="00CB1686"/>
    <w:rsid w:val="00CB1CE9"/>
    <w:rsid w:val="00CB244F"/>
    <w:rsid w:val="00CB2B58"/>
    <w:rsid w:val="00CB2C31"/>
    <w:rsid w:val="00CB460F"/>
    <w:rsid w:val="00CB4704"/>
    <w:rsid w:val="00CB47EB"/>
    <w:rsid w:val="00CB61C6"/>
    <w:rsid w:val="00CB6316"/>
    <w:rsid w:val="00CB68A3"/>
    <w:rsid w:val="00CB6937"/>
    <w:rsid w:val="00CB73CC"/>
    <w:rsid w:val="00CB7CB2"/>
    <w:rsid w:val="00CC0F9E"/>
    <w:rsid w:val="00CC17CC"/>
    <w:rsid w:val="00CC1E30"/>
    <w:rsid w:val="00CC20FB"/>
    <w:rsid w:val="00CC2A84"/>
    <w:rsid w:val="00CC3017"/>
    <w:rsid w:val="00CC3D0C"/>
    <w:rsid w:val="00CC3DED"/>
    <w:rsid w:val="00CC4143"/>
    <w:rsid w:val="00CC5E20"/>
    <w:rsid w:val="00CC6FFE"/>
    <w:rsid w:val="00CD05B0"/>
    <w:rsid w:val="00CD10B5"/>
    <w:rsid w:val="00CD1511"/>
    <w:rsid w:val="00CD1797"/>
    <w:rsid w:val="00CD1AFC"/>
    <w:rsid w:val="00CD2001"/>
    <w:rsid w:val="00CD4228"/>
    <w:rsid w:val="00CD4593"/>
    <w:rsid w:val="00CD49FE"/>
    <w:rsid w:val="00CD5C5F"/>
    <w:rsid w:val="00CD5FAA"/>
    <w:rsid w:val="00CD619C"/>
    <w:rsid w:val="00CD67D3"/>
    <w:rsid w:val="00CD7617"/>
    <w:rsid w:val="00CD7A8A"/>
    <w:rsid w:val="00CE0669"/>
    <w:rsid w:val="00CE0ACA"/>
    <w:rsid w:val="00CE2347"/>
    <w:rsid w:val="00CE364D"/>
    <w:rsid w:val="00CE3918"/>
    <w:rsid w:val="00CE3AB4"/>
    <w:rsid w:val="00CE549A"/>
    <w:rsid w:val="00CE5663"/>
    <w:rsid w:val="00CE6127"/>
    <w:rsid w:val="00CE6796"/>
    <w:rsid w:val="00CE7CF7"/>
    <w:rsid w:val="00CF12D2"/>
    <w:rsid w:val="00CF1620"/>
    <w:rsid w:val="00CF199E"/>
    <w:rsid w:val="00CF34C4"/>
    <w:rsid w:val="00CF39E9"/>
    <w:rsid w:val="00CF3A69"/>
    <w:rsid w:val="00CF4139"/>
    <w:rsid w:val="00CF563B"/>
    <w:rsid w:val="00CF583A"/>
    <w:rsid w:val="00CF5BB3"/>
    <w:rsid w:val="00CF6C6A"/>
    <w:rsid w:val="00CF77FB"/>
    <w:rsid w:val="00CF78C0"/>
    <w:rsid w:val="00D0195F"/>
    <w:rsid w:val="00D01DBE"/>
    <w:rsid w:val="00D02222"/>
    <w:rsid w:val="00D031DA"/>
    <w:rsid w:val="00D052C1"/>
    <w:rsid w:val="00D06E6F"/>
    <w:rsid w:val="00D079AA"/>
    <w:rsid w:val="00D10C84"/>
    <w:rsid w:val="00D12899"/>
    <w:rsid w:val="00D1443B"/>
    <w:rsid w:val="00D14DB1"/>
    <w:rsid w:val="00D15645"/>
    <w:rsid w:val="00D15FD1"/>
    <w:rsid w:val="00D16868"/>
    <w:rsid w:val="00D1714F"/>
    <w:rsid w:val="00D1759E"/>
    <w:rsid w:val="00D1771C"/>
    <w:rsid w:val="00D17F70"/>
    <w:rsid w:val="00D204FE"/>
    <w:rsid w:val="00D20506"/>
    <w:rsid w:val="00D209B5"/>
    <w:rsid w:val="00D20EF9"/>
    <w:rsid w:val="00D2228F"/>
    <w:rsid w:val="00D2379E"/>
    <w:rsid w:val="00D23B75"/>
    <w:rsid w:val="00D23BA6"/>
    <w:rsid w:val="00D247CB"/>
    <w:rsid w:val="00D24D86"/>
    <w:rsid w:val="00D255FA"/>
    <w:rsid w:val="00D25B69"/>
    <w:rsid w:val="00D25C05"/>
    <w:rsid w:val="00D26895"/>
    <w:rsid w:val="00D27AC1"/>
    <w:rsid w:val="00D307D7"/>
    <w:rsid w:val="00D3090A"/>
    <w:rsid w:val="00D31623"/>
    <w:rsid w:val="00D31655"/>
    <w:rsid w:val="00D31B39"/>
    <w:rsid w:val="00D31B74"/>
    <w:rsid w:val="00D322CF"/>
    <w:rsid w:val="00D338E3"/>
    <w:rsid w:val="00D33AE8"/>
    <w:rsid w:val="00D33E80"/>
    <w:rsid w:val="00D33FF9"/>
    <w:rsid w:val="00D34554"/>
    <w:rsid w:val="00D35D1E"/>
    <w:rsid w:val="00D36FDB"/>
    <w:rsid w:val="00D372BC"/>
    <w:rsid w:val="00D37613"/>
    <w:rsid w:val="00D404DF"/>
    <w:rsid w:val="00D42131"/>
    <w:rsid w:val="00D425A3"/>
    <w:rsid w:val="00D426A6"/>
    <w:rsid w:val="00D42780"/>
    <w:rsid w:val="00D42C97"/>
    <w:rsid w:val="00D43B82"/>
    <w:rsid w:val="00D44080"/>
    <w:rsid w:val="00D4558A"/>
    <w:rsid w:val="00D45657"/>
    <w:rsid w:val="00D45E0F"/>
    <w:rsid w:val="00D45EE1"/>
    <w:rsid w:val="00D46C35"/>
    <w:rsid w:val="00D47861"/>
    <w:rsid w:val="00D50D77"/>
    <w:rsid w:val="00D534B3"/>
    <w:rsid w:val="00D53ABC"/>
    <w:rsid w:val="00D559C2"/>
    <w:rsid w:val="00D55C8F"/>
    <w:rsid w:val="00D55D8E"/>
    <w:rsid w:val="00D60E9D"/>
    <w:rsid w:val="00D61144"/>
    <w:rsid w:val="00D618DB"/>
    <w:rsid w:val="00D633D1"/>
    <w:rsid w:val="00D641F8"/>
    <w:rsid w:val="00D649DD"/>
    <w:rsid w:val="00D64F62"/>
    <w:rsid w:val="00D6535D"/>
    <w:rsid w:val="00D65F2B"/>
    <w:rsid w:val="00D65F84"/>
    <w:rsid w:val="00D66839"/>
    <w:rsid w:val="00D67AF1"/>
    <w:rsid w:val="00D67B57"/>
    <w:rsid w:val="00D67CA0"/>
    <w:rsid w:val="00D70AB7"/>
    <w:rsid w:val="00D70E8B"/>
    <w:rsid w:val="00D70F7F"/>
    <w:rsid w:val="00D71F43"/>
    <w:rsid w:val="00D71FA9"/>
    <w:rsid w:val="00D72277"/>
    <w:rsid w:val="00D7372C"/>
    <w:rsid w:val="00D742B1"/>
    <w:rsid w:val="00D74633"/>
    <w:rsid w:val="00D764BC"/>
    <w:rsid w:val="00D81741"/>
    <w:rsid w:val="00D818D5"/>
    <w:rsid w:val="00D82679"/>
    <w:rsid w:val="00D839AD"/>
    <w:rsid w:val="00D84433"/>
    <w:rsid w:val="00D84B19"/>
    <w:rsid w:val="00D8515E"/>
    <w:rsid w:val="00D852A9"/>
    <w:rsid w:val="00D865AD"/>
    <w:rsid w:val="00D86A5E"/>
    <w:rsid w:val="00D87218"/>
    <w:rsid w:val="00D872C4"/>
    <w:rsid w:val="00D90421"/>
    <w:rsid w:val="00D91E47"/>
    <w:rsid w:val="00D926BD"/>
    <w:rsid w:val="00D92F4A"/>
    <w:rsid w:val="00D93F58"/>
    <w:rsid w:val="00D948C3"/>
    <w:rsid w:val="00D94BB2"/>
    <w:rsid w:val="00D966E4"/>
    <w:rsid w:val="00DA029F"/>
    <w:rsid w:val="00DA03BE"/>
    <w:rsid w:val="00DA13FE"/>
    <w:rsid w:val="00DA148D"/>
    <w:rsid w:val="00DA312C"/>
    <w:rsid w:val="00DA366B"/>
    <w:rsid w:val="00DA3EA0"/>
    <w:rsid w:val="00DA4C32"/>
    <w:rsid w:val="00DA61AE"/>
    <w:rsid w:val="00DA628C"/>
    <w:rsid w:val="00DA67D7"/>
    <w:rsid w:val="00DB0285"/>
    <w:rsid w:val="00DB0A16"/>
    <w:rsid w:val="00DB1256"/>
    <w:rsid w:val="00DB162C"/>
    <w:rsid w:val="00DB17CF"/>
    <w:rsid w:val="00DB18DE"/>
    <w:rsid w:val="00DB2790"/>
    <w:rsid w:val="00DB27E1"/>
    <w:rsid w:val="00DB399A"/>
    <w:rsid w:val="00DB41AC"/>
    <w:rsid w:val="00DB45AF"/>
    <w:rsid w:val="00DB4B00"/>
    <w:rsid w:val="00DB628D"/>
    <w:rsid w:val="00DB6C26"/>
    <w:rsid w:val="00DB7924"/>
    <w:rsid w:val="00DC0FCC"/>
    <w:rsid w:val="00DC12B6"/>
    <w:rsid w:val="00DC2291"/>
    <w:rsid w:val="00DC2E60"/>
    <w:rsid w:val="00DC32B3"/>
    <w:rsid w:val="00DC4074"/>
    <w:rsid w:val="00DC4CF7"/>
    <w:rsid w:val="00DC5276"/>
    <w:rsid w:val="00DC6609"/>
    <w:rsid w:val="00DD23B8"/>
    <w:rsid w:val="00DD2854"/>
    <w:rsid w:val="00DD3D86"/>
    <w:rsid w:val="00DD4064"/>
    <w:rsid w:val="00DD472D"/>
    <w:rsid w:val="00DD56E9"/>
    <w:rsid w:val="00DD5B0A"/>
    <w:rsid w:val="00DD5D16"/>
    <w:rsid w:val="00DD7269"/>
    <w:rsid w:val="00DD7846"/>
    <w:rsid w:val="00DD7892"/>
    <w:rsid w:val="00DE0BA7"/>
    <w:rsid w:val="00DE18A6"/>
    <w:rsid w:val="00DE18C5"/>
    <w:rsid w:val="00DE1B23"/>
    <w:rsid w:val="00DE2A62"/>
    <w:rsid w:val="00DE2F57"/>
    <w:rsid w:val="00DE330C"/>
    <w:rsid w:val="00DE33BC"/>
    <w:rsid w:val="00DE342D"/>
    <w:rsid w:val="00DE4433"/>
    <w:rsid w:val="00DE45CD"/>
    <w:rsid w:val="00DE4A3B"/>
    <w:rsid w:val="00DE633B"/>
    <w:rsid w:val="00DE697E"/>
    <w:rsid w:val="00DF11C9"/>
    <w:rsid w:val="00DF13FC"/>
    <w:rsid w:val="00DF3189"/>
    <w:rsid w:val="00DF3D54"/>
    <w:rsid w:val="00DF3E87"/>
    <w:rsid w:val="00DF4A9E"/>
    <w:rsid w:val="00DF5F8F"/>
    <w:rsid w:val="00DF72D7"/>
    <w:rsid w:val="00E0071C"/>
    <w:rsid w:val="00E0076D"/>
    <w:rsid w:val="00E01256"/>
    <w:rsid w:val="00E01380"/>
    <w:rsid w:val="00E01C01"/>
    <w:rsid w:val="00E02A1A"/>
    <w:rsid w:val="00E03146"/>
    <w:rsid w:val="00E03373"/>
    <w:rsid w:val="00E03A26"/>
    <w:rsid w:val="00E0490E"/>
    <w:rsid w:val="00E05BF0"/>
    <w:rsid w:val="00E061B2"/>
    <w:rsid w:val="00E10CE4"/>
    <w:rsid w:val="00E1114F"/>
    <w:rsid w:val="00E11711"/>
    <w:rsid w:val="00E12036"/>
    <w:rsid w:val="00E12D99"/>
    <w:rsid w:val="00E13128"/>
    <w:rsid w:val="00E14251"/>
    <w:rsid w:val="00E15168"/>
    <w:rsid w:val="00E151F1"/>
    <w:rsid w:val="00E15561"/>
    <w:rsid w:val="00E15E0F"/>
    <w:rsid w:val="00E172AD"/>
    <w:rsid w:val="00E1733B"/>
    <w:rsid w:val="00E1791D"/>
    <w:rsid w:val="00E20AAA"/>
    <w:rsid w:val="00E20D34"/>
    <w:rsid w:val="00E211D3"/>
    <w:rsid w:val="00E21BE9"/>
    <w:rsid w:val="00E21E36"/>
    <w:rsid w:val="00E2221C"/>
    <w:rsid w:val="00E229B5"/>
    <w:rsid w:val="00E22E57"/>
    <w:rsid w:val="00E23456"/>
    <w:rsid w:val="00E23583"/>
    <w:rsid w:val="00E2421C"/>
    <w:rsid w:val="00E26003"/>
    <w:rsid w:val="00E26A74"/>
    <w:rsid w:val="00E27DCD"/>
    <w:rsid w:val="00E30F86"/>
    <w:rsid w:val="00E31113"/>
    <w:rsid w:val="00E32189"/>
    <w:rsid w:val="00E32AF3"/>
    <w:rsid w:val="00E33654"/>
    <w:rsid w:val="00E33CD1"/>
    <w:rsid w:val="00E33FA7"/>
    <w:rsid w:val="00E357B5"/>
    <w:rsid w:val="00E40C8B"/>
    <w:rsid w:val="00E41371"/>
    <w:rsid w:val="00E41608"/>
    <w:rsid w:val="00E418AA"/>
    <w:rsid w:val="00E4562D"/>
    <w:rsid w:val="00E45678"/>
    <w:rsid w:val="00E46D71"/>
    <w:rsid w:val="00E4712C"/>
    <w:rsid w:val="00E47444"/>
    <w:rsid w:val="00E52206"/>
    <w:rsid w:val="00E5283E"/>
    <w:rsid w:val="00E53F0D"/>
    <w:rsid w:val="00E54C8A"/>
    <w:rsid w:val="00E5570A"/>
    <w:rsid w:val="00E56A25"/>
    <w:rsid w:val="00E574FA"/>
    <w:rsid w:val="00E57D94"/>
    <w:rsid w:val="00E57E38"/>
    <w:rsid w:val="00E60161"/>
    <w:rsid w:val="00E60881"/>
    <w:rsid w:val="00E609F0"/>
    <w:rsid w:val="00E6347C"/>
    <w:rsid w:val="00E63537"/>
    <w:rsid w:val="00E63D6B"/>
    <w:rsid w:val="00E644D1"/>
    <w:rsid w:val="00E658C4"/>
    <w:rsid w:val="00E66222"/>
    <w:rsid w:val="00E707ED"/>
    <w:rsid w:val="00E73D5E"/>
    <w:rsid w:val="00E741E0"/>
    <w:rsid w:val="00E74875"/>
    <w:rsid w:val="00E74C06"/>
    <w:rsid w:val="00E7589B"/>
    <w:rsid w:val="00E75D79"/>
    <w:rsid w:val="00E75EA0"/>
    <w:rsid w:val="00E76A59"/>
    <w:rsid w:val="00E776CE"/>
    <w:rsid w:val="00E80840"/>
    <w:rsid w:val="00E81AB0"/>
    <w:rsid w:val="00E81F3D"/>
    <w:rsid w:val="00E8232B"/>
    <w:rsid w:val="00E830B3"/>
    <w:rsid w:val="00E830E4"/>
    <w:rsid w:val="00E833F1"/>
    <w:rsid w:val="00E83742"/>
    <w:rsid w:val="00E83E64"/>
    <w:rsid w:val="00E84C28"/>
    <w:rsid w:val="00E84E62"/>
    <w:rsid w:val="00E86169"/>
    <w:rsid w:val="00E874F7"/>
    <w:rsid w:val="00E9040C"/>
    <w:rsid w:val="00E9045C"/>
    <w:rsid w:val="00E904D0"/>
    <w:rsid w:val="00E9096D"/>
    <w:rsid w:val="00E90988"/>
    <w:rsid w:val="00E92527"/>
    <w:rsid w:val="00E93AEA"/>
    <w:rsid w:val="00E93B42"/>
    <w:rsid w:val="00E95326"/>
    <w:rsid w:val="00E962BB"/>
    <w:rsid w:val="00E96349"/>
    <w:rsid w:val="00E96BFF"/>
    <w:rsid w:val="00E96F7E"/>
    <w:rsid w:val="00E97523"/>
    <w:rsid w:val="00EA0022"/>
    <w:rsid w:val="00EA02D0"/>
    <w:rsid w:val="00EA11A9"/>
    <w:rsid w:val="00EA1937"/>
    <w:rsid w:val="00EA507F"/>
    <w:rsid w:val="00EA56CB"/>
    <w:rsid w:val="00EA6710"/>
    <w:rsid w:val="00EA6EC6"/>
    <w:rsid w:val="00EA7B6E"/>
    <w:rsid w:val="00EB0677"/>
    <w:rsid w:val="00EB1F26"/>
    <w:rsid w:val="00EB276C"/>
    <w:rsid w:val="00EB2F11"/>
    <w:rsid w:val="00EB3022"/>
    <w:rsid w:val="00EB3968"/>
    <w:rsid w:val="00EB3D09"/>
    <w:rsid w:val="00EB4A23"/>
    <w:rsid w:val="00EB5735"/>
    <w:rsid w:val="00EB5F5C"/>
    <w:rsid w:val="00EB669F"/>
    <w:rsid w:val="00EB6788"/>
    <w:rsid w:val="00EB7642"/>
    <w:rsid w:val="00EB7723"/>
    <w:rsid w:val="00EB79CC"/>
    <w:rsid w:val="00EC04AE"/>
    <w:rsid w:val="00EC1E1D"/>
    <w:rsid w:val="00EC33D5"/>
    <w:rsid w:val="00EC34D3"/>
    <w:rsid w:val="00EC386B"/>
    <w:rsid w:val="00EC45DA"/>
    <w:rsid w:val="00EC5BE6"/>
    <w:rsid w:val="00EC65EB"/>
    <w:rsid w:val="00EC69E3"/>
    <w:rsid w:val="00EC6B8F"/>
    <w:rsid w:val="00EC6CA1"/>
    <w:rsid w:val="00EC72A6"/>
    <w:rsid w:val="00EC76FB"/>
    <w:rsid w:val="00ED1036"/>
    <w:rsid w:val="00ED1E66"/>
    <w:rsid w:val="00ED2940"/>
    <w:rsid w:val="00ED397B"/>
    <w:rsid w:val="00ED3984"/>
    <w:rsid w:val="00ED3AA9"/>
    <w:rsid w:val="00ED3C82"/>
    <w:rsid w:val="00ED4C6F"/>
    <w:rsid w:val="00ED6640"/>
    <w:rsid w:val="00ED6A4F"/>
    <w:rsid w:val="00ED6C57"/>
    <w:rsid w:val="00ED728C"/>
    <w:rsid w:val="00EE117E"/>
    <w:rsid w:val="00EE11E7"/>
    <w:rsid w:val="00EE1571"/>
    <w:rsid w:val="00EE23D7"/>
    <w:rsid w:val="00EE23F3"/>
    <w:rsid w:val="00EE4466"/>
    <w:rsid w:val="00EE4AF8"/>
    <w:rsid w:val="00EE58AA"/>
    <w:rsid w:val="00EE5A72"/>
    <w:rsid w:val="00EE603C"/>
    <w:rsid w:val="00EE6457"/>
    <w:rsid w:val="00EE76F0"/>
    <w:rsid w:val="00EE7BFF"/>
    <w:rsid w:val="00EF0A11"/>
    <w:rsid w:val="00EF0E3C"/>
    <w:rsid w:val="00EF1641"/>
    <w:rsid w:val="00EF18A2"/>
    <w:rsid w:val="00EF1BFD"/>
    <w:rsid w:val="00EF269C"/>
    <w:rsid w:val="00EF3491"/>
    <w:rsid w:val="00EF3902"/>
    <w:rsid w:val="00EF5752"/>
    <w:rsid w:val="00EF6082"/>
    <w:rsid w:val="00EF7100"/>
    <w:rsid w:val="00F001C7"/>
    <w:rsid w:val="00F01353"/>
    <w:rsid w:val="00F01D58"/>
    <w:rsid w:val="00F02024"/>
    <w:rsid w:val="00F038C5"/>
    <w:rsid w:val="00F03A33"/>
    <w:rsid w:val="00F05E82"/>
    <w:rsid w:val="00F06747"/>
    <w:rsid w:val="00F07564"/>
    <w:rsid w:val="00F07DB6"/>
    <w:rsid w:val="00F07F4D"/>
    <w:rsid w:val="00F10279"/>
    <w:rsid w:val="00F11268"/>
    <w:rsid w:val="00F11411"/>
    <w:rsid w:val="00F1155D"/>
    <w:rsid w:val="00F12E2B"/>
    <w:rsid w:val="00F1360A"/>
    <w:rsid w:val="00F13BD5"/>
    <w:rsid w:val="00F1532A"/>
    <w:rsid w:val="00F154B3"/>
    <w:rsid w:val="00F15998"/>
    <w:rsid w:val="00F167A4"/>
    <w:rsid w:val="00F17F1C"/>
    <w:rsid w:val="00F213BB"/>
    <w:rsid w:val="00F22613"/>
    <w:rsid w:val="00F230E2"/>
    <w:rsid w:val="00F23223"/>
    <w:rsid w:val="00F23CCA"/>
    <w:rsid w:val="00F24DF7"/>
    <w:rsid w:val="00F25132"/>
    <w:rsid w:val="00F26CD0"/>
    <w:rsid w:val="00F272FB"/>
    <w:rsid w:val="00F3016A"/>
    <w:rsid w:val="00F31A52"/>
    <w:rsid w:val="00F3355C"/>
    <w:rsid w:val="00F335F0"/>
    <w:rsid w:val="00F3364C"/>
    <w:rsid w:val="00F33E9E"/>
    <w:rsid w:val="00F346E6"/>
    <w:rsid w:val="00F34E4D"/>
    <w:rsid w:val="00F34F48"/>
    <w:rsid w:val="00F35417"/>
    <w:rsid w:val="00F35724"/>
    <w:rsid w:val="00F3627D"/>
    <w:rsid w:val="00F37E74"/>
    <w:rsid w:val="00F41E8E"/>
    <w:rsid w:val="00F4222E"/>
    <w:rsid w:val="00F42C07"/>
    <w:rsid w:val="00F42C9B"/>
    <w:rsid w:val="00F430B5"/>
    <w:rsid w:val="00F43B70"/>
    <w:rsid w:val="00F43F28"/>
    <w:rsid w:val="00F45855"/>
    <w:rsid w:val="00F45E7F"/>
    <w:rsid w:val="00F45EA6"/>
    <w:rsid w:val="00F464A0"/>
    <w:rsid w:val="00F46858"/>
    <w:rsid w:val="00F46997"/>
    <w:rsid w:val="00F46D5B"/>
    <w:rsid w:val="00F47176"/>
    <w:rsid w:val="00F5054C"/>
    <w:rsid w:val="00F5058A"/>
    <w:rsid w:val="00F508DF"/>
    <w:rsid w:val="00F50C1A"/>
    <w:rsid w:val="00F51634"/>
    <w:rsid w:val="00F5428A"/>
    <w:rsid w:val="00F54DC1"/>
    <w:rsid w:val="00F556D3"/>
    <w:rsid w:val="00F56F50"/>
    <w:rsid w:val="00F5737D"/>
    <w:rsid w:val="00F575F3"/>
    <w:rsid w:val="00F57CF5"/>
    <w:rsid w:val="00F61640"/>
    <w:rsid w:val="00F616C7"/>
    <w:rsid w:val="00F62C0D"/>
    <w:rsid w:val="00F62DB3"/>
    <w:rsid w:val="00F638AC"/>
    <w:rsid w:val="00F643A2"/>
    <w:rsid w:val="00F6448D"/>
    <w:rsid w:val="00F64870"/>
    <w:rsid w:val="00F64FF5"/>
    <w:rsid w:val="00F652B3"/>
    <w:rsid w:val="00F65FD3"/>
    <w:rsid w:val="00F6691B"/>
    <w:rsid w:val="00F66F1A"/>
    <w:rsid w:val="00F67431"/>
    <w:rsid w:val="00F67A36"/>
    <w:rsid w:val="00F67E6D"/>
    <w:rsid w:val="00F70C95"/>
    <w:rsid w:val="00F70DEA"/>
    <w:rsid w:val="00F713B4"/>
    <w:rsid w:val="00F71B36"/>
    <w:rsid w:val="00F73357"/>
    <w:rsid w:val="00F734DF"/>
    <w:rsid w:val="00F737D1"/>
    <w:rsid w:val="00F73DB5"/>
    <w:rsid w:val="00F74487"/>
    <w:rsid w:val="00F745F4"/>
    <w:rsid w:val="00F752F6"/>
    <w:rsid w:val="00F77D5A"/>
    <w:rsid w:val="00F8005C"/>
    <w:rsid w:val="00F8057A"/>
    <w:rsid w:val="00F80CDD"/>
    <w:rsid w:val="00F81511"/>
    <w:rsid w:val="00F82A7E"/>
    <w:rsid w:val="00F83A60"/>
    <w:rsid w:val="00F8403A"/>
    <w:rsid w:val="00F847E4"/>
    <w:rsid w:val="00F8494E"/>
    <w:rsid w:val="00F8549E"/>
    <w:rsid w:val="00F863CB"/>
    <w:rsid w:val="00F86A1B"/>
    <w:rsid w:val="00F86FB9"/>
    <w:rsid w:val="00F87683"/>
    <w:rsid w:val="00F87816"/>
    <w:rsid w:val="00F87A4F"/>
    <w:rsid w:val="00F903C3"/>
    <w:rsid w:val="00F907C2"/>
    <w:rsid w:val="00F91297"/>
    <w:rsid w:val="00F92E56"/>
    <w:rsid w:val="00F930D3"/>
    <w:rsid w:val="00F9443F"/>
    <w:rsid w:val="00F95A5A"/>
    <w:rsid w:val="00F95B45"/>
    <w:rsid w:val="00F96AFA"/>
    <w:rsid w:val="00F970B2"/>
    <w:rsid w:val="00F979C5"/>
    <w:rsid w:val="00FA04D1"/>
    <w:rsid w:val="00FA1338"/>
    <w:rsid w:val="00FA2073"/>
    <w:rsid w:val="00FA2563"/>
    <w:rsid w:val="00FA3FA1"/>
    <w:rsid w:val="00FA5A91"/>
    <w:rsid w:val="00FA5E4C"/>
    <w:rsid w:val="00FA6811"/>
    <w:rsid w:val="00FA6E40"/>
    <w:rsid w:val="00FA7A08"/>
    <w:rsid w:val="00FA7F41"/>
    <w:rsid w:val="00FB0195"/>
    <w:rsid w:val="00FB0437"/>
    <w:rsid w:val="00FB27C6"/>
    <w:rsid w:val="00FB33C5"/>
    <w:rsid w:val="00FB3909"/>
    <w:rsid w:val="00FB395F"/>
    <w:rsid w:val="00FB41EF"/>
    <w:rsid w:val="00FB460D"/>
    <w:rsid w:val="00FB5A3F"/>
    <w:rsid w:val="00FB5E1D"/>
    <w:rsid w:val="00FB6B96"/>
    <w:rsid w:val="00FB6D96"/>
    <w:rsid w:val="00FB6F54"/>
    <w:rsid w:val="00FC0066"/>
    <w:rsid w:val="00FC0302"/>
    <w:rsid w:val="00FC0304"/>
    <w:rsid w:val="00FC05AE"/>
    <w:rsid w:val="00FC09E0"/>
    <w:rsid w:val="00FC0BB8"/>
    <w:rsid w:val="00FC124B"/>
    <w:rsid w:val="00FC15CB"/>
    <w:rsid w:val="00FC1931"/>
    <w:rsid w:val="00FC22AA"/>
    <w:rsid w:val="00FC288E"/>
    <w:rsid w:val="00FC2D0F"/>
    <w:rsid w:val="00FC2FBB"/>
    <w:rsid w:val="00FC3238"/>
    <w:rsid w:val="00FC3CA8"/>
    <w:rsid w:val="00FC619F"/>
    <w:rsid w:val="00FD04D2"/>
    <w:rsid w:val="00FD09CE"/>
    <w:rsid w:val="00FD1F80"/>
    <w:rsid w:val="00FD2121"/>
    <w:rsid w:val="00FD2A76"/>
    <w:rsid w:val="00FD3571"/>
    <w:rsid w:val="00FD42CC"/>
    <w:rsid w:val="00FD4AC2"/>
    <w:rsid w:val="00FD527F"/>
    <w:rsid w:val="00FD6DF0"/>
    <w:rsid w:val="00FD76FE"/>
    <w:rsid w:val="00FD7803"/>
    <w:rsid w:val="00FD7962"/>
    <w:rsid w:val="00FE0E23"/>
    <w:rsid w:val="00FE0E33"/>
    <w:rsid w:val="00FE15D1"/>
    <w:rsid w:val="00FE17BE"/>
    <w:rsid w:val="00FE37C7"/>
    <w:rsid w:val="00FE3E9F"/>
    <w:rsid w:val="00FE456A"/>
    <w:rsid w:val="00FE4866"/>
    <w:rsid w:val="00FE6543"/>
    <w:rsid w:val="00FE65F4"/>
    <w:rsid w:val="00FE688B"/>
    <w:rsid w:val="00FF04E3"/>
    <w:rsid w:val="00FF0A4B"/>
    <w:rsid w:val="00FF124D"/>
    <w:rsid w:val="00FF143D"/>
    <w:rsid w:val="00FF1705"/>
    <w:rsid w:val="00FF1802"/>
    <w:rsid w:val="00FF3B9F"/>
    <w:rsid w:val="00FF4C1F"/>
    <w:rsid w:val="00FF5F6F"/>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6D0C7"/>
  <w15:chartTrackingRefBased/>
  <w15:docId w15:val="{1C3A51DD-576A-E041-93DE-C45DE959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CCA"/>
    <w:rPr>
      <w:sz w:val="16"/>
      <w:szCs w:val="16"/>
    </w:rPr>
  </w:style>
  <w:style w:type="paragraph" w:styleId="CommentText">
    <w:name w:val="annotation text"/>
    <w:basedOn w:val="Normal"/>
    <w:link w:val="CommentTextChar"/>
    <w:uiPriority w:val="99"/>
    <w:semiHidden/>
    <w:unhideWhenUsed/>
    <w:rsid w:val="002D7CCA"/>
    <w:rPr>
      <w:sz w:val="20"/>
      <w:szCs w:val="20"/>
    </w:rPr>
  </w:style>
  <w:style w:type="character" w:customStyle="1" w:styleId="CommentTextChar">
    <w:name w:val="Comment Text Char"/>
    <w:basedOn w:val="DefaultParagraphFont"/>
    <w:link w:val="CommentText"/>
    <w:uiPriority w:val="99"/>
    <w:semiHidden/>
    <w:rsid w:val="002D7CC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7CCA"/>
    <w:rPr>
      <w:b/>
      <w:bCs/>
    </w:rPr>
  </w:style>
  <w:style w:type="character" w:customStyle="1" w:styleId="CommentSubjectChar">
    <w:name w:val="Comment Subject Char"/>
    <w:basedOn w:val="CommentTextChar"/>
    <w:link w:val="CommentSubject"/>
    <w:uiPriority w:val="99"/>
    <w:semiHidden/>
    <w:rsid w:val="002D7CC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D7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CA"/>
    <w:rPr>
      <w:rFonts w:ascii="Segoe UI" w:eastAsia="Times New Roman" w:hAnsi="Segoe UI" w:cs="Segoe UI"/>
      <w:sz w:val="18"/>
      <w:szCs w:val="18"/>
      <w:lang w:eastAsia="en-GB"/>
    </w:rPr>
  </w:style>
  <w:style w:type="table" w:styleId="TableGrid">
    <w:name w:val="Table Grid"/>
    <w:basedOn w:val="TableNormal"/>
    <w:uiPriority w:val="39"/>
    <w:rsid w:val="00CC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6610"/>
    <w:pPr>
      <w:spacing w:before="100" w:beforeAutospacing="1" w:after="100" w:afterAutospacing="1"/>
    </w:pPr>
  </w:style>
  <w:style w:type="character" w:styleId="Emphasis">
    <w:name w:val="Emphasis"/>
    <w:basedOn w:val="DefaultParagraphFont"/>
    <w:uiPriority w:val="20"/>
    <w:qFormat/>
    <w:rsid w:val="00C06610"/>
    <w:rPr>
      <w:i/>
      <w:iCs/>
    </w:rPr>
  </w:style>
  <w:style w:type="paragraph" w:styleId="Header">
    <w:name w:val="header"/>
    <w:basedOn w:val="Normal"/>
    <w:link w:val="HeaderChar"/>
    <w:uiPriority w:val="99"/>
    <w:unhideWhenUsed/>
    <w:rsid w:val="000C3F10"/>
    <w:pPr>
      <w:tabs>
        <w:tab w:val="center" w:pos="4680"/>
        <w:tab w:val="right" w:pos="9360"/>
      </w:tabs>
    </w:pPr>
  </w:style>
  <w:style w:type="character" w:customStyle="1" w:styleId="HeaderChar">
    <w:name w:val="Header Char"/>
    <w:basedOn w:val="DefaultParagraphFont"/>
    <w:link w:val="Header"/>
    <w:uiPriority w:val="99"/>
    <w:rsid w:val="000C3F10"/>
    <w:rPr>
      <w:rFonts w:ascii="Times New Roman" w:eastAsia="Times New Roman" w:hAnsi="Times New Roman" w:cs="Times New Roman"/>
      <w:lang w:eastAsia="en-GB"/>
    </w:rPr>
  </w:style>
  <w:style w:type="paragraph" w:styleId="Footer">
    <w:name w:val="footer"/>
    <w:basedOn w:val="Normal"/>
    <w:link w:val="FooterChar"/>
    <w:uiPriority w:val="99"/>
    <w:unhideWhenUsed/>
    <w:rsid w:val="000C3F10"/>
    <w:pPr>
      <w:tabs>
        <w:tab w:val="center" w:pos="4680"/>
        <w:tab w:val="right" w:pos="9360"/>
      </w:tabs>
    </w:pPr>
  </w:style>
  <w:style w:type="character" w:customStyle="1" w:styleId="FooterChar">
    <w:name w:val="Footer Char"/>
    <w:basedOn w:val="DefaultParagraphFont"/>
    <w:link w:val="Footer"/>
    <w:uiPriority w:val="99"/>
    <w:rsid w:val="000C3F10"/>
    <w:rPr>
      <w:rFonts w:ascii="Times New Roman" w:eastAsia="Times New Roman" w:hAnsi="Times New Roman" w:cs="Times New Roman"/>
      <w:lang w:eastAsia="en-GB"/>
    </w:rPr>
  </w:style>
  <w:style w:type="paragraph" w:customStyle="1" w:styleId="p">
    <w:name w:val="p"/>
    <w:basedOn w:val="Normal"/>
    <w:rsid w:val="00A478B2"/>
    <w:pPr>
      <w:spacing w:before="100" w:beforeAutospacing="1" w:after="100" w:afterAutospacing="1"/>
    </w:pPr>
  </w:style>
  <w:style w:type="character" w:styleId="Hyperlink">
    <w:name w:val="Hyperlink"/>
    <w:basedOn w:val="DefaultParagraphFont"/>
    <w:uiPriority w:val="99"/>
    <w:unhideWhenUsed/>
    <w:rsid w:val="00826CBA"/>
    <w:rPr>
      <w:color w:val="0563C1" w:themeColor="hyperlink"/>
      <w:u w:val="single"/>
    </w:rPr>
  </w:style>
  <w:style w:type="character" w:styleId="UnresolvedMention">
    <w:name w:val="Unresolved Mention"/>
    <w:basedOn w:val="DefaultParagraphFont"/>
    <w:uiPriority w:val="99"/>
    <w:semiHidden/>
    <w:unhideWhenUsed/>
    <w:rsid w:val="00826CBA"/>
    <w:rPr>
      <w:color w:val="605E5C"/>
      <w:shd w:val="clear" w:color="auto" w:fill="E1DFDD"/>
    </w:rPr>
  </w:style>
  <w:style w:type="paragraph" w:customStyle="1" w:styleId="para">
    <w:name w:val="para"/>
    <w:basedOn w:val="Normal"/>
    <w:rsid w:val="004016F3"/>
    <w:pPr>
      <w:spacing w:before="100" w:beforeAutospacing="1" w:after="100" w:afterAutospacing="1"/>
    </w:pPr>
  </w:style>
  <w:style w:type="character" w:styleId="FollowedHyperlink">
    <w:name w:val="FollowedHyperlink"/>
    <w:basedOn w:val="DefaultParagraphFont"/>
    <w:uiPriority w:val="99"/>
    <w:semiHidden/>
    <w:unhideWhenUsed/>
    <w:rsid w:val="005C6D93"/>
    <w:rPr>
      <w:color w:val="954F72" w:themeColor="followedHyperlink"/>
      <w:u w:val="single"/>
    </w:rPr>
  </w:style>
  <w:style w:type="character" w:styleId="PageNumber">
    <w:name w:val="page number"/>
    <w:basedOn w:val="DefaultParagraphFont"/>
    <w:uiPriority w:val="99"/>
    <w:semiHidden/>
    <w:unhideWhenUsed/>
    <w:rsid w:val="002E4392"/>
  </w:style>
  <w:style w:type="paragraph" w:styleId="Revision">
    <w:name w:val="Revision"/>
    <w:hidden/>
    <w:uiPriority w:val="99"/>
    <w:semiHidden/>
    <w:rsid w:val="00903AB1"/>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94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4291">
      <w:bodyDiv w:val="1"/>
      <w:marLeft w:val="0"/>
      <w:marRight w:val="0"/>
      <w:marTop w:val="0"/>
      <w:marBottom w:val="0"/>
      <w:divBdr>
        <w:top w:val="none" w:sz="0" w:space="0" w:color="auto"/>
        <w:left w:val="none" w:sz="0" w:space="0" w:color="auto"/>
        <w:bottom w:val="none" w:sz="0" w:space="0" w:color="auto"/>
        <w:right w:val="none" w:sz="0" w:space="0" w:color="auto"/>
      </w:divBdr>
    </w:div>
    <w:div w:id="77558354">
      <w:bodyDiv w:val="1"/>
      <w:marLeft w:val="0"/>
      <w:marRight w:val="0"/>
      <w:marTop w:val="0"/>
      <w:marBottom w:val="0"/>
      <w:divBdr>
        <w:top w:val="none" w:sz="0" w:space="0" w:color="auto"/>
        <w:left w:val="none" w:sz="0" w:space="0" w:color="auto"/>
        <w:bottom w:val="none" w:sz="0" w:space="0" w:color="auto"/>
        <w:right w:val="none" w:sz="0" w:space="0" w:color="auto"/>
      </w:divBdr>
    </w:div>
    <w:div w:id="85276405">
      <w:bodyDiv w:val="1"/>
      <w:marLeft w:val="0"/>
      <w:marRight w:val="0"/>
      <w:marTop w:val="0"/>
      <w:marBottom w:val="0"/>
      <w:divBdr>
        <w:top w:val="none" w:sz="0" w:space="0" w:color="auto"/>
        <w:left w:val="none" w:sz="0" w:space="0" w:color="auto"/>
        <w:bottom w:val="none" w:sz="0" w:space="0" w:color="auto"/>
        <w:right w:val="none" w:sz="0" w:space="0" w:color="auto"/>
      </w:divBdr>
      <w:divsChild>
        <w:div w:id="367875224">
          <w:marLeft w:val="0"/>
          <w:marRight w:val="0"/>
          <w:marTop w:val="0"/>
          <w:marBottom w:val="0"/>
          <w:divBdr>
            <w:top w:val="none" w:sz="0" w:space="0" w:color="auto"/>
            <w:left w:val="none" w:sz="0" w:space="0" w:color="auto"/>
            <w:bottom w:val="none" w:sz="0" w:space="0" w:color="auto"/>
            <w:right w:val="none" w:sz="0" w:space="0" w:color="auto"/>
          </w:divBdr>
          <w:divsChild>
            <w:div w:id="73550977">
              <w:marLeft w:val="0"/>
              <w:marRight w:val="0"/>
              <w:marTop w:val="0"/>
              <w:marBottom w:val="0"/>
              <w:divBdr>
                <w:top w:val="none" w:sz="0" w:space="0" w:color="auto"/>
                <w:left w:val="none" w:sz="0" w:space="0" w:color="auto"/>
                <w:bottom w:val="none" w:sz="0" w:space="0" w:color="auto"/>
                <w:right w:val="none" w:sz="0" w:space="0" w:color="auto"/>
              </w:divBdr>
            </w:div>
          </w:divsChild>
        </w:div>
        <w:div w:id="1935823221">
          <w:marLeft w:val="0"/>
          <w:marRight w:val="0"/>
          <w:marTop w:val="0"/>
          <w:marBottom w:val="0"/>
          <w:divBdr>
            <w:top w:val="none" w:sz="0" w:space="0" w:color="auto"/>
            <w:left w:val="none" w:sz="0" w:space="0" w:color="auto"/>
            <w:bottom w:val="none" w:sz="0" w:space="0" w:color="auto"/>
            <w:right w:val="none" w:sz="0" w:space="0" w:color="auto"/>
          </w:divBdr>
        </w:div>
      </w:divsChild>
    </w:div>
    <w:div w:id="124928988">
      <w:bodyDiv w:val="1"/>
      <w:marLeft w:val="0"/>
      <w:marRight w:val="0"/>
      <w:marTop w:val="0"/>
      <w:marBottom w:val="0"/>
      <w:divBdr>
        <w:top w:val="none" w:sz="0" w:space="0" w:color="auto"/>
        <w:left w:val="none" w:sz="0" w:space="0" w:color="auto"/>
        <w:bottom w:val="none" w:sz="0" w:space="0" w:color="auto"/>
        <w:right w:val="none" w:sz="0" w:space="0" w:color="auto"/>
      </w:divBdr>
    </w:div>
    <w:div w:id="165946271">
      <w:bodyDiv w:val="1"/>
      <w:marLeft w:val="0"/>
      <w:marRight w:val="0"/>
      <w:marTop w:val="0"/>
      <w:marBottom w:val="0"/>
      <w:divBdr>
        <w:top w:val="none" w:sz="0" w:space="0" w:color="auto"/>
        <w:left w:val="none" w:sz="0" w:space="0" w:color="auto"/>
        <w:bottom w:val="none" w:sz="0" w:space="0" w:color="auto"/>
        <w:right w:val="none" w:sz="0" w:space="0" w:color="auto"/>
      </w:divBdr>
    </w:div>
    <w:div w:id="228461262">
      <w:bodyDiv w:val="1"/>
      <w:marLeft w:val="0"/>
      <w:marRight w:val="0"/>
      <w:marTop w:val="0"/>
      <w:marBottom w:val="0"/>
      <w:divBdr>
        <w:top w:val="none" w:sz="0" w:space="0" w:color="auto"/>
        <w:left w:val="none" w:sz="0" w:space="0" w:color="auto"/>
        <w:bottom w:val="none" w:sz="0" w:space="0" w:color="auto"/>
        <w:right w:val="none" w:sz="0" w:space="0" w:color="auto"/>
      </w:divBdr>
    </w:div>
    <w:div w:id="266550655">
      <w:bodyDiv w:val="1"/>
      <w:marLeft w:val="0"/>
      <w:marRight w:val="0"/>
      <w:marTop w:val="0"/>
      <w:marBottom w:val="0"/>
      <w:divBdr>
        <w:top w:val="none" w:sz="0" w:space="0" w:color="auto"/>
        <w:left w:val="none" w:sz="0" w:space="0" w:color="auto"/>
        <w:bottom w:val="none" w:sz="0" w:space="0" w:color="auto"/>
        <w:right w:val="none" w:sz="0" w:space="0" w:color="auto"/>
      </w:divBdr>
    </w:div>
    <w:div w:id="275064513">
      <w:bodyDiv w:val="1"/>
      <w:marLeft w:val="0"/>
      <w:marRight w:val="0"/>
      <w:marTop w:val="0"/>
      <w:marBottom w:val="0"/>
      <w:divBdr>
        <w:top w:val="none" w:sz="0" w:space="0" w:color="auto"/>
        <w:left w:val="none" w:sz="0" w:space="0" w:color="auto"/>
        <w:bottom w:val="none" w:sz="0" w:space="0" w:color="auto"/>
        <w:right w:val="none" w:sz="0" w:space="0" w:color="auto"/>
      </w:divBdr>
    </w:div>
    <w:div w:id="361901059">
      <w:bodyDiv w:val="1"/>
      <w:marLeft w:val="0"/>
      <w:marRight w:val="0"/>
      <w:marTop w:val="0"/>
      <w:marBottom w:val="0"/>
      <w:divBdr>
        <w:top w:val="none" w:sz="0" w:space="0" w:color="auto"/>
        <w:left w:val="none" w:sz="0" w:space="0" w:color="auto"/>
        <w:bottom w:val="none" w:sz="0" w:space="0" w:color="auto"/>
        <w:right w:val="none" w:sz="0" w:space="0" w:color="auto"/>
      </w:divBdr>
    </w:div>
    <w:div w:id="364722109">
      <w:bodyDiv w:val="1"/>
      <w:marLeft w:val="0"/>
      <w:marRight w:val="0"/>
      <w:marTop w:val="0"/>
      <w:marBottom w:val="0"/>
      <w:divBdr>
        <w:top w:val="none" w:sz="0" w:space="0" w:color="auto"/>
        <w:left w:val="none" w:sz="0" w:space="0" w:color="auto"/>
        <w:bottom w:val="none" w:sz="0" w:space="0" w:color="auto"/>
        <w:right w:val="none" w:sz="0" w:space="0" w:color="auto"/>
      </w:divBdr>
    </w:div>
    <w:div w:id="390808573">
      <w:bodyDiv w:val="1"/>
      <w:marLeft w:val="0"/>
      <w:marRight w:val="0"/>
      <w:marTop w:val="0"/>
      <w:marBottom w:val="0"/>
      <w:divBdr>
        <w:top w:val="none" w:sz="0" w:space="0" w:color="auto"/>
        <w:left w:val="none" w:sz="0" w:space="0" w:color="auto"/>
        <w:bottom w:val="none" w:sz="0" w:space="0" w:color="auto"/>
        <w:right w:val="none" w:sz="0" w:space="0" w:color="auto"/>
      </w:divBdr>
    </w:div>
    <w:div w:id="432092530">
      <w:bodyDiv w:val="1"/>
      <w:marLeft w:val="0"/>
      <w:marRight w:val="0"/>
      <w:marTop w:val="0"/>
      <w:marBottom w:val="0"/>
      <w:divBdr>
        <w:top w:val="none" w:sz="0" w:space="0" w:color="auto"/>
        <w:left w:val="none" w:sz="0" w:space="0" w:color="auto"/>
        <w:bottom w:val="none" w:sz="0" w:space="0" w:color="auto"/>
        <w:right w:val="none" w:sz="0" w:space="0" w:color="auto"/>
      </w:divBdr>
    </w:div>
    <w:div w:id="454447326">
      <w:bodyDiv w:val="1"/>
      <w:marLeft w:val="0"/>
      <w:marRight w:val="0"/>
      <w:marTop w:val="0"/>
      <w:marBottom w:val="0"/>
      <w:divBdr>
        <w:top w:val="none" w:sz="0" w:space="0" w:color="auto"/>
        <w:left w:val="none" w:sz="0" w:space="0" w:color="auto"/>
        <w:bottom w:val="none" w:sz="0" w:space="0" w:color="auto"/>
        <w:right w:val="none" w:sz="0" w:space="0" w:color="auto"/>
      </w:divBdr>
    </w:div>
    <w:div w:id="502743788">
      <w:bodyDiv w:val="1"/>
      <w:marLeft w:val="0"/>
      <w:marRight w:val="0"/>
      <w:marTop w:val="0"/>
      <w:marBottom w:val="0"/>
      <w:divBdr>
        <w:top w:val="none" w:sz="0" w:space="0" w:color="auto"/>
        <w:left w:val="none" w:sz="0" w:space="0" w:color="auto"/>
        <w:bottom w:val="none" w:sz="0" w:space="0" w:color="auto"/>
        <w:right w:val="none" w:sz="0" w:space="0" w:color="auto"/>
      </w:divBdr>
    </w:div>
    <w:div w:id="548153176">
      <w:bodyDiv w:val="1"/>
      <w:marLeft w:val="0"/>
      <w:marRight w:val="0"/>
      <w:marTop w:val="0"/>
      <w:marBottom w:val="0"/>
      <w:divBdr>
        <w:top w:val="none" w:sz="0" w:space="0" w:color="auto"/>
        <w:left w:val="none" w:sz="0" w:space="0" w:color="auto"/>
        <w:bottom w:val="none" w:sz="0" w:space="0" w:color="auto"/>
        <w:right w:val="none" w:sz="0" w:space="0" w:color="auto"/>
      </w:divBdr>
    </w:div>
    <w:div w:id="565459652">
      <w:bodyDiv w:val="1"/>
      <w:marLeft w:val="0"/>
      <w:marRight w:val="0"/>
      <w:marTop w:val="0"/>
      <w:marBottom w:val="0"/>
      <w:divBdr>
        <w:top w:val="none" w:sz="0" w:space="0" w:color="auto"/>
        <w:left w:val="none" w:sz="0" w:space="0" w:color="auto"/>
        <w:bottom w:val="none" w:sz="0" w:space="0" w:color="auto"/>
        <w:right w:val="none" w:sz="0" w:space="0" w:color="auto"/>
      </w:divBdr>
      <w:divsChild>
        <w:div w:id="1572883637">
          <w:marLeft w:val="0"/>
          <w:marRight w:val="0"/>
          <w:marTop w:val="0"/>
          <w:marBottom w:val="0"/>
          <w:divBdr>
            <w:top w:val="none" w:sz="0" w:space="0" w:color="auto"/>
            <w:left w:val="none" w:sz="0" w:space="0" w:color="auto"/>
            <w:bottom w:val="none" w:sz="0" w:space="0" w:color="auto"/>
            <w:right w:val="none" w:sz="0" w:space="0" w:color="auto"/>
          </w:divBdr>
          <w:divsChild>
            <w:div w:id="1243877353">
              <w:marLeft w:val="0"/>
              <w:marRight w:val="0"/>
              <w:marTop w:val="0"/>
              <w:marBottom w:val="0"/>
              <w:divBdr>
                <w:top w:val="none" w:sz="0" w:space="0" w:color="auto"/>
                <w:left w:val="none" w:sz="0" w:space="0" w:color="auto"/>
                <w:bottom w:val="none" w:sz="0" w:space="0" w:color="auto"/>
                <w:right w:val="none" w:sz="0" w:space="0" w:color="auto"/>
              </w:divBdr>
            </w:div>
          </w:divsChild>
        </w:div>
        <w:div w:id="1670670301">
          <w:marLeft w:val="0"/>
          <w:marRight w:val="0"/>
          <w:marTop w:val="0"/>
          <w:marBottom w:val="0"/>
          <w:divBdr>
            <w:top w:val="none" w:sz="0" w:space="0" w:color="auto"/>
            <w:left w:val="none" w:sz="0" w:space="0" w:color="auto"/>
            <w:bottom w:val="none" w:sz="0" w:space="0" w:color="auto"/>
            <w:right w:val="none" w:sz="0" w:space="0" w:color="auto"/>
          </w:divBdr>
        </w:div>
      </w:divsChild>
    </w:div>
    <w:div w:id="572010056">
      <w:bodyDiv w:val="1"/>
      <w:marLeft w:val="0"/>
      <w:marRight w:val="0"/>
      <w:marTop w:val="0"/>
      <w:marBottom w:val="0"/>
      <w:divBdr>
        <w:top w:val="none" w:sz="0" w:space="0" w:color="auto"/>
        <w:left w:val="none" w:sz="0" w:space="0" w:color="auto"/>
        <w:bottom w:val="none" w:sz="0" w:space="0" w:color="auto"/>
        <w:right w:val="none" w:sz="0" w:space="0" w:color="auto"/>
      </w:divBdr>
    </w:div>
    <w:div w:id="611593360">
      <w:bodyDiv w:val="1"/>
      <w:marLeft w:val="0"/>
      <w:marRight w:val="0"/>
      <w:marTop w:val="0"/>
      <w:marBottom w:val="0"/>
      <w:divBdr>
        <w:top w:val="none" w:sz="0" w:space="0" w:color="auto"/>
        <w:left w:val="none" w:sz="0" w:space="0" w:color="auto"/>
        <w:bottom w:val="none" w:sz="0" w:space="0" w:color="auto"/>
        <w:right w:val="none" w:sz="0" w:space="0" w:color="auto"/>
      </w:divBdr>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708339377">
      <w:bodyDiv w:val="1"/>
      <w:marLeft w:val="0"/>
      <w:marRight w:val="0"/>
      <w:marTop w:val="0"/>
      <w:marBottom w:val="0"/>
      <w:divBdr>
        <w:top w:val="none" w:sz="0" w:space="0" w:color="auto"/>
        <w:left w:val="none" w:sz="0" w:space="0" w:color="auto"/>
        <w:bottom w:val="none" w:sz="0" w:space="0" w:color="auto"/>
        <w:right w:val="none" w:sz="0" w:space="0" w:color="auto"/>
      </w:divBdr>
    </w:div>
    <w:div w:id="732120447">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66076331">
      <w:bodyDiv w:val="1"/>
      <w:marLeft w:val="0"/>
      <w:marRight w:val="0"/>
      <w:marTop w:val="0"/>
      <w:marBottom w:val="0"/>
      <w:divBdr>
        <w:top w:val="none" w:sz="0" w:space="0" w:color="auto"/>
        <w:left w:val="none" w:sz="0" w:space="0" w:color="auto"/>
        <w:bottom w:val="none" w:sz="0" w:space="0" w:color="auto"/>
        <w:right w:val="none" w:sz="0" w:space="0" w:color="auto"/>
      </w:divBdr>
    </w:div>
    <w:div w:id="769551496">
      <w:bodyDiv w:val="1"/>
      <w:marLeft w:val="0"/>
      <w:marRight w:val="0"/>
      <w:marTop w:val="0"/>
      <w:marBottom w:val="0"/>
      <w:divBdr>
        <w:top w:val="none" w:sz="0" w:space="0" w:color="auto"/>
        <w:left w:val="none" w:sz="0" w:space="0" w:color="auto"/>
        <w:bottom w:val="none" w:sz="0" w:space="0" w:color="auto"/>
        <w:right w:val="none" w:sz="0" w:space="0" w:color="auto"/>
      </w:divBdr>
    </w:div>
    <w:div w:id="780688991">
      <w:bodyDiv w:val="1"/>
      <w:marLeft w:val="0"/>
      <w:marRight w:val="0"/>
      <w:marTop w:val="0"/>
      <w:marBottom w:val="0"/>
      <w:divBdr>
        <w:top w:val="none" w:sz="0" w:space="0" w:color="auto"/>
        <w:left w:val="none" w:sz="0" w:space="0" w:color="auto"/>
        <w:bottom w:val="none" w:sz="0" w:space="0" w:color="auto"/>
        <w:right w:val="none" w:sz="0" w:space="0" w:color="auto"/>
      </w:divBdr>
    </w:div>
    <w:div w:id="888103215">
      <w:bodyDiv w:val="1"/>
      <w:marLeft w:val="0"/>
      <w:marRight w:val="0"/>
      <w:marTop w:val="0"/>
      <w:marBottom w:val="0"/>
      <w:divBdr>
        <w:top w:val="none" w:sz="0" w:space="0" w:color="auto"/>
        <w:left w:val="none" w:sz="0" w:space="0" w:color="auto"/>
        <w:bottom w:val="none" w:sz="0" w:space="0" w:color="auto"/>
        <w:right w:val="none" w:sz="0" w:space="0" w:color="auto"/>
      </w:divBdr>
    </w:div>
    <w:div w:id="898175933">
      <w:bodyDiv w:val="1"/>
      <w:marLeft w:val="0"/>
      <w:marRight w:val="0"/>
      <w:marTop w:val="0"/>
      <w:marBottom w:val="0"/>
      <w:divBdr>
        <w:top w:val="none" w:sz="0" w:space="0" w:color="auto"/>
        <w:left w:val="none" w:sz="0" w:space="0" w:color="auto"/>
        <w:bottom w:val="none" w:sz="0" w:space="0" w:color="auto"/>
        <w:right w:val="none" w:sz="0" w:space="0" w:color="auto"/>
      </w:divBdr>
    </w:div>
    <w:div w:id="918321384">
      <w:bodyDiv w:val="1"/>
      <w:marLeft w:val="0"/>
      <w:marRight w:val="0"/>
      <w:marTop w:val="0"/>
      <w:marBottom w:val="0"/>
      <w:divBdr>
        <w:top w:val="none" w:sz="0" w:space="0" w:color="auto"/>
        <w:left w:val="none" w:sz="0" w:space="0" w:color="auto"/>
        <w:bottom w:val="none" w:sz="0" w:space="0" w:color="auto"/>
        <w:right w:val="none" w:sz="0" w:space="0" w:color="auto"/>
      </w:divBdr>
    </w:div>
    <w:div w:id="925846552">
      <w:bodyDiv w:val="1"/>
      <w:marLeft w:val="0"/>
      <w:marRight w:val="0"/>
      <w:marTop w:val="0"/>
      <w:marBottom w:val="0"/>
      <w:divBdr>
        <w:top w:val="none" w:sz="0" w:space="0" w:color="auto"/>
        <w:left w:val="none" w:sz="0" w:space="0" w:color="auto"/>
        <w:bottom w:val="none" w:sz="0" w:space="0" w:color="auto"/>
        <w:right w:val="none" w:sz="0" w:space="0" w:color="auto"/>
      </w:divBdr>
      <w:divsChild>
        <w:div w:id="1789199038">
          <w:marLeft w:val="0"/>
          <w:marRight w:val="0"/>
          <w:marTop w:val="0"/>
          <w:marBottom w:val="0"/>
          <w:divBdr>
            <w:top w:val="none" w:sz="0" w:space="0" w:color="auto"/>
            <w:left w:val="none" w:sz="0" w:space="0" w:color="auto"/>
            <w:bottom w:val="none" w:sz="0" w:space="0" w:color="auto"/>
            <w:right w:val="none" w:sz="0" w:space="0" w:color="auto"/>
          </w:divBdr>
          <w:divsChild>
            <w:div w:id="1583758881">
              <w:marLeft w:val="0"/>
              <w:marRight w:val="0"/>
              <w:marTop w:val="0"/>
              <w:marBottom w:val="0"/>
              <w:divBdr>
                <w:top w:val="none" w:sz="0" w:space="0" w:color="auto"/>
                <w:left w:val="none" w:sz="0" w:space="0" w:color="auto"/>
                <w:bottom w:val="none" w:sz="0" w:space="0" w:color="auto"/>
                <w:right w:val="none" w:sz="0" w:space="0" w:color="auto"/>
              </w:divBdr>
              <w:divsChild>
                <w:div w:id="592400015">
                  <w:marLeft w:val="0"/>
                  <w:marRight w:val="0"/>
                  <w:marTop w:val="0"/>
                  <w:marBottom w:val="0"/>
                  <w:divBdr>
                    <w:top w:val="none" w:sz="0" w:space="0" w:color="auto"/>
                    <w:left w:val="none" w:sz="0" w:space="0" w:color="auto"/>
                    <w:bottom w:val="none" w:sz="0" w:space="0" w:color="auto"/>
                    <w:right w:val="none" w:sz="0" w:space="0" w:color="auto"/>
                  </w:divBdr>
                </w:div>
              </w:divsChild>
            </w:div>
            <w:div w:id="2017996776">
              <w:marLeft w:val="0"/>
              <w:marRight w:val="0"/>
              <w:marTop w:val="0"/>
              <w:marBottom w:val="0"/>
              <w:divBdr>
                <w:top w:val="none" w:sz="0" w:space="0" w:color="auto"/>
                <w:left w:val="none" w:sz="0" w:space="0" w:color="auto"/>
                <w:bottom w:val="none" w:sz="0" w:space="0" w:color="auto"/>
                <w:right w:val="none" w:sz="0" w:space="0" w:color="auto"/>
              </w:divBdr>
              <w:divsChild>
                <w:div w:id="207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417">
      <w:bodyDiv w:val="1"/>
      <w:marLeft w:val="0"/>
      <w:marRight w:val="0"/>
      <w:marTop w:val="0"/>
      <w:marBottom w:val="0"/>
      <w:divBdr>
        <w:top w:val="none" w:sz="0" w:space="0" w:color="auto"/>
        <w:left w:val="none" w:sz="0" w:space="0" w:color="auto"/>
        <w:bottom w:val="none" w:sz="0" w:space="0" w:color="auto"/>
        <w:right w:val="none" w:sz="0" w:space="0" w:color="auto"/>
      </w:divBdr>
    </w:div>
    <w:div w:id="944535150">
      <w:bodyDiv w:val="1"/>
      <w:marLeft w:val="0"/>
      <w:marRight w:val="0"/>
      <w:marTop w:val="0"/>
      <w:marBottom w:val="0"/>
      <w:divBdr>
        <w:top w:val="none" w:sz="0" w:space="0" w:color="auto"/>
        <w:left w:val="none" w:sz="0" w:space="0" w:color="auto"/>
        <w:bottom w:val="none" w:sz="0" w:space="0" w:color="auto"/>
        <w:right w:val="none" w:sz="0" w:space="0" w:color="auto"/>
      </w:divBdr>
      <w:divsChild>
        <w:div w:id="1849562880">
          <w:marLeft w:val="0"/>
          <w:marRight w:val="0"/>
          <w:marTop w:val="0"/>
          <w:marBottom w:val="0"/>
          <w:divBdr>
            <w:top w:val="none" w:sz="0" w:space="0" w:color="auto"/>
            <w:left w:val="none" w:sz="0" w:space="0" w:color="auto"/>
            <w:bottom w:val="none" w:sz="0" w:space="0" w:color="auto"/>
            <w:right w:val="none" w:sz="0" w:space="0" w:color="auto"/>
          </w:divBdr>
          <w:divsChild>
            <w:div w:id="1344239253">
              <w:marLeft w:val="0"/>
              <w:marRight w:val="0"/>
              <w:marTop w:val="0"/>
              <w:marBottom w:val="0"/>
              <w:divBdr>
                <w:top w:val="none" w:sz="0" w:space="0" w:color="auto"/>
                <w:left w:val="none" w:sz="0" w:space="0" w:color="auto"/>
                <w:bottom w:val="none" w:sz="0" w:space="0" w:color="auto"/>
                <w:right w:val="none" w:sz="0" w:space="0" w:color="auto"/>
              </w:divBdr>
            </w:div>
          </w:divsChild>
        </w:div>
        <w:div w:id="1813517802">
          <w:marLeft w:val="0"/>
          <w:marRight w:val="0"/>
          <w:marTop w:val="0"/>
          <w:marBottom w:val="0"/>
          <w:divBdr>
            <w:top w:val="none" w:sz="0" w:space="0" w:color="auto"/>
            <w:left w:val="none" w:sz="0" w:space="0" w:color="auto"/>
            <w:bottom w:val="none" w:sz="0" w:space="0" w:color="auto"/>
            <w:right w:val="none" w:sz="0" w:space="0" w:color="auto"/>
          </w:divBdr>
        </w:div>
      </w:divsChild>
    </w:div>
    <w:div w:id="995106613">
      <w:bodyDiv w:val="1"/>
      <w:marLeft w:val="0"/>
      <w:marRight w:val="0"/>
      <w:marTop w:val="0"/>
      <w:marBottom w:val="0"/>
      <w:divBdr>
        <w:top w:val="none" w:sz="0" w:space="0" w:color="auto"/>
        <w:left w:val="none" w:sz="0" w:space="0" w:color="auto"/>
        <w:bottom w:val="none" w:sz="0" w:space="0" w:color="auto"/>
        <w:right w:val="none" w:sz="0" w:space="0" w:color="auto"/>
      </w:divBdr>
    </w:div>
    <w:div w:id="1037856474">
      <w:bodyDiv w:val="1"/>
      <w:marLeft w:val="0"/>
      <w:marRight w:val="0"/>
      <w:marTop w:val="0"/>
      <w:marBottom w:val="0"/>
      <w:divBdr>
        <w:top w:val="none" w:sz="0" w:space="0" w:color="auto"/>
        <w:left w:val="none" w:sz="0" w:space="0" w:color="auto"/>
        <w:bottom w:val="none" w:sz="0" w:space="0" w:color="auto"/>
        <w:right w:val="none" w:sz="0" w:space="0" w:color="auto"/>
      </w:divBdr>
    </w:div>
    <w:div w:id="1038701052">
      <w:bodyDiv w:val="1"/>
      <w:marLeft w:val="0"/>
      <w:marRight w:val="0"/>
      <w:marTop w:val="0"/>
      <w:marBottom w:val="0"/>
      <w:divBdr>
        <w:top w:val="none" w:sz="0" w:space="0" w:color="auto"/>
        <w:left w:val="none" w:sz="0" w:space="0" w:color="auto"/>
        <w:bottom w:val="none" w:sz="0" w:space="0" w:color="auto"/>
        <w:right w:val="none" w:sz="0" w:space="0" w:color="auto"/>
      </w:divBdr>
    </w:div>
    <w:div w:id="1048068291">
      <w:bodyDiv w:val="1"/>
      <w:marLeft w:val="0"/>
      <w:marRight w:val="0"/>
      <w:marTop w:val="0"/>
      <w:marBottom w:val="0"/>
      <w:divBdr>
        <w:top w:val="none" w:sz="0" w:space="0" w:color="auto"/>
        <w:left w:val="none" w:sz="0" w:space="0" w:color="auto"/>
        <w:bottom w:val="none" w:sz="0" w:space="0" w:color="auto"/>
        <w:right w:val="none" w:sz="0" w:space="0" w:color="auto"/>
      </w:divBdr>
    </w:div>
    <w:div w:id="1076440684">
      <w:bodyDiv w:val="1"/>
      <w:marLeft w:val="0"/>
      <w:marRight w:val="0"/>
      <w:marTop w:val="0"/>
      <w:marBottom w:val="0"/>
      <w:divBdr>
        <w:top w:val="none" w:sz="0" w:space="0" w:color="auto"/>
        <w:left w:val="none" w:sz="0" w:space="0" w:color="auto"/>
        <w:bottom w:val="none" w:sz="0" w:space="0" w:color="auto"/>
        <w:right w:val="none" w:sz="0" w:space="0" w:color="auto"/>
      </w:divBdr>
    </w:div>
    <w:div w:id="1100565253">
      <w:bodyDiv w:val="1"/>
      <w:marLeft w:val="0"/>
      <w:marRight w:val="0"/>
      <w:marTop w:val="0"/>
      <w:marBottom w:val="0"/>
      <w:divBdr>
        <w:top w:val="none" w:sz="0" w:space="0" w:color="auto"/>
        <w:left w:val="none" w:sz="0" w:space="0" w:color="auto"/>
        <w:bottom w:val="none" w:sz="0" w:space="0" w:color="auto"/>
        <w:right w:val="none" w:sz="0" w:space="0" w:color="auto"/>
      </w:divBdr>
    </w:div>
    <w:div w:id="1104153337">
      <w:bodyDiv w:val="1"/>
      <w:marLeft w:val="0"/>
      <w:marRight w:val="0"/>
      <w:marTop w:val="0"/>
      <w:marBottom w:val="0"/>
      <w:divBdr>
        <w:top w:val="none" w:sz="0" w:space="0" w:color="auto"/>
        <w:left w:val="none" w:sz="0" w:space="0" w:color="auto"/>
        <w:bottom w:val="none" w:sz="0" w:space="0" w:color="auto"/>
        <w:right w:val="none" w:sz="0" w:space="0" w:color="auto"/>
      </w:divBdr>
    </w:div>
    <w:div w:id="1157652625">
      <w:bodyDiv w:val="1"/>
      <w:marLeft w:val="0"/>
      <w:marRight w:val="0"/>
      <w:marTop w:val="0"/>
      <w:marBottom w:val="0"/>
      <w:divBdr>
        <w:top w:val="none" w:sz="0" w:space="0" w:color="auto"/>
        <w:left w:val="none" w:sz="0" w:space="0" w:color="auto"/>
        <w:bottom w:val="none" w:sz="0" w:space="0" w:color="auto"/>
        <w:right w:val="none" w:sz="0" w:space="0" w:color="auto"/>
      </w:divBdr>
    </w:div>
    <w:div w:id="1201279928">
      <w:bodyDiv w:val="1"/>
      <w:marLeft w:val="0"/>
      <w:marRight w:val="0"/>
      <w:marTop w:val="0"/>
      <w:marBottom w:val="0"/>
      <w:divBdr>
        <w:top w:val="none" w:sz="0" w:space="0" w:color="auto"/>
        <w:left w:val="none" w:sz="0" w:space="0" w:color="auto"/>
        <w:bottom w:val="none" w:sz="0" w:space="0" w:color="auto"/>
        <w:right w:val="none" w:sz="0" w:space="0" w:color="auto"/>
      </w:divBdr>
    </w:div>
    <w:div w:id="1274552135">
      <w:bodyDiv w:val="1"/>
      <w:marLeft w:val="0"/>
      <w:marRight w:val="0"/>
      <w:marTop w:val="0"/>
      <w:marBottom w:val="0"/>
      <w:divBdr>
        <w:top w:val="none" w:sz="0" w:space="0" w:color="auto"/>
        <w:left w:val="none" w:sz="0" w:space="0" w:color="auto"/>
        <w:bottom w:val="none" w:sz="0" w:space="0" w:color="auto"/>
        <w:right w:val="none" w:sz="0" w:space="0" w:color="auto"/>
      </w:divBdr>
      <w:divsChild>
        <w:div w:id="1788728">
          <w:marLeft w:val="0"/>
          <w:marRight w:val="0"/>
          <w:marTop w:val="0"/>
          <w:marBottom w:val="0"/>
          <w:divBdr>
            <w:top w:val="none" w:sz="0" w:space="0" w:color="auto"/>
            <w:left w:val="none" w:sz="0" w:space="0" w:color="auto"/>
            <w:bottom w:val="none" w:sz="0" w:space="0" w:color="auto"/>
            <w:right w:val="none" w:sz="0" w:space="0" w:color="auto"/>
          </w:divBdr>
          <w:divsChild>
            <w:div w:id="1071657464">
              <w:marLeft w:val="0"/>
              <w:marRight w:val="0"/>
              <w:marTop w:val="0"/>
              <w:marBottom w:val="0"/>
              <w:divBdr>
                <w:top w:val="none" w:sz="0" w:space="0" w:color="auto"/>
                <w:left w:val="none" w:sz="0" w:space="0" w:color="auto"/>
                <w:bottom w:val="none" w:sz="0" w:space="0" w:color="auto"/>
                <w:right w:val="none" w:sz="0" w:space="0" w:color="auto"/>
              </w:divBdr>
            </w:div>
          </w:divsChild>
        </w:div>
        <w:div w:id="884872239">
          <w:marLeft w:val="0"/>
          <w:marRight w:val="0"/>
          <w:marTop w:val="0"/>
          <w:marBottom w:val="0"/>
          <w:divBdr>
            <w:top w:val="none" w:sz="0" w:space="0" w:color="auto"/>
            <w:left w:val="none" w:sz="0" w:space="0" w:color="auto"/>
            <w:bottom w:val="none" w:sz="0" w:space="0" w:color="auto"/>
            <w:right w:val="none" w:sz="0" w:space="0" w:color="auto"/>
          </w:divBdr>
        </w:div>
      </w:divsChild>
    </w:div>
    <w:div w:id="1292446229">
      <w:bodyDiv w:val="1"/>
      <w:marLeft w:val="0"/>
      <w:marRight w:val="0"/>
      <w:marTop w:val="0"/>
      <w:marBottom w:val="0"/>
      <w:divBdr>
        <w:top w:val="none" w:sz="0" w:space="0" w:color="auto"/>
        <w:left w:val="none" w:sz="0" w:space="0" w:color="auto"/>
        <w:bottom w:val="none" w:sz="0" w:space="0" w:color="auto"/>
        <w:right w:val="none" w:sz="0" w:space="0" w:color="auto"/>
      </w:divBdr>
    </w:div>
    <w:div w:id="1297832706">
      <w:bodyDiv w:val="1"/>
      <w:marLeft w:val="0"/>
      <w:marRight w:val="0"/>
      <w:marTop w:val="0"/>
      <w:marBottom w:val="0"/>
      <w:divBdr>
        <w:top w:val="none" w:sz="0" w:space="0" w:color="auto"/>
        <w:left w:val="none" w:sz="0" w:space="0" w:color="auto"/>
        <w:bottom w:val="none" w:sz="0" w:space="0" w:color="auto"/>
        <w:right w:val="none" w:sz="0" w:space="0" w:color="auto"/>
      </w:divBdr>
    </w:div>
    <w:div w:id="1316491525">
      <w:bodyDiv w:val="1"/>
      <w:marLeft w:val="0"/>
      <w:marRight w:val="0"/>
      <w:marTop w:val="0"/>
      <w:marBottom w:val="0"/>
      <w:divBdr>
        <w:top w:val="none" w:sz="0" w:space="0" w:color="auto"/>
        <w:left w:val="none" w:sz="0" w:space="0" w:color="auto"/>
        <w:bottom w:val="none" w:sz="0" w:space="0" w:color="auto"/>
        <w:right w:val="none" w:sz="0" w:space="0" w:color="auto"/>
      </w:divBdr>
    </w:div>
    <w:div w:id="1334649896">
      <w:bodyDiv w:val="1"/>
      <w:marLeft w:val="0"/>
      <w:marRight w:val="0"/>
      <w:marTop w:val="0"/>
      <w:marBottom w:val="0"/>
      <w:divBdr>
        <w:top w:val="none" w:sz="0" w:space="0" w:color="auto"/>
        <w:left w:val="none" w:sz="0" w:space="0" w:color="auto"/>
        <w:bottom w:val="none" w:sz="0" w:space="0" w:color="auto"/>
        <w:right w:val="none" w:sz="0" w:space="0" w:color="auto"/>
      </w:divBdr>
    </w:div>
    <w:div w:id="1395005054">
      <w:bodyDiv w:val="1"/>
      <w:marLeft w:val="0"/>
      <w:marRight w:val="0"/>
      <w:marTop w:val="0"/>
      <w:marBottom w:val="0"/>
      <w:divBdr>
        <w:top w:val="none" w:sz="0" w:space="0" w:color="auto"/>
        <w:left w:val="none" w:sz="0" w:space="0" w:color="auto"/>
        <w:bottom w:val="none" w:sz="0" w:space="0" w:color="auto"/>
        <w:right w:val="none" w:sz="0" w:space="0" w:color="auto"/>
      </w:divBdr>
    </w:div>
    <w:div w:id="1404453246">
      <w:bodyDiv w:val="1"/>
      <w:marLeft w:val="0"/>
      <w:marRight w:val="0"/>
      <w:marTop w:val="0"/>
      <w:marBottom w:val="0"/>
      <w:divBdr>
        <w:top w:val="none" w:sz="0" w:space="0" w:color="auto"/>
        <w:left w:val="none" w:sz="0" w:space="0" w:color="auto"/>
        <w:bottom w:val="none" w:sz="0" w:space="0" w:color="auto"/>
        <w:right w:val="none" w:sz="0" w:space="0" w:color="auto"/>
      </w:divBdr>
    </w:div>
    <w:div w:id="1451125626">
      <w:bodyDiv w:val="1"/>
      <w:marLeft w:val="0"/>
      <w:marRight w:val="0"/>
      <w:marTop w:val="0"/>
      <w:marBottom w:val="0"/>
      <w:divBdr>
        <w:top w:val="none" w:sz="0" w:space="0" w:color="auto"/>
        <w:left w:val="none" w:sz="0" w:space="0" w:color="auto"/>
        <w:bottom w:val="none" w:sz="0" w:space="0" w:color="auto"/>
        <w:right w:val="none" w:sz="0" w:space="0" w:color="auto"/>
      </w:divBdr>
    </w:div>
    <w:div w:id="1464929349">
      <w:bodyDiv w:val="1"/>
      <w:marLeft w:val="0"/>
      <w:marRight w:val="0"/>
      <w:marTop w:val="0"/>
      <w:marBottom w:val="0"/>
      <w:divBdr>
        <w:top w:val="none" w:sz="0" w:space="0" w:color="auto"/>
        <w:left w:val="none" w:sz="0" w:space="0" w:color="auto"/>
        <w:bottom w:val="none" w:sz="0" w:space="0" w:color="auto"/>
        <w:right w:val="none" w:sz="0" w:space="0" w:color="auto"/>
      </w:divBdr>
    </w:div>
    <w:div w:id="1466924059">
      <w:bodyDiv w:val="1"/>
      <w:marLeft w:val="0"/>
      <w:marRight w:val="0"/>
      <w:marTop w:val="0"/>
      <w:marBottom w:val="0"/>
      <w:divBdr>
        <w:top w:val="none" w:sz="0" w:space="0" w:color="auto"/>
        <w:left w:val="none" w:sz="0" w:space="0" w:color="auto"/>
        <w:bottom w:val="none" w:sz="0" w:space="0" w:color="auto"/>
        <w:right w:val="none" w:sz="0" w:space="0" w:color="auto"/>
      </w:divBdr>
    </w:div>
    <w:div w:id="1490292184">
      <w:bodyDiv w:val="1"/>
      <w:marLeft w:val="0"/>
      <w:marRight w:val="0"/>
      <w:marTop w:val="0"/>
      <w:marBottom w:val="0"/>
      <w:divBdr>
        <w:top w:val="none" w:sz="0" w:space="0" w:color="auto"/>
        <w:left w:val="none" w:sz="0" w:space="0" w:color="auto"/>
        <w:bottom w:val="none" w:sz="0" w:space="0" w:color="auto"/>
        <w:right w:val="none" w:sz="0" w:space="0" w:color="auto"/>
      </w:divBdr>
    </w:div>
    <w:div w:id="1539077943">
      <w:bodyDiv w:val="1"/>
      <w:marLeft w:val="0"/>
      <w:marRight w:val="0"/>
      <w:marTop w:val="0"/>
      <w:marBottom w:val="0"/>
      <w:divBdr>
        <w:top w:val="none" w:sz="0" w:space="0" w:color="auto"/>
        <w:left w:val="none" w:sz="0" w:space="0" w:color="auto"/>
        <w:bottom w:val="none" w:sz="0" w:space="0" w:color="auto"/>
        <w:right w:val="none" w:sz="0" w:space="0" w:color="auto"/>
      </w:divBdr>
    </w:div>
    <w:div w:id="1542472244">
      <w:bodyDiv w:val="1"/>
      <w:marLeft w:val="0"/>
      <w:marRight w:val="0"/>
      <w:marTop w:val="0"/>
      <w:marBottom w:val="0"/>
      <w:divBdr>
        <w:top w:val="none" w:sz="0" w:space="0" w:color="auto"/>
        <w:left w:val="none" w:sz="0" w:space="0" w:color="auto"/>
        <w:bottom w:val="none" w:sz="0" w:space="0" w:color="auto"/>
        <w:right w:val="none" w:sz="0" w:space="0" w:color="auto"/>
      </w:divBdr>
    </w:div>
    <w:div w:id="1567178486">
      <w:bodyDiv w:val="1"/>
      <w:marLeft w:val="0"/>
      <w:marRight w:val="0"/>
      <w:marTop w:val="0"/>
      <w:marBottom w:val="0"/>
      <w:divBdr>
        <w:top w:val="none" w:sz="0" w:space="0" w:color="auto"/>
        <w:left w:val="none" w:sz="0" w:space="0" w:color="auto"/>
        <w:bottom w:val="none" w:sz="0" w:space="0" w:color="auto"/>
        <w:right w:val="none" w:sz="0" w:space="0" w:color="auto"/>
      </w:divBdr>
    </w:div>
    <w:div w:id="1585721711">
      <w:bodyDiv w:val="1"/>
      <w:marLeft w:val="0"/>
      <w:marRight w:val="0"/>
      <w:marTop w:val="0"/>
      <w:marBottom w:val="0"/>
      <w:divBdr>
        <w:top w:val="none" w:sz="0" w:space="0" w:color="auto"/>
        <w:left w:val="none" w:sz="0" w:space="0" w:color="auto"/>
        <w:bottom w:val="none" w:sz="0" w:space="0" w:color="auto"/>
        <w:right w:val="none" w:sz="0" w:space="0" w:color="auto"/>
      </w:divBdr>
    </w:div>
    <w:div w:id="1586110444">
      <w:bodyDiv w:val="1"/>
      <w:marLeft w:val="0"/>
      <w:marRight w:val="0"/>
      <w:marTop w:val="0"/>
      <w:marBottom w:val="0"/>
      <w:divBdr>
        <w:top w:val="none" w:sz="0" w:space="0" w:color="auto"/>
        <w:left w:val="none" w:sz="0" w:space="0" w:color="auto"/>
        <w:bottom w:val="none" w:sz="0" w:space="0" w:color="auto"/>
        <w:right w:val="none" w:sz="0" w:space="0" w:color="auto"/>
      </w:divBdr>
    </w:div>
    <w:div w:id="1586569598">
      <w:bodyDiv w:val="1"/>
      <w:marLeft w:val="0"/>
      <w:marRight w:val="0"/>
      <w:marTop w:val="0"/>
      <w:marBottom w:val="0"/>
      <w:divBdr>
        <w:top w:val="none" w:sz="0" w:space="0" w:color="auto"/>
        <w:left w:val="none" w:sz="0" w:space="0" w:color="auto"/>
        <w:bottom w:val="none" w:sz="0" w:space="0" w:color="auto"/>
        <w:right w:val="none" w:sz="0" w:space="0" w:color="auto"/>
      </w:divBdr>
      <w:divsChild>
        <w:div w:id="206256508">
          <w:marLeft w:val="0"/>
          <w:marRight w:val="0"/>
          <w:marTop w:val="0"/>
          <w:marBottom w:val="0"/>
          <w:divBdr>
            <w:top w:val="none" w:sz="0" w:space="0" w:color="auto"/>
            <w:left w:val="none" w:sz="0" w:space="0" w:color="auto"/>
            <w:bottom w:val="none" w:sz="0" w:space="0" w:color="auto"/>
            <w:right w:val="none" w:sz="0" w:space="0" w:color="auto"/>
          </w:divBdr>
          <w:divsChild>
            <w:div w:id="275872954">
              <w:marLeft w:val="0"/>
              <w:marRight w:val="0"/>
              <w:marTop w:val="0"/>
              <w:marBottom w:val="0"/>
              <w:divBdr>
                <w:top w:val="none" w:sz="0" w:space="0" w:color="auto"/>
                <w:left w:val="none" w:sz="0" w:space="0" w:color="auto"/>
                <w:bottom w:val="none" w:sz="0" w:space="0" w:color="auto"/>
                <w:right w:val="none" w:sz="0" w:space="0" w:color="auto"/>
              </w:divBdr>
            </w:div>
          </w:divsChild>
        </w:div>
        <w:div w:id="1605918769">
          <w:marLeft w:val="0"/>
          <w:marRight w:val="0"/>
          <w:marTop w:val="0"/>
          <w:marBottom w:val="0"/>
          <w:divBdr>
            <w:top w:val="none" w:sz="0" w:space="0" w:color="auto"/>
            <w:left w:val="none" w:sz="0" w:space="0" w:color="auto"/>
            <w:bottom w:val="none" w:sz="0" w:space="0" w:color="auto"/>
            <w:right w:val="none" w:sz="0" w:space="0" w:color="auto"/>
          </w:divBdr>
        </w:div>
      </w:divsChild>
    </w:div>
    <w:div w:id="1639914806">
      <w:bodyDiv w:val="1"/>
      <w:marLeft w:val="0"/>
      <w:marRight w:val="0"/>
      <w:marTop w:val="0"/>
      <w:marBottom w:val="0"/>
      <w:divBdr>
        <w:top w:val="none" w:sz="0" w:space="0" w:color="auto"/>
        <w:left w:val="none" w:sz="0" w:space="0" w:color="auto"/>
        <w:bottom w:val="none" w:sz="0" w:space="0" w:color="auto"/>
        <w:right w:val="none" w:sz="0" w:space="0" w:color="auto"/>
      </w:divBdr>
    </w:div>
    <w:div w:id="1641034839">
      <w:bodyDiv w:val="1"/>
      <w:marLeft w:val="0"/>
      <w:marRight w:val="0"/>
      <w:marTop w:val="0"/>
      <w:marBottom w:val="0"/>
      <w:divBdr>
        <w:top w:val="none" w:sz="0" w:space="0" w:color="auto"/>
        <w:left w:val="none" w:sz="0" w:space="0" w:color="auto"/>
        <w:bottom w:val="none" w:sz="0" w:space="0" w:color="auto"/>
        <w:right w:val="none" w:sz="0" w:space="0" w:color="auto"/>
      </w:divBdr>
    </w:div>
    <w:div w:id="1656447057">
      <w:bodyDiv w:val="1"/>
      <w:marLeft w:val="0"/>
      <w:marRight w:val="0"/>
      <w:marTop w:val="0"/>
      <w:marBottom w:val="0"/>
      <w:divBdr>
        <w:top w:val="none" w:sz="0" w:space="0" w:color="auto"/>
        <w:left w:val="none" w:sz="0" w:space="0" w:color="auto"/>
        <w:bottom w:val="none" w:sz="0" w:space="0" w:color="auto"/>
        <w:right w:val="none" w:sz="0" w:space="0" w:color="auto"/>
      </w:divBdr>
    </w:div>
    <w:div w:id="1683579870">
      <w:bodyDiv w:val="1"/>
      <w:marLeft w:val="0"/>
      <w:marRight w:val="0"/>
      <w:marTop w:val="0"/>
      <w:marBottom w:val="0"/>
      <w:divBdr>
        <w:top w:val="none" w:sz="0" w:space="0" w:color="auto"/>
        <w:left w:val="none" w:sz="0" w:space="0" w:color="auto"/>
        <w:bottom w:val="none" w:sz="0" w:space="0" w:color="auto"/>
        <w:right w:val="none" w:sz="0" w:space="0" w:color="auto"/>
      </w:divBdr>
    </w:div>
    <w:div w:id="1690377997">
      <w:bodyDiv w:val="1"/>
      <w:marLeft w:val="0"/>
      <w:marRight w:val="0"/>
      <w:marTop w:val="0"/>
      <w:marBottom w:val="0"/>
      <w:divBdr>
        <w:top w:val="none" w:sz="0" w:space="0" w:color="auto"/>
        <w:left w:val="none" w:sz="0" w:space="0" w:color="auto"/>
        <w:bottom w:val="none" w:sz="0" w:space="0" w:color="auto"/>
        <w:right w:val="none" w:sz="0" w:space="0" w:color="auto"/>
      </w:divBdr>
    </w:div>
    <w:div w:id="1709724786">
      <w:bodyDiv w:val="1"/>
      <w:marLeft w:val="0"/>
      <w:marRight w:val="0"/>
      <w:marTop w:val="0"/>
      <w:marBottom w:val="0"/>
      <w:divBdr>
        <w:top w:val="none" w:sz="0" w:space="0" w:color="auto"/>
        <w:left w:val="none" w:sz="0" w:space="0" w:color="auto"/>
        <w:bottom w:val="none" w:sz="0" w:space="0" w:color="auto"/>
        <w:right w:val="none" w:sz="0" w:space="0" w:color="auto"/>
      </w:divBdr>
    </w:div>
    <w:div w:id="1735424718">
      <w:bodyDiv w:val="1"/>
      <w:marLeft w:val="0"/>
      <w:marRight w:val="0"/>
      <w:marTop w:val="0"/>
      <w:marBottom w:val="0"/>
      <w:divBdr>
        <w:top w:val="none" w:sz="0" w:space="0" w:color="auto"/>
        <w:left w:val="none" w:sz="0" w:space="0" w:color="auto"/>
        <w:bottom w:val="none" w:sz="0" w:space="0" w:color="auto"/>
        <w:right w:val="none" w:sz="0" w:space="0" w:color="auto"/>
      </w:divBdr>
    </w:div>
    <w:div w:id="1742679003">
      <w:bodyDiv w:val="1"/>
      <w:marLeft w:val="0"/>
      <w:marRight w:val="0"/>
      <w:marTop w:val="0"/>
      <w:marBottom w:val="0"/>
      <w:divBdr>
        <w:top w:val="none" w:sz="0" w:space="0" w:color="auto"/>
        <w:left w:val="none" w:sz="0" w:space="0" w:color="auto"/>
        <w:bottom w:val="none" w:sz="0" w:space="0" w:color="auto"/>
        <w:right w:val="none" w:sz="0" w:space="0" w:color="auto"/>
      </w:divBdr>
    </w:div>
    <w:div w:id="1781948993">
      <w:bodyDiv w:val="1"/>
      <w:marLeft w:val="0"/>
      <w:marRight w:val="0"/>
      <w:marTop w:val="0"/>
      <w:marBottom w:val="0"/>
      <w:divBdr>
        <w:top w:val="none" w:sz="0" w:space="0" w:color="auto"/>
        <w:left w:val="none" w:sz="0" w:space="0" w:color="auto"/>
        <w:bottom w:val="none" w:sz="0" w:space="0" w:color="auto"/>
        <w:right w:val="none" w:sz="0" w:space="0" w:color="auto"/>
      </w:divBdr>
    </w:div>
    <w:div w:id="1788084360">
      <w:bodyDiv w:val="1"/>
      <w:marLeft w:val="0"/>
      <w:marRight w:val="0"/>
      <w:marTop w:val="0"/>
      <w:marBottom w:val="0"/>
      <w:divBdr>
        <w:top w:val="none" w:sz="0" w:space="0" w:color="auto"/>
        <w:left w:val="none" w:sz="0" w:space="0" w:color="auto"/>
        <w:bottom w:val="none" w:sz="0" w:space="0" w:color="auto"/>
        <w:right w:val="none" w:sz="0" w:space="0" w:color="auto"/>
      </w:divBdr>
    </w:div>
    <w:div w:id="1806579159">
      <w:bodyDiv w:val="1"/>
      <w:marLeft w:val="0"/>
      <w:marRight w:val="0"/>
      <w:marTop w:val="0"/>
      <w:marBottom w:val="0"/>
      <w:divBdr>
        <w:top w:val="none" w:sz="0" w:space="0" w:color="auto"/>
        <w:left w:val="none" w:sz="0" w:space="0" w:color="auto"/>
        <w:bottom w:val="none" w:sz="0" w:space="0" w:color="auto"/>
        <w:right w:val="none" w:sz="0" w:space="0" w:color="auto"/>
      </w:divBdr>
    </w:div>
    <w:div w:id="1822191928">
      <w:bodyDiv w:val="1"/>
      <w:marLeft w:val="0"/>
      <w:marRight w:val="0"/>
      <w:marTop w:val="0"/>
      <w:marBottom w:val="0"/>
      <w:divBdr>
        <w:top w:val="none" w:sz="0" w:space="0" w:color="auto"/>
        <w:left w:val="none" w:sz="0" w:space="0" w:color="auto"/>
        <w:bottom w:val="none" w:sz="0" w:space="0" w:color="auto"/>
        <w:right w:val="none" w:sz="0" w:space="0" w:color="auto"/>
      </w:divBdr>
    </w:div>
    <w:div w:id="1900969825">
      <w:bodyDiv w:val="1"/>
      <w:marLeft w:val="0"/>
      <w:marRight w:val="0"/>
      <w:marTop w:val="0"/>
      <w:marBottom w:val="0"/>
      <w:divBdr>
        <w:top w:val="none" w:sz="0" w:space="0" w:color="auto"/>
        <w:left w:val="none" w:sz="0" w:space="0" w:color="auto"/>
        <w:bottom w:val="none" w:sz="0" w:space="0" w:color="auto"/>
        <w:right w:val="none" w:sz="0" w:space="0" w:color="auto"/>
      </w:divBdr>
    </w:div>
    <w:div w:id="1937902723">
      <w:bodyDiv w:val="1"/>
      <w:marLeft w:val="0"/>
      <w:marRight w:val="0"/>
      <w:marTop w:val="0"/>
      <w:marBottom w:val="0"/>
      <w:divBdr>
        <w:top w:val="none" w:sz="0" w:space="0" w:color="auto"/>
        <w:left w:val="none" w:sz="0" w:space="0" w:color="auto"/>
        <w:bottom w:val="none" w:sz="0" w:space="0" w:color="auto"/>
        <w:right w:val="none" w:sz="0" w:space="0" w:color="auto"/>
      </w:divBdr>
    </w:div>
    <w:div w:id="1952394242">
      <w:bodyDiv w:val="1"/>
      <w:marLeft w:val="0"/>
      <w:marRight w:val="0"/>
      <w:marTop w:val="0"/>
      <w:marBottom w:val="0"/>
      <w:divBdr>
        <w:top w:val="none" w:sz="0" w:space="0" w:color="auto"/>
        <w:left w:val="none" w:sz="0" w:space="0" w:color="auto"/>
        <w:bottom w:val="none" w:sz="0" w:space="0" w:color="auto"/>
        <w:right w:val="none" w:sz="0" w:space="0" w:color="auto"/>
      </w:divBdr>
    </w:div>
    <w:div w:id="1976138597">
      <w:bodyDiv w:val="1"/>
      <w:marLeft w:val="0"/>
      <w:marRight w:val="0"/>
      <w:marTop w:val="0"/>
      <w:marBottom w:val="0"/>
      <w:divBdr>
        <w:top w:val="none" w:sz="0" w:space="0" w:color="auto"/>
        <w:left w:val="none" w:sz="0" w:space="0" w:color="auto"/>
        <w:bottom w:val="none" w:sz="0" w:space="0" w:color="auto"/>
        <w:right w:val="none" w:sz="0" w:space="0" w:color="auto"/>
      </w:divBdr>
    </w:div>
    <w:div w:id="2042394603">
      <w:bodyDiv w:val="1"/>
      <w:marLeft w:val="0"/>
      <w:marRight w:val="0"/>
      <w:marTop w:val="0"/>
      <w:marBottom w:val="0"/>
      <w:divBdr>
        <w:top w:val="none" w:sz="0" w:space="0" w:color="auto"/>
        <w:left w:val="none" w:sz="0" w:space="0" w:color="auto"/>
        <w:bottom w:val="none" w:sz="0" w:space="0" w:color="auto"/>
        <w:right w:val="none" w:sz="0" w:space="0" w:color="auto"/>
      </w:divBdr>
    </w:div>
    <w:div w:id="2073504908">
      <w:bodyDiv w:val="1"/>
      <w:marLeft w:val="0"/>
      <w:marRight w:val="0"/>
      <w:marTop w:val="0"/>
      <w:marBottom w:val="0"/>
      <w:divBdr>
        <w:top w:val="none" w:sz="0" w:space="0" w:color="auto"/>
        <w:left w:val="none" w:sz="0" w:space="0" w:color="auto"/>
        <w:bottom w:val="none" w:sz="0" w:space="0" w:color="auto"/>
        <w:right w:val="none" w:sz="0" w:space="0" w:color="auto"/>
      </w:divBdr>
    </w:div>
    <w:div w:id="2123500502">
      <w:bodyDiv w:val="1"/>
      <w:marLeft w:val="0"/>
      <w:marRight w:val="0"/>
      <w:marTop w:val="0"/>
      <w:marBottom w:val="0"/>
      <w:divBdr>
        <w:top w:val="none" w:sz="0" w:space="0" w:color="auto"/>
        <w:left w:val="none" w:sz="0" w:space="0" w:color="auto"/>
        <w:bottom w:val="none" w:sz="0" w:space="0" w:color="auto"/>
        <w:right w:val="none" w:sz="0" w:space="0" w:color="auto"/>
      </w:divBdr>
    </w:div>
    <w:div w:id="21444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9A4F-AB5B-4144-881A-42E3F159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31666</Words>
  <Characters>180501</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m</dc:creator>
  <cp:keywords/>
  <dc:description/>
  <cp:lastModifiedBy>Jonathan Coles</cp:lastModifiedBy>
  <cp:revision>2</cp:revision>
  <dcterms:created xsi:type="dcterms:W3CDTF">2020-10-25T19:22:00Z</dcterms:created>
  <dcterms:modified xsi:type="dcterms:W3CDTF">2020-10-25T19:22:00Z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http://www.zotero.org/styles/biological-psychiatry</vt:lpwstr>
  </property>
  <property fmtid="{D5CDD505-2E9C-101B-9397-08002B2CF9AE}" pid="7" name="Mendeley Recent Style Name 2_1">
    <vt:lpwstr>Biological Psychiatry</vt:lpwstr>
  </property>
  <property fmtid="{D5CDD505-2E9C-101B-9397-08002B2CF9AE}" pid="8" name="Mendeley Recent Style Id 3_1">
    <vt:lpwstr>http://www.zotero.org/styles/brain</vt:lpwstr>
  </property>
  <property fmtid="{D5CDD505-2E9C-101B-9397-08002B2CF9AE}" pid="9" name="Mendeley Recent Style Name 3_1">
    <vt:lpwstr>Brain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http://www.zotero.org/styles/nature-communications</vt:lpwstr>
  </property>
  <property fmtid="{D5CDD505-2E9C-101B-9397-08002B2CF9AE}" pid="17" name="Mendeley Recent Style Name 7_1">
    <vt:lpwstr>Nature Communications</vt:lpwstr>
  </property>
  <property fmtid="{D5CDD505-2E9C-101B-9397-08002B2CF9AE}" pid="18" name="Mendeley Recent Style Id 8_1">
    <vt:lpwstr>http://www.zotero.org/styles/neurobiology-of-aging</vt:lpwstr>
  </property>
  <property fmtid="{D5CDD505-2E9C-101B-9397-08002B2CF9AE}" pid="19" name="Mendeley Recent Style Name 8_1">
    <vt:lpwstr>Neurobiology of Aging</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cd262b48-cda0-3659-9fb5-7c6c4976c298</vt:lpwstr>
  </property>
  <property fmtid="{D5CDD505-2E9C-101B-9397-08002B2CF9AE}" pid="24" name="Mendeley Citation Style_1">
    <vt:lpwstr>http://www.zotero.org/styles/brain</vt:lpwstr>
  </property>
</Properties>
</file>