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411D3" w14:textId="1E52BE62" w:rsidR="00F66F3C" w:rsidRPr="00F66F3C" w:rsidRDefault="00F66F3C" w:rsidP="00F66F3C">
      <w:pPr>
        <w:jc w:val="left"/>
        <w:rPr>
          <w:rFonts w:cs="Times New Roman"/>
          <w:b/>
          <w:smallCaps/>
          <w:szCs w:val="24"/>
          <w:u w:val="single"/>
        </w:rPr>
      </w:pPr>
      <w:r w:rsidRPr="00F66F3C">
        <w:rPr>
          <w:rFonts w:cs="Times New Roman"/>
          <w:b/>
          <w:smallCaps/>
          <w:szCs w:val="24"/>
          <w:u w:val="single"/>
        </w:rPr>
        <w:t>Chapter 25: The Immunities of Members of Special missions</w:t>
      </w:r>
    </w:p>
    <w:p w14:paraId="675E6BD9" w14:textId="0C8067F9" w:rsidR="00F66F3C" w:rsidRDefault="00F66F3C" w:rsidP="00F66F3C">
      <w:pPr>
        <w:jc w:val="left"/>
        <w:rPr>
          <w:rFonts w:cs="Times New Roman"/>
          <w:szCs w:val="24"/>
        </w:rPr>
      </w:pPr>
      <w:r>
        <w:rPr>
          <w:rFonts w:cs="Times New Roman"/>
          <w:szCs w:val="24"/>
        </w:rPr>
        <w:t>by Andrew Sanger</w:t>
      </w:r>
      <w:r>
        <w:rPr>
          <w:rStyle w:val="FootnoteReference"/>
          <w:rFonts w:cs="Times New Roman"/>
          <w:szCs w:val="24"/>
        </w:rPr>
        <w:footnoteReference w:id="1"/>
      </w:r>
      <w:r>
        <w:rPr>
          <w:rFonts w:cs="Times New Roman"/>
          <w:szCs w:val="24"/>
        </w:rPr>
        <w:t xml:space="preserve"> and Michael Wood</w:t>
      </w:r>
      <w:r>
        <w:rPr>
          <w:rStyle w:val="FootnoteReference"/>
          <w:rFonts w:cs="Times New Roman"/>
          <w:szCs w:val="24"/>
        </w:rPr>
        <w:footnoteReference w:id="2"/>
      </w:r>
    </w:p>
    <w:p w14:paraId="3521784D" w14:textId="77777777" w:rsidR="00F66F3C" w:rsidRPr="00F66F3C" w:rsidRDefault="00F66F3C" w:rsidP="00F66F3C">
      <w:pPr>
        <w:jc w:val="left"/>
        <w:rPr>
          <w:rFonts w:cs="Times New Roman"/>
          <w:szCs w:val="24"/>
        </w:rPr>
      </w:pPr>
    </w:p>
    <w:p w14:paraId="337DE980" w14:textId="24DA1C7E" w:rsidR="009F4D62" w:rsidRPr="00F66F3C" w:rsidRDefault="009F4D62" w:rsidP="0082079F">
      <w:pPr>
        <w:pStyle w:val="Heading1"/>
        <w:rPr>
          <w:rFonts w:eastAsia="Calibri"/>
          <w:szCs w:val="24"/>
        </w:rPr>
      </w:pPr>
      <w:bookmarkStart w:id="1" w:name="_Toc364753204"/>
      <w:bookmarkStart w:id="2" w:name="_Toc497598013"/>
      <w:bookmarkStart w:id="3" w:name="_Toc502996206"/>
      <w:r w:rsidRPr="00F66F3C">
        <w:rPr>
          <w:rFonts w:eastAsia="Calibri"/>
        </w:rPr>
        <w:t>Introduction</w:t>
      </w:r>
      <w:bookmarkEnd w:id="1"/>
      <w:bookmarkEnd w:id="2"/>
      <w:bookmarkEnd w:id="3"/>
    </w:p>
    <w:p w14:paraId="1B53176D" w14:textId="3CB6C204" w:rsidR="009268E9" w:rsidRPr="00925262" w:rsidRDefault="00B42FB9" w:rsidP="0082079F">
      <w:pPr>
        <w:contextualSpacing/>
        <w:rPr>
          <w:rFonts w:eastAsia="Calibri" w:cs="Times New Roman"/>
          <w:szCs w:val="24"/>
        </w:rPr>
      </w:pPr>
      <w:r w:rsidRPr="00925262">
        <w:rPr>
          <w:rFonts w:eastAsia="Calibri" w:cs="Times New Roman"/>
          <w:szCs w:val="24"/>
        </w:rPr>
        <w:t xml:space="preserve">This chapter </w:t>
      </w:r>
      <w:r w:rsidR="00C7693A">
        <w:rPr>
          <w:rFonts w:eastAsia="Calibri" w:cs="Times New Roman"/>
          <w:szCs w:val="24"/>
        </w:rPr>
        <w:t>is concerned</w:t>
      </w:r>
      <w:r w:rsidRPr="00925262">
        <w:rPr>
          <w:rFonts w:eastAsia="Calibri" w:cs="Times New Roman"/>
          <w:szCs w:val="24"/>
        </w:rPr>
        <w:t xml:space="preserve"> with</w:t>
      </w:r>
      <w:r w:rsidR="008426F8" w:rsidRPr="00925262">
        <w:rPr>
          <w:rFonts w:eastAsia="Calibri" w:cs="Times New Roman"/>
          <w:szCs w:val="24"/>
        </w:rPr>
        <w:t xml:space="preserve"> </w:t>
      </w:r>
      <w:r w:rsidR="005D775C">
        <w:rPr>
          <w:rFonts w:eastAsia="Calibri" w:cs="Times New Roman"/>
          <w:szCs w:val="24"/>
        </w:rPr>
        <w:t xml:space="preserve">members of </w:t>
      </w:r>
      <w:r w:rsidRPr="00925262">
        <w:rPr>
          <w:rFonts w:eastAsia="Calibri" w:cs="Times New Roman"/>
          <w:szCs w:val="24"/>
        </w:rPr>
        <w:t xml:space="preserve">special missions, not </w:t>
      </w:r>
      <w:r w:rsidR="003B65D7" w:rsidRPr="00925262">
        <w:rPr>
          <w:rFonts w:eastAsia="Calibri" w:cs="Times New Roman"/>
          <w:szCs w:val="24"/>
        </w:rPr>
        <w:t>a</w:t>
      </w:r>
      <w:r w:rsidRPr="00925262">
        <w:rPr>
          <w:rFonts w:eastAsia="Calibri" w:cs="Times New Roman"/>
          <w:szCs w:val="24"/>
        </w:rPr>
        <w:t xml:space="preserve"> wider </w:t>
      </w:r>
      <w:r w:rsidR="00C858C7">
        <w:rPr>
          <w:rFonts w:eastAsia="Calibri" w:cs="Times New Roman"/>
          <w:szCs w:val="24"/>
        </w:rPr>
        <w:t>range</w:t>
      </w:r>
      <w:r w:rsidRPr="00925262">
        <w:rPr>
          <w:rFonts w:eastAsia="Calibri" w:cs="Times New Roman"/>
          <w:szCs w:val="24"/>
        </w:rPr>
        <w:t xml:space="preserve"> of </w:t>
      </w:r>
      <w:r w:rsidR="00184F55" w:rsidRPr="00925262">
        <w:rPr>
          <w:rFonts w:eastAsia="Calibri" w:cs="Times New Roman"/>
          <w:szCs w:val="24"/>
        </w:rPr>
        <w:t>‘</w:t>
      </w:r>
      <w:r w:rsidRPr="00925262">
        <w:rPr>
          <w:rFonts w:eastAsia="Calibri" w:cs="Times New Roman"/>
          <w:szCs w:val="24"/>
        </w:rPr>
        <w:t>official visitors</w:t>
      </w:r>
      <w:r w:rsidR="006C6DA6" w:rsidRPr="00925262">
        <w:rPr>
          <w:rFonts w:eastAsia="Calibri" w:cs="Times New Roman"/>
          <w:szCs w:val="24"/>
        </w:rPr>
        <w:t>’</w:t>
      </w:r>
      <w:r w:rsidR="00921EFB" w:rsidRPr="00925262">
        <w:rPr>
          <w:rFonts w:eastAsia="Calibri" w:cs="Times New Roman"/>
          <w:szCs w:val="24"/>
        </w:rPr>
        <w:t xml:space="preserve"> who may</w:t>
      </w:r>
      <w:r w:rsidR="00AC534B" w:rsidRPr="00925262">
        <w:rPr>
          <w:rFonts w:eastAsia="Calibri" w:cs="Times New Roman"/>
          <w:szCs w:val="24"/>
        </w:rPr>
        <w:t xml:space="preserve"> </w:t>
      </w:r>
      <w:r w:rsidRPr="00925262">
        <w:rPr>
          <w:rFonts w:eastAsia="Calibri" w:cs="Times New Roman"/>
          <w:szCs w:val="24"/>
        </w:rPr>
        <w:t xml:space="preserve">enjoy immunity on various </w:t>
      </w:r>
      <w:r w:rsidR="00184F55" w:rsidRPr="00925262">
        <w:rPr>
          <w:rFonts w:eastAsia="Calibri" w:cs="Times New Roman"/>
          <w:szCs w:val="24"/>
        </w:rPr>
        <w:t xml:space="preserve">other </w:t>
      </w:r>
      <w:r w:rsidRPr="00925262">
        <w:rPr>
          <w:rFonts w:eastAsia="Calibri" w:cs="Times New Roman"/>
          <w:szCs w:val="24"/>
        </w:rPr>
        <w:t xml:space="preserve">grounds: for example, by virtue of high office </w:t>
      </w:r>
      <w:r w:rsidR="003B65D7" w:rsidRPr="00925262">
        <w:rPr>
          <w:rFonts w:eastAsia="Calibri" w:cs="Times New Roman"/>
          <w:szCs w:val="24"/>
        </w:rPr>
        <w:t>with</w:t>
      </w:r>
      <w:r w:rsidRPr="00925262">
        <w:rPr>
          <w:rFonts w:eastAsia="Calibri" w:cs="Times New Roman"/>
          <w:szCs w:val="24"/>
        </w:rPr>
        <w:t>in a State, or in respect of their official acts.</w:t>
      </w:r>
      <w:bookmarkStart w:id="4" w:name="_Ref364694143"/>
      <w:r w:rsidRPr="00925262">
        <w:rPr>
          <w:rFonts w:eastAsia="Calibri" w:cs="Times New Roman"/>
          <w:szCs w:val="24"/>
          <w:vertAlign w:val="superscript"/>
        </w:rPr>
        <w:footnoteReference w:id="3"/>
      </w:r>
      <w:bookmarkEnd w:id="4"/>
      <w:r w:rsidR="006C6DA6" w:rsidRPr="00925262">
        <w:rPr>
          <w:rFonts w:eastAsia="Calibri" w:cs="Times New Roman"/>
          <w:szCs w:val="24"/>
        </w:rPr>
        <w:t xml:space="preserve"> </w:t>
      </w:r>
      <w:r w:rsidR="00D37055" w:rsidRPr="00925262">
        <w:rPr>
          <w:rFonts w:eastAsia="Calibri" w:cs="Times New Roman"/>
          <w:szCs w:val="24"/>
        </w:rPr>
        <w:t xml:space="preserve">For the purposes of this chapter, a special mission is a </w:t>
      </w:r>
      <w:r w:rsidR="00825191" w:rsidRPr="00925262">
        <w:rPr>
          <w:rFonts w:eastAsia="Calibri" w:cs="Times New Roman"/>
          <w:szCs w:val="24"/>
          <w:lang w:bidi="en-US"/>
        </w:rPr>
        <w:t>temporary mission, representing a State, which is sent by one State to another with the consent of the latter, in order to carry out official engagements on behalf of the sending State</w:t>
      </w:r>
      <w:r w:rsidR="00D37055" w:rsidRPr="00925262">
        <w:rPr>
          <w:rFonts w:eastAsia="Calibri" w:cs="Times New Roman"/>
          <w:szCs w:val="24"/>
        </w:rPr>
        <w:t xml:space="preserve">. </w:t>
      </w:r>
      <w:r w:rsidR="006C6DA6" w:rsidRPr="00925262">
        <w:rPr>
          <w:rFonts w:eastAsia="Calibri" w:cs="Times New Roman"/>
          <w:szCs w:val="24"/>
        </w:rPr>
        <w:t>There is an extensive literature</w:t>
      </w:r>
      <w:r w:rsidR="00CB3FA6" w:rsidRPr="00925262">
        <w:rPr>
          <w:rFonts w:eastAsia="Calibri" w:cs="Times New Roman"/>
          <w:szCs w:val="24"/>
        </w:rPr>
        <w:t xml:space="preserve"> on </w:t>
      </w:r>
      <w:r w:rsidR="00541462">
        <w:rPr>
          <w:rFonts w:eastAsia="Calibri" w:cs="Times New Roman"/>
          <w:szCs w:val="24"/>
        </w:rPr>
        <w:t>the</w:t>
      </w:r>
      <w:r w:rsidR="00CB3FA6" w:rsidRPr="00925262">
        <w:rPr>
          <w:rFonts w:eastAsia="Calibri" w:cs="Times New Roman"/>
          <w:szCs w:val="24"/>
        </w:rPr>
        <w:t xml:space="preserve"> subject</w:t>
      </w:r>
      <w:r w:rsidR="003B65D7" w:rsidRPr="00925262">
        <w:rPr>
          <w:rFonts w:eastAsia="Calibri" w:cs="Times New Roman"/>
          <w:szCs w:val="24"/>
        </w:rPr>
        <w:t>,</w:t>
      </w:r>
      <w:r w:rsidR="00C858C7" w:rsidRPr="00C858C7">
        <w:rPr>
          <w:rStyle w:val="FootnoteReference"/>
          <w:rFonts w:eastAsia="Calibri" w:cs="Times New Roman"/>
          <w:szCs w:val="24"/>
        </w:rPr>
        <w:t xml:space="preserve"> </w:t>
      </w:r>
      <w:bookmarkStart w:id="5" w:name="_Ref364691894"/>
      <w:r w:rsidR="00C858C7" w:rsidRPr="00925262">
        <w:rPr>
          <w:rStyle w:val="FootnoteReference"/>
          <w:rFonts w:eastAsia="Calibri" w:cs="Times New Roman"/>
          <w:szCs w:val="24"/>
        </w:rPr>
        <w:footnoteReference w:id="4"/>
      </w:r>
      <w:bookmarkEnd w:id="5"/>
      <w:r w:rsidR="003B65D7" w:rsidRPr="00925262">
        <w:rPr>
          <w:rFonts w:eastAsia="Calibri" w:cs="Times New Roman"/>
          <w:szCs w:val="24"/>
        </w:rPr>
        <w:t xml:space="preserve"> though much of it dates from the time when the </w:t>
      </w:r>
      <w:r w:rsidR="002D5A63" w:rsidRPr="00925262">
        <w:rPr>
          <w:rFonts w:eastAsia="Calibri" w:cs="Times New Roman"/>
          <w:szCs w:val="24"/>
        </w:rPr>
        <w:t xml:space="preserve">1969 New York </w:t>
      </w:r>
      <w:r w:rsidR="003B65D7" w:rsidRPr="00925262">
        <w:rPr>
          <w:rFonts w:eastAsia="Calibri" w:cs="Times New Roman"/>
          <w:szCs w:val="24"/>
        </w:rPr>
        <w:t xml:space="preserve">Convention </w:t>
      </w:r>
      <w:r w:rsidR="003B65D7" w:rsidRPr="00925262">
        <w:rPr>
          <w:rFonts w:eastAsia="Calibri" w:cs="Times New Roman"/>
          <w:szCs w:val="24"/>
        </w:rPr>
        <w:lastRenderedPageBreak/>
        <w:t xml:space="preserve">on Special Missions was </w:t>
      </w:r>
      <w:r w:rsidR="00D95F39" w:rsidRPr="00925262">
        <w:rPr>
          <w:rFonts w:eastAsia="Calibri" w:cs="Times New Roman"/>
          <w:szCs w:val="24"/>
        </w:rPr>
        <w:t>in</w:t>
      </w:r>
      <w:r w:rsidR="001E1247" w:rsidRPr="00925262">
        <w:rPr>
          <w:rFonts w:eastAsia="Calibri" w:cs="Times New Roman"/>
          <w:szCs w:val="24"/>
        </w:rPr>
        <w:t xml:space="preserve"> </w:t>
      </w:r>
      <w:r w:rsidR="00D95F39" w:rsidRPr="00925262">
        <w:rPr>
          <w:rFonts w:eastAsia="Calibri" w:cs="Times New Roman"/>
          <w:szCs w:val="24"/>
        </w:rPr>
        <w:t>preparation</w:t>
      </w:r>
      <w:r w:rsidR="003B65D7" w:rsidRPr="00925262">
        <w:rPr>
          <w:rFonts w:eastAsia="Calibri" w:cs="Times New Roman"/>
          <w:szCs w:val="24"/>
        </w:rPr>
        <w:t xml:space="preserve"> or </w:t>
      </w:r>
      <w:r w:rsidR="00CB3FA6" w:rsidRPr="00925262">
        <w:rPr>
          <w:rFonts w:eastAsia="Calibri" w:cs="Times New Roman"/>
          <w:szCs w:val="24"/>
        </w:rPr>
        <w:t xml:space="preserve">had </w:t>
      </w:r>
      <w:r w:rsidR="00E77E39" w:rsidRPr="00925262">
        <w:rPr>
          <w:rFonts w:eastAsia="Calibri" w:cs="Times New Roman"/>
          <w:szCs w:val="24"/>
        </w:rPr>
        <w:t xml:space="preserve">recently </w:t>
      </w:r>
      <w:r w:rsidR="00CB3FA6" w:rsidRPr="00925262">
        <w:rPr>
          <w:rFonts w:eastAsia="Calibri" w:cs="Times New Roman"/>
          <w:szCs w:val="24"/>
        </w:rPr>
        <w:t xml:space="preserve">been </w:t>
      </w:r>
      <w:r w:rsidR="003B65D7" w:rsidRPr="00925262">
        <w:rPr>
          <w:rFonts w:eastAsia="Calibri" w:cs="Times New Roman"/>
          <w:szCs w:val="24"/>
        </w:rPr>
        <w:t>adopted. T</w:t>
      </w:r>
      <w:r w:rsidR="006C6DA6" w:rsidRPr="00925262">
        <w:rPr>
          <w:rFonts w:eastAsia="Calibri" w:cs="Times New Roman"/>
          <w:szCs w:val="24"/>
        </w:rPr>
        <w:t xml:space="preserve">he present chapter seeks to give an up-to-date account of the law, </w:t>
      </w:r>
      <w:r w:rsidR="00E77E39">
        <w:rPr>
          <w:rFonts w:eastAsia="Calibri" w:cs="Times New Roman"/>
          <w:szCs w:val="24"/>
        </w:rPr>
        <w:t xml:space="preserve">practice and </w:t>
      </w:r>
      <w:r w:rsidR="006C6DA6" w:rsidRPr="00925262">
        <w:rPr>
          <w:rFonts w:eastAsia="Calibri" w:cs="Times New Roman"/>
          <w:szCs w:val="24"/>
        </w:rPr>
        <w:t>procedure in the field.</w:t>
      </w:r>
    </w:p>
    <w:p w14:paraId="03ADCDDD" w14:textId="77777777" w:rsidR="00F66F3C" w:rsidRDefault="00F66F3C" w:rsidP="00F66F3C">
      <w:pPr>
        <w:contextualSpacing/>
        <w:rPr>
          <w:rFonts w:eastAsia="Calibri" w:cs="Times New Roman"/>
          <w:szCs w:val="24"/>
        </w:rPr>
      </w:pPr>
    </w:p>
    <w:p w14:paraId="5D12D649" w14:textId="63EEA432" w:rsidR="006733FD" w:rsidRDefault="00B42FB9" w:rsidP="00F66F3C">
      <w:pPr>
        <w:contextualSpacing/>
        <w:rPr>
          <w:rFonts w:eastAsia="Calibri" w:cs="Times New Roman"/>
          <w:szCs w:val="24"/>
        </w:rPr>
      </w:pPr>
      <w:r w:rsidRPr="00925262">
        <w:rPr>
          <w:rFonts w:eastAsia="Calibri" w:cs="Times New Roman"/>
          <w:szCs w:val="24"/>
        </w:rPr>
        <w:t>I</w:t>
      </w:r>
      <w:r w:rsidR="000E729C" w:rsidRPr="00925262">
        <w:rPr>
          <w:rFonts w:eastAsia="Calibri" w:cs="Times New Roman"/>
          <w:szCs w:val="24"/>
        </w:rPr>
        <w:t xml:space="preserve">n today’s world, </w:t>
      </w:r>
      <w:r w:rsidR="00E96A4C" w:rsidRPr="00925262">
        <w:rPr>
          <w:rFonts w:eastAsia="Calibri" w:cs="Times New Roman"/>
          <w:szCs w:val="24"/>
        </w:rPr>
        <w:t xml:space="preserve">with the intensification of relations between States and the speed and ease of transport, the practice of sending and receiving special missions has become increasingly </w:t>
      </w:r>
      <w:r w:rsidR="00E77E39">
        <w:rPr>
          <w:rFonts w:eastAsia="Calibri" w:cs="Times New Roman"/>
          <w:szCs w:val="24"/>
        </w:rPr>
        <w:t>widespread</w:t>
      </w:r>
      <w:r w:rsidR="00E96A4C" w:rsidRPr="00925262">
        <w:rPr>
          <w:rFonts w:eastAsia="Calibri" w:cs="Times New Roman"/>
          <w:szCs w:val="24"/>
        </w:rPr>
        <w:t>. As a result, questions relating</w:t>
      </w:r>
      <w:r w:rsidR="00AA1317" w:rsidRPr="00925262">
        <w:rPr>
          <w:rFonts w:eastAsia="Calibri" w:cs="Times New Roman"/>
          <w:szCs w:val="24"/>
        </w:rPr>
        <w:t xml:space="preserve"> to the immunities of members of special</w:t>
      </w:r>
      <w:r w:rsidR="00825191" w:rsidRPr="00925262">
        <w:rPr>
          <w:rFonts w:eastAsia="Calibri" w:cs="Times New Roman"/>
          <w:szCs w:val="24"/>
        </w:rPr>
        <w:t xml:space="preserve"> </w:t>
      </w:r>
      <w:r w:rsidR="00AA1317" w:rsidRPr="00925262">
        <w:rPr>
          <w:rFonts w:eastAsia="Calibri" w:cs="Times New Roman"/>
          <w:szCs w:val="24"/>
        </w:rPr>
        <w:t>missions</w:t>
      </w:r>
      <w:r w:rsidR="00E96A4C" w:rsidRPr="00925262">
        <w:rPr>
          <w:rFonts w:eastAsia="Calibri" w:cs="Times New Roman"/>
          <w:szCs w:val="24"/>
        </w:rPr>
        <w:t xml:space="preserve"> arise with increasing frequency</w:t>
      </w:r>
      <w:r w:rsidR="00AC534B" w:rsidRPr="00925262">
        <w:rPr>
          <w:rFonts w:eastAsia="Calibri" w:cs="Times New Roman"/>
          <w:szCs w:val="24"/>
        </w:rPr>
        <w:t>.</w:t>
      </w:r>
      <w:r w:rsidR="00AA1317" w:rsidRPr="00925262">
        <w:rPr>
          <w:rFonts w:eastAsia="Calibri" w:cs="Times New Roman"/>
          <w:szCs w:val="24"/>
        </w:rPr>
        <w:t xml:space="preserve"> </w:t>
      </w:r>
      <w:r w:rsidR="00AC534B" w:rsidRPr="00925262">
        <w:rPr>
          <w:rFonts w:eastAsia="Calibri" w:cs="Times New Roman"/>
          <w:szCs w:val="24"/>
        </w:rPr>
        <w:t>B</w:t>
      </w:r>
      <w:r w:rsidR="000E729C" w:rsidRPr="00925262">
        <w:rPr>
          <w:rFonts w:eastAsia="Calibri" w:cs="Times New Roman"/>
          <w:szCs w:val="24"/>
        </w:rPr>
        <w:t>ut the</w:t>
      </w:r>
      <w:r w:rsidR="00DA16C3" w:rsidRPr="00925262">
        <w:rPr>
          <w:rFonts w:eastAsia="Calibri" w:cs="Times New Roman"/>
          <w:szCs w:val="24"/>
        </w:rPr>
        <w:t xml:space="preserve"> immunities </w:t>
      </w:r>
      <w:r w:rsidR="00AC534B" w:rsidRPr="00925262">
        <w:rPr>
          <w:rFonts w:eastAsia="Calibri" w:cs="Times New Roman"/>
          <w:szCs w:val="24"/>
        </w:rPr>
        <w:t>of the members of special missions are not governed by any widely ratified convention and</w:t>
      </w:r>
      <w:r w:rsidR="00C858C7">
        <w:rPr>
          <w:rFonts w:eastAsia="Calibri" w:cs="Times New Roman"/>
          <w:szCs w:val="24"/>
        </w:rPr>
        <w:t xml:space="preserve"> </w:t>
      </w:r>
      <w:r w:rsidR="00DA16C3" w:rsidRPr="00925262">
        <w:rPr>
          <w:rFonts w:eastAsia="Calibri" w:cs="Times New Roman"/>
          <w:szCs w:val="24"/>
        </w:rPr>
        <w:t>remain</w:t>
      </w:r>
      <w:r w:rsidR="000E729C" w:rsidRPr="00925262">
        <w:rPr>
          <w:rFonts w:eastAsia="Calibri" w:cs="Times New Roman"/>
          <w:szCs w:val="24"/>
        </w:rPr>
        <w:t xml:space="preserve"> </w:t>
      </w:r>
      <w:r w:rsidR="0039217C">
        <w:rPr>
          <w:rFonts w:eastAsia="Calibri" w:cs="Times New Roman"/>
          <w:szCs w:val="24"/>
        </w:rPr>
        <w:t>in some respects</w:t>
      </w:r>
      <w:r w:rsidR="0039217C" w:rsidRPr="00925262">
        <w:rPr>
          <w:rFonts w:eastAsia="Calibri" w:cs="Times New Roman"/>
          <w:szCs w:val="24"/>
        </w:rPr>
        <w:t xml:space="preserve"> </w:t>
      </w:r>
      <w:r w:rsidR="000E729C" w:rsidRPr="00925262">
        <w:rPr>
          <w:rFonts w:eastAsia="Calibri" w:cs="Times New Roman"/>
          <w:szCs w:val="24"/>
        </w:rPr>
        <w:t>unc</w:t>
      </w:r>
      <w:r w:rsidR="00DA16C3" w:rsidRPr="00925262">
        <w:rPr>
          <w:rFonts w:eastAsia="Calibri" w:cs="Times New Roman"/>
          <w:szCs w:val="24"/>
        </w:rPr>
        <w:t>ertain</w:t>
      </w:r>
      <w:r w:rsidR="00683D26" w:rsidRPr="00925262">
        <w:rPr>
          <w:rFonts w:eastAsia="Calibri" w:cs="Times New Roman"/>
          <w:szCs w:val="24"/>
        </w:rPr>
        <w:t xml:space="preserve"> under customary international law</w:t>
      </w:r>
      <w:r w:rsidR="000E729C" w:rsidRPr="00925262">
        <w:rPr>
          <w:rFonts w:eastAsia="Calibri" w:cs="Times New Roman"/>
          <w:szCs w:val="24"/>
        </w:rPr>
        <w:t xml:space="preserve">. </w:t>
      </w:r>
      <w:r w:rsidR="00683D26" w:rsidRPr="00925262">
        <w:rPr>
          <w:rFonts w:eastAsia="Calibri" w:cs="Times New Roman"/>
          <w:szCs w:val="24"/>
        </w:rPr>
        <w:t>T</w:t>
      </w:r>
      <w:r w:rsidR="00DA16C3" w:rsidRPr="00925262">
        <w:rPr>
          <w:rFonts w:eastAsia="Calibri" w:cs="Times New Roman"/>
          <w:szCs w:val="24"/>
        </w:rPr>
        <w:t>his is unsatisfactory</w:t>
      </w:r>
      <w:r w:rsidR="00825191" w:rsidRPr="00925262">
        <w:rPr>
          <w:rFonts w:eastAsia="Calibri" w:cs="Times New Roman"/>
          <w:szCs w:val="24"/>
        </w:rPr>
        <w:t>. C</w:t>
      </w:r>
      <w:r w:rsidR="00184F55" w:rsidRPr="00925262">
        <w:rPr>
          <w:rFonts w:eastAsia="Calibri" w:cs="Times New Roman"/>
          <w:szCs w:val="24"/>
        </w:rPr>
        <w:t xml:space="preserve">larity in the field of international immunities is desirable on many grounds, </w:t>
      </w:r>
      <w:r w:rsidR="003B65D7" w:rsidRPr="00925262">
        <w:rPr>
          <w:rFonts w:eastAsia="Calibri" w:cs="Times New Roman"/>
          <w:szCs w:val="24"/>
        </w:rPr>
        <w:t xml:space="preserve">not least in order to </w:t>
      </w:r>
      <w:r w:rsidR="00FB416F" w:rsidRPr="00925262">
        <w:rPr>
          <w:rFonts w:eastAsia="Calibri" w:cs="Times New Roman"/>
          <w:szCs w:val="24"/>
        </w:rPr>
        <w:t xml:space="preserve">ensure the </w:t>
      </w:r>
      <w:r w:rsidR="00825191" w:rsidRPr="00925262">
        <w:rPr>
          <w:rFonts w:eastAsia="Calibri" w:cs="Times New Roman"/>
          <w:szCs w:val="24"/>
        </w:rPr>
        <w:t xml:space="preserve">orderly </w:t>
      </w:r>
      <w:r w:rsidR="00FB416F" w:rsidRPr="00925262">
        <w:rPr>
          <w:rFonts w:eastAsia="Calibri" w:cs="Times New Roman"/>
          <w:szCs w:val="24"/>
        </w:rPr>
        <w:t>conduct of diplomacy in all its forms</w:t>
      </w:r>
      <w:r w:rsidR="00825191" w:rsidRPr="00925262">
        <w:rPr>
          <w:rFonts w:eastAsia="Calibri" w:cs="Times New Roman"/>
          <w:szCs w:val="24"/>
        </w:rPr>
        <w:t>.</w:t>
      </w:r>
      <w:bookmarkStart w:id="7" w:name="_Ref503801185"/>
      <w:r w:rsidR="00C858C7" w:rsidRPr="00925262">
        <w:rPr>
          <w:rStyle w:val="FootnoteReference"/>
          <w:rFonts w:eastAsia="Calibri" w:cs="Times New Roman"/>
          <w:szCs w:val="24"/>
        </w:rPr>
        <w:footnoteReference w:id="5"/>
      </w:r>
      <w:bookmarkEnd w:id="7"/>
      <w:r w:rsidR="00DA16C3" w:rsidRPr="00925262">
        <w:rPr>
          <w:rFonts w:eastAsia="Calibri" w:cs="Times New Roman"/>
          <w:szCs w:val="24"/>
        </w:rPr>
        <w:t xml:space="preserve"> </w:t>
      </w:r>
      <w:r w:rsidR="00E77E39">
        <w:rPr>
          <w:rFonts w:eastAsia="Calibri" w:cs="Times New Roman"/>
          <w:szCs w:val="24"/>
        </w:rPr>
        <w:t xml:space="preserve">As has rightly been said, </w:t>
      </w:r>
      <w:r w:rsidR="004344AA">
        <w:rPr>
          <w:rFonts w:eastAsia="Calibri" w:cs="Times New Roman"/>
          <w:szCs w:val="24"/>
        </w:rPr>
        <w:t>‘</w:t>
      </w:r>
      <w:r w:rsidR="00E77E39">
        <w:rPr>
          <w:rFonts w:cs="Times New Roman"/>
        </w:rPr>
        <w:t>[t]</w:t>
      </w:r>
      <w:r w:rsidR="00E77E39" w:rsidRPr="00DA4DD8">
        <w:rPr>
          <w:rFonts w:cs="Times New Roman"/>
        </w:rPr>
        <w:t>he law of immunity needs to be clear so that decisions which have to be made under pressure of time, and which have implications for international relations can be made correctly</w:t>
      </w:r>
      <w:r w:rsidR="004344AA">
        <w:rPr>
          <w:rFonts w:cs="Times New Roman"/>
        </w:rPr>
        <w:t>’</w:t>
      </w:r>
      <w:r w:rsidR="00E77E39" w:rsidRPr="00DA4DD8">
        <w:rPr>
          <w:rFonts w:cs="Times New Roman"/>
        </w:rPr>
        <w:t>.</w:t>
      </w:r>
      <w:r w:rsidR="00E77E39">
        <w:rPr>
          <w:rStyle w:val="FootnoteReference"/>
          <w:rFonts w:cs="Times New Roman"/>
        </w:rPr>
        <w:footnoteReference w:id="6"/>
      </w:r>
      <w:r w:rsidR="00E77E39">
        <w:rPr>
          <w:rFonts w:cs="Times New Roman"/>
        </w:rPr>
        <w:t xml:space="preserve"> </w:t>
      </w:r>
      <w:r w:rsidR="00825191" w:rsidRPr="00925262">
        <w:rPr>
          <w:rFonts w:eastAsia="Calibri" w:cs="Times New Roman"/>
          <w:szCs w:val="24"/>
        </w:rPr>
        <w:t>Clarity is perhaps especially important in a field of law largely applied by domestic prosecuting authorities and judges</w:t>
      </w:r>
      <w:r w:rsidR="00E720E5" w:rsidRPr="00925262">
        <w:rPr>
          <w:rFonts w:eastAsia="Calibri" w:cs="Times New Roman"/>
          <w:szCs w:val="24"/>
        </w:rPr>
        <w:t>, and where t</w:t>
      </w:r>
      <w:r w:rsidR="00825191" w:rsidRPr="00925262">
        <w:rPr>
          <w:rFonts w:eastAsia="Calibri" w:cs="Times New Roman"/>
          <w:szCs w:val="24"/>
        </w:rPr>
        <w:t xml:space="preserve">he propensity of differences over the law </w:t>
      </w:r>
      <w:r w:rsidR="00234CB3" w:rsidRPr="00925262">
        <w:rPr>
          <w:rFonts w:eastAsia="Calibri" w:cs="Times New Roman"/>
          <w:szCs w:val="24"/>
        </w:rPr>
        <w:t xml:space="preserve">can give </w:t>
      </w:r>
      <w:r w:rsidR="00825191" w:rsidRPr="00925262">
        <w:rPr>
          <w:rFonts w:eastAsia="Calibri" w:cs="Times New Roman"/>
          <w:szCs w:val="24"/>
        </w:rPr>
        <w:t xml:space="preserve">rise to serious political tensions between States. That the UN General Assembly attaches importance to legal clarity in </w:t>
      </w:r>
      <w:r w:rsidR="006733FD">
        <w:rPr>
          <w:rFonts w:eastAsia="Calibri" w:cs="Times New Roman"/>
          <w:szCs w:val="24"/>
        </w:rPr>
        <w:t>the field of immunities</w:t>
      </w:r>
      <w:r w:rsidR="00825191" w:rsidRPr="00925262">
        <w:rPr>
          <w:rFonts w:eastAsia="Calibri" w:cs="Times New Roman"/>
          <w:szCs w:val="24"/>
        </w:rPr>
        <w:t xml:space="preserve"> is clear from its resolution 59/38 of 2 December 2004, where it stressed </w:t>
      </w:r>
      <w:r w:rsidR="004344AA">
        <w:rPr>
          <w:rFonts w:eastAsia="Calibri" w:cs="Times New Roman"/>
          <w:szCs w:val="24"/>
        </w:rPr>
        <w:t>‘</w:t>
      </w:r>
      <w:r w:rsidR="00825191" w:rsidRPr="00925262">
        <w:rPr>
          <w:rFonts w:eastAsia="Calibri" w:cs="Times New Roman"/>
          <w:szCs w:val="24"/>
        </w:rPr>
        <w:t>the importance of uniformity and clarity in the law of jurisdictional immunities of States and their property, and emphasizing the role of a convention in this regard</w:t>
      </w:r>
      <w:r w:rsidR="004344AA">
        <w:rPr>
          <w:rFonts w:eastAsia="Calibri" w:cs="Times New Roman"/>
          <w:szCs w:val="24"/>
        </w:rPr>
        <w:t>’</w:t>
      </w:r>
      <w:r w:rsidR="00825191" w:rsidRPr="00925262">
        <w:rPr>
          <w:rFonts w:eastAsia="Calibri" w:cs="Times New Roman"/>
          <w:szCs w:val="24"/>
        </w:rPr>
        <w:t>.</w:t>
      </w:r>
      <w:bookmarkStart w:id="9" w:name="_Ref503796788"/>
      <w:r w:rsidR="00825191" w:rsidRPr="00925262">
        <w:rPr>
          <w:rFonts w:eastAsia="Calibri" w:cs="Times New Roman"/>
          <w:szCs w:val="24"/>
          <w:vertAlign w:val="superscript"/>
        </w:rPr>
        <w:footnoteReference w:id="7"/>
      </w:r>
      <w:bookmarkEnd w:id="9"/>
    </w:p>
    <w:p w14:paraId="6E2B31F1" w14:textId="77777777" w:rsidR="00F66F3C" w:rsidRDefault="00F66F3C" w:rsidP="00F66F3C">
      <w:pPr>
        <w:contextualSpacing/>
        <w:rPr>
          <w:rFonts w:eastAsia="Calibri" w:cs="Times New Roman"/>
          <w:szCs w:val="24"/>
        </w:rPr>
      </w:pPr>
    </w:p>
    <w:p w14:paraId="059383A6" w14:textId="6B3AE98E" w:rsidR="004F2A8E" w:rsidRDefault="00825191" w:rsidP="00F66F3C">
      <w:pPr>
        <w:contextualSpacing/>
        <w:rPr>
          <w:rFonts w:eastAsia="Calibri" w:cs="Times New Roman"/>
          <w:szCs w:val="24"/>
        </w:rPr>
      </w:pPr>
      <w:r w:rsidRPr="00925262">
        <w:rPr>
          <w:rFonts w:eastAsia="Calibri" w:cs="Times New Roman"/>
          <w:szCs w:val="24"/>
        </w:rPr>
        <w:t>A</w:t>
      </w:r>
      <w:r w:rsidR="00683D26" w:rsidRPr="00925262">
        <w:rPr>
          <w:rFonts w:eastAsia="Calibri" w:cs="Times New Roman"/>
          <w:szCs w:val="24"/>
        </w:rPr>
        <w:t xml:space="preserve">s </w:t>
      </w:r>
      <w:r w:rsidR="00DA16C3" w:rsidRPr="00925262">
        <w:rPr>
          <w:rFonts w:eastAsia="Calibri" w:cs="Times New Roman"/>
          <w:szCs w:val="24"/>
        </w:rPr>
        <w:t xml:space="preserve">the present chapter </w:t>
      </w:r>
      <w:r w:rsidR="00683D26" w:rsidRPr="00925262">
        <w:rPr>
          <w:rFonts w:eastAsia="Calibri" w:cs="Times New Roman"/>
          <w:szCs w:val="24"/>
        </w:rPr>
        <w:t xml:space="preserve">shows, </w:t>
      </w:r>
      <w:r w:rsidR="00DA16C3" w:rsidRPr="00925262">
        <w:rPr>
          <w:rFonts w:eastAsia="Calibri" w:cs="Times New Roman"/>
          <w:szCs w:val="24"/>
        </w:rPr>
        <w:t xml:space="preserve">while </w:t>
      </w:r>
      <w:r w:rsidRPr="00925262">
        <w:rPr>
          <w:rFonts w:eastAsia="Calibri" w:cs="Times New Roman"/>
          <w:szCs w:val="24"/>
        </w:rPr>
        <w:t xml:space="preserve">some </w:t>
      </w:r>
      <w:r w:rsidR="00DA16C3" w:rsidRPr="00925262">
        <w:rPr>
          <w:rFonts w:eastAsia="Calibri" w:cs="Times New Roman"/>
          <w:szCs w:val="24"/>
        </w:rPr>
        <w:t xml:space="preserve">uncertainties </w:t>
      </w:r>
      <w:r w:rsidR="00541462">
        <w:rPr>
          <w:rFonts w:eastAsia="Calibri" w:cs="Times New Roman"/>
          <w:szCs w:val="24"/>
        </w:rPr>
        <w:t>remain</w:t>
      </w:r>
      <w:r w:rsidR="00DA16C3" w:rsidRPr="00925262">
        <w:rPr>
          <w:rFonts w:eastAsia="Calibri" w:cs="Times New Roman"/>
          <w:szCs w:val="24"/>
        </w:rPr>
        <w:t xml:space="preserve">, </w:t>
      </w:r>
      <w:r w:rsidR="00D12FFE" w:rsidRPr="00925262">
        <w:rPr>
          <w:rFonts w:eastAsia="Calibri" w:cs="Times New Roman"/>
          <w:szCs w:val="24"/>
        </w:rPr>
        <w:t xml:space="preserve">the </w:t>
      </w:r>
      <w:r w:rsidR="006E166D" w:rsidRPr="00925262">
        <w:rPr>
          <w:rFonts w:eastAsia="Calibri" w:cs="Times New Roman"/>
          <w:szCs w:val="24"/>
        </w:rPr>
        <w:t xml:space="preserve">rules of </w:t>
      </w:r>
      <w:r w:rsidR="00683D26" w:rsidRPr="00925262">
        <w:rPr>
          <w:rFonts w:eastAsia="Calibri" w:cs="Times New Roman"/>
          <w:szCs w:val="24"/>
        </w:rPr>
        <w:t xml:space="preserve">customary international law </w:t>
      </w:r>
      <w:r w:rsidR="006E166D" w:rsidRPr="00925262">
        <w:rPr>
          <w:rFonts w:eastAsia="Calibri" w:cs="Times New Roman"/>
          <w:szCs w:val="24"/>
        </w:rPr>
        <w:t xml:space="preserve">concerning </w:t>
      </w:r>
      <w:r w:rsidR="00D12FFE" w:rsidRPr="00925262">
        <w:rPr>
          <w:rFonts w:eastAsia="Calibri" w:cs="Times New Roman"/>
          <w:szCs w:val="24"/>
        </w:rPr>
        <w:t xml:space="preserve">special missions </w:t>
      </w:r>
      <w:r w:rsidR="006E166D" w:rsidRPr="00925262">
        <w:rPr>
          <w:rFonts w:eastAsia="Calibri" w:cs="Times New Roman"/>
          <w:szCs w:val="24"/>
        </w:rPr>
        <w:t>are</w:t>
      </w:r>
      <w:r w:rsidR="00DA16C3" w:rsidRPr="00925262">
        <w:rPr>
          <w:rFonts w:eastAsia="Calibri" w:cs="Times New Roman"/>
          <w:szCs w:val="24"/>
        </w:rPr>
        <w:t xml:space="preserve"> clear</w:t>
      </w:r>
      <w:r w:rsidR="00D12FFE" w:rsidRPr="00925262">
        <w:rPr>
          <w:rFonts w:eastAsia="Calibri" w:cs="Times New Roman"/>
          <w:szCs w:val="24"/>
        </w:rPr>
        <w:t xml:space="preserve"> in essential respects (</w:t>
      </w:r>
      <w:r w:rsidR="000F403E">
        <w:rPr>
          <w:rFonts w:eastAsia="Calibri" w:cs="Times New Roman"/>
          <w:szCs w:val="24"/>
        </w:rPr>
        <w:t xml:space="preserve">namely, </w:t>
      </w:r>
      <w:r w:rsidR="00C858C7" w:rsidRPr="00925262">
        <w:rPr>
          <w:rFonts w:eastAsia="Calibri" w:cs="Times New Roman"/>
          <w:szCs w:val="24"/>
        </w:rPr>
        <w:t xml:space="preserve">inviolability of the person </w:t>
      </w:r>
      <w:r w:rsidR="00C858C7">
        <w:rPr>
          <w:rFonts w:eastAsia="Calibri" w:cs="Times New Roman"/>
          <w:szCs w:val="24"/>
        </w:rPr>
        <w:t xml:space="preserve">and </w:t>
      </w:r>
      <w:r w:rsidR="00D12FFE" w:rsidRPr="00925262">
        <w:rPr>
          <w:rFonts w:eastAsia="Calibri" w:cs="Times New Roman"/>
          <w:szCs w:val="24"/>
        </w:rPr>
        <w:t>immunity from criminal jurisdiction)</w:t>
      </w:r>
      <w:r w:rsidR="00DA16C3" w:rsidRPr="00925262">
        <w:rPr>
          <w:rFonts w:eastAsia="Calibri" w:cs="Times New Roman"/>
          <w:szCs w:val="24"/>
        </w:rPr>
        <w:t xml:space="preserve">. </w:t>
      </w:r>
      <w:r w:rsidR="004F2A8E">
        <w:rPr>
          <w:rFonts w:eastAsia="Calibri" w:cs="Times New Roman"/>
          <w:szCs w:val="24"/>
        </w:rPr>
        <w:t>It is, however, important to note at the outset that the inviolability and immunity of persons on special missions are in addition to the personal inviolability and immunities that a member of a mission may also enjoy on some other basis. For example, all visiting</w:t>
      </w:r>
      <w:r w:rsidR="004F2A8E" w:rsidRPr="00E65B94">
        <w:rPr>
          <w:rFonts w:eastAsia="Calibri" w:cs="Times New Roman"/>
          <w:szCs w:val="24"/>
        </w:rPr>
        <w:t xml:space="preserve"> officials or former officials enjoy inviolability and immunity from criminal jurisdiction in respect of official acts, as provided for in general international law</w:t>
      </w:r>
      <w:r w:rsidR="004F2A8E">
        <w:rPr>
          <w:rFonts w:eastAsia="Calibri" w:cs="Times New Roman"/>
          <w:szCs w:val="24"/>
        </w:rPr>
        <w:t xml:space="preserve">. </w:t>
      </w:r>
      <w:r w:rsidR="004F2A8E" w:rsidRPr="00E65B94">
        <w:rPr>
          <w:rFonts w:eastAsia="Calibri" w:cs="Times New Roman"/>
          <w:szCs w:val="24"/>
        </w:rPr>
        <w:t xml:space="preserve">Special mission immunity </w:t>
      </w:r>
      <w:r w:rsidR="004F2A8E">
        <w:rPr>
          <w:rFonts w:eastAsia="Calibri" w:cs="Times New Roman"/>
          <w:szCs w:val="24"/>
        </w:rPr>
        <w:t>is</w:t>
      </w:r>
      <w:r w:rsidR="004F2A8E" w:rsidRPr="00E65B94">
        <w:rPr>
          <w:rFonts w:eastAsia="Calibri" w:cs="Times New Roman"/>
          <w:szCs w:val="24"/>
        </w:rPr>
        <w:t xml:space="preserve"> therefore most relevant </w:t>
      </w:r>
      <w:r w:rsidR="004F2A8E">
        <w:rPr>
          <w:rFonts w:eastAsia="Calibri" w:cs="Times New Roman"/>
          <w:szCs w:val="24"/>
        </w:rPr>
        <w:t>in situations where</w:t>
      </w:r>
      <w:r w:rsidR="004F2A8E" w:rsidRPr="00E65B94">
        <w:rPr>
          <w:rFonts w:eastAsia="Calibri" w:cs="Times New Roman"/>
          <w:szCs w:val="24"/>
        </w:rPr>
        <w:t xml:space="preserve"> exceptions to immunity </w:t>
      </w:r>
      <w:r w:rsidR="004F2A8E" w:rsidRPr="00E65B94">
        <w:rPr>
          <w:rFonts w:eastAsia="Calibri" w:cs="Times New Roman"/>
          <w:i/>
          <w:szCs w:val="24"/>
        </w:rPr>
        <w:t>ratione materiae</w:t>
      </w:r>
      <w:r w:rsidR="004F2A8E">
        <w:rPr>
          <w:rFonts w:eastAsia="Calibri" w:cs="Times New Roman"/>
          <w:i/>
          <w:szCs w:val="24"/>
        </w:rPr>
        <w:t xml:space="preserve"> </w:t>
      </w:r>
      <w:r w:rsidR="004F2A8E">
        <w:rPr>
          <w:rFonts w:eastAsia="Calibri" w:cs="Times New Roman"/>
          <w:szCs w:val="24"/>
        </w:rPr>
        <w:t>apply, and for legal proceedings in respect of private acts.</w:t>
      </w:r>
    </w:p>
    <w:p w14:paraId="4E1ECB25" w14:textId="77777777" w:rsidR="004344AA" w:rsidRDefault="004344AA" w:rsidP="00F66F3C">
      <w:pPr>
        <w:contextualSpacing/>
        <w:rPr>
          <w:rFonts w:eastAsia="Calibri" w:cs="Times New Roman"/>
          <w:szCs w:val="24"/>
        </w:rPr>
      </w:pPr>
    </w:p>
    <w:p w14:paraId="597B0999" w14:textId="1ADDEA57" w:rsidR="00083C66" w:rsidRPr="00925262" w:rsidRDefault="00DA16C3" w:rsidP="00F66F3C">
      <w:pPr>
        <w:contextualSpacing/>
        <w:rPr>
          <w:rFonts w:eastAsia="Calibri" w:cs="Times New Roman"/>
          <w:szCs w:val="24"/>
        </w:rPr>
      </w:pPr>
      <w:r w:rsidRPr="00925262">
        <w:rPr>
          <w:rFonts w:eastAsia="Calibri" w:cs="Times New Roman"/>
          <w:szCs w:val="24"/>
        </w:rPr>
        <w:t>Th</w:t>
      </w:r>
      <w:r w:rsidR="004F2A8E">
        <w:rPr>
          <w:rFonts w:eastAsia="Calibri" w:cs="Times New Roman"/>
          <w:szCs w:val="24"/>
        </w:rPr>
        <w:t xml:space="preserve">e rules of customary international law on special missions </w:t>
      </w:r>
      <w:r w:rsidR="00C73DF3">
        <w:rPr>
          <w:rFonts w:eastAsia="Calibri" w:cs="Times New Roman"/>
          <w:szCs w:val="24"/>
        </w:rPr>
        <w:t>derive</w:t>
      </w:r>
      <w:r w:rsidR="004F2A8E">
        <w:rPr>
          <w:rFonts w:eastAsia="Calibri" w:cs="Times New Roman"/>
          <w:szCs w:val="24"/>
        </w:rPr>
        <w:t xml:space="preserve"> </w:t>
      </w:r>
      <w:r w:rsidR="00825191" w:rsidRPr="00925262">
        <w:rPr>
          <w:rFonts w:eastAsia="Calibri" w:cs="Times New Roman"/>
          <w:szCs w:val="24"/>
        </w:rPr>
        <w:t>from</w:t>
      </w:r>
      <w:r w:rsidR="003B65D7" w:rsidRPr="00925262">
        <w:rPr>
          <w:rFonts w:eastAsia="Calibri" w:cs="Times New Roman"/>
          <w:szCs w:val="24"/>
        </w:rPr>
        <w:t xml:space="preserve"> the </w:t>
      </w:r>
      <w:r w:rsidR="000F403E">
        <w:rPr>
          <w:rFonts w:eastAsia="Calibri" w:cs="Times New Roman"/>
          <w:szCs w:val="24"/>
        </w:rPr>
        <w:t xml:space="preserve">general </w:t>
      </w:r>
      <w:r w:rsidRPr="00925262">
        <w:rPr>
          <w:rFonts w:eastAsia="Calibri" w:cs="Times New Roman"/>
          <w:szCs w:val="24"/>
        </w:rPr>
        <w:t>practice</w:t>
      </w:r>
      <w:r w:rsidR="003B65D7" w:rsidRPr="00925262">
        <w:rPr>
          <w:rFonts w:eastAsia="Calibri" w:cs="Times New Roman"/>
          <w:szCs w:val="24"/>
        </w:rPr>
        <w:t xml:space="preserve"> and </w:t>
      </w:r>
      <w:r w:rsidR="003B65D7" w:rsidRPr="00925262">
        <w:rPr>
          <w:rFonts w:eastAsia="Calibri" w:cs="Times New Roman"/>
          <w:i/>
          <w:szCs w:val="24"/>
        </w:rPr>
        <w:t>opinio juris</w:t>
      </w:r>
      <w:r w:rsidR="003B65D7" w:rsidRPr="00925262">
        <w:rPr>
          <w:rFonts w:eastAsia="Calibri" w:cs="Times New Roman"/>
          <w:szCs w:val="24"/>
        </w:rPr>
        <w:t xml:space="preserve"> of States</w:t>
      </w:r>
      <w:r w:rsidRPr="00925262">
        <w:rPr>
          <w:rFonts w:eastAsia="Calibri" w:cs="Times New Roman"/>
          <w:szCs w:val="24"/>
        </w:rPr>
        <w:t xml:space="preserve">, </w:t>
      </w:r>
      <w:r w:rsidR="00683D26" w:rsidRPr="00925262">
        <w:rPr>
          <w:rFonts w:eastAsia="Calibri" w:cs="Times New Roman"/>
          <w:szCs w:val="24"/>
        </w:rPr>
        <w:t xml:space="preserve">and </w:t>
      </w:r>
      <w:r w:rsidR="003B65D7" w:rsidRPr="00925262">
        <w:rPr>
          <w:rFonts w:eastAsia="Calibri" w:cs="Times New Roman"/>
          <w:szCs w:val="24"/>
        </w:rPr>
        <w:t xml:space="preserve">reflect </w:t>
      </w:r>
      <w:r w:rsidR="00683D26" w:rsidRPr="00925262">
        <w:rPr>
          <w:rFonts w:eastAsia="Calibri" w:cs="Times New Roman"/>
          <w:szCs w:val="24"/>
        </w:rPr>
        <w:t>the principle of functional necessity that underlies all diplomatic law.</w:t>
      </w:r>
      <w:r w:rsidR="00441645">
        <w:rPr>
          <w:rFonts w:eastAsia="Calibri" w:cs="Times New Roman"/>
          <w:szCs w:val="24"/>
        </w:rPr>
        <w:t xml:space="preserve"> </w:t>
      </w:r>
      <w:r w:rsidR="00AF3529" w:rsidRPr="00F66F3C">
        <w:rPr>
          <w:rFonts w:eastAsia="Calibri" w:cs="Times New Roman"/>
          <w:szCs w:val="24"/>
        </w:rPr>
        <w:t>Section II</w:t>
      </w:r>
      <w:r w:rsidR="00AF3529">
        <w:rPr>
          <w:rFonts w:eastAsia="Calibri" w:cs="Times New Roman"/>
          <w:szCs w:val="24"/>
        </w:rPr>
        <w:t xml:space="preserve"> of this chapter deals with the development of the law of special missions, including its roots in the long history of the law relating to the institution of </w:t>
      </w:r>
      <w:r w:rsidR="00AF3529">
        <w:rPr>
          <w:rFonts w:eastAsia="Calibri" w:cs="Times New Roman"/>
          <w:i/>
          <w:szCs w:val="24"/>
        </w:rPr>
        <w:t>ad hoc</w:t>
      </w:r>
      <w:r w:rsidR="00AF3529">
        <w:rPr>
          <w:rFonts w:eastAsia="Calibri" w:cs="Times New Roman"/>
          <w:szCs w:val="24"/>
        </w:rPr>
        <w:t xml:space="preserve"> diplomacy, the major</w:t>
      </w:r>
      <w:r w:rsidR="00D238AB">
        <w:rPr>
          <w:rFonts w:eastAsia="Calibri" w:cs="Times New Roman"/>
          <w:szCs w:val="24"/>
        </w:rPr>
        <w:t xml:space="preserve"> – </w:t>
      </w:r>
      <w:r w:rsidR="00AF3529">
        <w:rPr>
          <w:rFonts w:eastAsia="Calibri" w:cs="Times New Roman"/>
          <w:szCs w:val="24"/>
        </w:rPr>
        <w:t>though not entirely successful</w:t>
      </w:r>
      <w:r w:rsidR="00D238AB">
        <w:rPr>
          <w:rFonts w:eastAsia="Calibri" w:cs="Times New Roman"/>
          <w:szCs w:val="24"/>
        </w:rPr>
        <w:t xml:space="preserve"> – </w:t>
      </w:r>
      <w:r w:rsidR="00AF3529">
        <w:rPr>
          <w:rFonts w:eastAsia="Calibri" w:cs="Times New Roman"/>
          <w:szCs w:val="24"/>
        </w:rPr>
        <w:t xml:space="preserve">attempt in the 1960s to codify the status, privileges and immunities of special missions, and </w:t>
      </w:r>
      <w:r w:rsidR="004F2A8E">
        <w:rPr>
          <w:rFonts w:eastAsia="Calibri" w:cs="Times New Roman"/>
          <w:szCs w:val="24"/>
        </w:rPr>
        <w:t xml:space="preserve">subsequent developments, including </w:t>
      </w:r>
      <w:r w:rsidR="005364FB">
        <w:rPr>
          <w:rFonts w:eastAsia="Calibri" w:cs="Times New Roman"/>
          <w:szCs w:val="24"/>
        </w:rPr>
        <w:t>the more recent work of the International Law Commission and the Council of Europe.</w:t>
      </w:r>
      <w:r w:rsidR="006B3308">
        <w:rPr>
          <w:rFonts w:eastAsia="Calibri" w:cs="Times New Roman"/>
          <w:szCs w:val="24"/>
        </w:rPr>
        <w:t xml:space="preserve"> </w:t>
      </w:r>
      <w:r w:rsidR="006B3308" w:rsidRPr="00F66F3C">
        <w:rPr>
          <w:rFonts w:eastAsia="Calibri" w:cs="Times New Roman"/>
          <w:szCs w:val="24"/>
        </w:rPr>
        <w:t>Section III</w:t>
      </w:r>
      <w:r w:rsidR="006B3308" w:rsidRPr="00092EAD">
        <w:rPr>
          <w:rFonts w:eastAsia="Calibri" w:cs="Times New Roman"/>
          <w:b/>
          <w:szCs w:val="24"/>
        </w:rPr>
        <w:t xml:space="preserve"> </w:t>
      </w:r>
      <w:r w:rsidR="00083C66">
        <w:rPr>
          <w:rFonts w:eastAsia="Calibri" w:cs="Times New Roman"/>
          <w:szCs w:val="24"/>
        </w:rPr>
        <w:t xml:space="preserve">then </w:t>
      </w:r>
      <w:r w:rsidR="0044799B">
        <w:rPr>
          <w:rFonts w:eastAsia="Calibri" w:cs="Times New Roman"/>
          <w:szCs w:val="24"/>
        </w:rPr>
        <w:t xml:space="preserve">provides an overview of </w:t>
      </w:r>
      <w:r w:rsidR="006B3308">
        <w:rPr>
          <w:rFonts w:eastAsia="Calibri" w:cs="Times New Roman"/>
          <w:szCs w:val="24"/>
        </w:rPr>
        <w:t xml:space="preserve">the </w:t>
      </w:r>
      <w:r w:rsidR="0044799B">
        <w:rPr>
          <w:rFonts w:eastAsia="Calibri" w:cs="Times New Roman"/>
          <w:szCs w:val="24"/>
        </w:rPr>
        <w:t xml:space="preserve">New York Convention on Special Missions, </w:t>
      </w:r>
      <w:r w:rsidR="004F2A8E">
        <w:rPr>
          <w:rFonts w:eastAsia="Calibri" w:cs="Times New Roman"/>
          <w:szCs w:val="24"/>
        </w:rPr>
        <w:t>while</w:t>
      </w:r>
      <w:r w:rsidR="0044799B">
        <w:rPr>
          <w:rFonts w:eastAsia="Calibri" w:cs="Times New Roman"/>
          <w:szCs w:val="24"/>
        </w:rPr>
        <w:t xml:space="preserve"> </w:t>
      </w:r>
      <w:r w:rsidR="0044799B" w:rsidRPr="00F66F3C">
        <w:rPr>
          <w:rFonts w:eastAsia="Calibri" w:cs="Times New Roman"/>
          <w:szCs w:val="24"/>
        </w:rPr>
        <w:t>Section IV</w:t>
      </w:r>
      <w:r w:rsidR="0044799B">
        <w:rPr>
          <w:rFonts w:eastAsia="Calibri" w:cs="Times New Roman"/>
          <w:b/>
          <w:szCs w:val="24"/>
        </w:rPr>
        <w:t xml:space="preserve"> </w:t>
      </w:r>
      <w:r w:rsidR="0044799B">
        <w:rPr>
          <w:rFonts w:eastAsia="Calibri" w:cs="Times New Roman"/>
          <w:szCs w:val="24"/>
        </w:rPr>
        <w:t xml:space="preserve">examines the law on special missions under customary international law. </w:t>
      </w:r>
      <w:r w:rsidR="0044799B" w:rsidRPr="00F66F3C">
        <w:rPr>
          <w:rFonts w:eastAsia="Calibri" w:cs="Times New Roman"/>
          <w:szCs w:val="24"/>
        </w:rPr>
        <w:t>Section V</w:t>
      </w:r>
      <w:r w:rsidR="0044799B" w:rsidRPr="00C1425E">
        <w:rPr>
          <w:rFonts w:eastAsia="Calibri" w:cs="Times New Roman"/>
          <w:b/>
          <w:szCs w:val="24"/>
        </w:rPr>
        <w:t xml:space="preserve"> </w:t>
      </w:r>
      <w:r w:rsidR="0044799B">
        <w:rPr>
          <w:rFonts w:eastAsia="Calibri" w:cs="Times New Roman"/>
          <w:szCs w:val="24"/>
        </w:rPr>
        <w:t xml:space="preserve">considers </w:t>
      </w:r>
      <w:r w:rsidR="004F2A8E">
        <w:rPr>
          <w:rFonts w:eastAsia="Calibri" w:cs="Times New Roman"/>
          <w:szCs w:val="24"/>
        </w:rPr>
        <w:t xml:space="preserve">some </w:t>
      </w:r>
      <w:r w:rsidR="0044799B">
        <w:rPr>
          <w:rFonts w:eastAsia="Calibri" w:cs="Times New Roman"/>
          <w:szCs w:val="24"/>
        </w:rPr>
        <w:t>recent procedural developments</w:t>
      </w:r>
      <w:r w:rsidR="006733FD">
        <w:rPr>
          <w:rFonts w:eastAsia="Calibri" w:cs="Times New Roman"/>
          <w:szCs w:val="24"/>
        </w:rPr>
        <w:t xml:space="preserve">, and </w:t>
      </w:r>
      <w:r w:rsidR="006733FD" w:rsidRPr="00F66F3C">
        <w:rPr>
          <w:rFonts w:eastAsia="Calibri" w:cs="Times New Roman"/>
          <w:szCs w:val="24"/>
        </w:rPr>
        <w:t>Section VI</w:t>
      </w:r>
      <w:r w:rsidR="006733FD">
        <w:rPr>
          <w:rFonts w:eastAsia="Calibri" w:cs="Times New Roman"/>
          <w:b/>
          <w:szCs w:val="24"/>
        </w:rPr>
        <w:t xml:space="preserve"> </w:t>
      </w:r>
      <w:r w:rsidR="006733FD">
        <w:rPr>
          <w:rFonts w:eastAsia="Calibri" w:cs="Times New Roman"/>
          <w:szCs w:val="24"/>
        </w:rPr>
        <w:t>offers some conclusions</w:t>
      </w:r>
      <w:r w:rsidR="0044799B">
        <w:rPr>
          <w:rFonts w:eastAsia="Calibri" w:cs="Times New Roman"/>
          <w:szCs w:val="24"/>
        </w:rPr>
        <w:t xml:space="preserve">. </w:t>
      </w:r>
    </w:p>
    <w:p w14:paraId="0B093BE0" w14:textId="3D939280" w:rsidR="009B745C" w:rsidRPr="00E4511D" w:rsidRDefault="009B745C" w:rsidP="009B745C">
      <w:pPr>
        <w:pStyle w:val="Heading1"/>
        <w:rPr>
          <w:rFonts w:eastAsia="Calibri"/>
          <w:lang w:val="en-US"/>
        </w:rPr>
      </w:pPr>
      <w:bookmarkStart w:id="10" w:name="_Toc497598014"/>
      <w:bookmarkStart w:id="11" w:name="_Toc502996207"/>
      <w:r w:rsidRPr="00E4511D">
        <w:rPr>
          <w:rFonts w:eastAsia="Calibri"/>
          <w:lang w:val="en-US"/>
        </w:rPr>
        <w:t xml:space="preserve">The </w:t>
      </w:r>
      <w:r w:rsidR="00356804" w:rsidRPr="00E4511D">
        <w:rPr>
          <w:rFonts w:eastAsia="Calibri"/>
          <w:lang w:val="en-US"/>
        </w:rPr>
        <w:t>Evolution</w:t>
      </w:r>
      <w:r w:rsidRPr="00E4511D">
        <w:rPr>
          <w:rFonts w:eastAsia="Calibri"/>
          <w:lang w:val="en-US"/>
        </w:rPr>
        <w:t xml:space="preserve"> of the Law on Special Missions</w:t>
      </w:r>
      <w:bookmarkEnd w:id="10"/>
      <w:bookmarkEnd w:id="11"/>
    </w:p>
    <w:p w14:paraId="2836419E" w14:textId="6A9D0579" w:rsidR="00AA1317" w:rsidRPr="00E4511D" w:rsidRDefault="009B745C" w:rsidP="00F66F3C">
      <w:pPr>
        <w:pStyle w:val="Heading2"/>
        <w:rPr>
          <w:lang w:val="en-US"/>
        </w:rPr>
      </w:pPr>
      <w:bookmarkStart w:id="12" w:name="_Toc497598015"/>
      <w:bookmarkStart w:id="13" w:name="_Toc502996208"/>
      <w:r w:rsidRPr="00E4511D">
        <w:rPr>
          <w:lang w:val="en-US"/>
        </w:rPr>
        <w:t xml:space="preserve">The Early Development of the Law on </w:t>
      </w:r>
      <w:r w:rsidRPr="00E4511D">
        <w:rPr>
          <w:i/>
          <w:lang w:val="en-US"/>
        </w:rPr>
        <w:t>ad hoc</w:t>
      </w:r>
      <w:r w:rsidRPr="00E4511D">
        <w:rPr>
          <w:lang w:val="en-US"/>
        </w:rPr>
        <w:t xml:space="preserve"> Diplomacy</w:t>
      </w:r>
      <w:bookmarkEnd w:id="12"/>
      <w:bookmarkEnd w:id="13"/>
    </w:p>
    <w:p w14:paraId="44801062" w14:textId="5917E361" w:rsidR="0063798F" w:rsidRPr="00925262" w:rsidRDefault="00B94066" w:rsidP="0082079F">
      <w:pPr>
        <w:rPr>
          <w:rFonts w:eastAsia="Times New Roman" w:cs="Times New Roman"/>
          <w:szCs w:val="24"/>
        </w:rPr>
      </w:pPr>
      <w:r>
        <w:rPr>
          <w:rFonts w:eastAsia="Calibri" w:cs="Times New Roman"/>
          <w:szCs w:val="24"/>
        </w:rPr>
        <w:t xml:space="preserve">The preamble to the 1969 Convention on Special Missions begins by recalling </w:t>
      </w:r>
      <w:r w:rsidR="00D238AB">
        <w:rPr>
          <w:rFonts w:eastAsia="Calibri" w:cs="Times New Roman"/>
          <w:szCs w:val="24"/>
        </w:rPr>
        <w:t>‘</w:t>
      </w:r>
      <w:r>
        <w:rPr>
          <w:rFonts w:eastAsia="Calibri" w:cs="Times New Roman"/>
          <w:szCs w:val="24"/>
        </w:rPr>
        <w:t>that special treatment has always been accorded to special missions</w:t>
      </w:r>
      <w:r w:rsidR="00D238AB">
        <w:rPr>
          <w:rFonts w:eastAsia="Calibri" w:cs="Times New Roman"/>
          <w:szCs w:val="24"/>
        </w:rPr>
        <w:t>’</w:t>
      </w:r>
      <w:r>
        <w:rPr>
          <w:rFonts w:eastAsia="Calibri" w:cs="Times New Roman"/>
          <w:szCs w:val="24"/>
        </w:rPr>
        <w:t>.</w:t>
      </w:r>
      <w:bookmarkStart w:id="14" w:name="_Ref504142686"/>
      <w:r w:rsidR="00D238AB">
        <w:rPr>
          <w:rStyle w:val="FootnoteReference"/>
          <w:rFonts w:eastAsia="Calibri" w:cs="Times New Roman"/>
          <w:szCs w:val="24"/>
        </w:rPr>
        <w:footnoteReference w:id="8"/>
      </w:r>
      <w:bookmarkEnd w:id="14"/>
      <w:r>
        <w:rPr>
          <w:rFonts w:eastAsia="Calibri" w:cs="Times New Roman"/>
          <w:szCs w:val="24"/>
        </w:rPr>
        <w:t xml:space="preserve"> </w:t>
      </w:r>
      <w:r w:rsidR="008B52A0" w:rsidRPr="00925262">
        <w:rPr>
          <w:rFonts w:eastAsia="Calibri" w:cs="Times New Roman"/>
          <w:szCs w:val="24"/>
        </w:rPr>
        <w:t xml:space="preserve">Diplomacy has </w:t>
      </w:r>
      <w:r w:rsidR="006733FD">
        <w:rPr>
          <w:rFonts w:eastAsia="Calibri" w:cs="Times New Roman"/>
          <w:szCs w:val="24"/>
        </w:rPr>
        <w:t xml:space="preserve">indeed </w:t>
      </w:r>
      <w:r w:rsidR="008B52A0" w:rsidRPr="00925262">
        <w:rPr>
          <w:rFonts w:eastAsia="Calibri" w:cs="Times New Roman"/>
          <w:szCs w:val="24"/>
        </w:rPr>
        <w:t xml:space="preserve">long been conducted through both permanent and temporary missions, often referred to as permanent diplomatic missions </w:t>
      </w:r>
      <w:r w:rsidR="002854FD">
        <w:rPr>
          <w:rFonts w:eastAsia="Calibri" w:cs="Times New Roman"/>
          <w:szCs w:val="24"/>
        </w:rPr>
        <w:t xml:space="preserve">on the one hand </w:t>
      </w:r>
      <w:r w:rsidR="008B52A0" w:rsidRPr="00925262">
        <w:rPr>
          <w:rFonts w:eastAsia="Calibri" w:cs="Times New Roman"/>
          <w:szCs w:val="24"/>
        </w:rPr>
        <w:t xml:space="preserve">and special, temporary, </w:t>
      </w:r>
      <w:r w:rsidR="008B52A0" w:rsidRPr="00925262">
        <w:rPr>
          <w:rFonts w:eastAsia="Calibri" w:cs="Times New Roman"/>
          <w:i/>
          <w:szCs w:val="24"/>
        </w:rPr>
        <w:t>ad hoc</w:t>
      </w:r>
      <w:r w:rsidR="008B52A0" w:rsidRPr="00925262">
        <w:rPr>
          <w:rFonts w:eastAsia="Calibri" w:cs="Times New Roman"/>
          <w:szCs w:val="24"/>
        </w:rPr>
        <w:t xml:space="preserve"> missions </w:t>
      </w:r>
      <w:r w:rsidR="002854FD">
        <w:rPr>
          <w:rFonts w:eastAsia="Calibri" w:cs="Times New Roman"/>
          <w:szCs w:val="24"/>
        </w:rPr>
        <w:t xml:space="preserve">or itinerant envoys on the </w:t>
      </w:r>
      <w:r w:rsidR="002854FD" w:rsidRPr="001F7C69">
        <w:rPr>
          <w:rFonts w:eastAsia="Calibri" w:cs="Times New Roman"/>
          <w:szCs w:val="24"/>
        </w:rPr>
        <w:t>other</w:t>
      </w:r>
      <w:r w:rsidR="001F7C69">
        <w:rPr>
          <w:rFonts w:eastAsia="Calibri" w:cs="Times New Roman"/>
          <w:szCs w:val="24"/>
        </w:rPr>
        <w:t>.</w:t>
      </w:r>
      <w:r w:rsidR="001F5F82">
        <w:rPr>
          <w:rStyle w:val="FootnoteReference"/>
          <w:rFonts w:eastAsia="Calibri" w:cs="Times New Roman"/>
          <w:szCs w:val="24"/>
        </w:rPr>
        <w:footnoteReference w:id="9"/>
      </w:r>
      <w:r w:rsidR="008B52A0" w:rsidRPr="001F7C69">
        <w:rPr>
          <w:rFonts w:eastAsia="Calibri" w:cs="Times New Roman"/>
          <w:szCs w:val="24"/>
        </w:rPr>
        <w:t xml:space="preserve"> </w:t>
      </w:r>
      <w:r w:rsidR="0063798F" w:rsidRPr="001F7C69">
        <w:rPr>
          <w:rFonts w:cs="Times New Roman"/>
          <w:szCs w:val="24"/>
        </w:rPr>
        <w:t>As</w:t>
      </w:r>
      <w:r w:rsidR="0063798F" w:rsidRPr="00925262">
        <w:rPr>
          <w:rFonts w:cs="Times New Roman"/>
          <w:szCs w:val="24"/>
        </w:rPr>
        <w:t xml:space="preserve"> the United Nations Secretariat explained in 1963:</w:t>
      </w:r>
    </w:p>
    <w:p w14:paraId="00014C1C" w14:textId="4F9D58E1" w:rsidR="0063798F" w:rsidRPr="00925262" w:rsidRDefault="0063798F" w:rsidP="0082079F">
      <w:pPr>
        <w:pStyle w:val="ListParagraph"/>
        <w:ind w:left="643"/>
        <w:rPr>
          <w:rFonts w:eastAsia="Times New Roman" w:cs="Times New Roman"/>
          <w:sz w:val="20"/>
          <w:szCs w:val="20"/>
        </w:rPr>
      </w:pPr>
      <w:r w:rsidRPr="00925262">
        <w:rPr>
          <w:rFonts w:cs="Times New Roman"/>
          <w:sz w:val="20"/>
          <w:szCs w:val="20"/>
        </w:rPr>
        <w:t xml:space="preserve">The custom of sending a special envoy on mission from one State to another, in order to mark the dignity or importance of a particular occasion, is probably the oldest of all means by which diplomatic relations may be conducted. It was only with the emergence of national States on a modern pattern that permanently accredited diplomatic missions, entrusted with a full range of powers, came to take the place of temporary ambassadors sent specially from one sovereign to another. However, although the legal rules which were evolved to determine diplomatic relations between States were therefore based largely on the conduct of permanent missions, so that special missions came to seem merely a particular variant of the other, the sending of special missions was never discontinued. During the eighteenth and nineteenth centuries such missions were frequently dispatched in order to provide suitable State representation at major ceremonial </w:t>
      </w:r>
      <w:r w:rsidRPr="00925262">
        <w:rPr>
          <w:rFonts w:cs="Times New Roman"/>
          <w:sz w:val="20"/>
          <w:szCs w:val="20"/>
        </w:rPr>
        <w:lastRenderedPageBreak/>
        <w:t>occasions, such as coronations or royal weddings, or for the purposes of important political negotiations, particularly those held at international congresses.</w:t>
      </w:r>
      <w:bookmarkStart w:id="15" w:name="_Ref364692082"/>
      <w:r w:rsidRPr="00925262">
        <w:rPr>
          <w:rStyle w:val="FootnoteReference"/>
          <w:rFonts w:cs="Times New Roman"/>
          <w:sz w:val="20"/>
          <w:szCs w:val="20"/>
        </w:rPr>
        <w:footnoteReference w:id="10"/>
      </w:r>
      <w:bookmarkEnd w:id="15"/>
    </w:p>
    <w:p w14:paraId="3B31B3FE" w14:textId="77777777" w:rsidR="007C732D" w:rsidRPr="00925262" w:rsidRDefault="007C732D" w:rsidP="0082079F">
      <w:pPr>
        <w:rPr>
          <w:rFonts w:cs="Times New Roman"/>
          <w:szCs w:val="24"/>
        </w:rPr>
      </w:pPr>
    </w:p>
    <w:p w14:paraId="67F7DFE8" w14:textId="44EA2ED7" w:rsidR="00847B0B" w:rsidRPr="00925262" w:rsidRDefault="00847B0B" w:rsidP="0082079F">
      <w:pPr>
        <w:rPr>
          <w:rFonts w:cs="Times New Roman"/>
          <w:i/>
          <w:szCs w:val="24"/>
        </w:rPr>
      </w:pPr>
      <w:r w:rsidRPr="00925262">
        <w:rPr>
          <w:rFonts w:cs="Times New Roman"/>
          <w:szCs w:val="24"/>
        </w:rPr>
        <w:t>In the same 1963 working paper, the UN Secretariat noted that</w:t>
      </w:r>
    </w:p>
    <w:p w14:paraId="51C79674" w14:textId="4BA08145" w:rsidR="005051FE" w:rsidRPr="00F66F3C" w:rsidRDefault="00E724F2" w:rsidP="00F66F3C">
      <w:pPr>
        <w:pStyle w:val="ListParagraph"/>
        <w:rPr>
          <w:rFonts w:cs="Times New Roman"/>
          <w:sz w:val="20"/>
          <w:szCs w:val="20"/>
        </w:rPr>
      </w:pPr>
      <w:r w:rsidRPr="00925262">
        <w:rPr>
          <w:rFonts w:cs="Times New Roman"/>
          <w:sz w:val="20"/>
          <w:szCs w:val="20"/>
        </w:rPr>
        <w:t>[i]</w:t>
      </w:r>
      <w:r w:rsidR="00847B0B" w:rsidRPr="00925262">
        <w:rPr>
          <w:rFonts w:cs="Times New Roman"/>
          <w:sz w:val="20"/>
          <w:szCs w:val="20"/>
        </w:rPr>
        <w:t>n the previous attempts to codify or restate the law relating to diplomatic intercourse between States, it would appear that the majority of rules have usually been considered equally applicable to both special and permanent missions.</w:t>
      </w:r>
      <w:r w:rsidR="00847B0B" w:rsidRPr="00925262">
        <w:rPr>
          <w:rStyle w:val="FootnoteReference"/>
          <w:rFonts w:cs="Times New Roman"/>
          <w:sz w:val="20"/>
          <w:szCs w:val="20"/>
        </w:rPr>
        <w:footnoteReference w:id="11"/>
      </w:r>
    </w:p>
    <w:p w14:paraId="150BADD8" w14:textId="45D0EAC9" w:rsidR="00C858C7" w:rsidRDefault="00E913DD" w:rsidP="0082079F">
      <w:pPr>
        <w:rPr>
          <w:rFonts w:cs="Times New Roman"/>
          <w:szCs w:val="24"/>
        </w:rPr>
      </w:pPr>
      <w:r>
        <w:rPr>
          <w:rFonts w:cs="Times New Roman"/>
          <w:szCs w:val="24"/>
        </w:rPr>
        <w:t xml:space="preserve">In other words, even if there was some disagreement over the precise scope of the rules applicable to special missions, there was </w:t>
      </w:r>
      <w:r w:rsidR="002854FD">
        <w:rPr>
          <w:rFonts w:cs="Times New Roman"/>
          <w:szCs w:val="24"/>
        </w:rPr>
        <w:t>no</w:t>
      </w:r>
      <w:r>
        <w:rPr>
          <w:rFonts w:cs="Times New Roman"/>
          <w:szCs w:val="24"/>
        </w:rPr>
        <w:t xml:space="preserve"> doubt that members of both permanent and special missions benefited from the long-standing principle that </w:t>
      </w:r>
      <w:r w:rsidR="00336EBC">
        <w:rPr>
          <w:rFonts w:cs="Times New Roman"/>
          <w:szCs w:val="24"/>
        </w:rPr>
        <w:t xml:space="preserve">envoys sent by one sovereign to another </w:t>
      </w:r>
      <w:r>
        <w:rPr>
          <w:rFonts w:cs="Times New Roman"/>
          <w:szCs w:val="24"/>
        </w:rPr>
        <w:t>enjoy immunity.</w:t>
      </w:r>
      <w:bookmarkStart w:id="18" w:name="_Ref493330102"/>
      <w:r w:rsidR="00BC7212">
        <w:rPr>
          <w:rStyle w:val="FootnoteReference"/>
          <w:rFonts w:cs="Times New Roman"/>
          <w:szCs w:val="24"/>
        </w:rPr>
        <w:footnoteReference w:id="12"/>
      </w:r>
      <w:bookmarkEnd w:id="18"/>
      <w:r>
        <w:rPr>
          <w:rFonts w:cs="Times New Roman"/>
          <w:szCs w:val="24"/>
        </w:rPr>
        <w:t xml:space="preserve"> </w:t>
      </w:r>
      <w:r w:rsidR="001D1B5C" w:rsidRPr="00925262">
        <w:rPr>
          <w:rFonts w:cs="Times New Roman"/>
          <w:szCs w:val="24"/>
        </w:rPr>
        <w:t xml:space="preserve">In reaching this conclusion, the Secretariat </w:t>
      </w:r>
      <w:r w:rsidR="00B41AEA" w:rsidRPr="00925262">
        <w:rPr>
          <w:rFonts w:cs="Times New Roman"/>
          <w:szCs w:val="24"/>
        </w:rPr>
        <w:t>referred</w:t>
      </w:r>
      <w:r w:rsidR="001D1B5C" w:rsidRPr="00925262">
        <w:rPr>
          <w:rFonts w:cs="Times New Roman"/>
          <w:szCs w:val="24"/>
        </w:rPr>
        <w:t xml:space="preserve"> to the Vienna </w:t>
      </w:r>
      <w:r w:rsidR="001D1B5C" w:rsidRPr="00925262">
        <w:rPr>
          <w:rFonts w:cs="Times New Roman"/>
          <w:i/>
          <w:szCs w:val="24"/>
        </w:rPr>
        <w:t>Règlement</w:t>
      </w:r>
      <w:r w:rsidR="001D1B5C" w:rsidRPr="00925262">
        <w:rPr>
          <w:rFonts w:cs="Times New Roman"/>
          <w:szCs w:val="24"/>
        </w:rPr>
        <w:t xml:space="preserve"> of 1815; the private codification efforts of Bluntschli, Fiore, Pessôa, Phillimore and Strupp; the </w:t>
      </w:r>
      <w:r w:rsidR="001D1B5C" w:rsidRPr="00925262">
        <w:rPr>
          <w:rFonts w:cs="Times New Roman"/>
          <w:i/>
          <w:szCs w:val="24"/>
        </w:rPr>
        <w:t>Institut</w:t>
      </w:r>
      <w:r w:rsidR="001D1B5C" w:rsidRPr="00925262">
        <w:rPr>
          <w:rFonts w:cs="Times New Roman"/>
          <w:szCs w:val="24"/>
        </w:rPr>
        <w:t xml:space="preserve"> resolutions of 1895 and 1929; the Havana Convention on Dip</w:t>
      </w:r>
      <w:r w:rsidR="005051FE" w:rsidRPr="00925262">
        <w:rPr>
          <w:rFonts w:cs="Times New Roman"/>
          <w:szCs w:val="24"/>
        </w:rPr>
        <w:t>l</w:t>
      </w:r>
      <w:r w:rsidR="001D1B5C" w:rsidRPr="00925262">
        <w:rPr>
          <w:rFonts w:cs="Times New Roman"/>
          <w:szCs w:val="24"/>
        </w:rPr>
        <w:t xml:space="preserve">omatic </w:t>
      </w:r>
      <w:r w:rsidR="005051FE" w:rsidRPr="00925262">
        <w:rPr>
          <w:rFonts w:cs="Times New Roman"/>
          <w:szCs w:val="24"/>
        </w:rPr>
        <w:t>O</w:t>
      </w:r>
      <w:r w:rsidR="001D1B5C" w:rsidRPr="00925262">
        <w:rPr>
          <w:rFonts w:cs="Times New Roman"/>
          <w:szCs w:val="24"/>
        </w:rPr>
        <w:t>fficers of 1929; and the Harvard Draft Convention on Diplomatic Privileges and Immunities of 1932.</w:t>
      </w:r>
      <w:r w:rsidR="001D1B5C" w:rsidRPr="00925262">
        <w:rPr>
          <w:rStyle w:val="FootnoteReference"/>
          <w:rFonts w:cs="Times New Roman"/>
          <w:szCs w:val="24"/>
        </w:rPr>
        <w:footnoteReference w:id="13"/>
      </w:r>
      <w:r w:rsidR="007C732D" w:rsidRPr="00925262">
        <w:rPr>
          <w:rFonts w:cs="Times New Roman"/>
          <w:szCs w:val="24"/>
        </w:rPr>
        <w:t xml:space="preserve"> </w:t>
      </w:r>
    </w:p>
    <w:p w14:paraId="17278A3F" w14:textId="5C5A641E" w:rsidR="002304B7" w:rsidRPr="00925262" w:rsidRDefault="005051FE" w:rsidP="0082079F">
      <w:pPr>
        <w:rPr>
          <w:rFonts w:cs="Times New Roman"/>
          <w:szCs w:val="24"/>
        </w:rPr>
      </w:pPr>
      <w:r w:rsidRPr="00925262">
        <w:rPr>
          <w:rFonts w:cs="Times New Roman"/>
          <w:szCs w:val="24"/>
        </w:rPr>
        <w:t>T</w:t>
      </w:r>
      <w:r w:rsidR="00C2106F" w:rsidRPr="00925262">
        <w:rPr>
          <w:rFonts w:cs="Times New Roman"/>
          <w:szCs w:val="24"/>
        </w:rPr>
        <w:t xml:space="preserve">he </w:t>
      </w:r>
      <w:r w:rsidR="006D4B45" w:rsidRPr="00925262">
        <w:rPr>
          <w:rFonts w:cs="Times New Roman"/>
          <w:szCs w:val="24"/>
        </w:rPr>
        <w:t>Vienna</w:t>
      </w:r>
      <w:r w:rsidR="006D4B45" w:rsidRPr="00925262">
        <w:rPr>
          <w:rFonts w:cs="Times New Roman"/>
          <w:i/>
          <w:szCs w:val="24"/>
        </w:rPr>
        <w:t xml:space="preserve"> Règlement</w:t>
      </w:r>
      <w:r w:rsidR="006D4B45" w:rsidRPr="00925262">
        <w:rPr>
          <w:rFonts w:cs="Times New Roman"/>
          <w:szCs w:val="24"/>
        </w:rPr>
        <w:t xml:space="preserve"> </w:t>
      </w:r>
      <w:r w:rsidR="0035212D" w:rsidRPr="00925262">
        <w:rPr>
          <w:rFonts w:cs="Times New Roman"/>
          <w:szCs w:val="24"/>
        </w:rPr>
        <w:t>of 1815</w:t>
      </w:r>
      <w:r w:rsidR="00C2106F" w:rsidRPr="00925262">
        <w:rPr>
          <w:rFonts w:cs="Times New Roman"/>
          <w:szCs w:val="24"/>
        </w:rPr>
        <w:t xml:space="preserve"> (concerning the classes and precedence of heads of mission) made only one </w:t>
      </w:r>
      <w:r w:rsidR="00637109" w:rsidRPr="00925262">
        <w:rPr>
          <w:rFonts w:cs="Times New Roman"/>
          <w:szCs w:val="24"/>
        </w:rPr>
        <w:t xml:space="preserve">specific </w:t>
      </w:r>
      <w:r w:rsidR="00C2106F" w:rsidRPr="00925262">
        <w:rPr>
          <w:rFonts w:cs="Times New Roman"/>
          <w:szCs w:val="24"/>
        </w:rPr>
        <w:t xml:space="preserve">mention of special missions, providing that </w:t>
      </w:r>
      <w:r w:rsidR="00F66F3C">
        <w:rPr>
          <w:rFonts w:cs="Times New Roman"/>
          <w:szCs w:val="24"/>
        </w:rPr>
        <w:t>‘</w:t>
      </w:r>
      <w:r w:rsidR="00A77786" w:rsidRPr="002C4AED">
        <w:rPr>
          <w:rFonts w:cs="Times New Roman"/>
          <w:i/>
          <w:szCs w:val="24"/>
        </w:rPr>
        <w:t>[l]</w:t>
      </w:r>
      <w:r w:rsidR="007B1996" w:rsidRPr="002C4AED">
        <w:rPr>
          <w:rFonts w:cs="Times New Roman"/>
          <w:i/>
          <w:szCs w:val="24"/>
        </w:rPr>
        <w:t>es employés diplomatiq</w:t>
      </w:r>
      <w:r w:rsidR="009B745C" w:rsidRPr="002C4AED">
        <w:rPr>
          <w:rFonts w:cs="Times New Roman"/>
          <w:i/>
          <w:szCs w:val="24"/>
        </w:rPr>
        <w:t>ues en mission extraordinaire n’</w:t>
      </w:r>
      <w:r w:rsidR="007B1996" w:rsidRPr="002C4AED">
        <w:rPr>
          <w:rFonts w:cs="Times New Roman"/>
          <w:i/>
          <w:szCs w:val="24"/>
        </w:rPr>
        <w:t>ont à ce titre aucune supériorité de rang</w:t>
      </w:r>
      <w:r w:rsidR="00F66F3C">
        <w:rPr>
          <w:rFonts w:cs="Times New Roman"/>
          <w:szCs w:val="24"/>
        </w:rPr>
        <w:t>’</w:t>
      </w:r>
      <w:r w:rsidR="007B1996" w:rsidRPr="00925262">
        <w:rPr>
          <w:rFonts w:cs="Times New Roman"/>
          <w:szCs w:val="24"/>
        </w:rPr>
        <w:t>.</w:t>
      </w:r>
      <w:r w:rsidR="00C2106F" w:rsidRPr="00925262">
        <w:rPr>
          <w:rStyle w:val="FootnoteReference"/>
          <w:rFonts w:cs="Times New Roman"/>
          <w:szCs w:val="24"/>
        </w:rPr>
        <w:footnoteReference w:id="14"/>
      </w:r>
      <w:r w:rsidR="007C732D" w:rsidRPr="00925262">
        <w:rPr>
          <w:rFonts w:cs="Times New Roman"/>
          <w:szCs w:val="24"/>
        </w:rPr>
        <w:t xml:space="preserve"> </w:t>
      </w:r>
      <w:bookmarkStart w:id="21" w:name="_Hlk490908519"/>
      <w:r w:rsidR="00635CF2" w:rsidRPr="00925262">
        <w:rPr>
          <w:rFonts w:cs="Times New Roman"/>
          <w:szCs w:val="24"/>
        </w:rPr>
        <w:t xml:space="preserve">The </w:t>
      </w:r>
      <w:r w:rsidR="0035212D" w:rsidRPr="00925262">
        <w:rPr>
          <w:rFonts w:cs="Times New Roman"/>
          <w:szCs w:val="24"/>
        </w:rPr>
        <w:t>Havana Convention on Diplomatic Officers</w:t>
      </w:r>
      <w:bookmarkEnd w:id="21"/>
      <w:r w:rsidR="0035212D" w:rsidRPr="00925262">
        <w:rPr>
          <w:rFonts w:cs="Times New Roman"/>
          <w:szCs w:val="24"/>
        </w:rPr>
        <w:t xml:space="preserve">, </w:t>
      </w:r>
      <w:r w:rsidR="00635CF2" w:rsidRPr="00925262">
        <w:rPr>
          <w:rFonts w:cs="Times New Roman"/>
          <w:szCs w:val="24"/>
        </w:rPr>
        <w:t xml:space="preserve">which was </w:t>
      </w:r>
      <w:r w:rsidR="001D1B5C" w:rsidRPr="00925262">
        <w:rPr>
          <w:rFonts w:cs="Times New Roman"/>
          <w:szCs w:val="24"/>
        </w:rPr>
        <w:t xml:space="preserve">concluded at the Sixth International Conference of American States </w:t>
      </w:r>
      <w:r w:rsidR="00356804">
        <w:rPr>
          <w:rFonts w:cs="Times New Roman"/>
          <w:szCs w:val="24"/>
        </w:rPr>
        <w:t xml:space="preserve">on </w:t>
      </w:r>
      <w:r w:rsidR="0035212D" w:rsidRPr="00925262">
        <w:rPr>
          <w:rFonts w:cs="Times New Roman"/>
          <w:szCs w:val="24"/>
        </w:rPr>
        <w:t>20 February</w:t>
      </w:r>
      <w:r w:rsidR="0033362D">
        <w:rPr>
          <w:rFonts w:cs="Times New Roman"/>
          <w:szCs w:val="24"/>
        </w:rPr>
        <w:t xml:space="preserve"> </w:t>
      </w:r>
      <w:r w:rsidR="00B42FB9" w:rsidRPr="00925262">
        <w:rPr>
          <w:rFonts w:cs="Times New Roman"/>
          <w:szCs w:val="24"/>
        </w:rPr>
        <w:t>1928</w:t>
      </w:r>
      <w:r w:rsidR="00635CF2" w:rsidRPr="00925262">
        <w:rPr>
          <w:rFonts w:cs="Times New Roman"/>
          <w:szCs w:val="24"/>
        </w:rPr>
        <w:t xml:space="preserve"> and which entered into force </w:t>
      </w:r>
      <w:r w:rsidR="005B32B8" w:rsidRPr="00925262">
        <w:rPr>
          <w:rFonts w:cs="Times New Roman"/>
          <w:szCs w:val="24"/>
        </w:rPr>
        <w:t xml:space="preserve">in </w:t>
      </w:r>
      <w:r w:rsidR="00635CF2" w:rsidRPr="00925262">
        <w:rPr>
          <w:rFonts w:cs="Times New Roman"/>
          <w:szCs w:val="24"/>
        </w:rPr>
        <w:t>1929, assimilated the status of ‘extra-ordinary diplomatic officers’ to that of regular, permanent diplomatic agent</w:t>
      </w:r>
      <w:r w:rsidR="0035212D" w:rsidRPr="00925262">
        <w:rPr>
          <w:rFonts w:cs="Times New Roman"/>
          <w:szCs w:val="24"/>
        </w:rPr>
        <w:t>.</w:t>
      </w:r>
      <w:r w:rsidR="0035212D" w:rsidRPr="00925262">
        <w:rPr>
          <w:rStyle w:val="FootnoteReference"/>
          <w:rFonts w:cs="Times New Roman"/>
          <w:szCs w:val="24"/>
        </w:rPr>
        <w:footnoteReference w:id="15"/>
      </w:r>
      <w:bookmarkStart w:id="23" w:name="_Hlk483148422"/>
      <w:r w:rsidR="00C858C7">
        <w:rPr>
          <w:rFonts w:cs="Times New Roman"/>
          <w:szCs w:val="24"/>
        </w:rPr>
        <w:t xml:space="preserve"> </w:t>
      </w:r>
      <w:r w:rsidR="006E05D9" w:rsidRPr="00925262">
        <w:rPr>
          <w:rFonts w:cs="Times New Roman"/>
          <w:szCs w:val="24"/>
        </w:rPr>
        <w:t xml:space="preserve">The </w:t>
      </w:r>
      <w:r w:rsidR="00383FD1" w:rsidRPr="00925262">
        <w:rPr>
          <w:rFonts w:cs="Times New Roman"/>
          <w:szCs w:val="24"/>
        </w:rPr>
        <w:t>Harvard Dra</w:t>
      </w:r>
      <w:r w:rsidR="0035212D" w:rsidRPr="00925262">
        <w:rPr>
          <w:rFonts w:cs="Times New Roman"/>
          <w:szCs w:val="24"/>
        </w:rPr>
        <w:t xml:space="preserve">ft Convention on </w:t>
      </w:r>
      <w:r w:rsidR="0035212D" w:rsidRPr="00925262">
        <w:rPr>
          <w:rFonts w:cs="Times New Roman"/>
          <w:szCs w:val="24"/>
        </w:rPr>
        <w:lastRenderedPageBreak/>
        <w:t>Diplomatic Privileges and Immunities</w:t>
      </w:r>
      <w:bookmarkEnd w:id="23"/>
      <w:r w:rsidR="00356804">
        <w:rPr>
          <w:rFonts w:cs="Times New Roman"/>
          <w:szCs w:val="24"/>
        </w:rPr>
        <w:t xml:space="preserve"> of 1932</w:t>
      </w:r>
      <w:r w:rsidR="0035212D" w:rsidRPr="00925262">
        <w:rPr>
          <w:rStyle w:val="FootnoteReference"/>
          <w:rFonts w:cs="Times New Roman"/>
          <w:szCs w:val="24"/>
        </w:rPr>
        <w:footnoteReference w:id="16"/>
      </w:r>
      <w:r w:rsidR="0035212D" w:rsidRPr="00925262">
        <w:rPr>
          <w:rFonts w:cs="Times New Roman"/>
          <w:szCs w:val="24"/>
        </w:rPr>
        <w:t xml:space="preserve"> </w:t>
      </w:r>
      <w:r w:rsidR="00F95D04" w:rsidRPr="00925262">
        <w:rPr>
          <w:rFonts w:cs="Times New Roman"/>
          <w:szCs w:val="24"/>
        </w:rPr>
        <w:t>contain</w:t>
      </w:r>
      <w:r w:rsidR="00C858C7">
        <w:rPr>
          <w:rFonts w:cs="Times New Roman"/>
          <w:szCs w:val="24"/>
        </w:rPr>
        <w:t>ed</w:t>
      </w:r>
      <w:r w:rsidR="00F95D04" w:rsidRPr="00925262">
        <w:rPr>
          <w:rFonts w:cs="Times New Roman"/>
          <w:szCs w:val="24"/>
        </w:rPr>
        <w:t xml:space="preserve"> a broad definition of </w:t>
      </w:r>
      <w:r w:rsidR="008142FC">
        <w:rPr>
          <w:rFonts w:cs="Times New Roman"/>
          <w:szCs w:val="24"/>
        </w:rPr>
        <w:t>a ‘</w:t>
      </w:r>
      <w:r w:rsidR="00B03BE9">
        <w:rPr>
          <w:rFonts w:cs="Times New Roman"/>
          <w:szCs w:val="24"/>
        </w:rPr>
        <w:t>mission’</w:t>
      </w:r>
      <w:r w:rsidR="006C454D">
        <w:rPr>
          <w:rFonts w:cs="Times New Roman"/>
          <w:szCs w:val="24"/>
        </w:rPr>
        <w:t xml:space="preserve">; namely </w:t>
      </w:r>
      <w:r w:rsidR="00F66F3C">
        <w:rPr>
          <w:rFonts w:cs="Times New Roman"/>
          <w:szCs w:val="24"/>
        </w:rPr>
        <w:t>‘</w:t>
      </w:r>
      <w:r w:rsidR="00F95D04" w:rsidRPr="00925262">
        <w:rPr>
          <w:rFonts w:cs="Times New Roman"/>
          <w:szCs w:val="24"/>
        </w:rPr>
        <w:t xml:space="preserve">a person or group of persons publicly sent by one </w:t>
      </w:r>
      <w:r w:rsidR="008F7045">
        <w:rPr>
          <w:rFonts w:cs="Times New Roman"/>
          <w:szCs w:val="24"/>
        </w:rPr>
        <w:t>State</w:t>
      </w:r>
      <w:r w:rsidR="00F95D04" w:rsidRPr="00925262">
        <w:rPr>
          <w:rFonts w:cs="Times New Roman"/>
          <w:szCs w:val="24"/>
        </w:rPr>
        <w:t xml:space="preserve"> to another </w:t>
      </w:r>
      <w:r w:rsidR="008F7045">
        <w:rPr>
          <w:rFonts w:cs="Times New Roman"/>
          <w:szCs w:val="24"/>
        </w:rPr>
        <w:t>State</w:t>
      </w:r>
      <w:r w:rsidR="00F95D04" w:rsidRPr="00925262">
        <w:rPr>
          <w:rFonts w:cs="Times New Roman"/>
          <w:szCs w:val="24"/>
        </w:rPr>
        <w:t xml:space="preserve"> </w:t>
      </w:r>
      <w:r w:rsidR="0061234F" w:rsidRPr="00925262">
        <w:rPr>
          <w:rFonts w:cs="Times New Roman"/>
          <w:szCs w:val="24"/>
        </w:rPr>
        <w:t>to perform diplomatic functions</w:t>
      </w:r>
      <w:r w:rsidR="00F66F3C">
        <w:rPr>
          <w:rFonts w:cs="Times New Roman"/>
          <w:szCs w:val="24"/>
        </w:rPr>
        <w:t>’</w:t>
      </w:r>
      <w:r w:rsidR="00F95D04" w:rsidRPr="00925262">
        <w:rPr>
          <w:rFonts w:cs="Times New Roman"/>
          <w:szCs w:val="24"/>
        </w:rPr>
        <w:t>.</w:t>
      </w:r>
      <w:r w:rsidR="006E05D9" w:rsidRPr="00925262">
        <w:rPr>
          <w:rFonts w:cs="Times New Roman"/>
          <w:szCs w:val="24"/>
        </w:rPr>
        <w:t xml:space="preserve"> </w:t>
      </w:r>
      <w:r w:rsidR="00F95D04" w:rsidRPr="00925262">
        <w:rPr>
          <w:rFonts w:cs="Times New Roman"/>
          <w:szCs w:val="24"/>
        </w:rPr>
        <w:t>The commentary state</w:t>
      </w:r>
      <w:r w:rsidR="00C858C7">
        <w:rPr>
          <w:rFonts w:cs="Times New Roman"/>
          <w:szCs w:val="24"/>
        </w:rPr>
        <w:t>d</w:t>
      </w:r>
    </w:p>
    <w:p w14:paraId="1170AC5B" w14:textId="59669654" w:rsidR="00BE2C14" w:rsidRPr="00F66F3C" w:rsidRDefault="002C4AED" w:rsidP="00F66F3C">
      <w:pPr>
        <w:ind w:left="720"/>
        <w:rPr>
          <w:rFonts w:cs="Times New Roman"/>
          <w:sz w:val="20"/>
          <w:szCs w:val="20"/>
        </w:rPr>
      </w:pPr>
      <w:r>
        <w:rPr>
          <w:rFonts w:cs="Times New Roman"/>
          <w:sz w:val="20"/>
          <w:szCs w:val="20"/>
        </w:rPr>
        <w:t>[t]</w:t>
      </w:r>
      <w:r w:rsidR="00E57826" w:rsidRPr="00925262">
        <w:rPr>
          <w:rFonts w:cs="Times New Roman"/>
          <w:sz w:val="20"/>
          <w:szCs w:val="20"/>
        </w:rPr>
        <w:t>he term ‘mission’</w:t>
      </w:r>
      <w:r w:rsidR="00F95D04" w:rsidRPr="00925262">
        <w:rPr>
          <w:rFonts w:cs="Times New Roman"/>
          <w:sz w:val="20"/>
          <w:szCs w:val="20"/>
        </w:rPr>
        <w:t xml:space="preserve"> is used to denote the diplomatic group whatever be the permanency of its tenure or its official rank (embassy, legation, special mission) </w:t>
      </w:r>
      <w:r w:rsidR="00F66F3C">
        <w:rPr>
          <w:rFonts w:cs="Times New Roman"/>
          <w:sz w:val="20"/>
          <w:szCs w:val="20"/>
        </w:rPr>
        <w:t>…</w:t>
      </w:r>
      <w:r w:rsidR="00F95D04" w:rsidRPr="00925262">
        <w:rPr>
          <w:rFonts w:cs="Times New Roman"/>
          <w:sz w:val="20"/>
          <w:szCs w:val="20"/>
        </w:rPr>
        <w:t xml:space="preserve"> The term is broad enough to include special missions</w:t>
      </w:r>
      <w:r w:rsidR="006E05D9" w:rsidRPr="00925262">
        <w:rPr>
          <w:rFonts w:cs="Times New Roman"/>
          <w:sz w:val="20"/>
          <w:szCs w:val="20"/>
        </w:rPr>
        <w:t xml:space="preserve"> </w:t>
      </w:r>
      <w:r w:rsidR="00F95D04" w:rsidRPr="00925262">
        <w:rPr>
          <w:rFonts w:cs="Times New Roman"/>
          <w:sz w:val="20"/>
          <w:szCs w:val="20"/>
        </w:rPr>
        <w:t>of a political or ceremonial character which are accredited to the government of the receiving state. Members of special missions probably enjoy the same privileges and immunities as do those of permanent mission.</w:t>
      </w:r>
      <w:r w:rsidR="00F95D04" w:rsidRPr="00925262">
        <w:rPr>
          <w:rStyle w:val="FootnoteReference"/>
          <w:rFonts w:cs="Times New Roman"/>
          <w:sz w:val="20"/>
          <w:szCs w:val="20"/>
        </w:rPr>
        <w:footnoteReference w:id="17"/>
      </w:r>
    </w:p>
    <w:p w14:paraId="68BF53D6" w14:textId="49D085BE" w:rsidR="00BE2C14" w:rsidRPr="00E4511D" w:rsidRDefault="00B97C74" w:rsidP="0082079F">
      <w:pPr>
        <w:pStyle w:val="Heading2"/>
        <w:rPr>
          <w:lang w:val="en-US"/>
        </w:rPr>
      </w:pPr>
      <w:bookmarkStart w:id="24" w:name="_Toc364753206"/>
      <w:bookmarkStart w:id="25" w:name="_Toc497598016"/>
      <w:bookmarkStart w:id="26" w:name="_Toc502996209"/>
      <w:r w:rsidRPr="00E4511D">
        <w:rPr>
          <w:lang w:val="en-US"/>
        </w:rPr>
        <w:t>C</w:t>
      </w:r>
      <w:r w:rsidR="00E11993" w:rsidRPr="00E4511D">
        <w:rPr>
          <w:lang w:val="en-US"/>
        </w:rPr>
        <w:t>odification of the L</w:t>
      </w:r>
      <w:r w:rsidR="00B42FB9" w:rsidRPr="00E4511D">
        <w:rPr>
          <w:lang w:val="en-US"/>
        </w:rPr>
        <w:t xml:space="preserve">aw </w:t>
      </w:r>
      <w:r w:rsidR="00B94066" w:rsidRPr="00E4511D">
        <w:rPr>
          <w:lang w:val="en-US"/>
        </w:rPr>
        <w:t>on Spec</w:t>
      </w:r>
      <w:r w:rsidR="00874BBF" w:rsidRPr="00E4511D">
        <w:rPr>
          <w:lang w:val="en-US"/>
        </w:rPr>
        <w:t>ia</w:t>
      </w:r>
      <w:r w:rsidR="00B94066" w:rsidRPr="00E4511D">
        <w:rPr>
          <w:lang w:val="en-US"/>
        </w:rPr>
        <w:t xml:space="preserve">l Missions </w:t>
      </w:r>
      <w:r w:rsidR="00B42FB9" w:rsidRPr="00E4511D">
        <w:rPr>
          <w:lang w:val="en-US"/>
        </w:rPr>
        <w:t>in the 1960s</w:t>
      </w:r>
      <w:bookmarkEnd w:id="24"/>
      <w:bookmarkEnd w:id="25"/>
      <w:bookmarkEnd w:id="26"/>
    </w:p>
    <w:p w14:paraId="332AC553" w14:textId="1E1739FC" w:rsidR="00BE2C14" w:rsidRPr="00925262" w:rsidRDefault="00E21395" w:rsidP="00A80619">
      <w:pPr>
        <w:rPr>
          <w:rFonts w:cs="Times New Roman"/>
          <w:szCs w:val="24"/>
        </w:rPr>
      </w:pPr>
      <w:r w:rsidRPr="00925262">
        <w:rPr>
          <w:rFonts w:cs="Times New Roman"/>
          <w:szCs w:val="24"/>
        </w:rPr>
        <w:t xml:space="preserve">The </w:t>
      </w:r>
      <w:r w:rsidR="007446EA" w:rsidRPr="00925262">
        <w:rPr>
          <w:rFonts w:cs="Times New Roman"/>
          <w:szCs w:val="24"/>
        </w:rPr>
        <w:t xml:space="preserve">developments leading up to the adoption of the </w:t>
      </w:r>
      <w:r w:rsidR="00A80619">
        <w:rPr>
          <w:rFonts w:cs="Times New Roman"/>
          <w:szCs w:val="24"/>
        </w:rPr>
        <w:t xml:space="preserve">1969 </w:t>
      </w:r>
      <w:r w:rsidR="007446EA" w:rsidRPr="00925262">
        <w:rPr>
          <w:rFonts w:cs="Times New Roman"/>
          <w:szCs w:val="24"/>
        </w:rPr>
        <w:t>New York Convention on Special Missions have been described elsewhere.</w:t>
      </w:r>
      <w:r w:rsidR="007446EA" w:rsidRPr="00925262">
        <w:rPr>
          <w:rStyle w:val="FootnoteReference"/>
          <w:rFonts w:cs="Times New Roman"/>
          <w:szCs w:val="24"/>
        </w:rPr>
        <w:footnoteReference w:id="18"/>
      </w:r>
      <w:r w:rsidR="007446EA" w:rsidRPr="00925262">
        <w:rPr>
          <w:rFonts w:cs="Times New Roman"/>
          <w:szCs w:val="24"/>
        </w:rPr>
        <w:t xml:space="preserve"> </w:t>
      </w:r>
      <w:r w:rsidR="006E05D9" w:rsidRPr="00925262">
        <w:rPr>
          <w:rFonts w:cs="Times New Roman"/>
          <w:szCs w:val="24"/>
        </w:rPr>
        <w:t xml:space="preserve">In short, the </w:t>
      </w:r>
      <w:r w:rsidR="002854FD">
        <w:rPr>
          <w:rFonts w:cs="Times New Roman"/>
          <w:szCs w:val="24"/>
        </w:rPr>
        <w:t xml:space="preserve">International Law </w:t>
      </w:r>
      <w:r w:rsidR="005B1CCC">
        <w:rPr>
          <w:rFonts w:cs="Times New Roman"/>
          <w:szCs w:val="24"/>
        </w:rPr>
        <w:t>Commission</w:t>
      </w:r>
      <w:r w:rsidR="006E05D9" w:rsidRPr="00925262">
        <w:rPr>
          <w:rFonts w:cs="Times New Roman"/>
          <w:szCs w:val="24"/>
        </w:rPr>
        <w:t xml:space="preserve"> considered the question during its work on the topic </w:t>
      </w:r>
      <w:r w:rsidR="006E05D9" w:rsidRPr="00925262">
        <w:rPr>
          <w:rFonts w:cs="Times New Roman"/>
          <w:i/>
          <w:szCs w:val="24"/>
        </w:rPr>
        <w:t xml:space="preserve">Diplomatic </w:t>
      </w:r>
      <w:r w:rsidR="006065EA">
        <w:rPr>
          <w:rFonts w:cs="Times New Roman"/>
          <w:i/>
          <w:szCs w:val="24"/>
        </w:rPr>
        <w:t>I</w:t>
      </w:r>
      <w:r w:rsidR="006E05D9" w:rsidRPr="00925262">
        <w:rPr>
          <w:rFonts w:cs="Times New Roman"/>
          <w:i/>
          <w:szCs w:val="24"/>
        </w:rPr>
        <w:t xml:space="preserve">ntercourse and </w:t>
      </w:r>
      <w:r w:rsidR="006065EA">
        <w:rPr>
          <w:rFonts w:cs="Times New Roman"/>
          <w:i/>
          <w:szCs w:val="24"/>
        </w:rPr>
        <w:t>I</w:t>
      </w:r>
      <w:r w:rsidR="006065EA" w:rsidRPr="00925262">
        <w:rPr>
          <w:rFonts w:cs="Times New Roman"/>
          <w:i/>
          <w:szCs w:val="24"/>
        </w:rPr>
        <w:t>mmunities</w:t>
      </w:r>
      <w:r w:rsidR="00A80619">
        <w:rPr>
          <w:rFonts w:cs="Times New Roman"/>
          <w:iCs/>
          <w:szCs w:val="24"/>
        </w:rPr>
        <w:t xml:space="preserve">, which dealt primarily with </w:t>
      </w:r>
      <w:r w:rsidR="00A80619">
        <w:t>permanent diplomatic missions</w:t>
      </w:r>
      <w:r w:rsidR="008F3C37" w:rsidRPr="00925262">
        <w:rPr>
          <w:rFonts w:cs="Times New Roman"/>
          <w:i/>
          <w:szCs w:val="24"/>
        </w:rPr>
        <w:t>.</w:t>
      </w:r>
      <w:r w:rsidR="008F3C37" w:rsidRPr="00925262">
        <w:rPr>
          <w:rFonts w:cs="Times New Roman"/>
          <w:szCs w:val="24"/>
        </w:rPr>
        <w:t xml:space="preserve"> When</w:t>
      </w:r>
      <w:r w:rsidR="006E05D9" w:rsidRPr="00925262">
        <w:rPr>
          <w:rFonts w:cs="Times New Roman"/>
          <w:szCs w:val="24"/>
        </w:rPr>
        <w:t xml:space="preserve"> it concluded its work on that topic</w:t>
      </w:r>
      <w:r w:rsidR="00542F83">
        <w:rPr>
          <w:rFonts w:cs="Times New Roman"/>
          <w:szCs w:val="24"/>
        </w:rPr>
        <w:t xml:space="preserve"> in 1958</w:t>
      </w:r>
      <w:r w:rsidR="006E05D9" w:rsidRPr="00925262">
        <w:rPr>
          <w:rFonts w:cs="Times New Roman"/>
          <w:szCs w:val="24"/>
        </w:rPr>
        <w:t>, it noted that diplomatic relations also assumed other forms, including special missions</w:t>
      </w:r>
      <w:r w:rsidR="00A80619">
        <w:rPr>
          <w:rFonts w:cs="Times New Roman"/>
          <w:szCs w:val="24"/>
        </w:rPr>
        <w:t>, and</w:t>
      </w:r>
      <w:r w:rsidR="00A80619" w:rsidRPr="00925262">
        <w:rPr>
          <w:rFonts w:cs="Times New Roman"/>
          <w:szCs w:val="24"/>
        </w:rPr>
        <w:t xml:space="preserve"> </w:t>
      </w:r>
      <w:r w:rsidR="00D56C58" w:rsidRPr="00925262">
        <w:rPr>
          <w:rFonts w:cs="Times New Roman"/>
          <w:szCs w:val="24"/>
        </w:rPr>
        <w:t>requested the Spec</w:t>
      </w:r>
      <w:r w:rsidR="00A448A3" w:rsidRPr="00925262">
        <w:rPr>
          <w:rFonts w:cs="Times New Roman"/>
          <w:szCs w:val="24"/>
        </w:rPr>
        <w:t xml:space="preserve">ial Rapporteur </w:t>
      </w:r>
      <w:r w:rsidR="005B1CCC">
        <w:rPr>
          <w:rFonts w:cs="Times New Roman"/>
          <w:szCs w:val="24"/>
        </w:rPr>
        <w:t>for that</w:t>
      </w:r>
      <w:r w:rsidR="00D56C58" w:rsidRPr="00925262">
        <w:rPr>
          <w:rFonts w:cs="Times New Roman"/>
          <w:szCs w:val="24"/>
        </w:rPr>
        <w:t xml:space="preserve"> topic to prepare a study on </w:t>
      </w:r>
      <w:r w:rsidR="00D56C58" w:rsidRPr="00925262">
        <w:rPr>
          <w:rFonts w:cs="Times New Roman"/>
          <w:i/>
          <w:szCs w:val="24"/>
        </w:rPr>
        <w:t>ad hoc</w:t>
      </w:r>
      <w:r w:rsidR="00D56C58" w:rsidRPr="00925262">
        <w:rPr>
          <w:rFonts w:cs="Times New Roman"/>
          <w:szCs w:val="24"/>
        </w:rPr>
        <w:t xml:space="preserve"> diplomacy.</w:t>
      </w:r>
      <w:r w:rsidR="00094063">
        <w:rPr>
          <w:rStyle w:val="FootnoteReference"/>
          <w:rFonts w:cs="Times New Roman"/>
          <w:szCs w:val="24"/>
        </w:rPr>
        <w:footnoteReference w:id="19"/>
      </w:r>
      <w:r w:rsidR="00D56C58" w:rsidRPr="00925262">
        <w:rPr>
          <w:rFonts w:cs="Times New Roman"/>
          <w:szCs w:val="24"/>
        </w:rPr>
        <w:t xml:space="preserve"> On the b</w:t>
      </w:r>
      <w:r w:rsidR="00A448A3" w:rsidRPr="00925262">
        <w:rPr>
          <w:rFonts w:cs="Times New Roman"/>
          <w:szCs w:val="24"/>
        </w:rPr>
        <w:t xml:space="preserve">asis of </w:t>
      </w:r>
      <w:r w:rsidR="00D56C58" w:rsidRPr="00925262">
        <w:rPr>
          <w:rFonts w:cs="Times New Roman"/>
          <w:szCs w:val="24"/>
        </w:rPr>
        <w:t>Sandström’s</w:t>
      </w:r>
      <w:r w:rsidR="00C11CD3" w:rsidRPr="00925262">
        <w:rPr>
          <w:rFonts w:cs="Times New Roman"/>
          <w:szCs w:val="24"/>
        </w:rPr>
        <w:t xml:space="preserve"> </w:t>
      </w:r>
      <w:r w:rsidR="00A448A3" w:rsidRPr="00925262">
        <w:rPr>
          <w:rFonts w:cs="Times New Roman"/>
          <w:szCs w:val="24"/>
        </w:rPr>
        <w:t>report,</w:t>
      </w:r>
      <w:r w:rsidR="00D56C58" w:rsidRPr="00925262">
        <w:rPr>
          <w:rStyle w:val="FootnoteReference"/>
          <w:rFonts w:cs="Times New Roman"/>
          <w:szCs w:val="24"/>
        </w:rPr>
        <w:footnoteReference w:id="20"/>
      </w:r>
      <w:r w:rsidR="00A448A3" w:rsidRPr="00925262">
        <w:rPr>
          <w:rFonts w:cs="Times New Roman"/>
          <w:szCs w:val="24"/>
        </w:rPr>
        <w:t xml:space="preserve"> </w:t>
      </w:r>
      <w:r w:rsidR="00E37456" w:rsidRPr="00925262">
        <w:rPr>
          <w:rFonts w:cs="Times New Roman"/>
          <w:szCs w:val="24"/>
        </w:rPr>
        <w:t>the Commission adopted three draft articles</w:t>
      </w:r>
      <w:r w:rsidR="00AC445E">
        <w:rPr>
          <w:rFonts w:cs="Times New Roman"/>
          <w:szCs w:val="24"/>
        </w:rPr>
        <w:t>,</w:t>
      </w:r>
      <w:r w:rsidR="00E37456" w:rsidRPr="00925262">
        <w:rPr>
          <w:rFonts w:cs="Times New Roman"/>
          <w:szCs w:val="24"/>
        </w:rPr>
        <w:t xml:space="preserve"> which would have applied the draft articles on permanent diplomatic missions to special missions.</w:t>
      </w:r>
      <w:r w:rsidR="0051486A">
        <w:rPr>
          <w:rStyle w:val="FootnoteReference"/>
          <w:rFonts w:cs="Times New Roman"/>
          <w:szCs w:val="24"/>
        </w:rPr>
        <w:footnoteReference w:id="21"/>
      </w:r>
      <w:r w:rsidR="00E37456" w:rsidRPr="00925262">
        <w:rPr>
          <w:rFonts w:cs="Times New Roman"/>
          <w:szCs w:val="24"/>
        </w:rPr>
        <w:t xml:space="preserve"> The </w:t>
      </w:r>
      <w:r w:rsidR="00E37456" w:rsidRPr="00925262">
        <w:rPr>
          <w:rFonts w:cs="Times New Roman"/>
          <w:szCs w:val="24"/>
        </w:rPr>
        <w:lastRenderedPageBreak/>
        <w:t xml:space="preserve">Vienna Conference on Diplomatic Intercourse and Immunities considered the matter, </w:t>
      </w:r>
      <w:r w:rsidR="008812D8">
        <w:rPr>
          <w:rFonts w:cs="Times New Roman"/>
          <w:szCs w:val="24"/>
        </w:rPr>
        <w:t xml:space="preserve">including </w:t>
      </w:r>
      <w:r w:rsidR="0051486A">
        <w:rPr>
          <w:rFonts w:cs="Times New Roman"/>
          <w:szCs w:val="24"/>
        </w:rPr>
        <w:t xml:space="preserve">within a sub-committee, </w:t>
      </w:r>
      <w:r w:rsidR="00E37456" w:rsidRPr="00925262">
        <w:rPr>
          <w:rFonts w:cs="Times New Roman"/>
          <w:szCs w:val="24"/>
        </w:rPr>
        <w:t xml:space="preserve">but </w:t>
      </w:r>
      <w:r w:rsidR="005B1CCC">
        <w:rPr>
          <w:rFonts w:cs="Times New Roman"/>
          <w:szCs w:val="24"/>
        </w:rPr>
        <w:t xml:space="preserve">in the </w:t>
      </w:r>
      <w:r w:rsidR="002C3C4F">
        <w:rPr>
          <w:rFonts w:cs="Times New Roman"/>
          <w:szCs w:val="24"/>
        </w:rPr>
        <w:t>en</w:t>
      </w:r>
      <w:r w:rsidR="005B1CCC">
        <w:rPr>
          <w:rFonts w:cs="Times New Roman"/>
          <w:szCs w:val="24"/>
        </w:rPr>
        <w:t xml:space="preserve">d </w:t>
      </w:r>
      <w:r w:rsidR="00E37456" w:rsidRPr="00925262">
        <w:rPr>
          <w:rFonts w:cs="Times New Roman"/>
          <w:szCs w:val="24"/>
        </w:rPr>
        <w:t xml:space="preserve">decided </w:t>
      </w:r>
      <w:r w:rsidR="0051486A">
        <w:rPr>
          <w:rFonts w:cs="Times New Roman"/>
          <w:szCs w:val="24"/>
        </w:rPr>
        <w:t xml:space="preserve">to recommend that </w:t>
      </w:r>
      <w:r w:rsidR="00E37456" w:rsidRPr="00925262">
        <w:rPr>
          <w:rFonts w:cs="Times New Roman"/>
          <w:szCs w:val="24"/>
        </w:rPr>
        <w:t>the General Assembly</w:t>
      </w:r>
      <w:r w:rsidR="0051486A">
        <w:rPr>
          <w:rFonts w:cs="Times New Roman"/>
          <w:szCs w:val="24"/>
        </w:rPr>
        <w:t xml:space="preserve"> refer the subject back to </w:t>
      </w:r>
      <w:r w:rsidR="00E37456" w:rsidRPr="00925262">
        <w:rPr>
          <w:rFonts w:cs="Times New Roman"/>
          <w:szCs w:val="24"/>
        </w:rPr>
        <w:t>the Commission</w:t>
      </w:r>
      <w:r w:rsidR="0051486A">
        <w:rPr>
          <w:rFonts w:cs="Times New Roman"/>
          <w:szCs w:val="24"/>
        </w:rPr>
        <w:t>,</w:t>
      </w:r>
      <w:r w:rsidR="0051486A">
        <w:rPr>
          <w:rStyle w:val="FootnoteReference"/>
          <w:rFonts w:cs="Times New Roman"/>
          <w:szCs w:val="24"/>
        </w:rPr>
        <w:footnoteReference w:id="22"/>
      </w:r>
      <w:r w:rsidR="0051486A">
        <w:rPr>
          <w:rFonts w:cs="Times New Roman"/>
          <w:szCs w:val="24"/>
        </w:rPr>
        <w:t xml:space="preserve"> which it duly did</w:t>
      </w:r>
      <w:r w:rsidR="00E37456" w:rsidRPr="00925262">
        <w:rPr>
          <w:rFonts w:cs="Times New Roman"/>
          <w:szCs w:val="24"/>
        </w:rPr>
        <w:t>.</w:t>
      </w:r>
      <w:r w:rsidR="002C3C4F">
        <w:rPr>
          <w:rStyle w:val="FootnoteReference"/>
          <w:rFonts w:cs="Times New Roman"/>
          <w:szCs w:val="24"/>
        </w:rPr>
        <w:footnoteReference w:id="23"/>
      </w:r>
      <w:r w:rsidR="005E2C6F">
        <w:rPr>
          <w:rFonts w:cs="Times New Roman"/>
          <w:szCs w:val="24"/>
        </w:rPr>
        <w:t xml:space="preserve"> </w:t>
      </w:r>
    </w:p>
    <w:p w14:paraId="4BEAAC6B" w14:textId="226141D8" w:rsidR="00861C2F" w:rsidRPr="00537B96" w:rsidRDefault="00E37456" w:rsidP="00BE220F">
      <w:r w:rsidRPr="00925262">
        <w:rPr>
          <w:rFonts w:cs="Times New Roman"/>
          <w:szCs w:val="24"/>
        </w:rPr>
        <w:t xml:space="preserve">The </w:t>
      </w:r>
      <w:r w:rsidR="0094515E" w:rsidRPr="00925262">
        <w:rPr>
          <w:rFonts w:cs="Times New Roman"/>
          <w:szCs w:val="24"/>
        </w:rPr>
        <w:t>Commission’s</w:t>
      </w:r>
      <w:r w:rsidRPr="00925262">
        <w:rPr>
          <w:rFonts w:cs="Times New Roman"/>
          <w:szCs w:val="24"/>
        </w:rPr>
        <w:t xml:space="preserve"> work on the topic </w:t>
      </w:r>
      <w:r w:rsidRPr="00925262">
        <w:rPr>
          <w:rFonts w:cs="Times New Roman"/>
          <w:i/>
          <w:szCs w:val="24"/>
        </w:rPr>
        <w:t xml:space="preserve">Special </w:t>
      </w:r>
      <w:r w:rsidR="00C94C4C">
        <w:rPr>
          <w:rFonts w:cs="Times New Roman"/>
          <w:i/>
          <w:szCs w:val="24"/>
        </w:rPr>
        <w:t>M</w:t>
      </w:r>
      <w:r w:rsidRPr="00925262">
        <w:rPr>
          <w:rFonts w:cs="Times New Roman"/>
          <w:i/>
          <w:szCs w:val="24"/>
        </w:rPr>
        <w:t>issions</w:t>
      </w:r>
      <w:r w:rsidRPr="00925262">
        <w:rPr>
          <w:rFonts w:cs="Times New Roman"/>
          <w:szCs w:val="24"/>
        </w:rPr>
        <w:t xml:space="preserve">, under the guidance of Special Rapporteur Milan </w:t>
      </w:r>
      <w:bookmarkStart w:id="27" w:name="_Hlk490662213"/>
      <w:r w:rsidRPr="00925262">
        <w:rPr>
          <w:rFonts w:cs="Times New Roman"/>
          <w:szCs w:val="24"/>
        </w:rPr>
        <w:t>Bartoš</w:t>
      </w:r>
      <w:bookmarkEnd w:id="27"/>
      <w:r w:rsidRPr="00925262">
        <w:rPr>
          <w:rFonts w:cs="Times New Roman"/>
          <w:szCs w:val="24"/>
        </w:rPr>
        <w:t xml:space="preserve">, gives invaluable insight into both the eventual Convention on Special Missions, and into the rules of customary international law on the matter. </w:t>
      </w:r>
      <w:r w:rsidR="00143407" w:rsidRPr="00925262">
        <w:rPr>
          <w:rFonts w:cs="Times New Roman"/>
          <w:szCs w:val="24"/>
        </w:rPr>
        <w:t>In addition to the Secretariat’s 1963 working paper, to which reference has already been made,</w:t>
      </w:r>
      <w:r w:rsidR="008662B7" w:rsidRPr="00925262">
        <w:rPr>
          <w:rStyle w:val="FootnoteReference"/>
          <w:rFonts w:cs="Times New Roman"/>
          <w:szCs w:val="24"/>
        </w:rPr>
        <w:footnoteReference w:id="24"/>
      </w:r>
      <w:r w:rsidR="00143407" w:rsidRPr="00925262">
        <w:rPr>
          <w:rFonts w:cs="Times New Roman"/>
          <w:szCs w:val="24"/>
        </w:rPr>
        <w:t xml:space="preserve"> </w:t>
      </w:r>
      <w:r w:rsidR="008662B7" w:rsidRPr="00925262">
        <w:rPr>
          <w:rFonts w:cs="Times New Roman"/>
          <w:szCs w:val="24"/>
        </w:rPr>
        <w:t xml:space="preserve">and </w:t>
      </w:r>
      <w:r w:rsidR="00143407" w:rsidRPr="00925262">
        <w:rPr>
          <w:rFonts w:cs="Times New Roman"/>
          <w:szCs w:val="24"/>
        </w:rPr>
        <w:t>Bartoš</w:t>
      </w:r>
      <w:r w:rsidR="008662B7" w:rsidRPr="00925262">
        <w:rPr>
          <w:rFonts w:cs="Times New Roman"/>
          <w:szCs w:val="24"/>
        </w:rPr>
        <w:t>’s</w:t>
      </w:r>
      <w:r w:rsidR="00143407" w:rsidRPr="00925262">
        <w:rPr>
          <w:rFonts w:cs="Times New Roman"/>
          <w:szCs w:val="24"/>
        </w:rPr>
        <w:t xml:space="preserve"> four reports,</w:t>
      </w:r>
      <w:r w:rsidR="00143407" w:rsidRPr="00925262">
        <w:rPr>
          <w:rStyle w:val="FootnoteReference"/>
          <w:rFonts w:cs="Times New Roman"/>
          <w:szCs w:val="24"/>
        </w:rPr>
        <w:footnoteReference w:id="25"/>
      </w:r>
      <w:r w:rsidR="008662B7" w:rsidRPr="00925262">
        <w:rPr>
          <w:rFonts w:cs="Times New Roman"/>
          <w:szCs w:val="24"/>
        </w:rPr>
        <w:t xml:space="preserve"> the Commission’s initial 16 draft articles of 1964,</w:t>
      </w:r>
      <w:r w:rsidR="008662B7" w:rsidRPr="00925262">
        <w:rPr>
          <w:rStyle w:val="FootnoteReference"/>
          <w:rFonts w:cs="Times New Roman"/>
          <w:szCs w:val="24"/>
        </w:rPr>
        <w:footnoteReference w:id="26"/>
      </w:r>
      <w:r w:rsidR="008662B7" w:rsidRPr="00925262">
        <w:rPr>
          <w:rFonts w:cs="Times New Roman"/>
          <w:szCs w:val="24"/>
        </w:rPr>
        <w:t xml:space="preserve"> and full set of 50 draft articles in 1967,</w:t>
      </w:r>
      <w:r w:rsidR="008662B7" w:rsidRPr="00925262">
        <w:rPr>
          <w:rStyle w:val="FootnoteReference"/>
          <w:rFonts w:cs="Times New Roman"/>
          <w:szCs w:val="24"/>
        </w:rPr>
        <w:footnoteReference w:id="27"/>
      </w:r>
      <w:r w:rsidR="005B1CCC">
        <w:rPr>
          <w:rFonts w:cs="Times New Roman"/>
          <w:szCs w:val="24"/>
        </w:rPr>
        <w:t xml:space="preserve"> </w:t>
      </w:r>
      <w:r w:rsidR="008662B7" w:rsidRPr="00925262">
        <w:rPr>
          <w:rFonts w:cs="Times New Roman"/>
          <w:szCs w:val="24"/>
        </w:rPr>
        <w:t xml:space="preserve">each with commentaries, </w:t>
      </w:r>
      <w:r w:rsidR="002C3C4F">
        <w:rPr>
          <w:rFonts w:cs="Times New Roman"/>
          <w:szCs w:val="24"/>
        </w:rPr>
        <w:t>remain</w:t>
      </w:r>
      <w:r w:rsidR="008662B7" w:rsidRPr="00925262">
        <w:rPr>
          <w:rFonts w:cs="Times New Roman"/>
          <w:szCs w:val="24"/>
        </w:rPr>
        <w:t xml:space="preserve"> </w:t>
      </w:r>
      <w:r w:rsidR="002C3C4F">
        <w:rPr>
          <w:rFonts w:cs="Times New Roman"/>
          <w:szCs w:val="24"/>
        </w:rPr>
        <w:t>important</w:t>
      </w:r>
      <w:r w:rsidR="008662B7" w:rsidRPr="00925262">
        <w:rPr>
          <w:rFonts w:cs="Times New Roman"/>
          <w:szCs w:val="24"/>
        </w:rPr>
        <w:t xml:space="preserve"> for an understanding of the </w:t>
      </w:r>
      <w:r w:rsidR="005B1CCC">
        <w:rPr>
          <w:rFonts w:cs="Times New Roman"/>
          <w:szCs w:val="24"/>
        </w:rPr>
        <w:t xml:space="preserve">current </w:t>
      </w:r>
      <w:r w:rsidR="008662B7" w:rsidRPr="00925262">
        <w:rPr>
          <w:rFonts w:cs="Times New Roman"/>
          <w:szCs w:val="24"/>
        </w:rPr>
        <w:t xml:space="preserve">law on special missions. </w:t>
      </w:r>
      <w:r w:rsidR="008911F3">
        <w:rPr>
          <w:rFonts w:cs="Times New Roman"/>
          <w:szCs w:val="24"/>
        </w:rPr>
        <w:t>T</w:t>
      </w:r>
      <w:r w:rsidR="002C3C4F">
        <w:rPr>
          <w:rFonts w:cs="Times New Roman"/>
          <w:szCs w:val="24"/>
        </w:rPr>
        <w:t xml:space="preserve">he Special Rapporteur’s </w:t>
      </w:r>
      <w:r w:rsidR="008911F3">
        <w:rPr>
          <w:rFonts w:cs="Times New Roman"/>
          <w:szCs w:val="24"/>
        </w:rPr>
        <w:t>Fourth Report</w:t>
      </w:r>
      <w:r w:rsidR="002C3C4F">
        <w:rPr>
          <w:rFonts w:cs="Times New Roman"/>
          <w:szCs w:val="24"/>
        </w:rPr>
        <w:t xml:space="preserve"> contains a valuable summary of the matter.</w:t>
      </w:r>
      <w:r w:rsidR="008662B7" w:rsidRPr="00925262">
        <w:rPr>
          <w:rFonts w:cs="Times New Roman"/>
          <w:szCs w:val="24"/>
        </w:rPr>
        <w:t xml:space="preserve"> </w:t>
      </w:r>
    </w:p>
    <w:p w14:paraId="439B57C7" w14:textId="68FB9FA6" w:rsidR="006E6BAD" w:rsidRPr="00925262" w:rsidRDefault="006E6BAD" w:rsidP="00BE220F">
      <w:pPr>
        <w:rPr>
          <w:rFonts w:cs="Times New Roman"/>
          <w:szCs w:val="24"/>
        </w:rPr>
      </w:pPr>
      <w:r w:rsidRPr="00925262">
        <w:rPr>
          <w:rFonts w:cs="Times New Roman"/>
          <w:szCs w:val="24"/>
        </w:rPr>
        <w:t>The draft articles were considered in the Sixth Committee of the General Assembly in 1968 and 1969.</w:t>
      </w:r>
      <w:r w:rsidR="0012225C" w:rsidRPr="0012225C">
        <w:rPr>
          <w:rFonts w:eastAsia="Calibri" w:cs="Times New Roman"/>
          <w:szCs w:val="24"/>
        </w:rPr>
        <w:t xml:space="preserve"> </w:t>
      </w:r>
      <w:r w:rsidR="0012225C">
        <w:rPr>
          <w:rFonts w:eastAsia="Calibri" w:cs="Times New Roman"/>
          <w:szCs w:val="24"/>
        </w:rPr>
        <w:t>A particular question that arose d</w:t>
      </w:r>
      <w:r w:rsidR="0012225C" w:rsidRPr="0012225C">
        <w:rPr>
          <w:rFonts w:cs="Times New Roman"/>
          <w:szCs w:val="24"/>
        </w:rPr>
        <w:t xml:space="preserve">uring </w:t>
      </w:r>
      <w:r w:rsidR="0012225C">
        <w:rPr>
          <w:rFonts w:cs="Times New Roman"/>
          <w:szCs w:val="24"/>
        </w:rPr>
        <w:t xml:space="preserve">the </w:t>
      </w:r>
      <w:r w:rsidR="0012225C" w:rsidRPr="0012225C">
        <w:rPr>
          <w:rFonts w:cs="Times New Roman"/>
          <w:szCs w:val="24"/>
        </w:rPr>
        <w:t>negotiation of the Convention on Special Missions</w:t>
      </w:r>
      <w:r w:rsidR="008911F3">
        <w:rPr>
          <w:rFonts w:cs="Times New Roman"/>
          <w:szCs w:val="24"/>
        </w:rPr>
        <w:t xml:space="preserve"> was the scope of the term ‘</w:t>
      </w:r>
      <w:r w:rsidR="0012225C">
        <w:rPr>
          <w:rFonts w:cs="Times New Roman"/>
          <w:szCs w:val="24"/>
        </w:rPr>
        <w:t>special mission’. S</w:t>
      </w:r>
      <w:r w:rsidR="0012225C" w:rsidRPr="0012225C">
        <w:rPr>
          <w:rFonts w:cs="Times New Roman"/>
          <w:szCs w:val="24"/>
        </w:rPr>
        <w:t xml:space="preserve">ome raised objections about </w:t>
      </w:r>
      <w:r w:rsidR="00356804">
        <w:rPr>
          <w:rFonts w:cs="Times New Roman"/>
          <w:szCs w:val="24"/>
        </w:rPr>
        <w:t>applying</w:t>
      </w:r>
      <w:r w:rsidR="0012225C" w:rsidRPr="0012225C">
        <w:rPr>
          <w:rFonts w:cs="Times New Roman"/>
          <w:szCs w:val="24"/>
        </w:rPr>
        <w:t xml:space="preserve"> its provisions </w:t>
      </w:r>
      <w:r w:rsidR="00356804">
        <w:rPr>
          <w:rFonts w:cs="Times New Roman"/>
          <w:szCs w:val="24"/>
        </w:rPr>
        <w:t>to</w:t>
      </w:r>
      <w:r w:rsidR="0012225C" w:rsidRPr="0012225C">
        <w:rPr>
          <w:rFonts w:cs="Times New Roman"/>
          <w:szCs w:val="24"/>
        </w:rPr>
        <w:t xml:space="preserve"> all special missions, regardless of their level, status or functions. </w:t>
      </w:r>
      <w:r w:rsidR="00356804">
        <w:rPr>
          <w:rFonts w:cs="Times New Roman"/>
          <w:szCs w:val="24"/>
        </w:rPr>
        <w:t>C</w:t>
      </w:r>
      <w:r w:rsidR="0012225C" w:rsidRPr="0012225C">
        <w:rPr>
          <w:rFonts w:cs="Times New Roman"/>
          <w:szCs w:val="24"/>
        </w:rPr>
        <w:t xml:space="preserve">ertain </w:t>
      </w:r>
      <w:r w:rsidR="008F7045">
        <w:rPr>
          <w:rFonts w:cs="Times New Roman"/>
          <w:szCs w:val="24"/>
        </w:rPr>
        <w:t>State</w:t>
      </w:r>
      <w:r w:rsidR="0012225C" w:rsidRPr="0012225C">
        <w:rPr>
          <w:rFonts w:cs="Times New Roman"/>
          <w:szCs w:val="24"/>
        </w:rPr>
        <w:t>s, led by France and the United Kingdom, sought to limit application of the Convention to high-level missions that were undertaking specific diplomatic tasks.</w:t>
      </w:r>
      <w:r w:rsidR="0012225C" w:rsidRPr="0012225C">
        <w:rPr>
          <w:rFonts w:cs="Times New Roman"/>
          <w:szCs w:val="24"/>
          <w:vertAlign w:val="superscript"/>
        </w:rPr>
        <w:footnoteReference w:id="28"/>
      </w:r>
      <w:r w:rsidR="0012225C" w:rsidRPr="0012225C">
        <w:rPr>
          <w:rFonts w:cs="Times New Roman"/>
          <w:szCs w:val="24"/>
        </w:rPr>
        <w:t xml:space="preserve"> </w:t>
      </w:r>
      <w:r w:rsidR="00620E14">
        <w:rPr>
          <w:rFonts w:cs="Times New Roman"/>
          <w:szCs w:val="24"/>
        </w:rPr>
        <w:t xml:space="preserve">While in this </w:t>
      </w:r>
      <w:r w:rsidR="003B7112">
        <w:rPr>
          <w:rFonts w:cs="Times New Roman"/>
          <w:szCs w:val="24"/>
        </w:rPr>
        <w:t xml:space="preserve">objective </w:t>
      </w:r>
      <w:r w:rsidR="00620E14">
        <w:rPr>
          <w:rFonts w:cs="Times New Roman"/>
          <w:szCs w:val="24"/>
        </w:rPr>
        <w:t xml:space="preserve">they were not successful, States did agree that the mission should represent the State, and </w:t>
      </w:r>
      <w:r w:rsidR="0012225C" w:rsidRPr="0012225C">
        <w:rPr>
          <w:rFonts w:cs="Times New Roman"/>
          <w:szCs w:val="24"/>
        </w:rPr>
        <w:t>on the essential requirement of consent, both to the sending of the mission and to its function.</w:t>
      </w:r>
      <w:r w:rsidR="005E2C6F">
        <w:rPr>
          <w:rFonts w:cs="Times New Roman"/>
          <w:szCs w:val="24"/>
        </w:rPr>
        <w:t xml:space="preserve"> </w:t>
      </w:r>
    </w:p>
    <w:p w14:paraId="3B92231F" w14:textId="07BE24C6" w:rsidR="00F81C9F" w:rsidRPr="00BE220F" w:rsidRDefault="00C73DF3" w:rsidP="004F162C">
      <w:pPr>
        <w:pStyle w:val="Heading2"/>
        <w:rPr>
          <w:i/>
        </w:rPr>
      </w:pPr>
      <w:bookmarkStart w:id="29" w:name="_Toc364753207"/>
      <w:bookmarkStart w:id="30" w:name="_Toc497598017"/>
      <w:bookmarkStart w:id="31" w:name="_Toc502996210"/>
      <w:r>
        <w:t xml:space="preserve">International Developments </w:t>
      </w:r>
      <w:r w:rsidR="00382707">
        <w:t>s</w:t>
      </w:r>
      <w:r>
        <w:t xml:space="preserve">ince </w:t>
      </w:r>
      <w:r w:rsidR="00E25B7D">
        <w:t>1969</w:t>
      </w:r>
      <w:bookmarkEnd w:id="29"/>
      <w:bookmarkEnd w:id="30"/>
      <w:bookmarkEnd w:id="31"/>
    </w:p>
    <w:p w14:paraId="29B2FBFA" w14:textId="69690BA8" w:rsidR="00C73DF3" w:rsidRPr="00C73DF3" w:rsidRDefault="00C73DF3" w:rsidP="00C73DF3">
      <w:r w:rsidRPr="00C73DF3">
        <w:t xml:space="preserve">There have been some significant developments since the adoption of the Convention on Special Missions in 1969, in part stimulated by the Convention and reflecting the </w:t>
      </w:r>
      <w:r w:rsidRPr="00C73DF3">
        <w:lastRenderedPageBreak/>
        <w:t>increasing importance of special missions in diplomatic practice. In addition to the State practice and case-law referred to in sections IV and V below, these include further activity within the International Law Commission and the Council of Europe.</w:t>
      </w:r>
      <w:r w:rsidR="005E2C6F">
        <w:t xml:space="preserve"> </w:t>
      </w:r>
    </w:p>
    <w:p w14:paraId="769BF4A6" w14:textId="487FDB48" w:rsidR="0033362D" w:rsidRDefault="00E25B7D" w:rsidP="00BE220F">
      <w:r>
        <w:t>For its part, t</w:t>
      </w:r>
      <w:r w:rsidRPr="004F162C">
        <w:t xml:space="preserve">he </w:t>
      </w:r>
      <w:r w:rsidR="00ED4033" w:rsidRPr="004F162C">
        <w:t xml:space="preserve">International Law Commission has touched on special missions </w:t>
      </w:r>
      <w:r w:rsidR="00F00BCB">
        <w:t>in</w:t>
      </w:r>
      <w:r w:rsidR="00ED4033" w:rsidRPr="004F162C">
        <w:t xml:space="preserve"> its </w:t>
      </w:r>
      <w:r w:rsidR="006A23A3">
        <w:t xml:space="preserve">ongoing </w:t>
      </w:r>
      <w:r w:rsidR="00542F83">
        <w:t>work</w:t>
      </w:r>
      <w:r w:rsidR="00542F83" w:rsidRPr="004F162C">
        <w:t xml:space="preserve"> </w:t>
      </w:r>
      <w:r w:rsidR="00ED4033" w:rsidRPr="004F162C">
        <w:t xml:space="preserve">on </w:t>
      </w:r>
      <w:r w:rsidR="00542F83">
        <w:t xml:space="preserve">the topic </w:t>
      </w:r>
      <w:r w:rsidR="00ED4033" w:rsidRPr="004F162C">
        <w:rPr>
          <w:i/>
        </w:rPr>
        <w:t>Immunity of State officials from foreign criminal jurisdiction</w:t>
      </w:r>
      <w:r w:rsidR="00ED4033" w:rsidRPr="004F162C">
        <w:t>.</w:t>
      </w:r>
      <w:r w:rsidR="005E2C6F">
        <w:t xml:space="preserve"> </w:t>
      </w:r>
      <w:r w:rsidR="00ED4033" w:rsidRPr="004F162C">
        <w:t xml:space="preserve">In 2008, in footnote to a </w:t>
      </w:r>
      <w:r w:rsidR="00ED4033" w:rsidRPr="004F162C">
        <w:rPr>
          <w:i/>
        </w:rPr>
        <w:t>Preliminary Report</w:t>
      </w:r>
      <w:r w:rsidR="00ED4033" w:rsidRPr="004F162C">
        <w:t xml:space="preserve">, Special Rapporteur Kolodkin noted that </w:t>
      </w:r>
      <w:r w:rsidR="00BE220F">
        <w:t>‘</w:t>
      </w:r>
      <w:r w:rsidR="009D58CB">
        <w:t>[</w:t>
      </w:r>
      <w:r w:rsidR="00ED4033" w:rsidRPr="004F162C">
        <w:t>f</w:t>
      </w:r>
      <w:r w:rsidR="009D58CB">
        <w:t>]</w:t>
      </w:r>
      <w:r w:rsidR="00ED4033" w:rsidRPr="004F162C">
        <w:t>urther study is required to determine whether there exist customary rules of international law governing the status of members of special missions</w:t>
      </w:r>
      <w:r w:rsidR="00BE220F">
        <w:t>’</w:t>
      </w:r>
      <w:r w:rsidR="00ED4033" w:rsidRPr="004F162C">
        <w:t>.</w:t>
      </w:r>
      <w:r w:rsidR="00ED4033" w:rsidRPr="004F162C">
        <w:rPr>
          <w:vertAlign w:val="superscript"/>
        </w:rPr>
        <w:footnoteReference w:id="29"/>
      </w:r>
      <w:r w:rsidR="00ED4033" w:rsidRPr="004F162C">
        <w:t xml:space="preserve"> </w:t>
      </w:r>
      <w:r w:rsidR="00BD6E20">
        <w:t>I</w:t>
      </w:r>
      <w:r w:rsidR="00ED4033" w:rsidRPr="004F162C">
        <w:t xml:space="preserve">n 2013, the Commission made </w:t>
      </w:r>
      <w:r w:rsidR="00ED4033" w:rsidRPr="00A437E2">
        <w:t xml:space="preserve">more </w:t>
      </w:r>
      <w:r w:rsidR="001F2ACE">
        <w:t>substantive</w:t>
      </w:r>
      <w:r w:rsidR="00ED4033" w:rsidRPr="004F162C">
        <w:t xml:space="preserve"> comments on special mission immunity.</w:t>
      </w:r>
      <w:r w:rsidR="005E2C6F">
        <w:t xml:space="preserve"> </w:t>
      </w:r>
      <w:r w:rsidR="008812D8">
        <w:t>D</w:t>
      </w:r>
      <w:r w:rsidR="00ED4033" w:rsidRPr="004F162C">
        <w:t>raft article 1</w:t>
      </w:r>
      <w:r w:rsidR="00222E37">
        <w:t xml:space="preserve"> </w:t>
      </w:r>
      <w:r w:rsidR="00ED4033" w:rsidRPr="004F162C">
        <w:t xml:space="preserve">states that the draft articles </w:t>
      </w:r>
      <w:r w:rsidR="00542F83">
        <w:t xml:space="preserve">on </w:t>
      </w:r>
      <w:r w:rsidR="00222E37" w:rsidRPr="00DF5FE1">
        <w:rPr>
          <w:i/>
        </w:rPr>
        <w:t xml:space="preserve">Immunity of State </w:t>
      </w:r>
      <w:r w:rsidR="000C2480">
        <w:rPr>
          <w:i/>
        </w:rPr>
        <w:t>O</w:t>
      </w:r>
      <w:r w:rsidR="00222E37" w:rsidRPr="00DF5FE1">
        <w:rPr>
          <w:i/>
        </w:rPr>
        <w:t>fficials</w:t>
      </w:r>
      <w:r w:rsidR="00222E37" w:rsidDel="00222E37">
        <w:t xml:space="preserve"> </w:t>
      </w:r>
      <w:r w:rsidR="00ED4033" w:rsidRPr="004F162C">
        <w:t xml:space="preserve">are </w:t>
      </w:r>
      <w:r w:rsidR="00BE220F">
        <w:t>‘</w:t>
      </w:r>
      <w:r w:rsidR="00ED4033" w:rsidRPr="004F162C">
        <w:t>without prejudice to the immunity from criminal jurisdiction enjoyed under special rules of international law, in particular connected with</w:t>
      </w:r>
      <w:r w:rsidR="002854FD">
        <w:t xml:space="preserve"> </w:t>
      </w:r>
      <w:r w:rsidR="00ED4033" w:rsidRPr="004F162C">
        <w:t>… special missions</w:t>
      </w:r>
      <w:r w:rsidR="00BE220F">
        <w:t>’</w:t>
      </w:r>
      <w:r w:rsidR="00ED4033" w:rsidRPr="004F162C">
        <w:t>.</w:t>
      </w:r>
      <w:r w:rsidR="00ED4033" w:rsidRPr="004F162C">
        <w:rPr>
          <w:vertAlign w:val="superscript"/>
        </w:rPr>
        <w:footnoteReference w:id="30"/>
      </w:r>
      <w:r w:rsidR="005E2C6F">
        <w:t xml:space="preserve"> </w:t>
      </w:r>
    </w:p>
    <w:p w14:paraId="60B50E94" w14:textId="4FDEBD03" w:rsidR="00E25B7D" w:rsidRPr="004F162C" w:rsidRDefault="0033362D" w:rsidP="00E25B7D">
      <w:r>
        <w:t>I</w:t>
      </w:r>
      <w:r w:rsidR="00ED4033" w:rsidRPr="004F162C">
        <w:t xml:space="preserve">n the commentary to draft article 1 the Commission notes that </w:t>
      </w:r>
      <w:r w:rsidR="00BE220F">
        <w:t>‘</w:t>
      </w:r>
      <w:r w:rsidR="00ED4033" w:rsidRPr="004F162C">
        <w:t>the rules contained in</w:t>
      </w:r>
      <w:r>
        <w:t xml:space="preserve"> </w:t>
      </w:r>
      <w:r w:rsidR="00ED4033" w:rsidRPr="004F162C">
        <w:t>… the Convention on Special Mission</w:t>
      </w:r>
      <w:r>
        <w:t>s</w:t>
      </w:r>
      <w:r w:rsidR="00ED4033" w:rsidRPr="004F162C">
        <w:t>, as well as the relevant rules of customary law</w:t>
      </w:r>
      <w:r w:rsidR="00BE220F">
        <w:t>’</w:t>
      </w:r>
      <w:r w:rsidR="00ED4033" w:rsidRPr="004F162C">
        <w:t xml:space="preserve"> constitute </w:t>
      </w:r>
      <w:r w:rsidR="00BE220F">
        <w:t>‘</w:t>
      </w:r>
      <w:r w:rsidR="00ED4033" w:rsidRPr="004F162C">
        <w:t>special rules relating to the immunity from foreign criminal jurisdiction of persons connected with carrying out the functions of representation, or protection of the interests of the State in another State, whether on a permanent basis or otherwise, while connected with a … special mission</w:t>
      </w:r>
      <w:r w:rsidR="00BE220F">
        <w:t>’</w:t>
      </w:r>
      <w:r w:rsidR="00ED4033" w:rsidRPr="004F162C">
        <w:t>.</w:t>
      </w:r>
      <w:r w:rsidR="00ED4033" w:rsidRPr="004F162C">
        <w:rPr>
          <w:vertAlign w:val="superscript"/>
        </w:rPr>
        <w:footnoteReference w:id="31"/>
      </w:r>
      <w:r w:rsidR="00ED4033" w:rsidRPr="004F162C">
        <w:t xml:space="preserve"> The commentary to draft article 3</w:t>
      </w:r>
      <w:r w:rsidR="00BE220F">
        <w:t xml:space="preserve"> – </w:t>
      </w:r>
      <w:r w:rsidR="00ED4033" w:rsidRPr="004F162C">
        <w:t xml:space="preserve">on persons enjoying immunity </w:t>
      </w:r>
      <w:r w:rsidR="00ED4033" w:rsidRPr="00310242">
        <w:rPr>
          <w:i/>
        </w:rPr>
        <w:t>ratione</w:t>
      </w:r>
      <w:r w:rsidR="00ED4033" w:rsidRPr="004F162C">
        <w:rPr>
          <w:i/>
        </w:rPr>
        <w:t xml:space="preserve"> personae</w:t>
      </w:r>
      <w:r w:rsidR="00BE220F">
        <w:t xml:space="preserve"> – </w:t>
      </w:r>
      <w:r w:rsidR="00222E37">
        <w:t xml:space="preserve">then </w:t>
      </w:r>
      <w:r w:rsidR="00ED4033" w:rsidRPr="004F162C">
        <w:t xml:space="preserve">explains that </w:t>
      </w:r>
      <w:r w:rsidR="00BE220F">
        <w:t>‘</w:t>
      </w:r>
      <w:r w:rsidR="00ED4033" w:rsidRPr="004F162C">
        <w:t>the Commission considers that other “high-ranking officials” [i.e. those other</w:t>
      </w:r>
      <w:r w:rsidR="00215216">
        <w:t xml:space="preserve"> </w:t>
      </w:r>
      <w:r w:rsidR="00ED4033" w:rsidRPr="004F162C">
        <w:t xml:space="preserve">than the Head of State, Head of Government and Minister for Foreign Affairs] do not enjoy immunity </w:t>
      </w:r>
      <w:r w:rsidR="00CE3EAD">
        <w:rPr>
          <w:i/>
        </w:rPr>
        <w:t>ration</w:t>
      </w:r>
      <w:r w:rsidR="00ED4033" w:rsidRPr="004F162C">
        <w:rPr>
          <w:i/>
        </w:rPr>
        <w:t>e personae</w:t>
      </w:r>
      <w:r w:rsidR="00ED4033" w:rsidRPr="004F162C">
        <w:t xml:space="preserve"> for purposes of the present draft articles, but that this is without prejudice to the rules pertaining to immunity </w:t>
      </w:r>
      <w:r w:rsidR="00ED4033" w:rsidRPr="004F162C">
        <w:rPr>
          <w:i/>
        </w:rPr>
        <w:t>ratione materiae</w:t>
      </w:r>
      <w:r w:rsidR="00ED4033" w:rsidRPr="004F162C">
        <w:t xml:space="preserve">, and </w:t>
      </w:r>
      <w:r w:rsidR="00ED4033" w:rsidRPr="00100614">
        <w:t>on the understanding that when they are on official visits, they enjoy immunity from foreign criminal jurisdiction based on the rules of international law relating to special missions</w:t>
      </w:r>
      <w:r w:rsidR="00BE220F">
        <w:t>’</w:t>
      </w:r>
      <w:r w:rsidR="00ED4033" w:rsidRPr="004F162C">
        <w:t>.</w:t>
      </w:r>
      <w:r w:rsidR="00ED4033" w:rsidRPr="004F162C">
        <w:rPr>
          <w:vertAlign w:val="superscript"/>
        </w:rPr>
        <w:footnoteReference w:id="32"/>
      </w:r>
    </w:p>
    <w:p w14:paraId="07BF0A85" w14:textId="470AA492" w:rsidR="00391B72" w:rsidRPr="00BE220F" w:rsidRDefault="00391B72" w:rsidP="004F162C">
      <w:pPr>
        <w:rPr>
          <w:rFonts w:eastAsia="Calibri"/>
        </w:rPr>
      </w:pPr>
      <w:r w:rsidRPr="00391B72">
        <w:rPr>
          <w:rFonts w:eastAsia="Calibri"/>
        </w:rPr>
        <w:t xml:space="preserve">In September 2013, at the request of the UK delegation, the topic </w:t>
      </w:r>
      <w:r w:rsidRPr="000510B0">
        <w:rPr>
          <w:rFonts w:eastAsia="Calibri"/>
          <w:i/>
        </w:rPr>
        <w:t xml:space="preserve">Immunities of Special Missions </w:t>
      </w:r>
      <w:r w:rsidRPr="00391B72">
        <w:rPr>
          <w:rFonts w:eastAsia="Calibri"/>
        </w:rPr>
        <w:t xml:space="preserve">was included in the agenda of the 46th meeting of Council of Europe’s Committee of Legal Advisers on Public International Law (CAHDI). The Committee prepared a questionnaire for </w:t>
      </w:r>
      <w:r w:rsidR="008F7045">
        <w:rPr>
          <w:rFonts w:eastAsia="Calibri"/>
        </w:rPr>
        <w:t>State</w:t>
      </w:r>
      <w:r w:rsidRPr="00391B72">
        <w:rPr>
          <w:rFonts w:eastAsia="Calibri"/>
        </w:rPr>
        <w:t>s on special mission immunity</w:t>
      </w:r>
      <w:r w:rsidR="007662F1">
        <w:rPr>
          <w:rFonts w:eastAsia="Calibri"/>
        </w:rPr>
        <w:t xml:space="preserve"> which addressed the question whether rules on special missions did indeed have customary status. The </w:t>
      </w:r>
      <w:r w:rsidR="00B0780F">
        <w:rPr>
          <w:rFonts w:eastAsia="Calibri"/>
        </w:rPr>
        <w:t xml:space="preserve">latest version of the </w:t>
      </w:r>
      <w:r w:rsidR="00EE387D">
        <w:rPr>
          <w:rFonts w:eastAsia="Calibri"/>
          <w:i/>
        </w:rPr>
        <w:t>Replies by States to the Questionnaire</w:t>
      </w:r>
      <w:r w:rsidR="007662F1">
        <w:rPr>
          <w:rFonts w:eastAsia="Calibri"/>
        </w:rPr>
        <w:t xml:space="preserve"> </w:t>
      </w:r>
      <w:r w:rsidR="00EE387D">
        <w:rPr>
          <w:rFonts w:eastAsia="Calibri"/>
        </w:rPr>
        <w:t>was</w:t>
      </w:r>
      <w:r w:rsidR="007662F1">
        <w:rPr>
          <w:rFonts w:eastAsia="Calibri"/>
        </w:rPr>
        <w:t xml:space="preserve"> published</w:t>
      </w:r>
      <w:r w:rsidR="008D4CFD">
        <w:rPr>
          <w:rFonts w:eastAsia="Calibri"/>
        </w:rPr>
        <w:t xml:space="preserve"> officially on the CAHDI website</w:t>
      </w:r>
      <w:r w:rsidR="007662F1">
        <w:rPr>
          <w:rFonts w:eastAsia="Calibri"/>
        </w:rPr>
        <w:t xml:space="preserve"> on </w:t>
      </w:r>
      <w:r w:rsidR="00DA7F99">
        <w:rPr>
          <w:rFonts w:eastAsia="Calibri"/>
        </w:rPr>
        <w:t>21 February 2018</w:t>
      </w:r>
      <w:r w:rsidR="007662F1">
        <w:rPr>
          <w:rFonts w:eastAsia="Calibri"/>
        </w:rPr>
        <w:t xml:space="preserve">, but certain responses had already entered </w:t>
      </w:r>
      <w:r w:rsidRPr="00391B72">
        <w:rPr>
          <w:rFonts w:eastAsia="Calibri"/>
        </w:rPr>
        <w:t>the public domain in 2016</w:t>
      </w:r>
      <w:r w:rsidR="007662F1">
        <w:rPr>
          <w:rFonts w:eastAsia="Calibri"/>
        </w:rPr>
        <w:t xml:space="preserve">, with </w:t>
      </w:r>
      <w:r w:rsidR="00A95AF3">
        <w:rPr>
          <w:rFonts w:eastAsia="Calibri"/>
        </w:rPr>
        <w:t xml:space="preserve">the most relevant parts </w:t>
      </w:r>
      <w:r w:rsidR="007662F1">
        <w:rPr>
          <w:rFonts w:eastAsia="Calibri"/>
        </w:rPr>
        <w:t>having be</w:t>
      </w:r>
      <w:r w:rsidR="00B0780F">
        <w:rPr>
          <w:rFonts w:eastAsia="Calibri"/>
        </w:rPr>
        <w:t>en</w:t>
      </w:r>
      <w:r w:rsidR="00A95AF3">
        <w:rPr>
          <w:rFonts w:eastAsia="Calibri"/>
        </w:rPr>
        <w:t xml:space="preserve"> annexed to the </w:t>
      </w:r>
      <w:r w:rsidR="00B967C2">
        <w:rPr>
          <w:rFonts w:eastAsia="Calibri"/>
        </w:rPr>
        <w:t>English</w:t>
      </w:r>
      <w:r w:rsidR="00385CBA">
        <w:rPr>
          <w:rFonts w:eastAsia="Calibri"/>
        </w:rPr>
        <w:t xml:space="preserve"> </w:t>
      </w:r>
      <w:r w:rsidR="00385CBA">
        <w:rPr>
          <w:rFonts w:eastAsia="Calibri"/>
        </w:rPr>
        <w:lastRenderedPageBreak/>
        <w:t xml:space="preserve">High Court’s </w:t>
      </w:r>
      <w:r w:rsidR="00A95AF3" w:rsidRPr="004F162C">
        <w:rPr>
          <w:rFonts w:eastAsia="Calibri"/>
          <w:i/>
        </w:rPr>
        <w:t>Freedom and Justice Party</w:t>
      </w:r>
      <w:r w:rsidR="00A95AF3">
        <w:rPr>
          <w:rFonts w:eastAsia="Calibri"/>
        </w:rPr>
        <w:t xml:space="preserve"> judgment</w:t>
      </w:r>
      <w:r w:rsidR="007662F1">
        <w:rPr>
          <w:rFonts w:eastAsia="Calibri"/>
        </w:rPr>
        <w:t>.</w:t>
      </w:r>
      <w:bookmarkStart w:id="32" w:name="_Ref364844973"/>
      <w:r w:rsidR="00A3097D">
        <w:rPr>
          <w:rStyle w:val="FootnoteReference"/>
          <w:rFonts w:eastAsia="Calibri"/>
        </w:rPr>
        <w:footnoteReference w:id="33"/>
      </w:r>
      <w:bookmarkEnd w:id="32"/>
      <w:r w:rsidR="007662F1">
        <w:rPr>
          <w:rFonts w:eastAsia="Calibri"/>
        </w:rPr>
        <w:t xml:space="preserve"> </w:t>
      </w:r>
      <w:r w:rsidRPr="00391B72">
        <w:rPr>
          <w:rFonts w:eastAsia="Calibri"/>
        </w:rPr>
        <w:t xml:space="preserve">The </w:t>
      </w:r>
      <w:r w:rsidR="008E0802">
        <w:rPr>
          <w:rFonts w:eastAsia="Calibri"/>
        </w:rPr>
        <w:t xml:space="preserve">CAHDI </w:t>
      </w:r>
      <w:r w:rsidR="00042168">
        <w:rPr>
          <w:rFonts w:eastAsia="Calibri"/>
        </w:rPr>
        <w:t>questionnaire</w:t>
      </w:r>
      <w:r w:rsidRPr="00391B72">
        <w:rPr>
          <w:rFonts w:eastAsia="Calibri"/>
        </w:rPr>
        <w:t xml:space="preserve"> addressed different aspects of </w:t>
      </w:r>
      <w:r w:rsidR="008F7045">
        <w:rPr>
          <w:rFonts w:eastAsia="Calibri"/>
        </w:rPr>
        <w:t>State</w:t>
      </w:r>
      <w:r w:rsidRPr="00391B72">
        <w:rPr>
          <w:rFonts w:eastAsia="Calibri"/>
        </w:rPr>
        <w:t xml:space="preserve"> practice, including whether the </w:t>
      </w:r>
      <w:r w:rsidR="008F7045">
        <w:rPr>
          <w:rFonts w:eastAsia="Calibri"/>
        </w:rPr>
        <w:t>State</w:t>
      </w:r>
      <w:r w:rsidRPr="00391B72">
        <w:rPr>
          <w:rFonts w:eastAsia="Calibri"/>
        </w:rPr>
        <w:t xml:space="preserve"> had signed and ratified the Convention on Special Missions; whether there was domestic law granting </w:t>
      </w:r>
      <w:r w:rsidR="00E86798">
        <w:rPr>
          <w:rFonts w:eastAsia="Calibri"/>
        </w:rPr>
        <w:t>special mission immunity</w:t>
      </w:r>
      <w:r w:rsidRPr="00391B72">
        <w:rPr>
          <w:rFonts w:eastAsia="Calibri"/>
        </w:rPr>
        <w:t xml:space="preserve"> and the scope of that immunity; whether the executive had made statements on the matter; and whether the </w:t>
      </w:r>
      <w:r w:rsidR="008F7045">
        <w:rPr>
          <w:rFonts w:eastAsia="Calibri"/>
        </w:rPr>
        <w:t>State</w:t>
      </w:r>
      <w:r w:rsidRPr="00391B72">
        <w:rPr>
          <w:rFonts w:eastAsia="Calibri"/>
        </w:rPr>
        <w:t xml:space="preserve"> had procedures for </w:t>
      </w:r>
      <w:r w:rsidR="0033362D">
        <w:rPr>
          <w:rFonts w:eastAsia="Calibri"/>
        </w:rPr>
        <w:t xml:space="preserve">accepting </w:t>
      </w:r>
      <w:r w:rsidRPr="00391B72">
        <w:rPr>
          <w:rFonts w:eastAsia="Calibri"/>
        </w:rPr>
        <w:t xml:space="preserve">special missions and/or whether the existence of a special mission could be inferred from governmental conduct. </w:t>
      </w:r>
    </w:p>
    <w:p w14:paraId="11C02F10" w14:textId="0B79AFAB" w:rsidR="000B34E2" w:rsidRPr="00E4511D" w:rsidRDefault="00BD6E20" w:rsidP="00207ADF">
      <w:pPr>
        <w:pStyle w:val="Heading1"/>
        <w:rPr>
          <w:rFonts w:eastAsia="Calibri"/>
          <w:lang w:val="en-US"/>
        </w:rPr>
      </w:pPr>
      <w:bookmarkStart w:id="33" w:name="_Toc497598019"/>
      <w:bookmarkStart w:id="34" w:name="_Toc364753209"/>
      <w:bookmarkStart w:id="35" w:name="_Toc502996211"/>
      <w:r w:rsidRPr="00E4511D">
        <w:rPr>
          <w:rFonts w:eastAsia="Calibri"/>
          <w:lang w:val="en-US"/>
        </w:rPr>
        <w:t>The New York Convention on Special Missions 1969</w:t>
      </w:r>
      <w:bookmarkEnd w:id="33"/>
      <w:bookmarkEnd w:id="34"/>
      <w:bookmarkEnd w:id="35"/>
    </w:p>
    <w:p w14:paraId="5382A147" w14:textId="455E9A76" w:rsidR="002C3C4F" w:rsidRPr="00925262" w:rsidRDefault="002C3C4F" w:rsidP="0082079F">
      <w:pPr>
        <w:widowControl w:val="0"/>
        <w:contextualSpacing/>
        <w:rPr>
          <w:rFonts w:eastAsia="Calibri" w:cs="Times New Roman"/>
          <w:szCs w:val="24"/>
        </w:rPr>
      </w:pPr>
      <w:r w:rsidRPr="002C3C4F">
        <w:rPr>
          <w:rFonts w:eastAsia="Calibri" w:cs="Times New Roman"/>
          <w:szCs w:val="24"/>
        </w:rPr>
        <w:t xml:space="preserve">Almost 50 years after its adoption, the Convention on Special </w:t>
      </w:r>
      <w:r w:rsidRPr="008A32FD">
        <w:rPr>
          <w:rFonts w:eastAsia="Calibri" w:cs="Times New Roman"/>
          <w:szCs w:val="24"/>
        </w:rPr>
        <w:t>Missions</w:t>
      </w:r>
      <w:r w:rsidR="008A32FD">
        <w:rPr>
          <w:rFonts w:eastAsia="Calibri" w:cs="Times New Roman"/>
          <w:szCs w:val="24"/>
        </w:rPr>
        <w:t xml:space="preserve"> </w:t>
      </w:r>
      <w:r w:rsidRPr="008A32FD">
        <w:rPr>
          <w:rFonts w:eastAsia="Calibri" w:cs="Times New Roman"/>
          <w:szCs w:val="24"/>
        </w:rPr>
        <w:t>has</w:t>
      </w:r>
      <w:r w:rsidRPr="002C3C4F">
        <w:rPr>
          <w:rFonts w:eastAsia="Calibri" w:cs="Times New Roman"/>
          <w:szCs w:val="24"/>
        </w:rPr>
        <w:t xml:space="preserve"> only 38 States Parties</w:t>
      </w:r>
      <w:r w:rsidR="006A23A3">
        <w:rPr>
          <w:rFonts w:eastAsia="Calibri" w:cs="Times New Roman"/>
          <w:szCs w:val="24"/>
        </w:rPr>
        <w:t xml:space="preserve"> (as of late 2017)</w:t>
      </w:r>
      <w:r w:rsidRPr="002C3C4F">
        <w:rPr>
          <w:rFonts w:eastAsia="Calibri" w:cs="Times New Roman"/>
          <w:szCs w:val="24"/>
        </w:rPr>
        <w:t xml:space="preserve">. Accordingly, </w:t>
      </w:r>
      <w:r w:rsidR="0033362D">
        <w:rPr>
          <w:rFonts w:eastAsia="Calibri" w:cs="Times New Roman"/>
          <w:szCs w:val="24"/>
        </w:rPr>
        <w:t xml:space="preserve">and in the absence of some other treaty governing the matter, such as the 1928 </w:t>
      </w:r>
      <w:r w:rsidR="0033362D" w:rsidRPr="0033362D">
        <w:rPr>
          <w:rFonts w:eastAsia="Calibri" w:cs="Times New Roman"/>
          <w:szCs w:val="24"/>
        </w:rPr>
        <w:t>Havana Convention on Diplomatic Officers</w:t>
      </w:r>
      <w:r w:rsidR="0033362D">
        <w:rPr>
          <w:rFonts w:eastAsia="Calibri" w:cs="Times New Roman"/>
          <w:szCs w:val="24"/>
        </w:rPr>
        <w:t xml:space="preserve">, </w:t>
      </w:r>
      <w:r w:rsidR="00AF073F">
        <w:rPr>
          <w:rFonts w:eastAsia="Calibri" w:cs="Times New Roman"/>
          <w:szCs w:val="24"/>
        </w:rPr>
        <w:t xml:space="preserve">the </w:t>
      </w:r>
      <w:r w:rsidR="001240BD">
        <w:rPr>
          <w:rFonts w:eastAsia="Calibri" w:cs="Times New Roman"/>
          <w:szCs w:val="24"/>
        </w:rPr>
        <w:t xml:space="preserve">applicable </w:t>
      </w:r>
      <w:r w:rsidR="002854FD">
        <w:rPr>
          <w:rFonts w:eastAsia="Calibri" w:cs="Times New Roman"/>
          <w:szCs w:val="24"/>
        </w:rPr>
        <w:t xml:space="preserve">international </w:t>
      </w:r>
      <w:r w:rsidR="001240BD">
        <w:rPr>
          <w:rFonts w:eastAsia="Calibri" w:cs="Times New Roman"/>
          <w:szCs w:val="24"/>
        </w:rPr>
        <w:t xml:space="preserve">law in most situations will be the </w:t>
      </w:r>
      <w:r w:rsidR="00AF073F">
        <w:rPr>
          <w:rFonts w:eastAsia="Calibri" w:cs="Times New Roman"/>
          <w:szCs w:val="24"/>
        </w:rPr>
        <w:t>relevant rules of customary international</w:t>
      </w:r>
      <w:r w:rsidR="001240BD">
        <w:rPr>
          <w:rFonts w:eastAsia="Calibri" w:cs="Times New Roman"/>
          <w:szCs w:val="24"/>
        </w:rPr>
        <w:t xml:space="preserve"> law. </w:t>
      </w:r>
      <w:r w:rsidRPr="002C3C4F">
        <w:rPr>
          <w:rFonts w:eastAsia="Calibri" w:cs="Times New Roman"/>
          <w:szCs w:val="24"/>
        </w:rPr>
        <w:t>Although</w:t>
      </w:r>
      <w:r>
        <w:rPr>
          <w:rFonts w:eastAsia="Calibri" w:cs="Times New Roman"/>
          <w:szCs w:val="24"/>
        </w:rPr>
        <w:t xml:space="preserve"> </w:t>
      </w:r>
      <w:r w:rsidRPr="002C3C4F">
        <w:rPr>
          <w:rFonts w:eastAsia="Calibri" w:cs="Times New Roman"/>
          <w:szCs w:val="24"/>
        </w:rPr>
        <w:t xml:space="preserve">the Convention itself has attracted limited participation, developments since 1969—and particularly those in the last few years—show considerable support for </w:t>
      </w:r>
      <w:r>
        <w:rPr>
          <w:rFonts w:eastAsia="Calibri" w:cs="Times New Roman"/>
          <w:szCs w:val="24"/>
        </w:rPr>
        <w:t xml:space="preserve">its </w:t>
      </w:r>
      <w:bookmarkStart w:id="36" w:name="_Hlk490908761"/>
      <w:r w:rsidR="00AA01FE">
        <w:rPr>
          <w:rFonts w:eastAsia="Calibri" w:cs="Times New Roman"/>
          <w:szCs w:val="24"/>
        </w:rPr>
        <w:t>core elements.</w:t>
      </w:r>
    </w:p>
    <w:p w14:paraId="142CECCD" w14:textId="55F9038E" w:rsidR="001332D5" w:rsidRPr="00BE220F" w:rsidRDefault="006A6529" w:rsidP="006A6529">
      <w:pPr>
        <w:pStyle w:val="Heading2"/>
        <w:numPr>
          <w:ilvl w:val="0"/>
          <w:numId w:val="44"/>
        </w:numPr>
      </w:pPr>
      <w:bookmarkStart w:id="37" w:name="_Toc497598020"/>
      <w:bookmarkStart w:id="38" w:name="_Toc502996212"/>
      <w:bookmarkEnd w:id="36"/>
      <w:r w:rsidRPr="00C1425E">
        <w:t>Participation in the Convention</w:t>
      </w:r>
      <w:bookmarkEnd w:id="37"/>
      <w:bookmarkEnd w:id="38"/>
    </w:p>
    <w:p w14:paraId="397FC292" w14:textId="7D944E03" w:rsidR="00D063BA" w:rsidRPr="00925262" w:rsidRDefault="00A86259" w:rsidP="0009412B">
      <w:pPr>
        <w:widowControl w:val="0"/>
        <w:contextualSpacing/>
        <w:rPr>
          <w:rFonts w:eastAsia="Calibri" w:cs="Times New Roman"/>
          <w:szCs w:val="24"/>
        </w:rPr>
      </w:pPr>
      <w:r>
        <w:rPr>
          <w:rFonts w:eastAsia="Calibri" w:cs="Times New Roman"/>
          <w:szCs w:val="24"/>
        </w:rPr>
        <w:t>T</w:t>
      </w:r>
      <w:r w:rsidR="00F81C9F" w:rsidRPr="00925262">
        <w:rPr>
          <w:rFonts w:eastAsia="Calibri" w:cs="Times New Roman"/>
          <w:szCs w:val="24"/>
        </w:rPr>
        <w:t>he United Nations General Assembly adopted the</w:t>
      </w:r>
      <w:r w:rsidR="0009412B">
        <w:rPr>
          <w:rFonts w:eastAsia="Calibri" w:cs="Times New Roman"/>
          <w:szCs w:val="24"/>
        </w:rPr>
        <w:t xml:space="preserve"> New York</w:t>
      </w:r>
      <w:r w:rsidR="00F81C9F" w:rsidRPr="00925262">
        <w:rPr>
          <w:rFonts w:eastAsia="Calibri" w:cs="Times New Roman"/>
          <w:szCs w:val="24"/>
        </w:rPr>
        <w:t xml:space="preserve"> Convention on Special Missions</w:t>
      </w:r>
      <w:r w:rsidRPr="00A86259">
        <w:rPr>
          <w:rFonts w:eastAsia="Calibri" w:cs="Times New Roman"/>
          <w:szCs w:val="24"/>
        </w:rPr>
        <w:t xml:space="preserve"> </w:t>
      </w:r>
      <w:r>
        <w:rPr>
          <w:rFonts w:eastAsia="Calibri" w:cs="Times New Roman"/>
          <w:szCs w:val="24"/>
        </w:rPr>
        <w:t>o</w:t>
      </w:r>
      <w:r w:rsidRPr="00925262">
        <w:rPr>
          <w:rFonts w:eastAsia="Calibri" w:cs="Times New Roman"/>
          <w:szCs w:val="24"/>
        </w:rPr>
        <w:t>n 8 December 1969</w:t>
      </w:r>
      <w:r w:rsidR="00F81C9F" w:rsidRPr="00925262">
        <w:rPr>
          <w:rFonts w:eastAsia="Calibri" w:cs="Times New Roman"/>
          <w:szCs w:val="24"/>
        </w:rPr>
        <w:t>,</w:t>
      </w:r>
      <w:bookmarkStart w:id="39" w:name="_Ref503791847"/>
      <w:r w:rsidR="00F81C9F" w:rsidRPr="00925262">
        <w:rPr>
          <w:rFonts w:eastAsia="Calibri" w:cs="Times New Roman"/>
          <w:szCs w:val="24"/>
          <w:vertAlign w:val="superscript"/>
        </w:rPr>
        <w:footnoteReference w:id="34"/>
      </w:r>
      <w:bookmarkEnd w:id="39"/>
      <w:r w:rsidR="00F81C9F" w:rsidRPr="00925262">
        <w:rPr>
          <w:rFonts w:eastAsia="Calibri" w:cs="Times New Roman"/>
          <w:szCs w:val="24"/>
        </w:rPr>
        <w:t xml:space="preserve"> together with an Optional Protocol on the Compulsory Settlement of Disputes</w:t>
      </w:r>
      <w:r w:rsidR="00F81C9F" w:rsidRPr="00925262">
        <w:rPr>
          <w:rFonts w:eastAsia="Calibri" w:cs="Times New Roman"/>
          <w:szCs w:val="24"/>
          <w:vertAlign w:val="superscript"/>
        </w:rPr>
        <w:footnoteReference w:id="35"/>
      </w:r>
      <w:r w:rsidR="00F81C9F" w:rsidRPr="00925262">
        <w:rPr>
          <w:rFonts w:eastAsia="Calibri" w:cs="Times New Roman"/>
          <w:szCs w:val="24"/>
        </w:rPr>
        <w:t xml:space="preserve"> and a resolution concerning the </w:t>
      </w:r>
      <w:r w:rsidR="00E91998">
        <w:rPr>
          <w:rFonts w:eastAsia="Calibri" w:cs="Times New Roman"/>
          <w:szCs w:val="24"/>
        </w:rPr>
        <w:t>waiver of immunity in respect</w:t>
      </w:r>
      <w:r w:rsidR="00F81C9F" w:rsidRPr="00925262">
        <w:rPr>
          <w:rFonts w:eastAsia="Calibri" w:cs="Times New Roman"/>
          <w:szCs w:val="24"/>
        </w:rPr>
        <w:t xml:space="preserve"> of civil claims.</w:t>
      </w:r>
      <w:r w:rsidR="00F81C9F" w:rsidRPr="00925262">
        <w:rPr>
          <w:rFonts w:eastAsia="Calibri" w:cs="Times New Roman"/>
          <w:szCs w:val="24"/>
          <w:vertAlign w:val="superscript"/>
        </w:rPr>
        <w:footnoteReference w:id="36"/>
      </w:r>
      <w:r w:rsidR="00F81C9F" w:rsidRPr="00925262">
        <w:rPr>
          <w:rFonts w:eastAsia="Calibri" w:cs="Times New Roman"/>
          <w:szCs w:val="24"/>
        </w:rPr>
        <w:t xml:space="preserve"> The </w:t>
      </w:r>
      <w:r w:rsidR="00F81C9F" w:rsidRPr="0009412B">
        <w:rPr>
          <w:rFonts w:eastAsia="Calibri" w:cs="Times New Roman"/>
          <w:szCs w:val="24"/>
        </w:rPr>
        <w:t>Convention ente</w:t>
      </w:r>
      <w:r w:rsidR="0009412B" w:rsidRPr="0009412B">
        <w:rPr>
          <w:rFonts w:eastAsia="Calibri" w:cs="Times New Roman"/>
          <w:szCs w:val="24"/>
        </w:rPr>
        <w:t xml:space="preserve">red into force on 21 June 1985, but has </w:t>
      </w:r>
      <w:r w:rsidR="00070CA4" w:rsidRPr="0009412B">
        <w:rPr>
          <w:rFonts w:eastAsia="Calibri" w:cs="Times New Roman"/>
          <w:szCs w:val="24"/>
        </w:rPr>
        <w:t>not attracted widespread support</w:t>
      </w:r>
      <w:r w:rsidR="001C300E">
        <w:rPr>
          <w:rFonts w:eastAsia="Calibri" w:cs="Times New Roman"/>
          <w:szCs w:val="24"/>
        </w:rPr>
        <w:t xml:space="preserve">, </w:t>
      </w:r>
      <w:r w:rsidR="00B05CCD">
        <w:rPr>
          <w:rFonts w:eastAsia="Calibri" w:cs="Times New Roman"/>
          <w:szCs w:val="24"/>
        </w:rPr>
        <w:t xml:space="preserve">largely because it grants </w:t>
      </w:r>
      <w:r w:rsidR="001C300E">
        <w:rPr>
          <w:rFonts w:eastAsia="Calibri" w:cs="Times New Roman"/>
          <w:szCs w:val="24"/>
        </w:rPr>
        <w:t xml:space="preserve">privileges and immunities that </w:t>
      </w:r>
      <w:r w:rsidR="001C300E">
        <w:rPr>
          <w:rFonts w:eastAsia="Calibri" w:cs="Times New Roman"/>
          <w:szCs w:val="24"/>
        </w:rPr>
        <w:lastRenderedPageBreak/>
        <w:t>go beyond what is functionally necessary for a special mission.</w:t>
      </w:r>
      <w:r w:rsidR="00070CA4" w:rsidRPr="0009412B">
        <w:rPr>
          <w:rStyle w:val="FootnoteReference"/>
          <w:rFonts w:eastAsia="Calibri" w:cs="Times New Roman"/>
          <w:szCs w:val="24"/>
        </w:rPr>
        <w:footnoteReference w:id="37"/>
      </w:r>
      <w:r w:rsidR="003B7613">
        <w:rPr>
          <w:rFonts w:eastAsia="Calibri" w:cs="Times New Roman"/>
          <w:szCs w:val="24"/>
        </w:rPr>
        <w:t xml:space="preserve"> For example, the Convention </w:t>
      </w:r>
      <w:r w:rsidR="005B28D0">
        <w:rPr>
          <w:rFonts w:eastAsia="Calibri" w:cs="Times New Roman"/>
          <w:szCs w:val="24"/>
        </w:rPr>
        <w:t xml:space="preserve">grants </w:t>
      </w:r>
      <w:r w:rsidR="000C2480">
        <w:rPr>
          <w:rFonts w:eastAsia="Calibri" w:cs="Times New Roman"/>
          <w:szCs w:val="24"/>
        </w:rPr>
        <w:t xml:space="preserve">immunities </w:t>
      </w:r>
      <w:r w:rsidR="005B28D0">
        <w:rPr>
          <w:rFonts w:eastAsia="Calibri" w:cs="Times New Roman"/>
          <w:szCs w:val="24"/>
        </w:rPr>
        <w:t xml:space="preserve">and exemptions from taxation to administrative, </w:t>
      </w:r>
      <w:r w:rsidR="00706343">
        <w:rPr>
          <w:rFonts w:eastAsia="Calibri" w:cs="Times New Roman"/>
          <w:szCs w:val="24"/>
        </w:rPr>
        <w:t>technical</w:t>
      </w:r>
      <w:r w:rsidR="005B28D0">
        <w:rPr>
          <w:rFonts w:eastAsia="Calibri" w:cs="Times New Roman"/>
          <w:szCs w:val="24"/>
        </w:rPr>
        <w:t xml:space="preserve"> and service staff</w:t>
      </w:r>
      <w:r w:rsidR="000C2480">
        <w:rPr>
          <w:rFonts w:eastAsia="Calibri" w:cs="Times New Roman"/>
          <w:szCs w:val="24"/>
        </w:rPr>
        <w:t>, and their families.</w:t>
      </w:r>
      <w:r w:rsidR="005B28D0">
        <w:rPr>
          <w:rStyle w:val="FootnoteReference"/>
          <w:rFonts w:eastAsia="Calibri" w:cs="Times New Roman"/>
          <w:szCs w:val="24"/>
        </w:rPr>
        <w:footnoteReference w:id="38"/>
      </w:r>
      <w:r w:rsidR="005B28D0">
        <w:rPr>
          <w:rFonts w:eastAsia="Calibri" w:cs="Times New Roman"/>
          <w:szCs w:val="24"/>
        </w:rPr>
        <w:t xml:space="preserve"> </w:t>
      </w:r>
      <w:r w:rsidR="00070CA4" w:rsidRPr="0009412B">
        <w:rPr>
          <w:rFonts w:eastAsia="Calibri" w:cs="Times New Roman"/>
          <w:szCs w:val="24"/>
        </w:rPr>
        <w:t>The last State to become a party to the Convention was Montenegro, which notified its succession in October 2006.</w:t>
      </w:r>
      <w:r w:rsidR="005E2C6F">
        <w:rPr>
          <w:rFonts w:eastAsia="Calibri" w:cs="Times New Roman"/>
          <w:szCs w:val="24"/>
        </w:rPr>
        <w:t xml:space="preserve"> </w:t>
      </w:r>
      <w:r w:rsidR="00070CA4" w:rsidRPr="0009412B">
        <w:rPr>
          <w:rFonts w:eastAsia="Calibri" w:cs="Times New Roman"/>
          <w:szCs w:val="24"/>
        </w:rPr>
        <w:t>The Convention has 38 parties, and another 12 signatories (including the United Kingdom).</w:t>
      </w:r>
      <w:r w:rsidR="005E2C6F">
        <w:rPr>
          <w:rFonts w:eastAsia="Calibri" w:cs="Times New Roman"/>
          <w:szCs w:val="24"/>
        </w:rPr>
        <w:t xml:space="preserve"> </w:t>
      </w:r>
      <w:r w:rsidR="0009412B" w:rsidRPr="0009412B">
        <w:rPr>
          <w:rFonts w:eastAsia="Calibri" w:cs="Times New Roman"/>
          <w:szCs w:val="24"/>
        </w:rPr>
        <w:t>The parties</w:t>
      </w:r>
      <w:r w:rsidR="00070CA4" w:rsidRPr="0009412B">
        <w:rPr>
          <w:rFonts w:eastAsia="Calibri" w:cs="Times New Roman"/>
          <w:szCs w:val="24"/>
        </w:rPr>
        <w:t xml:space="preserve"> </w:t>
      </w:r>
      <w:r w:rsidR="00133E22">
        <w:rPr>
          <w:rFonts w:eastAsia="Calibri" w:cs="Times New Roman"/>
          <w:szCs w:val="24"/>
        </w:rPr>
        <w:t xml:space="preserve">and signatories </w:t>
      </w:r>
      <w:r w:rsidR="00070CA4" w:rsidRPr="0009412B">
        <w:rPr>
          <w:rFonts w:eastAsia="Calibri" w:cs="Times New Roman"/>
          <w:szCs w:val="24"/>
        </w:rPr>
        <w:t xml:space="preserve">come from all </w:t>
      </w:r>
      <w:r w:rsidR="00982D44">
        <w:rPr>
          <w:rFonts w:eastAsia="Calibri" w:cs="Times New Roman"/>
          <w:szCs w:val="24"/>
        </w:rPr>
        <w:t xml:space="preserve">of the UN regional groups: Africa, Asia-Pacific, Eastern Europe, Latin America and Caribbean, and Western Europe and Others. </w:t>
      </w:r>
    </w:p>
    <w:p w14:paraId="18ECA86F" w14:textId="77777777" w:rsidR="00D063BA" w:rsidRPr="00925262" w:rsidRDefault="00D063BA" w:rsidP="00D063BA">
      <w:pPr>
        <w:widowControl w:val="0"/>
        <w:contextualSpacing/>
        <w:rPr>
          <w:rFonts w:eastAsia="Calibri" w:cs="Times New Roman"/>
          <w:szCs w:val="24"/>
        </w:rPr>
      </w:pPr>
    </w:p>
    <w:p w14:paraId="4A067600" w14:textId="64269BC3" w:rsidR="00D063BA" w:rsidRPr="00BE220F" w:rsidRDefault="00D063BA" w:rsidP="00BE220F">
      <w:pPr>
        <w:pStyle w:val="Heading2"/>
      </w:pPr>
      <w:bookmarkStart w:id="41" w:name="_Toc364753212"/>
      <w:bookmarkStart w:id="42" w:name="_Toc497598021"/>
      <w:bookmarkStart w:id="43" w:name="_Toc502996213"/>
      <w:r w:rsidRPr="00C1425E">
        <w:t xml:space="preserve">Core </w:t>
      </w:r>
      <w:r w:rsidR="005A555A" w:rsidRPr="00C1425E">
        <w:t>Elements</w:t>
      </w:r>
      <w:r w:rsidRPr="00C1425E">
        <w:t xml:space="preserve"> of the Convention</w:t>
      </w:r>
      <w:bookmarkEnd w:id="41"/>
      <w:bookmarkEnd w:id="42"/>
      <w:bookmarkEnd w:id="43"/>
    </w:p>
    <w:p w14:paraId="36E07FDD" w14:textId="261B69B3" w:rsidR="00874BBF" w:rsidRDefault="00E91998" w:rsidP="002017BD">
      <w:pPr>
        <w:widowControl w:val="0"/>
        <w:contextualSpacing/>
        <w:rPr>
          <w:rFonts w:eastAsia="Calibri" w:cs="Times New Roman"/>
          <w:szCs w:val="24"/>
        </w:rPr>
      </w:pPr>
      <w:r>
        <w:rPr>
          <w:rFonts w:eastAsia="Calibri" w:cs="Times New Roman"/>
          <w:szCs w:val="24"/>
        </w:rPr>
        <w:t xml:space="preserve">The preamble </w:t>
      </w:r>
      <w:r w:rsidR="00A86259">
        <w:rPr>
          <w:rFonts w:eastAsia="Calibri" w:cs="Times New Roman"/>
          <w:szCs w:val="24"/>
        </w:rPr>
        <w:t>to</w:t>
      </w:r>
      <w:r>
        <w:rPr>
          <w:rFonts w:eastAsia="Calibri" w:cs="Times New Roman"/>
          <w:szCs w:val="24"/>
        </w:rPr>
        <w:t xml:space="preserve"> the Convention states the functional basis for the immunities of special missions: </w:t>
      </w:r>
      <w:r w:rsidR="00BE220F">
        <w:rPr>
          <w:rFonts w:eastAsia="Calibri" w:cs="Times New Roman"/>
          <w:szCs w:val="24"/>
        </w:rPr>
        <w:t>‘</w:t>
      </w:r>
      <w:r>
        <w:rPr>
          <w:rFonts w:eastAsia="Calibri" w:cs="Times New Roman"/>
          <w:szCs w:val="24"/>
        </w:rPr>
        <w:t xml:space="preserve">the </w:t>
      </w:r>
      <w:r w:rsidRPr="00E91998">
        <w:rPr>
          <w:rFonts w:eastAsia="Calibri" w:cs="Times New Roman"/>
          <w:szCs w:val="24"/>
        </w:rPr>
        <w:t xml:space="preserve">purpose of privileges and immunities relating to special missions is not </w:t>
      </w:r>
      <w:r w:rsidR="00874BBF">
        <w:rPr>
          <w:rFonts w:eastAsia="Calibri" w:cs="Times New Roman"/>
          <w:szCs w:val="24"/>
        </w:rPr>
        <w:t xml:space="preserve">to </w:t>
      </w:r>
      <w:r w:rsidRPr="00E91998">
        <w:rPr>
          <w:rFonts w:eastAsia="Calibri" w:cs="Times New Roman"/>
          <w:szCs w:val="24"/>
        </w:rPr>
        <w:t>benefit individuals but to ensure the efficient performance of the f</w:t>
      </w:r>
      <w:r w:rsidR="00874BBF">
        <w:rPr>
          <w:rFonts w:eastAsia="Calibri" w:cs="Times New Roman"/>
          <w:szCs w:val="24"/>
        </w:rPr>
        <w:t xml:space="preserve">unctions of special missions as </w:t>
      </w:r>
      <w:r w:rsidRPr="00E91998">
        <w:rPr>
          <w:rFonts w:eastAsia="Calibri" w:cs="Times New Roman"/>
          <w:szCs w:val="24"/>
        </w:rPr>
        <w:t>missions representing the State</w:t>
      </w:r>
      <w:r w:rsidR="00BE220F">
        <w:rPr>
          <w:rFonts w:eastAsia="Calibri" w:cs="Times New Roman"/>
          <w:szCs w:val="24"/>
        </w:rPr>
        <w:t>’</w:t>
      </w:r>
      <w:r w:rsidR="002017BD">
        <w:rPr>
          <w:rFonts w:eastAsia="Calibri" w:cs="Times New Roman"/>
          <w:szCs w:val="24"/>
        </w:rPr>
        <w:t xml:space="preserve">. It also </w:t>
      </w:r>
      <w:r w:rsidR="00874BBF">
        <w:rPr>
          <w:rFonts w:eastAsia="Calibri" w:cs="Times New Roman"/>
          <w:szCs w:val="24"/>
        </w:rPr>
        <w:t xml:space="preserve">affirms </w:t>
      </w:r>
      <w:r w:rsidR="00BE220F">
        <w:rPr>
          <w:rFonts w:eastAsia="Calibri" w:cs="Times New Roman"/>
          <w:szCs w:val="24"/>
        </w:rPr>
        <w:t>‘</w:t>
      </w:r>
      <w:r w:rsidR="00874BBF" w:rsidRPr="00874BBF">
        <w:rPr>
          <w:rFonts w:eastAsia="Calibri" w:cs="Times New Roman"/>
          <w:szCs w:val="24"/>
        </w:rPr>
        <w:t>that the rules of customary international law continue to</w:t>
      </w:r>
      <w:r w:rsidR="00874BBF">
        <w:rPr>
          <w:rFonts w:eastAsia="Calibri" w:cs="Times New Roman"/>
          <w:szCs w:val="24"/>
        </w:rPr>
        <w:t xml:space="preserve"> govern questions not regulated </w:t>
      </w:r>
      <w:r w:rsidR="00874BBF" w:rsidRPr="00874BBF">
        <w:rPr>
          <w:rFonts w:eastAsia="Calibri" w:cs="Times New Roman"/>
          <w:szCs w:val="24"/>
        </w:rPr>
        <w:t>by the provisions of the present Convention</w:t>
      </w:r>
      <w:r w:rsidR="00BE220F">
        <w:rPr>
          <w:rFonts w:eastAsia="Calibri" w:cs="Times New Roman"/>
          <w:szCs w:val="24"/>
        </w:rPr>
        <w:t>’</w:t>
      </w:r>
      <w:r w:rsidR="00874BBF">
        <w:rPr>
          <w:rFonts w:eastAsia="Calibri" w:cs="Times New Roman"/>
          <w:szCs w:val="24"/>
        </w:rPr>
        <w:t xml:space="preserve">. </w:t>
      </w:r>
    </w:p>
    <w:p w14:paraId="75544CF8" w14:textId="77777777" w:rsidR="00BE220F" w:rsidRDefault="00BE220F" w:rsidP="00874BBF">
      <w:pPr>
        <w:widowControl w:val="0"/>
        <w:contextualSpacing/>
        <w:rPr>
          <w:rFonts w:eastAsia="Calibri" w:cs="Times New Roman"/>
          <w:szCs w:val="24"/>
        </w:rPr>
      </w:pPr>
    </w:p>
    <w:p w14:paraId="3ACF4152" w14:textId="35C0E341" w:rsidR="00874BBF" w:rsidRDefault="00F81C9F" w:rsidP="00874BBF">
      <w:pPr>
        <w:widowControl w:val="0"/>
        <w:contextualSpacing/>
        <w:rPr>
          <w:rFonts w:eastAsia="Calibri" w:cs="Times New Roman"/>
          <w:szCs w:val="24"/>
        </w:rPr>
      </w:pPr>
      <w:r w:rsidRPr="00925262">
        <w:rPr>
          <w:rFonts w:eastAsia="Calibri" w:cs="Times New Roman"/>
          <w:szCs w:val="24"/>
        </w:rPr>
        <w:t xml:space="preserve">For the purposes of the Convention, a special mission is defined as a </w:t>
      </w:r>
      <w:r w:rsidR="00BE220F">
        <w:rPr>
          <w:rFonts w:eastAsia="Calibri" w:cs="Times New Roman"/>
          <w:szCs w:val="24"/>
        </w:rPr>
        <w:t>‘</w:t>
      </w:r>
      <w:r w:rsidRPr="00925262">
        <w:rPr>
          <w:rFonts w:eastAsia="Calibri" w:cs="Times New Roman"/>
          <w:szCs w:val="24"/>
        </w:rPr>
        <w:t>temporary mission, representing the State, which is sent by one State to another with the consent of the latter for the purpose of dealing with it on specific questions or of performing in relation to it a specific task</w:t>
      </w:r>
      <w:r w:rsidR="00BE220F">
        <w:rPr>
          <w:rFonts w:eastAsia="Calibri" w:cs="Times New Roman"/>
          <w:szCs w:val="24"/>
        </w:rPr>
        <w:t>’</w:t>
      </w:r>
      <w:r w:rsidRPr="00925262">
        <w:rPr>
          <w:rFonts w:eastAsia="Calibri" w:cs="Times New Roman"/>
          <w:szCs w:val="24"/>
        </w:rPr>
        <w:t xml:space="preserve"> (Article 1(a)).</w:t>
      </w:r>
      <w:r w:rsidRPr="00925262">
        <w:rPr>
          <w:rFonts w:eastAsia="Calibri" w:cs="Times New Roman"/>
          <w:szCs w:val="24"/>
          <w:vertAlign w:val="superscript"/>
        </w:rPr>
        <w:footnoteReference w:id="39"/>
      </w:r>
      <w:r w:rsidR="005E2C6F">
        <w:rPr>
          <w:rFonts w:eastAsia="Calibri" w:cs="Times New Roman"/>
          <w:szCs w:val="24"/>
        </w:rPr>
        <w:t xml:space="preserve"> </w:t>
      </w:r>
      <w:r w:rsidRPr="00925262">
        <w:rPr>
          <w:rFonts w:eastAsia="Calibri" w:cs="Times New Roman"/>
          <w:szCs w:val="24"/>
        </w:rPr>
        <w:t xml:space="preserve">The </w:t>
      </w:r>
      <w:r w:rsidR="00874BBF">
        <w:rPr>
          <w:rFonts w:eastAsia="Calibri" w:cs="Times New Roman"/>
          <w:szCs w:val="24"/>
        </w:rPr>
        <w:t>sending</w:t>
      </w:r>
      <w:r w:rsidRPr="00925262">
        <w:rPr>
          <w:rFonts w:eastAsia="Calibri" w:cs="Times New Roman"/>
          <w:szCs w:val="24"/>
        </w:rPr>
        <w:t xml:space="preserve"> </w:t>
      </w:r>
      <w:r w:rsidR="00ED0CBE" w:rsidRPr="00925262">
        <w:rPr>
          <w:rFonts w:eastAsia="Calibri" w:cs="Times New Roman"/>
          <w:szCs w:val="24"/>
        </w:rPr>
        <w:t>S</w:t>
      </w:r>
      <w:r w:rsidRPr="00925262">
        <w:rPr>
          <w:rFonts w:eastAsia="Calibri" w:cs="Times New Roman"/>
          <w:szCs w:val="24"/>
        </w:rPr>
        <w:t xml:space="preserve">tate must </w:t>
      </w:r>
      <w:r w:rsidR="00874BBF">
        <w:rPr>
          <w:rFonts w:eastAsia="Calibri" w:cs="Times New Roman"/>
          <w:szCs w:val="24"/>
        </w:rPr>
        <w:t xml:space="preserve">have previously obtained the consent of the receiving State </w:t>
      </w:r>
      <w:r w:rsidRPr="00925262">
        <w:rPr>
          <w:rFonts w:eastAsia="Calibri" w:cs="Times New Roman"/>
          <w:szCs w:val="24"/>
        </w:rPr>
        <w:t>to the mission itself (Article 2)</w:t>
      </w:r>
      <w:r w:rsidR="00874BBF">
        <w:rPr>
          <w:rFonts w:eastAsia="Calibri" w:cs="Times New Roman"/>
          <w:szCs w:val="24"/>
        </w:rPr>
        <w:t xml:space="preserve">. </w:t>
      </w:r>
      <w:r w:rsidR="00A86259">
        <w:rPr>
          <w:rFonts w:eastAsia="Calibri" w:cs="Times New Roman"/>
          <w:szCs w:val="24"/>
        </w:rPr>
        <w:t>T</w:t>
      </w:r>
      <w:r w:rsidR="00874BBF">
        <w:rPr>
          <w:rFonts w:eastAsia="Calibri" w:cs="Times New Roman"/>
          <w:szCs w:val="24"/>
        </w:rPr>
        <w:t>he functions of the mission are to be agreed by mutual consent</w:t>
      </w:r>
      <w:r w:rsidRPr="00925262">
        <w:rPr>
          <w:rFonts w:eastAsia="Calibri" w:cs="Times New Roman"/>
          <w:szCs w:val="24"/>
        </w:rPr>
        <w:t xml:space="preserve"> (Article 3)</w:t>
      </w:r>
      <w:r w:rsidR="00874BBF">
        <w:rPr>
          <w:rFonts w:eastAsia="Calibri" w:cs="Times New Roman"/>
          <w:szCs w:val="24"/>
        </w:rPr>
        <w:t>. T</w:t>
      </w:r>
      <w:r w:rsidRPr="00925262">
        <w:rPr>
          <w:rFonts w:eastAsia="Calibri" w:cs="Times New Roman"/>
          <w:szCs w:val="24"/>
        </w:rPr>
        <w:t xml:space="preserve">he </w:t>
      </w:r>
      <w:r w:rsidR="00874BBF">
        <w:rPr>
          <w:rFonts w:eastAsia="Calibri" w:cs="Times New Roman"/>
          <w:szCs w:val="24"/>
        </w:rPr>
        <w:t>receiving</w:t>
      </w:r>
      <w:r w:rsidRPr="00925262">
        <w:rPr>
          <w:rFonts w:eastAsia="Calibri" w:cs="Times New Roman"/>
          <w:szCs w:val="24"/>
        </w:rPr>
        <w:t xml:space="preserve"> </w:t>
      </w:r>
      <w:r w:rsidR="008F7045">
        <w:rPr>
          <w:rFonts w:eastAsia="Calibri" w:cs="Times New Roman"/>
          <w:szCs w:val="24"/>
        </w:rPr>
        <w:t>State</w:t>
      </w:r>
      <w:r w:rsidRPr="00925262">
        <w:rPr>
          <w:rFonts w:eastAsia="Calibri" w:cs="Times New Roman"/>
          <w:szCs w:val="24"/>
        </w:rPr>
        <w:t xml:space="preserve"> must </w:t>
      </w:r>
      <w:r w:rsidR="00874BBF">
        <w:rPr>
          <w:rFonts w:eastAsia="Calibri" w:cs="Times New Roman"/>
          <w:szCs w:val="24"/>
        </w:rPr>
        <w:t xml:space="preserve">be notified of the composition </w:t>
      </w:r>
      <w:r w:rsidRPr="00925262">
        <w:rPr>
          <w:rFonts w:eastAsia="Calibri" w:cs="Times New Roman"/>
          <w:szCs w:val="24"/>
        </w:rPr>
        <w:t xml:space="preserve">of the special mission </w:t>
      </w:r>
      <w:r w:rsidR="00874BBF">
        <w:rPr>
          <w:rFonts w:eastAsia="Calibri" w:cs="Times New Roman"/>
          <w:szCs w:val="24"/>
        </w:rPr>
        <w:t xml:space="preserve">and any subsequent changes thereto </w:t>
      </w:r>
      <w:r w:rsidRPr="00925262">
        <w:rPr>
          <w:rFonts w:eastAsia="Calibri" w:cs="Times New Roman"/>
          <w:szCs w:val="24"/>
        </w:rPr>
        <w:t xml:space="preserve">(Article 11). </w:t>
      </w:r>
      <w:r w:rsidR="006C7280" w:rsidRPr="00925262">
        <w:rPr>
          <w:rFonts w:eastAsia="Calibri" w:cs="Times New Roman"/>
          <w:szCs w:val="24"/>
        </w:rPr>
        <w:t>C</w:t>
      </w:r>
      <w:r w:rsidRPr="00925262">
        <w:rPr>
          <w:rFonts w:eastAsia="Calibri" w:cs="Times New Roman"/>
          <w:szCs w:val="24"/>
        </w:rPr>
        <w:t>onsent can be given through diplomatic or other agreed or mutually a</w:t>
      </w:r>
      <w:r w:rsidR="004C37F9">
        <w:rPr>
          <w:rFonts w:eastAsia="Calibri" w:cs="Times New Roman"/>
          <w:szCs w:val="24"/>
        </w:rPr>
        <w:t xml:space="preserve">cceptable channel (Article 2). </w:t>
      </w:r>
    </w:p>
    <w:p w14:paraId="33459C40" w14:textId="77777777" w:rsidR="00BE220F" w:rsidRDefault="00BE220F" w:rsidP="00874BBF">
      <w:pPr>
        <w:widowControl w:val="0"/>
        <w:contextualSpacing/>
        <w:rPr>
          <w:rFonts w:eastAsia="Calibri" w:cs="Times New Roman"/>
          <w:szCs w:val="24"/>
        </w:rPr>
      </w:pPr>
    </w:p>
    <w:p w14:paraId="3CE4FB4E" w14:textId="40503C86" w:rsidR="003102D7" w:rsidRDefault="004C37F9" w:rsidP="00BE220F">
      <w:pPr>
        <w:widowControl w:val="0"/>
        <w:contextualSpacing/>
        <w:rPr>
          <w:rFonts w:eastAsia="Calibri" w:cs="Times New Roman"/>
          <w:szCs w:val="24"/>
        </w:rPr>
      </w:pPr>
      <w:r>
        <w:rPr>
          <w:rFonts w:eastAsia="Calibri" w:cs="Times New Roman"/>
          <w:szCs w:val="24"/>
        </w:rPr>
        <w:t xml:space="preserve">With </w:t>
      </w:r>
      <w:r w:rsidR="00A86259">
        <w:rPr>
          <w:rFonts w:eastAsia="Calibri" w:cs="Times New Roman"/>
          <w:szCs w:val="24"/>
        </w:rPr>
        <w:t>minor</w:t>
      </w:r>
      <w:r>
        <w:rPr>
          <w:rFonts w:eastAsia="Calibri" w:cs="Times New Roman"/>
          <w:szCs w:val="24"/>
        </w:rPr>
        <w:t xml:space="preserve"> exceptions, the </w:t>
      </w:r>
      <w:r w:rsidR="00823DA6">
        <w:rPr>
          <w:rFonts w:eastAsia="Calibri" w:cs="Times New Roman"/>
          <w:szCs w:val="24"/>
        </w:rPr>
        <w:t xml:space="preserve">Convention provides </w:t>
      </w:r>
      <w:r w:rsidR="00A86259">
        <w:rPr>
          <w:rFonts w:eastAsia="Calibri" w:cs="Times New Roman"/>
          <w:szCs w:val="24"/>
        </w:rPr>
        <w:t xml:space="preserve">that </w:t>
      </w:r>
      <w:r w:rsidR="00823DA6" w:rsidRPr="00823DA6">
        <w:rPr>
          <w:rFonts w:eastAsia="Calibri" w:cs="Times New Roman"/>
          <w:szCs w:val="24"/>
        </w:rPr>
        <w:t>members of special mission</w:t>
      </w:r>
      <w:r w:rsidR="005D7E24">
        <w:rPr>
          <w:rFonts w:eastAsia="Calibri" w:cs="Times New Roman"/>
          <w:szCs w:val="24"/>
        </w:rPr>
        <w:t>s</w:t>
      </w:r>
      <w:r w:rsidR="00823DA6" w:rsidRPr="00823DA6">
        <w:rPr>
          <w:rFonts w:eastAsia="Calibri" w:cs="Times New Roman"/>
          <w:szCs w:val="24"/>
        </w:rPr>
        <w:t xml:space="preserve"> </w:t>
      </w:r>
      <w:r w:rsidR="00A86259">
        <w:rPr>
          <w:rFonts w:eastAsia="Calibri" w:cs="Times New Roman"/>
          <w:szCs w:val="24"/>
        </w:rPr>
        <w:t>shall have</w:t>
      </w:r>
      <w:r w:rsidR="00823DA6" w:rsidRPr="00823DA6">
        <w:rPr>
          <w:rFonts w:eastAsia="Calibri" w:cs="Times New Roman"/>
          <w:szCs w:val="24"/>
        </w:rPr>
        <w:t xml:space="preserve"> the same privileges and immunities </w:t>
      </w:r>
      <w:r w:rsidR="0020369D">
        <w:rPr>
          <w:rFonts w:eastAsia="Calibri" w:cs="Times New Roman"/>
          <w:szCs w:val="24"/>
        </w:rPr>
        <w:t>as</w:t>
      </w:r>
      <w:r w:rsidR="00823DA6" w:rsidRPr="00823DA6">
        <w:rPr>
          <w:rFonts w:eastAsia="Calibri" w:cs="Times New Roman"/>
          <w:szCs w:val="24"/>
        </w:rPr>
        <w:t xml:space="preserve"> the staff of </w:t>
      </w:r>
      <w:r w:rsidR="0020369D">
        <w:rPr>
          <w:rFonts w:eastAsia="Calibri" w:cs="Times New Roman"/>
          <w:szCs w:val="24"/>
        </w:rPr>
        <w:t xml:space="preserve">permanent diplomatic </w:t>
      </w:r>
      <w:r w:rsidR="00B20D32">
        <w:rPr>
          <w:rFonts w:eastAsia="Calibri" w:cs="Times New Roman"/>
          <w:szCs w:val="24"/>
        </w:rPr>
        <w:t>missions</w:t>
      </w:r>
      <w:r w:rsidR="00823DA6" w:rsidRPr="00823DA6">
        <w:rPr>
          <w:rFonts w:eastAsia="Calibri" w:cs="Times New Roman"/>
          <w:szCs w:val="24"/>
        </w:rPr>
        <w:t xml:space="preserve"> </w:t>
      </w:r>
      <w:r w:rsidR="005D7E24">
        <w:rPr>
          <w:rFonts w:eastAsia="Calibri" w:cs="Times New Roman"/>
          <w:szCs w:val="24"/>
        </w:rPr>
        <w:t>under</w:t>
      </w:r>
      <w:r w:rsidR="00823DA6" w:rsidRPr="00823DA6">
        <w:rPr>
          <w:rFonts w:eastAsia="Calibri" w:cs="Times New Roman"/>
          <w:szCs w:val="24"/>
        </w:rPr>
        <w:t xml:space="preserve"> the Vienna Convention on Diplomatic Relations </w:t>
      </w:r>
      <w:r w:rsidR="00874BBF">
        <w:rPr>
          <w:rFonts w:eastAsia="Calibri" w:cs="Times New Roman"/>
          <w:szCs w:val="24"/>
        </w:rPr>
        <w:t xml:space="preserve">of </w:t>
      </w:r>
      <w:r w:rsidR="00823DA6" w:rsidRPr="00823DA6">
        <w:rPr>
          <w:rFonts w:eastAsia="Calibri" w:cs="Times New Roman"/>
          <w:szCs w:val="24"/>
        </w:rPr>
        <w:t>1961</w:t>
      </w:r>
      <w:r w:rsidR="00823DA6">
        <w:rPr>
          <w:rFonts w:eastAsia="Calibri" w:cs="Times New Roman"/>
          <w:szCs w:val="24"/>
        </w:rPr>
        <w:t>.</w:t>
      </w:r>
      <w:r w:rsidR="006A2E69">
        <w:rPr>
          <w:rStyle w:val="FootnoteReference"/>
          <w:rFonts w:eastAsia="Calibri" w:cs="Times New Roman"/>
          <w:szCs w:val="24"/>
        </w:rPr>
        <w:footnoteReference w:id="40"/>
      </w:r>
      <w:r w:rsidR="00823DA6">
        <w:rPr>
          <w:rFonts w:eastAsia="Calibri" w:cs="Times New Roman"/>
          <w:szCs w:val="24"/>
        </w:rPr>
        <w:t xml:space="preserve"> </w:t>
      </w:r>
      <w:r w:rsidR="00A86259">
        <w:rPr>
          <w:rFonts w:eastAsia="Calibri" w:cs="Times New Roman"/>
          <w:szCs w:val="24"/>
        </w:rPr>
        <w:t>In particular</w:t>
      </w:r>
      <w:r w:rsidR="00823DA6">
        <w:rPr>
          <w:rFonts w:eastAsia="Calibri" w:cs="Times New Roman"/>
          <w:szCs w:val="24"/>
        </w:rPr>
        <w:t>, r</w:t>
      </w:r>
      <w:r w:rsidR="00F81C9F" w:rsidRPr="00925262">
        <w:rPr>
          <w:rFonts w:eastAsia="Calibri" w:cs="Times New Roman"/>
          <w:szCs w:val="24"/>
        </w:rPr>
        <w:t xml:space="preserve">epresentatives of the </w:t>
      </w:r>
      <w:r w:rsidR="008F7045">
        <w:rPr>
          <w:rFonts w:eastAsia="Calibri" w:cs="Times New Roman"/>
          <w:szCs w:val="24"/>
        </w:rPr>
        <w:t>State</w:t>
      </w:r>
      <w:r w:rsidR="00F81C9F" w:rsidRPr="00925262">
        <w:rPr>
          <w:rFonts w:eastAsia="Calibri" w:cs="Times New Roman"/>
          <w:szCs w:val="24"/>
        </w:rPr>
        <w:t xml:space="preserve"> in the special mission and members of its </w:t>
      </w:r>
      <w:r w:rsidR="00CA6EA9">
        <w:rPr>
          <w:rFonts w:eastAsia="Calibri" w:cs="Times New Roman"/>
          <w:szCs w:val="24"/>
        </w:rPr>
        <w:t xml:space="preserve">diplomatic staff </w:t>
      </w:r>
      <w:r w:rsidR="00CA6EA9">
        <w:rPr>
          <w:rFonts w:eastAsia="Calibri" w:cs="Times New Roman"/>
          <w:szCs w:val="24"/>
        </w:rPr>
        <w:lastRenderedPageBreak/>
        <w:t xml:space="preserve">are inviolable, </w:t>
      </w:r>
      <w:r w:rsidR="00874BBF">
        <w:rPr>
          <w:rFonts w:eastAsia="Calibri" w:cs="Times New Roman"/>
          <w:szCs w:val="24"/>
        </w:rPr>
        <w:t xml:space="preserve">and </w:t>
      </w:r>
      <w:r w:rsidR="00CA6EA9">
        <w:rPr>
          <w:rFonts w:eastAsia="Calibri" w:cs="Times New Roman"/>
          <w:szCs w:val="24"/>
        </w:rPr>
        <w:t>cannot be arrested or detained</w:t>
      </w:r>
      <w:r w:rsidR="00BC0912">
        <w:rPr>
          <w:rFonts w:eastAsia="Calibri" w:cs="Times New Roman"/>
          <w:szCs w:val="24"/>
        </w:rPr>
        <w:t xml:space="preserve"> (Article 29)</w:t>
      </w:r>
      <w:r w:rsidR="00CA6EA9">
        <w:rPr>
          <w:rFonts w:eastAsia="Calibri" w:cs="Times New Roman"/>
          <w:szCs w:val="24"/>
        </w:rPr>
        <w:t xml:space="preserve">; the receiving </w:t>
      </w:r>
      <w:r w:rsidR="008F7045">
        <w:rPr>
          <w:rFonts w:eastAsia="Calibri" w:cs="Times New Roman"/>
          <w:szCs w:val="24"/>
        </w:rPr>
        <w:t>State</w:t>
      </w:r>
      <w:r w:rsidR="00CA6EA9">
        <w:rPr>
          <w:rFonts w:eastAsia="Calibri" w:cs="Times New Roman"/>
          <w:szCs w:val="24"/>
        </w:rPr>
        <w:t xml:space="preserve"> must take reasonable steps to ensure that they are</w:t>
      </w:r>
      <w:r w:rsidR="00F81C9F" w:rsidRPr="00925262">
        <w:rPr>
          <w:rFonts w:eastAsia="Calibri" w:cs="Times New Roman"/>
          <w:szCs w:val="24"/>
        </w:rPr>
        <w:t xml:space="preserve"> protected from attacks on their person, freedom or dignity (Article 29)</w:t>
      </w:r>
      <w:r w:rsidR="002017BD">
        <w:rPr>
          <w:rFonts w:eastAsia="Calibri" w:cs="Times New Roman"/>
          <w:szCs w:val="24"/>
        </w:rPr>
        <w:t>;</w:t>
      </w:r>
      <w:r w:rsidR="00F81C9F" w:rsidRPr="00925262">
        <w:rPr>
          <w:rFonts w:eastAsia="Calibri" w:cs="Times New Roman"/>
          <w:szCs w:val="24"/>
        </w:rPr>
        <w:t xml:space="preserve"> and </w:t>
      </w:r>
      <w:r w:rsidR="00AB5B69">
        <w:rPr>
          <w:rFonts w:eastAsia="Calibri" w:cs="Times New Roman"/>
          <w:szCs w:val="24"/>
        </w:rPr>
        <w:t xml:space="preserve">they </w:t>
      </w:r>
      <w:r w:rsidR="00F81C9F" w:rsidRPr="00925262">
        <w:rPr>
          <w:rFonts w:eastAsia="Calibri" w:cs="Times New Roman"/>
          <w:szCs w:val="24"/>
        </w:rPr>
        <w:t xml:space="preserve">enjoy </w:t>
      </w:r>
      <w:r w:rsidR="0064503E">
        <w:rPr>
          <w:rFonts w:eastAsia="Calibri" w:cs="Times New Roman"/>
          <w:szCs w:val="24"/>
        </w:rPr>
        <w:t xml:space="preserve">complete </w:t>
      </w:r>
      <w:r w:rsidR="00F81C9F" w:rsidRPr="00925262">
        <w:rPr>
          <w:rFonts w:eastAsia="Calibri" w:cs="Times New Roman"/>
          <w:szCs w:val="24"/>
        </w:rPr>
        <w:t xml:space="preserve">immunity from </w:t>
      </w:r>
      <w:r w:rsidR="0064503E">
        <w:rPr>
          <w:rFonts w:eastAsia="Calibri" w:cs="Times New Roman"/>
          <w:szCs w:val="24"/>
        </w:rPr>
        <w:t xml:space="preserve">the criminal jurisdiction of the receiving State (Article 31(1)). They also enjoy immunity from </w:t>
      </w:r>
      <w:r w:rsidR="00F81C9F" w:rsidRPr="00925262">
        <w:rPr>
          <w:rFonts w:eastAsia="Calibri" w:cs="Times New Roman"/>
          <w:szCs w:val="24"/>
        </w:rPr>
        <w:t xml:space="preserve">the </w:t>
      </w:r>
      <w:r w:rsidR="00CC7FB2">
        <w:rPr>
          <w:rFonts w:eastAsia="Calibri" w:cs="Times New Roman"/>
          <w:szCs w:val="24"/>
        </w:rPr>
        <w:t>administrative</w:t>
      </w:r>
      <w:r w:rsidR="0064503E">
        <w:rPr>
          <w:rFonts w:eastAsia="Calibri" w:cs="Times New Roman"/>
          <w:szCs w:val="24"/>
        </w:rPr>
        <w:t xml:space="preserve"> and</w:t>
      </w:r>
      <w:r w:rsidR="00CC7FB2">
        <w:rPr>
          <w:rFonts w:eastAsia="Calibri" w:cs="Times New Roman"/>
          <w:szCs w:val="24"/>
        </w:rPr>
        <w:t xml:space="preserve"> </w:t>
      </w:r>
      <w:r w:rsidR="004924AB">
        <w:rPr>
          <w:rFonts w:eastAsia="Calibri" w:cs="Times New Roman"/>
          <w:szCs w:val="24"/>
        </w:rPr>
        <w:t xml:space="preserve">civil </w:t>
      </w:r>
      <w:r w:rsidR="00F81C9F" w:rsidRPr="00925262">
        <w:rPr>
          <w:rFonts w:eastAsia="Calibri" w:cs="Times New Roman"/>
          <w:szCs w:val="24"/>
        </w:rPr>
        <w:t xml:space="preserve">jurisdiction of the receiving </w:t>
      </w:r>
      <w:r w:rsidR="008F7045">
        <w:rPr>
          <w:rFonts w:eastAsia="Calibri" w:cs="Times New Roman"/>
          <w:szCs w:val="24"/>
        </w:rPr>
        <w:t>State</w:t>
      </w:r>
      <w:r w:rsidR="0064503E">
        <w:rPr>
          <w:rFonts w:eastAsia="Calibri" w:cs="Times New Roman"/>
          <w:szCs w:val="24"/>
        </w:rPr>
        <w:t xml:space="preserve">, </w:t>
      </w:r>
      <w:r w:rsidR="00E37D3C">
        <w:rPr>
          <w:rFonts w:eastAsia="Calibri" w:cs="Times New Roman"/>
          <w:szCs w:val="24"/>
        </w:rPr>
        <w:t>but with the same exceptions that apply to members of a diplomatic mission</w:t>
      </w:r>
      <w:r w:rsidR="00EE791A">
        <w:rPr>
          <w:rFonts w:eastAsia="Calibri" w:cs="Times New Roman"/>
          <w:szCs w:val="24"/>
        </w:rPr>
        <w:t>,</w:t>
      </w:r>
      <w:bookmarkStart w:id="44" w:name="_Ref497593576"/>
      <w:r w:rsidR="00E37D3C">
        <w:rPr>
          <w:rStyle w:val="FootnoteReference"/>
          <w:rFonts w:eastAsia="Calibri" w:cs="Times New Roman"/>
          <w:szCs w:val="24"/>
        </w:rPr>
        <w:footnoteReference w:id="41"/>
      </w:r>
      <w:bookmarkEnd w:id="44"/>
      <w:r w:rsidR="00E37D3C">
        <w:rPr>
          <w:rFonts w:eastAsia="Calibri" w:cs="Times New Roman"/>
          <w:szCs w:val="24"/>
        </w:rPr>
        <w:t xml:space="preserve"> </w:t>
      </w:r>
      <w:r w:rsidR="00EE791A">
        <w:rPr>
          <w:rFonts w:eastAsia="Calibri" w:cs="Times New Roman"/>
          <w:szCs w:val="24"/>
        </w:rPr>
        <w:t xml:space="preserve">together with </w:t>
      </w:r>
      <w:r w:rsidR="00E37D3C">
        <w:rPr>
          <w:rFonts w:eastAsia="Calibri" w:cs="Times New Roman"/>
          <w:szCs w:val="24"/>
        </w:rPr>
        <w:t xml:space="preserve">an additional exception </w:t>
      </w:r>
      <w:r w:rsidR="0014242A">
        <w:rPr>
          <w:rFonts w:eastAsia="Calibri" w:cs="Times New Roman"/>
          <w:szCs w:val="24"/>
        </w:rPr>
        <w:t>for</w:t>
      </w:r>
      <w:r w:rsidR="00E37D3C">
        <w:rPr>
          <w:rFonts w:eastAsia="Calibri" w:cs="Times New Roman"/>
          <w:szCs w:val="24"/>
        </w:rPr>
        <w:t xml:space="preserve"> actions </w:t>
      </w:r>
      <w:r w:rsidR="00EE791A">
        <w:rPr>
          <w:rFonts w:eastAsia="Calibri" w:cs="Times New Roman"/>
          <w:szCs w:val="24"/>
        </w:rPr>
        <w:t xml:space="preserve">relating to </w:t>
      </w:r>
      <w:r w:rsidR="00E37D3C">
        <w:rPr>
          <w:rFonts w:eastAsia="Calibri" w:cs="Times New Roman"/>
          <w:szCs w:val="24"/>
        </w:rPr>
        <w:t>‘damages arising out of an accident caused by a vehicle used outside the official functions of the person concerned’ (Article 31(2)(d)).</w:t>
      </w:r>
      <w:r w:rsidR="00E37D3C">
        <w:rPr>
          <w:rStyle w:val="FootnoteReference"/>
          <w:rFonts w:eastAsia="Calibri" w:cs="Times New Roman"/>
          <w:szCs w:val="24"/>
        </w:rPr>
        <w:footnoteReference w:id="42"/>
      </w:r>
      <w:r w:rsidR="0064503E">
        <w:rPr>
          <w:rFonts w:eastAsia="Calibri" w:cs="Times New Roman"/>
          <w:szCs w:val="24"/>
        </w:rPr>
        <w:t xml:space="preserve"> </w:t>
      </w:r>
      <w:r w:rsidR="00CE7102">
        <w:rPr>
          <w:rFonts w:eastAsia="Calibri" w:cs="Times New Roman"/>
          <w:szCs w:val="24"/>
        </w:rPr>
        <w:t xml:space="preserve">Administrative and technical staff of the mission </w:t>
      </w:r>
      <w:r w:rsidR="00E8584A">
        <w:rPr>
          <w:rFonts w:eastAsia="Calibri" w:cs="Times New Roman"/>
          <w:szCs w:val="24"/>
        </w:rPr>
        <w:t>are entitled to the same inviolability and immunities, except that immunity from civil and administrative jurisdiction ‘shall not extend to acts performed outside the course of their duties’ (Article 36</w:t>
      </w:r>
      <w:r w:rsidR="002D4BCF">
        <w:rPr>
          <w:rFonts w:eastAsia="Calibri" w:cs="Times New Roman"/>
          <w:szCs w:val="24"/>
        </w:rPr>
        <w:t>). Both service staff and private staff of a mission are exempt from dues and taxes on the emoluments they receive by reason for their employment (Articles 37 and 38).</w:t>
      </w:r>
      <w:r w:rsidR="005E2C6F">
        <w:rPr>
          <w:rFonts w:eastAsia="Calibri" w:cs="Times New Roman"/>
          <w:szCs w:val="24"/>
        </w:rPr>
        <w:t xml:space="preserve"> </w:t>
      </w:r>
      <w:r w:rsidR="002D4BCF">
        <w:rPr>
          <w:rFonts w:eastAsia="Calibri" w:cs="Times New Roman"/>
          <w:szCs w:val="24"/>
        </w:rPr>
        <w:t>However, service staff enjoy immunity from the jurisdiction of the receiving State in respect of acts performed in the course of their duties (Article 37), while private staff enjoy privileges and immunities ‘only to the extent permitted by the receiving State’, with the caveat that ‘the receiving State must exercise its jurisdiction over [private staff] in such a manner as not to interfere unduly with the performance of the functions of the special mission’ (Article 38).</w:t>
      </w:r>
      <w:r w:rsidR="005E2C6F">
        <w:rPr>
          <w:rFonts w:eastAsia="Calibri" w:cs="Times New Roman"/>
          <w:szCs w:val="24"/>
        </w:rPr>
        <w:t xml:space="preserve"> </w:t>
      </w:r>
      <w:r w:rsidR="008232D5">
        <w:rPr>
          <w:rFonts w:eastAsia="Calibri" w:cs="Times New Roman"/>
          <w:szCs w:val="24"/>
        </w:rPr>
        <w:t xml:space="preserve">Members of the families enjoy the same privileges and immunities </w:t>
      </w:r>
      <w:r w:rsidR="004D5AC7">
        <w:rPr>
          <w:rFonts w:eastAsia="Calibri" w:cs="Times New Roman"/>
          <w:szCs w:val="24"/>
        </w:rPr>
        <w:t>as provided to the family member that is part of the special mission,</w:t>
      </w:r>
      <w:r w:rsidR="004D5AC7">
        <w:rPr>
          <w:rStyle w:val="FootnoteReference"/>
          <w:rFonts w:eastAsia="Calibri" w:cs="Times New Roman"/>
          <w:szCs w:val="24"/>
        </w:rPr>
        <w:footnoteReference w:id="43"/>
      </w:r>
      <w:r w:rsidR="004D5AC7">
        <w:rPr>
          <w:rFonts w:eastAsia="Calibri" w:cs="Times New Roman"/>
          <w:szCs w:val="24"/>
        </w:rPr>
        <w:t xml:space="preserve"> provided</w:t>
      </w:r>
      <w:r w:rsidR="008232D5">
        <w:rPr>
          <w:rFonts w:eastAsia="Calibri" w:cs="Times New Roman"/>
          <w:szCs w:val="24"/>
        </w:rPr>
        <w:t xml:space="preserve"> (i) they accompany </w:t>
      </w:r>
      <w:r w:rsidR="00356E66">
        <w:rPr>
          <w:rFonts w:eastAsia="Calibri" w:cs="Times New Roman"/>
          <w:szCs w:val="24"/>
        </w:rPr>
        <w:t xml:space="preserve">such </w:t>
      </w:r>
      <w:r w:rsidR="008232D5">
        <w:rPr>
          <w:rFonts w:eastAsia="Calibri" w:cs="Times New Roman"/>
          <w:szCs w:val="24"/>
        </w:rPr>
        <w:t>members of the special mission and (ii) the</w:t>
      </w:r>
      <w:r w:rsidR="004D5AC7">
        <w:rPr>
          <w:rFonts w:eastAsia="Calibri" w:cs="Times New Roman"/>
          <w:szCs w:val="24"/>
        </w:rPr>
        <w:t>y</w:t>
      </w:r>
      <w:r w:rsidR="008232D5">
        <w:rPr>
          <w:rFonts w:eastAsia="Calibri" w:cs="Times New Roman"/>
          <w:szCs w:val="24"/>
        </w:rPr>
        <w:t xml:space="preserve"> are not nationals </w:t>
      </w:r>
      <w:r w:rsidR="00356E66">
        <w:rPr>
          <w:rFonts w:eastAsia="Calibri" w:cs="Times New Roman"/>
          <w:szCs w:val="24"/>
        </w:rPr>
        <w:t xml:space="preserve">of </w:t>
      </w:r>
      <w:r w:rsidR="008232D5">
        <w:rPr>
          <w:rFonts w:eastAsia="Calibri" w:cs="Times New Roman"/>
          <w:szCs w:val="24"/>
        </w:rPr>
        <w:t>or permanent</w:t>
      </w:r>
      <w:r w:rsidR="00356E66">
        <w:rPr>
          <w:rFonts w:eastAsia="Calibri" w:cs="Times New Roman"/>
          <w:szCs w:val="24"/>
        </w:rPr>
        <w:t>ly</w:t>
      </w:r>
      <w:r w:rsidR="008232D5">
        <w:rPr>
          <w:rFonts w:eastAsia="Calibri" w:cs="Times New Roman"/>
          <w:szCs w:val="24"/>
        </w:rPr>
        <w:t xml:space="preserve"> resident</w:t>
      </w:r>
      <w:r w:rsidR="00356E66">
        <w:rPr>
          <w:rFonts w:eastAsia="Calibri" w:cs="Times New Roman"/>
          <w:szCs w:val="24"/>
        </w:rPr>
        <w:t xml:space="preserve"> in</w:t>
      </w:r>
      <w:r w:rsidR="008232D5">
        <w:rPr>
          <w:rFonts w:eastAsia="Calibri" w:cs="Times New Roman"/>
          <w:szCs w:val="24"/>
        </w:rPr>
        <w:t xml:space="preserve"> the receiving State (</w:t>
      </w:r>
      <w:r w:rsidR="003102D7">
        <w:rPr>
          <w:rFonts w:eastAsia="Calibri" w:cs="Times New Roman"/>
          <w:szCs w:val="24"/>
        </w:rPr>
        <w:t>Article 39).</w:t>
      </w:r>
      <w:r w:rsidR="006F7312">
        <w:rPr>
          <w:rFonts w:eastAsia="Calibri" w:cs="Times New Roman"/>
          <w:szCs w:val="24"/>
        </w:rPr>
        <w:t xml:space="preserve"> </w:t>
      </w:r>
      <w:r w:rsidR="00356E66">
        <w:rPr>
          <w:rFonts w:eastAsia="Calibri" w:cs="Times New Roman"/>
          <w:szCs w:val="24"/>
        </w:rPr>
        <w:t>As with the Vienna Convention on Diplomatic Relations, there is no definition of ‘members of the family’.</w:t>
      </w:r>
      <w:r w:rsidR="0014242A">
        <w:rPr>
          <w:rStyle w:val="FootnoteReference"/>
          <w:rFonts w:eastAsia="Calibri" w:cs="Times New Roman"/>
          <w:szCs w:val="24"/>
        </w:rPr>
        <w:footnoteReference w:id="44"/>
      </w:r>
      <w:r w:rsidR="00356E66">
        <w:rPr>
          <w:rFonts w:eastAsia="Calibri" w:cs="Times New Roman"/>
          <w:szCs w:val="24"/>
        </w:rPr>
        <w:t xml:space="preserve"> </w:t>
      </w:r>
    </w:p>
    <w:p w14:paraId="1BD591F2" w14:textId="77777777" w:rsidR="00BE220F" w:rsidRDefault="00BE220F" w:rsidP="00BE220F">
      <w:pPr>
        <w:widowControl w:val="0"/>
        <w:contextualSpacing/>
        <w:rPr>
          <w:rFonts w:eastAsia="Calibri" w:cs="Times New Roman"/>
          <w:szCs w:val="24"/>
        </w:rPr>
      </w:pPr>
    </w:p>
    <w:p w14:paraId="0C5756BF" w14:textId="7D0EE0C8" w:rsidR="002D4BCF" w:rsidRDefault="006F7312" w:rsidP="00BE220F">
      <w:pPr>
        <w:widowControl w:val="0"/>
        <w:contextualSpacing/>
        <w:rPr>
          <w:rFonts w:eastAsia="Calibri" w:cs="Times New Roman"/>
          <w:szCs w:val="24"/>
        </w:rPr>
      </w:pPr>
      <w:r>
        <w:rPr>
          <w:rFonts w:eastAsia="Calibri" w:cs="Times New Roman"/>
          <w:szCs w:val="24"/>
        </w:rPr>
        <w:t>M</w:t>
      </w:r>
      <w:r w:rsidR="003102D7">
        <w:rPr>
          <w:rFonts w:eastAsia="Calibri" w:cs="Times New Roman"/>
          <w:szCs w:val="24"/>
        </w:rPr>
        <w:t>ember</w:t>
      </w:r>
      <w:r>
        <w:rPr>
          <w:rFonts w:eastAsia="Calibri" w:cs="Times New Roman"/>
          <w:szCs w:val="24"/>
        </w:rPr>
        <w:t>s</w:t>
      </w:r>
      <w:r w:rsidR="003102D7">
        <w:rPr>
          <w:rFonts w:eastAsia="Calibri" w:cs="Times New Roman"/>
          <w:szCs w:val="24"/>
        </w:rPr>
        <w:t xml:space="preserve"> of a special mission entitled to privileges and immunities under the Convention enjoy them from the moment they enter the territory of the receiving State for the purpose of </w:t>
      </w:r>
      <w:r>
        <w:rPr>
          <w:rFonts w:eastAsia="Calibri" w:cs="Times New Roman"/>
          <w:szCs w:val="24"/>
        </w:rPr>
        <w:t>per</w:t>
      </w:r>
      <w:r w:rsidR="003102D7">
        <w:rPr>
          <w:rFonts w:eastAsia="Calibri" w:cs="Times New Roman"/>
          <w:szCs w:val="24"/>
        </w:rPr>
        <w:t>forming their functions in the special mission or, if they are already present, from the moment their appointment to the special mission is notified to the receiving State (Article 43).</w:t>
      </w:r>
      <w:r w:rsidR="005E2C6F">
        <w:rPr>
          <w:rFonts w:eastAsia="Calibri" w:cs="Times New Roman"/>
          <w:szCs w:val="24"/>
        </w:rPr>
        <w:t xml:space="preserve"> </w:t>
      </w:r>
      <w:r w:rsidR="003102D7">
        <w:rPr>
          <w:rFonts w:eastAsia="Calibri" w:cs="Times New Roman"/>
          <w:szCs w:val="24"/>
        </w:rPr>
        <w:t xml:space="preserve">Privileges and immunities </w:t>
      </w:r>
      <w:r>
        <w:rPr>
          <w:rFonts w:eastAsia="Calibri" w:cs="Times New Roman"/>
          <w:szCs w:val="24"/>
        </w:rPr>
        <w:t xml:space="preserve">normally </w:t>
      </w:r>
      <w:r w:rsidR="003102D7">
        <w:rPr>
          <w:rFonts w:eastAsia="Calibri" w:cs="Times New Roman"/>
          <w:szCs w:val="24"/>
        </w:rPr>
        <w:t xml:space="preserve">cease when the </w:t>
      </w:r>
      <w:r w:rsidR="003102D7">
        <w:rPr>
          <w:rFonts w:eastAsia="Calibri" w:cs="Times New Roman"/>
          <w:szCs w:val="24"/>
        </w:rPr>
        <w:lastRenderedPageBreak/>
        <w:t>functions of a member of the special mission come to end ‘at the moment when he leaves the territory of the receiving State, or on the expiry of a reasonable period in which to do so, but shall subsist until that time, even in the case of armed conflict</w:t>
      </w:r>
      <w:r w:rsidR="00BE220F">
        <w:rPr>
          <w:rFonts w:eastAsia="Calibri" w:cs="Times New Roman"/>
          <w:szCs w:val="24"/>
        </w:rPr>
        <w:t>’</w:t>
      </w:r>
      <w:r w:rsidR="004D41A8">
        <w:rPr>
          <w:rFonts w:eastAsia="Calibri" w:cs="Times New Roman"/>
          <w:szCs w:val="24"/>
        </w:rPr>
        <w:t>.</w:t>
      </w:r>
      <w:r w:rsidR="003102D7">
        <w:rPr>
          <w:rFonts w:eastAsia="Calibri" w:cs="Times New Roman"/>
          <w:szCs w:val="24"/>
        </w:rPr>
        <w:t xml:space="preserve"> </w:t>
      </w:r>
      <w:r w:rsidR="004D41A8">
        <w:rPr>
          <w:rFonts w:eastAsia="Calibri" w:cs="Times New Roman"/>
          <w:szCs w:val="24"/>
        </w:rPr>
        <w:t xml:space="preserve">However, in respect of acts performed by a member in the exercise of his or her functions, immunity continues to subsist </w:t>
      </w:r>
      <w:r w:rsidR="003102D7">
        <w:rPr>
          <w:rFonts w:eastAsia="Calibri" w:cs="Times New Roman"/>
          <w:szCs w:val="24"/>
        </w:rPr>
        <w:t>(Article 43).</w:t>
      </w:r>
      <w:r w:rsidR="00EB6052">
        <w:rPr>
          <w:rFonts w:eastAsia="Calibri" w:cs="Times New Roman"/>
          <w:szCs w:val="24"/>
        </w:rPr>
        <w:t xml:space="preserve"> </w:t>
      </w:r>
      <w:r w:rsidR="004D41A8">
        <w:rPr>
          <w:rFonts w:eastAsia="Calibri" w:cs="Times New Roman"/>
          <w:szCs w:val="24"/>
        </w:rPr>
        <w:t xml:space="preserve">The private accommodation of the representative and members of the diplomatic staff of a special mission enjoy </w:t>
      </w:r>
      <w:r w:rsidR="00F62ED8">
        <w:rPr>
          <w:rFonts w:eastAsia="Calibri" w:cs="Times New Roman"/>
          <w:szCs w:val="24"/>
        </w:rPr>
        <w:t xml:space="preserve">the same </w:t>
      </w:r>
      <w:r w:rsidR="004D41A8">
        <w:rPr>
          <w:rFonts w:eastAsia="Calibri" w:cs="Times New Roman"/>
          <w:szCs w:val="24"/>
        </w:rPr>
        <w:t xml:space="preserve">inviolability </w:t>
      </w:r>
      <w:r w:rsidR="00F62ED8">
        <w:rPr>
          <w:rFonts w:eastAsia="Calibri" w:cs="Times New Roman"/>
          <w:szCs w:val="24"/>
        </w:rPr>
        <w:t xml:space="preserve">and protection as the premises of the special mission </w:t>
      </w:r>
      <w:r w:rsidR="004D41A8">
        <w:rPr>
          <w:rFonts w:eastAsia="Calibri" w:cs="Times New Roman"/>
          <w:szCs w:val="24"/>
        </w:rPr>
        <w:t xml:space="preserve">(Article 30), even though they may often be of a very temporary nature, </w:t>
      </w:r>
      <w:r w:rsidR="00F62ED8">
        <w:rPr>
          <w:rFonts w:eastAsia="Calibri" w:cs="Times New Roman"/>
          <w:szCs w:val="24"/>
        </w:rPr>
        <w:t>for example in a hotel</w:t>
      </w:r>
      <w:r w:rsidR="004D41A8">
        <w:rPr>
          <w:rFonts w:eastAsia="Calibri" w:cs="Times New Roman"/>
          <w:szCs w:val="24"/>
        </w:rPr>
        <w:t xml:space="preserve">. </w:t>
      </w:r>
    </w:p>
    <w:p w14:paraId="76BB7CF4" w14:textId="77777777" w:rsidR="00BE220F" w:rsidRDefault="00BE220F" w:rsidP="00BE220F">
      <w:pPr>
        <w:widowControl w:val="0"/>
        <w:contextualSpacing/>
        <w:rPr>
          <w:rFonts w:eastAsia="Calibri" w:cs="Times New Roman"/>
          <w:szCs w:val="24"/>
        </w:rPr>
      </w:pPr>
    </w:p>
    <w:p w14:paraId="7AD7E364" w14:textId="22C888E4" w:rsidR="005E5BF4" w:rsidRDefault="00F414CE" w:rsidP="00BE220F">
      <w:pPr>
        <w:widowControl w:val="0"/>
        <w:contextualSpacing/>
        <w:rPr>
          <w:rFonts w:eastAsia="Calibri" w:cs="Times New Roman"/>
          <w:szCs w:val="24"/>
        </w:rPr>
      </w:pPr>
      <w:r>
        <w:rPr>
          <w:rFonts w:eastAsia="Calibri" w:cs="Times New Roman"/>
          <w:szCs w:val="24"/>
        </w:rPr>
        <w:t>The</w:t>
      </w:r>
      <w:r w:rsidR="00DB62A2">
        <w:rPr>
          <w:rFonts w:eastAsia="Calibri" w:cs="Times New Roman"/>
          <w:szCs w:val="24"/>
        </w:rPr>
        <w:t xml:space="preserve"> Convention on Special Missions diverges </w:t>
      </w:r>
      <w:r>
        <w:rPr>
          <w:rFonts w:eastAsia="Calibri" w:cs="Times New Roman"/>
          <w:szCs w:val="24"/>
        </w:rPr>
        <w:t xml:space="preserve">in only a few minor respects </w:t>
      </w:r>
      <w:r w:rsidR="00DB62A2">
        <w:rPr>
          <w:rFonts w:eastAsia="Calibri" w:cs="Times New Roman"/>
          <w:szCs w:val="24"/>
        </w:rPr>
        <w:t>from the Convention on Diplomatic Relations in its grant of facilities</w:t>
      </w:r>
      <w:r>
        <w:rPr>
          <w:rFonts w:eastAsia="Calibri" w:cs="Times New Roman"/>
          <w:szCs w:val="24"/>
        </w:rPr>
        <w:t>, privileges and immunities.</w:t>
      </w:r>
      <w:r w:rsidR="001F438B">
        <w:rPr>
          <w:rFonts w:eastAsia="Calibri" w:cs="Times New Roman"/>
          <w:szCs w:val="24"/>
        </w:rPr>
        <w:t xml:space="preserve"> </w:t>
      </w:r>
      <w:r>
        <w:rPr>
          <w:rFonts w:eastAsia="Calibri" w:cs="Times New Roman"/>
          <w:szCs w:val="24"/>
        </w:rPr>
        <w:t>In addition to the road-traffic exception to immunity from administrative and civil jurisdiction mentioned above,</w:t>
      </w:r>
      <w:r w:rsidR="001F438B">
        <w:rPr>
          <w:rFonts w:eastAsia="Calibri" w:cs="Times New Roman"/>
          <w:szCs w:val="24"/>
        </w:rPr>
        <w:t xml:space="preserve"> the tax exemption for the premises of the special mission applies only </w:t>
      </w:r>
      <w:r w:rsidR="00BE220F">
        <w:rPr>
          <w:rFonts w:eastAsia="Calibri" w:cs="Times New Roman"/>
          <w:szCs w:val="24"/>
        </w:rPr>
        <w:t>‘</w:t>
      </w:r>
      <w:r w:rsidR="001F438B">
        <w:rPr>
          <w:rFonts w:eastAsia="Calibri" w:cs="Times New Roman"/>
          <w:szCs w:val="24"/>
        </w:rPr>
        <w:t>[t]o the extent compatible with the nature and duration of the functions performed by the special mission</w:t>
      </w:r>
      <w:r w:rsidR="00BE220F">
        <w:rPr>
          <w:rFonts w:eastAsia="Calibri" w:cs="Times New Roman"/>
          <w:szCs w:val="24"/>
        </w:rPr>
        <w:t>’</w:t>
      </w:r>
      <w:r w:rsidR="001F438B">
        <w:rPr>
          <w:rFonts w:eastAsia="Calibri" w:cs="Times New Roman"/>
          <w:szCs w:val="24"/>
        </w:rPr>
        <w:t xml:space="preserve"> (Article</w:t>
      </w:r>
      <w:r>
        <w:rPr>
          <w:rFonts w:eastAsia="Calibri" w:cs="Times New Roman"/>
          <w:szCs w:val="24"/>
        </w:rPr>
        <w:t xml:space="preserve"> 24);</w:t>
      </w:r>
      <w:r w:rsidR="001F438B">
        <w:rPr>
          <w:rFonts w:eastAsia="Calibri" w:cs="Times New Roman"/>
          <w:szCs w:val="24"/>
        </w:rPr>
        <w:t xml:space="preserve"> the head of mission’s consent to enter the premises of the mission can be presumed </w:t>
      </w:r>
      <w:r w:rsidR="00BE220F">
        <w:rPr>
          <w:rFonts w:eastAsia="Calibri" w:cs="Times New Roman"/>
          <w:szCs w:val="24"/>
        </w:rPr>
        <w:t>‘</w:t>
      </w:r>
      <w:r w:rsidR="001F438B">
        <w:rPr>
          <w:rFonts w:eastAsia="Calibri" w:cs="Times New Roman"/>
          <w:szCs w:val="24"/>
        </w:rPr>
        <w:t>in the case of fire or other disaster that seriously endangers public safety</w:t>
      </w:r>
      <w:r w:rsidR="00BE220F">
        <w:rPr>
          <w:rFonts w:eastAsia="Calibri" w:cs="Times New Roman"/>
          <w:szCs w:val="24"/>
        </w:rPr>
        <w:t>’</w:t>
      </w:r>
      <w:r w:rsidR="001F438B">
        <w:rPr>
          <w:rFonts w:eastAsia="Calibri" w:cs="Times New Roman"/>
          <w:szCs w:val="24"/>
        </w:rPr>
        <w:t xml:space="preserve"> and it is has not been possible to obtain his/her express consent (Article 25); and </w:t>
      </w:r>
      <w:r w:rsidR="000B3068">
        <w:rPr>
          <w:rFonts w:eastAsia="Calibri" w:cs="Times New Roman"/>
          <w:szCs w:val="24"/>
        </w:rPr>
        <w:t xml:space="preserve">the special </w:t>
      </w:r>
      <w:r w:rsidR="004C0272">
        <w:rPr>
          <w:rFonts w:eastAsia="Calibri" w:cs="Times New Roman"/>
          <w:szCs w:val="24"/>
        </w:rPr>
        <w:t>mission’s</w:t>
      </w:r>
      <w:r w:rsidR="001F438B">
        <w:rPr>
          <w:rFonts w:eastAsia="Calibri" w:cs="Times New Roman"/>
          <w:szCs w:val="24"/>
        </w:rPr>
        <w:t xml:space="preserve"> archives and documents </w:t>
      </w:r>
      <w:r w:rsidR="00BE220F">
        <w:rPr>
          <w:rFonts w:eastAsia="Calibri" w:cs="Times New Roman"/>
          <w:szCs w:val="24"/>
        </w:rPr>
        <w:t>‘</w:t>
      </w:r>
      <w:r w:rsidR="001F438B">
        <w:rPr>
          <w:rFonts w:eastAsia="Calibri" w:cs="Times New Roman"/>
          <w:szCs w:val="24"/>
        </w:rPr>
        <w:t>should, when necessary, bear visible external marks of identification</w:t>
      </w:r>
      <w:r w:rsidR="00BE220F">
        <w:rPr>
          <w:rFonts w:eastAsia="Calibri" w:cs="Times New Roman"/>
          <w:szCs w:val="24"/>
        </w:rPr>
        <w:t>’</w:t>
      </w:r>
      <w:r w:rsidR="001F438B">
        <w:rPr>
          <w:rFonts w:eastAsia="Calibri" w:cs="Times New Roman"/>
          <w:szCs w:val="24"/>
        </w:rPr>
        <w:t xml:space="preserve"> (Article 26). </w:t>
      </w:r>
    </w:p>
    <w:p w14:paraId="023863D4" w14:textId="77777777" w:rsidR="00BE220F" w:rsidRDefault="00BE220F" w:rsidP="00BE220F">
      <w:pPr>
        <w:widowControl w:val="0"/>
        <w:contextualSpacing/>
        <w:rPr>
          <w:rFonts w:eastAsia="Calibri" w:cs="Times New Roman"/>
          <w:szCs w:val="24"/>
        </w:rPr>
      </w:pPr>
    </w:p>
    <w:p w14:paraId="2F5E9A54" w14:textId="765DFD8A" w:rsidR="00E63617" w:rsidRDefault="00462B74" w:rsidP="00E63617">
      <w:pPr>
        <w:widowControl w:val="0"/>
        <w:contextualSpacing/>
        <w:rPr>
          <w:rFonts w:eastAsia="Calibri" w:cs="Times New Roman"/>
          <w:szCs w:val="24"/>
        </w:rPr>
      </w:pPr>
      <w:r w:rsidRPr="001F438B">
        <w:rPr>
          <w:rFonts w:eastAsia="Calibri" w:cs="Times New Roman"/>
          <w:szCs w:val="24"/>
        </w:rPr>
        <w:t>Members</w:t>
      </w:r>
      <w:r>
        <w:rPr>
          <w:rFonts w:eastAsia="Calibri" w:cs="Times New Roman"/>
          <w:szCs w:val="24"/>
        </w:rPr>
        <w:t xml:space="preserve"> of special missions are entitled to travel across third States </w:t>
      </w:r>
      <w:r w:rsidR="00AC0F22">
        <w:rPr>
          <w:rFonts w:eastAsia="Calibri" w:cs="Times New Roman"/>
          <w:szCs w:val="24"/>
        </w:rPr>
        <w:t xml:space="preserve">where the transit State has been informed in advance, either through a visa application or other notification, </w:t>
      </w:r>
      <w:r w:rsidR="001F438B">
        <w:rPr>
          <w:rFonts w:eastAsia="Calibri" w:cs="Times New Roman"/>
          <w:szCs w:val="24"/>
        </w:rPr>
        <w:t xml:space="preserve">and has given its consent </w:t>
      </w:r>
      <w:r w:rsidR="00AC0F22">
        <w:rPr>
          <w:rFonts w:eastAsia="Calibri" w:cs="Times New Roman"/>
          <w:szCs w:val="24"/>
        </w:rPr>
        <w:t>(Article 4</w:t>
      </w:r>
      <w:r w:rsidR="001F438B">
        <w:rPr>
          <w:rFonts w:eastAsia="Calibri" w:cs="Times New Roman"/>
          <w:szCs w:val="24"/>
        </w:rPr>
        <w:t>2</w:t>
      </w:r>
      <w:r w:rsidR="00AC0F22">
        <w:rPr>
          <w:rFonts w:eastAsia="Calibri" w:cs="Times New Roman"/>
          <w:szCs w:val="24"/>
        </w:rPr>
        <w:t xml:space="preserve">). Two or more States may each send a special mission at the same time to another State in order to deal with questions of common interest, unless that </w:t>
      </w:r>
      <w:r w:rsidR="004D41A8">
        <w:rPr>
          <w:rFonts w:eastAsia="Calibri" w:cs="Times New Roman"/>
          <w:szCs w:val="24"/>
        </w:rPr>
        <w:t>S</w:t>
      </w:r>
      <w:r w:rsidR="00AC0F22">
        <w:rPr>
          <w:rFonts w:eastAsia="Calibri" w:cs="Times New Roman"/>
          <w:szCs w:val="24"/>
        </w:rPr>
        <w:t>tate objects (Article 6).</w:t>
      </w:r>
      <w:r w:rsidR="005E2C6F">
        <w:rPr>
          <w:rFonts w:eastAsia="Calibri" w:cs="Times New Roman"/>
          <w:szCs w:val="24"/>
        </w:rPr>
        <w:t xml:space="preserve"> </w:t>
      </w:r>
      <w:r w:rsidR="00AC0F22">
        <w:rPr>
          <w:rFonts w:eastAsia="Calibri" w:cs="Times New Roman"/>
          <w:szCs w:val="24"/>
        </w:rPr>
        <w:t>Special missions from two or more States may meet in the territory of a third State</w:t>
      </w:r>
      <w:r w:rsidR="001F438B">
        <w:rPr>
          <w:rFonts w:eastAsia="Calibri" w:cs="Times New Roman"/>
          <w:szCs w:val="24"/>
        </w:rPr>
        <w:t xml:space="preserve"> </w:t>
      </w:r>
      <w:r w:rsidR="00EB6052">
        <w:rPr>
          <w:rFonts w:eastAsia="Calibri" w:cs="Times New Roman"/>
          <w:szCs w:val="24"/>
        </w:rPr>
        <w:t>“</w:t>
      </w:r>
      <w:r w:rsidR="001F438B">
        <w:rPr>
          <w:rFonts w:eastAsia="Calibri" w:cs="Times New Roman"/>
          <w:szCs w:val="24"/>
        </w:rPr>
        <w:t>only after obtaining th</w:t>
      </w:r>
      <w:r w:rsidR="00EB6052">
        <w:rPr>
          <w:rFonts w:eastAsia="Calibri" w:cs="Times New Roman"/>
          <w:szCs w:val="24"/>
        </w:rPr>
        <w:t>e express consent of that State”</w:t>
      </w:r>
      <w:r w:rsidR="001F438B">
        <w:rPr>
          <w:rFonts w:eastAsia="Calibri" w:cs="Times New Roman"/>
          <w:szCs w:val="24"/>
        </w:rPr>
        <w:t xml:space="preserve"> (Article 18).</w:t>
      </w:r>
      <w:r w:rsidR="005E2C6F">
        <w:rPr>
          <w:rFonts w:eastAsia="Calibri" w:cs="Times New Roman"/>
          <w:szCs w:val="24"/>
        </w:rPr>
        <w:t xml:space="preserve"> </w:t>
      </w:r>
      <w:r w:rsidR="00ED50C5">
        <w:rPr>
          <w:rFonts w:eastAsia="Calibri" w:cs="Times New Roman"/>
          <w:szCs w:val="24"/>
        </w:rPr>
        <w:t xml:space="preserve">Finally, </w:t>
      </w:r>
      <w:r w:rsidR="004D41A8">
        <w:rPr>
          <w:rFonts w:eastAsia="Calibri" w:cs="Times New Roman"/>
          <w:szCs w:val="24"/>
        </w:rPr>
        <w:t>like the Vienna Convention on Diplomatic Relations</w:t>
      </w:r>
      <w:r w:rsidR="00EB6052">
        <w:rPr>
          <w:rFonts w:eastAsia="Calibri" w:cs="Times New Roman"/>
          <w:szCs w:val="24"/>
        </w:rPr>
        <w:t>,</w:t>
      </w:r>
      <w:r w:rsidR="004D41A8">
        <w:rPr>
          <w:rFonts w:eastAsia="Calibri" w:cs="Times New Roman"/>
          <w:szCs w:val="24"/>
        </w:rPr>
        <w:t xml:space="preserve"> </w:t>
      </w:r>
      <w:r w:rsidR="00ED50C5">
        <w:rPr>
          <w:rFonts w:eastAsia="Calibri" w:cs="Times New Roman"/>
          <w:szCs w:val="24"/>
        </w:rPr>
        <w:t xml:space="preserve">the </w:t>
      </w:r>
      <w:r w:rsidR="004D41A8">
        <w:rPr>
          <w:rFonts w:eastAsia="Calibri" w:cs="Times New Roman"/>
          <w:szCs w:val="24"/>
        </w:rPr>
        <w:t xml:space="preserve">New York </w:t>
      </w:r>
      <w:r w:rsidR="00ED50C5">
        <w:rPr>
          <w:rFonts w:eastAsia="Calibri" w:cs="Times New Roman"/>
          <w:szCs w:val="24"/>
        </w:rPr>
        <w:t>Convention imposes a duty on members of special missions to respect the law of the receiving State (Article 47).</w:t>
      </w:r>
    </w:p>
    <w:p w14:paraId="4E369E0E" w14:textId="2D6B30F8" w:rsidR="00A15927" w:rsidRPr="00E4511D" w:rsidRDefault="004E275A" w:rsidP="00C1425E">
      <w:pPr>
        <w:pStyle w:val="Heading1"/>
        <w:rPr>
          <w:lang w:val="en-US"/>
        </w:rPr>
      </w:pPr>
      <w:bookmarkStart w:id="45" w:name="_Toc502996214"/>
      <w:r w:rsidRPr="00E4511D">
        <w:rPr>
          <w:lang w:val="en-US"/>
        </w:rPr>
        <w:t xml:space="preserve">The </w:t>
      </w:r>
      <w:r w:rsidR="00A15927" w:rsidRPr="00E4511D">
        <w:rPr>
          <w:lang w:val="en-US"/>
        </w:rPr>
        <w:t>Customary International Law on Special Missions</w:t>
      </w:r>
      <w:bookmarkEnd w:id="45"/>
    </w:p>
    <w:p w14:paraId="6F1B4C5A" w14:textId="08DBFCBD" w:rsidR="00F71042" w:rsidRDefault="00DF0A69" w:rsidP="00F71042">
      <w:r w:rsidRPr="00925262">
        <w:rPr>
          <w:rFonts w:eastAsia="Calibri" w:cs="Times New Roman"/>
          <w:szCs w:val="24"/>
        </w:rPr>
        <w:t>It is widely accepted that</w:t>
      </w:r>
      <w:r w:rsidR="00F62ED8">
        <w:rPr>
          <w:rFonts w:eastAsia="Calibri" w:cs="Times New Roman"/>
          <w:szCs w:val="24"/>
        </w:rPr>
        <w:t>, like other international immunities,</w:t>
      </w:r>
      <w:r w:rsidRPr="00925262">
        <w:rPr>
          <w:rFonts w:eastAsia="Calibri" w:cs="Times New Roman"/>
          <w:szCs w:val="24"/>
        </w:rPr>
        <w:t xml:space="preserve"> </w:t>
      </w:r>
      <w:r w:rsidR="00E86798">
        <w:rPr>
          <w:rFonts w:eastAsia="Calibri" w:cs="Times New Roman"/>
          <w:szCs w:val="24"/>
        </w:rPr>
        <w:t>special mission immunity</w:t>
      </w:r>
      <w:r w:rsidRPr="00925262">
        <w:rPr>
          <w:rFonts w:eastAsia="Calibri" w:cs="Times New Roman"/>
          <w:szCs w:val="24"/>
        </w:rPr>
        <w:t xml:space="preserve"> forms part of customary international law,</w:t>
      </w:r>
      <w:bookmarkStart w:id="46" w:name="_Ref364712378"/>
      <w:r w:rsidRPr="00925262">
        <w:rPr>
          <w:rFonts w:eastAsia="Calibri" w:cs="Times New Roman"/>
          <w:szCs w:val="24"/>
          <w:vertAlign w:val="superscript"/>
        </w:rPr>
        <w:footnoteReference w:id="45"/>
      </w:r>
      <w:bookmarkEnd w:id="46"/>
      <w:r w:rsidRPr="00925262">
        <w:rPr>
          <w:rFonts w:eastAsia="Calibri" w:cs="Times New Roman"/>
          <w:szCs w:val="24"/>
        </w:rPr>
        <w:t xml:space="preserve"> </w:t>
      </w:r>
      <w:r w:rsidR="004251B6">
        <w:rPr>
          <w:rFonts w:eastAsia="Calibri" w:cs="Times New Roman"/>
          <w:szCs w:val="24"/>
        </w:rPr>
        <w:t xml:space="preserve">as opposed to deriving </w:t>
      </w:r>
      <w:r w:rsidR="006733FD">
        <w:rPr>
          <w:rFonts w:eastAsia="Calibri" w:cs="Times New Roman"/>
          <w:szCs w:val="24"/>
        </w:rPr>
        <w:t xml:space="preserve">merely </w:t>
      </w:r>
      <w:r w:rsidR="004251B6">
        <w:rPr>
          <w:rFonts w:eastAsia="Calibri" w:cs="Times New Roman"/>
          <w:szCs w:val="24"/>
        </w:rPr>
        <w:t>from</w:t>
      </w:r>
      <w:r w:rsidRPr="00925262">
        <w:rPr>
          <w:rFonts w:eastAsia="Calibri" w:cs="Times New Roman"/>
          <w:szCs w:val="24"/>
        </w:rPr>
        <w:t xml:space="preserve"> comity, political expediency or reciprocity.</w:t>
      </w:r>
      <w:bookmarkStart w:id="47" w:name="_Ref364711167"/>
      <w:r w:rsidRPr="00925262">
        <w:rPr>
          <w:rStyle w:val="FootnoteReference"/>
          <w:rFonts w:eastAsia="Calibri" w:cs="Times New Roman"/>
          <w:szCs w:val="24"/>
        </w:rPr>
        <w:footnoteReference w:id="46"/>
      </w:r>
      <w:bookmarkEnd w:id="47"/>
      <w:r w:rsidR="005E2C6F">
        <w:rPr>
          <w:rFonts w:eastAsia="Calibri" w:cs="Times New Roman"/>
          <w:szCs w:val="24"/>
        </w:rPr>
        <w:t xml:space="preserve"> </w:t>
      </w:r>
      <w:r w:rsidR="00F71042">
        <w:rPr>
          <w:rFonts w:cs="Times New Roman"/>
          <w:szCs w:val="24"/>
        </w:rPr>
        <w:t xml:space="preserve">During the debates </w:t>
      </w:r>
      <w:r w:rsidR="006733FD">
        <w:rPr>
          <w:rFonts w:cs="Times New Roman"/>
          <w:szCs w:val="24"/>
        </w:rPr>
        <w:t>leading to the adoption of</w:t>
      </w:r>
      <w:r w:rsidR="00F71042">
        <w:rPr>
          <w:rFonts w:cs="Times New Roman"/>
          <w:szCs w:val="24"/>
        </w:rPr>
        <w:t xml:space="preserve"> the </w:t>
      </w:r>
      <w:r w:rsidR="00F71042">
        <w:rPr>
          <w:rFonts w:cs="Times New Roman"/>
          <w:szCs w:val="24"/>
        </w:rPr>
        <w:lastRenderedPageBreak/>
        <w:t xml:space="preserve">Convention on Special Missions in the Sixth Committee of the General Assembly, </w:t>
      </w:r>
      <w:r w:rsidR="00F71042">
        <w:t>Bartoš (in his capacity as Expert Consultant) explained that:</w:t>
      </w:r>
    </w:p>
    <w:p w14:paraId="054D13CE" w14:textId="73936403" w:rsidR="00F71042" w:rsidRPr="00537B96" w:rsidRDefault="00F71042" w:rsidP="00F71042">
      <w:pPr>
        <w:pStyle w:val="Quote"/>
      </w:pPr>
      <w:r>
        <w:t>the question whether the privileges and immunities accorded to special missions had a basis in law or were accorded merely as a matter of courtesy had been raised as far back as the Vienna Conference of 1926 on special missions and the Sixth International Conference of American States, held at Havana in 1928.</w:t>
      </w:r>
      <w:r w:rsidR="005E2C6F">
        <w:t xml:space="preserve"> </w:t>
      </w:r>
      <w:r>
        <w:t>The question had not arisen at the United Nations Conference on Diplomatic Intercourse and Immunities in 1961, because by then it had come to be recognised that States were under an obligation to accord privileges and immunities to special missions and their members. The 1926 Vienna Conference had decided that special missions had to be granted privileges and immunities in order to enable them to discharge, in complete freedom, their duties and functions in accordance with agreements reached between the sending and receiving States.</w:t>
      </w:r>
      <w:r w:rsidRPr="00A66323">
        <w:rPr>
          <w:vertAlign w:val="superscript"/>
        </w:rPr>
        <w:footnoteReference w:id="47"/>
      </w:r>
    </w:p>
    <w:p w14:paraId="271E6AC0" w14:textId="1E3C246B" w:rsidR="00DF0A69" w:rsidRDefault="00874BBF" w:rsidP="00DF0A69">
      <w:pPr>
        <w:widowControl w:val="0"/>
        <w:contextualSpacing/>
        <w:rPr>
          <w:rFonts w:eastAsia="Calibri" w:cs="Times New Roman"/>
          <w:szCs w:val="24"/>
        </w:rPr>
      </w:pPr>
      <w:r>
        <w:rPr>
          <w:rFonts w:eastAsia="Calibri" w:cs="Times New Roman"/>
          <w:szCs w:val="24"/>
        </w:rPr>
        <w:t>In 2012</w:t>
      </w:r>
      <w:r w:rsidR="00DF0A69" w:rsidRPr="00925262">
        <w:rPr>
          <w:rFonts w:eastAsia="Calibri" w:cs="Times New Roman"/>
          <w:szCs w:val="24"/>
        </w:rPr>
        <w:t xml:space="preserve">, one of the present authors </w:t>
      </w:r>
      <w:r w:rsidR="00F62ED8">
        <w:rPr>
          <w:rFonts w:eastAsia="Calibri" w:cs="Times New Roman"/>
          <w:szCs w:val="24"/>
        </w:rPr>
        <w:t>suggested</w:t>
      </w:r>
      <w:r w:rsidR="004C37F9">
        <w:rPr>
          <w:rFonts w:eastAsia="Calibri" w:cs="Times New Roman"/>
          <w:szCs w:val="24"/>
        </w:rPr>
        <w:t xml:space="preserve"> </w:t>
      </w:r>
      <w:r w:rsidR="00DF0A69" w:rsidRPr="00925262">
        <w:rPr>
          <w:rFonts w:eastAsia="Calibri" w:cs="Times New Roman"/>
          <w:szCs w:val="24"/>
        </w:rPr>
        <w:t>that the rules of customary international law on the immunities of special missions</w:t>
      </w:r>
    </w:p>
    <w:p w14:paraId="044DE987" w14:textId="77777777" w:rsidR="00DB06A2" w:rsidRPr="00925262" w:rsidRDefault="00DB06A2" w:rsidP="00DF0A69">
      <w:pPr>
        <w:widowControl w:val="0"/>
        <w:contextualSpacing/>
        <w:rPr>
          <w:rFonts w:eastAsia="Calibri" w:cs="Times New Roman"/>
          <w:szCs w:val="24"/>
        </w:rPr>
      </w:pPr>
    </w:p>
    <w:p w14:paraId="54F21620" w14:textId="42736A8C" w:rsidR="00DF0A69" w:rsidRPr="00925262" w:rsidRDefault="00874BBF" w:rsidP="00DF0A69">
      <w:pPr>
        <w:widowControl w:val="0"/>
        <w:ind w:left="283"/>
        <w:contextualSpacing/>
        <w:rPr>
          <w:rFonts w:eastAsia="Calibri" w:cs="Times New Roman"/>
          <w:sz w:val="20"/>
          <w:szCs w:val="20"/>
        </w:rPr>
      </w:pPr>
      <w:r>
        <w:rPr>
          <w:rFonts w:eastAsia="Calibri" w:cs="Times New Roman"/>
          <w:sz w:val="20"/>
          <w:szCs w:val="20"/>
        </w:rPr>
        <w:t xml:space="preserve">are </w:t>
      </w:r>
      <w:r w:rsidR="00DF0A69" w:rsidRPr="00925262">
        <w:rPr>
          <w:rFonts w:eastAsia="Calibri" w:cs="Times New Roman"/>
          <w:sz w:val="20"/>
          <w:szCs w:val="20"/>
        </w:rPr>
        <w:t xml:space="preserve">both wider and narrower than the provisions of the </w:t>
      </w:r>
      <w:r w:rsidR="00DF0A69" w:rsidRPr="00925262">
        <w:rPr>
          <w:rFonts w:eastAsia="Calibri" w:cs="Times New Roman"/>
          <w:i/>
          <w:sz w:val="20"/>
          <w:szCs w:val="20"/>
        </w:rPr>
        <w:t>Convention on Special Missions</w:t>
      </w:r>
      <w:r w:rsidR="00DF0A69" w:rsidRPr="00925262">
        <w:rPr>
          <w:rFonts w:eastAsia="Calibri" w:cs="Times New Roman"/>
          <w:sz w:val="20"/>
          <w:szCs w:val="20"/>
        </w:rPr>
        <w:t>. They are wider in that the class of official visitors who may be entitled to immunity is broader than that foreseen in the Convention. They are narrower in that the range of privileges and immunities is more limited, being essentially confined to immunity from criminal jurisdiction and inviolability of the person.</w:t>
      </w:r>
      <w:r w:rsidR="00DF0A69" w:rsidRPr="00925262">
        <w:rPr>
          <w:rFonts w:eastAsia="Calibri" w:cs="Times New Roman"/>
          <w:sz w:val="20"/>
          <w:szCs w:val="20"/>
          <w:vertAlign w:val="superscript"/>
        </w:rPr>
        <w:footnoteReference w:id="48"/>
      </w:r>
    </w:p>
    <w:p w14:paraId="6647A350" w14:textId="77777777" w:rsidR="00DF0A69" w:rsidRPr="00925262" w:rsidRDefault="00DF0A69" w:rsidP="00DF0A69">
      <w:pPr>
        <w:widowControl w:val="0"/>
        <w:contextualSpacing/>
        <w:rPr>
          <w:rFonts w:eastAsia="Calibri" w:cs="Times New Roman"/>
          <w:szCs w:val="24"/>
        </w:rPr>
      </w:pPr>
    </w:p>
    <w:p w14:paraId="6AD4E819" w14:textId="60CB6515" w:rsidR="00DF0A69" w:rsidRDefault="00874BBF" w:rsidP="00DF0A69">
      <w:pPr>
        <w:widowControl w:val="0"/>
        <w:contextualSpacing/>
        <w:rPr>
          <w:rFonts w:eastAsia="Calibri" w:cs="Times New Roman"/>
          <w:szCs w:val="24"/>
        </w:rPr>
      </w:pPr>
      <w:r>
        <w:rPr>
          <w:rFonts w:eastAsia="Calibri" w:cs="Times New Roman"/>
          <w:szCs w:val="24"/>
        </w:rPr>
        <w:t xml:space="preserve">In fact, there are </w:t>
      </w:r>
      <w:r w:rsidR="00DF0A69" w:rsidRPr="00925262">
        <w:rPr>
          <w:rFonts w:eastAsia="Calibri" w:cs="Times New Roman"/>
          <w:szCs w:val="24"/>
        </w:rPr>
        <w:t xml:space="preserve">a </w:t>
      </w:r>
      <w:r w:rsidR="00A86259">
        <w:rPr>
          <w:rFonts w:eastAsia="Calibri" w:cs="Times New Roman"/>
          <w:szCs w:val="24"/>
        </w:rPr>
        <w:t>number</w:t>
      </w:r>
      <w:r w:rsidR="00617160">
        <w:rPr>
          <w:rFonts w:eastAsia="Calibri" w:cs="Times New Roman"/>
          <w:szCs w:val="24"/>
        </w:rPr>
        <w:t xml:space="preserve"> of outstanding issues</w:t>
      </w:r>
      <w:r w:rsidR="002B7113">
        <w:rPr>
          <w:rFonts w:eastAsia="Calibri" w:cs="Times New Roman"/>
          <w:szCs w:val="24"/>
        </w:rPr>
        <w:t xml:space="preserve">, </w:t>
      </w:r>
      <w:r w:rsidR="00617160">
        <w:rPr>
          <w:rFonts w:eastAsia="Calibri" w:cs="Times New Roman"/>
          <w:szCs w:val="24"/>
        </w:rPr>
        <w:t>s</w:t>
      </w:r>
      <w:r w:rsidR="00DF0A69" w:rsidRPr="00925262">
        <w:rPr>
          <w:rFonts w:eastAsia="Calibri" w:cs="Times New Roman"/>
          <w:szCs w:val="24"/>
        </w:rPr>
        <w:t xml:space="preserve">uch as whether </w:t>
      </w:r>
      <w:r>
        <w:rPr>
          <w:rFonts w:eastAsia="Calibri" w:cs="Times New Roman"/>
          <w:szCs w:val="24"/>
        </w:rPr>
        <w:t xml:space="preserve">and if so to what extent </w:t>
      </w:r>
      <w:r w:rsidR="00DF0A69" w:rsidRPr="00925262">
        <w:rPr>
          <w:rFonts w:eastAsia="Calibri" w:cs="Times New Roman"/>
          <w:szCs w:val="24"/>
        </w:rPr>
        <w:t xml:space="preserve">customary law confers </w:t>
      </w:r>
      <w:r w:rsidR="00617160">
        <w:rPr>
          <w:rFonts w:eastAsia="Calibri" w:cs="Times New Roman"/>
          <w:szCs w:val="24"/>
        </w:rPr>
        <w:t>immunity from civil proceedings</w:t>
      </w:r>
      <w:r w:rsidR="002B7113">
        <w:rPr>
          <w:rFonts w:eastAsia="Calibri" w:cs="Times New Roman"/>
          <w:szCs w:val="24"/>
        </w:rPr>
        <w:t xml:space="preserve">. These </w:t>
      </w:r>
      <w:r w:rsidR="00617160">
        <w:rPr>
          <w:rFonts w:eastAsia="Calibri" w:cs="Times New Roman"/>
          <w:szCs w:val="24"/>
        </w:rPr>
        <w:t xml:space="preserve">are discussed </w:t>
      </w:r>
      <w:r w:rsidR="00F62ED8">
        <w:rPr>
          <w:rFonts w:eastAsia="Calibri" w:cs="Times New Roman"/>
          <w:szCs w:val="24"/>
        </w:rPr>
        <w:t>below</w:t>
      </w:r>
      <w:r w:rsidR="00617160">
        <w:rPr>
          <w:rFonts w:eastAsia="Calibri" w:cs="Times New Roman"/>
          <w:szCs w:val="24"/>
        </w:rPr>
        <w:t xml:space="preserve">. </w:t>
      </w:r>
    </w:p>
    <w:p w14:paraId="3D014C83" w14:textId="17F71BC3" w:rsidR="00E63617" w:rsidRPr="00E4511D" w:rsidRDefault="00D11C45" w:rsidP="00DB06A2">
      <w:pPr>
        <w:pStyle w:val="Heading2"/>
        <w:numPr>
          <w:ilvl w:val="0"/>
          <w:numId w:val="45"/>
        </w:numPr>
        <w:rPr>
          <w:lang w:val="en-US"/>
        </w:rPr>
      </w:pPr>
      <w:bookmarkStart w:id="48" w:name="_Toc497598022"/>
      <w:bookmarkStart w:id="49" w:name="_Toc502996215"/>
      <w:r w:rsidRPr="00E4511D">
        <w:rPr>
          <w:lang w:val="en-US"/>
        </w:rPr>
        <w:t xml:space="preserve">Identifying the </w:t>
      </w:r>
      <w:r w:rsidR="004E275A" w:rsidRPr="00E4511D">
        <w:rPr>
          <w:lang w:val="en-US"/>
        </w:rPr>
        <w:t xml:space="preserve">Customary Rules </w:t>
      </w:r>
      <w:r w:rsidRPr="00E4511D">
        <w:rPr>
          <w:lang w:val="en-US"/>
        </w:rPr>
        <w:t xml:space="preserve">on </w:t>
      </w:r>
      <w:r w:rsidR="004E275A" w:rsidRPr="00E4511D">
        <w:rPr>
          <w:lang w:val="en-US"/>
        </w:rPr>
        <w:t>Special Missions</w:t>
      </w:r>
      <w:bookmarkEnd w:id="48"/>
      <w:bookmarkEnd w:id="49"/>
      <w:r w:rsidR="004E275A" w:rsidRPr="00E4511D">
        <w:rPr>
          <w:lang w:val="en-US"/>
        </w:rPr>
        <w:t xml:space="preserve"> </w:t>
      </w:r>
    </w:p>
    <w:p w14:paraId="7409AB4C" w14:textId="16308150" w:rsidR="000C108F" w:rsidRDefault="00F81C9F" w:rsidP="000C108F">
      <w:pPr>
        <w:widowControl w:val="0"/>
        <w:contextualSpacing/>
        <w:rPr>
          <w:rFonts w:eastAsia="Calibri" w:cs="Times New Roman"/>
          <w:szCs w:val="24"/>
        </w:rPr>
      </w:pPr>
      <w:r w:rsidRPr="00925262">
        <w:rPr>
          <w:rFonts w:eastAsia="Calibri" w:cs="Times New Roman"/>
          <w:szCs w:val="24"/>
        </w:rPr>
        <w:t xml:space="preserve">The present section seeks to apply the </w:t>
      </w:r>
      <w:r w:rsidR="004640D8">
        <w:rPr>
          <w:rFonts w:eastAsia="Calibri" w:cs="Times New Roman"/>
          <w:szCs w:val="24"/>
        </w:rPr>
        <w:t xml:space="preserve">standard </w:t>
      </w:r>
      <w:r w:rsidRPr="00925262">
        <w:rPr>
          <w:rFonts w:eastAsia="Calibri" w:cs="Times New Roman"/>
          <w:szCs w:val="24"/>
        </w:rPr>
        <w:t xml:space="preserve">methodology </w:t>
      </w:r>
      <w:r w:rsidR="004640D8">
        <w:rPr>
          <w:rFonts w:eastAsia="Calibri" w:cs="Times New Roman"/>
          <w:szCs w:val="24"/>
        </w:rPr>
        <w:t xml:space="preserve">for </w:t>
      </w:r>
      <w:r w:rsidR="004640D8" w:rsidRPr="00925262">
        <w:rPr>
          <w:rFonts w:eastAsia="Calibri" w:cs="Times New Roman"/>
          <w:szCs w:val="24"/>
        </w:rPr>
        <w:t>identif</w:t>
      </w:r>
      <w:r w:rsidR="004640D8">
        <w:rPr>
          <w:rFonts w:eastAsia="Calibri" w:cs="Times New Roman"/>
          <w:szCs w:val="24"/>
        </w:rPr>
        <w:t>ying</w:t>
      </w:r>
      <w:r w:rsidR="004640D8" w:rsidRPr="00925262">
        <w:rPr>
          <w:rFonts w:eastAsia="Calibri" w:cs="Times New Roman"/>
          <w:szCs w:val="24"/>
        </w:rPr>
        <w:t xml:space="preserve"> rules of customary international law</w:t>
      </w:r>
      <w:r w:rsidR="004640D8">
        <w:rPr>
          <w:rFonts w:eastAsia="Calibri" w:cs="Times New Roman"/>
          <w:szCs w:val="24"/>
        </w:rPr>
        <w:t>, as</w:t>
      </w:r>
      <w:r w:rsidR="004640D8" w:rsidRPr="00925262">
        <w:rPr>
          <w:rFonts w:eastAsia="Calibri" w:cs="Times New Roman"/>
          <w:szCs w:val="24"/>
        </w:rPr>
        <w:t xml:space="preserve"> </w:t>
      </w:r>
      <w:r w:rsidRPr="00925262">
        <w:rPr>
          <w:rFonts w:eastAsia="Calibri" w:cs="Times New Roman"/>
          <w:szCs w:val="24"/>
        </w:rPr>
        <w:t>described in the International Law Commission’s 2016 draft conclusions</w:t>
      </w:r>
      <w:r w:rsidR="003A10D9">
        <w:rPr>
          <w:rFonts w:eastAsia="Calibri" w:cs="Times New Roman"/>
          <w:szCs w:val="24"/>
        </w:rPr>
        <w:t>,</w:t>
      </w:r>
      <w:bookmarkStart w:id="50" w:name="_Ref502998042"/>
      <w:r w:rsidR="003A10D9">
        <w:rPr>
          <w:rStyle w:val="FootnoteReference"/>
          <w:rFonts w:eastAsia="Calibri" w:cs="Times New Roman"/>
          <w:szCs w:val="24"/>
        </w:rPr>
        <w:footnoteReference w:id="49"/>
      </w:r>
      <w:bookmarkEnd w:id="50"/>
      <w:r w:rsidR="003A10D9">
        <w:rPr>
          <w:rFonts w:eastAsia="Calibri" w:cs="Times New Roman"/>
          <w:szCs w:val="24"/>
        </w:rPr>
        <w:t xml:space="preserve"> with commentaries,</w:t>
      </w:r>
      <w:r w:rsidR="003A10D9">
        <w:rPr>
          <w:rStyle w:val="FootnoteReference"/>
          <w:rFonts w:eastAsia="Calibri" w:cs="Times New Roman"/>
          <w:szCs w:val="24"/>
        </w:rPr>
        <w:footnoteReference w:id="50"/>
      </w:r>
      <w:r w:rsidR="002B7113">
        <w:rPr>
          <w:rFonts w:eastAsia="Calibri" w:cs="Times New Roman"/>
          <w:szCs w:val="24"/>
        </w:rPr>
        <w:t xml:space="preserve"> on </w:t>
      </w:r>
      <w:r w:rsidR="00BE220F">
        <w:rPr>
          <w:rFonts w:eastAsia="Calibri" w:cs="Times New Roman"/>
          <w:szCs w:val="24"/>
        </w:rPr>
        <w:t>‘</w:t>
      </w:r>
      <w:r w:rsidR="002B7113">
        <w:rPr>
          <w:rFonts w:eastAsia="Calibri" w:cs="Times New Roman"/>
          <w:szCs w:val="24"/>
        </w:rPr>
        <w:t>Identification of customary international law</w:t>
      </w:r>
      <w:r w:rsidR="00BE220F">
        <w:rPr>
          <w:rFonts w:eastAsia="Calibri" w:cs="Times New Roman"/>
          <w:szCs w:val="24"/>
        </w:rPr>
        <w:t>’</w:t>
      </w:r>
      <w:r w:rsidR="0030760A">
        <w:rPr>
          <w:rFonts w:eastAsia="Calibri" w:cs="Times New Roman"/>
          <w:szCs w:val="24"/>
        </w:rPr>
        <w:t>,</w:t>
      </w:r>
      <w:r w:rsidR="00A86259">
        <w:rPr>
          <w:rFonts w:eastAsia="Calibri" w:cs="Times New Roman"/>
          <w:szCs w:val="24"/>
        </w:rPr>
        <w:t xml:space="preserve"> to the determination of the rules of customary </w:t>
      </w:r>
      <w:r w:rsidR="00EC7879">
        <w:rPr>
          <w:rFonts w:eastAsia="Calibri" w:cs="Times New Roman"/>
          <w:szCs w:val="24"/>
        </w:rPr>
        <w:t>international law</w:t>
      </w:r>
      <w:r w:rsidR="00A86259">
        <w:rPr>
          <w:rFonts w:eastAsia="Calibri" w:cs="Times New Roman"/>
          <w:szCs w:val="24"/>
        </w:rPr>
        <w:t xml:space="preserve"> on special </w:t>
      </w:r>
      <w:bookmarkStart w:id="51" w:name="_Ref364711055"/>
      <w:r w:rsidR="00EC7879">
        <w:rPr>
          <w:rFonts w:eastAsia="Calibri" w:cs="Times New Roman"/>
          <w:szCs w:val="24"/>
        </w:rPr>
        <w:t>missions</w:t>
      </w:r>
      <w:bookmarkEnd w:id="51"/>
      <w:r w:rsidRPr="00925262">
        <w:rPr>
          <w:rFonts w:eastAsia="Calibri" w:cs="Times New Roman"/>
          <w:szCs w:val="24"/>
        </w:rPr>
        <w:t xml:space="preserve">. In particular, </w:t>
      </w:r>
      <w:r w:rsidR="00E91998">
        <w:rPr>
          <w:rFonts w:eastAsia="Calibri" w:cs="Times New Roman"/>
          <w:szCs w:val="24"/>
        </w:rPr>
        <w:t>four</w:t>
      </w:r>
      <w:r w:rsidRPr="00925262">
        <w:rPr>
          <w:rFonts w:eastAsia="Calibri" w:cs="Times New Roman"/>
          <w:szCs w:val="24"/>
        </w:rPr>
        <w:t xml:space="preserve"> points should be borne in mind.</w:t>
      </w:r>
      <w:r w:rsidR="005E2C6F">
        <w:rPr>
          <w:rFonts w:eastAsia="Calibri" w:cs="Times New Roman"/>
          <w:szCs w:val="24"/>
        </w:rPr>
        <w:t xml:space="preserve"> </w:t>
      </w:r>
    </w:p>
    <w:p w14:paraId="3087E1C3" w14:textId="77777777" w:rsidR="00BE220F" w:rsidRPr="00925262" w:rsidRDefault="00BE220F" w:rsidP="000C108F">
      <w:pPr>
        <w:widowControl w:val="0"/>
        <w:contextualSpacing/>
        <w:rPr>
          <w:rFonts w:eastAsia="Calibri" w:cs="Times New Roman"/>
          <w:szCs w:val="24"/>
        </w:rPr>
      </w:pPr>
    </w:p>
    <w:p w14:paraId="13D2C83D" w14:textId="40973D74" w:rsidR="00A86259" w:rsidRDefault="00F81C9F" w:rsidP="00BE220F">
      <w:pPr>
        <w:widowControl w:val="0"/>
        <w:contextualSpacing/>
        <w:rPr>
          <w:rFonts w:eastAsia="Calibri" w:cs="Times New Roman"/>
          <w:szCs w:val="24"/>
        </w:rPr>
      </w:pPr>
      <w:r w:rsidRPr="00925262">
        <w:rPr>
          <w:rFonts w:eastAsia="Calibri" w:cs="Times New Roman"/>
          <w:i/>
          <w:szCs w:val="24"/>
        </w:rPr>
        <w:t>First</w:t>
      </w:r>
      <w:r w:rsidRPr="00925262">
        <w:rPr>
          <w:rFonts w:eastAsia="Calibri" w:cs="Times New Roman"/>
          <w:szCs w:val="24"/>
        </w:rPr>
        <w:t xml:space="preserve">, only </w:t>
      </w:r>
      <w:r w:rsidR="00ED0CBE" w:rsidRPr="00925262">
        <w:rPr>
          <w:rFonts w:eastAsia="Calibri" w:cs="Times New Roman"/>
          <w:i/>
          <w:szCs w:val="24"/>
        </w:rPr>
        <w:t>a</w:t>
      </w:r>
      <w:r w:rsidR="00ED0CBE" w:rsidRPr="00925262">
        <w:rPr>
          <w:rFonts w:eastAsia="Calibri" w:cs="Times New Roman"/>
          <w:szCs w:val="24"/>
        </w:rPr>
        <w:t xml:space="preserve"> </w:t>
      </w:r>
      <w:r w:rsidRPr="00925262">
        <w:rPr>
          <w:rFonts w:eastAsia="Calibri" w:cs="Times New Roman"/>
          <w:i/>
          <w:szCs w:val="24"/>
        </w:rPr>
        <w:t>general practice</w:t>
      </w:r>
      <w:r w:rsidRPr="00925262">
        <w:rPr>
          <w:rFonts w:eastAsia="Calibri" w:cs="Times New Roman"/>
          <w:szCs w:val="24"/>
        </w:rPr>
        <w:t xml:space="preserve"> that is </w:t>
      </w:r>
      <w:r w:rsidRPr="00925262">
        <w:rPr>
          <w:rFonts w:eastAsia="Calibri" w:cs="Times New Roman"/>
          <w:i/>
          <w:szCs w:val="24"/>
        </w:rPr>
        <w:t>accepted as law</w:t>
      </w:r>
      <w:r w:rsidRPr="00925262">
        <w:rPr>
          <w:rFonts w:eastAsia="Calibri" w:cs="Times New Roman"/>
          <w:szCs w:val="24"/>
        </w:rPr>
        <w:t xml:space="preserve"> </w:t>
      </w:r>
      <w:r w:rsidR="002B7113">
        <w:rPr>
          <w:rFonts w:eastAsia="Calibri" w:cs="Times New Roman"/>
          <w:szCs w:val="24"/>
        </w:rPr>
        <w:t xml:space="preserve">(that is, accompanied by an </w:t>
      </w:r>
      <w:r w:rsidR="002B7113" w:rsidRPr="002B7113">
        <w:rPr>
          <w:rFonts w:eastAsia="Calibri" w:cs="Times New Roman"/>
          <w:i/>
          <w:iCs/>
          <w:szCs w:val="24"/>
        </w:rPr>
        <w:t xml:space="preserve">opinio </w:t>
      </w:r>
      <w:r w:rsidR="002B7113" w:rsidRPr="002B7113">
        <w:rPr>
          <w:rFonts w:eastAsia="Calibri" w:cs="Times New Roman"/>
          <w:i/>
          <w:iCs/>
          <w:szCs w:val="24"/>
        </w:rPr>
        <w:lastRenderedPageBreak/>
        <w:t>juris</w:t>
      </w:r>
      <w:r w:rsidR="002B7113">
        <w:rPr>
          <w:rFonts w:eastAsia="Calibri" w:cs="Times New Roman"/>
          <w:szCs w:val="24"/>
        </w:rPr>
        <w:t xml:space="preserve">) </w:t>
      </w:r>
      <w:r w:rsidRPr="00925262">
        <w:rPr>
          <w:rFonts w:eastAsia="Calibri" w:cs="Times New Roman"/>
          <w:szCs w:val="24"/>
        </w:rPr>
        <w:t>leads to the creation</w:t>
      </w:r>
      <w:r w:rsidR="002B7113">
        <w:rPr>
          <w:rFonts w:eastAsia="Calibri" w:cs="Times New Roman"/>
          <w:szCs w:val="24"/>
        </w:rPr>
        <w:t>,</w:t>
      </w:r>
      <w:r w:rsidRPr="00925262">
        <w:rPr>
          <w:rFonts w:eastAsia="Calibri" w:cs="Times New Roman"/>
          <w:szCs w:val="24"/>
        </w:rPr>
        <w:t xml:space="preserve"> </w:t>
      </w:r>
      <w:r w:rsidR="002B7113">
        <w:rPr>
          <w:rFonts w:eastAsia="Calibri" w:cs="Times New Roman"/>
          <w:szCs w:val="24"/>
        </w:rPr>
        <w:t xml:space="preserve">and attests to the existence, </w:t>
      </w:r>
      <w:r w:rsidRPr="00925262">
        <w:rPr>
          <w:rFonts w:eastAsia="Calibri" w:cs="Times New Roman"/>
          <w:szCs w:val="24"/>
        </w:rPr>
        <w:t>of a customary rule.</w:t>
      </w:r>
      <w:r w:rsidRPr="00925262">
        <w:rPr>
          <w:rFonts w:eastAsia="Calibri" w:cs="Times New Roman"/>
          <w:szCs w:val="24"/>
          <w:vertAlign w:val="superscript"/>
        </w:rPr>
        <w:footnoteReference w:id="51"/>
      </w:r>
      <w:r w:rsidR="005E2C6F">
        <w:rPr>
          <w:rFonts w:eastAsia="Calibri" w:cs="Times New Roman"/>
          <w:szCs w:val="24"/>
        </w:rPr>
        <w:t xml:space="preserve"> </w:t>
      </w:r>
      <w:r w:rsidRPr="00925262">
        <w:rPr>
          <w:rFonts w:eastAsia="Calibri" w:cs="Times New Roman"/>
          <w:szCs w:val="24"/>
        </w:rPr>
        <w:t xml:space="preserve">Practice must be </w:t>
      </w:r>
      <w:r w:rsidR="00BE220F">
        <w:rPr>
          <w:rFonts w:eastAsia="Calibri" w:cs="Times New Roman"/>
          <w:szCs w:val="24"/>
        </w:rPr>
        <w:t>‘</w:t>
      </w:r>
      <w:r w:rsidRPr="00925262">
        <w:rPr>
          <w:rFonts w:eastAsia="Calibri" w:cs="Times New Roman"/>
          <w:szCs w:val="24"/>
        </w:rPr>
        <w:t>widespread and representative</w:t>
      </w:r>
      <w:r w:rsidR="00BE220F">
        <w:rPr>
          <w:rFonts w:eastAsia="Calibri" w:cs="Times New Roman"/>
          <w:szCs w:val="24"/>
        </w:rPr>
        <w:t>’</w:t>
      </w:r>
      <w:r w:rsidRPr="00925262">
        <w:rPr>
          <w:rFonts w:eastAsia="Calibri" w:cs="Times New Roman"/>
          <w:szCs w:val="24"/>
        </w:rPr>
        <w:t>, but what this entails will vary depending on the circumstances.</w:t>
      </w:r>
      <w:r w:rsidRPr="00925262">
        <w:rPr>
          <w:rFonts w:eastAsia="Calibri" w:cs="Times New Roman"/>
          <w:szCs w:val="24"/>
          <w:vertAlign w:val="superscript"/>
        </w:rPr>
        <w:footnoteReference w:id="52"/>
      </w:r>
      <w:r w:rsidRPr="00925262">
        <w:rPr>
          <w:rFonts w:eastAsia="Calibri" w:cs="Times New Roman"/>
          <w:szCs w:val="24"/>
        </w:rPr>
        <w:t xml:space="preserve"> There is no absolute requirement of representation of the various geographical regions of the world, and the number and distribution of </w:t>
      </w:r>
      <w:r w:rsidR="008F7045">
        <w:rPr>
          <w:rFonts w:eastAsia="Calibri" w:cs="Times New Roman"/>
          <w:szCs w:val="24"/>
        </w:rPr>
        <w:t>State</w:t>
      </w:r>
      <w:r w:rsidRPr="00925262">
        <w:rPr>
          <w:rFonts w:eastAsia="Calibri" w:cs="Times New Roman"/>
          <w:szCs w:val="24"/>
        </w:rPr>
        <w:t>s taking part cannot be identified in the abstract.</w:t>
      </w:r>
      <w:r w:rsidRPr="00925262">
        <w:rPr>
          <w:rFonts w:eastAsia="Calibri" w:cs="Times New Roman"/>
          <w:szCs w:val="24"/>
          <w:vertAlign w:val="superscript"/>
        </w:rPr>
        <w:footnoteReference w:id="53"/>
      </w:r>
      <w:r w:rsidRPr="00925262">
        <w:rPr>
          <w:rFonts w:eastAsia="Calibri" w:cs="Times New Roman"/>
          <w:szCs w:val="24"/>
        </w:rPr>
        <w:t xml:space="preserve"> </w:t>
      </w:r>
      <w:r w:rsidR="00400628">
        <w:rPr>
          <w:rFonts w:eastAsia="Calibri" w:cs="Times New Roman"/>
          <w:szCs w:val="24"/>
        </w:rPr>
        <w:t>I</w:t>
      </w:r>
      <w:r w:rsidR="00ED0CBE" w:rsidRPr="00925262">
        <w:rPr>
          <w:rFonts w:eastAsia="Calibri" w:cs="Times New Roman"/>
          <w:szCs w:val="24"/>
        </w:rPr>
        <w:t xml:space="preserve">n certain circumstances </w:t>
      </w:r>
      <w:r w:rsidRPr="00925262">
        <w:rPr>
          <w:rFonts w:eastAsia="Calibri" w:cs="Times New Roman"/>
          <w:szCs w:val="24"/>
        </w:rPr>
        <w:t xml:space="preserve">a customary rule </w:t>
      </w:r>
      <w:r w:rsidR="00987116">
        <w:rPr>
          <w:rFonts w:eastAsia="Calibri" w:cs="Times New Roman"/>
          <w:szCs w:val="24"/>
        </w:rPr>
        <w:t xml:space="preserve">that has wide endorsement </w:t>
      </w:r>
      <w:r w:rsidRPr="00925262">
        <w:rPr>
          <w:rFonts w:eastAsia="Calibri" w:cs="Times New Roman"/>
          <w:szCs w:val="24"/>
        </w:rPr>
        <w:t>can form with relatively little practice.</w:t>
      </w:r>
      <w:r w:rsidRPr="00925262">
        <w:rPr>
          <w:rFonts w:eastAsia="Calibri" w:cs="Times New Roman"/>
          <w:szCs w:val="24"/>
          <w:vertAlign w:val="superscript"/>
        </w:rPr>
        <w:footnoteReference w:id="54"/>
      </w:r>
      <w:r w:rsidR="005E2C6F">
        <w:rPr>
          <w:rFonts w:eastAsia="Calibri" w:cs="Times New Roman"/>
          <w:szCs w:val="24"/>
        </w:rPr>
        <w:t xml:space="preserve"> </w:t>
      </w:r>
    </w:p>
    <w:p w14:paraId="7FF6F9C3" w14:textId="77777777" w:rsidR="00BE220F" w:rsidRDefault="00BE220F" w:rsidP="00BE220F">
      <w:pPr>
        <w:widowControl w:val="0"/>
        <w:contextualSpacing/>
        <w:rPr>
          <w:rFonts w:eastAsia="Calibri" w:cs="Times New Roman"/>
          <w:szCs w:val="24"/>
        </w:rPr>
      </w:pPr>
    </w:p>
    <w:p w14:paraId="7FB80789" w14:textId="3E2A5158" w:rsidR="00F81C9F" w:rsidRPr="00925262" w:rsidRDefault="00F81C9F" w:rsidP="00BE220F">
      <w:pPr>
        <w:widowControl w:val="0"/>
        <w:contextualSpacing/>
        <w:rPr>
          <w:rFonts w:eastAsia="Calibri" w:cs="Times New Roman"/>
          <w:szCs w:val="24"/>
        </w:rPr>
      </w:pPr>
      <w:r w:rsidRPr="00925262">
        <w:rPr>
          <w:rFonts w:eastAsia="Calibri" w:cs="Times New Roman"/>
          <w:szCs w:val="24"/>
        </w:rPr>
        <w:t xml:space="preserve">As regards special mission immunity, it should be noted that </w:t>
      </w:r>
      <w:r w:rsidR="003C76BB" w:rsidRPr="00925262">
        <w:rPr>
          <w:rFonts w:eastAsia="Calibri" w:cs="Times New Roman"/>
          <w:szCs w:val="24"/>
        </w:rPr>
        <w:t xml:space="preserve">the </w:t>
      </w:r>
      <w:r w:rsidRPr="00925262">
        <w:rPr>
          <w:rFonts w:eastAsia="Calibri" w:cs="Times New Roman"/>
          <w:szCs w:val="24"/>
        </w:rPr>
        <w:t xml:space="preserve">frequency of </w:t>
      </w:r>
      <w:r w:rsidR="002B7113">
        <w:rPr>
          <w:rFonts w:eastAsia="Calibri" w:cs="Times New Roman"/>
          <w:szCs w:val="24"/>
        </w:rPr>
        <w:t>having to assert</w:t>
      </w:r>
      <w:r w:rsidR="00364AAF">
        <w:rPr>
          <w:rFonts w:eastAsia="Calibri" w:cs="Times New Roman"/>
          <w:szCs w:val="24"/>
        </w:rPr>
        <w:t xml:space="preserve"> such</w:t>
      </w:r>
      <w:r w:rsidR="002B7113">
        <w:rPr>
          <w:rFonts w:eastAsia="Calibri" w:cs="Times New Roman"/>
          <w:szCs w:val="24"/>
        </w:rPr>
        <w:t xml:space="preserve"> immunity</w:t>
      </w:r>
      <w:r w:rsidR="00364AAF">
        <w:rPr>
          <w:rFonts w:eastAsia="Calibri" w:cs="Times New Roman"/>
          <w:szCs w:val="24"/>
        </w:rPr>
        <w:t xml:space="preserve"> </w:t>
      </w:r>
      <w:r w:rsidRPr="00925262">
        <w:rPr>
          <w:rFonts w:eastAsia="Calibri" w:cs="Times New Roman"/>
          <w:szCs w:val="24"/>
        </w:rPr>
        <w:t xml:space="preserve">is relatively </w:t>
      </w:r>
      <w:r w:rsidR="003C76BB" w:rsidRPr="00925262">
        <w:rPr>
          <w:rFonts w:eastAsia="Calibri" w:cs="Times New Roman"/>
          <w:szCs w:val="24"/>
        </w:rPr>
        <w:t>low</w:t>
      </w:r>
      <w:r w:rsidRPr="00925262">
        <w:rPr>
          <w:rFonts w:eastAsia="Calibri" w:cs="Times New Roman"/>
          <w:szCs w:val="24"/>
        </w:rPr>
        <w:t xml:space="preserve">. </w:t>
      </w:r>
      <w:r w:rsidR="00A86259">
        <w:rPr>
          <w:rFonts w:eastAsia="Calibri" w:cs="Times New Roman"/>
          <w:szCs w:val="24"/>
        </w:rPr>
        <w:t>Leaving aside</w:t>
      </w:r>
      <w:r w:rsidR="004640D8">
        <w:rPr>
          <w:rFonts w:eastAsia="Calibri" w:cs="Times New Roman"/>
          <w:szCs w:val="24"/>
        </w:rPr>
        <w:t xml:space="preserve"> the fact that special missions have become routine</w:t>
      </w:r>
      <w:r w:rsidR="00A86259">
        <w:rPr>
          <w:rFonts w:eastAsia="Calibri" w:cs="Times New Roman"/>
          <w:szCs w:val="24"/>
        </w:rPr>
        <w:t xml:space="preserve"> events,</w:t>
      </w:r>
      <w:r w:rsidR="004640D8">
        <w:rPr>
          <w:rFonts w:eastAsia="Calibri" w:cs="Times New Roman"/>
          <w:szCs w:val="24"/>
        </w:rPr>
        <w:t xml:space="preserve"> and most of the time </w:t>
      </w:r>
      <w:r w:rsidR="008F7045">
        <w:rPr>
          <w:rFonts w:eastAsia="Calibri" w:cs="Times New Roman"/>
          <w:szCs w:val="24"/>
        </w:rPr>
        <w:t>State</w:t>
      </w:r>
      <w:r w:rsidR="004640D8">
        <w:rPr>
          <w:rFonts w:eastAsia="Calibri" w:cs="Times New Roman"/>
          <w:szCs w:val="24"/>
        </w:rPr>
        <w:t xml:space="preserve">s are not concerned about their privileges and immunities, there may be </w:t>
      </w:r>
      <w:r w:rsidR="002F79A8" w:rsidRPr="00925262">
        <w:rPr>
          <w:rFonts w:eastAsia="Calibri" w:cs="Times New Roman"/>
          <w:szCs w:val="24"/>
        </w:rPr>
        <w:t>three</w:t>
      </w:r>
      <w:r w:rsidR="00914AA8" w:rsidRPr="00925262">
        <w:rPr>
          <w:rFonts w:eastAsia="Calibri" w:cs="Times New Roman"/>
          <w:szCs w:val="24"/>
        </w:rPr>
        <w:t xml:space="preserve"> reasons</w:t>
      </w:r>
      <w:r w:rsidR="004640D8">
        <w:rPr>
          <w:rFonts w:eastAsia="Calibri" w:cs="Times New Roman"/>
          <w:szCs w:val="24"/>
        </w:rPr>
        <w:t xml:space="preserve"> for this</w:t>
      </w:r>
      <w:r w:rsidR="00914AA8" w:rsidRPr="00925262">
        <w:rPr>
          <w:rFonts w:eastAsia="Calibri" w:cs="Times New Roman"/>
          <w:szCs w:val="24"/>
        </w:rPr>
        <w:t>: (i)</w:t>
      </w:r>
      <w:r w:rsidRPr="00925262">
        <w:rPr>
          <w:rFonts w:eastAsia="Calibri" w:cs="Times New Roman"/>
          <w:szCs w:val="24"/>
        </w:rPr>
        <w:t xml:space="preserve"> special missions are short, temporary visits, </w:t>
      </w:r>
      <w:r w:rsidR="00914AA8" w:rsidRPr="00925262">
        <w:rPr>
          <w:rFonts w:eastAsia="Calibri" w:cs="Times New Roman"/>
          <w:szCs w:val="24"/>
        </w:rPr>
        <w:t>which leaves</w:t>
      </w:r>
      <w:r w:rsidRPr="00925262">
        <w:rPr>
          <w:rFonts w:eastAsia="Calibri" w:cs="Times New Roman"/>
          <w:szCs w:val="24"/>
        </w:rPr>
        <w:t xml:space="preserve"> little time for members to commit a crime/civil wrong or </w:t>
      </w:r>
      <w:r w:rsidR="00914AA8" w:rsidRPr="00925262">
        <w:rPr>
          <w:rFonts w:eastAsia="Calibri" w:cs="Times New Roman"/>
          <w:szCs w:val="24"/>
        </w:rPr>
        <w:t xml:space="preserve">be subject to </w:t>
      </w:r>
      <w:r w:rsidR="00A86259">
        <w:rPr>
          <w:rFonts w:eastAsia="Calibri" w:cs="Times New Roman"/>
          <w:szCs w:val="24"/>
        </w:rPr>
        <w:t xml:space="preserve">the execution of </w:t>
      </w:r>
      <w:r w:rsidR="00914AA8" w:rsidRPr="00925262">
        <w:rPr>
          <w:rFonts w:eastAsia="Calibri" w:cs="Times New Roman"/>
          <w:szCs w:val="24"/>
        </w:rPr>
        <w:t>an arrest warrant;</w:t>
      </w:r>
      <w:r w:rsidRPr="00925262">
        <w:rPr>
          <w:rFonts w:eastAsia="Calibri" w:cs="Times New Roman"/>
          <w:szCs w:val="24"/>
        </w:rPr>
        <w:t xml:space="preserve"> </w:t>
      </w:r>
      <w:r w:rsidR="00914AA8" w:rsidRPr="00925262">
        <w:rPr>
          <w:rFonts w:eastAsia="Calibri" w:cs="Times New Roman"/>
          <w:szCs w:val="24"/>
        </w:rPr>
        <w:t>(ii)</w:t>
      </w:r>
      <w:r w:rsidRPr="00925262">
        <w:rPr>
          <w:rFonts w:eastAsia="Calibri" w:cs="Times New Roman"/>
          <w:szCs w:val="24"/>
        </w:rPr>
        <w:t xml:space="preserve"> issues of immunity </w:t>
      </w:r>
      <w:r w:rsidR="00A86259">
        <w:rPr>
          <w:rFonts w:eastAsia="Calibri" w:cs="Times New Roman"/>
          <w:szCs w:val="24"/>
        </w:rPr>
        <w:t>are</w:t>
      </w:r>
      <w:r w:rsidRPr="00925262">
        <w:rPr>
          <w:rFonts w:eastAsia="Calibri" w:cs="Times New Roman"/>
          <w:szCs w:val="24"/>
        </w:rPr>
        <w:t xml:space="preserve"> often dealt with through diplomat</w:t>
      </w:r>
      <w:r w:rsidR="008E60B7" w:rsidRPr="00925262">
        <w:rPr>
          <w:rFonts w:eastAsia="Calibri" w:cs="Times New Roman"/>
          <w:szCs w:val="24"/>
        </w:rPr>
        <w:t xml:space="preserve">ic channels, and it </w:t>
      </w:r>
      <w:r w:rsidR="00BB5C58" w:rsidRPr="00925262">
        <w:rPr>
          <w:rFonts w:eastAsia="Calibri" w:cs="Times New Roman"/>
          <w:szCs w:val="24"/>
        </w:rPr>
        <w:t xml:space="preserve">is rare that such diplomatic arrangements are </w:t>
      </w:r>
      <w:r w:rsidR="00A86259">
        <w:rPr>
          <w:rFonts w:eastAsia="Calibri" w:cs="Times New Roman"/>
          <w:szCs w:val="24"/>
        </w:rPr>
        <w:t>made</w:t>
      </w:r>
      <w:r w:rsidR="000C4DA5" w:rsidRPr="00925262">
        <w:rPr>
          <w:rFonts w:eastAsia="Calibri" w:cs="Times New Roman"/>
          <w:szCs w:val="24"/>
        </w:rPr>
        <w:t xml:space="preserve"> public; </w:t>
      </w:r>
      <w:r w:rsidR="000C4DA5" w:rsidRPr="00100614">
        <w:rPr>
          <w:rFonts w:eastAsia="Calibri" w:cs="Times New Roman"/>
          <w:szCs w:val="24"/>
        </w:rPr>
        <w:t>and</w:t>
      </w:r>
      <w:r w:rsidR="000C4DA5" w:rsidRPr="005A555A">
        <w:rPr>
          <w:rFonts w:eastAsia="Calibri" w:cs="Times New Roman"/>
          <w:szCs w:val="24"/>
        </w:rPr>
        <w:t xml:space="preserve"> </w:t>
      </w:r>
      <w:r w:rsidR="000C4DA5" w:rsidRPr="00925262">
        <w:rPr>
          <w:rFonts w:eastAsia="Calibri" w:cs="Times New Roman"/>
          <w:szCs w:val="24"/>
        </w:rPr>
        <w:t xml:space="preserve">(iii) </w:t>
      </w:r>
      <w:r w:rsidRPr="00925262">
        <w:rPr>
          <w:rFonts w:eastAsia="Calibri" w:cs="Times New Roman"/>
          <w:szCs w:val="24"/>
        </w:rPr>
        <w:t xml:space="preserve">national prosecutors </w:t>
      </w:r>
      <w:r w:rsidR="00D92786">
        <w:rPr>
          <w:rFonts w:eastAsia="Calibri" w:cs="Times New Roman"/>
          <w:szCs w:val="24"/>
        </w:rPr>
        <w:t xml:space="preserve">may well </w:t>
      </w:r>
      <w:r w:rsidRPr="00925262">
        <w:rPr>
          <w:rFonts w:eastAsia="Calibri" w:cs="Times New Roman"/>
          <w:szCs w:val="24"/>
        </w:rPr>
        <w:t xml:space="preserve">refrain from prosecuting </w:t>
      </w:r>
      <w:r w:rsidR="00D92786">
        <w:rPr>
          <w:rFonts w:eastAsia="Calibri" w:cs="Times New Roman"/>
          <w:szCs w:val="24"/>
        </w:rPr>
        <w:t>when</w:t>
      </w:r>
      <w:r w:rsidRPr="00925262">
        <w:rPr>
          <w:rFonts w:eastAsia="Calibri" w:cs="Times New Roman"/>
          <w:szCs w:val="24"/>
        </w:rPr>
        <w:t xml:space="preserve"> they know a foreign visitor is entitled to immunity. </w:t>
      </w:r>
      <w:r w:rsidR="005A555A">
        <w:rPr>
          <w:rFonts w:eastAsia="Calibri" w:cs="Times New Roman"/>
          <w:szCs w:val="24"/>
        </w:rPr>
        <w:t xml:space="preserve">The representative of </w:t>
      </w:r>
      <w:r w:rsidRPr="00925262">
        <w:rPr>
          <w:rFonts w:eastAsia="Calibri" w:cs="Times New Roman"/>
          <w:szCs w:val="24"/>
        </w:rPr>
        <w:t>Germany in the Sixth Committee in 2016</w:t>
      </w:r>
      <w:r w:rsidR="008D52E8" w:rsidRPr="00925262">
        <w:rPr>
          <w:rFonts w:eastAsia="Calibri" w:cs="Times New Roman"/>
          <w:szCs w:val="24"/>
        </w:rPr>
        <w:t xml:space="preserve"> stated that:</w:t>
      </w:r>
      <w:r w:rsidR="0047708B" w:rsidRPr="00925262">
        <w:rPr>
          <w:rFonts w:eastAsia="Calibri" w:cs="Times New Roman"/>
          <w:szCs w:val="24"/>
        </w:rPr>
        <w:t xml:space="preserve"> </w:t>
      </w:r>
    </w:p>
    <w:p w14:paraId="63BE8F3D" w14:textId="77777777" w:rsidR="00BE220F" w:rsidRDefault="00BE220F" w:rsidP="00825778">
      <w:pPr>
        <w:widowControl w:val="0"/>
        <w:ind w:left="360"/>
        <w:contextualSpacing/>
        <w:rPr>
          <w:rFonts w:eastAsia="Calibri" w:cs="Times New Roman"/>
          <w:sz w:val="20"/>
          <w:szCs w:val="20"/>
        </w:rPr>
      </w:pPr>
    </w:p>
    <w:p w14:paraId="52061F69" w14:textId="208A0E86" w:rsidR="00F81C9F" w:rsidRPr="00925262" w:rsidRDefault="003A218E" w:rsidP="00825778">
      <w:pPr>
        <w:widowControl w:val="0"/>
        <w:ind w:left="360"/>
        <w:contextualSpacing/>
        <w:rPr>
          <w:rFonts w:eastAsia="Calibri" w:cs="Times New Roman"/>
          <w:sz w:val="20"/>
          <w:szCs w:val="20"/>
        </w:rPr>
      </w:pPr>
      <w:r>
        <w:rPr>
          <w:rFonts w:eastAsia="Calibri" w:cs="Times New Roman"/>
          <w:sz w:val="20"/>
          <w:szCs w:val="20"/>
        </w:rPr>
        <w:t>[t]he report [the Special Rapporteur’s</w:t>
      </w:r>
      <w:r w:rsidRPr="00925262">
        <w:rPr>
          <w:rFonts w:eastAsia="Calibri" w:cs="Times New Roman"/>
          <w:sz w:val="20"/>
          <w:szCs w:val="20"/>
        </w:rPr>
        <w:t xml:space="preserve"> fifth report</w:t>
      </w:r>
      <w:r>
        <w:rPr>
          <w:rFonts w:eastAsia="Calibri" w:cs="Times New Roman"/>
          <w:sz w:val="20"/>
          <w:szCs w:val="20"/>
        </w:rPr>
        <w:t>] also analysed how national courts had dealt with the issue of immunity. However, national prosecutors had often refrained from pursuing a case after coming to the conclusion that immunity applied. As a result, there was a systematic lack of case law, and only limited conclusions could be drawn from the number and content of national rulings.</w:t>
      </w:r>
      <w:r w:rsidR="009F43D4" w:rsidRPr="00925262">
        <w:rPr>
          <w:rStyle w:val="FootnoteReference"/>
          <w:rFonts w:eastAsia="Calibri" w:cs="Times New Roman"/>
          <w:sz w:val="20"/>
          <w:szCs w:val="20"/>
        </w:rPr>
        <w:footnoteReference w:id="55"/>
      </w:r>
    </w:p>
    <w:p w14:paraId="4FEFD6BC" w14:textId="77777777" w:rsidR="00F81C9F" w:rsidRPr="00925262" w:rsidRDefault="00F81C9F" w:rsidP="0082079F">
      <w:pPr>
        <w:widowControl w:val="0"/>
        <w:ind w:left="360"/>
        <w:contextualSpacing/>
        <w:rPr>
          <w:rFonts w:eastAsia="Calibri" w:cs="Times New Roman"/>
          <w:szCs w:val="24"/>
        </w:rPr>
      </w:pPr>
    </w:p>
    <w:p w14:paraId="51FDFEE7" w14:textId="520E55FF" w:rsidR="00825778" w:rsidRPr="00925262" w:rsidRDefault="00F81C9F" w:rsidP="00825778">
      <w:pPr>
        <w:widowControl w:val="0"/>
        <w:contextualSpacing/>
        <w:rPr>
          <w:rFonts w:eastAsia="Calibri" w:cs="Times New Roman"/>
          <w:szCs w:val="24"/>
        </w:rPr>
      </w:pPr>
      <w:r w:rsidRPr="00925262">
        <w:rPr>
          <w:rFonts w:eastAsia="Calibri" w:cs="Times New Roman"/>
          <w:szCs w:val="24"/>
        </w:rPr>
        <w:t xml:space="preserve">It is thus only in relatively rare cases that an issue relating to </w:t>
      </w:r>
      <w:r w:rsidR="00E86798">
        <w:rPr>
          <w:rFonts w:eastAsia="Calibri" w:cs="Times New Roman"/>
          <w:szCs w:val="24"/>
        </w:rPr>
        <w:t>special mission immunity</w:t>
      </w:r>
      <w:r w:rsidR="00D92786">
        <w:rPr>
          <w:rFonts w:eastAsia="Calibri" w:cs="Times New Roman"/>
          <w:szCs w:val="24"/>
        </w:rPr>
        <w:t xml:space="preserve"> becomes public, either because it</w:t>
      </w:r>
      <w:r w:rsidRPr="00925262">
        <w:rPr>
          <w:rFonts w:eastAsia="Calibri" w:cs="Times New Roman"/>
          <w:szCs w:val="24"/>
        </w:rPr>
        <w:t xml:space="preserve"> arises before a national court, or </w:t>
      </w:r>
      <w:r w:rsidR="00D92786">
        <w:rPr>
          <w:rFonts w:eastAsia="Calibri" w:cs="Times New Roman"/>
          <w:szCs w:val="24"/>
        </w:rPr>
        <w:t>through</w:t>
      </w:r>
      <w:r w:rsidRPr="00925262">
        <w:rPr>
          <w:rFonts w:eastAsia="Calibri" w:cs="Times New Roman"/>
          <w:szCs w:val="24"/>
        </w:rPr>
        <w:t xml:space="preserve"> a public statement.</w:t>
      </w:r>
      <w:r w:rsidR="005E2C6F">
        <w:rPr>
          <w:rFonts w:eastAsia="Calibri" w:cs="Times New Roman"/>
          <w:szCs w:val="24"/>
        </w:rPr>
        <w:t xml:space="preserve"> </w:t>
      </w:r>
      <w:r w:rsidRPr="00925262">
        <w:rPr>
          <w:rFonts w:eastAsia="Calibri" w:cs="Times New Roman"/>
          <w:szCs w:val="24"/>
        </w:rPr>
        <w:t xml:space="preserve">Any investigation into the customary </w:t>
      </w:r>
      <w:r w:rsidR="00400628">
        <w:rPr>
          <w:rFonts w:eastAsia="Calibri" w:cs="Times New Roman"/>
          <w:szCs w:val="24"/>
        </w:rPr>
        <w:t xml:space="preserve">law </w:t>
      </w:r>
      <w:r w:rsidRPr="00925262">
        <w:rPr>
          <w:rFonts w:eastAsia="Calibri" w:cs="Times New Roman"/>
          <w:szCs w:val="24"/>
        </w:rPr>
        <w:t xml:space="preserve">status of such immunity must </w:t>
      </w:r>
      <w:r w:rsidR="002B7113">
        <w:rPr>
          <w:rFonts w:eastAsia="Calibri" w:cs="Times New Roman"/>
          <w:szCs w:val="24"/>
        </w:rPr>
        <w:t xml:space="preserve">therefore </w:t>
      </w:r>
      <w:r w:rsidRPr="00925262">
        <w:rPr>
          <w:rFonts w:eastAsia="Calibri" w:cs="Times New Roman"/>
          <w:szCs w:val="24"/>
        </w:rPr>
        <w:t xml:space="preserve">treat the </w:t>
      </w:r>
      <w:r w:rsidR="00400628">
        <w:rPr>
          <w:rFonts w:eastAsia="Calibri" w:cs="Times New Roman"/>
          <w:szCs w:val="24"/>
        </w:rPr>
        <w:t>lack</w:t>
      </w:r>
      <w:r w:rsidRPr="00925262">
        <w:rPr>
          <w:rFonts w:eastAsia="Calibri" w:cs="Times New Roman"/>
          <w:szCs w:val="24"/>
        </w:rPr>
        <w:t xml:space="preserve"> of public practice or </w:t>
      </w:r>
      <w:r w:rsidR="002B7113">
        <w:rPr>
          <w:rFonts w:eastAsia="Calibri" w:cs="Times New Roman"/>
          <w:szCs w:val="24"/>
        </w:rPr>
        <w:t xml:space="preserve">evidence of </w:t>
      </w:r>
      <w:r w:rsidRPr="00925262">
        <w:rPr>
          <w:rFonts w:eastAsia="Calibri" w:cs="Times New Roman"/>
          <w:i/>
          <w:szCs w:val="24"/>
        </w:rPr>
        <w:t xml:space="preserve">opinio juris </w:t>
      </w:r>
      <w:r w:rsidRPr="00925262">
        <w:rPr>
          <w:rFonts w:eastAsia="Calibri" w:cs="Times New Roman"/>
          <w:szCs w:val="24"/>
        </w:rPr>
        <w:t xml:space="preserve">with caution. </w:t>
      </w:r>
    </w:p>
    <w:p w14:paraId="406EBECC" w14:textId="77777777" w:rsidR="00BE220F" w:rsidRDefault="00BE220F" w:rsidP="00BE220F">
      <w:pPr>
        <w:widowControl w:val="0"/>
        <w:contextualSpacing/>
        <w:rPr>
          <w:rFonts w:eastAsia="Calibri" w:cs="Times New Roman"/>
          <w:i/>
          <w:szCs w:val="24"/>
        </w:rPr>
      </w:pPr>
    </w:p>
    <w:p w14:paraId="5CE17B0D" w14:textId="7D66EE7D" w:rsidR="00D92786" w:rsidRDefault="00F81C9F" w:rsidP="00BE220F">
      <w:pPr>
        <w:widowControl w:val="0"/>
        <w:contextualSpacing/>
        <w:rPr>
          <w:rFonts w:eastAsia="Calibri" w:cs="Times New Roman"/>
          <w:szCs w:val="24"/>
        </w:rPr>
      </w:pPr>
      <w:r w:rsidRPr="00925262">
        <w:rPr>
          <w:rFonts w:eastAsia="Calibri" w:cs="Times New Roman"/>
          <w:i/>
          <w:szCs w:val="24"/>
        </w:rPr>
        <w:t>Second</w:t>
      </w:r>
      <w:r w:rsidRPr="00925262">
        <w:rPr>
          <w:rFonts w:eastAsia="Calibri" w:cs="Times New Roman"/>
          <w:szCs w:val="24"/>
        </w:rPr>
        <w:t xml:space="preserve">, when assessing the available evidence, </w:t>
      </w:r>
      <w:r w:rsidR="00BE220F">
        <w:rPr>
          <w:rFonts w:eastAsia="Calibri" w:cs="Times New Roman"/>
          <w:szCs w:val="24"/>
        </w:rPr>
        <w:t>‘</w:t>
      </w:r>
      <w:r w:rsidRPr="00925262">
        <w:rPr>
          <w:rFonts w:eastAsia="Calibri" w:cs="Times New Roman"/>
          <w:szCs w:val="24"/>
        </w:rPr>
        <w:t>regard must be had to the overall context, the nature of the rule, and the particular circumstances in which the evidence in question is to be found</w:t>
      </w:r>
      <w:r w:rsidR="00BE220F">
        <w:rPr>
          <w:rFonts w:eastAsia="Calibri" w:cs="Times New Roman"/>
          <w:szCs w:val="24"/>
        </w:rPr>
        <w:t>’</w:t>
      </w:r>
      <w:r w:rsidRPr="00925262">
        <w:rPr>
          <w:rFonts w:eastAsia="Calibri" w:cs="Times New Roman"/>
          <w:szCs w:val="24"/>
        </w:rPr>
        <w:t>.</w:t>
      </w:r>
      <w:r w:rsidRPr="00925262">
        <w:rPr>
          <w:rFonts w:eastAsia="Calibri" w:cs="Times New Roman"/>
          <w:szCs w:val="24"/>
          <w:vertAlign w:val="superscript"/>
        </w:rPr>
        <w:footnoteReference w:id="56"/>
      </w:r>
      <w:r w:rsidRPr="00925262">
        <w:rPr>
          <w:rFonts w:eastAsia="Calibri" w:cs="Times New Roman"/>
          <w:szCs w:val="24"/>
        </w:rPr>
        <w:t xml:space="preserve"> The overall context requires the assessor to take into account the </w:t>
      </w:r>
      <w:r w:rsidR="00F422C5" w:rsidRPr="00925262">
        <w:rPr>
          <w:rFonts w:eastAsia="Calibri" w:cs="Times New Roman"/>
          <w:szCs w:val="24"/>
        </w:rPr>
        <w:t>subject</w:t>
      </w:r>
      <w:r w:rsidR="00D92786">
        <w:rPr>
          <w:rFonts w:eastAsia="Calibri" w:cs="Times New Roman"/>
          <w:szCs w:val="24"/>
        </w:rPr>
        <w:t>-</w:t>
      </w:r>
      <w:r w:rsidR="00F422C5">
        <w:rPr>
          <w:rFonts w:eastAsia="Calibri" w:cs="Times New Roman"/>
          <w:szCs w:val="24"/>
        </w:rPr>
        <w:t>matter</w:t>
      </w:r>
      <w:r w:rsidRPr="00925262">
        <w:rPr>
          <w:rFonts w:eastAsia="Calibri" w:cs="Times New Roman"/>
          <w:szCs w:val="24"/>
        </w:rPr>
        <w:t xml:space="preserve"> and nature of the rule, as well as underlying principles of international law that might be applicable. The </w:t>
      </w:r>
      <w:r w:rsidR="00BE220F">
        <w:rPr>
          <w:rFonts w:eastAsia="Calibri" w:cs="Times New Roman"/>
          <w:szCs w:val="24"/>
        </w:rPr>
        <w:t>‘</w:t>
      </w:r>
      <w:r w:rsidRPr="00925262">
        <w:rPr>
          <w:rFonts w:eastAsia="Calibri" w:cs="Times New Roman"/>
          <w:szCs w:val="24"/>
        </w:rPr>
        <w:t xml:space="preserve">type of evidence consulted (and </w:t>
      </w:r>
      <w:r w:rsidRPr="00925262">
        <w:rPr>
          <w:rFonts w:eastAsia="Calibri" w:cs="Times New Roman"/>
          <w:szCs w:val="24"/>
        </w:rPr>
        <w:lastRenderedPageBreak/>
        <w:t>consideration of its availability or otherwise) is to be adjusted to the situation, and certain forms of practice and evidence of acceptance as law</w:t>
      </w:r>
      <w:r w:rsidR="009F43D4" w:rsidRPr="00925262">
        <w:rPr>
          <w:rFonts w:eastAsia="Calibri" w:cs="Times New Roman"/>
          <w:szCs w:val="24"/>
        </w:rPr>
        <w:t xml:space="preserve"> </w:t>
      </w:r>
      <w:r w:rsidRPr="00925262">
        <w:rPr>
          <w:rFonts w:eastAsia="Calibri" w:cs="Times New Roman"/>
          <w:szCs w:val="24"/>
        </w:rPr>
        <w:t>…</w:t>
      </w:r>
      <w:r w:rsidR="009F43D4" w:rsidRPr="00925262">
        <w:rPr>
          <w:rFonts w:eastAsia="Calibri" w:cs="Times New Roman"/>
          <w:szCs w:val="24"/>
        </w:rPr>
        <w:t xml:space="preserve"> </w:t>
      </w:r>
      <w:r w:rsidRPr="00925262">
        <w:rPr>
          <w:rFonts w:eastAsia="Calibri" w:cs="Times New Roman"/>
          <w:szCs w:val="24"/>
        </w:rPr>
        <w:t>may be of particular significance, depending on the context</w:t>
      </w:r>
      <w:r w:rsidR="00BE220F">
        <w:rPr>
          <w:rFonts w:eastAsia="Calibri" w:cs="Times New Roman"/>
          <w:szCs w:val="24"/>
        </w:rPr>
        <w:t>’</w:t>
      </w:r>
      <w:r w:rsidRPr="00925262">
        <w:rPr>
          <w:rFonts w:eastAsia="Calibri" w:cs="Times New Roman"/>
          <w:szCs w:val="24"/>
        </w:rPr>
        <w:t>.</w:t>
      </w:r>
      <w:r w:rsidRPr="00925262">
        <w:rPr>
          <w:rFonts w:eastAsia="Calibri" w:cs="Times New Roman"/>
          <w:szCs w:val="24"/>
          <w:vertAlign w:val="superscript"/>
        </w:rPr>
        <w:footnoteReference w:id="57"/>
      </w:r>
      <w:r w:rsidR="005E2C6F">
        <w:rPr>
          <w:rFonts w:eastAsia="Calibri" w:cs="Times New Roman"/>
          <w:szCs w:val="24"/>
        </w:rPr>
        <w:t xml:space="preserve"> </w:t>
      </w:r>
    </w:p>
    <w:p w14:paraId="460A391B" w14:textId="77777777" w:rsidR="00BE220F" w:rsidRDefault="00BE220F" w:rsidP="00BE220F">
      <w:pPr>
        <w:widowControl w:val="0"/>
        <w:contextualSpacing/>
        <w:rPr>
          <w:rFonts w:eastAsia="Calibri" w:cs="Times New Roman"/>
          <w:szCs w:val="24"/>
        </w:rPr>
      </w:pPr>
    </w:p>
    <w:p w14:paraId="695AD8F9" w14:textId="113C3C24" w:rsidR="00657703" w:rsidRDefault="00F81C9F" w:rsidP="00BE220F">
      <w:pPr>
        <w:widowControl w:val="0"/>
        <w:contextualSpacing/>
        <w:rPr>
          <w:rFonts w:eastAsia="Calibri" w:cs="Times New Roman"/>
          <w:szCs w:val="24"/>
        </w:rPr>
      </w:pPr>
      <w:r w:rsidRPr="00925262">
        <w:rPr>
          <w:rFonts w:eastAsia="Calibri" w:cs="Times New Roman"/>
          <w:szCs w:val="24"/>
        </w:rPr>
        <w:t xml:space="preserve">For special mission immunity, evidence </w:t>
      </w:r>
      <w:r w:rsidR="005E4CA3">
        <w:rPr>
          <w:rFonts w:eastAsia="Calibri" w:cs="Times New Roman"/>
          <w:szCs w:val="24"/>
        </w:rPr>
        <w:t xml:space="preserve">of particular relevance </w:t>
      </w:r>
      <w:r w:rsidRPr="00925262">
        <w:rPr>
          <w:rFonts w:eastAsia="Calibri" w:cs="Times New Roman"/>
          <w:szCs w:val="24"/>
        </w:rPr>
        <w:t xml:space="preserve">includes decisions of national courts, claims by foreign and forum </w:t>
      </w:r>
      <w:r w:rsidR="009F43D4" w:rsidRPr="00925262">
        <w:rPr>
          <w:rFonts w:eastAsia="Calibri" w:cs="Times New Roman"/>
          <w:szCs w:val="24"/>
        </w:rPr>
        <w:t>S</w:t>
      </w:r>
      <w:r w:rsidRPr="00925262">
        <w:rPr>
          <w:rFonts w:eastAsia="Calibri" w:cs="Times New Roman"/>
          <w:szCs w:val="24"/>
        </w:rPr>
        <w:t xml:space="preserve">tates before national courts (for example, Mongolia </w:t>
      </w:r>
      <w:r w:rsidR="004640D8">
        <w:rPr>
          <w:rFonts w:eastAsia="Calibri" w:cs="Times New Roman"/>
          <w:szCs w:val="24"/>
        </w:rPr>
        <w:t xml:space="preserve">and the UK </w:t>
      </w:r>
      <w:r w:rsidRPr="00925262">
        <w:rPr>
          <w:rFonts w:eastAsia="Calibri" w:cs="Times New Roman"/>
          <w:szCs w:val="24"/>
        </w:rPr>
        <w:t xml:space="preserve">before the English High Court in </w:t>
      </w:r>
      <w:r w:rsidRPr="00925262">
        <w:rPr>
          <w:rFonts w:eastAsia="Calibri" w:cs="Times New Roman"/>
          <w:i/>
          <w:szCs w:val="24"/>
        </w:rPr>
        <w:t>Khurts Bat</w:t>
      </w:r>
      <w:r w:rsidR="00951362">
        <w:rPr>
          <w:rFonts w:eastAsia="Calibri" w:cs="Times New Roman"/>
          <w:szCs w:val="24"/>
        </w:rPr>
        <w:t>,</w:t>
      </w:r>
      <w:r w:rsidR="001559FF">
        <w:rPr>
          <w:rStyle w:val="FootnoteReference"/>
          <w:rFonts w:eastAsia="Calibri" w:cs="Times New Roman"/>
          <w:szCs w:val="24"/>
        </w:rPr>
        <w:footnoteReference w:id="58"/>
      </w:r>
      <w:r w:rsidR="00951362">
        <w:rPr>
          <w:rFonts w:eastAsia="Calibri" w:cs="Times New Roman"/>
          <w:szCs w:val="24"/>
        </w:rPr>
        <w:t xml:space="preserve"> and Gambia before the US District Court for the Southern District of Florida in </w:t>
      </w:r>
      <w:r w:rsidR="00951362">
        <w:rPr>
          <w:rFonts w:eastAsia="Calibri" w:cs="Times New Roman"/>
          <w:i/>
          <w:szCs w:val="24"/>
        </w:rPr>
        <w:t>United States v Sissoko</w:t>
      </w:r>
      <w:r w:rsidRPr="00925262">
        <w:rPr>
          <w:rFonts w:eastAsia="Calibri" w:cs="Times New Roman"/>
          <w:szCs w:val="24"/>
        </w:rPr>
        <w:t>)</w:t>
      </w:r>
      <w:bookmarkStart w:id="52" w:name="_Ref493329995"/>
      <w:r w:rsidR="005A555A">
        <w:rPr>
          <w:rFonts w:eastAsia="Calibri" w:cs="Times New Roman"/>
          <w:szCs w:val="24"/>
        </w:rPr>
        <w:t>,</w:t>
      </w:r>
      <w:bookmarkStart w:id="53" w:name="_Ref494958651"/>
      <w:r w:rsidR="000D0E74">
        <w:rPr>
          <w:rStyle w:val="FootnoteReference"/>
          <w:rFonts w:eastAsia="Calibri" w:cs="Times New Roman"/>
          <w:szCs w:val="24"/>
        </w:rPr>
        <w:footnoteReference w:id="59"/>
      </w:r>
      <w:bookmarkEnd w:id="52"/>
      <w:bookmarkEnd w:id="53"/>
      <w:r w:rsidRPr="00925262">
        <w:rPr>
          <w:rFonts w:eastAsia="Calibri" w:cs="Times New Roman"/>
          <w:szCs w:val="24"/>
        </w:rPr>
        <w:t xml:space="preserve"> and answers to questionnaires</w:t>
      </w:r>
      <w:r w:rsidR="00247B8B">
        <w:rPr>
          <w:rFonts w:eastAsia="Calibri" w:cs="Times New Roman"/>
          <w:szCs w:val="24"/>
        </w:rPr>
        <w:t xml:space="preserve">, such as </w:t>
      </w:r>
      <w:r w:rsidR="005A555A" w:rsidRPr="00247B8B">
        <w:rPr>
          <w:rFonts w:eastAsia="Calibri" w:cs="Times New Roman"/>
          <w:szCs w:val="24"/>
        </w:rPr>
        <w:t xml:space="preserve">the </w:t>
      </w:r>
      <w:r w:rsidR="00247B8B">
        <w:rPr>
          <w:rFonts w:eastAsia="Calibri" w:cs="Times New Roman"/>
          <w:szCs w:val="24"/>
        </w:rPr>
        <w:t xml:space="preserve">one issued by </w:t>
      </w:r>
      <w:r w:rsidR="005A555A" w:rsidRPr="00247B8B">
        <w:rPr>
          <w:rFonts w:eastAsia="Calibri" w:cs="Times New Roman"/>
          <w:szCs w:val="24"/>
        </w:rPr>
        <w:t>CAHDI</w:t>
      </w:r>
      <w:r w:rsidRPr="00247B8B">
        <w:rPr>
          <w:rFonts w:eastAsia="Calibri" w:cs="Times New Roman"/>
          <w:szCs w:val="24"/>
        </w:rPr>
        <w:t>.</w:t>
      </w:r>
      <w:r w:rsidR="005E2C6F">
        <w:rPr>
          <w:rFonts w:eastAsia="Calibri" w:cs="Times New Roman"/>
          <w:szCs w:val="24"/>
        </w:rPr>
        <w:t xml:space="preserve"> </w:t>
      </w:r>
      <w:r w:rsidRPr="00925262">
        <w:rPr>
          <w:rFonts w:eastAsia="Calibri" w:cs="Times New Roman"/>
          <w:szCs w:val="24"/>
        </w:rPr>
        <w:t xml:space="preserve">It also includes </w:t>
      </w:r>
      <w:r w:rsidR="00202FB6" w:rsidRPr="00925262">
        <w:rPr>
          <w:rFonts w:eastAsia="Calibri" w:cs="Times New Roman"/>
          <w:szCs w:val="24"/>
        </w:rPr>
        <w:t>practice revolving around the</w:t>
      </w:r>
      <w:r w:rsidRPr="00925262">
        <w:rPr>
          <w:rFonts w:eastAsia="Calibri" w:cs="Times New Roman"/>
          <w:szCs w:val="24"/>
        </w:rPr>
        <w:t xml:space="preserve"> Convention on Special Missions</w:t>
      </w:r>
      <w:r w:rsidR="00657703">
        <w:rPr>
          <w:rFonts w:eastAsia="Calibri" w:cs="Times New Roman"/>
          <w:szCs w:val="24"/>
        </w:rPr>
        <w:t xml:space="preserve"> and documents and statements of the International Law Commission, to the extent that they have been accepted by </w:t>
      </w:r>
      <w:r w:rsidR="008F7045">
        <w:rPr>
          <w:rFonts w:eastAsia="Calibri" w:cs="Times New Roman"/>
          <w:szCs w:val="24"/>
        </w:rPr>
        <w:t>State</w:t>
      </w:r>
      <w:r w:rsidR="00657703">
        <w:rPr>
          <w:rFonts w:eastAsia="Calibri" w:cs="Times New Roman"/>
          <w:szCs w:val="24"/>
        </w:rPr>
        <w:t>s as authoritative statements on the content of customary law.</w:t>
      </w:r>
      <w:r w:rsidR="005E2C6F">
        <w:rPr>
          <w:rFonts w:eastAsia="Calibri" w:cs="Times New Roman"/>
          <w:szCs w:val="24"/>
        </w:rPr>
        <w:t xml:space="preserve"> </w:t>
      </w:r>
      <w:r w:rsidR="00A26AD8">
        <w:rPr>
          <w:rFonts w:eastAsia="Calibri" w:cs="Times New Roman"/>
          <w:szCs w:val="24"/>
        </w:rPr>
        <w:t>It is p</w:t>
      </w:r>
      <w:r w:rsidR="005E4CA3">
        <w:rPr>
          <w:rFonts w:eastAsia="Calibri" w:cs="Times New Roman"/>
          <w:szCs w:val="24"/>
        </w:rPr>
        <w:t xml:space="preserve">articularly noteworthy </w:t>
      </w:r>
      <w:r w:rsidR="005A555A">
        <w:rPr>
          <w:rFonts w:eastAsia="Calibri" w:cs="Times New Roman"/>
          <w:szCs w:val="24"/>
        </w:rPr>
        <w:t>when</w:t>
      </w:r>
      <w:r w:rsidR="00657703">
        <w:rPr>
          <w:rFonts w:eastAsia="Calibri" w:cs="Times New Roman"/>
          <w:szCs w:val="24"/>
        </w:rPr>
        <w:t xml:space="preserve"> </w:t>
      </w:r>
      <w:r w:rsidR="00556B4B">
        <w:rPr>
          <w:rFonts w:eastAsia="Calibri" w:cs="Times New Roman"/>
          <w:szCs w:val="24"/>
        </w:rPr>
        <w:t xml:space="preserve">the rules set forth in </w:t>
      </w:r>
      <w:r w:rsidR="00657703">
        <w:rPr>
          <w:rFonts w:eastAsia="Calibri" w:cs="Times New Roman"/>
          <w:szCs w:val="24"/>
        </w:rPr>
        <w:t xml:space="preserve">the Convention on Special Missions </w:t>
      </w:r>
      <w:r w:rsidR="00556B4B">
        <w:rPr>
          <w:rFonts w:eastAsia="Calibri" w:cs="Times New Roman"/>
          <w:szCs w:val="24"/>
        </w:rPr>
        <w:t>are</w:t>
      </w:r>
      <w:r w:rsidR="00657703">
        <w:rPr>
          <w:rFonts w:eastAsia="Calibri" w:cs="Times New Roman"/>
          <w:szCs w:val="24"/>
        </w:rPr>
        <w:t xml:space="preserve"> applied by </w:t>
      </w:r>
      <w:r w:rsidR="008F7045">
        <w:rPr>
          <w:rFonts w:eastAsia="Calibri" w:cs="Times New Roman"/>
          <w:szCs w:val="24"/>
        </w:rPr>
        <w:t>State</w:t>
      </w:r>
      <w:r w:rsidR="00657703">
        <w:rPr>
          <w:rFonts w:eastAsia="Calibri" w:cs="Times New Roman"/>
          <w:szCs w:val="24"/>
        </w:rPr>
        <w:t xml:space="preserve">s that are not party to the Convention, and/or by </w:t>
      </w:r>
      <w:r w:rsidR="008F7045">
        <w:rPr>
          <w:rFonts w:eastAsia="Calibri" w:cs="Times New Roman"/>
          <w:szCs w:val="24"/>
        </w:rPr>
        <w:t>State</w:t>
      </w:r>
      <w:r w:rsidR="00657703">
        <w:rPr>
          <w:rFonts w:eastAsia="Calibri" w:cs="Times New Roman"/>
          <w:szCs w:val="24"/>
        </w:rPr>
        <w:t xml:space="preserve">s </w:t>
      </w:r>
      <w:r w:rsidR="005A555A">
        <w:rPr>
          <w:rFonts w:eastAsia="Calibri" w:cs="Times New Roman"/>
          <w:szCs w:val="24"/>
        </w:rPr>
        <w:t>parties to</w:t>
      </w:r>
      <w:r w:rsidR="00657703">
        <w:rPr>
          <w:rFonts w:eastAsia="Calibri" w:cs="Times New Roman"/>
          <w:szCs w:val="24"/>
        </w:rPr>
        <w:t xml:space="preserve"> the </w:t>
      </w:r>
      <w:r w:rsidR="00556B4B">
        <w:rPr>
          <w:rFonts w:eastAsia="Calibri" w:cs="Times New Roman"/>
          <w:szCs w:val="24"/>
        </w:rPr>
        <w:t>Convention</w:t>
      </w:r>
      <w:r w:rsidR="00657703">
        <w:rPr>
          <w:rFonts w:eastAsia="Calibri" w:cs="Times New Roman"/>
          <w:szCs w:val="24"/>
        </w:rPr>
        <w:t xml:space="preserve"> in relation to non-parties. </w:t>
      </w:r>
    </w:p>
    <w:p w14:paraId="573FED99" w14:textId="77777777" w:rsidR="00BE220F" w:rsidRDefault="00BE220F" w:rsidP="00BE220F">
      <w:pPr>
        <w:widowControl w:val="0"/>
        <w:contextualSpacing/>
        <w:rPr>
          <w:rFonts w:eastAsia="Calibri" w:cs="Times New Roman"/>
          <w:szCs w:val="24"/>
        </w:rPr>
      </w:pPr>
    </w:p>
    <w:p w14:paraId="17B8ABE8" w14:textId="60D25CBB" w:rsidR="004D7097" w:rsidRDefault="00F81C9F" w:rsidP="00BE220F">
      <w:pPr>
        <w:widowControl w:val="0"/>
        <w:contextualSpacing/>
        <w:rPr>
          <w:rFonts w:eastAsia="Calibri" w:cs="Times New Roman"/>
          <w:szCs w:val="24"/>
        </w:rPr>
      </w:pPr>
      <w:r w:rsidRPr="00925262">
        <w:rPr>
          <w:rFonts w:eastAsia="Calibri" w:cs="Times New Roman"/>
          <w:i/>
          <w:szCs w:val="24"/>
        </w:rPr>
        <w:t>Third</w:t>
      </w:r>
      <w:r w:rsidRPr="00925262">
        <w:rPr>
          <w:rFonts w:eastAsia="Calibri" w:cs="Times New Roman"/>
          <w:szCs w:val="24"/>
        </w:rPr>
        <w:t xml:space="preserve">, when assessing a </w:t>
      </w:r>
      <w:r w:rsidR="009F43D4" w:rsidRPr="00925262">
        <w:rPr>
          <w:rFonts w:eastAsia="Calibri" w:cs="Times New Roman"/>
          <w:szCs w:val="24"/>
        </w:rPr>
        <w:t>S</w:t>
      </w:r>
      <w:r w:rsidRPr="00925262">
        <w:rPr>
          <w:rFonts w:eastAsia="Calibri" w:cs="Times New Roman"/>
          <w:szCs w:val="24"/>
        </w:rPr>
        <w:t xml:space="preserve">tate’s practice, </w:t>
      </w:r>
      <w:r w:rsidR="00BE220F">
        <w:rPr>
          <w:rFonts w:eastAsia="Calibri" w:cs="Times New Roman"/>
          <w:szCs w:val="24"/>
        </w:rPr>
        <w:t>‘</w:t>
      </w:r>
      <w:r w:rsidRPr="00925262">
        <w:rPr>
          <w:rFonts w:eastAsia="Calibri" w:cs="Times New Roman"/>
          <w:szCs w:val="24"/>
        </w:rPr>
        <w:t>[a]ccount is to be taken of all available practice</w:t>
      </w:r>
      <w:r w:rsidR="008F71DC">
        <w:rPr>
          <w:rFonts w:eastAsia="Calibri" w:cs="Times New Roman"/>
          <w:szCs w:val="24"/>
        </w:rPr>
        <w:t xml:space="preserve"> </w:t>
      </w:r>
      <w:r w:rsidRPr="00925262">
        <w:rPr>
          <w:rFonts w:eastAsia="Calibri" w:cs="Times New Roman"/>
          <w:szCs w:val="24"/>
        </w:rPr>
        <w:t>… which is to be assessed as a whole</w:t>
      </w:r>
      <w:r w:rsidR="00BE220F">
        <w:rPr>
          <w:rFonts w:eastAsia="Calibri" w:cs="Times New Roman"/>
          <w:szCs w:val="24"/>
        </w:rPr>
        <w:t>’</w:t>
      </w:r>
      <w:r w:rsidRPr="00925262">
        <w:rPr>
          <w:rFonts w:eastAsia="Calibri" w:cs="Times New Roman"/>
          <w:szCs w:val="24"/>
        </w:rPr>
        <w:t xml:space="preserve">, and where the practice of a </w:t>
      </w:r>
      <w:r w:rsidR="009F43D4" w:rsidRPr="00925262">
        <w:rPr>
          <w:rFonts w:eastAsia="Calibri" w:cs="Times New Roman"/>
          <w:szCs w:val="24"/>
        </w:rPr>
        <w:t>S</w:t>
      </w:r>
      <w:r w:rsidRPr="00925262">
        <w:rPr>
          <w:rFonts w:eastAsia="Calibri" w:cs="Times New Roman"/>
          <w:szCs w:val="24"/>
        </w:rPr>
        <w:t xml:space="preserve">tate varies, </w:t>
      </w:r>
      <w:r w:rsidR="00BE220F">
        <w:rPr>
          <w:rFonts w:eastAsia="Calibri" w:cs="Times New Roman"/>
          <w:szCs w:val="24"/>
        </w:rPr>
        <w:t>‘</w:t>
      </w:r>
      <w:r w:rsidRPr="00925262">
        <w:rPr>
          <w:rFonts w:eastAsia="Calibri" w:cs="Times New Roman"/>
          <w:szCs w:val="24"/>
        </w:rPr>
        <w:t>the weight to be given to the practice may be reduced</w:t>
      </w:r>
      <w:r w:rsidR="00BE220F">
        <w:rPr>
          <w:rFonts w:eastAsia="Calibri" w:cs="Times New Roman"/>
          <w:szCs w:val="24"/>
        </w:rPr>
        <w:t>’</w:t>
      </w:r>
      <w:r w:rsidRPr="00925262">
        <w:rPr>
          <w:rFonts w:eastAsia="Calibri" w:cs="Times New Roman"/>
          <w:szCs w:val="24"/>
        </w:rPr>
        <w:t>.</w:t>
      </w:r>
      <w:r w:rsidR="000F4D0C">
        <w:rPr>
          <w:rStyle w:val="FootnoteReference"/>
          <w:rFonts w:eastAsia="Calibri" w:cs="Times New Roman"/>
          <w:szCs w:val="24"/>
        </w:rPr>
        <w:footnoteReference w:id="60"/>
      </w:r>
      <w:r w:rsidRPr="00925262">
        <w:rPr>
          <w:rFonts w:eastAsia="Calibri" w:cs="Times New Roman"/>
          <w:szCs w:val="24"/>
        </w:rPr>
        <w:t xml:space="preserve"> For example, organs of the </w:t>
      </w:r>
      <w:r w:rsidR="008F7045">
        <w:rPr>
          <w:rFonts w:eastAsia="Calibri" w:cs="Times New Roman"/>
          <w:szCs w:val="24"/>
        </w:rPr>
        <w:t>State</w:t>
      </w:r>
      <w:r w:rsidRPr="00925262">
        <w:rPr>
          <w:rFonts w:eastAsia="Calibri" w:cs="Times New Roman"/>
          <w:szCs w:val="24"/>
        </w:rPr>
        <w:t xml:space="preserve"> may </w:t>
      </w:r>
      <w:r w:rsidR="004640D8">
        <w:rPr>
          <w:rFonts w:eastAsia="Calibri" w:cs="Times New Roman"/>
          <w:szCs w:val="24"/>
        </w:rPr>
        <w:t>adopt different positions</w:t>
      </w:r>
      <w:r w:rsidRPr="00925262">
        <w:rPr>
          <w:rFonts w:eastAsia="Calibri" w:cs="Times New Roman"/>
          <w:szCs w:val="24"/>
        </w:rPr>
        <w:t>, or the practice of one organ may vary over time.</w:t>
      </w:r>
      <w:r w:rsidR="005E2C6F">
        <w:rPr>
          <w:rFonts w:eastAsia="Calibri" w:cs="Times New Roman"/>
          <w:szCs w:val="24"/>
        </w:rPr>
        <w:t xml:space="preserve"> </w:t>
      </w:r>
      <w:r w:rsidRPr="00925262">
        <w:rPr>
          <w:rFonts w:eastAsia="Calibri" w:cs="Times New Roman"/>
          <w:szCs w:val="24"/>
        </w:rPr>
        <w:t xml:space="preserve">An assessment </w:t>
      </w:r>
      <w:r w:rsidR="009F43D4" w:rsidRPr="00925262">
        <w:rPr>
          <w:rFonts w:eastAsia="Calibri" w:cs="Times New Roman"/>
          <w:szCs w:val="24"/>
        </w:rPr>
        <w:t xml:space="preserve">of </w:t>
      </w:r>
      <w:r w:rsidRPr="00925262">
        <w:rPr>
          <w:rFonts w:eastAsia="Calibri" w:cs="Times New Roman"/>
          <w:szCs w:val="24"/>
        </w:rPr>
        <w:t xml:space="preserve">the weight </w:t>
      </w:r>
      <w:r w:rsidR="009F43D4" w:rsidRPr="00925262">
        <w:rPr>
          <w:rFonts w:eastAsia="Calibri" w:cs="Times New Roman"/>
          <w:szCs w:val="24"/>
        </w:rPr>
        <w:t xml:space="preserve">to </w:t>
      </w:r>
      <w:r w:rsidR="00B67F42">
        <w:rPr>
          <w:rFonts w:eastAsia="Calibri" w:cs="Times New Roman"/>
          <w:szCs w:val="24"/>
        </w:rPr>
        <w:t xml:space="preserve">be </w:t>
      </w:r>
      <w:r w:rsidRPr="00925262">
        <w:rPr>
          <w:rFonts w:eastAsia="Calibri" w:cs="Times New Roman"/>
          <w:szCs w:val="24"/>
        </w:rPr>
        <w:t xml:space="preserve">given to such practice must be </w:t>
      </w:r>
      <w:r w:rsidR="00BE220F">
        <w:rPr>
          <w:rFonts w:eastAsia="Calibri" w:cs="Times New Roman"/>
          <w:szCs w:val="24"/>
        </w:rPr>
        <w:t>‘</w:t>
      </w:r>
      <w:r w:rsidRPr="00925262">
        <w:rPr>
          <w:rFonts w:eastAsia="Calibri" w:cs="Times New Roman"/>
          <w:szCs w:val="24"/>
        </w:rPr>
        <w:t>approached with caution</w:t>
      </w:r>
      <w:r w:rsidR="00BE220F">
        <w:rPr>
          <w:rFonts w:eastAsia="Calibri" w:cs="Times New Roman"/>
          <w:szCs w:val="24"/>
        </w:rPr>
        <w:t>’</w:t>
      </w:r>
      <w:r w:rsidRPr="00925262">
        <w:rPr>
          <w:rFonts w:eastAsia="Calibri" w:cs="Times New Roman"/>
          <w:szCs w:val="24"/>
        </w:rPr>
        <w:t xml:space="preserve"> and will depend on the circumstances.</w:t>
      </w:r>
      <w:r w:rsidR="00556B4B" w:rsidRPr="00925262">
        <w:rPr>
          <w:rFonts w:eastAsia="Calibri" w:cs="Times New Roman"/>
          <w:szCs w:val="24"/>
          <w:vertAlign w:val="superscript"/>
        </w:rPr>
        <w:footnoteReference w:id="61"/>
      </w:r>
      <w:r w:rsidR="005E2C6F">
        <w:rPr>
          <w:rFonts w:eastAsia="Calibri" w:cs="Times New Roman"/>
          <w:szCs w:val="24"/>
        </w:rPr>
        <w:t xml:space="preserve"> </w:t>
      </w:r>
      <w:r w:rsidRPr="00925262">
        <w:rPr>
          <w:rFonts w:eastAsia="Calibri" w:cs="Times New Roman"/>
          <w:szCs w:val="24"/>
        </w:rPr>
        <w:t xml:space="preserve">As will be seen below, </w:t>
      </w:r>
      <w:r w:rsidR="009F43D4" w:rsidRPr="00925262">
        <w:rPr>
          <w:rFonts w:eastAsia="Calibri" w:cs="Times New Roman"/>
          <w:szCs w:val="24"/>
        </w:rPr>
        <w:t>S</w:t>
      </w:r>
      <w:r w:rsidRPr="00925262">
        <w:rPr>
          <w:rFonts w:eastAsia="Calibri" w:cs="Times New Roman"/>
          <w:szCs w:val="24"/>
        </w:rPr>
        <w:t xml:space="preserve">tates </w:t>
      </w:r>
      <w:r w:rsidR="004640D8">
        <w:rPr>
          <w:rFonts w:eastAsia="Calibri" w:cs="Times New Roman"/>
          <w:szCs w:val="24"/>
        </w:rPr>
        <w:t>are</w:t>
      </w:r>
      <w:r w:rsidRPr="00925262">
        <w:rPr>
          <w:rFonts w:eastAsia="Calibri" w:cs="Times New Roman"/>
          <w:szCs w:val="24"/>
        </w:rPr>
        <w:t xml:space="preserve"> not always consistent in their view on the customary status of special mission immunity</w:t>
      </w:r>
      <w:r w:rsidR="005E4CA3">
        <w:rPr>
          <w:rFonts w:eastAsia="Calibri" w:cs="Times New Roman"/>
          <w:szCs w:val="24"/>
        </w:rPr>
        <w:t xml:space="preserve">, </w:t>
      </w:r>
      <w:r w:rsidR="004D7097">
        <w:rPr>
          <w:rFonts w:eastAsia="Calibri" w:cs="Times New Roman"/>
          <w:szCs w:val="24"/>
        </w:rPr>
        <w:t xml:space="preserve">but this alone does not necessarily mean that a rule of customary international law does not exist. </w:t>
      </w:r>
    </w:p>
    <w:p w14:paraId="66E87EAF" w14:textId="77777777" w:rsidR="00BE220F" w:rsidRDefault="00BE220F" w:rsidP="00BE220F">
      <w:pPr>
        <w:widowControl w:val="0"/>
        <w:contextualSpacing/>
        <w:rPr>
          <w:rFonts w:eastAsia="Calibri" w:cs="Times New Roman"/>
          <w:szCs w:val="24"/>
        </w:rPr>
      </w:pPr>
    </w:p>
    <w:p w14:paraId="72034DEA" w14:textId="0538CE4F" w:rsidR="00BE220F" w:rsidRDefault="00E91998" w:rsidP="00BE220F">
      <w:pPr>
        <w:widowControl w:val="0"/>
        <w:contextualSpacing/>
        <w:rPr>
          <w:rFonts w:eastAsia="Calibri" w:cs="Times New Roman"/>
          <w:szCs w:val="24"/>
        </w:rPr>
      </w:pPr>
      <w:r>
        <w:rPr>
          <w:rFonts w:eastAsia="Calibri" w:cs="Times New Roman"/>
          <w:i/>
          <w:szCs w:val="24"/>
        </w:rPr>
        <w:t>Fourth</w:t>
      </w:r>
      <w:r>
        <w:rPr>
          <w:rFonts w:eastAsia="Calibri" w:cs="Times New Roman"/>
          <w:szCs w:val="24"/>
        </w:rPr>
        <w:t>, t</w:t>
      </w:r>
      <w:r w:rsidRPr="00E91998">
        <w:rPr>
          <w:rFonts w:eastAsia="Calibri" w:cs="Times New Roman"/>
          <w:szCs w:val="24"/>
        </w:rPr>
        <w:t>he Convention on Special Missions</w:t>
      </w:r>
      <w:r w:rsidR="008F71DC">
        <w:rPr>
          <w:rFonts w:eastAsia="Calibri" w:cs="Times New Roman"/>
          <w:szCs w:val="24"/>
        </w:rPr>
        <w:t>, as also the 1928</w:t>
      </w:r>
      <w:r w:rsidR="007B7DF0">
        <w:rPr>
          <w:rFonts w:eastAsia="Calibri" w:cs="Times New Roman"/>
          <w:szCs w:val="24"/>
        </w:rPr>
        <w:t xml:space="preserve"> Havana Convention</w:t>
      </w:r>
      <w:r w:rsidR="008F71DC">
        <w:rPr>
          <w:rFonts w:eastAsia="Calibri" w:cs="Times New Roman"/>
          <w:szCs w:val="24"/>
        </w:rPr>
        <w:t>, is</w:t>
      </w:r>
      <w:r w:rsidRPr="00E91998">
        <w:rPr>
          <w:rFonts w:eastAsia="Calibri" w:cs="Times New Roman"/>
          <w:szCs w:val="24"/>
        </w:rPr>
        <w:t xml:space="preserve"> relevant </w:t>
      </w:r>
      <w:r>
        <w:rPr>
          <w:rFonts w:eastAsia="Calibri" w:cs="Times New Roman"/>
          <w:szCs w:val="24"/>
        </w:rPr>
        <w:t xml:space="preserve">for determining </w:t>
      </w:r>
      <w:r w:rsidRPr="00E91998">
        <w:rPr>
          <w:rFonts w:eastAsia="Calibri" w:cs="Times New Roman"/>
          <w:szCs w:val="24"/>
        </w:rPr>
        <w:t xml:space="preserve">the existence and </w:t>
      </w:r>
      <w:r>
        <w:rPr>
          <w:rFonts w:eastAsia="Calibri" w:cs="Times New Roman"/>
          <w:szCs w:val="24"/>
        </w:rPr>
        <w:t>content</w:t>
      </w:r>
      <w:r w:rsidRPr="00E91998">
        <w:rPr>
          <w:rFonts w:eastAsia="Calibri" w:cs="Times New Roman"/>
          <w:szCs w:val="24"/>
        </w:rPr>
        <w:t xml:space="preserve"> of special mission immunity under customary international law in two ways.</w:t>
      </w:r>
      <w:r w:rsidR="00D92786">
        <w:rPr>
          <w:rStyle w:val="FootnoteReference"/>
          <w:rFonts w:eastAsia="Calibri" w:cs="Times New Roman"/>
          <w:szCs w:val="24"/>
        </w:rPr>
        <w:footnoteReference w:id="62"/>
      </w:r>
      <w:r w:rsidR="005E2C6F">
        <w:rPr>
          <w:rFonts w:eastAsia="Calibri" w:cs="Times New Roman"/>
          <w:szCs w:val="24"/>
        </w:rPr>
        <w:t xml:space="preserve"> </w:t>
      </w:r>
      <w:r w:rsidR="005E4CA3">
        <w:rPr>
          <w:rFonts w:eastAsia="Calibri" w:cs="Times New Roman"/>
          <w:szCs w:val="24"/>
        </w:rPr>
        <w:t xml:space="preserve">As </w:t>
      </w:r>
      <w:r w:rsidR="00FE2D5D">
        <w:rPr>
          <w:rFonts w:eastAsia="Calibri" w:cs="Times New Roman"/>
          <w:szCs w:val="24"/>
        </w:rPr>
        <w:t>previously mentioned</w:t>
      </w:r>
      <w:r w:rsidR="005E4CA3">
        <w:rPr>
          <w:rFonts w:eastAsia="Calibri" w:cs="Times New Roman"/>
          <w:szCs w:val="24"/>
        </w:rPr>
        <w:t>, s</w:t>
      </w:r>
      <w:r w:rsidR="005E4CA3" w:rsidRPr="00E91998">
        <w:rPr>
          <w:rFonts w:eastAsia="Calibri" w:cs="Times New Roman"/>
          <w:szCs w:val="24"/>
        </w:rPr>
        <w:t xml:space="preserve">ome </w:t>
      </w:r>
      <w:r w:rsidR="008F7045">
        <w:rPr>
          <w:rFonts w:eastAsia="Calibri" w:cs="Times New Roman"/>
          <w:szCs w:val="24"/>
        </w:rPr>
        <w:t>State</w:t>
      </w:r>
      <w:r w:rsidRPr="00E91998">
        <w:rPr>
          <w:rFonts w:eastAsia="Calibri" w:cs="Times New Roman"/>
          <w:szCs w:val="24"/>
        </w:rPr>
        <w:t>s that are not party to the Convention nevertheless apply at least some of its provisions as customary law</w:t>
      </w:r>
      <w:r w:rsidR="005E4CA3">
        <w:rPr>
          <w:rFonts w:eastAsia="Calibri" w:cs="Times New Roman"/>
          <w:szCs w:val="24"/>
        </w:rPr>
        <w:t>;</w:t>
      </w:r>
      <w:r w:rsidRPr="00E91998">
        <w:rPr>
          <w:rFonts w:eastAsia="Calibri" w:cs="Times New Roman"/>
          <w:szCs w:val="24"/>
          <w:vertAlign w:val="superscript"/>
        </w:rPr>
        <w:footnoteReference w:id="63"/>
      </w:r>
      <w:r w:rsidRPr="00E91998">
        <w:rPr>
          <w:rFonts w:eastAsia="Calibri" w:cs="Times New Roman"/>
          <w:szCs w:val="24"/>
        </w:rPr>
        <w:t xml:space="preserve"> </w:t>
      </w:r>
      <w:r w:rsidR="005E4CA3">
        <w:rPr>
          <w:rFonts w:eastAsia="Calibri" w:cs="Times New Roman"/>
          <w:szCs w:val="24"/>
        </w:rPr>
        <w:t>and</w:t>
      </w:r>
      <w:r w:rsidR="005E4CA3" w:rsidRPr="00E91998">
        <w:rPr>
          <w:rFonts w:eastAsia="Calibri" w:cs="Times New Roman"/>
          <w:szCs w:val="24"/>
        </w:rPr>
        <w:t xml:space="preserve"> </w:t>
      </w:r>
      <w:r w:rsidRPr="00E91998">
        <w:rPr>
          <w:rFonts w:eastAsia="Calibri" w:cs="Times New Roman"/>
          <w:szCs w:val="24"/>
        </w:rPr>
        <w:t xml:space="preserve">some </w:t>
      </w:r>
      <w:r w:rsidR="008F7045">
        <w:rPr>
          <w:rFonts w:eastAsia="Calibri" w:cs="Times New Roman"/>
          <w:szCs w:val="24"/>
        </w:rPr>
        <w:t>State</w:t>
      </w:r>
      <w:r w:rsidRPr="00E91998">
        <w:rPr>
          <w:rFonts w:eastAsia="Calibri" w:cs="Times New Roman"/>
          <w:szCs w:val="24"/>
        </w:rPr>
        <w:t xml:space="preserve">s that are party to the Convention apply its provisions in relation to </w:t>
      </w:r>
      <w:r w:rsidR="008F7045">
        <w:rPr>
          <w:rFonts w:eastAsia="Calibri" w:cs="Times New Roman"/>
          <w:szCs w:val="24"/>
        </w:rPr>
        <w:t>State</w:t>
      </w:r>
      <w:r w:rsidRPr="00E91998">
        <w:rPr>
          <w:rFonts w:eastAsia="Calibri" w:cs="Times New Roman"/>
          <w:szCs w:val="24"/>
        </w:rPr>
        <w:t xml:space="preserve">s that are not party to the Convention, indicating that they believe the </w:t>
      </w:r>
      <w:r w:rsidRPr="00E91998">
        <w:rPr>
          <w:rFonts w:eastAsia="Calibri" w:cs="Times New Roman"/>
          <w:szCs w:val="24"/>
        </w:rPr>
        <w:lastRenderedPageBreak/>
        <w:t>provisions are also binding as customary law.</w:t>
      </w:r>
      <w:r w:rsidRPr="00E91998">
        <w:rPr>
          <w:rFonts w:eastAsia="Calibri" w:cs="Times New Roman"/>
          <w:szCs w:val="24"/>
          <w:vertAlign w:val="superscript"/>
        </w:rPr>
        <w:footnoteReference w:id="64"/>
      </w:r>
      <w:r w:rsidRPr="00E91998">
        <w:rPr>
          <w:rFonts w:eastAsia="Calibri" w:cs="Times New Roman"/>
          <w:szCs w:val="24"/>
        </w:rPr>
        <w:t xml:space="preserve"> It is</w:t>
      </w:r>
      <w:r w:rsidR="00D92786">
        <w:rPr>
          <w:rFonts w:eastAsia="Calibri" w:cs="Times New Roman"/>
          <w:szCs w:val="24"/>
        </w:rPr>
        <w:t>, however,</w:t>
      </w:r>
      <w:r w:rsidRPr="00E91998">
        <w:rPr>
          <w:rFonts w:eastAsia="Calibri" w:cs="Times New Roman"/>
          <w:szCs w:val="24"/>
        </w:rPr>
        <w:t xml:space="preserve"> important to remember that even if some provisions of the Convention </w:t>
      </w:r>
      <w:r w:rsidR="008F71DC">
        <w:rPr>
          <w:rFonts w:eastAsia="Calibri" w:cs="Times New Roman"/>
          <w:szCs w:val="24"/>
        </w:rPr>
        <w:t xml:space="preserve">reflect rules of </w:t>
      </w:r>
      <w:r w:rsidRPr="00E91998">
        <w:rPr>
          <w:rFonts w:eastAsia="Calibri" w:cs="Times New Roman"/>
          <w:szCs w:val="24"/>
        </w:rPr>
        <w:t xml:space="preserve">customary </w:t>
      </w:r>
      <w:r w:rsidR="008F71DC">
        <w:rPr>
          <w:rFonts w:eastAsia="Calibri" w:cs="Times New Roman"/>
          <w:szCs w:val="24"/>
        </w:rPr>
        <w:t xml:space="preserve">international </w:t>
      </w:r>
      <w:r w:rsidRPr="00E91998">
        <w:rPr>
          <w:rFonts w:eastAsia="Calibri" w:cs="Times New Roman"/>
          <w:szCs w:val="24"/>
        </w:rPr>
        <w:t xml:space="preserve">law, it should not be assumed that </w:t>
      </w:r>
      <w:r w:rsidR="008F71DC">
        <w:rPr>
          <w:rFonts w:eastAsia="Calibri" w:cs="Times New Roman"/>
          <w:szCs w:val="24"/>
        </w:rPr>
        <w:t xml:space="preserve">this is the case with </w:t>
      </w:r>
      <w:r w:rsidRPr="00E91998">
        <w:rPr>
          <w:rFonts w:eastAsia="Calibri" w:cs="Times New Roman"/>
          <w:szCs w:val="24"/>
        </w:rPr>
        <w:t>all or even most of its provisions</w:t>
      </w:r>
      <w:r w:rsidR="008F71DC">
        <w:rPr>
          <w:rFonts w:eastAsia="Calibri" w:cs="Times New Roman"/>
          <w:szCs w:val="24"/>
        </w:rPr>
        <w:t>.</w:t>
      </w:r>
      <w:r w:rsidRPr="00E91998">
        <w:rPr>
          <w:rFonts w:eastAsia="Calibri" w:cs="Times New Roman"/>
          <w:szCs w:val="24"/>
        </w:rPr>
        <w:t xml:space="preserve"> </w:t>
      </w:r>
    </w:p>
    <w:p w14:paraId="0490163B" w14:textId="77777777" w:rsidR="00BE220F" w:rsidRDefault="00BE220F" w:rsidP="00BE220F">
      <w:pPr>
        <w:widowControl w:val="0"/>
        <w:contextualSpacing/>
        <w:rPr>
          <w:rFonts w:eastAsia="Calibri" w:cs="Times New Roman"/>
          <w:szCs w:val="24"/>
        </w:rPr>
      </w:pPr>
    </w:p>
    <w:p w14:paraId="741352FA" w14:textId="50779A8E" w:rsidR="00E25354" w:rsidRDefault="003A10D9" w:rsidP="009C7C5A">
      <w:pPr>
        <w:widowControl w:val="0"/>
        <w:contextualSpacing/>
        <w:rPr>
          <w:rFonts w:eastAsia="Calibri" w:cs="Times New Roman"/>
          <w:szCs w:val="24"/>
        </w:rPr>
      </w:pPr>
      <w:r w:rsidRPr="00F62ED8">
        <w:rPr>
          <w:rFonts w:eastAsia="Calibri" w:cs="Times New Roman"/>
          <w:szCs w:val="24"/>
        </w:rPr>
        <w:t xml:space="preserve">Limited participation in a convention does not necessarily mean that its terms </w:t>
      </w:r>
      <w:r>
        <w:rPr>
          <w:rFonts w:eastAsia="Calibri" w:cs="Times New Roman"/>
          <w:szCs w:val="24"/>
        </w:rPr>
        <w:t xml:space="preserve">do not </w:t>
      </w:r>
      <w:r w:rsidRPr="00F62ED8">
        <w:rPr>
          <w:rFonts w:eastAsia="Calibri" w:cs="Times New Roman"/>
          <w:szCs w:val="24"/>
        </w:rPr>
        <w:t>reflect customary international law.</w:t>
      </w:r>
      <w:r>
        <w:rPr>
          <w:rStyle w:val="FootnoteReference"/>
          <w:rFonts w:eastAsia="Calibri" w:cs="Times New Roman"/>
          <w:szCs w:val="24"/>
        </w:rPr>
        <w:footnoteReference w:id="65"/>
      </w:r>
      <w:r w:rsidR="005E2C6F">
        <w:rPr>
          <w:rFonts w:eastAsia="Calibri" w:cs="Times New Roman"/>
          <w:szCs w:val="24"/>
        </w:rPr>
        <w:t xml:space="preserve"> </w:t>
      </w:r>
      <w:r w:rsidRPr="00F62ED8">
        <w:rPr>
          <w:rFonts w:eastAsia="Calibri" w:cs="Times New Roman"/>
          <w:szCs w:val="24"/>
        </w:rPr>
        <w:t>For example, many provisions of the 2004 United Nations Convention on Jurisdictional Immunity of States and Their Property, are cited as reflecting customary international law, including by the ICJ, even though</w:t>
      </w:r>
      <w:r w:rsidR="00FC544F">
        <w:rPr>
          <w:rFonts w:eastAsia="Calibri" w:cs="Times New Roman"/>
          <w:szCs w:val="24"/>
        </w:rPr>
        <w:t>,</w:t>
      </w:r>
      <w:r w:rsidRPr="00F62ED8">
        <w:rPr>
          <w:rFonts w:eastAsia="Calibri" w:cs="Times New Roman"/>
          <w:szCs w:val="24"/>
        </w:rPr>
        <w:t xml:space="preserve"> as of </w:t>
      </w:r>
      <w:r w:rsidR="00BF6078">
        <w:rPr>
          <w:rFonts w:eastAsia="Calibri" w:cs="Times New Roman"/>
          <w:szCs w:val="24"/>
        </w:rPr>
        <w:t>January</w:t>
      </w:r>
      <w:r w:rsidRPr="00F62ED8">
        <w:rPr>
          <w:rFonts w:eastAsia="Calibri" w:cs="Times New Roman"/>
          <w:szCs w:val="24"/>
        </w:rPr>
        <w:t xml:space="preserve"> 201</w:t>
      </w:r>
      <w:r w:rsidR="00BF6078">
        <w:rPr>
          <w:rFonts w:eastAsia="Calibri" w:cs="Times New Roman"/>
          <w:szCs w:val="24"/>
        </w:rPr>
        <w:t>8</w:t>
      </w:r>
      <w:r w:rsidR="00FC544F">
        <w:rPr>
          <w:rFonts w:eastAsia="Calibri" w:cs="Times New Roman"/>
          <w:szCs w:val="24"/>
        </w:rPr>
        <w:t>,</w:t>
      </w:r>
      <w:r w:rsidR="00BF6078">
        <w:rPr>
          <w:rFonts w:eastAsia="Calibri" w:cs="Times New Roman"/>
          <w:szCs w:val="24"/>
        </w:rPr>
        <w:t xml:space="preserve"> </w:t>
      </w:r>
      <w:r w:rsidRPr="00F62ED8">
        <w:rPr>
          <w:rFonts w:eastAsia="Calibri" w:cs="Times New Roman"/>
          <w:szCs w:val="24"/>
        </w:rPr>
        <w:t>only 21 States have consented to be bound by it and the Convention is not yet in force</w:t>
      </w:r>
      <w:r>
        <w:rPr>
          <w:rFonts w:eastAsia="Calibri" w:cs="Times New Roman"/>
          <w:szCs w:val="24"/>
        </w:rPr>
        <w:t>.</w:t>
      </w:r>
    </w:p>
    <w:p w14:paraId="7C2C508C" w14:textId="4B2454F2" w:rsidR="00E25354" w:rsidRDefault="00E25354" w:rsidP="00C1425E">
      <w:pPr>
        <w:pStyle w:val="Heading2"/>
      </w:pPr>
      <w:bookmarkStart w:id="55" w:name="_Toc502996216"/>
      <w:r>
        <w:t>Definition of a Special Mission</w:t>
      </w:r>
      <w:bookmarkEnd w:id="55"/>
    </w:p>
    <w:p w14:paraId="19ADA045" w14:textId="38B7B0F9" w:rsidR="0086096D" w:rsidRDefault="00C33B6C" w:rsidP="009C7C5A">
      <w:pPr>
        <w:widowControl w:val="0"/>
        <w:contextualSpacing/>
        <w:rPr>
          <w:rFonts w:eastAsia="Calibri" w:cs="Times New Roman"/>
          <w:szCs w:val="24"/>
        </w:rPr>
      </w:pPr>
      <w:r>
        <w:rPr>
          <w:rFonts w:eastAsia="Calibri" w:cs="Times New Roman"/>
          <w:szCs w:val="24"/>
        </w:rPr>
        <w:t xml:space="preserve">Under customary international law, </w:t>
      </w:r>
      <w:r w:rsidR="00A93036">
        <w:rPr>
          <w:rFonts w:eastAsia="Calibri" w:cs="Times New Roman"/>
          <w:szCs w:val="24"/>
        </w:rPr>
        <w:t>the definition of a special mission is broadly the same as</w:t>
      </w:r>
      <w:r>
        <w:rPr>
          <w:rFonts w:eastAsia="Calibri" w:cs="Times New Roman"/>
          <w:szCs w:val="24"/>
        </w:rPr>
        <w:t xml:space="preserve"> that in Article 1 of the</w:t>
      </w:r>
      <w:r w:rsidR="00A93036">
        <w:rPr>
          <w:rFonts w:eastAsia="Calibri" w:cs="Times New Roman"/>
          <w:szCs w:val="24"/>
        </w:rPr>
        <w:t xml:space="preserve"> Convention on Special</w:t>
      </w:r>
      <w:r w:rsidR="00A16C3E">
        <w:rPr>
          <w:rFonts w:eastAsia="Calibri" w:cs="Times New Roman"/>
          <w:szCs w:val="24"/>
        </w:rPr>
        <w:t xml:space="preserve"> Missions.</w:t>
      </w:r>
      <w:r>
        <w:rPr>
          <w:rFonts w:eastAsia="Calibri" w:cs="Times New Roman"/>
          <w:szCs w:val="24"/>
        </w:rPr>
        <w:t xml:space="preserve"> </w:t>
      </w:r>
      <w:r w:rsidR="00A16C3E" w:rsidRPr="00171706">
        <w:rPr>
          <w:rFonts w:eastAsia="Calibri" w:cs="Times New Roman"/>
          <w:szCs w:val="24"/>
        </w:rPr>
        <w:t>It is a (i) temporary mission, (ii) representing the sending State (members need not be governmental officials</w:t>
      </w:r>
      <w:r w:rsidR="00A16C3E">
        <w:rPr>
          <w:rFonts w:eastAsia="Calibri" w:cs="Times New Roman"/>
          <w:szCs w:val="24"/>
        </w:rPr>
        <w:t xml:space="preserve">, but they must </w:t>
      </w:r>
      <w:r w:rsidR="00EF6A32">
        <w:rPr>
          <w:rFonts w:eastAsia="Calibri" w:cs="Times New Roman"/>
          <w:szCs w:val="24"/>
        </w:rPr>
        <w:t xml:space="preserve">be representing the State and not </w:t>
      </w:r>
      <w:r w:rsidR="00A16C3E">
        <w:rPr>
          <w:rFonts w:eastAsia="Calibri" w:cs="Times New Roman"/>
          <w:szCs w:val="24"/>
        </w:rPr>
        <w:t>visiting as part of a cultural exchange</w:t>
      </w:r>
      <w:r w:rsidR="00A16C3E" w:rsidRPr="00171706">
        <w:rPr>
          <w:rFonts w:eastAsia="Calibri" w:cs="Times New Roman"/>
          <w:szCs w:val="24"/>
        </w:rPr>
        <w:t xml:space="preserve">); (iii) which is sent by one State to another; (iv) in order to carry out official engagements or State business; </w:t>
      </w:r>
      <w:r w:rsidR="00A16C3E" w:rsidRPr="00C1425E">
        <w:rPr>
          <w:rFonts w:eastAsia="Calibri" w:cs="Times New Roman"/>
          <w:i/>
          <w:szCs w:val="24"/>
        </w:rPr>
        <w:t>and</w:t>
      </w:r>
      <w:r w:rsidR="00A16C3E" w:rsidRPr="00171706">
        <w:rPr>
          <w:rFonts w:eastAsia="Calibri" w:cs="Times New Roman"/>
          <w:szCs w:val="24"/>
        </w:rPr>
        <w:t xml:space="preserve"> (v) the government of the receiving State has given its consent to receive the mission as such</w:t>
      </w:r>
      <w:r w:rsidR="00A16C3E">
        <w:rPr>
          <w:rFonts w:eastAsia="Calibri" w:cs="Times New Roman"/>
          <w:szCs w:val="24"/>
        </w:rPr>
        <w:t>.</w:t>
      </w:r>
      <w:bookmarkStart w:id="56" w:name="_Ref504143606"/>
      <w:r w:rsidR="00A16C3E">
        <w:rPr>
          <w:rStyle w:val="FootnoteReference"/>
        </w:rPr>
        <w:footnoteReference w:id="66"/>
      </w:r>
      <w:bookmarkEnd w:id="56"/>
      <w:r w:rsidR="00A16C3E">
        <w:rPr>
          <w:rFonts w:eastAsia="Calibri" w:cs="Times New Roman"/>
          <w:szCs w:val="24"/>
        </w:rPr>
        <w:t xml:space="preserve"> </w:t>
      </w:r>
    </w:p>
    <w:p w14:paraId="79CFBDCC" w14:textId="443B79AD" w:rsidR="00493989" w:rsidRPr="00E4511D" w:rsidRDefault="004E275A" w:rsidP="00C1425E">
      <w:pPr>
        <w:pStyle w:val="Heading2"/>
        <w:rPr>
          <w:lang w:val="en-US"/>
        </w:rPr>
      </w:pPr>
      <w:bookmarkStart w:id="57" w:name="_Toc364753215"/>
      <w:bookmarkStart w:id="58" w:name="_Toc502996217"/>
      <w:bookmarkStart w:id="59" w:name="_Toc497598023"/>
      <w:r w:rsidRPr="00E4511D">
        <w:rPr>
          <w:lang w:val="en-US"/>
        </w:rPr>
        <w:lastRenderedPageBreak/>
        <w:t xml:space="preserve">Personal </w:t>
      </w:r>
      <w:r w:rsidR="004F2A8E" w:rsidRPr="00E4511D">
        <w:rPr>
          <w:lang w:val="en-US"/>
        </w:rPr>
        <w:t>I</w:t>
      </w:r>
      <w:r w:rsidRPr="00E4511D">
        <w:rPr>
          <w:lang w:val="en-US"/>
        </w:rPr>
        <w:t xml:space="preserve">nviolability and </w:t>
      </w:r>
      <w:r w:rsidR="004F2A8E" w:rsidRPr="00E4511D">
        <w:rPr>
          <w:lang w:val="en-US"/>
        </w:rPr>
        <w:t>I</w:t>
      </w:r>
      <w:r w:rsidRPr="00E4511D">
        <w:rPr>
          <w:lang w:val="en-US"/>
        </w:rPr>
        <w:t xml:space="preserve">mmunity from </w:t>
      </w:r>
      <w:r w:rsidR="004F2A8E" w:rsidRPr="00E4511D">
        <w:rPr>
          <w:lang w:val="en-US"/>
        </w:rPr>
        <w:t>C</w:t>
      </w:r>
      <w:r w:rsidRPr="00E4511D">
        <w:rPr>
          <w:lang w:val="en-US"/>
        </w:rPr>
        <w:t xml:space="preserve">riminal </w:t>
      </w:r>
      <w:r w:rsidR="004F2A8E" w:rsidRPr="00E4511D">
        <w:rPr>
          <w:lang w:val="en-US"/>
        </w:rPr>
        <w:t>J</w:t>
      </w:r>
      <w:r w:rsidRPr="00E4511D">
        <w:rPr>
          <w:lang w:val="en-US"/>
        </w:rPr>
        <w:t>urisdiction</w:t>
      </w:r>
      <w:bookmarkEnd w:id="57"/>
      <w:bookmarkEnd w:id="58"/>
      <w:r w:rsidR="000A7AC3" w:rsidRPr="00E4511D">
        <w:rPr>
          <w:lang w:val="en-US"/>
        </w:rPr>
        <w:t xml:space="preserve"> </w:t>
      </w:r>
      <w:bookmarkStart w:id="60" w:name="_Toc497597898"/>
      <w:bookmarkEnd w:id="59"/>
      <w:bookmarkEnd w:id="60"/>
    </w:p>
    <w:p w14:paraId="4AAD872A" w14:textId="7A4A6941" w:rsidR="007F290D" w:rsidRDefault="00397178" w:rsidP="00876B57">
      <w:pPr>
        <w:widowControl w:val="0"/>
        <w:contextualSpacing/>
        <w:rPr>
          <w:rFonts w:eastAsia="Calibri" w:cs="Times New Roman"/>
          <w:szCs w:val="24"/>
        </w:rPr>
      </w:pPr>
      <w:r>
        <w:rPr>
          <w:rFonts w:eastAsia="Calibri" w:cs="Times New Roman"/>
          <w:szCs w:val="24"/>
        </w:rPr>
        <w:t>The immunity of both permanent and temporary diplomat</w:t>
      </w:r>
      <w:r w:rsidR="00F87547">
        <w:rPr>
          <w:rFonts w:eastAsia="Calibri" w:cs="Times New Roman"/>
          <w:szCs w:val="24"/>
        </w:rPr>
        <w:t>ic mission</w:t>
      </w:r>
      <w:r>
        <w:rPr>
          <w:rFonts w:eastAsia="Calibri" w:cs="Times New Roman"/>
          <w:szCs w:val="24"/>
        </w:rPr>
        <w:t>s</w:t>
      </w:r>
      <w:r w:rsidR="003A09DB">
        <w:rPr>
          <w:rFonts w:eastAsia="Calibri" w:cs="Times New Roman"/>
          <w:szCs w:val="24"/>
        </w:rPr>
        <w:t xml:space="preserve"> </w:t>
      </w:r>
      <w:r w:rsidR="00FF6FDD">
        <w:rPr>
          <w:rFonts w:eastAsia="Calibri" w:cs="Times New Roman"/>
          <w:szCs w:val="24"/>
        </w:rPr>
        <w:t>derives from</w:t>
      </w:r>
      <w:r w:rsidR="003A09DB">
        <w:rPr>
          <w:rFonts w:eastAsia="Calibri" w:cs="Times New Roman"/>
          <w:szCs w:val="24"/>
        </w:rPr>
        <w:t xml:space="preserve"> </w:t>
      </w:r>
      <w:r>
        <w:rPr>
          <w:rFonts w:eastAsia="Calibri" w:cs="Times New Roman"/>
          <w:szCs w:val="24"/>
        </w:rPr>
        <w:t xml:space="preserve">the age-old </w:t>
      </w:r>
      <w:r w:rsidR="003A09DB">
        <w:rPr>
          <w:rFonts w:eastAsia="Calibri" w:cs="Times New Roman"/>
          <w:szCs w:val="24"/>
        </w:rPr>
        <w:t xml:space="preserve">principle of customary </w:t>
      </w:r>
      <w:r w:rsidR="008F71DC">
        <w:rPr>
          <w:rFonts w:eastAsia="Calibri" w:cs="Times New Roman"/>
          <w:szCs w:val="24"/>
        </w:rPr>
        <w:t xml:space="preserve">international </w:t>
      </w:r>
      <w:r w:rsidR="003A09DB">
        <w:rPr>
          <w:rFonts w:eastAsia="Calibri" w:cs="Times New Roman"/>
          <w:szCs w:val="24"/>
        </w:rPr>
        <w:t xml:space="preserve">law that envoys sent </w:t>
      </w:r>
      <w:r w:rsidR="008F71DC">
        <w:rPr>
          <w:rFonts w:eastAsia="Calibri" w:cs="Times New Roman"/>
          <w:szCs w:val="24"/>
        </w:rPr>
        <w:t>by</w:t>
      </w:r>
      <w:r w:rsidR="003A09DB">
        <w:rPr>
          <w:rFonts w:eastAsia="Calibri" w:cs="Times New Roman"/>
          <w:szCs w:val="24"/>
        </w:rPr>
        <w:t xml:space="preserve"> one sovereign to another are entitled to immunity</w:t>
      </w:r>
      <w:r>
        <w:rPr>
          <w:rFonts w:eastAsia="Calibri" w:cs="Times New Roman"/>
          <w:szCs w:val="24"/>
        </w:rPr>
        <w:t>, regardless of the duration of their visit.</w:t>
      </w:r>
      <w:r>
        <w:rPr>
          <w:rStyle w:val="FootnoteReference"/>
          <w:rFonts w:eastAsia="Calibri" w:cs="Times New Roman"/>
          <w:szCs w:val="24"/>
        </w:rPr>
        <w:footnoteReference w:id="67"/>
      </w:r>
      <w:r>
        <w:rPr>
          <w:rFonts w:eastAsia="Calibri" w:cs="Times New Roman"/>
          <w:szCs w:val="24"/>
        </w:rPr>
        <w:t xml:space="preserve"> </w:t>
      </w:r>
      <w:r w:rsidR="00870CF9">
        <w:rPr>
          <w:rFonts w:eastAsia="Calibri" w:cs="Times New Roman"/>
          <w:szCs w:val="24"/>
        </w:rPr>
        <w:t>T</w:t>
      </w:r>
      <w:r w:rsidR="00616DF6">
        <w:rPr>
          <w:rFonts w:eastAsia="Calibri" w:cs="Times New Roman"/>
          <w:szCs w:val="24"/>
        </w:rPr>
        <w:t xml:space="preserve">here is </w:t>
      </w:r>
      <w:r>
        <w:rPr>
          <w:rFonts w:eastAsia="Calibri" w:cs="Times New Roman"/>
          <w:szCs w:val="24"/>
        </w:rPr>
        <w:t xml:space="preserve">also </w:t>
      </w:r>
      <w:r w:rsidR="00616DF6">
        <w:rPr>
          <w:rFonts w:eastAsia="Calibri" w:cs="Times New Roman"/>
          <w:szCs w:val="24"/>
        </w:rPr>
        <w:t xml:space="preserve">a general practice accepted as law </w:t>
      </w:r>
      <w:r w:rsidR="004640D8">
        <w:rPr>
          <w:rFonts w:eastAsia="Calibri" w:cs="Times New Roman"/>
          <w:szCs w:val="24"/>
        </w:rPr>
        <w:t xml:space="preserve">to the effect </w:t>
      </w:r>
      <w:r w:rsidR="00616DF6">
        <w:rPr>
          <w:rFonts w:eastAsia="Calibri" w:cs="Times New Roman"/>
          <w:szCs w:val="24"/>
        </w:rPr>
        <w:t xml:space="preserve">that members of special missions are entitled to </w:t>
      </w:r>
      <w:r w:rsidR="00556B4B">
        <w:rPr>
          <w:rFonts w:eastAsia="Calibri" w:cs="Times New Roman"/>
          <w:szCs w:val="24"/>
        </w:rPr>
        <w:t xml:space="preserve">personal </w:t>
      </w:r>
      <w:r w:rsidR="00F81C9F" w:rsidRPr="00925262">
        <w:rPr>
          <w:rFonts w:eastAsia="Calibri" w:cs="Times New Roman"/>
          <w:szCs w:val="24"/>
        </w:rPr>
        <w:t>inviolability</w:t>
      </w:r>
      <w:r w:rsidR="00870CF9">
        <w:rPr>
          <w:rStyle w:val="FootnoteReference"/>
          <w:rFonts w:eastAsia="Calibri" w:cs="Times New Roman"/>
          <w:szCs w:val="24"/>
        </w:rPr>
        <w:footnoteReference w:id="68"/>
      </w:r>
      <w:r w:rsidR="00F81C9F" w:rsidRPr="00925262">
        <w:rPr>
          <w:rFonts w:eastAsia="Calibri" w:cs="Times New Roman"/>
          <w:szCs w:val="24"/>
        </w:rPr>
        <w:t xml:space="preserve"> and immunity from </w:t>
      </w:r>
      <w:r w:rsidR="00F81C9F" w:rsidRPr="00925262">
        <w:rPr>
          <w:rFonts w:eastAsia="Calibri" w:cs="Times New Roman"/>
          <w:i/>
          <w:szCs w:val="24"/>
        </w:rPr>
        <w:t xml:space="preserve">criminal </w:t>
      </w:r>
      <w:r w:rsidR="00F81C9F" w:rsidRPr="00A318C9">
        <w:rPr>
          <w:rFonts w:eastAsia="Calibri" w:cs="Times New Roman"/>
          <w:szCs w:val="24"/>
        </w:rPr>
        <w:t>jurisdiction</w:t>
      </w:r>
      <w:r w:rsidR="00B56185">
        <w:rPr>
          <w:rFonts w:eastAsia="Calibri" w:cs="Times New Roman"/>
          <w:szCs w:val="24"/>
        </w:rPr>
        <w:t>.</w:t>
      </w:r>
      <w:r w:rsidR="00E812E6">
        <w:rPr>
          <w:rStyle w:val="FootnoteReference"/>
          <w:rFonts w:eastAsia="Calibri" w:cs="Times New Roman"/>
          <w:szCs w:val="24"/>
        </w:rPr>
        <w:footnoteReference w:id="69"/>
      </w:r>
      <w:r w:rsidR="00B56185">
        <w:rPr>
          <w:rFonts w:eastAsia="Calibri" w:cs="Times New Roman"/>
          <w:szCs w:val="24"/>
        </w:rPr>
        <w:t xml:space="preserve"> </w:t>
      </w:r>
      <w:r w:rsidR="00416E8A">
        <w:rPr>
          <w:rFonts w:eastAsia="Calibri" w:cs="Times New Roman"/>
          <w:szCs w:val="24"/>
        </w:rPr>
        <w:t>As there is no practice</w:t>
      </w:r>
      <w:r w:rsidR="00B56185">
        <w:rPr>
          <w:rFonts w:eastAsia="Calibri" w:cs="Times New Roman"/>
          <w:szCs w:val="24"/>
        </w:rPr>
        <w:t xml:space="preserve"> on the question </w:t>
      </w:r>
      <w:r w:rsidR="00A83CED">
        <w:rPr>
          <w:rFonts w:eastAsia="Calibri" w:cs="Times New Roman"/>
          <w:szCs w:val="24"/>
        </w:rPr>
        <w:t xml:space="preserve">if </w:t>
      </w:r>
      <w:r w:rsidR="00A82AD3">
        <w:rPr>
          <w:rFonts w:eastAsia="Calibri" w:cs="Times New Roman"/>
          <w:szCs w:val="24"/>
        </w:rPr>
        <w:t>the special</w:t>
      </w:r>
      <w:r w:rsidR="00B56185">
        <w:rPr>
          <w:rFonts w:eastAsia="Calibri" w:cs="Times New Roman"/>
          <w:szCs w:val="24"/>
        </w:rPr>
        <w:t xml:space="preserve"> mission’s premises </w:t>
      </w:r>
      <w:r w:rsidR="00416E8A">
        <w:rPr>
          <w:rFonts w:eastAsia="Calibri" w:cs="Times New Roman"/>
          <w:szCs w:val="24"/>
        </w:rPr>
        <w:t>and papers</w:t>
      </w:r>
      <w:r w:rsidR="00A82AD3">
        <w:rPr>
          <w:rFonts w:eastAsia="Calibri" w:cs="Times New Roman"/>
          <w:szCs w:val="24"/>
        </w:rPr>
        <w:t xml:space="preserve"> are also inviolable under customary international law (although state property will likely be protected under state and diplomatic immunity)</w:t>
      </w:r>
      <w:r w:rsidR="00416E8A">
        <w:rPr>
          <w:rFonts w:eastAsia="Calibri" w:cs="Times New Roman"/>
          <w:szCs w:val="24"/>
        </w:rPr>
        <w:t>,</w:t>
      </w:r>
      <w:r w:rsidR="00A06D99">
        <w:rPr>
          <w:rStyle w:val="FootnoteReference"/>
          <w:rFonts w:eastAsia="Calibri" w:cs="Times New Roman"/>
          <w:szCs w:val="24"/>
        </w:rPr>
        <w:footnoteReference w:id="70"/>
      </w:r>
      <w:r w:rsidR="00416E8A">
        <w:rPr>
          <w:rFonts w:eastAsia="Calibri" w:cs="Times New Roman"/>
          <w:szCs w:val="24"/>
        </w:rPr>
        <w:t xml:space="preserve"> it is difficult to draw a</w:t>
      </w:r>
      <w:r w:rsidR="00A82AD3">
        <w:rPr>
          <w:rFonts w:eastAsia="Calibri" w:cs="Times New Roman"/>
          <w:szCs w:val="24"/>
        </w:rPr>
        <w:t>ny</w:t>
      </w:r>
      <w:r w:rsidR="00416E8A">
        <w:rPr>
          <w:rFonts w:eastAsia="Calibri" w:cs="Times New Roman"/>
          <w:szCs w:val="24"/>
        </w:rPr>
        <w:t xml:space="preserve"> firm conclusion</w:t>
      </w:r>
      <w:r w:rsidR="00A82AD3">
        <w:rPr>
          <w:rFonts w:eastAsia="Calibri" w:cs="Times New Roman"/>
          <w:szCs w:val="24"/>
        </w:rPr>
        <w:t>s</w:t>
      </w:r>
      <w:r w:rsidR="00416E8A">
        <w:rPr>
          <w:rFonts w:eastAsia="Calibri" w:cs="Times New Roman"/>
          <w:szCs w:val="24"/>
        </w:rPr>
        <w:t>.</w:t>
      </w:r>
      <w:r w:rsidR="00F81C9F" w:rsidRPr="00925262">
        <w:rPr>
          <w:rFonts w:eastAsia="Calibri" w:cs="Times New Roman"/>
          <w:szCs w:val="24"/>
        </w:rPr>
        <w:t xml:space="preserve"> </w:t>
      </w:r>
      <w:r w:rsidR="00017B3D">
        <w:rPr>
          <w:rFonts w:eastAsia="Calibri" w:cs="Times New Roman"/>
          <w:szCs w:val="24"/>
        </w:rPr>
        <w:t xml:space="preserve">As already noted, </w:t>
      </w:r>
      <w:r w:rsidR="007F290D" w:rsidRPr="00925262">
        <w:rPr>
          <w:rFonts w:eastAsia="Calibri" w:cs="Times New Roman"/>
          <w:szCs w:val="24"/>
        </w:rPr>
        <w:t xml:space="preserve">the inviolability </w:t>
      </w:r>
      <w:r w:rsidR="007F290D">
        <w:rPr>
          <w:rFonts w:eastAsia="Calibri" w:cs="Times New Roman"/>
          <w:szCs w:val="24"/>
        </w:rPr>
        <w:t xml:space="preserve">and </w:t>
      </w:r>
      <w:r w:rsidR="007F290D" w:rsidRPr="00925262">
        <w:rPr>
          <w:rFonts w:eastAsia="Calibri" w:cs="Times New Roman"/>
          <w:szCs w:val="24"/>
        </w:rPr>
        <w:t xml:space="preserve">immunity of persons on special missions are strictly limited in time to the duration of the mission, and are additional to </w:t>
      </w:r>
      <w:r w:rsidR="00B51888">
        <w:rPr>
          <w:rFonts w:eastAsia="Calibri" w:cs="Times New Roman"/>
          <w:szCs w:val="24"/>
        </w:rPr>
        <w:t>the</w:t>
      </w:r>
      <w:r w:rsidR="007F290D">
        <w:rPr>
          <w:rFonts w:eastAsia="Calibri" w:cs="Times New Roman"/>
          <w:szCs w:val="24"/>
        </w:rPr>
        <w:t xml:space="preserve"> personal </w:t>
      </w:r>
      <w:r w:rsidR="007F290D" w:rsidRPr="00925262">
        <w:rPr>
          <w:rFonts w:eastAsia="Calibri" w:cs="Times New Roman"/>
          <w:szCs w:val="24"/>
        </w:rPr>
        <w:t xml:space="preserve">inviolability </w:t>
      </w:r>
      <w:r w:rsidR="007F290D">
        <w:rPr>
          <w:rFonts w:eastAsia="Calibri" w:cs="Times New Roman"/>
          <w:szCs w:val="24"/>
        </w:rPr>
        <w:t xml:space="preserve">and immunities </w:t>
      </w:r>
      <w:r w:rsidR="007F290D" w:rsidRPr="00925262">
        <w:rPr>
          <w:rFonts w:eastAsia="Calibri" w:cs="Times New Roman"/>
          <w:szCs w:val="24"/>
        </w:rPr>
        <w:t>that the person concerned may enjoy</w:t>
      </w:r>
      <w:r w:rsidR="00B51888">
        <w:rPr>
          <w:rFonts w:eastAsia="Calibri" w:cs="Times New Roman"/>
          <w:szCs w:val="24"/>
        </w:rPr>
        <w:t xml:space="preserve"> on any other basis</w:t>
      </w:r>
      <w:r w:rsidR="007F290D" w:rsidRPr="00925262">
        <w:rPr>
          <w:rFonts w:eastAsia="Calibri" w:cs="Times New Roman"/>
          <w:szCs w:val="24"/>
        </w:rPr>
        <w:t>.</w:t>
      </w:r>
      <w:r w:rsidR="005E2C6F">
        <w:rPr>
          <w:rFonts w:eastAsia="Calibri" w:cs="Times New Roman"/>
          <w:szCs w:val="24"/>
        </w:rPr>
        <w:t xml:space="preserve"> </w:t>
      </w:r>
      <w:r w:rsidR="00B51888">
        <w:rPr>
          <w:rFonts w:eastAsia="Calibri" w:cs="Times New Roman"/>
          <w:szCs w:val="24"/>
        </w:rPr>
        <w:t>All</w:t>
      </w:r>
      <w:r w:rsidR="0041719B" w:rsidRPr="0041719B">
        <w:rPr>
          <w:rFonts w:eastAsia="Calibri" w:cs="Times New Roman"/>
          <w:szCs w:val="24"/>
        </w:rPr>
        <w:t xml:space="preserve"> visiting official</w:t>
      </w:r>
      <w:r w:rsidR="00B51888">
        <w:rPr>
          <w:rFonts w:eastAsia="Calibri" w:cs="Times New Roman"/>
          <w:szCs w:val="24"/>
        </w:rPr>
        <w:t>s</w:t>
      </w:r>
      <w:r w:rsidR="0041719B" w:rsidRPr="0041719B">
        <w:rPr>
          <w:rFonts w:eastAsia="Calibri" w:cs="Times New Roman"/>
          <w:szCs w:val="24"/>
        </w:rPr>
        <w:t xml:space="preserve"> or former official</w:t>
      </w:r>
      <w:r w:rsidR="00B51888">
        <w:rPr>
          <w:rFonts w:eastAsia="Calibri" w:cs="Times New Roman"/>
          <w:szCs w:val="24"/>
        </w:rPr>
        <w:t>s</w:t>
      </w:r>
      <w:r w:rsidR="0041719B" w:rsidRPr="0041719B">
        <w:rPr>
          <w:rFonts w:eastAsia="Calibri" w:cs="Times New Roman"/>
          <w:szCs w:val="24"/>
        </w:rPr>
        <w:t xml:space="preserve"> enjoy inviolability and immunity from criminal jurisdiction in respect of official acts</w:t>
      </w:r>
      <w:r w:rsidR="00265829">
        <w:rPr>
          <w:rFonts w:eastAsia="Calibri" w:cs="Times New Roman"/>
          <w:szCs w:val="24"/>
        </w:rPr>
        <w:t xml:space="preserve"> under customary </w:t>
      </w:r>
      <w:r w:rsidR="0041719B">
        <w:rPr>
          <w:rFonts w:eastAsia="Calibri" w:cs="Times New Roman"/>
          <w:szCs w:val="24"/>
        </w:rPr>
        <w:t>international law</w:t>
      </w:r>
      <w:r w:rsidR="007F290D" w:rsidRPr="00925262">
        <w:rPr>
          <w:rFonts w:eastAsia="Calibri" w:cs="Times New Roman"/>
          <w:szCs w:val="24"/>
        </w:rPr>
        <w:t>.</w:t>
      </w:r>
      <w:r w:rsidR="006A2E69">
        <w:rPr>
          <w:rStyle w:val="FootnoteReference"/>
          <w:rFonts w:eastAsia="Calibri" w:cs="Times New Roman"/>
          <w:szCs w:val="24"/>
        </w:rPr>
        <w:footnoteReference w:id="71"/>
      </w:r>
      <w:r w:rsidR="005E2C6F">
        <w:rPr>
          <w:rFonts w:eastAsia="Calibri" w:cs="Times New Roman"/>
          <w:szCs w:val="24"/>
        </w:rPr>
        <w:t xml:space="preserve"> </w:t>
      </w:r>
      <w:r w:rsidR="007F290D" w:rsidRPr="00925262">
        <w:rPr>
          <w:rFonts w:eastAsia="Calibri" w:cs="Times New Roman"/>
          <w:szCs w:val="24"/>
        </w:rPr>
        <w:t xml:space="preserve">Special mission immunity </w:t>
      </w:r>
      <w:r w:rsidR="00017B3D">
        <w:rPr>
          <w:rFonts w:eastAsia="Calibri" w:cs="Times New Roman"/>
          <w:szCs w:val="24"/>
        </w:rPr>
        <w:t>is</w:t>
      </w:r>
      <w:r w:rsidR="007F290D" w:rsidRPr="00925262">
        <w:rPr>
          <w:rFonts w:eastAsia="Calibri" w:cs="Times New Roman"/>
          <w:szCs w:val="24"/>
        </w:rPr>
        <w:t xml:space="preserve"> therefore </w:t>
      </w:r>
      <w:r w:rsidR="008F71DC">
        <w:rPr>
          <w:rFonts w:eastAsia="Calibri" w:cs="Times New Roman"/>
          <w:szCs w:val="24"/>
        </w:rPr>
        <w:t xml:space="preserve">most relevant </w:t>
      </w:r>
      <w:r w:rsidR="007F290D" w:rsidRPr="00925262">
        <w:rPr>
          <w:rFonts w:eastAsia="Calibri" w:cs="Times New Roman"/>
          <w:szCs w:val="24"/>
        </w:rPr>
        <w:t xml:space="preserve">in so far as there </w:t>
      </w:r>
      <w:r w:rsidR="00265829">
        <w:rPr>
          <w:rFonts w:eastAsia="Calibri" w:cs="Times New Roman"/>
          <w:szCs w:val="24"/>
        </w:rPr>
        <w:t>may be</w:t>
      </w:r>
      <w:r w:rsidR="007F290D" w:rsidRPr="00925262">
        <w:rPr>
          <w:rFonts w:eastAsia="Calibri" w:cs="Times New Roman"/>
          <w:szCs w:val="24"/>
        </w:rPr>
        <w:t xml:space="preserve"> exceptions to immunity </w:t>
      </w:r>
      <w:r w:rsidR="007F290D" w:rsidRPr="00925262">
        <w:rPr>
          <w:rFonts w:eastAsia="Calibri" w:cs="Times New Roman"/>
          <w:i/>
          <w:szCs w:val="24"/>
        </w:rPr>
        <w:t>ratione materiae</w:t>
      </w:r>
      <w:r w:rsidR="007F290D" w:rsidRPr="00925262">
        <w:rPr>
          <w:rFonts w:eastAsia="Calibri" w:cs="Times New Roman"/>
          <w:szCs w:val="24"/>
        </w:rPr>
        <w:t xml:space="preserve">, </w:t>
      </w:r>
      <w:r w:rsidR="008F71DC">
        <w:rPr>
          <w:rFonts w:eastAsia="Calibri" w:cs="Times New Roman"/>
          <w:szCs w:val="24"/>
        </w:rPr>
        <w:t>and</w:t>
      </w:r>
      <w:r w:rsidR="007F290D" w:rsidRPr="00925262">
        <w:rPr>
          <w:rFonts w:eastAsia="Calibri" w:cs="Times New Roman"/>
          <w:szCs w:val="24"/>
        </w:rPr>
        <w:t xml:space="preserve"> in respect of private acts.</w:t>
      </w:r>
    </w:p>
    <w:p w14:paraId="7505CB5B" w14:textId="77777777" w:rsidR="00BE220F" w:rsidRDefault="00BE220F" w:rsidP="00876B57">
      <w:pPr>
        <w:widowControl w:val="0"/>
        <w:contextualSpacing/>
        <w:rPr>
          <w:rFonts w:eastAsia="Calibri" w:cs="Times New Roman"/>
          <w:szCs w:val="24"/>
        </w:rPr>
      </w:pPr>
    </w:p>
    <w:p w14:paraId="03F0CCB6" w14:textId="0DBC9271" w:rsidR="009B534E" w:rsidRDefault="00875FCE" w:rsidP="00876B57">
      <w:pPr>
        <w:widowControl w:val="0"/>
        <w:contextualSpacing/>
        <w:rPr>
          <w:rFonts w:eastAsia="Calibri" w:cs="Times New Roman"/>
          <w:szCs w:val="24"/>
        </w:rPr>
      </w:pPr>
      <w:r>
        <w:rPr>
          <w:rFonts w:eastAsia="Calibri" w:cs="Times New Roman"/>
          <w:szCs w:val="24"/>
        </w:rPr>
        <w:t xml:space="preserve">There are a considerable number of examples of practice and </w:t>
      </w:r>
      <w:r>
        <w:rPr>
          <w:rFonts w:eastAsia="Calibri" w:cs="Times New Roman"/>
          <w:i/>
          <w:szCs w:val="24"/>
        </w:rPr>
        <w:t>opinio juris</w:t>
      </w:r>
      <w:r>
        <w:rPr>
          <w:rFonts w:eastAsia="Calibri" w:cs="Times New Roman"/>
          <w:szCs w:val="24"/>
        </w:rPr>
        <w:t xml:space="preserve"> supporting the existence of a customary law of special mission immunity from criminal jurisdiction. </w:t>
      </w:r>
      <w:r w:rsidR="004A2467">
        <w:rPr>
          <w:rFonts w:eastAsia="Calibri" w:cs="Times New Roman"/>
          <w:szCs w:val="24"/>
        </w:rPr>
        <w:t xml:space="preserve">In their replies to the </w:t>
      </w:r>
      <w:r w:rsidR="00C32F5E">
        <w:rPr>
          <w:rFonts w:eastAsia="Calibri" w:cs="Times New Roman"/>
          <w:szCs w:val="24"/>
        </w:rPr>
        <w:t xml:space="preserve">CAHDI questionnaire, numerous </w:t>
      </w:r>
      <w:r w:rsidR="009A0BF1">
        <w:rPr>
          <w:rFonts w:eastAsia="Calibri" w:cs="Times New Roman"/>
          <w:szCs w:val="24"/>
        </w:rPr>
        <w:t>S</w:t>
      </w:r>
      <w:r w:rsidR="00C32F5E">
        <w:rPr>
          <w:rFonts w:eastAsia="Calibri" w:cs="Times New Roman"/>
          <w:szCs w:val="24"/>
        </w:rPr>
        <w:t xml:space="preserve">tates </w:t>
      </w:r>
      <w:r w:rsidR="005104E4">
        <w:rPr>
          <w:rFonts w:eastAsia="Calibri" w:cs="Times New Roman"/>
          <w:szCs w:val="24"/>
        </w:rPr>
        <w:t xml:space="preserve">have </w:t>
      </w:r>
      <w:r w:rsidR="00B13640">
        <w:rPr>
          <w:rFonts w:eastAsia="Calibri" w:cs="Times New Roman"/>
          <w:szCs w:val="24"/>
        </w:rPr>
        <w:t xml:space="preserve">recognised </w:t>
      </w:r>
      <w:r w:rsidR="005104E4">
        <w:rPr>
          <w:rFonts w:eastAsia="Calibri" w:cs="Times New Roman"/>
          <w:szCs w:val="24"/>
        </w:rPr>
        <w:t>a form of special mission immunity</w:t>
      </w:r>
      <w:r w:rsidR="00C8738F">
        <w:rPr>
          <w:rFonts w:eastAsia="Calibri" w:cs="Times New Roman"/>
          <w:szCs w:val="24"/>
        </w:rPr>
        <w:t xml:space="preserve"> granted by customary international law</w:t>
      </w:r>
      <w:r w:rsidR="00C32F5E">
        <w:rPr>
          <w:rFonts w:eastAsia="Calibri" w:cs="Times New Roman"/>
          <w:szCs w:val="24"/>
        </w:rPr>
        <w:t xml:space="preserve">, </w:t>
      </w:r>
      <w:r w:rsidR="00383828">
        <w:rPr>
          <w:rFonts w:eastAsia="Calibri" w:cs="Times New Roman"/>
          <w:szCs w:val="24"/>
        </w:rPr>
        <w:lastRenderedPageBreak/>
        <w:t xml:space="preserve">including </w:t>
      </w:r>
      <w:r w:rsidR="00383828" w:rsidRPr="00383828">
        <w:rPr>
          <w:rFonts w:eastAsia="Calibri" w:cs="Times New Roman"/>
          <w:szCs w:val="24"/>
        </w:rPr>
        <w:t>Albania</w:t>
      </w:r>
      <w:r w:rsidR="00383828">
        <w:rPr>
          <w:rFonts w:eastAsia="Calibri" w:cs="Times New Roman"/>
          <w:szCs w:val="24"/>
        </w:rPr>
        <w:t>,</w:t>
      </w:r>
      <w:r w:rsidR="00B13640">
        <w:rPr>
          <w:rStyle w:val="FootnoteReference"/>
          <w:rFonts w:eastAsia="Calibri" w:cs="Times New Roman"/>
          <w:szCs w:val="24"/>
        </w:rPr>
        <w:footnoteReference w:id="72"/>
      </w:r>
      <w:r w:rsidR="00383828">
        <w:rPr>
          <w:rFonts w:eastAsia="Calibri" w:cs="Times New Roman"/>
          <w:szCs w:val="24"/>
        </w:rPr>
        <w:t xml:space="preserve"> </w:t>
      </w:r>
      <w:r w:rsidR="00B13640">
        <w:rPr>
          <w:rFonts w:eastAsia="Calibri" w:cs="Times New Roman"/>
          <w:szCs w:val="24"/>
        </w:rPr>
        <w:t>Austria,</w:t>
      </w:r>
      <w:r w:rsidR="000F7493">
        <w:rPr>
          <w:rStyle w:val="FootnoteReference"/>
          <w:rFonts w:eastAsia="Calibri" w:cs="Times New Roman"/>
          <w:szCs w:val="24"/>
        </w:rPr>
        <w:footnoteReference w:id="73"/>
      </w:r>
      <w:r w:rsidR="00B13640">
        <w:rPr>
          <w:rFonts w:eastAsia="Calibri" w:cs="Times New Roman"/>
          <w:szCs w:val="24"/>
        </w:rPr>
        <w:t xml:space="preserve"> </w:t>
      </w:r>
      <w:r w:rsidR="005E1A77">
        <w:rPr>
          <w:rFonts w:eastAsia="Calibri" w:cs="Times New Roman"/>
          <w:szCs w:val="24"/>
        </w:rPr>
        <w:t>Belarus,</w:t>
      </w:r>
      <w:r w:rsidR="005E1A77">
        <w:rPr>
          <w:rStyle w:val="FootnoteReference"/>
          <w:rFonts w:eastAsia="Calibri" w:cs="Times New Roman"/>
          <w:szCs w:val="24"/>
        </w:rPr>
        <w:footnoteReference w:id="74"/>
      </w:r>
      <w:r w:rsidR="005E1A77">
        <w:rPr>
          <w:rFonts w:eastAsia="Calibri" w:cs="Times New Roman"/>
          <w:szCs w:val="24"/>
        </w:rPr>
        <w:t xml:space="preserve"> </w:t>
      </w:r>
      <w:r w:rsidR="00496C0F">
        <w:rPr>
          <w:rFonts w:eastAsia="Calibri" w:cs="Times New Roman"/>
          <w:szCs w:val="24"/>
        </w:rPr>
        <w:t>Belgium,</w:t>
      </w:r>
      <w:r w:rsidR="00496C0F">
        <w:rPr>
          <w:rStyle w:val="FootnoteReference"/>
          <w:rFonts w:eastAsia="Calibri" w:cs="Times New Roman"/>
          <w:szCs w:val="24"/>
        </w:rPr>
        <w:footnoteReference w:id="75"/>
      </w:r>
      <w:r w:rsidR="00E94308">
        <w:rPr>
          <w:rFonts w:eastAsia="Calibri" w:cs="Times New Roman"/>
          <w:szCs w:val="24"/>
        </w:rPr>
        <w:t xml:space="preserve"> </w:t>
      </w:r>
      <w:r w:rsidR="0014360C">
        <w:rPr>
          <w:rFonts w:eastAsia="Calibri" w:cs="Times New Roman"/>
          <w:szCs w:val="24"/>
        </w:rPr>
        <w:t>Bosnia and Herzegovina,</w:t>
      </w:r>
      <w:r w:rsidR="0014360C">
        <w:rPr>
          <w:rStyle w:val="FootnoteReference"/>
          <w:rFonts w:eastAsia="Calibri" w:cs="Times New Roman"/>
          <w:szCs w:val="24"/>
        </w:rPr>
        <w:footnoteReference w:id="76"/>
      </w:r>
      <w:r w:rsidR="0014360C">
        <w:rPr>
          <w:rFonts w:eastAsia="Calibri" w:cs="Times New Roman"/>
          <w:szCs w:val="24"/>
        </w:rPr>
        <w:t xml:space="preserve"> </w:t>
      </w:r>
      <w:r w:rsidR="00E94308">
        <w:rPr>
          <w:rFonts w:eastAsia="Calibri" w:cs="Times New Roman"/>
          <w:szCs w:val="24"/>
        </w:rPr>
        <w:t>Bulgaria,</w:t>
      </w:r>
      <w:r w:rsidR="00E94308">
        <w:rPr>
          <w:rStyle w:val="FootnoteReference"/>
          <w:rFonts w:eastAsia="Calibri" w:cs="Times New Roman"/>
          <w:szCs w:val="24"/>
        </w:rPr>
        <w:footnoteReference w:id="77"/>
      </w:r>
      <w:r w:rsidR="00E94308">
        <w:rPr>
          <w:rFonts w:eastAsia="Calibri" w:cs="Times New Roman"/>
          <w:szCs w:val="24"/>
        </w:rPr>
        <w:t xml:space="preserve"> Croatia,</w:t>
      </w:r>
      <w:r w:rsidR="00E94308">
        <w:rPr>
          <w:rStyle w:val="FootnoteReference"/>
          <w:rFonts w:eastAsia="Calibri" w:cs="Times New Roman"/>
          <w:szCs w:val="24"/>
        </w:rPr>
        <w:footnoteReference w:id="78"/>
      </w:r>
      <w:r w:rsidR="004F10DF">
        <w:rPr>
          <w:rFonts w:eastAsia="Calibri" w:cs="Times New Roman"/>
          <w:szCs w:val="24"/>
        </w:rPr>
        <w:t xml:space="preserve"> </w:t>
      </w:r>
      <w:r w:rsidR="004F10DF" w:rsidRPr="004F10DF">
        <w:rPr>
          <w:rFonts w:eastAsia="Calibri" w:cs="Times New Roman"/>
          <w:szCs w:val="24"/>
        </w:rPr>
        <w:t>Czech Republic</w:t>
      </w:r>
      <w:r w:rsidR="004F10DF">
        <w:rPr>
          <w:rFonts w:eastAsia="Calibri" w:cs="Times New Roman"/>
          <w:szCs w:val="24"/>
        </w:rPr>
        <w:t>,</w:t>
      </w:r>
      <w:r w:rsidR="004F10DF">
        <w:rPr>
          <w:rStyle w:val="FootnoteReference"/>
          <w:rFonts w:eastAsia="Calibri" w:cs="Times New Roman"/>
          <w:szCs w:val="24"/>
        </w:rPr>
        <w:footnoteReference w:id="79"/>
      </w:r>
      <w:r w:rsidR="004C43AE">
        <w:rPr>
          <w:rFonts w:eastAsia="Calibri" w:cs="Times New Roman"/>
          <w:szCs w:val="24"/>
        </w:rPr>
        <w:t xml:space="preserve"> Estonia,</w:t>
      </w:r>
      <w:r w:rsidR="004C43AE">
        <w:rPr>
          <w:rStyle w:val="FootnoteReference"/>
          <w:rFonts w:eastAsia="Calibri" w:cs="Times New Roman"/>
          <w:szCs w:val="24"/>
        </w:rPr>
        <w:footnoteReference w:id="80"/>
      </w:r>
      <w:r w:rsidR="0045161F">
        <w:rPr>
          <w:rFonts w:eastAsia="Calibri" w:cs="Times New Roman"/>
          <w:szCs w:val="24"/>
        </w:rPr>
        <w:t xml:space="preserve"> Finland,</w:t>
      </w:r>
      <w:r w:rsidR="0045161F">
        <w:rPr>
          <w:rStyle w:val="FootnoteReference"/>
          <w:rFonts w:eastAsia="Calibri" w:cs="Times New Roman"/>
          <w:szCs w:val="24"/>
        </w:rPr>
        <w:footnoteReference w:id="81"/>
      </w:r>
      <w:r w:rsidR="00FE03A6">
        <w:rPr>
          <w:rFonts w:eastAsia="Calibri" w:cs="Times New Roman"/>
          <w:szCs w:val="24"/>
        </w:rPr>
        <w:t xml:space="preserve"> France,</w:t>
      </w:r>
      <w:r w:rsidR="00FE03A6">
        <w:rPr>
          <w:rStyle w:val="FootnoteReference"/>
          <w:rFonts w:eastAsia="Calibri" w:cs="Times New Roman"/>
          <w:szCs w:val="24"/>
        </w:rPr>
        <w:footnoteReference w:id="82"/>
      </w:r>
      <w:r w:rsidR="00FE03A6">
        <w:rPr>
          <w:rFonts w:eastAsia="Calibri" w:cs="Times New Roman"/>
          <w:szCs w:val="24"/>
        </w:rPr>
        <w:t xml:space="preserve"> Germany,</w:t>
      </w:r>
      <w:r w:rsidR="00FE03A6">
        <w:rPr>
          <w:rStyle w:val="FootnoteReference"/>
          <w:rFonts w:eastAsia="Calibri" w:cs="Times New Roman"/>
          <w:szCs w:val="24"/>
        </w:rPr>
        <w:footnoteReference w:id="83"/>
      </w:r>
      <w:r w:rsidR="00027542">
        <w:rPr>
          <w:rFonts w:eastAsia="Calibri" w:cs="Times New Roman"/>
          <w:szCs w:val="24"/>
        </w:rPr>
        <w:t xml:space="preserve"> </w:t>
      </w:r>
      <w:r w:rsidR="00027542">
        <w:rPr>
          <w:rFonts w:eastAsia="Calibri" w:cs="Times New Roman"/>
          <w:szCs w:val="24"/>
        </w:rPr>
        <w:lastRenderedPageBreak/>
        <w:t>Italy,</w:t>
      </w:r>
      <w:r w:rsidR="00027542">
        <w:rPr>
          <w:rStyle w:val="FootnoteReference"/>
          <w:rFonts w:eastAsia="Calibri" w:cs="Times New Roman"/>
          <w:szCs w:val="24"/>
        </w:rPr>
        <w:footnoteReference w:id="84"/>
      </w:r>
      <w:r w:rsidR="00027542">
        <w:rPr>
          <w:rFonts w:eastAsia="Calibri" w:cs="Times New Roman"/>
          <w:szCs w:val="24"/>
        </w:rPr>
        <w:t xml:space="preserve"> the Netherlands,</w:t>
      </w:r>
      <w:r w:rsidR="00027542">
        <w:rPr>
          <w:rStyle w:val="FootnoteReference"/>
          <w:rFonts w:eastAsia="Calibri" w:cs="Times New Roman"/>
          <w:szCs w:val="24"/>
        </w:rPr>
        <w:footnoteReference w:id="85"/>
      </w:r>
      <w:r w:rsidR="00287CDE">
        <w:rPr>
          <w:rFonts w:eastAsia="Calibri" w:cs="Times New Roman"/>
          <w:szCs w:val="24"/>
        </w:rPr>
        <w:t xml:space="preserve"> </w:t>
      </w:r>
      <w:r w:rsidR="005224D9">
        <w:rPr>
          <w:rFonts w:eastAsia="Calibri" w:cs="Times New Roman"/>
          <w:szCs w:val="24"/>
        </w:rPr>
        <w:t>Romania,</w:t>
      </w:r>
      <w:r w:rsidR="005224D9">
        <w:rPr>
          <w:rStyle w:val="FootnoteReference"/>
          <w:rFonts w:eastAsia="Calibri" w:cs="Times New Roman"/>
          <w:szCs w:val="24"/>
        </w:rPr>
        <w:footnoteReference w:id="86"/>
      </w:r>
      <w:r w:rsidR="00EC213D">
        <w:rPr>
          <w:rFonts w:eastAsia="Calibri" w:cs="Times New Roman"/>
          <w:szCs w:val="24"/>
        </w:rPr>
        <w:t xml:space="preserve"> Serbia,</w:t>
      </w:r>
      <w:r w:rsidR="00EC213D">
        <w:rPr>
          <w:rStyle w:val="FootnoteReference"/>
          <w:rFonts w:eastAsia="Calibri" w:cs="Times New Roman"/>
          <w:szCs w:val="24"/>
        </w:rPr>
        <w:footnoteReference w:id="87"/>
      </w:r>
      <w:r w:rsidR="00EC213D">
        <w:rPr>
          <w:rFonts w:eastAsia="Calibri" w:cs="Times New Roman"/>
          <w:szCs w:val="24"/>
        </w:rPr>
        <w:t xml:space="preserve"> Slovenia,</w:t>
      </w:r>
      <w:r w:rsidR="00EC213D">
        <w:rPr>
          <w:rStyle w:val="FootnoteReference"/>
          <w:rFonts w:eastAsia="Calibri" w:cs="Times New Roman"/>
          <w:szCs w:val="24"/>
        </w:rPr>
        <w:footnoteReference w:id="88"/>
      </w:r>
      <w:r w:rsidR="007930DB">
        <w:rPr>
          <w:rFonts w:eastAsia="Calibri" w:cs="Times New Roman"/>
          <w:szCs w:val="24"/>
        </w:rPr>
        <w:t xml:space="preserve"> Spain,</w:t>
      </w:r>
      <w:r w:rsidR="007930DB">
        <w:rPr>
          <w:rStyle w:val="FootnoteReference"/>
          <w:rFonts w:eastAsia="Calibri" w:cs="Times New Roman"/>
          <w:szCs w:val="24"/>
        </w:rPr>
        <w:footnoteReference w:id="89"/>
      </w:r>
      <w:r w:rsidR="005E1A77">
        <w:rPr>
          <w:rFonts w:eastAsia="Calibri" w:cs="Times New Roman"/>
          <w:szCs w:val="24"/>
        </w:rPr>
        <w:t xml:space="preserve"> Switzerland,</w:t>
      </w:r>
      <w:r w:rsidR="005E1A77">
        <w:rPr>
          <w:rStyle w:val="FootnoteReference"/>
          <w:rFonts w:eastAsia="Calibri" w:cs="Times New Roman"/>
          <w:szCs w:val="24"/>
        </w:rPr>
        <w:footnoteReference w:id="90"/>
      </w:r>
      <w:r w:rsidR="005E1A77">
        <w:rPr>
          <w:rFonts w:eastAsia="Calibri" w:cs="Times New Roman"/>
          <w:szCs w:val="24"/>
        </w:rPr>
        <w:t xml:space="preserve"> Ukraine,</w:t>
      </w:r>
      <w:r w:rsidR="005E1A77">
        <w:rPr>
          <w:rStyle w:val="FootnoteReference"/>
          <w:rFonts w:eastAsia="Calibri" w:cs="Times New Roman"/>
          <w:szCs w:val="24"/>
        </w:rPr>
        <w:footnoteReference w:id="91"/>
      </w:r>
      <w:r w:rsidR="005E1A77">
        <w:rPr>
          <w:rFonts w:eastAsia="Calibri" w:cs="Times New Roman"/>
          <w:szCs w:val="24"/>
        </w:rPr>
        <w:t xml:space="preserve"> United Kingdom,</w:t>
      </w:r>
      <w:r w:rsidR="005E1A77">
        <w:rPr>
          <w:rStyle w:val="FootnoteReference"/>
          <w:rFonts w:eastAsia="Calibri" w:cs="Times New Roman"/>
          <w:szCs w:val="24"/>
        </w:rPr>
        <w:footnoteReference w:id="92"/>
      </w:r>
      <w:r w:rsidR="005E1A77">
        <w:rPr>
          <w:rFonts w:eastAsia="Calibri" w:cs="Times New Roman"/>
          <w:szCs w:val="24"/>
        </w:rPr>
        <w:t xml:space="preserve"> and the United States of America.</w:t>
      </w:r>
      <w:r w:rsidR="005E1A77">
        <w:rPr>
          <w:rStyle w:val="FootnoteReference"/>
          <w:rFonts w:eastAsia="Calibri" w:cs="Times New Roman"/>
          <w:szCs w:val="24"/>
        </w:rPr>
        <w:footnoteReference w:id="93"/>
      </w:r>
      <w:r w:rsidR="001B644E">
        <w:rPr>
          <w:rFonts w:eastAsia="Calibri" w:cs="Times New Roman"/>
          <w:szCs w:val="24"/>
        </w:rPr>
        <w:t xml:space="preserve"> </w:t>
      </w:r>
      <w:r w:rsidR="00E14AF4">
        <w:rPr>
          <w:rFonts w:eastAsia="Calibri" w:cs="Times New Roman"/>
          <w:szCs w:val="24"/>
        </w:rPr>
        <w:t xml:space="preserve">In the </w:t>
      </w:r>
      <w:r w:rsidR="00E14AF4">
        <w:rPr>
          <w:rFonts w:eastAsia="Calibri" w:cs="Times New Roman"/>
          <w:i/>
          <w:szCs w:val="24"/>
        </w:rPr>
        <w:t>Freedom and Justice Party</w:t>
      </w:r>
      <w:r w:rsidR="00E14AF4">
        <w:rPr>
          <w:rFonts w:eastAsia="Calibri" w:cs="Times New Roman"/>
          <w:szCs w:val="24"/>
        </w:rPr>
        <w:t xml:space="preserve"> case, </w:t>
      </w:r>
      <w:r w:rsidR="00131345">
        <w:rPr>
          <w:rFonts w:eastAsia="Calibri" w:cs="Times New Roman"/>
          <w:szCs w:val="24"/>
        </w:rPr>
        <w:t xml:space="preserve">after examining the responses to the CAHDI questionnaire made available to </w:t>
      </w:r>
      <w:r w:rsidR="00B51888">
        <w:rPr>
          <w:rFonts w:eastAsia="Calibri" w:cs="Times New Roman"/>
          <w:szCs w:val="24"/>
        </w:rPr>
        <w:t>it</w:t>
      </w:r>
      <w:r w:rsidR="001B644E">
        <w:rPr>
          <w:rFonts w:eastAsia="Calibri" w:cs="Times New Roman"/>
          <w:szCs w:val="24"/>
        </w:rPr>
        <w:t xml:space="preserve"> in 2016</w:t>
      </w:r>
      <w:r w:rsidR="00B51888">
        <w:rPr>
          <w:rFonts w:eastAsia="Calibri" w:cs="Times New Roman"/>
          <w:szCs w:val="24"/>
        </w:rPr>
        <w:t xml:space="preserve">, </w:t>
      </w:r>
      <w:r w:rsidR="00131345">
        <w:rPr>
          <w:rFonts w:eastAsia="Calibri" w:cs="Times New Roman"/>
          <w:szCs w:val="24"/>
        </w:rPr>
        <w:t>the</w:t>
      </w:r>
      <w:r w:rsidR="00E14AF4">
        <w:rPr>
          <w:rFonts w:eastAsia="Calibri" w:cs="Times New Roman"/>
          <w:szCs w:val="24"/>
        </w:rPr>
        <w:t xml:space="preserve"> Divisional Court</w:t>
      </w:r>
      <w:r w:rsidR="00131345">
        <w:rPr>
          <w:rFonts w:eastAsia="Calibri" w:cs="Times New Roman"/>
          <w:szCs w:val="24"/>
        </w:rPr>
        <w:t xml:space="preserve"> concluded that</w:t>
      </w:r>
    </w:p>
    <w:p w14:paraId="3B6D0349" w14:textId="06B4A6D4" w:rsidR="00E14AF4" w:rsidRPr="00E14AF4" w:rsidRDefault="009B534E" w:rsidP="009B534E">
      <w:pPr>
        <w:pStyle w:val="Quote"/>
      </w:pPr>
      <w:r>
        <w:t>the CAHDI survey does not cause us to doubt that the great weight of State practice summarised earlier in this judgment demonstrates the existence of the proposed rule of customary international law. On the contrary, we consider that it is broadly consistent with or supportive of that conclusion.</w:t>
      </w:r>
      <w:r>
        <w:rPr>
          <w:rStyle w:val="FootnoteReference"/>
        </w:rPr>
        <w:footnoteReference w:id="94"/>
      </w:r>
    </w:p>
    <w:p w14:paraId="7486BCF6" w14:textId="5B70D986" w:rsidR="005100C7" w:rsidRDefault="00875FCE" w:rsidP="00F5158C">
      <w:pPr>
        <w:widowControl w:val="0"/>
        <w:rPr>
          <w:rFonts w:eastAsia="Calibri" w:cs="Times New Roman"/>
          <w:szCs w:val="24"/>
        </w:rPr>
      </w:pPr>
      <w:r>
        <w:rPr>
          <w:rFonts w:eastAsia="Calibri" w:cs="Times New Roman"/>
          <w:szCs w:val="24"/>
        </w:rPr>
        <w:t>S</w:t>
      </w:r>
      <w:r w:rsidR="000F7DAB">
        <w:rPr>
          <w:rFonts w:eastAsia="Calibri" w:cs="Times New Roman"/>
          <w:szCs w:val="24"/>
        </w:rPr>
        <w:t xml:space="preserve">ome </w:t>
      </w:r>
      <w:r>
        <w:rPr>
          <w:rFonts w:eastAsia="Calibri" w:cs="Times New Roman"/>
          <w:szCs w:val="24"/>
        </w:rPr>
        <w:t xml:space="preserve">specific examples of state practice </w:t>
      </w:r>
      <w:r w:rsidR="003A10D9">
        <w:rPr>
          <w:rFonts w:eastAsia="Calibri" w:cs="Times New Roman"/>
          <w:szCs w:val="24"/>
        </w:rPr>
        <w:t xml:space="preserve">and </w:t>
      </w:r>
      <w:r w:rsidR="003A10D9">
        <w:rPr>
          <w:rFonts w:eastAsia="Calibri" w:cs="Times New Roman"/>
          <w:i/>
          <w:szCs w:val="24"/>
        </w:rPr>
        <w:t xml:space="preserve">opinio juris </w:t>
      </w:r>
      <w:r w:rsidR="000F7DAB">
        <w:rPr>
          <w:rFonts w:eastAsia="Calibri" w:cs="Times New Roman"/>
          <w:szCs w:val="24"/>
        </w:rPr>
        <w:t xml:space="preserve">are described below. </w:t>
      </w:r>
    </w:p>
    <w:p w14:paraId="49A2DC45" w14:textId="625A382F" w:rsidR="00FC3F9B" w:rsidRPr="00FC3F9B" w:rsidRDefault="00E11C68" w:rsidP="00BE220F">
      <w:pPr>
        <w:pStyle w:val="Heading4"/>
        <w:rPr>
          <w:rFonts w:eastAsia="Calibri"/>
        </w:rPr>
      </w:pPr>
      <w:r>
        <w:rPr>
          <w:rFonts w:eastAsia="Calibri"/>
        </w:rPr>
        <w:t>Finland</w:t>
      </w:r>
    </w:p>
    <w:p w14:paraId="40DA8DC8" w14:textId="55F9A69C" w:rsidR="009E6CD4" w:rsidRDefault="009E6CD4" w:rsidP="00E61B24">
      <w:pPr>
        <w:widowControl w:val="0"/>
        <w:rPr>
          <w:rFonts w:eastAsia="Calibri" w:cs="Times New Roman"/>
          <w:szCs w:val="24"/>
        </w:rPr>
      </w:pPr>
      <w:r>
        <w:rPr>
          <w:rFonts w:eastAsia="Calibri" w:cs="Times New Roman"/>
          <w:szCs w:val="24"/>
        </w:rPr>
        <w:t>Finland has signed but not ratified the Convention on Special Missions.</w:t>
      </w:r>
      <w:r w:rsidR="00501308">
        <w:rPr>
          <w:rFonts w:eastAsia="Calibri" w:cs="Times New Roman"/>
          <w:szCs w:val="24"/>
        </w:rPr>
        <w:t xml:space="preserve"> Its domestic law grants immunity to special missions by </w:t>
      </w:r>
      <w:r w:rsidR="00501308">
        <w:rPr>
          <w:rFonts w:eastAsia="Calibri" w:cs="Times New Roman"/>
          <w:i/>
          <w:szCs w:val="24"/>
        </w:rPr>
        <w:t>renvoi</w:t>
      </w:r>
      <w:r w:rsidR="00501308">
        <w:rPr>
          <w:rFonts w:eastAsia="Calibri" w:cs="Times New Roman"/>
          <w:szCs w:val="24"/>
        </w:rPr>
        <w:t xml:space="preserve"> to both the Convention and international custom. For example, </w:t>
      </w:r>
      <w:r w:rsidR="0054199A">
        <w:rPr>
          <w:rFonts w:eastAsia="Calibri" w:cs="Times New Roman"/>
          <w:szCs w:val="24"/>
        </w:rPr>
        <w:t xml:space="preserve">section 5 of the Act on the Privileges and Immunities of International Conferences and Special Missions provides that a member of a </w:t>
      </w:r>
      <w:r w:rsidR="00BE220F">
        <w:rPr>
          <w:rFonts w:eastAsia="Calibri" w:cs="Times New Roman"/>
          <w:szCs w:val="24"/>
        </w:rPr>
        <w:t>‘</w:t>
      </w:r>
      <w:r w:rsidR="0054199A">
        <w:rPr>
          <w:rFonts w:eastAsia="Calibri" w:cs="Times New Roman"/>
          <w:szCs w:val="24"/>
        </w:rPr>
        <w:t>delegation or</w:t>
      </w:r>
      <w:r w:rsidR="00776A6B">
        <w:rPr>
          <w:rFonts w:eastAsia="Calibri" w:cs="Times New Roman"/>
          <w:szCs w:val="24"/>
        </w:rPr>
        <w:t xml:space="preserve"> </w:t>
      </w:r>
      <w:r w:rsidR="0054199A">
        <w:rPr>
          <w:rFonts w:eastAsia="Calibri" w:cs="Times New Roman"/>
          <w:szCs w:val="24"/>
        </w:rPr>
        <w:t>…</w:t>
      </w:r>
      <w:r w:rsidR="00776A6B">
        <w:rPr>
          <w:rFonts w:eastAsia="Calibri" w:cs="Times New Roman"/>
          <w:szCs w:val="24"/>
        </w:rPr>
        <w:t xml:space="preserve"> </w:t>
      </w:r>
      <w:r w:rsidR="0054199A">
        <w:rPr>
          <w:rFonts w:eastAsia="Calibri" w:cs="Times New Roman"/>
          <w:szCs w:val="24"/>
        </w:rPr>
        <w:t xml:space="preserve">special mission shall enjoy all the privileges and immunities accorded to such persons by international law and </w:t>
      </w:r>
      <w:r w:rsidR="0054199A" w:rsidRPr="002558F3">
        <w:rPr>
          <w:rFonts w:eastAsia="Calibri" w:cs="Times New Roman"/>
          <w:i/>
          <w:szCs w:val="24"/>
        </w:rPr>
        <w:t>custom</w:t>
      </w:r>
      <w:r w:rsidR="00BE220F">
        <w:rPr>
          <w:rFonts w:eastAsia="Calibri" w:cs="Times New Roman"/>
          <w:szCs w:val="24"/>
        </w:rPr>
        <w:t>’</w:t>
      </w:r>
      <w:r w:rsidR="0054199A">
        <w:rPr>
          <w:rFonts w:eastAsia="Calibri" w:cs="Times New Roman"/>
          <w:szCs w:val="24"/>
        </w:rPr>
        <w:t>.</w:t>
      </w:r>
      <w:r w:rsidR="00623122">
        <w:rPr>
          <w:rStyle w:val="FootnoteReference"/>
          <w:rFonts w:eastAsia="Calibri" w:cs="Times New Roman"/>
          <w:szCs w:val="24"/>
        </w:rPr>
        <w:footnoteReference w:id="95"/>
      </w:r>
    </w:p>
    <w:p w14:paraId="2EDCAD27" w14:textId="3A2A4EE6" w:rsidR="000F7DAB" w:rsidRDefault="00E11C68" w:rsidP="00BE220F">
      <w:pPr>
        <w:pStyle w:val="Heading4"/>
        <w:rPr>
          <w:rFonts w:eastAsia="Calibri"/>
        </w:rPr>
      </w:pPr>
      <w:r>
        <w:rPr>
          <w:rFonts w:eastAsia="Calibri"/>
        </w:rPr>
        <w:lastRenderedPageBreak/>
        <w:t>France</w:t>
      </w:r>
    </w:p>
    <w:p w14:paraId="604ECC07" w14:textId="6450D90F" w:rsidR="00125A6A" w:rsidRPr="00BE220F" w:rsidRDefault="003F0C16" w:rsidP="00E61B24">
      <w:pPr>
        <w:widowControl w:val="0"/>
        <w:rPr>
          <w:rFonts w:eastAsia="Calibri" w:cs="Times New Roman"/>
          <w:szCs w:val="24"/>
        </w:rPr>
      </w:pPr>
      <w:r>
        <w:rPr>
          <w:rFonts w:eastAsia="Calibri" w:cs="Times New Roman"/>
          <w:szCs w:val="24"/>
        </w:rPr>
        <w:t xml:space="preserve">On 1 April 2004, Jean-François H. (N’Dengue), then Director-General of Police of the Republic of the Congo, was arrested in France. Later that day, the Director of the Cabinet of the French Minister for Foreign Affairs sent to the Procureur de la République de Meaux a note from the Protocol Service stating that Jean-François H. </w:t>
      </w:r>
      <w:r w:rsidR="00BE220F">
        <w:rPr>
          <w:rFonts w:eastAsia="Calibri" w:cs="Times New Roman"/>
          <w:szCs w:val="24"/>
        </w:rPr>
        <w:t>‘</w:t>
      </w:r>
      <w:r>
        <w:rPr>
          <w:rFonts w:eastAsia="Calibri" w:cs="Times New Roman"/>
          <w:szCs w:val="24"/>
        </w:rPr>
        <w:t>is on official mission in France</w:t>
      </w:r>
      <w:r w:rsidR="00776A6B">
        <w:rPr>
          <w:rFonts w:eastAsia="Calibri" w:cs="Times New Roman"/>
          <w:szCs w:val="24"/>
        </w:rPr>
        <w:t xml:space="preserve"> </w:t>
      </w:r>
      <w:r>
        <w:rPr>
          <w:rFonts w:eastAsia="Calibri" w:cs="Times New Roman"/>
          <w:szCs w:val="24"/>
        </w:rPr>
        <w:t>… that in this capacity, and by virtue of customary international law, he benefits from immunities from jurisdiction and execution</w:t>
      </w:r>
      <w:r w:rsidR="00BE220F">
        <w:rPr>
          <w:rFonts w:eastAsia="Calibri" w:cs="Times New Roman"/>
          <w:szCs w:val="24"/>
        </w:rPr>
        <w:t>’</w:t>
      </w:r>
      <w:r>
        <w:rPr>
          <w:rFonts w:eastAsia="Calibri" w:cs="Times New Roman"/>
          <w:szCs w:val="24"/>
        </w:rPr>
        <w:t>.</w:t>
      </w:r>
      <w:bookmarkStart w:id="63" w:name="_Ref494905651"/>
      <w:r>
        <w:rPr>
          <w:rStyle w:val="FootnoteReference"/>
          <w:rFonts w:eastAsia="Calibri" w:cs="Times New Roman"/>
          <w:szCs w:val="24"/>
        </w:rPr>
        <w:footnoteReference w:id="96"/>
      </w:r>
      <w:bookmarkEnd w:id="63"/>
      <w:r>
        <w:rPr>
          <w:rFonts w:eastAsia="Calibri" w:cs="Times New Roman"/>
          <w:szCs w:val="24"/>
        </w:rPr>
        <w:t xml:space="preserve"> The proceedings against him were subsequently dropped on the basis of this note.</w:t>
      </w:r>
      <w:r>
        <w:rPr>
          <w:rStyle w:val="FootnoteReference"/>
          <w:rFonts w:eastAsia="Calibri" w:cs="Times New Roman"/>
          <w:szCs w:val="24"/>
        </w:rPr>
        <w:footnoteReference w:id="97"/>
      </w:r>
      <w:r>
        <w:rPr>
          <w:rFonts w:eastAsia="Calibri" w:cs="Times New Roman"/>
          <w:szCs w:val="24"/>
        </w:rPr>
        <w:t xml:space="preserve"> The </w:t>
      </w:r>
      <w:r>
        <w:rPr>
          <w:rFonts w:eastAsia="Calibri" w:cs="Times New Roman"/>
          <w:i/>
          <w:szCs w:val="24"/>
        </w:rPr>
        <w:t>Court of Appeal of Versailles</w:t>
      </w:r>
      <w:r>
        <w:rPr>
          <w:rFonts w:eastAsia="Calibri" w:cs="Times New Roman"/>
          <w:szCs w:val="24"/>
        </w:rPr>
        <w:t xml:space="preserve"> later confirmed that the note </w:t>
      </w:r>
      <w:r w:rsidR="00BE220F">
        <w:rPr>
          <w:rFonts w:eastAsia="Calibri" w:cs="Times New Roman"/>
          <w:szCs w:val="24"/>
        </w:rPr>
        <w:t>‘</w:t>
      </w:r>
      <w:r>
        <w:rPr>
          <w:rFonts w:eastAsia="Calibri" w:cs="Times New Roman"/>
          <w:szCs w:val="24"/>
        </w:rPr>
        <w:t>was without any ambiguity as regards the immunity of Jean-François H. notwithstanding the non-ratification by France of the New York Convention on Special Missions of 8 December 1969.</w:t>
      </w:r>
      <w:r>
        <w:rPr>
          <w:rStyle w:val="FootnoteReference"/>
          <w:rFonts w:eastAsia="Calibri" w:cs="Times New Roman"/>
          <w:szCs w:val="24"/>
        </w:rPr>
        <w:footnoteReference w:id="98"/>
      </w:r>
      <w:r>
        <w:rPr>
          <w:rFonts w:eastAsia="Calibri" w:cs="Times New Roman"/>
          <w:szCs w:val="24"/>
        </w:rPr>
        <w:t xml:space="preserve"> France has also </w:t>
      </w:r>
      <w:r w:rsidR="00E321D0">
        <w:rPr>
          <w:rFonts w:eastAsia="Calibri" w:cs="Times New Roman"/>
          <w:szCs w:val="24"/>
        </w:rPr>
        <w:t>argued before</w:t>
      </w:r>
      <w:r>
        <w:rPr>
          <w:rFonts w:eastAsia="Calibri" w:cs="Times New Roman"/>
          <w:szCs w:val="24"/>
        </w:rPr>
        <w:t xml:space="preserve"> the International Court of Justice that special mission immunity exist</w:t>
      </w:r>
      <w:r w:rsidR="00E321D0">
        <w:rPr>
          <w:rFonts w:eastAsia="Calibri" w:cs="Times New Roman"/>
          <w:szCs w:val="24"/>
        </w:rPr>
        <w:t>s</w:t>
      </w:r>
      <w:r>
        <w:rPr>
          <w:rFonts w:eastAsia="Calibri" w:cs="Times New Roman"/>
          <w:szCs w:val="24"/>
        </w:rPr>
        <w:t xml:space="preserve"> under general international law.</w:t>
      </w:r>
      <w:r>
        <w:rPr>
          <w:rStyle w:val="FootnoteReference"/>
          <w:rFonts w:eastAsia="Calibri" w:cs="Times New Roman"/>
          <w:szCs w:val="24"/>
        </w:rPr>
        <w:footnoteReference w:id="99"/>
      </w:r>
    </w:p>
    <w:p w14:paraId="49F60AB3" w14:textId="04218FA5" w:rsidR="00125A6A" w:rsidRDefault="00E11C68" w:rsidP="00BE220F">
      <w:pPr>
        <w:pStyle w:val="Heading4"/>
        <w:rPr>
          <w:rFonts w:eastAsia="Calibri"/>
        </w:rPr>
      </w:pPr>
      <w:r>
        <w:rPr>
          <w:rFonts w:eastAsia="Calibri"/>
        </w:rPr>
        <w:t>Germany</w:t>
      </w:r>
    </w:p>
    <w:p w14:paraId="5E54153C" w14:textId="77777777" w:rsidR="001711FC" w:rsidRDefault="001711FC" w:rsidP="001711FC">
      <w:pPr>
        <w:widowControl w:val="0"/>
        <w:rPr>
          <w:rFonts w:cs="Times New Roman"/>
        </w:rPr>
      </w:pPr>
      <w:r>
        <w:rPr>
          <w:rFonts w:eastAsia="Calibri" w:cs="Times New Roman"/>
          <w:szCs w:val="24"/>
        </w:rPr>
        <w:t xml:space="preserve">In the </w:t>
      </w:r>
      <w:r w:rsidRPr="00DA4DD8">
        <w:rPr>
          <w:rFonts w:cs="Times New Roman"/>
          <w:i/>
        </w:rPr>
        <w:t>Tabatabai</w:t>
      </w:r>
      <w:r>
        <w:rPr>
          <w:rFonts w:cs="Times New Roman"/>
          <w:i/>
        </w:rPr>
        <w:t xml:space="preserve"> </w:t>
      </w:r>
      <w:r>
        <w:rPr>
          <w:rFonts w:cs="Times New Roman"/>
        </w:rPr>
        <w:t>case, the German Federal Supreme Court stated that</w:t>
      </w:r>
    </w:p>
    <w:p w14:paraId="5ABF8B24" w14:textId="16E71B29" w:rsidR="001711FC" w:rsidRPr="00243CA0" w:rsidRDefault="001711FC" w:rsidP="001711FC">
      <w:pPr>
        <w:pStyle w:val="Quote"/>
      </w:pPr>
      <w:r w:rsidRPr="00243CA0">
        <w:t xml:space="preserve">there is a customary rule of international law, based on State practice and </w:t>
      </w:r>
      <w:r w:rsidRPr="00243CA0">
        <w:rPr>
          <w:i/>
        </w:rPr>
        <w:t>opinio juris</w:t>
      </w:r>
      <w:r w:rsidRPr="00243CA0">
        <w:t xml:space="preserve"> which makes it possible for an ad hoc envoy, who has been charged with a special political mission by the sending State, to be granted immunity by individual agreement with the host State for that mission and its associated status</w:t>
      </w:r>
      <w:r>
        <w:t>.</w:t>
      </w:r>
      <w:bookmarkStart w:id="66" w:name="_Ref504143671"/>
      <w:r>
        <w:rPr>
          <w:rStyle w:val="FootnoteReference"/>
        </w:rPr>
        <w:footnoteReference w:id="100"/>
      </w:r>
      <w:bookmarkEnd w:id="66"/>
    </w:p>
    <w:p w14:paraId="4CED3005" w14:textId="42C7F28E" w:rsidR="00C96484" w:rsidRPr="00221DC1" w:rsidRDefault="001711FC" w:rsidP="00E61B24">
      <w:pPr>
        <w:widowControl w:val="0"/>
        <w:rPr>
          <w:rFonts w:cs="Times New Roman"/>
        </w:rPr>
      </w:pPr>
      <w:r w:rsidRPr="00DA4DD8">
        <w:rPr>
          <w:rFonts w:cs="Times New Roman"/>
        </w:rPr>
        <w:t>It could be argued that the German court decided that there is a customary rule entitling States to enter into special immunity agreements, not that the there is a rule requiring States to confer immunities on members of a special mission.</w:t>
      </w:r>
      <w:r w:rsidR="005E2C6F">
        <w:rPr>
          <w:rFonts w:cs="Times New Roman"/>
        </w:rPr>
        <w:t xml:space="preserve"> </w:t>
      </w:r>
      <w:r w:rsidR="00B51888">
        <w:rPr>
          <w:rFonts w:cs="Times New Roman"/>
        </w:rPr>
        <w:t>But t</w:t>
      </w:r>
      <w:r w:rsidRPr="00DA4DD8">
        <w:rPr>
          <w:rFonts w:cs="Times New Roman"/>
        </w:rPr>
        <w:t xml:space="preserve">his would seem to </w:t>
      </w:r>
      <w:r w:rsidRPr="00DA4DD8">
        <w:rPr>
          <w:rFonts w:cs="Times New Roman"/>
        </w:rPr>
        <w:lastRenderedPageBreak/>
        <w:t xml:space="preserve">be a distinction without a difference. Moreover, such an interpretation of the </w:t>
      </w:r>
      <w:r w:rsidRPr="00DA4DD8">
        <w:rPr>
          <w:rFonts w:cs="Times New Roman"/>
          <w:i/>
        </w:rPr>
        <w:t>Tabatabai</w:t>
      </w:r>
      <w:r w:rsidRPr="00DA4DD8">
        <w:rPr>
          <w:rFonts w:cs="Times New Roman"/>
        </w:rPr>
        <w:t xml:space="preserve"> decision would be strained at best: there is no need for a customary rule </w:t>
      </w:r>
      <w:r w:rsidR="00221DC1">
        <w:rPr>
          <w:rFonts w:cs="Times New Roman"/>
        </w:rPr>
        <w:t>‘</w:t>
      </w:r>
      <w:r w:rsidRPr="00DA4DD8">
        <w:rPr>
          <w:rFonts w:cs="Times New Roman"/>
        </w:rPr>
        <w:t>entitling States to enter into special immunity agreements</w:t>
      </w:r>
      <w:r w:rsidR="00221DC1">
        <w:rPr>
          <w:rFonts w:cs="Times New Roman"/>
        </w:rPr>
        <w:t>’</w:t>
      </w:r>
      <w:r w:rsidRPr="00DA4DD8">
        <w:rPr>
          <w:rFonts w:cs="Times New Roman"/>
        </w:rPr>
        <w:t xml:space="preserve">; States are </w:t>
      </w:r>
      <w:r w:rsidR="00B51888">
        <w:rPr>
          <w:rFonts w:cs="Times New Roman"/>
        </w:rPr>
        <w:t>anyway</w:t>
      </w:r>
      <w:r w:rsidRPr="00DA4DD8">
        <w:rPr>
          <w:rFonts w:cs="Times New Roman"/>
        </w:rPr>
        <w:t xml:space="preserve"> free to enter into such agreements by virtue of treaty law. It is more plausible that the court in </w:t>
      </w:r>
      <w:r w:rsidRPr="00DA4DD8">
        <w:rPr>
          <w:rFonts w:cs="Times New Roman"/>
          <w:i/>
        </w:rPr>
        <w:t>Tabatabai</w:t>
      </w:r>
      <w:r w:rsidRPr="00DA4DD8">
        <w:rPr>
          <w:rFonts w:cs="Times New Roman"/>
        </w:rPr>
        <w:t xml:space="preserve"> meant an agreement to take part in a special mission, with the knowledge that membership of such a mission would confer immunity on its members. This interpretation is also consistent with the view of the German Government</w:t>
      </w:r>
      <w:r>
        <w:rPr>
          <w:rStyle w:val="FootnoteReference"/>
          <w:rFonts w:cs="Times New Roman"/>
        </w:rPr>
        <w:footnoteReference w:id="101"/>
      </w:r>
      <w:r w:rsidRPr="00DA4DD8">
        <w:rPr>
          <w:rFonts w:cs="Times New Roman"/>
        </w:rPr>
        <w:t xml:space="preserve"> and a German Higher Administrative Court in the </w:t>
      </w:r>
      <w:r>
        <w:rPr>
          <w:rFonts w:cs="Times New Roman"/>
        </w:rPr>
        <w:t xml:space="preserve">subsequent </w:t>
      </w:r>
      <w:r w:rsidRPr="00DA4DD8">
        <w:rPr>
          <w:rFonts w:cs="Times New Roman"/>
          <w:i/>
        </w:rPr>
        <w:t>Vietnamese National</w:t>
      </w:r>
      <w:r w:rsidRPr="00DA4DD8">
        <w:rPr>
          <w:rFonts w:cs="Times New Roman"/>
        </w:rPr>
        <w:t xml:space="preserve"> case</w:t>
      </w:r>
      <w:r>
        <w:rPr>
          <w:rFonts w:cs="Times New Roman"/>
        </w:rPr>
        <w:t xml:space="preserve">, in which it was stated that the Convention on Special Missions </w:t>
      </w:r>
      <w:r w:rsidR="00221DC1">
        <w:rPr>
          <w:rFonts w:cs="Times New Roman"/>
        </w:rPr>
        <w:t>‘</w:t>
      </w:r>
      <w:r w:rsidRPr="00DA4DD8">
        <w:rPr>
          <w:rFonts w:cs="Times New Roman"/>
        </w:rPr>
        <w:t>which Germany thus far had not signed, is in its greater part recognised and applied by the Federal Government a</w:t>
      </w:r>
      <w:r>
        <w:rPr>
          <w:rFonts w:cs="Times New Roman"/>
        </w:rPr>
        <w:t>s customary international law</w:t>
      </w:r>
      <w:r w:rsidR="00221DC1">
        <w:rPr>
          <w:rFonts w:cs="Times New Roman"/>
        </w:rPr>
        <w:t>’</w:t>
      </w:r>
      <w:r>
        <w:rPr>
          <w:rFonts w:cs="Times New Roman"/>
        </w:rPr>
        <w:t>.</w:t>
      </w:r>
      <w:r>
        <w:rPr>
          <w:rStyle w:val="FootnoteReference"/>
          <w:rFonts w:cs="Times New Roman"/>
        </w:rPr>
        <w:footnoteReference w:id="102"/>
      </w:r>
      <w:r w:rsidR="00FD53FA">
        <w:rPr>
          <w:rFonts w:cs="Times New Roman"/>
        </w:rPr>
        <w:t xml:space="preserve"> </w:t>
      </w:r>
      <w:r w:rsidR="001F2D80">
        <w:rPr>
          <w:rFonts w:cs="Times New Roman"/>
        </w:rPr>
        <w:t>In addition, a</w:t>
      </w:r>
      <w:r w:rsidR="00FD53FA">
        <w:rPr>
          <w:rFonts w:cs="Times New Roman"/>
        </w:rPr>
        <w:t xml:space="preserve"> </w:t>
      </w:r>
      <w:r w:rsidR="00FD53FA" w:rsidRPr="00FD53FA">
        <w:rPr>
          <w:rFonts w:cs="Times New Roman"/>
        </w:rPr>
        <w:t xml:space="preserve">Federal Foreign Office </w:t>
      </w:r>
      <w:r w:rsidR="00FD53FA">
        <w:rPr>
          <w:rFonts w:cs="Times New Roman"/>
        </w:rPr>
        <w:t xml:space="preserve">circular dated 15 September 2015 and </w:t>
      </w:r>
      <w:r w:rsidR="00FD53FA" w:rsidRPr="00FD53FA">
        <w:rPr>
          <w:rFonts w:cs="Times New Roman"/>
        </w:rPr>
        <w:t>addressed to all German public authorities including courts</w:t>
      </w:r>
      <w:r w:rsidR="00FD53FA">
        <w:rPr>
          <w:rFonts w:cs="Times New Roman"/>
        </w:rPr>
        <w:t xml:space="preserve"> </w:t>
      </w:r>
      <w:r w:rsidR="001F2D80">
        <w:rPr>
          <w:rFonts w:cs="Times New Roman"/>
        </w:rPr>
        <w:t>stated</w:t>
      </w:r>
      <w:r w:rsidR="00FD53FA">
        <w:rPr>
          <w:rFonts w:cs="Times New Roman"/>
        </w:rPr>
        <w:t xml:space="preserve"> that </w:t>
      </w:r>
      <w:r w:rsidR="00221DC1">
        <w:rPr>
          <w:rFonts w:cs="Times New Roman"/>
        </w:rPr>
        <w:t>‘</w:t>
      </w:r>
      <w:r w:rsidR="00FD53FA">
        <w:rPr>
          <w:rFonts w:cs="Times New Roman"/>
        </w:rPr>
        <w:t xml:space="preserve">[a]ccording to customary international law, members of so-called </w:t>
      </w:r>
      <w:r w:rsidR="00221DC1">
        <w:rPr>
          <w:rFonts w:cs="Times New Roman"/>
        </w:rPr>
        <w:t>“</w:t>
      </w:r>
      <w:r w:rsidR="00FD53FA">
        <w:rPr>
          <w:rFonts w:cs="Times New Roman"/>
        </w:rPr>
        <w:t>special missions</w:t>
      </w:r>
      <w:r w:rsidR="00221DC1">
        <w:rPr>
          <w:rFonts w:cs="Times New Roman"/>
        </w:rPr>
        <w:t xml:space="preserve">” </w:t>
      </w:r>
      <w:r w:rsidR="00FD53FA">
        <w:rPr>
          <w:rFonts w:cs="Times New Roman"/>
        </w:rPr>
        <w:t>…</w:t>
      </w:r>
      <w:r w:rsidR="00221DC1">
        <w:rPr>
          <w:rFonts w:cs="Times New Roman"/>
        </w:rPr>
        <w:t xml:space="preserve"> </w:t>
      </w:r>
      <w:r w:rsidR="00FD53FA">
        <w:rPr>
          <w:rFonts w:cs="Times New Roman"/>
        </w:rPr>
        <w:t>may also enjoy immunity form jurisdiction and inviolability</w:t>
      </w:r>
      <w:r w:rsidR="00221DC1">
        <w:rPr>
          <w:rFonts w:cs="Times New Roman"/>
        </w:rPr>
        <w:t>’</w:t>
      </w:r>
      <w:r w:rsidR="00FD53FA">
        <w:rPr>
          <w:rFonts w:cs="Times New Roman"/>
        </w:rPr>
        <w:t>.</w:t>
      </w:r>
      <w:r w:rsidR="00FD53FA">
        <w:rPr>
          <w:rStyle w:val="FootnoteReference"/>
          <w:rFonts w:cs="Times New Roman"/>
        </w:rPr>
        <w:footnoteReference w:id="103"/>
      </w:r>
    </w:p>
    <w:p w14:paraId="76B49E05" w14:textId="3D006CD6" w:rsidR="00125A6A" w:rsidRDefault="00E11C68" w:rsidP="00221DC1">
      <w:pPr>
        <w:pStyle w:val="Heading4"/>
        <w:rPr>
          <w:rFonts w:eastAsia="Calibri"/>
        </w:rPr>
      </w:pPr>
      <w:r>
        <w:rPr>
          <w:rFonts w:eastAsia="Calibri"/>
        </w:rPr>
        <w:t>Mongolia</w:t>
      </w:r>
    </w:p>
    <w:p w14:paraId="3FB91B1D" w14:textId="3B520353" w:rsidR="00221DC1" w:rsidRPr="00221DC1" w:rsidRDefault="00C96484" w:rsidP="00E61B24">
      <w:pPr>
        <w:widowControl w:val="0"/>
        <w:rPr>
          <w:rFonts w:cs="Times New Roman"/>
        </w:rPr>
      </w:pPr>
      <w:r>
        <w:rPr>
          <w:rFonts w:cs="Times New Roman"/>
        </w:rPr>
        <w:t xml:space="preserve">In </w:t>
      </w:r>
      <w:r w:rsidRPr="00DA4DD8">
        <w:rPr>
          <w:rFonts w:cs="Times New Roman"/>
          <w:i/>
        </w:rPr>
        <w:t>Khurts Bat v Investigating Judge of the Federal Court of Germany</w:t>
      </w:r>
      <w:r>
        <w:rPr>
          <w:rFonts w:cs="Times New Roman"/>
        </w:rPr>
        <w:t xml:space="preserve">, Mongolia </w:t>
      </w:r>
      <w:r w:rsidR="00221DC1">
        <w:rPr>
          <w:rFonts w:cs="Times New Roman"/>
        </w:rPr>
        <w:t>‘</w:t>
      </w:r>
      <w:r w:rsidRPr="00DA4DD8">
        <w:rPr>
          <w:rFonts w:cs="Times New Roman"/>
        </w:rPr>
        <w:t>agreed that under rules of customary international law the defendant [Mr Bat] was entitled to inviolability of the person and immunity from suit if he was travelling on a special mission sent by Mongolia to the UK with the prior consent of the UK</w:t>
      </w:r>
      <w:r w:rsidR="00221DC1">
        <w:rPr>
          <w:rFonts w:cs="Times New Roman"/>
        </w:rPr>
        <w:t>’</w:t>
      </w:r>
      <w:r w:rsidRPr="00DA4DD8">
        <w:rPr>
          <w:rFonts w:cs="Times New Roman"/>
        </w:rPr>
        <w:t>.</w:t>
      </w:r>
      <w:bookmarkStart w:id="67" w:name="_Ref494958445"/>
      <w:r>
        <w:rPr>
          <w:rStyle w:val="FootnoteReference"/>
          <w:rFonts w:cs="Times New Roman"/>
        </w:rPr>
        <w:footnoteReference w:id="104"/>
      </w:r>
      <w:bookmarkEnd w:id="67"/>
    </w:p>
    <w:p w14:paraId="702DA6D8" w14:textId="77777777" w:rsidR="00DD523E" w:rsidRPr="007F3A9F" w:rsidRDefault="00DD523E" w:rsidP="00221DC1">
      <w:pPr>
        <w:pStyle w:val="Heading4"/>
        <w:rPr>
          <w:rFonts w:eastAsia="Calibri"/>
        </w:rPr>
      </w:pPr>
      <w:r>
        <w:rPr>
          <w:rFonts w:eastAsia="Calibri"/>
        </w:rPr>
        <w:t>Netherlands</w:t>
      </w:r>
    </w:p>
    <w:p w14:paraId="22668DBA" w14:textId="228600F8" w:rsidR="00DD523E" w:rsidRPr="00440C45" w:rsidRDefault="00DD523E" w:rsidP="00DD523E">
      <w:pPr>
        <w:widowControl w:val="0"/>
        <w:rPr>
          <w:rFonts w:eastAsia="Calibri" w:cs="Times New Roman"/>
          <w:szCs w:val="24"/>
        </w:rPr>
      </w:pPr>
      <w:r w:rsidRPr="00440C45">
        <w:rPr>
          <w:rFonts w:eastAsia="Calibri" w:cs="Times New Roman"/>
          <w:szCs w:val="24"/>
        </w:rPr>
        <w:t>In May 2011, the Dutch Advisory Committee on Issues of Public International Law (CAVV)</w:t>
      </w:r>
      <w:r w:rsidRPr="00440C45">
        <w:rPr>
          <w:rFonts w:eastAsia="Calibri" w:cs="Times New Roman"/>
          <w:szCs w:val="24"/>
          <w:vertAlign w:val="superscript"/>
        </w:rPr>
        <w:footnoteReference w:id="105"/>
      </w:r>
      <w:r w:rsidRPr="00440C45">
        <w:rPr>
          <w:rFonts w:eastAsia="Calibri" w:cs="Times New Roman"/>
          <w:szCs w:val="24"/>
        </w:rPr>
        <w:t xml:space="preserve"> issued an advisory report on the immunity of foreign </w:t>
      </w:r>
      <w:r>
        <w:rPr>
          <w:rFonts w:eastAsia="Calibri" w:cs="Times New Roman"/>
          <w:szCs w:val="24"/>
        </w:rPr>
        <w:t>State</w:t>
      </w:r>
      <w:r w:rsidRPr="00440C45">
        <w:rPr>
          <w:rFonts w:eastAsia="Calibri" w:cs="Times New Roman"/>
          <w:szCs w:val="24"/>
        </w:rPr>
        <w:t xml:space="preserve"> officials.</w:t>
      </w:r>
      <w:bookmarkStart w:id="68" w:name="_Ref504142641"/>
      <w:r w:rsidRPr="00440C45">
        <w:rPr>
          <w:rFonts w:eastAsia="Calibri" w:cs="Times New Roman"/>
          <w:szCs w:val="24"/>
          <w:vertAlign w:val="superscript"/>
        </w:rPr>
        <w:footnoteReference w:id="106"/>
      </w:r>
      <w:bookmarkEnd w:id="68"/>
      <w:r w:rsidR="005E2C6F">
        <w:rPr>
          <w:rFonts w:eastAsia="Calibri" w:cs="Times New Roman"/>
          <w:szCs w:val="24"/>
        </w:rPr>
        <w:t xml:space="preserve"> </w:t>
      </w:r>
      <w:r w:rsidRPr="00440C45">
        <w:rPr>
          <w:rFonts w:eastAsia="Calibri" w:cs="Times New Roman"/>
          <w:szCs w:val="24"/>
        </w:rPr>
        <w:t xml:space="preserve">Among its conclusions, the </w:t>
      </w:r>
      <w:r>
        <w:rPr>
          <w:rFonts w:eastAsia="Calibri" w:cs="Times New Roman"/>
          <w:szCs w:val="24"/>
        </w:rPr>
        <w:t>r</w:t>
      </w:r>
      <w:r w:rsidRPr="00440C45">
        <w:rPr>
          <w:rFonts w:eastAsia="Calibri" w:cs="Times New Roman"/>
          <w:szCs w:val="24"/>
        </w:rPr>
        <w:t xml:space="preserve">eport </w:t>
      </w:r>
      <w:r>
        <w:rPr>
          <w:rFonts w:eastAsia="Calibri" w:cs="Times New Roman"/>
          <w:szCs w:val="24"/>
        </w:rPr>
        <w:t>said</w:t>
      </w:r>
      <w:r w:rsidRPr="00440C45">
        <w:rPr>
          <w:rFonts w:eastAsia="Calibri" w:cs="Times New Roman"/>
          <w:szCs w:val="24"/>
        </w:rPr>
        <w:t xml:space="preserve"> that </w:t>
      </w:r>
      <w:r w:rsidR="00221DC1">
        <w:rPr>
          <w:rFonts w:eastAsia="Calibri" w:cs="Times New Roman"/>
          <w:szCs w:val="24"/>
        </w:rPr>
        <w:t>‘</w:t>
      </w:r>
      <w:r w:rsidR="000003B9">
        <w:rPr>
          <w:rFonts w:eastAsia="Calibri" w:cs="Times New Roman"/>
          <w:szCs w:val="24"/>
        </w:rPr>
        <w:t>t</w:t>
      </w:r>
      <w:r w:rsidRPr="00440C45">
        <w:rPr>
          <w:rFonts w:eastAsia="Calibri" w:cs="Times New Roman"/>
          <w:szCs w:val="24"/>
        </w:rPr>
        <w:t>here is a</w:t>
      </w:r>
      <w:r w:rsidRPr="00925262">
        <w:rPr>
          <w:rFonts w:eastAsia="Calibri" w:cs="Times New Roman"/>
          <w:szCs w:val="24"/>
        </w:rPr>
        <w:t xml:space="preserve"> sufficient basis for an obligation under customary international law to accord full immunity to the members of official </w:t>
      </w:r>
      <w:r w:rsidRPr="00925262">
        <w:rPr>
          <w:rFonts w:eastAsia="Calibri" w:cs="Times New Roman"/>
          <w:szCs w:val="24"/>
        </w:rPr>
        <w:lastRenderedPageBreak/>
        <w:t>missions</w:t>
      </w:r>
      <w:r w:rsidR="00221DC1">
        <w:rPr>
          <w:rFonts w:eastAsia="Calibri" w:cs="Times New Roman"/>
          <w:szCs w:val="24"/>
        </w:rPr>
        <w:t>’</w:t>
      </w:r>
      <w:r w:rsidRPr="00925262">
        <w:rPr>
          <w:rFonts w:eastAsia="Calibri" w:cs="Times New Roman"/>
          <w:szCs w:val="24"/>
        </w:rPr>
        <w:t>.</w:t>
      </w:r>
      <w:r w:rsidRPr="00925262">
        <w:rPr>
          <w:rStyle w:val="FootnoteReference"/>
          <w:rFonts w:eastAsia="Calibri" w:cs="Times New Roman"/>
          <w:szCs w:val="24"/>
        </w:rPr>
        <w:footnoteReference w:id="107"/>
      </w:r>
      <w:r w:rsidRPr="00925262">
        <w:rPr>
          <w:rFonts w:eastAsia="Calibri" w:cs="Times New Roman"/>
          <w:szCs w:val="24"/>
        </w:rPr>
        <w:t xml:space="preserve"> The Dutch Government </w:t>
      </w:r>
      <w:r>
        <w:rPr>
          <w:rFonts w:eastAsia="Calibri" w:cs="Times New Roman"/>
          <w:szCs w:val="24"/>
        </w:rPr>
        <w:t>agreed:</w:t>
      </w:r>
    </w:p>
    <w:p w14:paraId="36044188" w14:textId="74CB055F" w:rsidR="00DD523E" w:rsidRPr="00377A55" w:rsidRDefault="00DD523E" w:rsidP="00DD523E">
      <w:pPr>
        <w:ind w:left="720"/>
        <w:contextualSpacing/>
        <w:rPr>
          <w:rFonts w:eastAsia="Calibri" w:cs="Times New Roman"/>
          <w:sz w:val="20"/>
          <w:szCs w:val="20"/>
        </w:rPr>
      </w:pPr>
      <w:r w:rsidRPr="00440C45">
        <w:rPr>
          <w:rFonts w:eastAsia="Calibri" w:cs="Times New Roman"/>
          <w:sz w:val="20"/>
          <w:szCs w:val="20"/>
        </w:rPr>
        <w:t>[t]he government agrees with the [Advisory Committee] that under customary international law members of official missions enjoy immunity. This applies both to members of foreign official missions visiting the Netherlands and to members of Dutch official missions visiting other countries. Members of official missions can be regarded as ‘temporary diplomats’.</w:t>
      </w:r>
      <w:r w:rsidRPr="00440C45">
        <w:rPr>
          <w:rFonts w:eastAsia="Calibri" w:cs="Times New Roman"/>
          <w:sz w:val="20"/>
          <w:szCs w:val="20"/>
          <w:vertAlign w:val="superscript"/>
        </w:rPr>
        <w:footnoteReference w:id="108"/>
      </w:r>
    </w:p>
    <w:p w14:paraId="2EA38073" w14:textId="03A2D43B" w:rsidR="00D443CC" w:rsidRDefault="00E11C68" w:rsidP="00221DC1">
      <w:pPr>
        <w:pStyle w:val="Heading4"/>
        <w:rPr>
          <w:rFonts w:eastAsia="Calibri"/>
        </w:rPr>
      </w:pPr>
      <w:r>
        <w:rPr>
          <w:rFonts w:eastAsia="Calibri"/>
        </w:rPr>
        <w:t>Slovenia</w:t>
      </w:r>
    </w:p>
    <w:p w14:paraId="3ED92E0A" w14:textId="1ABDEA3B" w:rsidR="00D443CC" w:rsidRDefault="00B455E2" w:rsidP="00E61B24">
      <w:pPr>
        <w:widowControl w:val="0"/>
        <w:rPr>
          <w:rFonts w:eastAsia="Calibri" w:cs="Times New Roman"/>
          <w:szCs w:val="24"/>
        </w:rPr>
      </w:pPr>
      <w:r>
        <w:rPr>
          <w:rFonts w:eastAsia="Calibri" w:cs="Times New Roman"/>
          <w:szCs w:val="24"/>
        </w:rPr>
        <w:t xml:space="preserve">Slovenia is a party to the Convention on Special Missions, but it has also stated that the Convention </w:t>
      </w:r>
      <w:r w:rsidR="00221DC1">
        <w:rPr>
          <w:rFonts w:eastAsia="Calibri" w:cs="Times New Roman"/>
          <w:szCs w:val="24"/>
        </w:rPr>
        <w:t>‘</w:t>
      </w:r>
      <w:r>
        <w:rPr>
          <w:rFonts w:eastAsia="Calibri" w:cs="Times New Roman"/>
          <w:szCs w:val="24"/>
        </w:rPr>
        <w:t>to a large extent reflects customary international law</w:t>
      </w:r>
      <w:r w:rsidR="00221DC1">
        <w:rPr>
          <w:rFonts w:eastAsia="Calibri" w:cs="Times New Roman"/>
          <w:szCs w:val="24"/>
        </w:rPr>
        <w:t>’</w:t>
      </w:r>
      <w:r>
        <w:rPr>
          <w:rFonts w:eastAsia="Calibri" w:cs="Times New Roman"/>
          <w:szCs w:val="24"/>
        </w:rPr>
        <w:t>.</w:t>
      </w:r>
      <w:r>
        <w:rPr>
          <w:rStyle w:val="FootnoteReference"/>
          <w:rFonts w:eastAsia="Calibri" w:cs="Times New Roman"/>
          <w:szCs w:val="24"/>
        </w:rPr>
        <w:footnoteReference w:id="109"/>
      </w:r>
      <w:r>
        <w:rPr>
          <w:rFonts w:eastAsia="Calibri" w:cs="Times New Roman"/>
          <w:szCs w:val="24"/>
        </w:rPr>
        <w:t xml:space="preserve"> </w:t>
      </w:r>
      <w:r w:rsidR="003B1B37">
        <w:rPr>
          <w:rFonts w:eastAsia="Calibri" w:cs="Times New Roman"/>
          <w:szCs w:val="24"/>
        </w:rPr>
        <w:t xml:space="preserve">Slovenia’s domestic law gives effect to immunities by </w:t>
      </w:r>
      <w:r w:rsidR="008677DE">
        <w:rPr>
          <w:rFonts w:eastAsia="Calibri" w:cs="Times New Roman"/>
          <w:i/>
          <w:szCs w:val="24"/>
        </w:rPr>
        <w:t>renvoi</w:t>
      </w:r>
      <w:r w:rsidR="003B1B37">
        <w:rPr>
          <w:rFonts w:eastAsia="Calibri" w:cs="Times New Roman"/>
          <w:szCs w:val="24"/>
        </w:rPr>
        <w:t xml:space="preserve"> to international law</w:t>
      </w:r>
      <w:r>
        <w:rPr>
          <w:rFonts w:eastAsia="Calibri" w:cs="Times New Roman"/>
          <w:szCs w:val="24"/>
        </w:rPr>
        <w:t>.</w:t>
      </w:r>
      <w:r>
        <w:rPr>
          <w:rStyle w:val="FootnoteReference"/>
          <w:rFonts w:eastAsia="Calibri" w:cs="Times New Roman"/>
          <w:szCs w:val="24"/>
        </w:rPr>
        <w:footnoteReference w:id="110"/>
      </w:r>
    </w:p>
    <w:p w14:paraId="0BE4A99A" w14:textId="2C77402B" w:rsidR="00974159" w:rsidRDefault="00E11C68" w:rsidP="00221DC1">
      <w:pPr>
        <w:pStyle w:val="Heading4"/>
        <w:rPr>
          <w:rFonts w:eastAsia="Calibri"/>
        </w:rPr>
      </w:pPr>
      <w:r>
        <w:rPr>
          <w:rFonts w:eastAsia="Calibri"/>
        </w:rPr>
        <w:t>South Africa</w:t>
      </w:r>
    </w:p>
    <w:p w14:paraId="5E4B3B2E" w14:textId="77777777" w:rsidR="00974159" w:rsidRDefault="00974159" w:rsidP="00974159">
      <w:pPr>
        <w:widowControl w:val="0"/>
        <w:rPr>
          <w:rFonts w:eastAsia="Calibri" w:cs="Times New Roman"/>
          <w:szCs w:val="24"/>
          <w:lang w:val="en-US"/>
        </w:rPr>
      </w:pPr>
      <w:r>
        <w:rPr>
          <w:rFonts w:eastAsia="Calibri" w:cs="Times New Roman"/>
          <w:szCs w:val="24"/>
          <w:lang w:val="en-US"/>
        </w:rPr>
        <w:t>Section 4(2)</w:t>
      </w:r>
      <w:r w:rsidRPr="00F62675">
        <w:rPr>
          <w:rFonts w:eastAsia="Calibri" w:cs="Times New Roman"/>
          <w:szCs w:val="24"/>
          <w:lang w:val="en-US"/>
        </w:rPr>
        <w:t xml:space="preserve"> of the South African Diplomatic Immunities and Privileges Act 37 of 2001</w:t>
      </w:r>
      <w:r>
        <w:rPr>
          <w:rFonts w:eastAsia="Calibri" w:cs="Times New Roman"/>
          <w:szCs w:val="24"/>
          <w:lang w:val="en-US"/>
        </w:rPr>
        <w:t xml:space="preserve"> provides that</w:t>
      </w:r>
    </w:p>
    <w:p w14:paraId="072A436F" w14:textId="02CFA2CB" w:rsidR="00974159" w:rsidRDefault="00974159" w:rsidP="00974159">
      <w:pPr>
        <w:pStyle w:val="Quote"/>
        <w:rPr>
          <w:lang w:val="en-US"/>
        </w:rPr>
      </w:pPr>
      <w:r>
        <w:rPr>
          <w:lang w:val="en-US"/>
        </w:rPr>
        <w:t xml:space="preserve">A </w:t>
      </w:r>
      <w:r w:rsidRPr="00F62675">
        <w:rPr>
          <w:lang w:val="en-US"/>
        </w:rPr>
        <w:t xml:space="preserve">special envoy or representative from another state, government or organisation is immune from the criminal and civil jurisdiction of the courts of the Republic, and enjoys such privileges as </w:t>
      </w:r>
    </w:p>
    <w:p w14:paraId="5C81DBA5" w14:textId="77B62758" w:rsidR="00974159" w:rsidRPr="00221DC1" w:rsidRDefault="00974159" w:rsidP="003B56C2">
      <w:pPr>
        <w:pStyle w:val="Quote"/>
        <w:numPr>
          <w:ilvl w:val="0"/>
          <w:numId w:val="35"/>
        </w:numPr>
        <w:rPr>
          <w:lang w:val="en-US"/>
        </w:rPr>
      </w:pPr>
      <w:r w:rsidRPr="00F62675">
        <w:rPr>
          <w:lang w:val="en-US"/>
        </w:rPr>
        <w:t>a special envoy or representative enjoys in accordance with the rules o</w:t>
      </w:r>
      <w:r>
        <w:rPr>
          <w:lang w:val="en-US"/>
        </w:rPr>
        <w:t>f customary international law.</w:t>
      </w:r>
      <w:bookmarkStart w:id="69" w:name="_Ref502483839"/>
      <w:r>
        <w:rPr>
          <w:rStyle w:val="FootnoteReference"/>
          <w:lang w:val="en-US"/>
        </w:rPr>
        <w:footnoteReference w:id="111"/>
      </w:r>
      <w:bookmarkEnd w:id="69"/>
    </w:p>
    <w:p w14:paraId="676C76FB" w14:textId="75E58038" w:rsidR="00027400" w:rsidRDefault="00E11C68" w:rsidP="00221DC1">
      <w:pPr>
        <w:pStyle w:val="Heading4"/>
        <w:rPr>
          <w:rFonts w:eastAsia="Calibri"/>
        </w:rPr>
      </w:pPr>
      <w:r>
        <w:rPr>
          <w:rFonts w:eastAsia="Calibri"/>
        </w:rPr>
        <w:t>Spain</w:t>
      </w:r>
    </w:p>
    <w:p w14:paraId="3B837217" w14:textId="2FE28F9F" w:rsidR="00027400" w:rsidRPr="00E4511D" w:rsidRDefault="00A33F35" w:rsidP="00E61B24">
      <w:pPr>
        <w:widowControl w:val="0"/>
        <w:rPr>
          <w:rFonts w:eastAsia="Calibri" w:cs="Times New Roman"/>
          <w:szCs w:val="24"/>
          <w:lang w:val="fr-FR"/>
        </w:rPr>
      </w:pPr>
      <w:r w:rsidRPr="00E4511D">
        <w:rPr>
          <w:rFonts w:eastAsia="Calibri" w:cs="Times New Roman"/>
          <w:szCs w:val="24"/>
          <w:lang w:val="fr-FR"/>
        </w:rPr>
        <w:t>T</w:t>
      </w:r>
      <w:r w:rsidR="00027400" w:rsidRPr="00E4511D">
        <w:rPr>
          <w:rFonts w:eastAsia="Calibri" w:cs="Times New Roman"/>
          <w:szCs w:val="24"/>
          <w:lang w:val="fr-FR"/>
        </w:rPr>
        <w:t xml:space="preserve">he </w:t>
      </w:r>
      <w:r w:rsidR="00027400" w:rsidRPr="00E4511D">
        <w:rPr>
          <w:rFonts w:eastAsia="Calibri" w:cs="Times New Roman"/>
          <w:i/>
          <w:szCs w:val="24"/>
          <w:lang w:val="fr-FR"/>
        </w:rPr>
        <w:t>Ley Orgánica 16/2015, de 27 de octubre, sobre privilegios e inmunidades de los Estados extranjeros, las Organizaciones Internacionales con sede u oficina en España y las Conferencias y Reuniones internacionales celebradas en España</w:t>
      </w:r>
      <w:r w:rsidR="00027400" w:rsidRPr="00E4511D">
        <w:rPr>
          <w:rFonts w:eastAsia="Calibri" w:cs="Times New Roman"/>
          <w:szCs w:val="24"/>
          <w:lang w:val="fr-FR"/>
        </w:rPr>
        <w:t xml:space="preserve"> provides</w:t>
      </w:r>
      <w:r w:rsidRPr="00E4511D">
        <w:rPr>
          <w:rFonts w:eastAsia="Calibri" w:cs="Times New Roman"/>
          <w:szCs w:val="24"/>
          <w:lang w:val="fr-FR"/>
        </w:rPr>
        <w:t xml:space="preserve"> in </w:t>
      </w:r>
      <w:r w:rsidRPr="00E4511D">
        <w:rPr>
          <w:rFonts w:eastAsia="Calibri" w:cs="Times New Roman"/>
          <w:szCs w:val="24"/>
          <w:lang w:val="fr-FR"/>
        </w:rPr>
        <w:lastRenderedPageBreak/>
        <w:t>relevant part:</w:t>
      </w:r>
    </w:p>
    <w:p w14:paraId="5B9E5F10" w14:textId="0E650A69" w:rsidR="00A33F35" w:rsidRDefault="00A33F35" w:rsidP="00A33F35">
      <w:pPr>
        <w:pStyle w:val="Quote"/>
      </w:pPr>
      <w:r>
        <w:t>Article 10(2)(b)(iii):</w:t>
      </w:r>
    </w:p>
    <w:p w14:paraId="0E2DDA63" w14:textId="79797DBD" w:rsidR="00A33F35" w:rsidRDefault="00A33F35" w:rsidP="00221DC1">
      <w:pPr>
        <w:pStyle w:val="Quote"/>
      </w:pPr>
      <w:r>
        <w:t>Even if, in general terms, a foreign State cannot claim jurisdictional immunity before Spanish courts in procedures related to a labor contract between such State and a physical person when the activity covered by such contract is executed in Spain, this general rule ceases to apply (i.e., the foreign State can claim jurisdiction immunity in this situation) if the employee is a member of the diplomatic staff of a special mission.</w:t>
      </w:r>
    </w:p>
    <w:p w14:paraId="196038FE" w14:textId="43A9E3D6" w:rsidR="00A33F35" w:rsidRDefault="00A33F35" w:rsidP="00A33F35">
      <w:pPr>
        <w:pStyle w:val="Quote"/>
      </w:pPr>
      <w:r>
        <w:t>Article 20(1)(a):</w:t>
      </w:r>
    </w:p>
    <w:p w14:paraId="6D56E915" w14:textId="702D3D00" w:rsidR="00A33F35" w:rsidRDefault="00A33F35" w:rsidP="00A33F35">
      <w:pPr>
        <w:pStyle w:val="Quote"/>
      </w:pPr>
      <w:r>
        <w:t xml:space="preserve">Official bank accounts and other goods in Spain which are used, or destined for use, by special missions of a foreign State in their official activity shall enjoy enforcement immunity from Spanish courts. </w:t>
      </w:r>
      <w:r w:rsidR="00221DC1" w:rsidRPr="00221DC1">
        <w:rPr>
          <w:rStyle w:val="FootnoteReference"/>
          <w:rFonts w:eastAsia="Calibri" w:cs="Times New Roman"/>
          <w:szCs w:val="24"/>
        </w:rPr>
        <w:footnoteReference w:id="112"/>
      </w:r>
    </w:p>
    <w:p w14:paraId="295FC116" w14:textId="78E1BE69" w:rsidR="004C077E" w:rsidRPr="003B56C2" w:rsidRDefault="004C077E" w:rsidP="00E61B24">
      <w:pPr>
        <w:widowControl w:val="0"/>
        <w:rPr>
          <w:rFonts w:eastAsia="Calibri" w:cs="Times New Roman"/>
          <w:szCs w:val="24"/>
        </w:rPr>
      </w:pPr>
      <w:r>
        <w:rPr>
          <w:rFonts w:eastAsia="Calibri" w:cs="Times New Roman"/>
          <w:szCs w:val="24"/>
        </w:rPr>
        <w:t xml:space="preserve">Spain is a party to the Convention on Special Missions, but has also stated that it </w:t>
      </w:r>
      <w:r w:rsidR="00221DC1">
        <w:rPr>
          <w:rFonts w:eastAsia="Calibri" w:cs="Times New Roman"/>
          <w:szCs w:val="24"/>
        </w:rPr>
        <w:t>‘</w:t>
      </w:r>
      <w:r w:rsidRPr="004C077E">
        <w:rPr>
          <w:rFonts w:eastAsia="Calibri" w:cs="Times New Roman"/>
          <w:szCs w:val="24"/>
        </w:rPr>
        <w:t>considers that current obligations and/or definitions regarding immunity of special missions are essentially those explicitly established by the UN Convention on special missions and by its national legislation</w:t>
      </w:r>
      <w:r w:rsidR="00221DC1">
        <w:rPr>
          <w:rFonts w:eastAsia="Calibri" w:cs="Times New Roman"/>
          <w:szCs w:val="24"/>
        </w:rPr>
        <w:t xml:space="preserve"> </w:t>
      </w:r>
      <w:r>
        <w:rPr>
          <w:rFonts w:eastAsia="Calibri" w:cs="Times New Roman"/>
          <w:szCs w:val="24"/>
        </w:rPr>
        <w:t>…</w:t>
      </w:r>
      <w:r w:rsidRPr="004C077E">
        <w:t xml:space="preserve"> </w:t>
      </w:r>
      <w:r w:rsidRPr="004C077E">
        <w:rPr>
          <w:rFonts w:eastAsia="Calibri" w:cs="Times New Roman"/>
          <w:szCs w:val="24"/>
        </w:rPr>
        <w:t>but does not exclude a priori the possible application of customary international law to cases which may not be explicitly covered by the aforementioned texts</w:t>
      </w:r>
      <w:r w:rsidR="00221DC1">
        <w:rPr>
          <w:rFonts w:eastAsia="Calibri" w:cs="Times New Roman"/>
          <w:szCs w:val="24"/>
        </w:rPr>
        <w:t>’</w:t>
      </w:r>
      <w:r w:rsidRPr="004C077E">
        <w:rPr>
          <w:rFonts w:eastAsia="Calibri" w:cs="Times New Roman"/>
          <w:szCs w:val="24"/>
        </w:rPr>
        <w:t>.</w:t>
      </w:r>
      <w:r>
        <w:rPr>
          <w:rStyle w:val="FootnoteReference"/>
          <w:rFonts w:eastAsia="Calibri" w:cs="Times New Roman"/>
          <w:szCs w:val="24"/>
        </w:rPr>
        <w:footnoteReference w:id="113"/>
      </w:r>
    </w:p>
    <w:p w14:paraId="79D10BB1" w14:textId="0074D2F1" w:rsidR="00974159" w:rsidRDefault="00E11C68" w:rsidP="00221DC1">
      <w:pPr>
        <w:pStyle w:val="Heading4"/>
        <w:rPr>
          <w:rFonts w:eastAsia="Calibri"/>
        </w:rPr>
      </w:pPr>
      <w:r>
        <w:rPr>
          <w:rFonts w:eastAsia="Calibri"/>
        </w:rPr>
        <w:t>Ukraine</w:t>
      </w:r>
    </w:p>
    <w:p w14:paraId="63BA90F7" w14:textId="77777777" w:rsidR="00974159" w:rsidRPr="000545B7" w:rsidRDefault="00974159" w:rsidP="00974159">
      <w:r>
        <w:rPr>
          <w:rFonts w:eastAsia="Calibri" w:cs="Times New Roman"/>
          <w:szCs w:val="24"/>
        </w:rPr>
        <w:t>Ukraine has ratified the Convention on Special Missions, which is directly applicable in the Ukrainian domestic legal system</w:t>
      </w:r>
      <w:r>
        <w:rPr>
          <w:rStyle w:val="FootnoteReference"/>
          <w:rFonts w:eastAsia="Calibri" w:cs="Times New Roman"/>
          <w:szCs w:val="24"/>
        </w:rPr>
        <w:footnoteReference w:id="114"/>
      </w:r>
      <w:r>
        <w:rPr>
          <w:rFonts w:eastAsia="Calibri" w:cs="Times New Roman"/>
          <w:szCs w:val="24"/>
        </w:rPr>
        <w:t xml:space="preserve"> and is given effect in other areas of domestic law.</w:t>
      </w:r>
      <w:r>
        <w:rPr>
          <w:rStyle w:val="FootnoteReference"/>
          <w:rFonts w:eastAsia="Calibri" w:cs="Times New Roman"/>
          <w:szCs w:val="24"/>
        </w:rPr>
        <w:footnoteReference w:id="115"/>
      </w:r>
      <w:r>
        <w:rPr>
          <w:rFonts w:eastAsia="Calibri" w:cs="Times New Roman"/>
          <w:szCs w:val="24"/>
        </w:rPr>
        <w:t xml:space="preserve"> </w:t>
      </w:r>
      <w:r>
        <w:t>In response to the CAHDI questionnaire, Ukraine stated that it</w:t>
      </w:r>
    </w:p>
    <w:p w14:paraId="602BE56E" w14:textId="597196C5" w:rsidR="00974159" w:rsidRDefault="00974159" w:rsidP="00221DC1">
      <w:pPr>
        <w:pStyle w:val="Quote"/>
      </w:pPr>
      <w:r w:rsidRPr="00E001E3">
        <w:t>is of the view that the United Nations Convention on special missions (1969) to large extent reflects customary international law</w:t>
      </w:r>
      <w:r w:rsidRPr="00D2550F">
        <w:t>. Its provisions relating to the mutual consent of the sending and the receiving State to send / to receive a special mission, the scope of privileges and immunities were repeatedly recognized as customary international law</w:t>
      </w:r>
      <w:r>
        <w:t xml:space="preserve">. … </w:t>
      </w:r>
      <w:r w:rsidRPr="00DF161C">
        <w:t xml:space="preserve">In the process of the elaboration of the New York Convention by the International Law Commission there was no doubt that, at least, some of its provisions had the nature of customary international law, particularly as regards to such basic principles as the requirement of consent, inviolability and </w:t>
      </w:r>
      <w:r w:rsidRPr="00DF161C">
        <w:lastRenderedPageBreak/>
        <w:t>immunity of persons on special missions, premises, correspondence, property, transport etc. It seems that the customary nature of the Convention’s provisions is also widely recognized by the doctrine of international law.</w:t>
      </w:r>
      <w:r>
        <w:rPr>
          <w:rStyle w:val="FootnoteReference"/>
          <w:rFonts w:eastAsia="Calibri" w:cs="Times New Roman"/>
          <w:szCs w:val="24"/>
        </w:rPr>
        <w:footnoteReference w:id="116"/>
      </w:r>
    </w:p>
    <w:p w14:paraId="382104B4" w14:textId="4CE63F8F" w:rsidR="00974159" w:rsidRPr="00221DC1" w:rsidRDefault="00974159" w:rsidP="00974159">
      <w:pPr>
        <w:rPr>
          <w:lang w:val="en-US"/>
        </w:rPr>
      </w:pPr>
      <w:r>
        <w:t xml:space="preserve">It also explained that under customary international law </w:t>
      </w:r>
      <w:r w:rsidR="00221DC1">
        <w:t>‘</w:t>
      </w:r>
      <w:r w:rsidRPr="00B51D4F">
        <w:t xml:space="preserve">members of special missions enjoy privileges and immunities at least comparable to </w:t>
      </w:r>
      <w:r w:rsidRPr="00B51D4F">
        <w:rPr>
          <w:lang w:val="en-US"/>
        </w:rPr>
        <w:t>those accorded to diplomatic missions and their staff members. In any event the representatives of the sending State in the special mission and the members of its diplomatic staff shall enjoy immunity from the criminal jurisdiction of the receiving State</w:t>
      </w:r>
      <w:r w:rsidR="00221DC1">
        <w:rPr>
          <w:lang w:val="en-US"/>
        </w:rPr>
        <w:t>’</w:t>
      </w:r>
      <w:r>
        <w:rPr>
          <w:lang w:val="en-US"/>
        </w:rPr>
        <w:t>.</w:t>
      </w:r>
      <w:r>
        <w:rPr>
          <w:rStyle w:val="FootnoteReference"/>
          <w:lang w:val="en-US"/>
        </w:rPr>
        <w:footnoteReference w:id="117"/>
      </w:r>
    </w:p>
    <w:p w14:paraId="65F15174" w14:textId="1CCD1EED" w:rsidR="00E12BEA" w:rsidRPr="00E12BEA" w:rsidRDefault="00E11C68" w:rsidP="00221DC1">
      <w:pPr>
        <w:pStyle w:val="Heading4"/>
        <w:rPr>
          <w:rFonts w:eastAsia="Calibri"/>
        </w:rPr>
      </w:pPr>
      <w:r>
        <w:rPr>
          <w:rFonts w:eastAsia="Calibri"/>
        </w:rPr>
        <w:t>United Kingdom</w:t>
      </w:r>
    </w:p>
    <w:p w14:paraId="7595CBE2" w14:textId="3E1E4C14" w:rsidR="00844E0A" w:rsidRDefault="00F8745C" w:rsidP="00F8745C">
      <w:pPr>
        <w:widowControl w:val="0"/>
        <w:contextualSpacing/>
        <w:rPr>
          <w:rFonts w:eastAsia="Calibri" w:cs="Times New Roman"/>
          <w:szCs w:val="24"/>
        </w:rPr>
      </w:pPr>
      <w:r w:rsidRPr="00F8745C">
        <w:rPr>
          <w:rFonts w:eastAsia="Calibri" w:cs="Times New Roman"/>
          <w:szCs w:val="24"/>
        </w:rPr>
        <w:t xml:space="preserve">English courts have </w:t>
      </w:r>
      <w:r w:rsidR="00B51888">
        <w:rPr>
          <w:rFonts w:eastAsia="Calibri" w:cs="Times New Roman"/>
          <w:szCs w:val="24"/>
        </w:rPr>
        <w:t>had</w:t>
      </w:r>
      <w:r w:rsidRPr="00F8745C">
        <w:rPr>
          <w:rFonts w:eastAsia="Calibri" w:cs="Times New Roman"/>
          <w:szCs w:val="24"/>
        </w:rPr>
        <w:t xml:space="preserve"> to consider the customary status of </w:t>
      </w:r>
      <w:r w:rsidR="00E86798">
        <w:rPr>
          <w:rFonts w:eastAsia="Calibri" w:cs="Times New Roman"/>
          <w:szCs w:val="24"/>
        </w:rPr>
        <w:t>special mission immunity</w:t>
      </w:r>
      <w:r w:rsidRPr="00F8745C">
        <w:rPr>
          <w:rFonts w:eastAsia="Calibri" w:cs="Times New Roman"/>
          <w:szCs w:val="24"/>
        </w:rPr>
        <w:t xml:space="preserve"> and its scope on </w:t>
      </w:r>
      <w:r w:rsidR="00971877">
        <w:rPr>
          <w:rFonts w:eastAsia="Calibri" w:cs="Times New Roman"/>
          <w:szCs w:val="24"/>
        </w:rPr>
        <w:t xml:space="preserve">a number of </w:t>
      </w:r>
      <w:r w:rsidRPr="00F8745C">
        <w:rPr>
          <w:rFonts w:eastAsia="Calibri" w:cs="Times New Roman"/>
          <w:szCs w:val="24"/>
        </w:rPr>
        <w:t>occasions.</w:t>
      </w:r>
      <w:r w:rsidR="005E2C6F">
        <w:rPr>
          <w:rFonts w:eastAsia="Calibri" w:cs="Times New Roman"/>
          <w:szCs w:val="24"/>
        </w:rPr>
        <w:t xml:space="preserve"> </w:t>
      </w:r>
      <w:r w:rsidR="00971877">
        <w:rPr>
          <w:rFonts w:eastAsia="Calibri" w:cs="Times New Roman"/>
          <w:szCs w:val="24"/>
        </w:rPr>
        <w:t xml:space="preserve">The issue has arisen both </w:t>
      </w:r>
      <w:r w:rsidR="004575A2">
        <w:rPr>
          <w:rFonts w:eastAsia="Calibri" w:cs="Times New Roman"/>
          <w:szCs w:val="24"/>
        </w:rPr>
        <w:t xml:space="preserve">in </w:t>
      </w:r>
      <w:r w:rsidR="00971877">
        <w:rPr>
          <w:rFonts w:eastAsia="Calibri" w:cs="Times New Roman"/>
          <w:szCs w:val="24"/>
        </w:rPr>
        <w:t>the lower courts</w:t>
      </w:r>
      <w:r w:rsidR="00971877">
        <w:rPr>
          <w:rStyle w:val="FootnoteReference"/>
          <w:rFonts w:eastAsia="Calibri" w:cs="Times New Roman"/>
          <w:szCs w:val="24"/>
        </w:rPr>
        <w:footnoteReference w:id="118"/>
      </w:r>
      <w:r w:rsidR="00971877">
        <w:rPr>
          <w:rFonts w:eastAsia="Calibri" w:cs="Times New Roman"/>
          <w:szCs w:val="24"/>
        </w:rPr>
        <w:t xml:space="preserve"> and in the High Court.</w:t>
      </w:r>
      <w:r w:rsidR="005E2C6F">
        <w:rPr>
          <w:rFonts w:eastAsia="Calibri" w:cs="Times New Roman"/>
          <w:szCs w:val="24"/>
        </w:rPr>
        <w:t xml:space="preserve"> </w:t>
      </w:r>
    </w:p>
    <w:p w14:paraId="698AAF0A" w14:textId="77777777" w:rsidR="00221DC1" w:rsidRDefault="00221DC1" w:rsidP="00F8745C">
      <w:pPr>
        <w:widowControl w:val="0"/>
        <w:contextualSpacing/>
        <w:rPr>
          <w:rFonts w:eastAsia="Calibri" w:cs="Times New Roman"/>
          <w:szCs w:val="24"/>
        </w:rPr>
      </w:pPr>
    </w:p>
    <w:p w14:paraId="57ABE0A8" w14:textId="10FEBBB8" w:rsidR="00F8745C" w:rsidRDefault="00F8745C" w:rsidP="00F8745C">
      <w:pPr>
        <w:widowControl w:val="0"/>
        <w:contextualSpacing/>
        <w:rPr>
          <w:rFonts w:eastAsia="Calibri" w:cs="Times New Roman"/>
          <w:szCs w:val="24"/>
        </w:rPr>
      </w:pPr>
      <w:r w:rsidRPr="00F8745C">
        <w:rPr>
          <w:rFonts w:eastAsia="Calibri" w:cs="Times New Roman"/>
          <w:szCs w:val="24"/>
        </w:rPr>
        <w:t xml:space="preserve">In 2011, </w:t>
      </w:r>
      <w:r w:rsidR="008831A2" w:rsidRPr="00F8745C">
        <w:rPr>
          <w:rFonts w:eastAsia="Calibri" w:cs="Times New Roman"/>
          <w:szCs w:val="24"/>
        </w:rPr>
        <w:t xml:space="preserve">the Divisional Court </w:t>
      </w:r>
      <w:r w:rsidR="00847244">
        <w:rPr>
          <w:rFonts w:eastAsia="Calibri" w:cs="Times New Roman"/>
          <w:szCs w:val="24"/>
        </w:rPr>
        <w:t>gave judgment in</w:t>
      </w:r>
      <w:r w:rsidR="008831A2" w:rsidRPr="00F8745C">
        <w:rPr>
          <w:rFonts w:eastAsia="Calibri" w:cs="Times New Roman"/>
          <w:szCs w:val="24"/>
        </w:rPr>
        <w:t xml:space="preserve"> </w:t>
      </w:r>
      <w:r w:rsidR="008831A2" w:rsidRPr="00F8745C">
        <w:rPr>
          <w:rFonts w:eastAsia="Calibri" w:cs="Times New Roman"/>
          <w:i/>
          <w:szCs w:val="24"/>
        </w:rPr>
        <w:t xml:space="preserve">Khurts Bat v </w:t>
      </w:r>
      <w:r w:rsidR="00BA29C6">
        <w:rPr>
          <w:rFonts w:eastAsia="Calibri" w:cs="Times New Roman"/>
          <w:i/>
          <w:szCs w:val="24"/>
        </w:rPr>
        <w:t xml:space="preserve">The Investigating Judge of the German </w:t>
      </w:r>
      <w:r w:rsidR="008831A2" w:rsidRPr="00F8745C">
        <w:rPr>
          <w:rFonts w:eastAsia="Calibri" w:cs="Times New Roman"/>
          <w:i/>
          <w:szCs w:val="24"/>
        </w:rPr>
        <w:t xml:space="preserve">Federal </w:t>
      </w:r>
      <w:r w:rsidR="00BA29C6">
        <w:rPr>
          <w:rFonts w:eastAsia="Calibri" w:cs="Times New Roman"/>
          <w:i/>
          <w:szCs w:val="24"/>
        </w:rPr>
        <w:t>Court</w:t>
      </w:r>
      <w:r w:rsidR="008831A2" w:rsidRPr="00F8745C">
        <w:rPr>
          <w:rFonts w:eastAsia="Calibri" w:cs="Times New Roman"/>
          <w:i/>
          <w:szCs w:val="24"/>
        </w:rPr>
        <w:t>.</w:t>
      </w:r>
      <w:r w:rsidR="008831A2" w:rsidRPr="00F8745C">
        <w:rPr>
          <w:rFonts w:eastAsia="Calibri" w:cs="Times New Roman"/>
          <w:szCs w:val="24"/>
          <w:vertAlign w:val="superscript"/>
        </w:rPr>
        <w:footnoteReference w:id="119"/>
      </w:r>
      <w:r w:rsidR="008831A2" w:rsidRPr="00F8745C">
        <w:rPr>
          <w:rFonts w:eastAsia="Calibri" w:cs="Times New Roman"/>
          <w:szCs w:val="24"/>
        </w:rPr>
        <w:t xml:space="preserve"> Germany sought the extradition from the </w:t>
      </w:r>
      <w:r w:rsidR="00847244">
        <w:rPr>
          <w:rFonts w:eastAsia="Calibri" w:cs="Times New Roman"/>
          <w:szCs w:val="24"/>
        </w:rPr>
        <w:t>UK</w:t>
      </w:r>
      <w:r w:rsidR="008831A2" w:rsidRPr="00F8745C">
        <w:rPr>
          <w:rFonts w:eastAsia="Calibri" w:cs="Times New Roman"/>
          <w:szCs w:val="24"/>
        </w:rPr>
        <w:t xml:space="preserve"> of a Mongolian official who was alleged to have kidnapped and seriously mistreated a Mongolian national in Germany (and France). Mr Bat claimed immunity on various grounds, including that he was visiting the </w:t>
      </w:r>
      <w:r w:rsidR="00847244">
        <w:rPr>
          <w:rFonts w:eastAsia="Calibri" w:cs="Times New Roman"/>
          <w:szCs w:val="24"/>
        </w:rPr>
        <w:t>UK</w:t>
      </w:r>
      <w:r w:rsidR="008831A2" w:rsidRPr="00F8745C">
        <w:rPr>
          <w:rFonts w:eastAsia="Calibri" w:cs="Times New Roman"/>
          <w:szCs w:val="24"/>
        </w:rPr>
        <w:t xml:space="preserve"> on a special mission. Both the </w:t>
      </w:r>
      <w:r w:rsidR="00844E0A">
        <w:rPr>
          <w:rFonts w:eastAsia="Calibri" w:cs="Times New Roman"/>
          <w:szCs w:val="24"/>
        </w:rPr>
        <w:t>Foreign and Commonwealth Office (</w:t>
      </w:r>
      <w:r w:rsidR="008831A2" w:rsidRPr="00F8745C">
        <w:rPr>
          <w:rFonts w:eastAsia="Calibri" w:cs="Times New Roman"/>
          <w:szCs w:val="24"/>
        </w:rPr>
        <w:t>FCO</w:t>
      </w:r>
      <w:r w:rsidR="00844E0A">
        <w:rPr>
          <w:rFonts w:eastAsia="Calibri" w:cs="Times New Roman"/>
          <w:szCs w:val="24"/>
        </w:rPr>
        <w:t>)</w:t>
      </w:r>
      <w:r w:rsidR="008831A2" w:rsidRPr="00F8745C">
        <w:rPr>
          <w:rFonts w:eastAsia="Calibri" w:cs="Times New Roman"/>
          <w:szCs w:val="24"/>
        </w:rPr>
        <w:t xml:space="preserve"> and Mr Bat</w:t>
      </w:r>
      <w:r w:rsidR="00847244">
        <w:rPr>
          <w:rFonts w:eastAsia="Calibri" w:cs="Times New Roman"/>
          <w:szCs w:val="24"/>
        </w:rPr>
        <w:t xml:space="preserve"> argued</w:t>
      </w:r>
      <w:r w:rsidR="008831A2" w:rsidRPr="00F8745C">
        <w:rPr>
          <w:rFonts w:eastAsia="Calibri" w:cs="Times New Roman"/>
          <w:szCs w:val="24"/>
        </w:rPr>
        <w:t xml:space="preserve"> that under customary international law, persons on special missions were entitled to inviolability of the person and immunity from criminal proceedings</w:t>
      </w:r>
      <w:r w:rsidR="00847244">
        <w:rPr>
          <w:rFonts w:eastAsia="Calibri" w:cs="Times New Roman"/>
          <w:szCs w:val="24"/>
        </w:rPr>
        <w:t>, and the Court agreed</w:t>
      </w:r>
      <w:r w:rsidR="00B51888">
        <w:rPr>
          <w:rFonts w:eastAsia="Calibri" w:cs="Times New Roman"/>
          <w:szCs w:val="24"/>
        </w:rPr>
        <w:t xml:space="preserve"> (while </w:t>
      </w:r>
      <w:r w:rsidR="00114B5B">
        <w:rPr>
          <w:rFonts w:eastAsia="Calibri" w:cs="Times New Roman"/>
          <w:szCs w:val="24"/>
        </w:rPr>
        <w:t>holding</w:t>
      </w:r>
      <w:r w:rsidR="00B51888">
        <w:rPr>
          <w:rFonts w:eastAsia="Calibri" w:cs="Times New Roman"/>
          <w:szCs w:val="24"/>
        </w:rPr>
        <w:t xml:space="preserve"> </w:t>
      </w:r>
      <w:r w:rsidR="00B51888" w:rsidRPr="00F8745C">
        <w:rPr>
          <w:rFonts w:eastAsia="Calibri" w:cs="Times New Roman"/>
          <w:szCs w:val="24"/>
        </w:rPr>
        <w:t>that Mr Bat had not established that he was on a special mission, because the British Government (the FCO) had not consented to such special mission</w:t>
      </w:r>
      <w:r w:rsidR="00B51888">
        <w:rPr>
          <w:rFonts w:eastAsia="Calibri" w:cs="Times New Roman"/>
          <w:szCs w:val="24"/>
        </w:rPr>
        <w:t xml:space="preserve">). </w:t>
      </w:r>
      <w:r w:rsidR="00114B5B">
        <w:rPr>
          <w:rFonts w:eastAsia="Calibri" w:cs="Times New Roman"/>
          <w:szCs w:val="24"/>
        </w:rPr>
        <w:t>B</w:t>
      </w:r>
      <w:r w:rsidR="008831A2" w:rsidRPr="00F8745C">
        <w:rPr>
          <w:rFonts w:eastAsia="Calibri" w:cs="Times New Roman"/>
          <w:szCs w:val="24"/>
        </w:rPr>
        <w:t>ecause of this</w:t>
      </w:r>
      <w:r w:rsidR="00BA29C6">
        <w:rPr>
          <w:rFonts w:eastAsia="Calibri" w:cs="Times New Roman"/>
          <w:szCs w:val="24"/>
        </w:rPr>
        <w:t xml:space="preserve"> coincidence of the views of the parties</w:t>
      </w:r>
      <w:r w:rsidR="00114B5B">
        <w:rPr>
          <w:rFonts w:eastAsia="Calibri" w:cs="Times New Roman"/>
          <w:szCs w:val="24"/>
        </w:rPr>
        <w:t xml:space="preserve"> on the law</w:t>
      </w:r>
      <w:r w:rsidR="008831A2" w:rsidRPr="00F8745C">
        <w:rPr>
          <w:rFonts w:eastAsia="Calibri" w:cs="Times New Roman"/>
          <w:szCs w:val="24"/>
        </w:rPr>
        <w:t xml:space="preserve">, a later Divisional Court held </w:t>
      </w:r>
      <w:r w:rsidR="005465AE">
        <w:rPr>
          <w:rFonts w:eastAsia="Calibri" w:cs="Times New Roman"/>
          <w:szCs w:val="24"/>
        </w:rPr>
        <w:t>that</w:t>
      </w:r>
      <w:r w:rsidR="00BA29C6" w:rsidRPr="00F8745C">
        <w:rPr>
          <w:rFonts w:eastAsia="Calibri" w:cs="Times New Roman"/>
          <w:szCs w:val="24"/>
        </w:rPr>
        <w:t>, as a matter of English law</w:t>
      </w:r>
      <w:r w:rsidR="00BA29C6">
        <w:rPr>
          <w:rFonts w:eastAsia="Calibri" w:cs="Times New Roman"/>
          <w:szCs w:val="24"/>
        </w:rPr>
        <w:t>,</w:t>
      </w:r>
      <w:r w:rsidR="00BA29C6" w:rsidRPr="00F8745C">
        <w:rPr>
          <w:rFonts w:eastAsia="Calibri" w:cs="Times New Roman"/>
          <w:szCs w:val="24"/>
        </w:rPr>
        <w:t xml:space="preserve"> </w:t>
      </w:r>
      <w:r w:rsidR="008831A2" w:rsidRPr="00F8745C">
        <w:rPr>
          <w:rFonts w:eastAsia="Calibri" w:cs="Times New Roman"/>
          <w:szCs w:val="24"/>
        </w:rPr>
        <w:t xml:space="preserve">the </w:t>
      </w:r>
      <w:r w:rsidR="008831A2" w:rsidRPr="00F8745C">
        <w:rPr>
          <w:rFonts w:eastAsia="Calibri" w:cs="Times New Roman"/>
          <w:i/>
          <w:szCs w:val="24"/>
        </w:rPr>
        <w:t>Khurts Bat</w:t>
      </w:r>
      <w:r w:rsidR="008831A2" w:rsidRPr="00F8745C">
        <w:rPr>
          <w:rFonts w:eastAsia="Calibri" w:cs="Times New Roman"/>
          <w:szCs w:val="24"/>
        </w:rPr>
        <w:t xml:space="preserve"> judgment </w:t>
      </w:r>
      <w:r w:rsidR="00F925E4">
        <w:rPr>
          <w:rFonts w:eastAsia="Calibri" w:cs="Times New Roman"/>
          <w:szCs w:val="24"/>
        </w:rPr>
        <w:t>was not binding precedent</w:t>
      </w:r>
      <w:r w:rsidR="00653232">
        <w:rPr>
          <w:rFonts w:eastAsia="Calibri" w:cs="Times New Roman"/>
          <w:szCs w:val="24"/>
        </w:rPr>
        <w:t xml:space="preserve"> </w:t>
      </w:r>
      <w:r w:rsidR="008831A2" w:rsidRPr="00F8745C">
        <w:rPr>
          <w:rFonts w:eastAsia="Calibri" w:cs="Times New Roman"/>
          <w:szCs w:val="24"/>
        </w:rPr>
        <w:t>on the point.</w:t>
      </w:r>
      <w:r w:rsidR="008831A2" w:rsidRPr="00F8745C">
        <w:rPr>
          <w:rFonts w:eastAsia="Calibri" w:cs="Times New Roman"/>
          <w:szCs w:val="24"/>
          <w:vertAlign w:val="superscript"/>
        </w:rPr>
        <w:footnoteReference w:id="120"/>
      </w:r>
      <w:r w:rsidR="008831A2" w:rsidRPr="00F8745C">
        <w:rPr>
          <w:rFonts w:eastAsia="Calibri" w:cs="Times New Roman"/>
          <w:szCs w:val="24"/>
        </w:rPr>
        <w:t xml:space="preserve"> </w:t>
      </w:r>
    </w:p>
    <w:p w14:paraId="17743120" w14:textId="77777777" w:rsidR="00221DC1" w:rsidRDefault="00221DC1" w:rsidP="00F8745C">
      <w:pPr>
        <w:widowControl w:val="0"/>
        <w:contextualSpacing/>
        <w:rPr>
          <w:rFonts w:eastAsia="Calibri" w:cs="Times New Roman"/>
          <w:szCs w:val="24"/>
        </w:rPr>
      </w:pPr>
    </w:p>
    <w:p w14:paraId="0E26B141" w14:textId="14FC6065" w:rsidR="004575A2" w:rsidRDefault="005F5AE1" w:rsidP="00221DC1">
      <w:pPr>
        <w:widowControl w:val="0"/>
        <w:contextualSpacing/>
        <w:rPr>
          <w:rFonts w:eastAsia="Calibri" w:cs="Times New Roman"/>
          <w:szCs w:val="24"/>
        </w:rPr>
      </w:pPr>
      <w:r w:rsidRPr="00925262">
        <w:rPr>
          <w:rFonts w:eastAsia="Calibri" w:cs="Times New Roman"/>
          <w:szCs w:val="24"/>
        </w:rPr>
        <w:lastRenderedPageBreak/>
        <w:t>In 2016</w:t>
      </w:r>
      <w:r w:rsidR="00476822">
        <w:rPr>
          <w:rFonts w:eastAsia="Calibri" w:cs="Times New Roman"/>
          <w:szCs w:val="24"/>
        </w:rPr>
        <w:t>,</w:t>
      </w:r>
      <w:r w:rsidRPr="00925262">
        <w:rPr>
          <w:rFonts w:eastAsia="Calibri" w:cs="Times New Roman"/>
          <w:szCs w:val="24"/>
        </w:rPr>
        <w:t xml:space="preserve"> the view that </w:t>
      </w:r>
      <w:r w:rsidR="004575A2">
        <w:rPr>
          <w:rFonts w:eastAsia="Calibri" w:cs="Times New Roman"/>
          <w:szCs w:val="24"/>
        </w:rPr>
        <w:t xml:space="preserve">the immunity from criminal jurisdiction of persons on </w:t>
      </w:r>
      <w:r w:rsidRPr="00925262">
        <w:rPr>
          <w:rFonts w:eastAsia="Calibri" w:cs="Times New Roman"/>
          <w:szCs w:val="24"/>
        </w:rPr>
        <w:t>special mission immunity formed part of customary in</w:t>
      </w:r>
      <w:r w:rsidR="00476822">
        <w:rPr>
          <w:rFonts w:eastAsia="Calibri" w:cs="Times New Roman"/>
          <w:szCs w:val="24"/>
        </w:rPr>
        <w:t xml:space="preserve">ternational law </w:t>
      </w:r>
      <w:r w:rsidRPr="00925262">
        <w:rPr>
          <w:rFonts w:eastAsia="Calibri" w:cs="Times New Roman"/>
          <w:szCs w:val="24"/>
        </w:rPr>
        <w:t>was put to the test in further proceedings in the Divisional Court.</w:t>
      </w:r>
      <w:r w:rsidR="005E2C6F">
        <w:rPr>
          <w:rFonts w:eastAsia="Calibri" w:cs="Times New Roman"/>
          <w:szCs w:val="24"/>
        </w:rPr>
        <w:t xml:space="preserve"> </w:t>
      </w:r>
      <w:r w:rsidRPr="00925262">
        <w:rPr>
          <w:rFonts w:eastAsia="Calibri" w:cs="Times New Roman"/>
          <w:szCs w:val="24"/>
        </w:rPr>
        <w:t>The Freedom and Justice Party, which had formed the elected Government of Egypt under President Morsi between June 2012 and July 2013,</w:t>
      </w:r>
      <w:r w:rsidRPr="00925262">
        <w:rPr>
          <w:rFonts w:eastAsia="Calibri" w:cs="Times New Roman"/>
          <w:szCs w:val="24"/>
          <w:vertAlign w:val="superscript"/>
        </w:rPr>
        <w:footnoteReference w:id="121"/>
      </w:r>
      <w:r w:rsidRPr="00925262">
        <w:rPr>
          <w:rFonts w:eastAsia="Calibri" w:cs="Times New Roman"/>
          <w:szCs w:val="24"/>
        </w:rPr>
        <w:t xml:space="preserve"> sought judicial review of the decision not to arrest Lt General Mahmoud Hegazy, the director of the Egyptian Military Intelligence Service in July and August 2013.</w:t>
      </w:r>
      <w:r w:rsidRPr="00925262">
        <w:rPr>
          <w:rFonts w:eastAsia="Calibri" w:cs="Times New Roman"/>
          <w:szCs w:val="24"/>
          <w:vertAlign w:val="superscript"/>
        </w:rPr>
        <w:footnoteReference w:id="122"/>
      </w:r>
      <w:r w:rsidRPr="00925262">
        <w:rPr>
          <w:rFonts w:eastAsia="Calibri" w:cs="Times New Roman"/>
          <w:szCs w:val="24"/>
        </w:rPr>
        <w:t xml:space="preserve"> Hegazy was alleged to have been involved in torture in connection with the events in Raba’a Square in Cairo in July 2013, contrary to section 134 of the Criminal Justice Act 1988.</w:t>
      </w:r>
      <w:r w:rsidRPr="00925262">
        <w:rPr>
          <w:rFonts w:eastAsia="Calibri" w:cs="Times New Roman"/>
          <w:szCs w:val="24"/>
          <w:vertAlign w:val="superscript"/>
        </w:rPr>
        <w:footnoteReference w:id="123"/>
      </w:r>
      <w:r w:rsidR="005E2C6F">
        <w:rPr>
          <w:rFonts w:eastAsia="Calibri" w:cs="Times New Roman"/>
          <w:szCs w:val="24"/>
        </w:rPr>
        <w:t xml:space="preserve"> </w:t>
      </w:r>
      <w:r w:rsidRPr="00925262">
        <w:rPr>
          <w:rFonts w:eastAsia="Calibri" w:cs="Times New Roman"/>
          <w:szCs w:val="24"/>
        </w:rPr>
        <w:t xml:space="preserve">However, the Metropolitan Police </w:t>
      </w:r>
      <w:r w:rsidR="00844E0A">
        <w:rPr>
          <w:rFonts w:eastAsia="Calibri" w:cs="Times New Roman"/>
          <w:szCs w:val="24"/>
        </w:rPr>
        <w:t xml:space="preserve">Service </w:t>
      </w:r>
      <w:r w:rsidRPr="00925262">
        <w:rPr>
          <w:rFonts w:eastAsia="Calibri" w:cs="Times New Roman"/>
          <w:szCs w:val="24"/>
        </w:rPr>
        <w:t>(MPS) declined to arrest him</w:t>
      </w:r>
      <w:r w:rsidR="00114B5B" w:rsidRPr="00114B5B">
        <w:rPr>
          <w:rFonts w:eastAsia="Calibri" w:cs="Times New Roman"/>
          <w:szCs w:val="24"/>
        </w:rPr>
        <w:t xml:space="preserve"> </w:t>
      </w:r>
      <w:r w:rsidR="00114B5B">
        <w:rPr>
          <w:rFonts w:eastAsia="Calibri" w:cs="Times New Roman"/>
          <w:szCs w:val="24"/>
        </w:rPr>
        <w:t>when he was visiting</w:t>
      </w:r>
      <w:r w:rsidR="00114B5B" w:rsidRPr="00925262">
        <w:rPr>
          <w:rFonts w:eastAsia="Calibri" w:cs="Times New Roman"/>
          <w:szCs w:val="24"/>
        </w:rPr>
        <w:t xml:space="preserve"> the UK in September 2015</w:t>
      </w:r>
      <w:r w:rsidR="00847244">
        <w:rPr>
          <w:rFonts w:eastAsia="Calibri" w:cs="Times New Roman"/>
          <w:szCs w:val="24"/>
        </w:rPr>
        <w:t>,</w:t>
      </w:r>
      <w:r w:rsidRPr="00925262">
        <w:rPr>
          <w:rFonts w:eastAsia="Calibri" w:cs="Times New Roman"/>
          <w:szCs w:val="24"/>
        </w:rPr>
        <w:t xml:space="preserve"> on the </w:t>
      </w:r>
      <w:r w:rsidR="00847244">
        <w:rPr>
          <w:rFonts w:eastAsia="Calibri" w:cs="Times New Roman"/>
          <w:szCs w:val="24"/>
        </w:rPr>
        <w:t>ground</w:t>
      </w:r>
      <w:r w:rsidRPr="00925262">
        <w:rPr>
          <w:rFonts w:eastAsia="Calibri" w:cs="Times New Roman"/>
          <w:szCs w:val="24"/>
        </w:rPr>
        <w:t xml:space="preserve"> that he was a member of a special mission and therefore </w:t>
      </w:r>
      <w:r w:rsidR="00BA29C6">
        <w:rPr>
          <w:rFonts w:eastAsia="Calibri" w:cs="Times New Roman"/>
          <w:szCs w:val="24"/>
        </w:rPr>
        <w:t>entitled</w:t>
      </w:r>
      <w:r w:rsidRPr="00925262">
        <w:rPr>
          <w:rFonts w:eastAsia="Calibri" w:cs="Times New Roman"/>
          <w:szCs w:val="24"/>
        </w:rPr>
        <w:t xml:space="preserve"> to immunity from criminal jurisdiction.</w:t>
      </w:r>
      <w:r w:rsidRPr="00925262">
        <w:rPr>
          <w:rFonts w:eastAsia="Calibri" w:cs="Times New Roman"/>
          <w:szCs w:val="24"/>
          <w:vertAlign w:val="superscript"/>
        </w:rPr>
        <w:footnoteReference w:id="124"/>
      </w:r>
      <w:r w:rsidRPr="00925262">
        <w:rPr>
          <w:rFonts w:eastAsia="Calibri" w:cs="Times New Roman"/>
          <w:szCs w:val="24"/>
        </w:rPr>
        <w:t xml:space="preserve"> It was not entirely clear to what extent the MPS </w:t>
      </w:r>
      <w:r w:rsidR="00844E0A">
        <w:rPr>
          <w:rFonts w:eastAsia="Calibri" w:cs="Times New Roman"/>
          <w:szCs w:val="24"/>
        </w:rPr>
        <w:t>acted</w:t>
      </w:r>
      <w:r w:rsidRPr="00925262">
        <w:rPr>
          <w:rFonts w:eastAsia="Calibri" w:cs="Times New Roman"/>
          <w:szCs w:val="24"/>
        </w:rPr>
        <w:t xml:space="preserve"> on advice given by the FCO and/or </w:t>
      </w:r>
      <w:r w:rsidR="00847244">
        <w:rPr>
          <w:rFonts w:eastAsia="Calibri" w:cs="Times New Roman"/>
          <w:szCs w:val="24"/>
        </w:rPr>
        <w:t xml:space="preserve">the </w:t>
      </w:r>
      <w:r w:rsidRPr="00925262">
        <w:rPr>
          <w:rFonts w:eastAsia="Calibri" w:cs="Times New Roman"/>
          <w:szCs w:val="24"/>
        </w:rPr>
        <w:t>Office of the Director of Public Prosecutions (DPP</w:t>
      </w:r>
      <w:r w:rsidR="005950F2">
        <w:rPr>
          <w:rFonts w:eastAsia="Calibri" w:cs="Times New Roman"/>
          <w:szCs w:val="24"/>
        </w:rPr>
        <w:t xml:space="preserve">). </w:t>
      </w:r>
      <w:r w:rsidR="00847244">
        <w:rPr>
          <w:rFonts w:eastAsia="Calibri" w:cs="Times New Roman"/>
          <w:szCs w:val="24"/>
        </w:rPr>
        <w:t>T</w:t>
      </w:r>
      <w:r w:rsidRPr="00925262">
        <w:rPr>
          <w:rFonts w:eastAsia="Calibri" w:cs="Times New Roman"/>
          <w:szCs w:val="24"/>
        </w:rPr>
        <w:t>he Divisional Court accepted the claimants</w:t>
      </w:r>
      <w:r w:rsidR="00BA29C6">
        <w:rPr>
          <w:rFonts w:eastAsia="Calibri" w:cs="Times New Roman"/>
          <w:szCs w:val="24"/>
        </w:rPr>
        <w:t>’</w:t>
      </w:r>
      <w:r w:rsidRPr="00925262">
        <w:rPr>
          <w:rFonts w:eastAsia="Calibri" w:cs="Times New Roman"/>
          <w:szCs w:val="24"/>
        </w:rPr>
        <w:t xml:space="preserve"> request for an advisory declaration on special mission immunity as it applied </w:t>
      </w:r>
      <w:r w:rsidR="00282375">
        <w:rPr>
          <w:rFonts w:eastAsia="Calibri" w:cs="Times New Roman"/>
          <w:szCs w:val="24"/>
        </w:rPr>
        <w:t>in the law of England and Wales</w:t>
      </w:r>
      <w:r w:rsidRPr="00925262">
        <w:rPr>
          <w:rFonts w:eastAsia="Calibri" w:cs="Times New Roman"/>
          <w:szCs w:val="24"/>
        </w:rPr>
        <w:t>,</w:t>
      </w:r>
      <w:r w:rsidRPr="00925262">
        <w:rPr>
          <w:rFonts w:eastAsia="Calibri" w:cs="Times New Roman"/>
          <w:szCs w:val="24"/>
          <w:vertAlign w:val="superscript"/>
        </w:rPr>
        <w:footnoteReference w:id="125"/>
      </w:r>
      <w:r w:rsidRPr="00925262">
        <w:rPr>
          <w:rFonts w:eastAsia="Calibri" w:cs="Times New Roman"/>
          <w:szCs w:val="24"/>
        </w:rPr>
        <w:t xml:space="preserve"> and granted declarations </w:t>
      </w:r>
      <w:r w:rsidR="00844E0A">
        <w:rPr>
          <w:rFonts w:eastAsia="Calibri" w:cs="Times New Roman"/>
          <w:szCs w:val="24"/>
        </w:rPr>
        <w:t>in the following terms</w:t>
      </w:r>
      <w:r w:rsidR="004575A2">
        <w:rPr>
          <w:rFonts w:eastAsia="Calibri" w:cs="Times New Roman"/>
          <w:szCs w:val="24"/>
        </w:rPr>
        <w:t>:</w:t>
      </w:r>
    </w:p>
    <w:p w14:paraId="4E36CA61" w14:textId="77777777" w:rsidR="00221DC1" w:rsidRDefault="00221DC1" w:rsidP="00221DC1">
      <w:pPr>
        <w:widowControl w:val="0"/>
        <w:contextualSpacing/>
        <w:rPr>
          <w:rFonts w:eastAsia="Calibri" w:cs="Times New Roman"/>
          <w:szCs w:val="24"/>
        </w:rPr>
      </w:pPr>
    </w:p>
    <w:p w14:paraId="6565FA39" w14:textId="2476E729" w:rsidR="004575A2" w:rsidRPr="00221DC1" w:rsidRDefault="005F5AE1" w:rsidP="00221DC1">
      <w:pPr>
        <w:widowControl w:val="0"/>
        <w:spacing w:line="240" w:lineRule="auto"/>
        <w:ind w:left="720"/>
        <w:contextualSpacing/>
        <w:rPr>
          <w:rFonts w:eastAsia="Calibri" w:cs="Times New Roman"/>
          <w:sz w:val="20"/>
          <w:szCs w:val="24"/>
        </w:rPr>
      </w:pPr>
      <w:r w:rsidRPr="00221DC1">
        <w:rPr>
          <w:rFonts w:eastAsia="Calibri" w:cs="Times New Roman"/>
          <w:sz w:val="20"/>
          <w:szCs w:val="24"/>
        </w:rPr>
        <w:t xml:space="preserve">(1) </w:t>
      </w:r>
      <w:r w:rsidR="00844E0A" w:rsidRPr="00221DC1">
        <w:rPr>
          <w:rFonts w:eastAsia="Calibri" w:cs="Times New Roman"/>
          <w:sz w:val="20"/>
          <w:szCs w:val="24"/>
        </w:rPr>
        <w:t>C</w:t>
      </w:r>
      <w:r w:rsidRPr="00221DC1">
        <w:rPr>
          <w:rFonts w:eastAsia="Calibri" w:cs="Times New Roman"/>
          <w:sz w:val="20"/>
          <w:szCs w:val="24"/>
        </w:rPr>
        <w:t xml:space="preserve">ustomary international law requires a receiving State to secure, for the duration of a special mission, personal inviolability and immunity from criminal jurisdiction for the members of the mission accepted as such by the receiving State; </w:t>
      </w:r>
    </w:p>
    <w:p w14:paraId="027F0771" w14:textId="77777777" w:rsidR="00221DC1" w:rsidRPr="00221DC1" w:rsidRDefault="00221DC1" w:rsidP="00221DC1">
      <w:pPr>
        <w:widowControl w:val="0"/>
        <w:spacing w:line="240" w:lineRule="auto"/>
        <w:ind w:left="720"/>
        <w:contextualSpacing/>
        <w:rPr>
          <w:rFonts w:eastAsia="Calibri" w:cs="Times New Roman"/>
          <w:sz w:val="20"/>
          <w:szCs w:val="24"/>
        </w:rPr>
      </w:pPr>
    </w:p>
    <w:p w14:paraId="1A67724A" w14:textId="5E4D3851" w:rsidR="00844E0A" w:rsidRDefault="005F5AE1" w:rsidP="00221DC1">
      <w:pPr>
        <w:widowControl w:val="0"/>
        <w:spacing w:line="240" w:lineRule="auto"/>
        <w:ind w:left="720"/>
        <w:contextualSpacing/>
        <w:rPr>
          <w:rFonts w:eastAsia="Calibri" w:cs="Times New Roman"/>
          <w:szCs w:val="24"/>
        </w:rPr>
      </w:pPr>
      <w:r w:rsidRPr="00221DC1">
        <w:rPr>
          <w:rFonts w:eastAsia="Calibri" w:cs="Times New Roman"/>
          <w:sz w:val="20"/>
          <w:szCs w:val="24"/>
        </w:rPr>
        <w:t xml:space="preserve">(2) </w:t>
      </w:r>
      <w:r w:rsidR="00844E0A" w:rsidRPr="00221DC1">
        <w:rPr>
          <w:rFonts w:eastAsia="Calibri" w:cs="Times New Roman"/>
          <w:sz w:val="20"/>
          <w:szCs w:val="24"/>
        </w:rPr>
        <w:t>T</w:t>
      </w:r>
      <w:r w:rsidRPr="00221DC1">
        <w:rPr>
          <w:rFonts w:eastAsia="Calibri" w:cs="Times New Roman"/>
          <w:sz w:val="20"/>
          <w:szCs w:val="24"/>
        </w:rPr>
        <w:t>his rule</w:t>
      </w:r>
      <w:r w:rsidR="00844E0A" w:rsidRPr="00221DC1">
        <w:rPr>
          <w:rFonts w:eastAsia="Calibri" w:cs="Times New Roman"/>
          <w:sz w:val="20"/>
          <w:szCs w:val="24"/>
        </w:rPr>
        <w:t xml:space="preserve"> of customary international law</w:t>
      </w:r>
      <w:r w:rsidRPr="00221DC1">
        <w:rPr>
          <w:rFonts w:eastAsia="Calibri" w:cs="Times New Roman"/>
          <w:sz w:val="20"/>
          <w:szCs w:val="24"/>
        </w:rPr>
        <w:t xml:space="preserve"> is given effect by the common law.</w:t>
      </w:r>
      <w:r w:rsidRPr="00221DC1">
        <w:rPr>
          <w:rFonts w:eastAsia="Calibri" w:cs="Times New Roman"/>
          <w:sz w:val="20"/>
          <w:szCs w:val="24"/>
          <w:vertAlign w:val="superscript"/>
        </w:rPr>
        <w:footnoteReference w:id="126"/>
      </w:r>
      <w:r w:rsidRPr="00925262">
        <w:rPr>
          <w:rFonts w:eastAsia="Calibri" w:cs="Times New Roman"/>
          <w:szCs w:val="24"/>
        </w:rPr>
        <w:t xml:space="preserve"> </w:t>
      </w:r>
    </w:p>
    <w:p w14:paraId="43E3F0A7" w14:textId="7B751BB5" w:rsidR="005F5AE1" w:rsidRPr="00925262" w:rsidRDefault="005F5AE1" w:rsidP="00F8745C">
      <w:pPr>
        <w:widowControl w:val="0"/>
        <w:ind w:firstLine="283"/>
        <w:contextualSpacing/>
        <w:rPr>
          <w:rFonts w:eastAsia="Calibri" w:cs="Times New Roman"/>
          <w:szCs w:val="24"/>
        </w:rPr>
      </w:pPr>
      <w:bookmarkStart w:id="72" w:name="_Hlk494908168"/>
    </w:p>
    <w:p w14:paraId="537CCD3D" w14:textId="23DBC788" w:rsidR="005F5AE1" w:rsidRPr="00925262" w:rsidRDefault="00847244" w:rsidP="00221DC1">
      <w:pPr>
        <w:widowControl w:val="0"/>
        <w:contextualSpacing/>
        <w:rPr>
          <w:rFonts w:eastAsia="Calibri" w:cs="Times New Roman"/>
          <w:szCs w:val="24"/>
        </w:rPr>
      </w:pPr>
      <w:bookmarkStart w:id="73" w:name="_Ref488484930"/>
      <w:bookmarkEnd w:id="72"/>
      <w:r>
        <w:rPr>
          <w:rFonts w:eastAsia="Calibri" w:cs="Times New Roman"/>
          <w:szCs w:val="24"/>
        </w:rPr>
        <w:t xml:space="preserve">In </w:t>
      </w:r>
      <w:r w:rsidR="00114B5B">
        <w:rPr>
          <w:rFonts w:eastAsia="Calibri" w:cs="Times New Roman"/>
          <w:szCs w:val="24"/>
        </w:rPr>
        <w:t>this</w:t>
      </w:r>
      <w:r>
        <w:rPr>
          <w:rFonts w:eastAsia="Calibri" w:cs="Times New Roman"/>
          <w:szCs w:val="24"/>
        </w:rPr>
        <w:t xml:space="preserve"> case, t</w:t>
      </w:r>
      <w:r w:rsidR="005F5AE1" w:rsidRPr="00925262">
        <w:rPr>
          <w:rFonts w:eastAsia="Calibri" w:cs="Times New Roman"/>
          <w:szCs w:val="24"/>
        </w:rPr>
        <w:t xml:space="preserve">he Divisional Court was called upon to identify the existence, or otherwise, of a rule of customary international law concerning the </w:t>
      </w:r>
      <w:r w:rsidR="0012225C">
        <w:rPr>
          <w:rFonts w:eastAsia="Calibri" w:cs="Times New Roman"/>
          <w:szCs w:val="24"/>
        </w:rPr>
        <w:t xml:space="preserve">personal </w:t>
      </w:r>
      <w:r w:rsidR="005F5AE1" w:rsidRPr="00925262">
        <w:rPr>
          <w:rFonts w:eastAsia="Calibri" w:cs="Times New Roman"/>
          <w:szCs w:val="24"/>
        </w:rPr>
        <w:t>inviolability and immunity from criminal proceedings of persons on special missions. The two judges, Lord Justice Lloyd Jones and Mr Justice Jay,</w:t>
      </w:r>
      <w:r w:rsidR="00100614">
        <w:rPr>
          <w:rFonts w:eastAsia="Calibri" w:cs="Times New Roman"/>
          <w:szCs w:val="24"/>
        </w:rPr>
        <w:t xml:space="preserve"> considered the matter in depth</w:t>
      </w:r>
      <w:r w:rsidR="005F5AE1" w:rsidRPr="00925262">
        <w:rPr>
          <w:rFonts w:eastAsia="Calibri" w:cs="Times New Roman"/>
          <w:szCs w:val="24"/>
        </w:rPr>
        <w:t xml:space="preserve">. They began by recalling the </w:t>
      </w:r>
      <w:r w:rsidR="00EC3F79" w:rsidRPr="00925262">
        <w:rPr>
          <w:rFonts w:eastAsia="Calibri" w:cs="Times New Roman"/>
          <w:szCs w:val="24"/>
        </w:rPr>
        <w:t>generally accepted</w:t>
      </w:r>
      <w:r w:rsidR="005F5AE1" w:rsidRPr="00925262">
        <w:rPr>
          <w:rFonts w:eastAsia="Calibri" w:cs="Times New Roman"/>
          <w:szCs w:val="24"/>
        </w:rPr>
        <w:t xml:space="preserve"> requirements for establishing rule</w:t>
      </w:r>
      <w:r w:rsidR="00844E0A">
        <w:rPr>
          <w:rFonts w:eastAsia="Calibri" w:cs="Times New Roman"/>
          <w:szCs w:val="24"/>
        </w:rPr>
        <w:t>s</w:t>
      </w:r>
      <w:r w:rsidR="005F5AE1" w:rsidRPr="00925262">
        <w:rPr>
          <w:rFonts w:eastAsia="Calibri" w:cs="Times New Roman"/>
          <w:szCs w:val="24"/>
        </w:rPr>
        <w:t xml:space="preserve"> of customary international law, relying on the jurisprudence of the International Court of Justice (ICJ)</w:t>
      </w:r>
      <w:r w:rsidR="005F5AE1" w:rsidRPr="00925262">
        <w:rPr>
          <w:rFonts w:eastAsia="Calibri" w:cs="Times New Roman"/>
          <w:szCs w:val="24"/>
          <w:vertAlign w:val="superscript"/>
        </w:rPr>
        <w:footnoteReference w:id="127"/>
      </w:r>
      <w:r w:rsidR="005F5AE1" w:rsidRPr="00925262">
        <w:rPr>
          <w:rFonts w:eastAsia="Calibri" w:cs="Times New Roman"/>
          <w:szCs w:val="24"/>
        </w:rPr>
        <w:t xml:space="preserve"> and the </w:t>
      </w:r>
      <w:r w:rsidR="00844E0A">
        <w:rPr>
          <w:rFonts w:eastAsia="Calibri" w:cs="Times New Roman"/>
          <w:szCs w:val="24"/>
        </w:rPr>
        <w:t xml:space="preserve">International Law </w:t>
      </w:r>
      <w:r w:rsidR="0012225C">
        <w:rPr>
          <w:rFonts w:eastAsia="Calibri" w:cs="Times New Roman"/>
          <w:szCs w:val="24"/>
        </w:rPr>
        <w:t>Commission’s</w:t>
      </w:r>
      <w:r w:rsidR="005F5AE1" w:rsidRPr="00925262">
        <w:rPr>
          <w:rFonts w:eastAsia="Calibri" w:cs="Times New Roman"/>
          <w:szCs w:val="24"/>
        </w:rPr>
        <w:t xml:space="preserve"> </w:t>
      </w:r>
      <w:r w:rsidR="00844E0A">
        <w:rPr>
          <w:rFonts w:eastAsia="Calibri" w:cs="Times New Roman"/>
          <w:szCs w:val="24"/>
        </w:rPr>
        <w:t xml:space="preserve">2016 </w:t>
      </w:r>
      <w:r>
        <w:rPr>
          <w:rFonts w:eastAsia="Calibri" w:cs="Times New Roman"/>
          <w:szCs w:val="24"/>
        </w:rPr>
        <w:t>d</w:t>
      </w:r>
      <w:r w:rsidR="005F5AE1" w:rsidRPr="00925262">
        <w:rPr>
          <w:rFonts w:eastAsia="Calibri" w:cs="Times New Roman"/>
          <w:szCs w:val="24"/>
        </w:rPr>
        <w:t xml:space="preserve">raft </w:t>
      </w:r>
      <w:r>
        <w:rPr>
          <w:rFonts w:eastAsia="Calibri" w:cs="Times New Roman"/>
          <w:szCs w:val="24"/>
        </w:rPr>
        <w:t>c</w:t>
      </w:r>
      <w:r w:rsidR="005F5AE1" w:rsidRPr="00925262">
        <w:rPr>
          <w:rFonts w:eastAsia="Calibri" w:cs="Times New Roman"/>
          <w:szCs w:val="24"/>
        </w:rPr>
        <w:t xml:space="preserve">onclusions on </w:t>
      </w:r>
      <w:r w:rsidR="005F5AE1" w:rsidRPr="00050D12">
        <w:rPr>
          <w:rFonts w:eastAsia="Calibri" w:cs="Times New Roman"/>
          <w:i/>
          <w:szCs w:val="24"/>
        </w:rPr>
        <w:lastRenderedPageBreak/>
        <w:t xml:space="preserve">Identification of </w:t>
      </w:r>
      <w:r w:rsidR="00844E0A" w:rsidRPr="00050D12">
        <w:rPr>
          <w:rFonts w:eastAsia="Calibri" w:cs="Times New Roman"/>
          <w:i/>
          <w:szCs w:val="24"/>
        </w:rPr>
        <w:t>c</w:t>
      </w:r>
      <w:r w:rsidR="005F5AE1" w:rsidRPr="00050D12">
        <w:rPr>
          <w:rFonts w:eastAsia="Calibri" w:cs="Times New Roman"/>
          <w:i/>
          <w:szCs w:val="24"/>
        </w:rPr>
        <w:t xml:space="preserve">ustomary </w:t>
      </w:r>
      <w:r w:rsidR="00844E0A" w:rsidRPr="00050D12">
        <w:rPr>
          <w:rFonts w:eastAsia="Calibri" w:cs="Times New Roman"/>
          <w:i/>
          <w:szCs w:val="24"/>
        </w:rPr>
        <w:t>i</w:t>
      </w:r>
      <w:r w:rsidR="005F5AE1" w:rsidRPr="00050D12">
        <w:rPr>
          <w:rFonts w:eastAsia="Calibri" w:cs="Times New Roman"/>
          <w:i/>
          <w:szCs w:val="24"/>
        </w:rPr>
        <w:t xml:space="preserve">nternational </w:t>
      </w:r>
      <w:r w:rsidR="00844E0A" w:rsidRPr="00050D12">
        <w:rPr>
          <w:rFonts w:eastAsia="Calibri" w:cs="Times New Roman"/>
          <w:i/>
          <w:szCs w:val="24"/>
        </w:rPr>
        <w:t>l</w:t>
      </w:r>
      <w:r w:rsidR="005F5AE1" w:rsidRPr="00050D12">
        <w:rPr>
          <w:rFonts w:eastAsia="Calibri" w:cs="Times New Roman"/>
          <w:i/>
          <w:szCs w:val="24"/>
        </w:rPr>
        <w:t>aw</w:t>
      </w:r>
      <w:r w:rsidR="005F5AE1" w:rsidRPr="00925262">
        <w:rPr>
          <w:rFonts w:eastAsia="Calibri" w:cs="Times New Roman"/>
          <w:szCs w:val="24"/>
        </w:rPr>
        <w:t>.</w:t>
      </w:r>
      <w:r w:rsidR="005F5AE1" w:rsidRPr="00925262">
        <w:rPr>
          <w:rFonts w:eastAsia="Calibri" w:cs="Times New Roman"/>
          <w:szCs w:val="24"/>
          <w:vertAlign w:val="superscript"/>
        </w:rPr>
        <w:footnoteReference w:id="128"/>
      </w:r>
      <w:r w:rsidR="005F5AE1" w:rsidRPr="00925262">
        <w:rPr>
          <w:rFonts w:eastAsia="Calibri" w:cs="Times New Roman"/>
          <w:szCs w:val="24"/>
        </w:rPr>
        <w:t xml:space="preserve"> The</w:t>
      </w:r>
      <w:r w:rsidR="00114B5B">
        <w:rPr>
          <w:rFonts w:eastAsia="Calibri" w:cs="Times New Roman"/>
          <w:szCs w:val="24"/>
        </w:rPr>
        <w:t>y</w:t>
      </w:r>
      <w:r w:rsidR="005F5AE1" w:rsidRPr="00925262">
        <w:rPr>
          <w:rFonts w:eastAsia="Calibri" w:cs="Times New Roman"/>
          <w:szCs w:val="24"/>
        </w:rPr>
        <w:t xml:space="preserve"> then examined </w:t>
      </w:r>
      <w:r w:rsidR="008F7045">
        <w:rPr>
          <w:rFonts w:eastAsia="Calibri" w:cs="Times New Roman"/>
          <w:szCs w:val="24"/>
        </w:rPr>
        <w:t>State</w:t>
      </w:r>
      <w:r w:rsidR="005F5AE1" w:rsidRPr="00925262">
        <w:rPr>
          <w:rFonts w:eastAsia="Calibri" w:cs="Times New Roman"/>
          <w:szCs w:val="24"/>
        </w:rPr>
        <w:t xml:space="preserve"> practice in relation to relevant treaties;</w:t>
      </w:r>
      <w:r w:rsidR="005F5AE1" w:rsidRPr="00925262">
        <w:rPr>
          <w:rFonts w:eastAsia="Calibri" w:cs="Times New Roman"/>
          <w:szCs w:val="24"/>
          <w:vertAlign w:val="superscript"/>
        </w:rPr>
        <w:footnoteReference w:id="129"/>
      </w:r>
      <w:r w:rsidR="005F5AE1" w:rsidRPr="00925262">
        <w:rPr>
          <w:rFonts w:eastAsia="Calibri" w:cs="Times New Roman"/>
          <w:szCs w:val="24"/>
        </w:rPr>
        <w:t xml:space="preserve"> the work of the International Law Commission on special missions between 1960 and 1967 (in particular the fourth report of Special Rapporteur Bartoš); </w:t>
      </w:r>
      <w:r w:rsidR="0012225C">
        <w:rPr>
          <w:rFonts w:eastAsia="Calibri" w:cs="Times New Roman"/>
          <w:szCs w:val="24"/>
        </w:rPr>
        <w:t>the</w:t>
      </w:r>
      <w:r w:rsidR="005F5AE1" w:rsidRPr="00925262">
        <w:rPr>
          <w:rFonts w:eastAsia="Calibri" w:cs="Times New Roman"/>
          <w:szCs w:val="24"/>
        </w:rPr>
        <w:t xml:space="preserve"> negotiations in the Sixth Committee on the Convention on Special Missions in 1968 and 1969; and decisions of international courts and tribunals, particularly </w:t>
      </w:r>
      <w:r w:rsidR="005F5AE1" w:rsidRPr="00925262">
        <w:rPr>
          <w:rFonts w:eastAsia="Calibri" w:cs="Times New Roman"/>
          <w:i/>
          <w:szCs w:val="24"/>
        </w:rPr>
        <w:t xml:space="preserve">Arrest Warrant, </w:t>
      </w:r>
      <w:r w:rsidR="005F5AE1" w:rsidRPr="00925262">
        <w:rPr>
          <w:rFonts w:eastAsia="Calibri" w:cs="Times New Roman"/>
          <w:szCs w:val="24"/>
        </w:rPr>
        <w:t>and</w:t>
      </w:r>
      <w:r w:rsidR="005F5AE1" w:rsidRPr="00925262">
        <w:rPr>
          <w:rFonts w:eastAsia="Calibri" w:cs="Times New Roman"/>
          <w:i/>
          <w:szCs w:val="24"/>
        </w:rPr>
        <w:t xml:space="preserve"> Djibouti v France</w:t>
      </w:r>
      <w:r w:rsidR="004575A2">
        <w:rPr>
          <w:rFonts w:eastAsia="Calibri" w:cs="Times New Roman"/>
          <w:szCs w:val="24"/>
        </w:rPr>
        <w:t xml:space="preserve"> in the ICJ</w:t>
      </w:r>
      <w:r w:rsidR="005F5AE1" w:rsidRPr="00925262">
        <w:rPr>
          <w:rFonts w:eastAsia="Calibri" w:cs="Times New Roman"/>
          <w:szCs w:val="24"/>
        </w:rPr>
        <w:t>.</w:t>
      </w:r>
      <w:r w:rsidR="005F5AE1" w:rsidRPr="00925262">
        <w:rPr>
          <w:rFonts w:eastAsia="Calibri" w:cs="Times New Roman"/>
          <w:szCs w:val="24"/>
          <w:vertAlign w:val="superscript"/>
        </w:rPr>
        <w:footnoteReference w:id="130"/>
      </w:r>
      <w:r w:rsidR="005F5AE1" w:rsidRPr="00925262">
        <w:rPr>
          <w:rFonts w:eastAsia="Calibri" w:cs="Times New Roman"/>
          <w:szCs w:val="24"/>
        </w:rPr>
        <w:t xml:space="preserve"> </w:t>
      </w:r>
      <w:r w:rsidR="004575A2">
        <w:rPr>
          <w:rFonts w:eastAsia="Calibri" w:cs="Times New Roman"/>
          <w:szCs w:val="24"/>
        </w:rPr>
        <w:t>T</w:t>
      </w:r>
      <w:r w:rsidR="005F5AE1" w:rsidRPr="00925262">
        <w:rPr>
          <w:rFonts w:eastAsia="Calibri" w:cs="Times New Roman"/>
          <w:szCs w:val="24"/>
        </w:rPr>
        <w:t>he judgment contain</w:t>
      </w:r>
      <w:r w:rsidR="00114B5B">
        <w:rPr>
          <w:rFonts w:eastAsia="Calibri" w:cs="Times New Roman"/>
          <w:szCs w:val="24"/>
        </w:rPr>
        <w:t>s</w:t>
      </w:r>
      <w:r w:rsidR="005F5AE1" w:rsidRPr="00925262">
        <w:rPr>
          <w:rFonts w:eastAsia="Calibri" w:cs="Times New Roman"/>
          <w:szCs w:val="24"/>
        </w:rPr>
        <w:t xml:space="preserve"> a detailed analysis of UK and other </w:t>
      </w:r>
      <w:r w:rsidR="008F7045">
        <w:rPr>
          <w:rFonts w:eastAsia="Calibri" w:cs="Times New Roman"/>
          <w:szCs w:val="24"/>
        </w:rPr>
        <w:t>State</w:t>
      </w:r>
      <w:r w:rsidR="005F5AE1" w:rsidRPr="00925262">
        <w:rPr>
          <w:rFonts w:eastAsia="Calibri" w:cs="Times New Roman"/>
          <w:szCs w:val="24"/>
        </w:rPr>
        <w:t xml:space="preserve"> practice, including judicial decisions and executive statements from Austria, Belgium, Finland, France, Germany, the Netherlands and the United States. For the UK’s part, the judges noted that the FCO’s skeleton argument in </w:t>
      </w:r>
      <w:r w:rsidR="005F5AE1" w:rsidRPr="00925262">
        <w:rPr>
          <w:rFonts w:eastAsia="Calibri" w:cs="Times New Roman"/>
          <w:i/>
          <w:szCs w:val="24"/>
        </w:rPr>
        <w:t xml:space="preserve">Khurts Bat </w:t>
      </w:r>
      <w:r w:rsidR="00221DC1">
        <w:rPr>
          <w:rFonts w:eastAsia="Calibri" w:cs="Times New Roman"/>
          <w:szCs w:val="24"/>
        </w:rPr>
        <w:t>‘</w:t>
      </w:r>
      <w:r w:rsidR="005F5AE1" w:rsidRPr="00925262">
        <w:rPr>
          <w:rFonts w:eastAsia="Calibri" w:cs="Times New Roman"/>
          <w:szCs w:val="24"/>
        </w:rPr>
        <w:t>provides a detailed statement of the position of the executive on the issue supported by extensive reference to State practice</w:t>
      </w:r>
      <w:r w:rsidR="00221DC1">
        <w:rPr>
          <w:rFonts w:eastAsia="Calibri" w:cs="Times New Roman"/>
          <w:szCs w:val="24"/>
        </w:rPr>
        <w:t>’</w:t>
      </w:r>
      <w:r w:rsidR="005F5AE1" w:rsidRPr="00925262">
        <w:rPr>
          <w:rFonts w:eastAsia="Calibri" w:cs="Times New Roman"/>
          <w:szCs w:val="24"/>
        </w:rPr>
        <w:t>.</w:t>
      </w:r>
      <w:r w:rsidR="005F5AE1" w:rsidRPr="00925262">
        <w:rPr>
          <w:rFonts w:eastAsia="Calibri" w:cs="Times New Roman"/>
          <w:szCs w:val="24"/>
          <w:vertAlign w:val="superscript"/>
        </w:rPr>
        <w:footnoteReference w:id="131"/>
      </w:r>
      <w:r w:rsidR="005F5AE1" w:rsidRPr="00925262">
        <w:rPr>
          <w:rFonts w:eastAsia="Calibri" w:cs="Times New Roman"/>
          <w:szCs w:val="24"/>
        </w:rPr>
        <w:t xml:space="preserve"> They also looked in some detail at the responses by States to the CAHDI questionnaire</w:t>
      </w:r>
      <w:r w:rsidR="0012225C">
        <w:rPr>
          <w:rFonts w:eastAsia="Calibri" w:cs="Times New Roman"/>
          <w:szCs w:val="24"/>
        </w:rPr>
        <w:t>, relied upon by the claimants</w:t>
      </w:r>
      <w:r w:rsidR="00844E0A">
        <w:rPr>
          <w:rFonts w:eastAsia="Calibri" w:cs="Times New Roman"/>
          <w:szCs w:val="24"/>
        </w:rPr>
        <w:t xml:space="preserve"> (even though they do not seem to have been officially published)</w:t>
      </w:r>
      <w:r w:rsidR="005F5AE1" w:rsidRPr="00925262">
        <w:rPr>
          <w:rFonts w:eastAsia="Calibri" w:cs="Times New Roman"/>
          <w:szCs w:val="24"/>
        </w:rPr>
        <w:t xml:space="preserve">; of particular relevance were the </w:t>
      </w:r>
      <w:r w:rsidR="0012225C">
        <w:rPr>
          <w:rFonts w:eastAsia="Calibri" w:cs="Times New Roman"/>
          <w:szCs w:val="24"/>
        </w:rPr>
        <w:t>responses</w:t>
      </w:r>
      <w:r w:rsidR="005F5AE1" w:rsidRPr="00925262">
        <w:rPr>
          <w:rFonts w:eastAsia="Calibri" w:cs="Times New Roman"/>
          <w:szCs w:val="24"/>
        </w:rPr>
        <w:t xml:space="preserve"> to question 5, which read:</w:t>
      </w:r>
      <w:bookmarkEnd w:id="73"/>
      <w:r w:rsidR="005F5AE1" w:rsidRPr="00925262">
        <w:rPr>
          <w:rFonts w:eastAsia="Calibri" w:cs="Times New Roman"/>
          <w:szCs w:val="24"/>
        </w:rPr>
        <w:t xml:space="preserve"> </w:t>
      </w:r>
    </w:p>
    <w:p w14:paraId="75DA89E1" w14:textId="7442A254" w:rsidR="005F5AE1" w:rsidRPr="00925262" w:rsidRDefault="00221DC1" w:rsidP="000305B3">
      <w:pPr>
        <w:pStyle w:val="Quote"/>
      </w:pPr>
      <w:r>
        <w:t xml:space="preserve"> </w:t>
      </w:r>
      <w:r w:rsidR="0036581A">
        <w:t>[d]</w:t>
      </w:r>
      <w:r w:rsidR="005F5AE1" w:rsidRPr="00925262">
        <w:t>oes your State consider that certain obligations and/or definitions regarding immunity of special missions derive from customary international law? If so, please provide a brief description of the main requirements of customary international law in this respect.</w:t>
      </w:r>
      <w:r w:rsidR="005F5AE1" w:rsidRPr="00925262">
        <w:rPr>
          <w:vertAlign w:val="superscript"/>
        </w:rPr>
        <w:footnoteReference w:id="132"/>
      </w:r>
    </w:p>
    <w:p w14:paraId="3DC7D979" w14:textId="748B85D8" w:rsidR="000305B3" w:rsidRDefault="005F5AE1" w:rsidP="000305B3">
      <w:pPr>
        <w:widowControl w:val="0"/>
        <w:contextualSpacing/>
        <w:rPr>
          <w:rFonts w:eastAsia="Calibri" w:cs="Times New Roman"/>
          <w:szCs w:val="24"/>
        </w:rPr>
      </w:pPr>
      <w:r w:rsidRPr="00925262">
        <w:rPr>
          <w:rFonts w:eastAsia="Calibri" w:cs="Times New Roman"/>
          <w:szCs w:val="24"/>
        </w:rPr>
        <w:t xml:space="preserve">Finally, the judges noted that there </w:t>
      </w:r>
      <w:r w:rsidR="0012225C">
        <w:rPr>
          <w:rFonts w:eastAsia="Calibri" w:cs="Times New Roman"/>
          <w:szCs w:val="24"/>
        </w:rPr>
        <w:t>was</w:t>
      </w:r>
      <w:r w:rsidRPr="00925262">
        <w:rPr>
          <w:rFonts w:eastAsia="Calibri" w:cs="Times New Roman"/>
          <w:szCs w:val="24"/>
        </w:rPr>
        <w:t xml:space="preserve"> a considerable body of scholarly support for the view that, at the very least, the inviolability and immunity from criminal jurisdiction of the members of special mission </w:t>
      </w:r>
      <w:r w:rsidR="0012225C">
        <w:rPr>
          <w:rFonts w:eastAsia="Calibri" w:cs="Times New Roman"/>
          <w:szCs w:val="24"/>
        </w:rPr>
        <w:t>were</w:t>
      </w:r>
      <w:r w:rsidRPr="00925262">
        <w:rPr>
          <w:rFonts w:eastAsia="Calibri" w:cs="Times New Roman"/>
          <w:szCs w:val="24"/>
        </w:rPr>
        <w:t xml:space="preserve"> required by customary international law.</w:t>
      </w:r>
      <w:r w:rsidRPr="00925262">
        <w:rPr>
          <w:rFonts w:eastAsia="Calibri" w:cs="Times New Roman"/>
          <w:szCs w:val="24"/>
          <w:vertAlign w:val="superscript"/>
        </w:rPr>
        <w:footnoteReference w:id="133"/>
      </w:r>
      <w:r w:rsidRPr="00925262">
        <w:rPr>
          <w:rFonts w:eastAsia="Calibri" w:cs="Times New Roman"/>
          <w:szCs w:val="24"/>
        </w:rPr>
        <w:t xml:space="preserve"> In writings from the 1960s</w:t>
      </w:r>
      <w:r w:rsidRPr="00925262">
        <w:rPr>
          <w:rFonts w:eastAsia="Calibri" w:cs="Times New Roman"/>
          <w:szCs w:val="24"/>
        </w:rPr>
        <w:softHyphen/>
        <w:t xml:space="preserve">–80s, it was generally thought that a customary norm requiring such immunity </w:t>
      </w:r>
      <w:r w:rsidR="008142FC">
        <w:rPr>
          <w:rFonts w:eastAsia="Calibri" w:cs="Times New Roman"/>
          <w:szCs w:val="24"/>
        </w:rPr>
        <w:t>“</w:t>
      </w:r>
      <w:r w:rsidRPr="00925262">
        <w:rPr>
          <w:rFonts w:eastAsia="Calibri" w:cs="Times New Roman"/>
          <w:szCs w:val="24"/>
        </w:rPr>
        <w:t>may emerge</w:t>
      </w:r>
      <w:r w:rsidR="008142FC">
        <w:rPr>
          <w:rFonts w:eastAsia="Calibri" w:cs="Times New Roman"/>
          <w:szCs w:val="24"/>
        </w:rPr>
        <w:t>”</w:t>
      </w:r>
      <w:r w:rsidRPr="00925262">
        <w:rPr>
          <w:rFonts w:eastAsia="Calibri" w:cs="Times New Roman"/>
          <w:szCs w:val="24"/>
        </w:rPr>
        <w:t>,</w:t>
      </w:r>
      <w:r w:rsidRPr="00925262">
        <w:rPr>
          <w:rFonts w:eastAsia="Calibri" w:cs="Times New Roman"/>
          <w:szCs w:val="24"/>
          <w:vertAlign w:val="superscript"/>
        </w:rPr>
        <w:footnoteReference w:id="134"/>
      </w:r>
      <w:r w:rsidRPr="00925262">
        <w:rPr>
          <w:rFonts w:eastAsia="Calibri" w:cs="Times New Roman"/>
          <w:szCs w:val="24"/>
        </w:rPr>
        <w:t xml:space="preserve"> but at that time, the Convention was not thought to have acquired the status of customary </w:t>
      </w:r>
      <w:r w:rsidR="005961DB">
        <w:rPr>
          <w:rFonts w:eastAsia="Calibri" w:cs="Times New Roman"/>
          <w:szCs w:val="24"/>
        </w:rPr>
        <w:t xml:space="preserve">international </w:t>
      </w:r>
      <w:r w:rsidRPr="00925262">
        <w:rPr>
          <w:rFonts w:eastAsia="Calibri" w:cs="Times New Roman"/>
          <w:szCs w:val="24"/>
        </w:rPr>
        <w:t xml:space="preserve">law and the recognition of special missions had </w:t>
      </w:r>
      <w:r w:rsidR="008142FC">
        <w:rPr>
          <w:rFonts w:eastAsia="Calibri" w:cs="Times New Roman"/>
          <w:szCs w:val="24"/>
        </w:rPr>
        <w:t>“</w:t>
      </w:r>
      <w:r w:rsidRPr="00925262">
        <w:rPr>
          <w:rFonts w:eastAsia="Calibri" w:cs="Times New Roman"/>
          <w:szCs w:val="24"/>
        </w:rPr>
        <w:t>not been accompanied by the development of clear and comprehensive rules of customary international law concerning their privileges and immunities.</w:t>
      </w:r>
      <w:r w:rsidR="008142FC">
        <w:rPr>
          <w:rFonts w:eastAsia="Calibri" w:cs="Times New Roman"/>
          <w:szCs w:val="24"/>
        </w:rPr>
        <w:t>”</w:t>
      </w:r>
      <w:r w:rsidRPr="00925262">
        <w:rPr>
          <w:rFonts w:eastAsia="Calibri" w:cs="Times New Roman"/>
          <w:szCs w:val="24"/>
          <w:vertAlign w:val="superscript"/>
        </w:rPr>
        <w:footnoteReference w:id="135"/>
      </w:r>
      <w:r w:rsidRPr="00925262">
        <w:rPr>
          <w:rFonts w:eastAsia="Calibri" w:cs="Times New Roman"/>
          <w:szCs w:val="24"/>
        </w:rPr>
        <w:t xml:space="preserve"> However, by the mid-1990s</w:t>
      </w:r>
    </w:p>
    <w:p w14:paraId="406E3BAC" w14:textId="17C2B33F" w:rsidR="005F5AE1" w:rsidRPr="00925262" w:rsidRDefault="005F5AE1" w:rsidP="000305B3">
      <w:pPr>
        <w:pStyle w:val="Quote"/>
      </w:pPr>
      <w:r w:rsidRPr="00925262">
        <w:t xml:space="preserve">the preponderance of the modern views of jurists strongly supports the existence of rules of customary international law on special missions which, at the least, require receiving States to </w:t>
      </w:r>
      <w:r w:rsidRPr="00925262">
        <w:lastRenderedPageBreak/>
        <w:t>secure the inviolability and immunity from criminal jurisdiction of members of the mission during its currency as essential to permit the effect</w:t>
      </w:r>
      <w:r w:rsidR="000305B3">
        <w:t>ive functioning of the mission.</w:t>
      </w:r>
      <w:r w:rsidRPr="00925262">
        <w:rPr>
          <w:vertAlign w:val="superscript"/>
        </w:rPr>
        <w:footnoteReference w:id="136"/>
      </w:r>
    </w:p>
    <w:p w14:paraId="7B063E61" w14:textId="3993FE0F" w:rsidR="00221DC1" w:rsidRDefault="005961DB" w:rsidP="00E12BEA">
      <w:pPr>
        <w:widowControl w:val="0"/>
        <w:contextualSpacing/>
        <w:rPr>
          <w:rFonts w:eastAsia="Calibri" w:cs="Times New Roman"/>
          <w:szCs w:val="24"/>
        </w:rPr>
      </w:pPr>
      <w:r>
        <w:rPr>
          <w:rFonts w:eastAsia="Calibri" w:cs="Times New Roman"/>
          <w:szCs w:val="24"/>
        </w:rPr>
        <w:t>T</w:t>
      </w:r>
      <w:r w:rsidR="005F5AE1" w:rsidRPr="00925262">
        <w:rPr>
          <w:rFonts w:eastAsia="Calibri" w:cs="Times New Roman"/>
          <w:szCs w:val="24"/>
        </w:rPr>
        <w:t xml:space="preserve">he above-mentioned practice and scholarly </w:t>
      </w:r>
      <w:r w:rsidR="00A70C09">
        <w:rPr>
          <w:rFonts w:eastAsia="Calibri" w:cs="Times New Roman"/>
          <w:szCs w:val="24"/>
        </w:rPr>
        <w:t>writings</w:t>
      </w:r>
      <w:r w:rsidR="005F5AE1" w:rsidRPr="00925262">
        <w:rPr>
          <w:rFonts w:eastAsia="Calibri" w:cs="Times New Roman"/>
          <w:szCs w:val="24"/>
        </w:rPr>
        <w:t xml:space="preserve"> led Lloyd Jones LJ and Jay J to conclude that customary international law obliges a receiving State to secure the inviolability and immunity from criminal jurisdiction members of special mission</w:t>
      </w:r>
      <w:r w:rsidR="006A3BF6">
        <w:rPr>
          <w:rFonts w:eastAsia="Calibri" w:cs="Times New Roman"/>
          <w:szCs w:val="24"/>
        </w:rPr>
        <w:t>s</w:t>
      </w:r>
      <w:r w:rsidR="005F5AE1" w:rsidRPr="00925262">
        <w:rPr>
          <w:rFonts w:eastAsia="Calibri" w:cs="Times New Roman"/>
          <w:szCs w:val="24"/>
        </w:rPr>
        <w:t xml:space="preserve"> accepted as such.</w:t>
      </w:r>
      <w:r w:rsidR="005F5AE1" w:rsidRPr="00925262">
        <w:rPr>
          <w:rFonts w:eastAsia="Calibri" w:cs="Times New Roman"/>
          <w:szCs w:val="24"/>
          <w:vertAlign w:val="superscript"/>
        </w:rPr>
        <w:footnoteReference w:id="137"/>
      </w:r>
    </w:p>
    <w:p w14:paraId="4540C1BC" w14:textId="0428267F" w:rsidR="00E12BEA" w:rsidRDefault="00E11C68" w:rsidP="00221DC1">
      <w:pPr>
        <w:pStyle w:val="Heading4"/>
        <w:rPr>
          <w:rFonts w:eastAsia="Calibri"/>
        </w:rPr>
      </w:pPr>
      <w:r>
        <w:rPr>
          <w:rFonts w:eastAsia="Calibri"/>
        </w:rPr>
        <w:t>United States of America</w:t>
      </w:r>
    </w:p>
    <w:p w14:paraId="1A03A098" w14:textId="2ED15EDE" w:rsidR="00534AB7" w:rsidRPr="00925262" w:rsidRDefault="00E12BEA" w:rsidP="00221DC1">
      <w:pPr>
        <w:widowControl w:val="0"/>
        <w:rPr>
          <w:rFonts w:eastAsia="Calibri" w:cs="Times New Roman"/>
          <w:szCs w:val="24"/>
        </w:rPr>
      </w:pPr>
      <w:r>
        <w:rPr>
          <w:rFonts w:eastAsia="Calibri" w:cs="Times New Roman"/>
          <w:szCs w:val="24"/>
        </w:rPr>
        <w:t xml:space="preserve">The </w:t>
      </w:r>
      <w:r w:rsidR="00114B5B">
        <w:rPr>
          <w:rFonts w:eastAsia="Calibri" w:cs="Times New Roman"/>
          <w:szCs w:val="24"/>
        </w:rPr>
        <w:t>practice</w:t>
      </w:r>
      <w:r w:rsidR="00531235" w:rsidRPr="00925262">
        <w:rPr>
          <w:rFonts w:eastAsia="Calibri" w:cs="Times New Roman"/>
          <w:szCs w:val="24"/>
        </w:rPr>
        <w:t xml:space="preserve"> of the US Government </w:t>
      </w:r>
      <w:r w:rsidR="00114B5B">
        <w:rPr>
          <w:rFonts w:eastAsia="Calibri" w:cs="Times New Roman"/>
          <w:szCs w:val="24"/>
        </w:rPr>
        <w:t xml:space="preserve">also </w:t>
      </w:r>
      <w:r w:rsidR="005961DB">
        <w:rPr>
          <w:rFonts w:eastAsia="Calibri" w:cs="Times New Roman"/>
          <w:szCs w:val="24"/>
        </w:rPr>
        <w:t>support</w:t>
      </w:r>
      <w:r w:rsidR="007D22B9">
        <w:rPr>
          <w:rFonts w:eastAsia="Calibri" w:cs="Times New Roman"/>
          <w:szCs w:val="24"/>
        </w:rPr>
        <w:t>s</w:t>
      </w:r>
      <w:r w:rsidR="005961DB">
        <w:rPr>
          <w:rFonts w:eastAsia="Calibri" w:cs="Times New Roman"/>
          <w:szCs w:val="24"/>
        </w:rPr>
        <w:t xml:space="preserve"> the view that </w:t>
      </w:r>
      <w:r w:rsidR="0036546D">
        <w:rPr>
          <w:rFonts w:eastAsia="Calibri" w:cs="Times New Roman"/>
          <w:szCs w:val="24"/>
        </w:rPr>
        <w:t>customary</w:t>
      </w:r>
      <w:r w:rsidR="005961DB">
        <w:rPr>
          <w:rFonts w:eastAsia="Calibri" w:cs="Times New Roman"/>
          <w:szCs w:val="24"/>
        </w:rPr>
        <w:t xml:space="preserve"> </w:t>
      </w:r>
      <w:r w:rsidR="0036546D">
        <w:rPr>
          <w:rFonts w:eastAsia="Calibri" w:cs="Times New Roman"/>
          <w:szCs w:val="24"/>
        </w:rPr>
        <w:t>international law</w:t>
      </w:r>
      <w:r w:rsidR="005961DB">
        <w:rPr>
          <w:rFonts w:eastAsia="Calibri" w:cs="Times New Roman"/>
          <w:szCs w:val="24"/>
        </w:rPr>
        <w:t xml:space="preserve"> </w:t>
      </w:r>
      <w:r w:rsidR="00B979F2">
        <w:rPr>
          <w:rFonts w:eastAsia="Calibri" w:cs="Times New Roman"/>
          <w:szCs w:val="24"/>
        </w:rPr>
        <w:t>require</w:t>
      </w:r>
      <w:r w:rsidR="00114B5B">
        <w:rPr>
          <w:rFonts w:eastAsia="Calibri" w:cs="Times New Roman"/>
          <w:szCs w:val="24"/>
        </w:rPr>
        <w:t>s</w:t>
      </w:r>
      <w:r w:rsidR="005961DB">
        <w:rPr>
          <w:rFonts w:eastAsia="Calibri" w:cs="Times New Roman"/>
          <w:szCs w:val="24"/>
        </w:rPr>
        <w:t xml:space="preserve"> inviolability and immunity</w:t>
      </w:r>
      <w:r w:rsidR="00114B5B">
        <w:rPr>
          <w:rFonts w:eastAsia="Calibri" w:cs="Times New Roman"/>
          <w:szCs w:val="24"/>
        </w:rPr>
        <w:t xml:space="preserve"> from criminal jurisdiction</w:t>
      </w:r>
      <w:r w:rsidR="00531235" w:rsidRPr="00925262">
        <w:rPr>
          <w:rFonts w:eastAsia="Calibri" w:cs="Times New Roman"/>
          <w:szCs w:val="24"/>
        </w:rPr>
        <w:t>.</w:t>
      </w:r>
      <w:r w:rsidR="005E2557">
        <w:rPr>
          <w:rStyle w:val="FootnoteReference"/>
          <w:rFonts w:eastAsia="Calibri" w:cs="Times New Roman"/>
          <w:szCs w:val="24"/>
        </w:rPr>
        <w:footnoteReference w:id="138"/>
      </w:r>
      <w:r w:rsidR="00531235" w:rsidRPr="00925262">
        <w:rPr>
          <w:rFonts w:eastAsia="Calibri" w:cs="Times New Roman"/>
          <w:szCs w:val="24"/>
        </w:rPr>
        <w:t xml:space="preserve"> </w:t>
      </w:r>
      <w:r w:rsidR="005961DB">
        <w:rPr>
          <w:rFonts w:eastAsia="Calibri" w:cs="Times New Roman"/>
          <w:szCs w:val="24"/>
        </w:rPr>
        <w:t>In particular</w:t>
      </w:r>
      <w:r w:rsidR="00531235" w:rsidRPr="00925262">
        <w:rPr>
          <w:rFonts w:eastAsia="Calibri" w:cs="Times New Roman"/>
          <w:szCs w:val="24"/>
        </w:rPr>
        <w:t>, the US Department of State has filed suggestions of immunity for ministerial-level officials visiting the US on a special diplomatic mission in various cases before federal courts.</w:t>
      </w:r>
      <w:bookmarkStart w:id="74" w:name="_Ref488048423"/>
      <w:r w:rsidR="00B979F2">
        <w:rPr>
          <w:rFonts w:eastAsia="Calibri" w:cs="Times New Roman"/>
          <w:szCs w:val="24"/>
        </w:rPr>
        <w:t xml:space="preserve"> </w:t>
      </w:r>
      <w:r w:rsidR="00B979F2" w:rsidRPr="00B979F2">
        <w:rPr>
          <w:rFonts w:eastAsia="Calibri" w:cs="Times New Roman"/>
          <w:szCs w:val="24"/>
        </w:rPr>
        <w:t xml:space="preserve">For example, in </w:t>
      </w:r>
      <w:r w:rsidR="00B979F2" w:rsidRPr="006C73EB">
        <w:rPr>
          <w:rFonts w:eastAsia="Calibri" w:cs="Times New Roman"/>
          <w:i/>
          <w:szCs w:val="24"/>
        </w:rPr>
        <w:t>Li Weixum v Bo Xilai</w:t>
      </w:r>
      <w:r w:rsidR="00B979F2" w:rsidRPr="00B979F2">
        <w:rPr>
          <w:rFonts w:eastAsia="Calibri" w:cs="Times New Roman"/>
          <w:szCs w:val="24"/>
        </w:rPr>
        <w:t xml:space="preserve">, the </w:t>
      </w:r>
      <w:r w:rsidR="00B979F2">
        <w:rPr>
          <w:rFonts w:eastAsia="Calibri" w:cs="Times New Roman"/>
          <w:szCs w:val="24"/>
        </w:rPr>
        <w:t>State Department s</w:t>
      </w:r>
      <w:r w:rsidR="00B979F2" w:rsidRPr="00B979F2">
        <w:rPr>
          <w:rFonts w:eastAsia="Calibri" w:cs="Times New Roman"/>
          <w:szCs w:val="24"/>
        </w:rPr>
        <w:t xml:space="preserve">aid </w:t>
      </w:r>
      <w:r w:rsidR="00221DC1">
        <w:rPr>
          <w:rFonts w:eastAsia="Calibri" w:cs="Times New Roman"/>
          <w:szCs w:val="24"/>
        </w:rPr>
        <w:t>‘</w:t>
      </w:r>
      <w:r w:rsidR="00B979F2" w:rsidRPr="00B979F2">
        <w:rPr>
          <w:rFonts w:eastAsia="Calibri" w:cs="Times New Roman"/>
          <w:szCs w:val="24"/>
        </w:rPr>
        <w:t>[n]ot only is the United States asserting such [special mission] immunity as customary international law in this case, but it has made similar assertions in other cases notwithstanding the fact that the United States has not joined the Special Missions Convention</w:t>
      </w:r>
      <w:r w:rsidR="00221DC1">
        <w:rPr>
          <w:rFonts w:eastAsia="Calibri" w:cs="Times New Roman"/>
          <w:szCs w:val="24"/>
        </w:rPr>
        <w:t>’</w:t>
      </w:r>
      <w:r w:rsidR="00B979F2">
        <w:rPr>
          <w:rFonts w:eastAsia="Calibri" w:cs="Times New Roman"/>
          <w:szCs w:val="24"/>
        </w:rPr>
        <w:t>.</w:t>
      </w:r>
      <w:r w:rsidR="00531235" w:rsidRPr="00925262">
        <w:rPr>
          <w:rFonts w:cs="Times New Roman"/>
          <w:szCs w:val="24"/>
          <w:vertAlign w:val="superscript"/>
        </w:rPr>
        <w:footnoteReference w:id="139"/>
      </w:r>
      <w:bookmarkEnd w:id="74"/>
      <w:r w:rsidR="00531235" w:rsidRPr="00925262">
        <w:rPr>
          <w:rFonts w:eastAsia="Calibri" w:cs="Times New Roman"/>
          <w:szCs w:val="24"/>
        </w:rPr>
        <w:t xml:space="preserve"> </w:t>
      </w:r>
    </w:p>
    <w:p w14:paraId="33355DB8" w14:textId="2DEB6DD2" w:rsidR="00E65655" w:rsidRPr="00A70C09" w:rsidRDefault="00E11C68" w:rsidP="00221DC1">
      <w:pPr>
        <w:pStyle w:val="Heading4"/>
        <w:rPr>
          <w:rFonts w:eastAsia="Calibri"/>
        </w:rPr>
      </w:pPr>
      <w:r>
        <w:rPr>
          <w:rFonts w:eastAsia="Calibri"/>
        </w:rPr>
        <w:lastRenderedPageBreak/>
        <w:t>Other</w:t>
      </w:r>
      <w:r w:rsidR="00A106B5">
        <w:rPr>
          <w:rFonts w:eastAsia="Calibri"/>
        </w:rPr>
        <w:t xml:space="preserve"> Statements</w:t>
      </w:r>
    </w:p>
    <w:p w14:paraId="7F7EB222" w14:textId="015628A5" w:rsidR="00A6776D" w:rsidRDefault="009B6F2C" w:rsidP="004C6F9E">
      <w:pPr>
        <w:widowControl w:val="0"/>
        <w:rPr>
          <w:rFonts w:eastAsia="Calibri" w:cs="Times New Roman"/>
          <w:szCs w:val="24"/>
        </w:rPr>
      </w:pPr>
      <w:r>
        <w:rPr>
          <w:rFonts w:eastAsia="Calibri" w:cs="Times New Roman"/>
          <w:szCs w:val="24"/>
        </w:rPr>
        <w:t>S</w:t>
      </w:r>
      <w:r w:rsidR="005667FD">
        <w:rPr>
          <w:rFonts w:eastAsia="Calibri" w:cs="Times New Roman"/>
          <w:szCs w:val="24"/>
        </w:rPr>
        <w:t>ome States</w:t>
      </w:r>
      <w:r w:rsidR="00B47F14">
        <w:rPr>
          <w:rFonts w:eastAsia="Calibri" w:cs="Times New Roman"/>
          <w:szCs w:val="24"/>
        </w:rPr>
        <w:t xml:space="preserve"> </w:t>
      </w:r>
      <w:r w:rsidR="005667FD">
        <w:rPr>
          <w:rFonts w:eastAsia="Calibri" w:cs="Times New Roman"/>
          <w:szCs w:val="24"/>
        </w:rPr>
        <w:t xml:space="preserve">have indicated that they believe </w:t>
      </w:r>
      <w:r w:rsidR="005667FD" w:rsidRPr="00925262">
        <w:rPr>
          <w:rFonts w:eastAsia="Calibri" w:cs="Times New Roman"/>
          <w:szCs w:val="24"/>
        </w:rPr>
        <w:t xml:space="preserve">customary law </w:t>
      </w:r>
      <w:r w:rsidR="00B47F14" w:rsidRPr="006C0BB0">
        <w:rPr>
          <w:rFonts w:eastAsia="Calibri" w:cs="Times New Roman"/>
          <w:szCs w:val="24"/>
        </w:rPr>
        <w:t>may</w:t>
      </w:r>
      <w:r w:rsidR="00B47F14">
        <w:rPr>
          <w:rFonts w:eastAsia="Calibri" w:cs="Times New Roman"/>
          <w:szCs w:val="24"/>
        </w:rPr>
        <w:t xml:space="preserve"> </w:t>
      </w:r>
      <w:r w:rsidR="005667FD">
        <w:rPr>
          <w:rFonts w:eastAsia="Calibri" w:cs="Times New Roman"/>
          <w:szCs w:val="24"/>
        </w:rPr>
        <w:t>require</w:t>
      </w:r>
      <w:r w:rsidR="005667FD" w:rsidRPr="00925262">
        <w:rPr>
          <w:rFonts w:eastAsia="Calibri" w:cs="Times New Roman"/>
          <w:szCs w:val="24"/>
        </w:rPr>
        <w:t xml:space="preserve"> </w:t>
      </w:r>
      <w:r w:rsidR="005667FD">
        <w:rPr>
          <w:rFonts w:eastAsia="Calibri" w:cs="Times New Roman"/>
          <w:szCs w:val="24"/>
        </w:rPr>
        <w:t>special mission immunity</w:t>
      </w:r>
      <w:r w:rsidR="00B47F14">
        <w:rPr>
          <w:rFonts w:eastAsia="Calibri" w:cs="Times New Roman"/>
          <w:szCs w:val="24"/>
        </w:rPr>
        <w:t xml:space="preserve"> (e</w:t>
      </w:r>
      <w:r w:rsidR="00E67CFD">
        <w:rPr>
          <w:rFonts w:eastAsia="Calibri" w:cs="Times New Roman"/>
          <w:szCs w:val="24"/>
        </w:rPr>
        <w:t>.</w:t>
      </w:r>
      <w:r w:rsidR="00B47F14">
        <w:rPr>
          <w:rFonts w:eastAsia="Calibri" w:cs="Times New Roman"/>
          <w:szCs w:val="24"/>
        </w:rPr>
        <w:t>g</w:t>
      </w:r>
      <w:r w:rsidR="00E67CFD">
        <w:rPr>
          <w:rFonts w:eastAsia="Calibri" w:cs="Times New Roman"/>
          <w:szCs w:val="24"/>
        </w:rPr>
        <w:t>.,</w:t>
      </w:r>
      <w:r w:rsidR="00B47F14">
        <w:rPr>
          <w:rFonts w:eastAsia="Calibri" w:cs="Times New Roman"/>
          <w:szCs w:val="24"/>
        </w:rPr>
        <w:t xml:space="preserve"> </w:t>
      </w:r>
      <w:r w:rsidR="00B47F14" w:rsidRPr="00925262">
        <w:rPr>
          <w:rFonts w:eastAsia="Calibri" w:cs="Times New Roman"/>
          <w:szCs w:val="24"/>
        </w:rPr>
        <w:t>Ireland</w:t>
      </w:r>
      <w:r w:rsidR="00B47F14">
        <w:rPr>
          <w:rFonts w:eastAsia="Calibri" w:cs="Times New Roman"/>
          <w:szCs w:val="24"/>
        </w:rPr>
        <w:t>,</w:t>
      </w:r>
      <w:r w:rsidR="00B47F14" w:rsidRPr="00925262">
        <w:rPr>
          <w:rFonts w:eastAsia="Calibri" w:cs="Times New Roman"/>
          <w:szCs w:val="24"/>
          <w:vertAlign w:val="superscript"/>
        </w:rPr>
        <w:footnoteReference w:id="140"/>
      </w:r>
      <w:r w:rsidR="00B47F14">
        <w:rPr>
          <w:rFonts w:eastAsia="Calibri" w:cs="Times New Roman"/>
          <w:szCs w:val="24"/>
        </w:rPr>
        <w:t xml:space="preserve"> Malta</w:t>
      </w:r>
      <w:r w:rsidR="00B47F14">
        <w:rPr>
          <w:rStyle w:val="FootnoteReference"/>
          <w:rFonts w:eastAsia="Calibri" w:cs="Times New Roman"/>
          <w:szCs w:val="24"/>
        </w:rPr>
        <w:footnoteReference w:id="141"/>
      </w:r>
      <w:r w:rsidR="00B47F14">
        <w:rPr>
          <w:rFonts w:eastAsia="Calibri" w:cs="Times New Roman"/>
          <w:szCs w:val="24"/>
        </w:rPr>
        <w:t>)</w:t>
      </w:r>
      <w:r w:rsidR="000365AC">
        <w:rPr>
          <w:rFonts w:eastAsia="Calibri" w:cs="Times New Roman"/>
          <w:szCs w:val="24"/>
        </w:rPr>
        <w:t xml:space="preserve"> or that there might be an emerging rule that effect (e</w:t>
      </w:r>
      <w:r w:rsidR="00E67CFD">
        <w:rPr>
          <w:rFonts w:eastAsia="Calibri" w:cs="Times New Roman"/>
          <w:szCs w:val="24"/>
        </w:rPr>
        <w:t>.</w:t>
      </w:r>
      <w:r w:rsidR="000365AC">
        <w:rPr>
          <w:rFonts w:eastAsia="Calibri" w:cs="Times New Roman"/>
          <w:szCs w:val="24"/>
        </w:rPr>
        <w:t>g</w:t>
      </w:r>
      <w:r w:rsidR="00E67CFD">
        <w:rPr>
          <w:rFonts w:eastAsia="Calibri" w:cs="Times New Roman"/>
          <w:szCs w:val="24"/>
        </w:rPr>
        <w:t>.,</w:t>
      </w:r>
      <w:r w:rsidR="000365AC">
        <w:rPr>
          <w:rFonts w:eastAsia="Calibri" w:cs="Times New Roman"/>
          <w:szCs w:val="24"/>
        </w:rPr>
        <w:t xml:space="preserve"> </w:t>
      </w:r>
      <w:r w:rsidR="00E47C76" w:rsidRPr="00925262">
        <w:rPr>
          <w:rFonts w:eastAsia="Calibri" w:cs="Times New Roman"/>
          <w:szCs w:val="24"/>
        </w:rPr>
        <w:t>Norway</w:t>
      </w:r>
      <w:r w:rsidR="00E47C76">
        <w:rPr>
          <w:rFonts w:eastAsia="Calibri" w:cs="Times New Roman"/>
          <w:szCs w:val="24"/>
        </w:rPr>
        <w:t>,</w:t>
      </w:r>
      <w:r w:rsidR="00E47C76" w:rsidRPr="00925262">
        <w:rPr>
          <w:rFonts w:eastAsia="Calibri" w:cs="Times New Roman"/>
          <w:szCs w:val="24"/>
          <w:vertAlign w:val="superscript"/>
        </w:rPr>
        <w:footnoteReference w:id="142"/>
      </w:r>
      <w:r w:rsidR="00E47C76">
        <w:rPr>
          <w:rFonts w:eastAsia="Calibri" w:cs="Times New Roman"/>
          <w:szCs w:val="24"/>
        </w:rPr>
        <w:t xml:space="preserve"> </w:t>
      </w:r>
      <w:r w:rsidR="000365AC">
        <w:rPr>
          <w:rFonts w:eastAsia="Calibri" w:cs="Times New Roman"/>
          <w:szCs w:val="24"/>
        </w:rPr>
        <w:t>Mexico</w:t>
      </w:r>
      <w:r w:rsidR="00B47F14">
        <w:rPr>
          <w:rStyle w:val="FootnoteReference"/>
          <w:rFonts w:eastAsia="Calibri" w:cs="Times New Roman"/>
          <w:szCs w:val="24"/>
        </w:rPr>
        <w:footnoteReference w:id="143"/>
      </w:r>
      <w:r w:rsidR="000365AC">
        <w:rPr>
          <w:rFonts w:eastAsia="Calibri" w:cs="Times New Roman"/>
          <w:szCs w:val="24"/>
        </w:rPr>
        <w:t>)</w:t>
      </w:r>
      <w:r w:rsidR="005667FD" w:rsidRPr="00925262">
        <w:rPr>
          <w:rFonts w:eastAsia="Calibri" w:cs="Times New Roman"/>
          <w:szCs w:val="24"/>
        </w:rPr>
        <w:t xml:space="preserve">, but they have not taken a </w:t>
      </w:r>
      <w:r w:rsidR="00B47F14">
        <w:rPr>
          <w:rFonts w:eastAsia="Calibri" w:cs="Times New Roman"/>
          <w:szCs w:val="24"/>
        </w:rPr>
        <w:t xml:space="preserve">formal </w:t>
      </w:r>
      <w:r w:rsidR="005667FD" w:rsidRPr="00925262">
        <w:rPr>
          <w:rFonts w:eastAsia="Calibri" w:cs="Times New Roman"/>
          <w:szCs w:val="24"/>
        </w:rPr>
        <w:t xml:space="preserve">position on the precise scope of </w:t>
      </w:r>
      <w:r w:rsidR="005667FD">
        <w:rPr>
          <w:rFonts w:eastAsia="Calibri" w:cs="Times New Roman"/>
          <w:szCs w:val="24"/>
        </w:rPr>
        <w:t>that immunity.</w:t>
      </w:r>
      <w:r w:rsidR="005E2C6F">
        <w:rPr>
          <w:rFonts w:eastAsia="Calibri" w:cs="Times New Roman"/>
          <w:szCs w:val="24"/>
        </w:rPr>
        <w:t xml:space="preserve"> </w:t>
      </w:r>
    </w:p>
    <w:p w14:paraId="1927E379" w14:textId="3EBB4951" w:rsidR="005667FD" w:rsidRDefault="005667FD" w:rsidP="004C6F9E">
      <w:pPr>
        <w:widowControl w:val="0"/>
        <w:rPr>
          <w:rFonts w:eastAsia="Calibri" w:cs="Times New Roman"/>
          <w:szCs w:val="24"/>
        </w:rPr>
      </w:pPr>
      <w:r>
        <w:rPr>
          <w:rFonts w:eastAsia="Calibri" w:cs="Times New Roman"/>
          <w:szCs w:val="24"/>
        </w:rPr>
        <w:t>If</w:t>
      </w:r>
      <w:r w:rsidRPr="00925262">
        <w:rPr>
          <w:rFonts w:eastAsia="Calibri" w:cs="Times New Roman"/>
          <w:szCs w:val="24"/>
        </w:rPr>
        <w:t xml:space="preserve"> a member of a special mission is entitled to immunity, then as long as the receiving State ha</w:t>
      </w:r>
      <w:r>
        <w:rPr>
          <w:rFonts w:eastAsia="Calibri" w:cs="Times New Roman"/>
          <w:szCs w:val="24"/>
        </w:rPr>
        <w:t>s</w:t>
      </w:r>
      <w:r w:rsidRPr="00925262">
        <w:rPr>
          <w:rFonts w:eastAsia="Calibri" w:cs="Times New Roman"/>
          <w:szCs w:val="24"/>
        </w:rPr>
        <w:t xml:space="preserve"> given consent,</w:t>
      </w:r>
      <w:r w:rsidRPr="00925262">
        <w:rPr>
          <w:rFonts w:eastAsia="Calibri" w:cs="Times New Roman"/>
          <w:szCs w:val="24"/>
          <w:vertAlign w:val="superscript"/>
        </w:rPr>
        <w:footnoteReference w:id="144"/>
      </w:r>
      <w:r w:rsidRPr="00925262">
        <w:rPr>
          <w:rFonts w:eastAsia="Calibri" w:cs="Times New Roman"/>
          <w:szCs w:val="24"/>
        </w:rPr>
        <w:t xml:space="preserve"> </w:t>
      </w:r>
      <w:r w:rsidR="00534AB7">
        <w:rPr>
          <w:rFonts w:eastAsia="Calibri" w:cs="Times New Roman"/>
          <w:szCs w:val="24"/>
        </w:rPr>
        <w:t>the person</w:t>
      </w:r>
      <w:r w:rsidRPr="00925262">
        <w:rPr>
          <w:rFonts w:eastAsia="Calibri" w:cs="Times New Roman"/>
          <w:szCs w:val="24"/>
        </w:rPr>
        <w:t xml:space="preserve"> is entitled to immunity from criminal jurisdiction.</w:t>
      </w:r>
      <w:r w:rsidR="005E2C6F">
        <w:rPr>
          <w:rFonts w:eastAsia="Calibri" w:cs="Times New Roman"/>
          <w:szCs w:val="24"/>
        </w:rPr>
        <w:t xml:space="preserve"> </w:t>
      </w:r>
      <w:r w:rsidRPr="00925262">
        <w:rPr>
          <w:rFonts w:eastAsia="Calibri" w:cs="Times New Roman"/>
          <w:szCs w:val="24"/>
        </w:rPr>
        <w:t xml:space="preserve"> Such individuals also enjoy the inviolability of the person of equivalent rank accredited to a permanent diplomatic mission.</w:t>
      </w:r>
      <w:r w:rsidRPr="00925262">
        <w:rPr>
          <w:rFonts w:eastAsia="Calibri" w:cs="Times New Roman"/>
          <w:szCs w:val="24"/>
          <w:vertAlign w:val="superscript"/>
        </w:rPr>
        <w:footnoteReference w:id="145"/>
      </w:r>
      <w:r w:rsidRPr="00925262">
        <w:rPr>
          <w:rFonts w:eastAsia="Calibri" w:cs="Times New Roman"/>
          <w:szCs w:val="24"/>
        </w:rPr>
        <w:t xml:space="preserve"> This includes the receiving State’s obligation to treat them with due respect and to take all appropriate steps to prevent any attack on their person, freedom or dignity. The inviolability of archives and papers</w:t>
      </w:r>
      <w:r w:rsidR="00F925E4">
        <w:rPr>
          <w:rFonts w:eastAsia="Calibri" w:cs="Times New Roman"/>
          <w:szCs w:val="24"/>
        </w:rPr>
        <w:t xml:space="preserve"> is likely to be covered state </w:t>
      </w:r>
      <w:r w:rsidR="00A83CED">
        <w:rPr>
          <w:rFonts w:eastAsia="Calibri" w:cs="Times New Roman"/>
          <w:szCs w:val="24"/>
        </w:rPr>
        <w:t xml:space="preserve">by </w:t>
      </w:r>
      <w:r w:rsidR="00F925E4">
        <w:rPr>
          <w:rFonts w:eastAsia="Calibri" w:cs="Times New Roman"/>
          <w:szCs w:val="24"/>
        </w:rPr>
        <w:t>immunity, and diplomatic immunity, if such papers are those of the embassy.</w:t>
      </w:r>
      <w:r w:rsidR="00F925E4" w:rsidRPr="00925262" w:rsidDel="00F925E4">
        <w:rPr>
          <w:rFonts w:eastAsia="Calibri" w:cs="Times New Roman"/>
          <w:szCs w:val="24"/>
        </w:rPr>
        <w:t xml:space="preserve"> </w:t>
      </w:r>
    </w:p>
    <w:p w14:paraId="1FAFB4D3" w14:textId="7C7EA250" w:rsidR="000F7DAB" w:rsidRDefault="000F7DAB" w:rsidP="00221DC1">
      <w:pPr>
        <w:widowControl w:val="0"/>
        <w:rPr>
          <w:rFonts w:eastAsia="Calibri" w:cs="Times New Roman"/>
          <w:szCs w:val="24"/>
        </w:rPr>
      </w:pPr>
      <w:r>
        <w:rPr>
          <w:rFonts w:eastAsia="Calibri" w:cs="Times New Roman"/>
          <w:szCs w:val="24"/>
        </w:rPr>
        <w:t xml:space="preserve">There is little if any State practice or </w:t>
      </w:r>
      <w:r>
        <w:rPr>
          <w:rFonts w:eastAsia="Calibri" w:cs="Times New Roman"/>
          <w:i/>
          <w:szCs w:val="24"/>
        </w:rPr>
        <w:t>opinio juris</w:t>
      </w:r>
      <w:r>
        <w:rPr>
          <w:rFonts w:eastAsia="Calibri" w:cs="Times New Roman"/>
          <w:szCs w:val="24"/>
        </w:rPr>
        <w:t xml:space="preserve"> suggesting a contrary rule of customary international law; that is, one to the effect that there is no immunity for persons on special missions, and/or that such persons do not enjoy inviolability or immunity from criminal jurisdiction. Two cases that are occasionally cited in this regard are </w:t>
      </w:r>
      <w:r>
        <w:rPr>
          <w:rFonts w:eastAsia="Calibri" w:cs="Times New Roman"/>
          <w:i/>
          <w:szCs w:val="24"/>
        </w:rPr>
        <w:t>R v Governor of Pentonville Prison, ex parte Osman (No 2)</w:t>
      </w:r>
      <w:bookmarkStart w:id="76" w:name="_Ref494958606"/>
      <w:r>
        <w:rPr>
          <w:rStyle w:val="FootnoteReference"/>
          <w:rFonts w:eastAsia="Calibri" w:cs="Times New Roman"/>
          <w:szCs w:val="24"/>
        </w:rPr>
        <w:footnoteReference w:id="146"/>
      </w:r>
      <w:bookmarkEnd w:id="76"/>
      <w:r>
        <w:rPr>
          <w:rFonts w:eastAsia="Calibri" w:cs="Times New Roman"/>
          <w:szCs w:val="24"/>
        </w:rPr>
        <w:t xml:space="preserve"> and </w:t>
      </w:r>
      <w:r w:rsidRPr="003C012D">
        <w:rPr>
          <w:rFonts w:eastAsia="Calibri" w:cs="Times New Roman"/>
          <w:i/>
          <w:szCs w:val="24"/>
        </w:rPr>
        <w:t xml:space="preserve">USA v </w:t>
      </w:r>
      <w:r>
        <w:rPr>
          <w:rFonts w:eastAsia="Calibri" w:cs="Times New Roman"/>
          <w:i/>
          <w:szCs w:val="24"/>
        </w:rPr>
        <w:t>Sissoko</w:t>
      </w:r>
      <w:r>
        <w:rPr>
          <w:rFonts w:eastAsia="Calibri" w:cs="Times New Roman"/>
          <w:szCs w:val="24"/>
        </w:rPr>
        <w:t>,</w:t>
      </w:r>
      <w:r>
        <w:rPr>
          <w:rStyle w:val="FootnoteReference"/>
          <w:rFonts w:eastAsia="Calibri" w:cs="Times New Roman"/>
          <w:szCs w:val="24"/>
        </w:rPr>
        <w:footnoteReference w:id="147"/>
      </w:r>
      <w:r>
        <w:rPr>
          <w:rFonts w:eastAsia="Calibri" w:cs="Times New Roman"/>
          <w:szCs w:val="24"/>
        </w:rPr>
        <w:t xml:space="preserve"> but neither is persuasive on this point. </w:t>
      </w:r>
    </w:p>
    <w:p w14:paraId="32B8B59B" w14:textId="03A292D9" w:rsidR="000F7DAB" w:rsidRDefault="000F7DAB" w:rsidP="00221DC1">
      <w:pPr>
        <w:widowControl w:val="0"/>
        <w:rPr>
          <w:rFonts w:eastAsia="Calibri" w:cs="Times New Roman"/>
          <w:szCs w:val="24"/>
        </w:rPr>
      </w:pPr>
      <w:r>
        <w:rPr>
          <w:rFonts w:eastAsia="Calibri" w:cs="Times New Roman"/>
          <w:szCs w:val="24"/>
        </w:rPr>
        <w:t xml:space="preserve">In </w:t>
      </w:r>
      <w:r>
        <w:rPr>
          <w:rFonts w:eastAsia="Calibri" w:cs="Times New Roman"/>
          <w:i/>
          <w:szCs w:val="24"/>
        </w:rPr>
        <w:t>Osman (No 2)</w:t>
      </w:r>
      <w:r>
        <w:rPr>
          <w:rFonts w:eastAsia="Calibri" w:cs="Times New Roman"/>
          <w:szCs w:val="24"/>
        </w:rPr>
        <w:t xml:space="preserve">, an English Divisional Court was provided with a sworn affidavit by an FCO official, in which it was stated that ‘Her Majesty’s Government has not signed the New York Convention on Special Missions and does not regard it as being </w:t>
      </w:r>
      <w:r>
        <w:rPr>
          <w:rFonts w:eastAsia="Calibri" w:cs="Times New Roman"/>
          <w:szCs w:val="24"/>
        </w:rPr>
        <w:lastRenderedPageBreak/>
        <w:t>declaratory of international customary law</w:t>
      </w:r>
      <w:r w:rsidR="00221DC1">
        <w:rPr>
          <w:rFonts w:eastAsia="Calibri" w:cs="Times New Roman"/>
          <w:szCs w:val="24"/>
        </w:rPr>
        <w:t>’</w:t>
      </w:r>
      <w:r>
        <w:rPr>
          <w:rFonts w:eastAsia="Calibri" w:cs="Times New Roman"/>
          <w:szCs w:val="24"/>
        </w:rPr>
        <w:t>.</w:t>
      </w:r>
      <w:r>
        <w:rPr>
          <w:rStyle w:val="FootnoteReference"/>
          <w:rFonts w:eastAsia="Calibri" w:cs="Times New Roman"/>
          <w:szCs w:val="24"/>
        </w:rPr>
        <w:footnoteReference w:id="148"/>
      </w:r>
      <w:r>
        <w:rPr>
          <w:rFonts w:eastAsia="Calibri" w:cs="Times New Roman"/>
          <w:szCs w:val="24"/>
        </w:rPr>
        <w:t xml:space="preserve"> In evaluating the effect of the affidavit, the Court observed that </w:t>
      </w:r>
      <w:r w:rsidR="00221DC1">
        <w:rPr>
          <w:rFonts w:eastAsia="Calibri" w:cs="Times New Roman"/>
          <w:szCs w:val="24"/>
        </w:rPr>
        <w:t>‘</w:t>
      </w:r>
      <w:r>
        <w:t xml:space="preserve">[o]ne possibility might have been to suggest that the applicant was head of a special mission. This suggestion has been rightly disclaimed. There was nothing </w:t>
      </w:r>
      <w:r w:rsidR="00C46DDC">
        <w:t>‘</w:t>
      </w:r>
      <w:r>
        <w:t>special</w:t>
      </w:r>
      <w:r w:rsidR="00C46DDC">
        <w:t>’</w:t>
      </w:r>
      <w:r>
        <w:t xml:space="preserve"> about the tasks entrusted to the applicant by the Letters of Full Powers. No notification of such a mission was ever given to HMG</w:t>
      </w:r>
      <w:r w:rsidR="00221DC1">
        <w:t>’</w:t>
      </w:r>
      <w:r w:rsidR="00A70C09" w:rsidRPr="00A70C09">
        <w:t>.</w:t>
      </w:r>
      <w:r>
        <w:rPr>
          <w:rStyle w:val="FootnoteReference"/>
        </w:rPr>
        <w:footnoteReference w:id="149"/>
      </w:r>
      <w:r>
        <w:rPr>
          <w:rFonts w:eastAsia="Calibri" w:cs="Times New Roman"/>
          <w:szCs w:val="24"/>
        </w:rPr>
        <w:t xml:space="preserve"> There was no discussion on the status of special mission immunity under customary law. In any event, the FCO officer’s affidavit as evidence of UK’s position on special mission immunity is now superseded by both </w:t>
      </w:r>
      <w:r>
        <w:rPr>
          <w:rFonts w:eastAsia="Calibri" w:cs="Times New Roman"/>
          <w:i/>
          <w:szCs w:val="24"/>
        </w:rPr>
        <w:t>Khurts Bat</w:t>
      </w:r>
      <w:r>
        <w:rPr>
          <w:rFonts w:eastAsia="Calibri" w:cs="Times New Roman"/>
          <w:szCs w:val="24"/>
        </w:rPr>
        <w:t xml:space="preserve"> and </w:t>
      </w:r>
      <w:r>
        <w:rPr>
          <w:rFonts w:eastAsia="Calibri" w:cs="Times New Roman"/>
          <w:i/>
          <w:szCs w:val="24"/>
        </w:rPr>
        <w:t>Freedom and Justice Party</w:t>
      </w:r>
      <w:r>
        <w:rPr>
          <w:rFonts w:eastAsia="Calibri" w:cs="Times New Roman"/>
          <w:szCs w:val="24"/>
        </w:rPr>
        <w:t>, as well as by governmental statements before Parliament.</w:t>
      </w:r>
      <w:r>
        <w:rPr>
          <w:rStyle w:val="FootnoteReference"/>
          <w:rFonts w:eastAsia="Calibri" w:cs="Times New Roman"/>
          <w:szCs w:val="24"/>
        </w:rPr>
        <w:footnoteReference w:id="150"/>
      </w:r>
      <w:r>
        <w:rPr>
          <w:rFonts w:eastAsia="Calibri" w:cs="Times New Roman"/>
          <w:szCs w:val="24"/>
        </w:rPr>
        <w:t xml:space="preserve"> </w:t>
      </w:r>
    </w:p>
    <w:p w14:paraId="5EC4C3C5" w14:textId="27C0E452" w:rsidR="000F7DAB" w:rsidRDefault="000F7DAB" w:rsidP="000F7DAB">
      <w:pPr>
        <w:widowControl w:val="0"/>
        <w:rPr>
          <w:rFonts w:eastAsia="Calibri" w:cs="Times New Roman"/>
          <w:szCs w:val="24"/>
        </w:rPr>
      </w:pPr>
      <w:r>
        <w:rPr>
          <w:rFonts w:eastAsia="Calibri" w:cs="Times New Roman"/>
          <w:szCs w:val="24"/>
        </w:rPr>
        <w:t xml:space="preserve">In </w:t>
      </w:r>
      <w:r>
        <w:rPr>
          <w:rFonts w:eastAsia="Calibri" w:cs="Times New Roman"/>
          <w:i/>
          <w:szCs w:val="24"/>
        </w:rPr>
        <w:t>Sissoko</w:t>
      </w:r>
      <w:r>
        <w:rPr>
          <w:rFonts w:eastAsia="Calibri" w:cs="Times New Roman"/>
          <w:szCs w:val="24"/>
        </w:rPr>
        <w:t xml:space="preserve">, Gambia argued that </w:t>
      </w:r>
      <w:r w:rsidRPr="009132A4">
        <w:rPr>
          <w:rFonts w:eastAsia="Calibri" w:cs="Times New Roman"/>
          <w:szCs w:val="24"/>
        </w:rPr>
        <w:t xml:space="preserve">Foutanga Sissoko </w:t>
      </w:r>
      <w:r>
        <w:rPr>
          <w:rFonts w:eastAsia="Calibri" w:cs="Times New Roman"/>
          <w:szCs w:val="24"/>
        </w:rPr>
        <w:t xml:space="preserve">enjoyed immunity because Gambia had designated him a </w:t>
      </w:r>
      <w:r w:rsidR="00221DC1">
        <w:rPr>
          <w:rFonts w:eastAsia="Calibri" w:cs="Times New Roman"/>
          <w:szCs w:val="24"/>
        </w:rPr>
        <w:t>‘</w:t>
      </w:r>
      <w:r>
        <w:rPr>
          <w:rFonts w:eastAsia="Calibri" w:cs="Times New Roman"/>
          <w:szCs w:val="24"/>
        </w:rPr>
        <w:t>Special Adviser to a Special Mission</w:t>
      </w:r>
      <w:r w:rsidR="00221DC1">
        <w:rPr>
          <w:rFonts w:eastAsia="Calibri" w:cs="Times New Roman"/>
          <w:szCs w:val="24"/>
        </w:rPr>
        <w:t>’</w:t>
      </w:r>
      <w:r>
        <w:rPr>
          <w:rFonts w:eastAsia="Calibri" w:cs="Times New Roman"/>
          <w:szCs w:val="24"/>
        </w:rPr>
        <w:t xml:space="preserve"> and that this designation had been accepted by the United States.</w:t>
      </w:r>
      <w:r>
        <w:rPr>
          <w:rStyle w:val="FootnoteReference"/>
          <w:rFonts w:eastAsia="Calibri" w:cs="Times New Roman"/>
          <w:szCs w:val="24"/>
        </w:rPr>
        <w:footnoteReference w:id="151"/>
      </w:r>
      <w:r>
        <w:rPr>
          <w:rFonts w:eastAsia="Calibri" w:cs="Times New Roman"/>
          <w:szCs w:val="24"/>
        </w:rPr>
        <w:t xml:space="preserve"> The United States District Court for the Southern District of Florida rejected this argument </w:t>
      </w:r>
      <w:r>
        <w:rPr>
          <w:rFonts w:eastAsia="Calibri" w:cs="Times New Roman"/>
          <w:i/>
          <w:szCs w:val="24"/>
        </w:rPr>
        <w:t xml:space="preserve">inter alia </w:t>
      </w:r>
      <w:r>
        <w:rPr>
          <w:rFonts w:eastAsia="Calibri" w:cs="Times New Roman"/>
          <w:szCs w:val="24"/>
        </w:rPr>
        <w:t>on the ground that the Convention on Special Missions did not form part of customary international law. It reached this conclusion on the basis that neither the United States, The Gambia nor any member of the UN Security Council had signed the Convention,</w:t>
      </w:r>
      <w:r>
        <w:rPr>
          <w:rStyle w:val="FootnoteReference"/>
          <w:rFonts w:eastAsia="Calibri" w:cs="Times New Roman"/>
          <w:szCs w:val="24"/>
        </w:rPr>
        <w:footnoteReference w:id="152"/>
      </w:r>
      <w:r>
        <w:rPr>
          <w:rFonts w:eastAsia="Calibri" w:cs="Times New Roman"/>
          <w:szCs w:val="24"/>
        </w:rPr>
        <w:t xml:space="preserve"> rather than from an analysis of State practice and </w:t>
      </w:r>
      <w:r>
        <w:rPr>
          <w:rFonts w:eastAsia="Calibri" w:cs="Times New Roman"/>
          <w:i/>
          <w:szCs w:val="24"/>
        </w:rPr>
        <w:t>opinio juris</w:t>
      </w:r>
      <w:r>
        <w:rPr>
          <w:rFonts w:eastAsia="Calibri" w:cs="Times New Roman"/>
          <w:szCs w:val="24"/>
        </w:rPr>
        <w:t xml:space="preserve">. There was no consideration of the existence of customary rules independent of Convention, and the Court distinguished </w:t>
      </w:r>
      <w:r w:rsidRPr="00100614">
        <w:rPr>
          <w:rFonts w:eastAsia="Calibri" w:cs="Times New Roman"/>
          <w:i/>
          <w:szCs w:val="24"/>
        </w:rPr>
        <w:t>Sissoko</w:t>
      </w:r>
      <w:r>
        <w:rPr>
          <w:rFonts w:eastAsia="Calibri" w:cs="Times New Roman"/>
          <w:szCs w:val="24"/>
        </w:rPr>
        <w:t xml:space="preserve"> from other cases on the basis that the was no suggestion of immunity from the federal government.</w:t>
      </w:r>
      <w:r w:rsidR="005E2C6F">
        <w:rPr>
          <w:rFonts w:eastAsia="Calibri" w:cs="Times New Roman"/>
          <w:szCs w:val="24"/>
        </w:rPr>
        <w:t xml:space="preserve"> </w:t>
      </w:r>
      <w:r>
        <w:rPr>
          <w:rFonts w:eastAsia="Calibri" w:cs="Times New Roman"/>
          <w:szCs w:val="24"/>
        </w:rPr>
        <w:t>The only recognition that the United States made of Sissoko was the issuance of a visa; in other words, there was no consent to his presence in the US as part of a special mission.</w:t>
      </w:r>
    </w:p>
    <w:p w14:paraId="215927F9" w14:textId="32DCB2C7" w:rsidR="00E65655" w:rsidRDefault="00F51E68" w:rsidP="00221DC1">
      <w:pPr>
        <w:pStyle w:val="Heading2"/>
      </w:pPr>
      <w:bookmarkStart w:id="78" w:name="_Toc497598024"/>
      <w:bookmarkStart w:id="79" w:name="_Toc502996218"/>
      <w:r w:rsidRPr="00F51E68">
        <w:t xml:space="preserve">Immunity from </w:t>
      </w:r>
      <w:r>
        <w:t>C</w:t>
      </w:r>
      <w:r w:rsidRPr="00F51E68">
        <w:t xml:space="preserve">ivil </w:t>
      </w:r>
      <w:r>
        <w:t>J</w:t>
      </w:r>
      <w:r w:rsidRPr="00F51E68">
        <w:t>urisdiction</w:t>
      </w:r>
      <w:bookmarkEnd w:id="78"/>
      <w:bookmarkEnd w:id="79"/>
      <w:r w:rsidRPr="00A940B7">
        <w:t xml:space="preserve"> </w:t>
      </w:r>
    </w:p>
    <w:p w14:paraId="61628771" w14:textId="089B1A8F" w:rsidR="00C34BD5" w:rsidRDefault="00F81C9F" w:rsidP="00E65655">
      <w:pPr>
        <w:widowControl w:val="0"/>
        <w:rPr>
          <w:rFonts w:eastAsia="Calibri" w:cs="Times New Roman"/>
          <w:szCs w:val="24"/>
        </w:rPr>
      </w:pPr>
      <w:r w:rsidRPr="00925262">
        <w:rPr>
          <w:rFonts w:eastAsia="Calibri" w:cs="Times New Roman"/>
          <w:szCs w:val="24"/>
        </w:rPr>
        <w:t>The question whether the rule</w:t>
      </w:r>
      <w:r w:rsidR="009F43D4" w:rsidRPr="00925262">
        <w:rPr>
          <w:rFonts w:eastAsia="Calibri" w:cs="Times New Roman"/>
          <w:szCs w:val="24"/>
        </w:rPr>
        <w:t xml:space="preserve">s of customary international law on </w:t>
      </w:r>
      <w:r w:rsidRPr="00925262">
        <w:rPr>
          <w:rFonts w:eastAsia="Calibri" w:cs="Times New Roman"/>
          <w:szCs w:val="24"/>
        </w:rPr>
        <w:t>special mission</w:t>
      </w:r>
      <w:r w:rsidR="0078367A">
        <w:rPr>
          <w:rFonts w:eastAsia="Calibri" w:cs="Times New Roman"/>
          <w:szCs w:val="24"/>
        </w:rPr>
        <w:t xml:space="preserve"> immunity extend </w:t>
      </w:r>
      <w:r w:rsidRPr="00925262">
        <w:rPr>
          <w:rFonts w:eastAsia="Calibri" w:cs="Times New Roman"/>
          <w:szCs w:val="24"/>
        </w:rPr>
        <w:t xml:space="preserve">to immunity from </w:t>
      </w:r>
      <w:r w:rsidRPr="00925262">
        <w:rPr>
          <w:rFonts w:eastAsia="Calibri" w:cs="Times New Roman"/>
          <w:i/>
          <w:szCs w:val="24"/>
        </w:rPr>
        <w:t>civil</w:t>
      </w:r>
      <w:r w:rsidRPr="00925262">
        <w:rPr>
          <w:rFonts w:eastAsia="Calibri" w:cs="Times New Roman"/>
          <w:szCs w:val="24"/>
        </w:rPr>
        <w:t xml:space="preserve"> jurisdiction remains open. </w:t>
      </w:r>
      <w:r w:rsidR="001F4A5C">
        <w:rPr>
          <w:rFonts w:eastAsia="Calibri" w:cs="Times New Roman"/>
          <w:szCs w:val="24"/>
        </w:rPr>
        <w:t>As mentioned above</w:t>
      </w:r>
      <w:r w:rsidR="00507DC9">
        <w:rPr>
          <w:rFonts w:eastAsia="Calibri" w:cs="Times New Roman"/>
          <w:szCs w:val="24"/>
        </w:rPr>
        <w:t>,</w:t>
      </w:r>
      <w:r w:rsidR="001F4A5C">
        <w:rPr>
          <w:rFonts w:eastAsia="Calibri" w:cs="Times New Roman"/>
          <w:szCs w:val="24"/>
        </w:rPr>
        <w:t xml:space="preserve"> o</w:t>
      </w:r>
      <w:r w:rsidRPr="00925262">
        <w:rPr>
          <w:rFonts w:eastAsia="Calibri" w:cs="Times New Roman"/>
          <w:szCs w:val="24"/>
        </w:rPr>
        <w:t xml:space="preserve">ne of the reasons for the limited participation in the Convention on Special Missions </w:t>
      </w:r>
      <w:r w:rsidR="00936407" w:rsidRPr="00925262">
        <w:rPr>
          <w:rFonts w:eastAsia="Calibri" w:cs="Times New Roman"/>
          <w:szCs w:val="24"/>
        </w:rPr>
        <w:t>was</w:t>
      </w:r>
      <w:r w:rsidRPr="00925262">
        <w:rPr>
          <w:rFonts w:eastAsia="Calibri" w:cs="Times New Roman"/>
          <w:szCs w:val="24"/>
        </w:rPr>
        <w:t xml:space="preserve"> the view </w:t>
      </w:r>
      <w:r w:rsidR="005961DB">
        <w:rPr>
          <w:rFonts w:eastAsia="Calibri" w:cs="Times New Roman"/>
          <w:szCs w:val="24"/>
        </w:rPr>
        <w:t>of</w:t>
      </w:r>
      <w:r w:rsidRPr="00925262">
        <w:rPr>
          <w:rFonts w:eastAsia="Calibri" w:cs="Times New Roman"/>
          <w:szCs w:val="24"/>
        </w:rPr>
        <w:t xml:space="preserve"> some </w:t>
      </w:r>
      <w:r w:rsidR="008F7045">
        <w:rPr>
          <w:rFonts w:eastAsia="Calibri" w:cs="Times New Roman"/>
          <w:szCs w:val="24"/>
        </w:rPr>
        <w:t>State</w:t>
      </w:r>
      <w:r w:rsidRPr="00925262">
        <w:rPr>
          <w:rFonts w:eastAsia="Calibri" w:cs="Times New Roman"/>
          <w:szCs w:val="24"/>
        </w:rPr>
        <w:t xml:space="preserve">s that </w:t>
      </w:r>
      <w:r w:rsidR="006A3BF6">
        <w:rPr>
          <w:rFonts w:eastAsia="Calibri" w:cs="Times New Roman"/>
          <w:szCs w:val="24"/>
        </w:rPr>
        <w:t xml:space="preserve">full </w:t>
      </w:r>
      <w:r w:rsidRPr="00925262">
        <w:rPr>
          <w:rFonts w:eastAsia="Calibri" w:cs="Times New Roman"/>
          <w:szCs w:val="24"/>
        </w:rPr>
        <w:t xml:space="preserve">immunity from civil jurisdiction goes beyond what is functionally necessary for a temporary visitor. Nevertheless, </w:t>
      </w:r>
      <w:r w:rsidR="0040629E" w:rsidRPr="00925262">
        <w:rPr>
          <w:rFonts w:eastAsia="Calibri" w:cs="Times New Roman"/>
          <w:szCs w:val="24"/>
        </w:rPr>
        <w:t xml:space="preserve">there is some </w:t>
      </w:r>
      <w:r w:rsidR="009F43D4" w:rsidRPr="00925262">
        <w:rPr>
          <w:rFonts w:eastAsia="Calibri" w:cs="Times New Roman"/>
          <w:szCs w:val="24"/>
        </w:rPr>
        <w:t>S</w:t>
      </w:r>
      <w:r w:rsidRPr="00925262">
        <w:rPr>
          <w:rFonts w:eastAsia="Calibri" w:cs="Times New Roman"/>
          <w:szCs w:val="24"/>
        </w:rPr>
        <w:t xml:space="preserve">tate practice </w:t>
      </w:r>
      <w:r w:rsidR="00D72137">
        <w:rPr>
          <w:rFonts w:eastAsia="Calibri" w:cs="Times New Roman"/>
          <w:szCs w:val="24"/>
        </w:rPr>
        <w:t>and</w:t>
      </w:r>
      <w:r w:rsidR="0041541A">
        <w:rPr>
          <w:rFonts w:eastAsia="Calibri" w:cs="Times New Roman"/>
          <w:szCs w:val="24"/>
        </w:rPr>
        <w:t xml:space="preserve"> evidence of acceptance as law </w:t>
      </w:r>
      <w:r w:rsidR="0040629E" w:rsidRPr="00925262">
        <w:rPr>
          <w:rFonts w:eastAsia="Calibri" w:cs="Times New Roman"/>
          <w:szCs w:val="24"/>
        </w:rPr>
        <w:t>in</w:t>
      </w:r>
      <w:r w:rsidRPr="00925262">
        <w:rPr>
          <w:rFonts w:eastAsia="Calibri" w:cs="Times New Roman"/>
          <w:szCs w:val="24"/>
        </w:rPr>
        <w:t xml:space="preserve"> support </w:t>
      </w:r>
      <w:r w:rsidR="0040629E" w:rsidRPr="00925262">
        <w:rPr>
          <w:rFonts w:eastAsia="Calibri" w:cs="Times New Roman"/>
          <w:szCs w:val="24"/>
        </w:rPr>
        <w:t>of</w:t>
      </w:r>
      <w:r w:rsidRPr="00925262">
        <w:rPr>
          <w:rFonts w:eastAsia="Calibri" w:cs="Times New Roman"/>
          <w:szCs w:val="24"/>
        </w:rPr>
        <w:t xml:space="preserve"> im</w:t>
      </w:r>
      <w:r w:rsidR="007D3948" w:rsidRPr="00925262">
        <w:rPr>
          <w:rFonts w:eastAsia="Calibri" w:cs="Times New Roman"/>
          <w:szCs w:val="24"/>
        </w:rPr>
        <w:t>munity from civil jurisdiction</w:t>
      </w:r>
      <w:r w:rsidR="008A23CB">
        <w:rPr>
          <w:rFonts w:eastAsia="Calibri" w:cs="Times New Roman"/>
          <w:szCs w:val="24"/>
        </w:rPr>
        <w:t>.</w:t>
      </w:r>
      <w:r w:rsidR="007D3948" w:rsidRPr="00925262">
        <w:rPr>
          <w:rFonts w:eastAsia="Calibri" w:cs="Times New Roman"/>
          <w:szCs w:val="24"/>
        </w:rPr>
        <w:t xml:space="preserve"> </w:t>
      </w:r>
      <w:r w:rsidR="00F64676">
        <w:rPr>
          <w:rFonts w:eastAsia="Calibri" w:cs="Times New Roman"/>
          <w:szCs w:val="24"/>
          <w:lang w:val="en-US"/>
        </w:rPr>
        <w:t>The Netherlands</w:t>
      </w:r>
      <w:r w:rsidR="00F64676" w:rsidRPr="003A5704">
        <w:rPr>
          <w:rFonts w:eastAsia="Calibri" w:cs="Times New Roman"/>
          <w:szCs w:val="24"/>
          <w:lang w:val="en-US"/>
        </w:rPr>
        <w:t xml:space="preserve"> has stated that </w:t>
      </w:r>
      <w:r w:rsidR="00221DC1">
        <w:rPr>
          <w:rFonts w:eastAsia="Calibri" w:cs="Times New Roman"/>
          <w:szCs w:val="24"/>
          <w:lang w:val="en-US"/>
        </w:rPr>
        <w:t>‘</w:t>
      </w:r>
      <w:r w:rsidR="00F64676" w:rsidRPr="003A5704">
        <w:rPr>
          <w:rFonts w:eastAsia="Calibri" w:cs="Times New Roman"/>
          <w:szCs w:val="24"/>
          <w:lang w:val="en-US"/>
        </w:rPr>
        <w:t>there is sufficient basis to conclude an obligation exists under customary international law to accord full immunity to the members of official missions</w:t>
      </w:r>
      <w:r w:rsidR="00221DC1">
        <w:rPr>
          <w:rFonts w:eastAsia="Calibri" w:cs="Times New Roman"/>
          <w:szCs w:val="24"/>
          <w:lang w:val="en-US"/>
        </w:rPr>
        <w:t>’</w:t>
      </w:r>
      <w:r w:rsidR="00F64676" w:rsidRPr="003A5704">
        <w:rPr>
          <w:rFonts w:eastAsia="Calibri" w:cs="Times New Roman"/>
          <w:szCs w:val="24"/>
          <w:lang w:val="en-US"/>
        </w:rPr>
        <w:t xml:space="preserve"> and that </w:t>
      </w:r>
      <w:r w:rsidR="00221DC1">
        <w:rPr>
          <w:rFonts w:eastAsia="Calibri" w:cs="Times New Roman"/>
          <w:szCs w:val="24"/>
          <w:lang w:val="en-US"/>
        </w:rPr>
        <w:t>‘</w:t>
      </w:r>
      <w:r w:rsidR="00F64676" w:rsidRPr="003A5704">
        <w:rPr>
          <w:rFonts w:eastAsia="Calibri" w:cs="Times New Roman"/>
          <w:szCs w:val="24"/>
          <w:lang w:val="en-US"/>
        </w:rPr>
        <w:t>[m]embers of official missions enjoy full immunity</w:t>
      </w:r>
      <w:r w:rsidR="00221DC1">
        <w:rPr>
          <w:rFonts w:eastAsia="Calibri" w:cs="Times New Roman"/>
          <w:szCs w:val="24"/>
          <w:lang w:val="en-US"/>
        </w:rPr>
        <w:t xml:space="preserve"> – </w:t>
      </w:r>
      <w:r w:rsidR="00F64676" w:rsidRPr="003A5704">
        <w:rPr>
          <w:rFonts w:eastAsia="Calibri" w:cs="Times New Roman"/>
          <w:szCs w:val="24"/>
          <w:lang w:val="en-US"/>
        </w:rPr>
        <w:t>for the duration of the mission</w:t>
      </w:r>
      <w:r w:rsidR="00221DC1">
        <w:rPr>
          <w:rFonts w:eastAsia="Calibri" w:cs="Times New Roman"/>
          <w:szCs w:val="24"/>
          <w:lang w:val="en-US"/>
        </w:rPr>
        <w:t xml:space="preserve"> – </w:t>
      </w:r>
      <w:r w:rsidR="00F64676" w:rsidRPr="003A5704">
        <w:rPr>
          <w:rFonts w:eastAsia="Calibri" w:cs="Times New Roman"/>
          <w:szCs w:val="24"/>
          <w:lang w:val="en-US"/>
        </w:rPr>
        <w:t>for all their acts, whether performed in an official or in a private capacity</w:t>
      </w:r>
      <w:r w:rsidR="00221DC1">
        <w:rPr>
          <w:rFonts w:eastAsia="Calibri" w:cs="Times New Roman"/>
          <w:szCs w:val="24"/>
          <w:lang w:val="en-US"/>
        </w:rPr>
        <w:t>’</w:t>
      </w:r>
      <w:r w:rsidR="00F64676" w:rsidRPr="003A5704">
        <w:rPr>
          <w:rFonts w:eastAsia="Calibri" w:cs="Times New Roman"/>
          <w:szCs w:val="24"/>
          <w:lang w:val="en-US"/>
        </w:rPr>
        <w:t>.</w:t>
      </w:r>
      <w:r w:rsidR="00F64676" w:rsidRPr="003A5704">
        <w:rPr>
          <w:rFonts w:eastAsia="Calibri" w:cs="Times New Roman"/>
          <w:szCs w:val="24"/>
          <w:vertAlign w:val="superscript"/>
          <w:lang w:val="en-US"/>
        </w:rPr>
        <w:footnoteReference w:id="153"/>
      </w:r>
      <w:r w:rsidR="00F64676" w:rsidRPr="003A5704">
        <w:rPr>
          <w:rFonts w:eastAsia="Calibri" w:cs="Times New Roman"/>
          <w:szCs w:val="24"/>
          <w:lang w:val="en-US"/>
        </w:rPr>
        <w:t xml:space="preserve"> If </w:t>
      </w:r>
      <w:r w:rsidR="00221DC1">
        <w:rPr>
          <w:rFonts w:eastAsia="Calibri" w:cs="Times New Roman"/>
          <w:szCs w:val="24"/>
          <w:lang w:val="en-US"/>
        </w:rPr>
        <w:t>‘</w:t>
      </w:r>
      <w:r w:rsidR="00F64676" w:rsidRPr="003A5704">
        <w:rPr>
          <w:rFonts w:eastAsia="Calibri" w:cs="Times New Roman"/>
          <w:szCs w:val="24"/>
          <w:lang w:val="en-US"/>
        </w:rPr>
        <w:t>full immunity</w:t>
      </w:r>
      <w:r w:rsidR="00221DC1">
        <w:rPr>
          <w:rFonts w:eastAsia="Calibri" w:cs="Times New Roman"/>
          <w:szCs w:val="24"/>
          <w:lang w:val="en-US"/>
        </w:rPr>
        <w:t>’</w:t>
      </w:r>
      <w:r w:rsidR="00F64676" w:rsidRPr="003A5704">
        <w:rPr>
          <w:rFonts w:eastAsia="Calibri" w:cs="Times New Roman"/>
          <w:szCs w:val="24"/>
          <w:lang w:val="en-US"/>
        </w:rPr>
        <w:t xml:space="preserve"> is taken to conclude immunity </w:t>
      </w:r>
      <w:r w:rsidR="00F64676" w:rsidRPr="003A5704">
        <w:rPr>
          <w:rFonts w:eastAsia="Calibri" w:cs="Times New Roman"/>
          <w:szCs w:val="24"/>
          <w:lang w:val="en-US"/>
        </w:rPr>
        <w:lastRenderedPageBreak/>
        <w:t>from civil jurisdiction, then the Netherlands goes further than the above-mentioned States and would recognize immunity from civil jurisdiction in respect of both official and private acts.</w:t>
      </w:r>
      <w:r w:rsidR="00F64676">
        <w:rPr>
          <w:rFonts w:eastAsia="Calibri" w:cs="Times New Roman"/>
          <w:szCs w:val="24"/>
          <w:lang w:val="en-US"/>
        </w:rPr>
        <w:t xml:space="preserve"> </w:t>
      </w:r>
      <w:r w:rsidR="00F64676">
        <w:rPr>
          <w:rFonts w:eastAsia="Calibri"/>
          <w:lang w:val="en-US"/>
        </w:rPr>
        <w:t>Section 4(2)</w:t>
      </w:r>
      <w:r w:rsidR="00F64676" w:rsidRPr="00F62675">
        <w:rPr>
          <w:rFonts w:eastAsia="Calibri"/>
          <w:lang w:val="en-US"/>
        </w:rPr>
        <w:t xml:space="preserve"> of the South African Diplomatic Immunities and Privileges Act 37 of 2001</w:t>
      </w:r>
      <w:r w:rsidR="00F64676">
        <w:rPr>
          <w:rFonts w:eastAsia="Calibri"/>
          <w:lang w:val="en-US"/>
        </w:rPr>
        <w:t xml:space="preserve"> provides that </w:t>
      </w:r>
      <w:r w:rsidR="00221DC1">
        <w:rPr>
          <w:rFonts w:eastAsia="Calibri"/>
          <w:lang w:val="en-US"/>
        </w:rPr>
        <w:t>‘</w:t>
      </w:r>
      <w:r w:rsidR="00F64676">
        <w:rPr>
          <w:rFonts w:eastAsia="Calibri"/>
          <w:lang w:val="en-US"/>
        </w:rPr>
        <w:t xml:space="preserve">[a] special envoy or representative from another state, government organization is immune from the criminal and </w:t>
      </w:r>
      <w:r w:rsidR="00F64676">
        <w:rPr>
          <w:rFonts w:eastAsia="Calibri"/>
          <w:i/>
          <w:lang w:val="en-US"/>
        </w:rPr>
        <w:t>civil</w:t>
      </w:r>
      <w:r w:rsidR="00F64676">
        <w:rPr>
          <w:rFonts w:eastAsia="Calibri"/>
          <w:lang w:val="en-US"/>
        </w:rPr>
        <w:t xml:space="preserve"> jurisdiction of the courts of the Republic</w:t>
      </w:r>
      <w:r w:rsidR="00221DC1">
        <w:rPr>
          <w:rFonts w:eastAsia="Calibri"/>
          <w:lang w:val="en-US"/>
        </w:rPr>
        <w:t>’</w:t>
      </w:r>
      <w:r w:rsidR="00F64676">
        <w:rPr>
          <w:rFonts w:eastAsia="Calibri"/>
          <w:lang w:val="en-US"/>
        </w:rPr>
        <w:t>.</w:t>
      </w:r>
      <w:r w:rsidR="00F64676">
        <w:rPr>
          <w:rStyle w:val="FootnoteReference"/>
          <w:rFonts w:eastAsia="Calibri"/>
          <w:lang w:val="en-US"/>
        </w:rPr>
        <w:footnoteReference w:id="154"/>
      </w:r>
      <w:r w:rsidR="00F64676">
        <w:rPr>
          <w:rFonts w:eastAsia="Calibri"/>
          <w:lang w:val="en-US"/>
        </w:rPr>
        <w:t xml:space="preserve"> </w:t>
      </w:r>
      <w:r w:rsidR="00F05C08">
        <w:rPr>
          <w:rFonts w:eastAsia="Calibri" w:cs="Times New Roman"/>
          <w:szCs w:val="24"/>
        </w:rPr>
        <w:t>Croatia</w:t>
      </w:r>
      <w:r w:rsidR="00B25C93">
        <w:rPr>
          <w:rFonts w:eastAsia="Calibri" w:cs="Times New Roman"/>
          <w:szCs w:val="24"/>
        </w:rPr>
        <w:t>,</w:t>
      </w:r>
      <w:r w:rsidR="00F05C08">
        <w:rPr>
          <w:rStyle w:val="FootnoteReference"/>
          <w:rFonts w:eastAsia="Calibri" w:cs="Times New Roman"/>
          <w:szCs w:val="24"/>
        </w:rPr>
        <w:footnoteReference w:id="155"/>
      </w:r>
      <w:r w:rsidR="00F05C08">
        <w:rPr>
          <w:rFonts w:eastAsia="Calibri" w:cs="Times New Roman"/>
          <w:szCs w:val="24"/>
        </w:rPr>
        <w:t xml:space="preserve"> </w:t>
      </w:r>
      <w:r w:rsidR="00B25C93">
        <w:rPr>
          <w:rFonts w:eastAsia="Calibri" w:cs="Times New Roman"/>
          <w:szCs w:val="24"/>
        </w:rPr>
        <w:t xml:space="preserve">the </w:t>
      </w:r>
      <w:r w:rsidR="00B25C93" w:rsidRPr="00925262">
        <w:rPr>
          <w:rFonts w:eastAsia="Calibri" w:cs="Times New Roman"/>
          <w:szCs w:val="24"/>
        </w:rPr>
        <w:t>Czech Republic</w:t>
      </w:r>
      <w:r w:rsidR="009A5B6A">
        <w:rPr>
          <w:rFonts w:eastAsia="Calibri" w:cs="Times New Roman"/>
          <w:szCs w:val="24"/>
        </w:rPr>
        <w:t>,</w:t>
      </w:r>
      <w:r w:rsidR="00B25C93">
        <w:rPr>
          <w:rStyle w:val="FootnoteReference"/>
          <w:rFonts w:eastAsia="Calibri" w:cs="Times New Roman"/>
          <w:szCs w:val="24"/>
        </w:rPr>
        <w:footnoteReference w:id="156"/>
      </w:r>
      <w:r w:rsidR="00B25C93" w:rsidRPr="00925262">
        <w:rPr>
          <w:rFonts w:eastAsia="Calibri" w:cs="Times New Roman"/>
          <w:szCs w:val="24"/>
        </w:rPr>
        <w:t xml:space="preserve"> </w:t>
      </w:r>
      <w:r w:rsidR="008A23CB">
        <w:rPr>
          <w:rFonts w:eastAsia="Calibri" w:cs="Times New Roman"/>
          <w:szCs w:val="24"/>
        </w:rPr>
        <w:t>Romania</w:t>
      </w:r>
      <w:r w:rsidR="008A23CB">
        <w:rPr>
          <w:rStyle w:val="FootnoteReference"/>
          <w:rFonts w:eastAsia="Calibri" w:cs="Times New Roman"/>
          <w:szCs w:val="24"/>
        </w:rPr>
        <w:footnoteReference w:id="157"/>
      </w:r>
      <w:r w:rsidR="009A5B6A">
        <w:rPr>
          <w:rFonts w:eastAsia="Calibri" w:cs="Times New Roman"/>
          <w:szCs w:val="24"/>
        </w:rPr>
        <w:t xml:space="preserve"> and Serbia</w:t>
      </w:r>
      <w:r w:rsidR="009A5B6A">
        <w:rPr>
          <w:rStyle w:val="FootnoteReference"/>
          <w:rFonts w:eastAsia="Calibri" w:cs="Times New Roman"/>
          <w:szCs w:val="24"/>
        </w:rPr>
        <w:footnoteReference w:id="158"/>
      </w:r>
      <w:r w:rsidR="008A23CB">
        <w:rPr>
          <w:rFonts w:eastAsia="Calibri" w:cs="Times New Roman"/>
          <w:szCs w:val="24"/>
        </w:rPr>
        <w:t xml:space="preserve"> have stated that </w:t>
      </w:r>
      <w:r w:rsidR="00B25C93">
        <w:rPr>
          <w:rFonts w:eastAsia="Calibri" w:cs="Times New Roman"/>
          <w:szCs w:val="24"/>
        </w:rPr>
        <w:t xml:space="preserve">the Convention on Special Missions </w:t>
      </w:r>
      <w:r w:rsidR="00D16698">
        <w:rPr>
          <w:rFonts w:eastAsia="Calibri" w:cs="Times New Roman"/>
          <w:szCs w:val="24"/>
        </w:rPr>
        <w:t>reflects</w:t>
      </w:r>
      <w:r w:rsidR="00B25C93">
        <w:rPr>
          <w:rFonts w:eastAsia="Calibri" w:cs="Times New Roman"/>
          <w:szCs w:val="24"/>
        </w:rPr>
        <w:t xml:space="preserve"> customary international law.</w:t>
      </w:r>
      <w:r w:rsidR="005E2C6F">
        <w:rPr>
          <w:rFonts w:eastAsia="Calibri" w:cs="Times New Roman"/>
          <w:szCs w:val="24"/>
        </w:rPr>
        <w:t xml:space="preserve"> </w:t>
      </w:r>
      <w:r w:rsidR="00B25C93">
        <w:rPr>
          <w:rFonts w:eastAsia="Calibri" w:cs="Times New Roman"/>
          <w:szCs w:val="24"/>
        </w:rPr>
        <w:t>Austria</w:t>
      </w:r>
      <w:r w:rsidR="006B0F6B">
        <w:rPr>
          <w:rFonts w:eastAsia="Calibri" w:cs="Times New Roman"/>
          <w:szCs w:val="24"/>
        </w:rPr>
        <w:t>,</w:t>
      </w:r>
      <w:r w:rsidR="006B0F6B">
        <w:rPr>
          <w:rStyle w:val="FootnoteReference"/>
          <w:rFonts w:eastAsia="Calibri" w:cs="Times New Roman"/>
          <w:szCs w:val="24"/>
        </w:rPr>
        <w:footnoteReference w:id="159"/>
      </w:r>
      <w:r w:rsidR="006B0F6B">
        <w:rPr>
          <w:rFonts w:eastAsia="Calibri" w:cs="Times New Roman"/>
          <w:szCs w:val="24"/>
        </w:rPr>
        <w:t xml:space="preserve"> France,</w:t>
      </w:r>
      <w:r w:rsidR="006B0F6B">
        <w:rPr>
          <w:rStyle w:val="FootnoteReference"/>
          <w:rFonts w:eastAsia="Calibri" w:cs="Times New Roman"/>
          <w:szCs w:val="24"/>
        </w:rPr>
        <w:footnoteReference w:id="160"/>
      </w:r>
      <w:r w:rsidR="006B0F6B">
        <w:rPr>
          <w:rFonts w:eastAsia="Calibri" w:cs="Times New Roman"/>
          <w:szCs w:val="24"/>
        </w:rPr>
        <w:t xml:space="preserve"> and Switzerland</w:t>
      </w:r>
      <w:r w:rsidR="009A5B6A">
        <w:rPr>
          <w:rStyle w:val="FootnoteReference"/>
          <w:rFonts w:eastAsia="Calibri" w:cs="Times New Roman"/>
          <w:szCs w:val="24"/>
        </w:rPr>
        <w:footnoteReference w:id="161"/>
      </w:r>
      <w:r w:rsidR="006B0F6B">
        <w:rPr>
          <w:rFonts w:eastAsia="Calibri" w:cs="Times New Roman"/>
          <w:szCs w:val="24"/>
        </w:rPr>
        <w:t xml:space="preserve"> have</w:t>
      </w:r>
      <w:r w:rsidR="00B25C93">
        <w:rPr>
          <w:rFonts w:eastAsia="Calibri" w:cs="Times New Roman"/>
          <w:szCs w:val="24"/>
        </w:rPr>
        <w:t xml:space="preserve"> </w:t>
      </w:r>
      <w:r w:rsidR="00E720A4">
        <w:rPr>
          <w:rFonts w:eastAsia="Calibri" w:cs="Times New Roman"/>
          <w:szCs w:val="24"/>
        </w:rPr>
        <w:t>stated</w:t>
      </w:r>
      <w:r w:rsidR="00B25C93">
        <w:rPr>
          <w:rFonts w:eastAsia="Calibri" w:cs="Times New Roman"/>
          <w:szCs w:val="24"/>
        </w:rPr>
        <w:t xml:space="preserve"> that </w:t>
      </w:r>
      <w:r w:rsidR="006B0F6B">
        <w:rPr>
          <w:rFonts w:eastAsia="Calibri" w:cs="Times New Roman"/>
          <w:szCs w:val="24"/>
        </w:rPr>
        <w:t>they</w:t>
      </w:r>
      <w:r w:rsidR="00967B83">
        <w:rPr>
          <w:rFonts w:eastAsia="Calibri" w:cs="Times New Roman"/>
          <w:szCs w:val="24"/>
        </w:rPr>
        <w:t xml:space="preserve"> understand</w:t>
      </w:r>
      <w:r w:rsidR="00B25C93">
        <w:rPr>
          <w:rFonts w:eastAsia="Calibri" w:cs="Times New Roman"/>
          <w:szCs w:val="24"/>
        </w:rPr>
        <w:t xml:space="preserve"> the Convention </w:t>
      </w:r>
      <w:r w:rsidR="00967B83">
        <w:rPr>
          <w:rFonts w:eastAsia="Calibri" w:cs="Times New Roman"/>
          <w:szCs w:val="24"/>
        </w:rPr>
        <w:t>to reflect</w:t>
      </w:r>
      <w:r w:rsidR="006B0F6B">
        <w:rPr>
          <w:rFonts w:eastAsia="Calibri" w:cs="Times New Roman"/>
          <w:szCs w:val="24"/>
        </w:rPr>
        <w:t xml:space="preserve"> </w:t>
      </w:r>
      <w:r w:rsidR="00B25C93">
        <w:rPr>
          <w:rFonts w:eastAsia="Calibri" w:cs="Times New Roman"/>
          <w:szCs w:val="24"/>
        </w:rPr>
        <w:t>customary law</w:t>
      </w:r>
      <w:r w:rsidR="00967B83">
        <w:rPr>
          <w:rFonts w:eastAsia="Calibri" w:cs="Times New Roman"/>
          <w:szCs w:val="24"/>
        </w:rPr>
        <w:t xml:space="preserve"> only </w:t>
      </w:r>
      <w:r w:rsidR="00967B83" w:rsidRPr="006C0BB0">
        <w:rPr>
          <w:rFonts w:eastAsia="Calibri" w:cs="Times New Roman"/>
          <w:i/>
          <w:szCs w:val="24"/>
        </w:rPr>
        <w:t>partially</w:t>
      </w:r>
      <w:r w:rsidR="00B25C93">
        <w:rPr>
          <w:rFonts w:eastAsia="Calibri" w:cs="Times New Roman"/>
          <w:szCs w:val="24"/>
        </w:rPr>
        <w:t xml:space="preserve">, but </w:t>
      </w:r>
      <w:r w:rsidR="006B0F6B">
        <w:rPr>
          <w:rFonts w:eastAsia="Calibri" w:cs="Times New Roman"/>
          <w:szCs w:val="24"/>
        </w:rPr>
        <w:t xml:space="preserve">have not </w:t>
      </w:r>
      <w:r w:rsidR="00E720A4">
        <w:rPr>
          <w:rFonts w:eastAsia="Calibri" w:cs="Times New Roman"/>
          <w:szCs w:val="24"/>
        </w:rPr>
        <w:t>indicated</w:t>
      </w:r>
      <w:r w:rsidR="006B0F6B">
        <w:rPr>
          <w:rFonts w:eastAsia="Calibri" w:cs="Times New Roman"/>
          <w:szCs w:val="24"/>
        </w:rPr>
        <w:t xml:space="preserve"> whether this includes immunity from civil jurisdiction. </w:t>
      </w:r>
      <w:r w:rsidR="003A5704" w:rsidRPr="003A5704">
        <w:rPr>
          <w:rFonts w:eastAsia="Calibri" w:cs="Times New Roman"/>
          <w:szCs w:val="24"/>
          <w:lang w:val="en-US"/>
        </w:rPr>
        <w:t xml:space="preserve">Albania considers </w:t>
      </w:r>
      <w:r w:rsidR="00221DC1">
        <w:rPr>
          <w:rFonts w:eastAsia="Calibri" w:cs="Times New Roman"/>
          <w:szCs w:val="24"/>
          <w:lang w:val="en-US"/>
        </w:rPr>
        <w:t>‘</w:t>
      </w:r>
      <w:r w:rsidR="003A5704" w:rsidRPr="003A5704">
        <w:rPr>
          <w:rFonts w:eastAsia="Calibri" w:cs="Times New Roman"/>
          <w:szCs w:val="24"/>
          <w:lang w:val="en-US"/>
        </w:rPr>
        <w:t>[t]he customary rules that are applied to a high-level mission are related with immunity from civil and criminal jurisdiction in respect of their official acts</w:t>
      </w:r>
      <w:r w:rsidR="00221DC1">
        <w:rPr>
          <w:rFonts w:eastAsia="Calibri" w:cs="Times New Roman"/>
          <w:szCs w:val="24"/>
          <w:lang w:val="en-US"/>
        </w:rPr>
        <w:t>’</w:t>
      </w:r>
      <w:r w:rsidR="003A5704" w:rsidRPr="003A5704">
        <w:rPr>
          <w:rFonts w:eastAsia="Calibri" w:cs="Times New Roman"/>
          <w:szCs w:val="24"/>
          <w:lang w:val="en-US"/>
        </w:rPr>
        <w:t xml:space="preserve"> and that </w:t>
      </w:r>
      <w:r w:rsidR="00221DC1">
        <w:rPr>
          <w:rFonts w:eastAsia="Calibri" w:cs="Times New Roman"/>
          <w:szCs w:val="24"/>
          <w:lang w:val="en-US"/>
        </w:rPr>
        <w:t>‘</w:t>
      </w:r>
      <w:r w:rsidR="003A5704" w:rsidRPr="003A5704">
        <w:rPr>
          <w:rFonts w:eastAsia="Calibri" w:cs="Times New Roman"/>
          <w:szCs w:val="24"/>
          <w:lang w:val="en-US"/>
        </w:rPr>
        <w:t xml:space="preserve">[t]he scope </w:t>
      </w:r>
      <w:r w:rsidR="003A5704" w:rsidRPr="003A5704">
        <w:rPr>
          <w:rFonts w:eastAsia="Calibri" w:cs="Times New Roman"/>
          <w:i/>
          <w:szCs w:val="24"/>
          <w:lang w:val="en-US"/>
        </w:rPr>
        <w:t>rationae materiae</w:t>
      </w:r>
      <w:r w:rsidR="003A5704" w:rsidRPr="003A5704">
        <w:rPr>
          <w:rFonts w:eastAsia="Calibri" w:cs="Times New Roman"/>
          <w:szCs w:val="24"/>
          <w:lang w:val="en-US"/>
        </w:rPr>
        <w:t xml:space="preserve"> of immunities comprises immunity from civil and criminal jurisdiction in respect of official acts</w:t>
      </w:r>
      <w:r w:rsidR="00221DC1">
        <w:rPr>
          <w:rFonts w:eastAsia="Calibri" w:cs="Times New Roman"/>
          <w:szCs w:val="24"/>
          <w:lang w:val="en-US"/>
        </w:rPr>
        <w:t>’</w:t>
      </w:r>
      <w:r w:rsidR="003A5704" w:rsidRPr="003A5704">
        <w:rPr>
          <w:rFonts w:eastAsia="Calibri" w:cs="Times New Roman"/>
          <w:szCs w:val="24"/>
          <w:lang w:val="en-US"/>
        </w:rPr>
        <w:t>.</w:t>
      </w:r>
      <w:r w:rsidR="003A5704" w:rsidRPr="003A5704">
        <w:rPr>
          <w:rFonts w:eastAsia="Calibri" w:cs="Times New Roman"/>
          <w:szCs w:val="24"/>
          <w:vertAlign w:val="superscript"/>
        </w:rPr>
        <w:footnoteReference w:id="162"/>
      </w:r>
      <w:r w:rsidR="005E2C6F">
        <w:rPr>
          <w:rFonts w:eastAsia="Calibri" w:cs="Times New Roman"/>
          <w:szCs w:val="24"/>
          <w:lang w:val="en-US"/>
        </w:rPr>
        <w:t xml:space="preserve"> </w:t>
      </w:r>
      <w:r w:rsidR="003A5704" w:rsidRPr="003A5704">
        <w:rPr>
          <w:rFonts w:eastAsia="Calibri" w:cs="Times New Roman"/>
          <w:szCs w:val="24"/>
        </w:rPr>
        <w:t xml:space="preserve">The United Kingdom </w:t>
      </w:r>
      <w:r w:rsidR="00A00DDA">
        <w:rPr>
          <w:rFonts w:eastAsia="Calibri" w:cs="Times New Roman"/>
          <w:szCs w:val="24"/>
        </w:rPr>
        <w:t>was</w:t>
      </w:r>
      <w:r w:rsidR="003A5704" w:rsidRPr="003A5704">
        <w:rPr>
          <w:rFonts w:eastAsia="Calibri" w:cs="Times New Roman"/>
          <w:szCs w:val="24"/>
        </w:rPr>
        <w:t xml:space="preserve"> more equivocal, stating that </w:t>
      </w:r>
      <w:r w:rsidR="00221DC1">
        <w:rPr>
          <w:rFonts w:eastAsia="Calibri" w:cs="Times New Roman"/>
          <w:szCs w:val="24"/>
        </w:rPr>
        <w:t>‘</w:t>
      </w:r>
      <w:r w:rsidR="003A5704" w:rsidRPr="003A5704">
        <w:rPr>
          <w:rFonts w:eastAsia="Calibri" w:cs="Times New Roman"/>
          <w:szCs w:val="24"/>
        </w:rPr>
        <w:t>[i]t is likely that persons on a special mission would enjoy immunity from civil jurisdiction in so far as the assertion of civil jurisdiction would hinder them performing their official functions as members of a special mission</w:t>
      </w:r>
      <w:r w:rsidR="00221DC1">
        <w:rPr>
          <w:rFonts w:eastAsia="Calibri" w:cs="Times New Roman"/>
          <w:szCs w:val="24"/>
        </w:rPr>
        <w:t>’</w:t>
      </w:r>
      <w:r w:rsidR="003A5704" w:rsidRPr="003A5704">
        <w:rPr>
          <w:rFonts w:eastAsia="Calibri" w:cs="Times New Roman"/>
          <w:szCs w:val="24"/>
        </w:rPr>
        <w:t>.</w:t>
      </w:r>
      <w:r w:rsidR="003A5704" w:rsidRPr="003A5704">
        <w:rPr>
          <w:rFonts w:eastAsia="Calibri" w:cs="Times New Roman"/>
          <w:szCs w:val="24"/>
          <w:vertAlign w:val="superscript"/>
        </w:rPr>
        <w:footnoteReference w:id="163"/>
      </w:r>
      <w:r w:rsidR="003A5704" w:rsidRPr="003A5704">
        <w:rPr>
          <w:rFonts w:eastAsia="Calibri" w:cs="Times New Roman"/>
          <w:szCs w:val="24"/>
        </w:rPr>
        <w:t xml:space="preserve"> Such a hindrance to those on a temporary mission would be relatively rare, but might occur when, for example, property is seized in connection with civil proceedings.</w:t>
      </w:r>
      <w:r w:rsidR="00F925E4">
        <w:rPr>
          <w:rFonts w:eastAsia="Calibri" w:cs="Times New Roman"/>
          <w:szCs w:val="24"/>
        </w:rPr>
        <w:t xml:space="preserve"> </w:t>
      </w:r>
      <w:r w:rsidR="00984E29">
        <w:rPr>
          <w:rFonts w:eastAsia="Calibri" w:cs="Times New Roman"/>
          <w:szCs w:val="24"/>
        </w:rPr>
        <w:t>T</w:t>
      </w:r>
      <w:r w:rsidRPr="00925262">
        <w:rPr>
          <w:rFonts w:eastAsia="Calibri" w:cs="Times New Roman"/>
          <w:szCs w:val="24"/>
        </w:rPr>
        <w:t xml:space="preserve">he US Government has </w:t>
      </w:r>
      <w:r w:rsidR="00F56F5C">
        <w:rPr>
          <w:rFonts w:eastAsia="Calibri" w:cs="Times New Roman"/>
          <w:szCs w:val="24"/>
        </w:rPr>
        <w:t xml:space="preserve">filed ‘Suggestions of Immunity’ </w:t>
      </w:r>
      <w:r w:rsidR="00244717" w:rsidRPr="00925262">
        <w:rPr>
          <w:rFonts w:eastAsia="Calibri" w:cs="Times New Roman"/>
          <w:szCs w:val="24"/>
        </w:rPr>
        <w:t>in a number of civil cases</w:t>
      </w:r>
      <w:r w:rsidR="00F56F5C">
        <w:rPr>
          <w:rFonts w:eastAsia="Calibri" w:cs="Times New Roman"/>
          <w:szCs w:val="24"/>
        </w:rPr>
        <w:t xml:space="preserve"> involving</w:t>
      </w:r>
      <w:r w:rsidR="00F56F5C" w:rsidRPr="00925262">
        <w:rPr>
          <w:rFonts w:eastAsia="Calibri" w:cs="Times New Roman"/>
          <w:szCs w:val="24"/>
        </w:rPr>
        <w:t xml:space="preserve"> </w:t>
      </w:r>
      <w:r w:rsidRPr="00925262">
        <w:rPr>
          <w:rFonts w:eastAsia="Calibri" w:cs="Times New Roman"/>
          <w:szCs w:val="24"/>
        </w:rPr>
        <w:t>senior representatives of foreign governments on official visits</w:t>
      </w:r>
      <w:r w:rsidR="00F56F5C">
        <w:rPr>
          <w:rFonts w:eastAsia="Calibri" w:cs="Times New Roman"/>
          <w:szCs w:val="24"/>
        </w:rPr>
        <w:t xml:space="preserve">, stating that they </w:t>
      </w:r>
      <w:r w:rsidRPr="00925262">
        <w:rPr>
          <w:rFonts w:eastAsia="Calibri" w:cs="Times New Roman"/>
          <w:szCs w:val="24"/>
        </w:rPr>
        <w:t>are entitled to immunity</w:t>
      </w:r>
      <w:r w:rsidR="005745F7">
        <w:rPr>
          <w:rFonts w:eastAsia="Calibri" w:cs="Times New Roman"/>
          <w:szCs w:val="24"/>
        </w:rPr>
        <w:t xml:space="preserve"> from suit</w:t>
      </w:r>
      <w:r w:rsidR="00244717">
        <w:rPr>
          <w:rFonts w:eastAsia="Calibri" w:cs="Times New Roman"/>
          <w:szCs w:val="24"/>
        </w:rPr>
        <w:t>.</w:t>
      </w:r>
      <w:bookmarkStart w:id="80" w:name="_Ref494958810"/>
      <w:r w:rsidRPr="00925262">
        <w:rPr>
          <w:rFonts w:eastAsia="Calibri" w:cs="Times New Roman"/>
          <w:szCs w:val="24"/>
          <w:vertAlign w:val="superscript"/>
        </w:rPr>
        <w:footnoteReference w:id="164"/>
      </w:r>
      <w:bookmarkEnd w:id="80"/>
      <w:r w:rsidRPr="00925262">
        <w:rPr>
          <w:rFonts w:eastAsia="Calibri" w:cs="Times New Roman"/>
          <w:szCs w:val="24"/>
        </w:rPr>
        <w:t xml:space="preserve"> </w:t>
      </w:r>
    </w:p>
    <w:p w14:paraId="1BF2DA30" w14:textId="1F1043B1" w:rsidR="00C34BD5" w:rsidRPr="00E4511D" w:rsidRDefault="00717BEE" w:rsidP="00E707CF">
      <w:pPr>
        <w:pStyle w:val="Heading2"/>
        <w:rPr>
          <w:lang w:val="en-US"/>
        </w:rPr>
      </w:pPr>
      <w:bookmarkStart w:id="81" w:name="_Toc497598025"/>
      <w:bookmarkStart w:id="82" w:name="_Toc502996219"/>
      <w:r w:rsidRPr="00E4511D">
        <w:rPr>
          <w:lang w:val="en-US"/>
        </w:rPr>
        <w:t>Type</w:t>
      </w:r>
      <w:r w:rsidR="000E0AC2" w:rsidRPr="00E4511D">
        <w:rPr>
          <w:lang w:val="en-US"/>
        </w:rPr>
        <w:t>s</w:t>
      </w:r>
      <w:r w:rsidR="0022016B" w:rsidRPr="00E4511D">
        <w:rPr>
          <w:lang w:val="en-US"/>
        </w:rPr>
        <w:t xml:space="preserve"> of </w:t>
      </w:r>
      <w:r w:rsidR="00F51E68" w:rsidRPr="00E4511D">
        <w:rPr>
          <w:lang w:val="en-US"/>
        </w:rPr>
        <w:t>Special M</w:t>
      </w:r>
      <w:r w:rsidR="00CF35AD" w:rsidRPr="00E4511D">
        <w:rPr>
          <w:lang w:val="en-US"/>
        </w:rPr>
        <w:t>ission</w:t>
      </w:r>
      <w:r w:rsidRPr="00E4511D">
        <w:rPr>
          <w:lang w:val="en-US"/>
        </w:rPr>
        <w:t>s to which</w:t>
      </w:r>
      <w:r w:rsidR="00CF35AD" w:rsidRPr="00E4511D">
        <w:rPr>
          <w:lang w:val="en-US"/>
        </w:rPr>
        <w:t xml:space="preserve"> </w:t>
      </w:r>
      <w:r w:rsidR="00F51E68" w:rsidRPr="00E4511D">
        <w:rPr>
          <w:lang w:val="en-US"/>
        </w:rPr>
        <w:t>I</w:t>
      </w:r>
      <w:r w:rsidR="00CF35AD" w:rsidRPr="00E4511D">
        <w:rPr>
          <w:lang w:val="en-US"/>
        </w:rPr>
        <w:t>mmunity</w:t>
      </w:r>
      <w:r w:rsidRPr="00E4511D">
        <w:rPr>
          <w:lang w:val="en-US"/>
        </w:rPr>
        <w:t xml:space="preserve"> </w:t>
      </w:r>
      <w:r w:rsidR="00F51E68" w:rsidRPr="00E4511D">
        <w:rPr>
          <w:lang w:val="en-US"/>
        </w:rPr>
        <w:t>A</w:t>
      </w:r>
      <w:r w:rsidRPr="00E4511D">
        <w:rPr>
          <w:lang w:val="en-US"/>
        </w:rPr>
        <w:t>pplies</w:t>
      </w:r>
      <w:bookmarkEnd w:id="81"/>
      <w:bookmarkEnd w:id="82"/>
      <w:r w:rsidR="0022016B" w:rsidRPr="00E4511D">
        <w:rPr>
          <w:lang w:val="en-US"/>
        </w:rPr>
        <w:t xml:space="preserve"> </w:t>
      </w:r>
    </w:p>
    <w:p w14:paraId="728D05B3" w14:textId="1F6CE04F" w:rsidR="00400888" w:rsidRPr="00925262" w:rsidRDefault="00DA7926" w:rsidP="0022016B">
      <w:pPr>
        <w:widowControl w:val="0"/>
        <w:rPr>
          <w:rFonts w:eastAsia="Calibri" w:cs="Times New Roman"/>
          <w:szCs w:val="24"/>
        </w:rPr>
      </w:pPr>
      <w:r>
        <w:rPr>
          <w:rFonts w:eastAsia="Calibri" w:cs="Times New Roman"/>
          <w:szCs w:val="24"/>
        </w:rPr>
        <w:t>T</w:t>
      </w:r>
      <w:r w:rsidR="00400888" w:rsidRPr="00925262">
        <w:rPr>
          <w:rFonts w:eastAsia="Calibri" w:cs="Times New Roman"/>
          <w:szCs w:val="24"/>
        </w:rPr>
        <w:t xml:space="preserve">he question of the </w:t>
      </w:r>
      <w:r w:rsidR="00717BEE">
        <w:rPr>
          <w:rFonts w:eastAsia="Calibri" w:cs="Times New Roman"/>
          <w:szCs w:val="24"/>
        </w:rPr>
        <w:t xml:space="preserve">type </w:t>
      </w:r>
      <w:r w:rsidR="00400888" w:rsidRPr="00925262">
        <w:rPr>
          <w:rFonts w:eastAsia="Calibri" w:cs="Times New Roman"/>
          <w:szCs w:val="24"/>
        </w:rPr>
        <w:t xml:space="preserve">of </w:t>
      </w:r>
      <w:r w:rsidR="00E86798">
        <w:rPr>
          <w:rFonts w:eastAsia="Calibri" w:cs="Times New Roman"/>
          <w:szCs w:val="24"/>
        </w:rPr>
        <w:t xml:space="preserve">special mission </w:t>
      </w:r>
      <w:r w:rsidR="00717BEE">
        <w:rPr>
          <w:rFonts w:eastAsia="Calibri" w:cs="Times New Roman"/>
          <w:szCs w:val="24"/>
        </w:rPr>
        <w:t xml:space="preserve">to which </w:t>
      </w:r>
      <w:r w:rsidR="00E86798">
        <w:rPr>
          <w:rFonts w:eastAsia="Calibri" w:cs="Times New Roman"/>
          <w:szCs w:val="24"/>
        </w:rPr>
        <w:t>immunity</w:t>
      </w:r>
      <w:r w:rsidR="00400888" w:rsidRPr="00925262">
        <w:rPr>
          <w:rFonts w:eastAsia="Calibri" w:cs="Times New Roman"/>
          <w:szCs w:val="24"/>
        </w:rPr>
        <w:t xml:space="preserve"> </w:t>
      </w:r>
      <w:r w:rsidR="00717BEE">
        <w:rPr>
          <w:rFonts w:eastAsia="Calibri" w:cs="Times New Roman"/>
          <w:szCs w:val="24"/>
        </w:rPr>
        <w:t xml:space="preserve">applies </w:t>
      </w:r>
      <w:r w:rsidR="00ED4033">
        <w:rPr>
          <w:rFonts w:eastAsia="Calibri" w:cs="Times New Roman"/>
          <w:szCs w:val="24"/>
        </w:rPr>
        <w:t>was a contentious matter d</w:t>
      </w:r>
      <w:r w:rsidR="00400888" w:rsidRPr="00925262">
        <w:rPr>
          <w:rFonts w:eastAsia="Calibri" w:cs="Times New Roman"/>
          <w:szCs w:val="24"/>
        </w:rPr>
        <w:t xml:space="preserve">uring </w:t>
      </w:r>
      <w:r w:rsidR="00ED4033">
        <w:rPr>
          <w:rFonts w:eastAsia="Calibri" w:cs="Times New Roman"/>
          <w:szCs w:val="24"/>
        </w:rPr>
        <w:t xml:space="preserve">the </w:t>
      </w:r>
      <w:r w:rsidR="00400888" w:rsidRPr="00925262">
        <w:rPr>
          <w:rFonts w:eastAsia="Calibri" w:cs="Times New Roman"/>
          <w:szCs w:val="24"/>
        </w:rPr>
        <w:t>negotiation of the Convention on Special Missions</w:t>
      </w:r>
      <w:r w:rsidR="00ED4033">
        <w:rPr>
          <w:rFonts w:eastAsia="Calibri" w:cs="Times New Roman"/>
          <w:szCs w:val="24"/>
        </w:rPr>
        <w:t>. S</w:t>
      </w:r>
      <w:r w:rsidR="00400888" w:rsidRPr="00925262">
        <w:rPr>
          <w:rFonts w:eastAsia="Calibri" w:cs="Times New Roman"/>
          <w:szCs w:val="24"/>
        </w:rPr>
        <w:t xml:space="preserve">tate </w:t>
      </w:r>
      <w:r w:rsidR="00400888" w:rsidRPr="00925262">
        <w:rPr>
          <w:rFonts w:eastAsia="Calibri" w:cs="Times New Roman"/>
          <w:szCs w:val="24"/>
        </w:rPr>
        <w:lastRenderedPageBreak/>
        <w:t>practice suggests a range of different and nuanced positions.</w:t>
      </w:r>
      <w:r w:rsidR="005E2C6F">
        <w:rPr>
          <w:rFonts w:eastAsia="Calibri" w:cs="Times New Roman"/>
          <w:szCs w:val="24"/>
        </w:rPr>
        <w:t xml:space="preserve"> </w:t>
      </w:r>
      <w:r w:rsidR="00400888" w:rsidRPr="00925262">
        <w:rPr>
          <w:rFonts w:eastAsia="Calibri" w:cs="Times New Roman"/>
          <w:szCs w:val="24"/>
        </w:rPr>
        <w:t xml:space="preserve">Some </w:t>
      </w:r>
      <w:r w:rsidR="008F7045">
        <w:rPr>
          <w:rFonts w:eastAsia="Calibri" w:cs="Times New Roman"/>
          <w:szCs w:val="24"/>
        </w:rPr>
        <w:t>State</w:t>
      </w:r>
      <w:r w:rsidR="00400888" w:rsidRPr="00925262">
        <w:rPr>
          <w:rFonts w:eastAsia="Calibri" w:cs="Times New Roman"/>
          <w:szCs w:val="24"/>
        </w:rPr>
        <w:t>s limit special missions to high-level</w:t>
      </w:r>
      <w:r w:rsidR="00400888" w:rsidRPr="00925262">
        <w:rPr>
          <w:rFonts w:eastAsia="Calibri" w:cs="Times New Roman"/>
          <w:i/>
          <w:szCs w:val="24"/>
        </w:rPr>
        <w:t xml:space="preserve"> </w:t>
      </w:r>
      <w:r w:rsidR="00400888" w:rsidRPr="00925262">
        <w:rPr>
          <w:rFonts w:eastAsia="Calibri" w:cs="Times New Roman"/>
          <w:szCs w:val="24"/>
        </w:rPr>
        <w:t>officials.</w:t>
      </w:r>
      <w:r w:rsidR="00400888" w:rsidRPr="00925262">
        <w:rPr>
          <w:rFonts w:eastAsia="Calibri" w:cs="Times New Roman"/>
          <w:szCs w:val="24"/>
          <w:vertAlign w:val="superscript"/>
        </w:rPr>
        <w:footnoteReference w:id="165"/>
      </w:r>
      <w:r w:rsidR="00400888" w:rsidRPr="00925262">
        <w:rPr>
          <w:rFonts w:eastAsia="Calibri" w:cs="Times New Roman"/>
          <w:szCs w:val="24"/>
        </w:rPr>
        <w:t xml:space="preserve"> The United States has noted that it would grant immunity to </w:t>
      </w:r>
      <w:r w:rsidR="00E707CF">
        <w:rPr>
          <w:rFonts w:eastAsia="Calibri" w:cs="Times New Roman"/>
          <w:szCs w:val="24"/>
        </w:rPr>
        <w:t>‘</w:t>
      </w:r>
      <w:r w:rsidR="00400888" w:rsidRPr="00925262">
        <w:rPr>
          <w:rFonts w:eastAsia="Calibri" w:cs="Times New Roman"/>
          <w:szCs w:val="24"/>
        </w:rPr>
        <w:t>high-level</w:t>
      </w:r>
      <w:r w:rsidR="00E707CF">
        <w:rPr>
          <w:rFonts w:eastAsia="Calibri" w:cs="Times New Roman"/>
          <w:szCs w:val="24"/>
        </w:rPr>
        <w:t>’</w:t>
      </w:r>
      <w:r w:rsidR="00400888" w:rsidRPr="00925262">
        <w:rPr>
          <w:rFonts w:eastAsia="Calibri" w:cs="Times New Roman"/>
          <w:szCs w:val="24"/>
        </w:rPr>
        <w:t xml:space="preserve"> or </w:t>
      </w:r>
      <w:r w:rsidR="00E707CF">
        <w:rPr>
          <w:rFonts w:eastAsia="Calibri" w:cs="Times New Roman"/>
          <w:szCs w:val="24"/>
        </w:rPr>
        <w:t>‘</w:t>
      </w:r>
      <w:r w:rsidR="00400888" w:rsidRPr="00925262">
        <w:rPr>
          <w:rFonts w:eastAsia="Calibri" w:cs="Times New Roman"/>
          <w:szCs w:val="24"/>
        </w:rPr>
        <w:t>ministerial-level officials</w:t>
      </w:r>
      <w:r w:rsidR="00E707CF">
        <w:rPr>
          <w:rFonts w:eastAsia="Calibri" w:cs="Times New Roman"/>
          <w:szCs w:val="24"/>
        </w:rPr>
        <w:t>’</w:t>
      </w:r>
      <w:r w:rsidR="00400888" w:rsidRPr="00925262">
        <w:rPr>
          <w:rFonts w:eastAsia="Calibri" w:cs="Times New Roman"/>
          <w:szCs w:val="24"/>
        </w:rPr>
        <w:t xml:space="preserve"> but that such immunity would not </w:t>
      </w:r>
      <w:r w:rsidR="00E707CF">
        <w:rPr>
          <w:rFonts w:eastAsia="Calibri" w:cs="Times New Roman"/>
          <w:szCs w:val="24"/>
        </w:rPr>
        <w:t>‘</w:t>
      </w:r>
      <w:r w:rsidR="00400888" w:rsidRPr="00925262">
        <w:rPr>
          <w:rFonts w:eastAsia="Calibri" w:cs="Times New Roman"/>
          <w:szCs w:val="24"/>
        </w:rPr>
        <w:t>encompass all foreign travel or even all high-level visits of officials</w:t>
      </w:r>
      <w:r w:rsidR="00E707CF">
        <w:rPr>
          <w:rFonts w:eastAsia="Calibri" w:cs="Times New Roman"/>
          <w:szCs w:val="24"/>
        </w:rPr>
        <w:t>’</w:t>
      </w:r>
      <w:r w:rsidR="00400888" w:rsidRPr="00925262">
        <w:rPr>
          <w:rFonts w:eastAsia="Calibri" w:cs="Times New Roman"/>
          <w:szCs w:val="24"/>
        </w:rPr>
        <w:t>.</w:t>
      </w:r>
      <w:r w:rsidR="00400888" w:rsidRPr="00925262">
        <w:rPr>
          <w:rFonts w:eastAsia="Calibri" w:cs="Times New Roman"/>
          <w:szCs w:val="24"/>
          <w:vertAlign w:val="superscript"/>
        </w:rPr>
        <w:footnoteReference w:id="166"/>
      </w:r>
      <w:r w:rsidR="00400888" w:rsidRPr="00925262">
        <w:rPr>
          <w:rFonts w:eastAsia="Calibri" w:cs="Times New Roman"/>
          <w:szCs w:val="24"/>
        </w:rPr>
        <w:t xml:space="preserve"> A number of </w:t>
      </w:r>
      <w:r w:rsidR="008F7045">
        <w:rPr>
          <w:rFonts w:eastAsia="Calibri" w:cs="Times New Roman"/>
          <w:szCs w:val="24"/>
        </w:rPr>
        <w:t>State</w:t>
      </w:r>
      <w:r w:rsidR="00400888" w:rsidRPr="00925262">
        <w:rPr>
          <w:rFonts w:eastAsia="Calibri" w:cs="Times New Roman"/>
          <w:szCs w:val="24"/>
        </w:rPr>
        <w:t>s view the Convention on Special Missions as reflecting customary law, and thus understand the scope of the customary law of special missions as mirroring that of the Convention.</w:t>
      </w:r>
      <w:r w:rsidR="00400888" w:rsidRPr="00925262">
        <w:rPr>
          <w:rFonts w:eastAsia="Calibri" w:cs="Times New Roman"/>
          <w:szCs w:val="24"/>
          <w:vertAlign w:val="superscript"/>
        </w:rPr>
        <w:footnoteReference w:id="167"/>
      </w:r>
      <w:r w:rsidR="005E2C6F">
        <w:rPr>
          <w:rFonts w:eastAsia="Calibri" w:cs="Times New Roman"/>
          <w:szCs w:val="24"/>
        </w:rPr>
        <w:t xml:space="preserve"> </w:t>
      </w:r>
      <w:r w:rsidR="00400888" w:rsidRPr="00925262">
        <w:rPr>
          <w:rFonts w:eastAsia="Calibri" w:cs="Times New Roman"/>
          <w:szCs w:val="24"/>
        </w:rPr>
        <w:t>Others have declined to take a position on the scope of the immunity under customary law and/or have indicated that they are awaiting further clarity on the issue.</w:t>
      </w:r>
      <w:r w:rsidR="00400888" w:rsidRPr="00925262">
        <w:rPr>
          <w:rFonts w:eastAsia="Calibri" w:cs="Times New Roman"/>
          <w:szCs w:val="24"/>
          <w:vertAlign w:val="superscript"/>
        </w:rPr>
        <w:footnoteReference w:id="168"/>
      </w:r>
      <w:r w:rsidR="00400888" w:rsidRPr="00925262">
        <w:rPr>
          <w:rFonts w:eastAsia="Calibri" w:cs="Times New Roman"/>
          <w:szCs w:val="24"/>
        </w:rPr>
        <w:t xml:space="preserve"> </w:t>
      </w:r>
      <w:r w:rsidR="00E65F47">
        <w:rPr>
          <w:rFonts w:eastAsia="Calibri" w:cs="Times New Roman"/>
          <w:szCs w:val="24"/>
        </w:rPr>
        <w:t>Some States have adopted definitions that are identical to Article 1(a) of the Convention.</w:t>
      </w:r>
      <w:r w:rsidR="00E65F47">
        <w:rPr>
          <w:rStyle w:val="FootnoteReference"/>
          <w:rFonts w:eastAsia="Calibri" w:cs="Times New Roman"/>
          <w:szCs w:val="24"/>
        </w:rPr>
        <w:footnoteReference w:id="169"/>
      </w:r>
      <w:r w:rsidR="00E65F47">
        <w:rPr>
          <w:rFonts w:eastAsia="Calibri" w:cs="Times New Roman"/>
          <w:szCs w:val="24"/>
        </w:rPr>
        <w:t xml:space="preserve"> </w:t>
      </w:r>
      <w:r w:rsidR="00400888" w:rsidRPr="00925262">
        <w:rPr>
          <w:rFonts w:eastAsia="Calibri" w:cs="Times New Roman"/>
          <w:szCs w:val="24"/>
        </w:rPr>
        <w:t xml:space="preserve">Given this variation in practice, the most likely position is that </w:t>
      </w:r>
      <w:r w:rsidR="006A3BF6">
        <w:rPr>
          <w:rFonts w:eastAsia="Calibri" w:cs="Times New Roman"/>
          <w:szCs w:val="24"/>
        </w:rPr>
        <w:t xml:space="preserve">immunity under </w:t>
      </w:r>
      <w:r w:rsidR="00400888" w:rsidRPr="00925262">
        <w:rPr>
          <w:rFonts w:eastAsia="Calibri" w:cs="Times New Roman"/>
          <w:szCs w:val="24"/>
        </w:rPr>
        <w:t xml:space="preserve">customary international law applies </w:t>
      </w:r>
      <w:r w:rsidR="00400888" w:rsidRPr="00925262">
        <w:rPr>
          <w:rFonts w:eastAsia="Calibri" w:cs="Times New Roman"/>
          <w:i/>
          <w:szCs w:val="24"/>
        </w:rPr>
        <w:t>at least</w:t>
      </w:r>
      <w:r w:rsidR="00400888" w:rsidRPr="00925262">
        <w:rPr>
          <w:rFonts w:eastAsia="Calibri" w:cs="Times New Roman"/>
          <w:szCs w:val="24"/>
        </w:rPr>
        <w:t xml:space="preserve"> to visitors on high-level missions representing the </w:t>
      </w:r>
      <w:r w:rsidR="008F7045">
        <w:rPr>
          <w:rFonts w:eastAsia="Calibri" w:cs="Times New Roman"/>
          <w:szCs w:val="24"/>
        </w:rPr>
        <w:t>State</w:t>
      </w:r>
      <w:r w:rsidR="00400888" w:rsidRPr="00925262">
        <w:rPr>
          <w:rFonts w:eastAsia="Calibri" w:cs="Times New Roman"/>
          <w:szCs w:val="24"/>
        </w:rPr>
        <w:t xml:space="preserve"> in the same way as permanent diplomatic missions, with some </w:t>
      </w:r>
      <w:r w:rsidR="008F7045">
        <w:rPr>
          <w:rFonts w:eastAsia="Calibri" w:cs="Times New Roman"/>
          <w:szCs w:val="24"/>
        </w:rPr>
        <w:t>State</w:t>
      </w:r>
      <w:r w:rsidR="00400888" w:rsidRPr="00925262">
        <w:rPr>
          <w:rFonts w:eastAsia="Calibri" w:cs="Times New Roman"/>
          <w:szCs w:val="24"/>
        </w:rPr>
        <w:t xml:space="preserve">s conferring immunity on a wider </w:t>
      </w:r>
      <w:r w:rsidR="00717BEE">
        <w:rPr>
          <w:rFonts w:eastAsia="Calibri" w:cs="Times New Roman"/>
          <w:szCs w:val="24"/>
        </w:rPr>
        <w:t>range of missions</w:t>
      </w:r>
      <w:r w:rsidR="00400888" w:rsidRPr="00925262">
        <w:rPr>
          <w:rFonts w:eastAsia="Calibri" w:cs="Times New Roman"/>
          <w:szCs w:val="24"/>
        </w:rPr>
        <w:t xml:space="preserve">. </w:t>
      </w:r>
    </w:p>
    <w:p w14:paraId="20AB67B2" w14:textId="795CC5E3" w:rsidR="00C50FA3" w:rsidRDefault="006A3BF6" w:rsidP="00C50FA3">
      <w:pPr>
        <w:widowControl w:val="0"/>
        <w:rPr>
          <w:rFonts w:eastAsia="Calibri" w:cs="Times New Roman"/>
          <w:szCs w:val="24"/>
        </w:rPr>
      </w:pPr>
      <w:r>
        <w:rPr>
          <w:rFonts w:eastAsia="Calibri" w:cs="Times New Roman"/>
          <w:szCs w:val="24"/>
        </w:rPr>
        <w:t>O</w:t>
      </w:r>
      <w:r w:rsidR="00400888" w:rsidRPr="00925262">
        <w:rPr>
          <w:rFonts w:eastAsia="Calibri" w:cs="Times New Roman"/>
          <w:szCs w:val="24"/>
        </w:rPr>
        <w:t>fficial visitors on a high-level mission need not be members of the Government or Government employees.</w:t>
      </w:r>
      <w:r w:rsidR="005E2C6F">
        <w:rPr>
          <w:rFonts w:eastAsia="Calibri" w:cs="Times New Roman"/>
          <w:szCs w:val="24"/>
        </w:rPr>
        <w:t xml:space="preserve"> </w:t>
      </w:r>
      <w:r w:rsidR="00400888" w:rsidRPr="00925262">
        <w:rPr>
          <w:rFonts w:eastAsia="Calibri" w:cs="Times New Roman"/>
          <w:szCs w:val="24"/>
        </w:rPr>
        <w:t xml:space="preserve">A </w:t>
      </w:r>
      <w:r w:rsidR="008F7045">
        <w:rPr>
          <w:rFonts w:eastAsia="Calibri" w:cs="Times New Roman"/>
          <w:szCs w:val="24"/>
        </w:rPr>
        <w:t>State</w:t>
      </w:r>
      <w:r w:rsidR="00400888" w:rsidRPr="00925262">
        <w:rPr>
          <w:rFonts w:eastAsia="Calibri" w:cs="Times New Roman"/>
          <w:szCs w:val="24"/>
        </w:rPr>
        <w:t xml:space="preserve"> may be represented by </w:t>
      </w:r>
      <w:r>
        <w:rPr>
          <w:rFonts w:eastAsia="Calibri" w:cs="Times New Roman"/>
          <w:szCs w:val="24"/>
        </w:rPr>
        <w:t xml:space="preserve">individual </w:t>
      </w:r>
      <w:r w:rsidR="00400888" w:rsidRPr="00925262">
        <w:rPr>
          <w:rFonts w:eastAsia="Calibri" w:cs="Times New Roman"/>
          <w:szCs w:val="24"/>
        </w:rPr>
        <w:t>politicians</w:t>
      </w:r>
      <w:r w:rsidR="00ED4033">
        <w:rPr>
          <w:rFonts w:eastAsia="Calibri" w:cs="Times New Roman"/>
          <w:szCs w:val="24"/>
        </w:rPr>
        <w:t xml:space="preserve"> (even </w:t>
      </w:r>
      <w:r w:rsidR="001941C7">
        <w:rPr>
          <w:rFonts w:eastAsia="Calibri" w:cs="Times New Roman"/>
          <w:szCs w:val="24"/>
        </w:rPr>
        <w:t>those in opposition to the government</w:t>
      </w:r>
      <w:r w:rsidR="00ED4033">
        <w:rPr>
          <w:rFonts w:eastAsia="Calibri" w:cs="Times New Roman"/>
          <w:szCs w:val="24"/>
        </w:rPr>
        <w:t xml:space="preserve">, if it </w:t>
      </w:r>
      <w:r w:rsidR="00F41279">
        <w:rPr>
          <w:rFonts w:eastAsia="Calibri" w:cs="Times New Roman"/>
          <w:szCs w:val="24"/>
        </w:rPr>
        <w:t xml:space="preserve">so </w:t>
      </w:r>
      <w:r w:rsidR="00ED4033">
        <w:rPr>
          <w:rFonts w:eastAsia="Calibri" w:cs="Times New Roman"/>
          <w:szCs w:val="24"/>
        </w:rPr>
        <w:t>wishes</w:t>
      </w:r>
      <w:r w:rsidR="001941C7">
        <w:rPr>
          <w:rFonts w:eastAsia="Calibri" w:cs="Times New Roman"/>
          <w:szCs w:val="24"/>
        </w:rPr>
        <w:t>),</w:t>
      </w:r>
      <w:r w:rsidR="00ED4033">
        <w:rPr>
          <w:rStyle w:val="FootnoteReference"/>
          <w:rFonts w:eastAsia="Calibri" w:cs="Times New Roman"/>
          <w:szCs w:val="24"/>
        </w:rPr>
        <w:footnoteReference w:id="170"/>
      </w:r>
      <w:r w:rsidR="00400888" w:rsidRPr="00925262">
        <w:rPr>
          <w:rFonts w:eastAsia="Calibri" w:cs="Times New Roman"/>
          <w:szCs w:val="24"/>
        </w:rPr>
        <w:t xml:space="preserve"> individuals </w:t>
      </w:r>
      <w:r>
        <w:rPr>
          <w:rFonts w:eastAsia="Calibri" w:cs="Times New Roman"/>
          <w:szCs w:val="24"/>
        </w:rPr>
        <w:t>who</w:t>
      </w:r>
      <w:r w:rsidR="00400888" w:rsidRPr="00925262">
        <w:rPr>
          <w:rFonts w:eastAsia="Calibri" w:cs="Times New Roman"/>
          <w:szCs w:val="24"/>
        </w:rPr>
        <w:t xml:space="preserve"> are not part of government but have relevant technical expertise</w:t>
      </w:r>
      <w:r w:rsidR="00F41279">
        <w:rPr>
          <w:rFonts w:eastAsia="Calibri" w:cs="Times New Roman"/>
          <w:szCs w:val="24"/>
        </w:rPr>
        <w:t>,</w:t>
      </w:r>
      <w:r w:rsidR="00400888" w:rsidRPr="00925262">
        <w:rPr>
          <w:rFonts w:eastAsia="Calibri" w:cs="Times New Roman"/>
          <w:szCs w:val="24"/>
        </w:rPr>
        <w:t xml:space="preserve"> or by members of the judiciary.</w:t>
      </w:r>
      <w:r w:rsidR="005E2C6F">
        <w:rPr>
          <w:rFonts w:eastAsia="Calibri" w:cs="Times New Roman"/>
          <w:szCs w:val="24"/>
        </w:rPr>
        <w:t xml:space="preserve"> </w:t>
      </w:r>
      <w:r w:rsidR="00400888" w:rsidRPr="00925262">
        <w:rPr>
          <w:rFonts w:eastAsia="Calibri" w:cs="Times New Roman"/>
          <w:szCs w:val="24"/>
        </w:rPr>
        <w:t xml:space="preserve">The Netherlands </w:t>
      </w:r>
      <w:r w:rsidR="00ED4033">
        <w:rPr>
          <w:rFonts w:eastAsia="Calibri" w:cs="Times New Roman"/>
          <w:szCs w:val="24"/>
        </w:rPr>
        <w:t>would</w:t>
      </w:r>
      <w:r w:rsidR="00400888" w:rsidRPr="00925262">
        <w:rPr>
          <w:rFonts w:eastAsia="Calibri" w:cs="Times New Roman"/>
          <w:szCs w:val="24"/>
        </w:rPr>
        <w:t xml:space="preserve"> extend special mission immunity to </w:t>
      </w:r>
      <w:r w:rsidR="00717BEE">
        <w:rPr>
          <w:rFonts w:eastAsia="Calibri" w:cs="Times New Roman"/>
          <w:szCs w:val="24"/>
        </w:rPr>
        <w:t>persons who</w:t>
      </w:r>
      <w:r w:rsidR="00400888" w:rsidRPr="00925262">
        <w:rPr>
          <w:rFonts w:eastAsia="Calibri" w:cs="Times New Roman"/>
          <w:szCs w:val="24"/>
        </w:rPr>
        <w:t xml:space="preserve"> represent an opposition faction in an internal conflict that is visiting another </w:t>
      </w:r>
      <w:r w:rsidR="008F7045">
        <w:rPr>
          <w:rFonts w:eastAsia="Calibri" w:cs="Times New Roman"/>
          <w:szCs w:val="24"/>
        </w:rPr>
        <w:t>State</w:t>
      </w:r>
      <w:r w:rsidR="00400888" w:rsidRPr="00925262">
        <w:rPr>
          <w:rFonts w:eastAsia="Calibri" w:cs="Times New Roman"/>
          <w:szCs w:val="24"/>
        </w:rPr>
        <w:t xml:space="preserve"> to conduct peace negotiations.</w:t>
      </w:r>
      <w:r w:rsidR="00400888" w:rsidRPr="00925262">
        <w:rPr>
          <w:rFonts w:eastAsia="Calibri" w:cs="Times New Roman"/>
          <w:szCs w:val="24"/>
          <w:vertAlign w:val="superscript"/>
        </w:rPr>
        <w:footnoteReference w:id="171"/>
      </w:r>
      <w:r w:rsidR="00400888" w:rsidRPr="00925262">
        <w:rPr>
          <w:rFonts w:eastAsia="Calibri" w:cs="Times New Roman"/>
          <w:szCs w:val="24"/>
        </w:rPr>
        <w:t xml:space="preserve"> The Dutch Government has explained that in such situations, </w:t>
      </w:r>
      <w:r w:rsidR="00E707CF">
        <w:rPr>
          <w:rFonts w:eastAsia="Calibri" w:cs="Times New Roman"/>
          <w:szCs w:val="24"/>
        </w:rPr>
        <w:t>‘</w:t>
      </w:r>
      <w:r w:rsidR="00400888" w:rsidRPr="00925262">
        <w:rPr>
          <w:rFonts w:eastAsia="Calibri" w:cs="Times New Roman"/>
          <w:szCs w:val="24"/>
        </w:rPr>
        <w:t xml:space="preserve">the members of the official mission would not enjoy full immunity if the sending </w:t>
      </w:r>
      <w:r w:rsidR="008F7045">
        <w:rPr>
          <w:rFonts w:eastAsia="Calibri" w:cs="Times New Roman"/>
          <w:szCs w:val="24"/>
        </w:rPr>
        <w:t>State</w:t>
      </w:r>
      <w:r w:rsidR="00400888" w:rsidRPr="00925262">
        <w:rPr>
          <w:rFonts w:eastAsia="Calibri" w:cs="Times New Roman"/>
          <w:szCs w:val="24"/>
        </w:rPr>
        <w:t xml:space="preserve"> does not consent or notify the receiving </w:t>
      </w:r>
      <w:r w:rsidR="008F7045">
        <w:rPr>
          <w:rFonts w:eastAsia="Calibri" w:cs="Times New Roman"/>
          <w:szCs w:val="24"/>
        </w:rPr>
        <w:t>State</w:t>
      </w:r>
      <w:r w:rsidR="00400888" w:rsidRPr="00925262">
        <w:rPr>
          <w:rFonts w:eastAsia="Calibri" w:cs="Times New Roman"/>
          <w:szCs w:val="24"/>
        </w:rPr>
        <w:t xml:space="preserve"> of the official mission</w:t>
      </w:r>
      <w:r w:rsidR="00E707CF">
        <w:rPr>
          <w:rFonts w:eastAsia="Calibri" w:cs="Times New Roman"/>
          <w:szCs w:val="24"/>
        </w:rPr>
        <w:t>’</w:t>
      </w:r>
      <w:r w:rsidR="00400888" w:rsidRPr="00925262">
        <w:rPr>
          <w:rFonts w:eastAsia="Calibri" w:cs="Times New Roman"/>
          <w:szCs w:val="24"/>
        </w:rPr>
        <w:t>.</w:t>
      </w:r>
      <w:r w:rsidR="00400888" w:rsidRPr="00925262">
        <w:rPr>
          <w:rFonts w:eastAsia="Calibri" w:cs="Times New Roman"/>
          <w:szCs w:val="24"/>
          <w:vertAlign w:val="superscript"/>
        </w:rPr>
        <w:footnoteReference w:id="172"/>
      </w:r>
      <w:r w:rsidR="00400888" w:rsidRPr="00925262">
        <w:rPr>
          <w:rFonts w:eastAsia="Calibri" w:cs="Times New Roman"/>
          <w:szCs w:val="24"/>
        </w:rPr>
        <w:t xml:space="preserve"> The Convention on Special Missions also </w:t>
      </w:r>
      <w:r>
        <w:rPr>
          <w:rFonts w:eastAsia="Calibri" w:cs="Times New Roman"/>
          <w:szCs w:val="24"/>
        </w:rPr>
        <w:t>covers</w:t>
      </w:r>
      <w:r w:rsidR="00400888" w:rsidRPr="00925262">
        <w:rPr>
          <w:rFonts w:eastAsia="Calibri" w:cs="Times New Roman"/>
          <w:szCs w:val="24"/>
        </w:rPr>
        <w:t xml:space="preserve"> meetings of the representatives of two or more States in a third State;</w:t>
      </w:r>
      <w:r w:rsidR="0006113C">
        <w:rPr>
          <w:rStyle w:val="FootnoteReference"/>
          <w:rFonts w:eastAsia="Calibri" w:cs="Times New Roman"/>
          <w:szCs w:val="24"/>
        </w:rPr>
        <w:footnoteReference w:id="173"/>
      </w:r>
      <w:r w:rsidR="00400888" w:rsidRPr="00925262">
        <w:rPr>
          <w:rFonts w:eastAsia="Calibri" w:cs="Times New Roman"/>
          <w:szCs w:val="24"/>
        </w:rPr>
        <w:t xml:space="preserve"> </w:t>
      </w:r>
      <w:r w:rsidR="00E5070E" w:rsidRPr="00E5070E">
        <w:rPr>
          <w:rFonts w:eastAsia="Calibri" w:cs="Times New Roman"/>
          <w:szCs w:val="24"/>
        </w:rPr>
        <w:t>there is no reason why such meetings should not be included within the scope of the rules</w:t>
      </w:r>
      <w:r w:rsidR="00E5070E">
        <w:rPr>
          <w:rFonts w:eastAsia="Calibri" w:cs="Times New Roman"/>
          <w:szCs w:val="24"/>
        </w:rPr>
        <w:t xml:space="preserve"> of customary international law</w:t>
      </w:r>
      <w:r w:rsidR="00400888" w:rsidRPr="00925262">
        <w:rPr>
          <w:rFonts w:eastAsia="Calibri" w:cs="Times New Roman"/>
          <w:szCs w:val="24"/>
        </w:rPr>
        <w:t>.</w:t>
      </w:r>
    </w:p>
    <w:p w14:paraId="379D6EBC" w14:textId="704F44A1" w:rsidR="009D03E6" w:rsidRPr="00DD4ABC" w:rsidRDefault="00C05E3A" w:rsidP="00C1425E">
      <w:pPr>
        <w:pStyle w:val="Heading1"/>
        <w:rPr>
          <w:szCs w:val="24"/>
        </w:rPr>
      </w:pPr>
      <w:bookmarkStart w:id="83" w:name="_Toc364753216"/>
      <w:bookmarkStart w:id="84" w:name="_Toc502996220"/>
      <w:bookmarkStart w:id="85" w:name="_Toc497598026"/>
      <w:r w:rsidRPr="003625EA">
        <w:lastRenderedPageBreak/>
        <w:t>P</w:t>
      </w:r>
      <w:r w:rsidR="00F41279" w:rsidRPr="003625EA">
        <w:t xml:space="preserve">rocedural </w:t>
      </w:r>
      <w:bookmarkEnd w:id="83"/>
      <w:r w:rsidR="008F578A">
        <w:t>M</w:t>
      </w:r>
      <w:r w:rsidR="008F578A" w:rsidRPr="003625EA">
        <w:t>atters</w:t>
      </w:r>
      <w:bookmarkEnd w:id="84"/>
      <w:r w:rsidR="008F578A" w:rsidRPr="003625EA">
        <w:t xml:space="preserve"> </w:t>
      </w:r>
      <w:bookmarkEnd w:id="85"/>
    </w:p>
    <w:p w14:paraId="1410112C" w14:textId="2880E604" w:rsidR="00B540B3" w:rsidRPr="00746C34" w:rsidRDefault="00F81C9F" w:rsidP="00EE5131">
      <w:pPr>
        <w:widowControl w:val="0"/>
        <w:contextualSpacing/>
        <w:rPr>
          <w:rFonts w:eastAsia="Calibri" w:cs="Times New Roman"/>
          <w:szCs w:val="24"/>
        </w:rPr>
      </w:pPr>
      <w:r w:rsidRPr="00925262">
        <w:rPr>
          <w:rFonts w:eastAsia="Calibri" w:cs="Times New Roman"/>
          <w:szCs w:val="24"/>
        </w:rPr>
        <w:t xml:space="preserve">The receiving </w:t>
      </w:r>
      <w:r w:rsidR="008F7045">
        <w:rPr>
          <w:rFonts w:eastAsia="Calibri" w:cs="Times New Roman"/>
          <w:szCs w:val="24"/>
        </w:rPr>
        <w:t>State</w:t>
      </w:r>
      <w:r w:rsidRPr="00925262">
        <w:rPr>
          <w:rFonts w:eastAsia="Calibri" w:cs="Times New Roman"/>
          <w:szCs w:val="24"/>
        </w:rPr>
        <w:t xml:space="preserve"> must consent to the visit as a special mission</w:t>
      </w:r>
      <w:r w:rsidR="00476E8F">
        <w:rPr>
          <w:rFonts w:eastAsia="Calibri" w:cs="Times New Roman"/>
          <w:szCs w:val="24"/>
        </w:rPr>
        <w:t>,</w:t>
      </w:r>
      <w:r w:rsidRPr="00925262">
        <w:rPr>
          <w:rFonts w:eastAsia="Calibri" w:cs="Times New Roman"/>
          <w:szCs w:val="24"/>
          <w:vertAlign w:val="superscript"/>
        </w:rPr>
        <w:footnoteReference w:id="174"/>
      </w:r>
      <w:r w:rsidR="00476E8F">
        <w:rPr>
          <w:rFonts w:eastAsia="Calibri" w:cs="Times New Roman"/>
          <w:szCs w:val="24"/>
        </w:rPr>
        <w:t xml:space="preserve"> but there is no requirement in the Convention on Special Missions or under customary international law that consent take a particular form.</w:t>
      </w:r>
      <w:r w:rsidRPr="00925262">
        <w:rPr>
          <w:rFonts w:eastAsia="Calibri" w:cs="Times New Roman"/>
          <w:szCs w:val="24"/>
        </w:rPr>
        <w:t xml:space="preserve"> </w:t>
      </w:r>
      <w:r w:rsidR="00CE08C4">
        <w:rPr>
          <w:rFonts w:eastAsia="Calibri" w:cs="Times New Roman"/>
          <w:szCs w:val="24"/>
        </w:rPr>
        <w:t>It is only necessary for</w:t>
      </w:r>
      <w:r w:rsidR="006A3BF6">
        <w:rPr>
          <w:rFonts w:eastAsia="Calibri" w:cs="Times New Roman"/>
          <w:szCs w:val="24"/>
        </w:rPr>
        <w:t xml:space="preserve"> the</w:t>
      </w:r>
      <w:r w:rsidRPr="00925262">
        <w:rPr>
          <w:rFonts w:eastAsia="Calibri" w:cs="Times New Roman"/>
          <w:szCs w:val="24"/>
        </w:rPr>
        <w:t xml:space="preserve"> receiving </w:t>
      </w:r>
      <w:r w:rsidR="008F7045">
        <w:rPr>
          <w:rFonts w:eastAsia="Calibri" w:cs="Times New Roman"/>
          <w:szCs w:val="24"/>
        </w:rPr>
        <w:t>State</w:t>
      </w:r>
      <w:r w:rsidRPr="00925262">
        <w:rPr>
          <w:rFonts w:eastAsia="Calibri" w:cs="Times New Roman"/>
          <w:szCs w:val="24"/>
        </w:rPr>
        <w:t xml:space="preserve"> </w:t>
      </w:r>
      <w:r w:rsidR="00CE08C4">
        <w:rPr>
          <w:rFonts w:eastAsia="Calibri" w:cs="Times New Roman"/>
          <w:szCs w:val="24"/>
        </w:rPr>
        <w:t>to have</w:t>
      </w:r>
      <w:r w:rsidR="00CE08C4" w:rsidRPr="00925262">
        <w:rPr>
          <w:rFonts w:eastAsia="Calibri" w:cs="Times New Roman"/>
          <w:szCs w:val="24"/>
        </w:rPr>
        <w:t xml:space="preserve"> </w:t>
      </w:r>
      <w:r w:rsidR="0080431E">
        <w:rPr>
          <w:rFonts w:eastAsia="Calibri" w:cs="Times New Roman"/>
          <w:szCs w:val="24"/>
        </w:rPr>
        <w:t xml:space="preserve">previously </w:t>
      </w:r>
      <w:r w:rsidRPr="00925262">
        <w:rPr>
          <w:rFonts w:eastAsia="Calibri" w:cs="Times New Roman"/>
          <w:szCs w:val="24"/>
        </w:rPr>
        <w:t>agreed</w:t>
      </w:r>
      <w:r w:rsidR="00CE08C4">
        <w:rPr>
          <w:rFonts w:eastAsia="Calibri" w:cs="Times New Roman"/>
          <w:szCs w:val="24"/>
        </w:rPr>
        <w:t xml:space="preserve"> through diplomatic or other mutually agreed channels</w:t>
      </w:r>
      <w:r w:rsidRPr="00925262">
        <w:rPr>
          <w:rFonts w:eastAsia="Calibri" w:cs="Times New Roman"/>
          <w:szCs w:val="24"/>
        </w:rPr>
        <w:t xml:space="preserve"> to receive the visitors as part of a special mission entitled to immunity</w:t>
      </w:r>
      <w:r w:rsidR="00B858C1">
        <w:rPr>
          <w:rFonts w:eastAsia="Calibri" w:cs="Times New Roman"/>
          <w:szCs w:val="24"/>
        </w:rPr>
        <w:t>.</w:t>
      </w:r>
      <w:r w:rsidR="0080431E">
        <w:rPr>
          <w:rStyle w:val="FootnoteReference"/>
          <w:rFonts w:eastAsia="Calibri" w:cs="Times New Roman"/>
          <w:szCs w:val="24"/>
        </w:rPr>
        <w:footnoteReference w:id="175"/>
      </w:r>
      <w:r w:rsidRPr="00925262">
        <w:rPr>
          <w:rFonts w:eastAsia="Calibri" w:cs="Times New Roman"/>
          <w:szCs w:val="24"/>
        </w:rPr>
        <w:t xml:space="preserve"> </w:t>
      </w:r>
      <w:r w:rsidR="00B858C1">
        <w:rPr>
          <w:rFonts w:eastAsia="Calibri" w:cs="Times New Roman"/>
          <w:szCs w:val="24"/>
        </w:rPr>
        <w:t>I</w:t>
      </w:r>
      <w:r w:rsidRPr="00925262">
        <w:rPr>
          <w:rFonts w:eastAsia="Calibri" w:cs="Times New Roman"/>
          <w:szCs w:val="24"/>
        </w:rPr>
        <w:t xml:space="preserve">t is not necessary that the sending and receiving </w:t>
      </w:r>
      <w:r w:rsidR="008F7045">
        <w:rPr>
          <w:rFonts w:eastAsia="Calibri" w:cs="Times New Roman"/>
          <w:szCs w:val="24"/>
        </w:rPr>
        <w:t>State</w:t>
      </w:r>
      <w:r w:rsidRPr="00925262">
        <w:rPr>
          <w:rFonts w:eastAsia="Calibri" w:cs="Times New Roman"/>
          <w:szCs w:val="24"/>
        </w:rPr>
        <w:t xml:space="preserve">s use the term </w:t>
      </w:r>
      <w:r w:rsidR="00E707CF">
        <w:rPr>
          <w:rFonts w:eastAsia="Calibri" w:cs="Times New Roman"/>
          <w:szCs w:val="24"/>
        </w:rPr>
        <w:t>‘</w:t>
      </w:r>
      <w:r w:rsidRPr="00925262">
        <w:rPr>
          <w:rFonts w:eastAsia="Calibri" w:cs="Times New Roman"/>
          <w:szCs w:val="24"/>
        </w:rPr>
        <w:t>special mission</w:t>
      </w:r>
      <w:r w:rsidR="00E707CF">
        <w:rPr>
          <w:rFonts w:eastAsia="Calibri" w:cs="Times New Roman"/>
          <w:szCs w:val="24"/>
        </w:rPr>
        <w:t>’</w:t>
      </w:r>
      <w:r w:rsidRPr="00925262">
        <w:rPr>
          <w:rFonts w:eastAsia="Calibri" w:cs="Times New Roman"/>
          <w:szCs w:val="24"/>
        </w:rPr>
        <w:t>. The issuance of a visa—even a diplomatic or official visa</w:t>
      </w:r>
      <w:r w:rsidR="00E707CF">
        <w:rPr>
          <w:rFonts w:eastAsia="Calibri" w:cs="Times New Roman"/>
          <w:szCs w:val="24"/>
        </w:rPr>
        <w:t xml:space="preserve"> – </w:t>
      </w:r>
      <w:r w:rsidRPr="00925262">
        <w:rPr>
          <w:rFonts w:eastAsia="Calibri" w:cs="Times New Roman"/>
          <w:szCs w:val="24"/>
        </w:rPr>
        <w:t xml:space="preserve">does not necessarily mean that the </w:t>
      </w:r>
      <w:r w:rsidR="008F7045">
        <w:rPr>
          <w:rFonts w:eastAsia="Calibri" w:cs="Times New Roman"/>
          <w:szCs w:val="24"/>
        </w:rPr>
        <w:t>State</w:t>
      </w:r>
      <w:r w:rsidRPr="00925262">
        <w:rPr>
          <w:rFonts w:eastAsia="Calibri" w:cs="Times New Roman"/>
          <w:szCs w:val="24"/>
        </w:rPr>
        <w:t xml:space="preserve"> consents to a special mission.</w:t>
      </w:r>
      <w:r w:rsidRPr="00925262">
        <w:rPr>
          <w:rFonts w:eastAsia="Calibri" w:cs="Times New Roman"/>
          <w:szCs w:val="24"/>
          <w:vertAlign w:val="superscript"/>
        </w:rPr>
        <w:footnoteReference w:id="176"/>
      </w:r>
      <w:r w:rsidRPr="00925262">
        <w:rPr>
          <w:rFonts w:eastAsia="Calibri" w:cs="Times New Roman"/>
          <w:szCs w:val="24"/>
        </w:rPr>
        <w:t xml:space="preserve"> Immigration authorities may not be concerned with the question of immunities or of whether the executive has consented to the visit as a special mission.</w:t>
      </w:r>
      <w:r w:rsidR="005E2C6F">
        <w:rPr>
          <w:rFonts w:eastAsia="Calibri" w:cs="Times New Roman"/>
          <w:szCs w:val="24"/>
        </w:rPr>
        <w:t xml:space="preserve"> </w:t>
      </w:r>
      <w:r w:rsidRPr="00925262">
        <w:rPr>
          <w:rFonts w:eastAsia="Calibri" w:cs="Times New Roman"/>
          <w:szCs w:val="24"/>
        </w:rPr>
        <w:t xml:space="preserve">Consent may be implied from all the circumstances, although some </w:t>
      </w:r>
      <w:r w:rsidR="008F7045">
        <w:rPr>
          <w:rFonts w:eastAsia="Calibri" w:cs="Times New Roman"/>
          <w:szCs w:val="24"/>
        </w:rPr>
        <w:t>State</w:t>
      </w:r>
      <w:r w:rsidRPr="00925262">
        <w:rPr>
          <w:rFonts w:eastAsia="Calibri" w:cs="Times New Roman"/>
          <w:szCs w:val="24"/>
        </w:rPr>
        <w:t>s also provide a formal process for obtaining consent</w:t>
      </w:r>
      <w:r w:rsidRPr="00925262">
        <w:rPr>
          <w:rFonts w:eastAsia="Calibri" w:cs="Times New Roman"/>
          <w:szCs w:val="24"/>
          <w:vertAlign w:val="superscript"/>
        </w:rPr>
        <w:footnoteReference w:id="177"/>
      </w:r>
      <w:r w:rsidRPr="00925262">
        <w:rPr>
          <w:rFonts w:eastAsia="Calibri" w:cs="Times New Roman"/>
          <w:szCs w:val="24"/>
        </w:rPr>
        <w:t xml:space="preserve"> and/or a procedure to obtain express confirmation of whether the </w:t>
      </w:r>
      <w:r w:rsidR="008F7045">
        <w:rPr>
          <w:rFonts w:eastAsia="Calibri" w:cs="Times New Roman"/>
          <w:szCs w:val="24"/>
        </w:rPr>
        <w:t>State</w:t>
      </w:r>
      <w:r w:rsidRPr="00925262">
        <w:rPr>
          <w:rFonts w:eastAsia="Calibri" w:cs="Times New Roman"/>
          <w:szCs w:val="24"/>
        </w:rPr>
        <w:t xml:space="preserve"> has consented to a visit as a special mission. </w:t>
      </w:r>
      <w:r w:rsidR="00EE5131">
        <w:rPr>
          <w:rFonts w:eastAsia="Calibri" w:cs="Times New Roman"/>
          <w:szCs w:val="24"/>
        </w:rPr>
        <w:t>For example, f</w:t>
      </w:r>
      <w:r w:rsidR="00B540B3" w:rsidRPr="00746C34">
        <w:rPr>
          <w:rFonts w:eastAsia="Calibri" w:cs="Times New Roman"/>
          <w:szCs w:val="24"/>
        </w:rPr>
        <w:t>ollowing the High Court</w:t>
      </w:r>
      <w:r w:rsidR="00B540B3" w:rsidRPr="00746C34">
        <w:rPr>
          <w:rFonts w:eastAsia="Calibri" w:cs="Times New Roman"/>
          <w:i/>
          <w:szCs w:val="24"/>
        </w:rPr>
        <w:t xml:space="preserve"> </w:t>
      </w:r>
      <w:r w:rsidR="00B540B3" w:rsidRPr="00746C34">
        <w:rPr>
          <w:rFonts w:eastAsia="Calibri" w:cs="Times New Roman"/>
          <w:szCs w:val="24"/>
        </w:rPr>
        <w:t xml:space="preserve">decision in </w:t>
      </w:r>
      <w:r w:rsidR="00B540B3" w:rsidRPr="00746C34">
        <w:rPr>
          <w:rFonts w:eastAsia="Calibri" w:cs="Times New Roman"/>
          <w:i/>
          <w:szCs w:val="24"/>
        </w:rPr>
        <w:t>Khurt Bat</w:t>
      </w:r>
      <w:r w:rsidR="00B540B3" w:rsidRPr="00746C34">
        <w:rPr>
          <w:rFonts w:eastAsia="Calibri" w:cs="Times New Roman"/>
          <w:szCs w:val="24"/>
        </w:rPr>
        <w:t>,</w:t>
      </w:r>
      <w:r w:rsidR="00B540B3" w:rsidRPr="00746C34">
        <w:rPr>
          <w:rFonts w:eastAsia="Calibri" w:cs="Times New Roman"/>
          <w:szCs w:val="24"/>
          <w:vertAlign w:val="superscript"/>
        </w:rPr>
        <w:footnoteReference w:id="178"/>
      </w:r>
      <w:r w:rsidR="00B540B3" w:rsidRPr="00746C34">
        <w:rPr>
          <w:rFonts w:eastAsia="Calibri" w:cs="Times New Roman"/>
          <w:szCs w:val="24"/>
        </w:rPr>
        <w:t xml:space="preserve"> the British Government informed </w:t>
      </w:r>
      <w:r w:rsidR="00717BEE">
        <w:rPr>
          <w:rFonts w:eastAsia="Calibri" w:cs="Times New Roman"/>
          <w:szCs w:val="24"/>
        </w:rPr>
        <w:t xml:space="preserve">the </w:t>
      </w:r>
      <w:r w:rsidR="00B540B3" w:rsidRPr="00746C34">
        <w:rPr>
          <w:rFonts w:eastAsia="Calibri" w:cs="Times New Roman"/>
          <w:szCs w:val="24"/>
        </w:rPr>
        <w:t xml:space="preserve">UK Parliament of </w:t>
      </w:r>
      <w:r w:rsidR="00E707CF">
        <w:rPr>
          <w:rFonts w:eastAsia="Calibri" w:cs="Times New Roman"/>
          <w:szCs w:val="24"/>
        </w:rPr>
        <w:t>‘</w:t>
      </w:r>
      <w:r w:rsidR="00B540B3" w:rsidRPr="00746C34">
        <w:rPr>
          <w:rFonts w:eastAsia="MS Mincho" w:cs="Times New Roman"/>
          <w:szCs w:val="24"/>
          <w:lang w:bidi="en-US"/>
        </w:rPr>
        <w:t>a new pilot process by which the Government will be informed of inward visits which may qualify for special mission immunity status</w:t>
      </w:r>
      <w:r w:rsidR="00E707CF">
        <w:rPr>
          <w:rFonts w:eastAsia="MS Mincho" w:cs="Times New Roman"/>
          <w:szCs w:val="24"/>
          <w:lang w:bidi="en-US"/>
        </w:rPr>
        <w:t>’</w:t>
      </w:r>
      <w:r w:rsidR="00B540B3" w:rsidRPr="00746C34">
        <w:rPr>
          <w:rFonts w:eastAsia="MS Mincho" w:cs="Times New Roman"/>
          <w:szCs w:val="24"/>
          <w:lang w:bidi="en-US"/>
        </w:rPr>
        <w:t>.</w:t>
      </w:r>
      <w:r w:rsidR="005E2C6F">
        <w:rPr>
          <w:rFonts w:eastAsia="MS Mincho" w:cs="Times New Roman"/>
          <w:szCs w:val="24"/>
          <w:lang w:bidi="en-US"/>
        </w:rPr>
        <w:t xml:space="preserve"> </w:t>
      </w:r>
      <w:r w:rsidR="00B540B3" w:rsidRPr="00746C34">
        <w:rPr>
          <w:rFonts w:eastAsia="MS Mincho" w:cs="Times New Roman"/>
          <w:szCs w:val="24"/>
          <w:lang w:bidi="en-US"/>
        </w:rPr>
        <w:t>In doing so, it explained that</w:t>
      </w:r>
    </w:p>
    <w:p w14:paraId="50F9C4AB" w14:textId="48F43271" w:rsidR="00746C34" w:rsidRPr="00AC5A5D" w:rsidRDefault="00B540B3" w:rsidP="00AC5A5D">
      <w:pPr>
        <w:pStyle w:val="Quote"/>
        <w:rPr>
          <w:lang w:bidi="en-US"/>
        </w:rPr>
      </w:pPr>
      <w:r w:rsidRPr="00746C34">
        <w:rPr>
          <w:lang w:bidi="en-US"/>
        </w:rPr>
        <w:t xml:space="preserve">[a] special mission is </w:t>
      </w:r>
      <w:bookmarkStart w:id="86" w:name="_Hlk490246290"/>
      <w:r w:rsidRPr="00746C34">
        <w:rPr>
          <w:lang w:bidi="en-US"/>
        </w:rPr>
        <w:t>a temporary mission, representing a state, which is sent by one state to another with the consent of the latter, in order to carry out official engagements on behalf of the sending state</w:t>
      </w:r>
      <w:bookmarkEnd w:id="86"/>
      <w:r w:rsidRPr="00746C34">
        <w:rPr>
          <w:lang w:bidi="en-US"/>
        </w:rPr>
        <w:t>.</w:t>
      </w:r>
    </w:p>
    <w:p w14:paraId="1D4737B1" w14:textId="3F836CAB" w:rsidR="00B540B3" w:rsidRPr="00746C34" w:rsidRDefault="00FB187D" w:rsidP="00B540B3">
      <w:pPr>
        <w:rPr>
          <w:rFonts w:eastAsia="MS Mincho" w:cs="Times New Roman"/>
          <w:szCs w:val="24"/>
          <w:lang w:bidi="en-US"/>
        </w:rPr>
      </w:pPr>
      <w:r>
        <w:rPr>
          <w:rFonts w:eastAsia="MS Mincho" w:cs="Times New Roman"/>
          <w:szCs w:val="24"/>
          <w:lang w:bidi="en-US"/>
        </w:rPr>
        <w:t>It further explained that</w:t>
      </w:r>
    </w:p>
    <w:p w14:paraId="50304FC0" w14:textId="7D494059" w:rsidR="00B540B3" w:rsidRPr="00746C34" w:rsidRDefault="00B540B3" w:rsidP="00FB187D">
      <w:pPr>
        <w:pStyle w:val="Quote"/>
        <w:rPr>
          <w:lang w:bidi="en-US"/>
        </w:rPr>
      </w:pPr>
      <w:r w:rsidRPr="00746C34">
        <w:rPr>
          <w:lang w:bidi="en-US"/>
        </w:rPr>
        <w:t xml:space="preserve">[i]n the case of </w:t>
      </w:r>
      <w:r w:rsidRPr="00746C34">
        <w:rPr>
          <w:i/>
          <w:lang w:bidi="en-US"/>
        </w:rPr>
        <w:t xml:space="preserve">Khurts Bat v the Federal Court of Germany </w:t>
      </w:r>
      <w:r w:rsidRPr="00746C34">
        <w:rPr>
          <w:lang w:bidi="en-US"/>
        </w:rPr>
        <w:t>[2011] EWHC 2029 (Admin) the High Court recognised that, under customary international law, members of a special mission enjoy immunities, including immunity from criminal proceedings and inviolability of the person, and that these immunities have effect in the United Kingdom by virtue of the common law.</w:t>
      </w:r>
      <w:r w:rsidR="005E2C6F">
        <w:rPr>
          <w:lang w:bidi="en-US"/>
        </w:rPr>
        <w:t xml:space="preserve"> </w:t>
      </w:r>
      <w:r w:rsidRPr="00746C34">
        <w:rPr>
          <w:lang w:bidi="en-US"/>
        </w:rPr>
        <w:t>However, the Court made clear that not everyone representing a State on a visit of mutual interest is entitled to the immunities afforded to members of a special mission but only where a visit is consented to as a special mission. In the case of inward missions to the United Kingdom, the Court affirmed that it is a matter for Her Majesty’s Government to decide whether to recognise a mission as a special mission.</w:t>
      </w:r>
      <w:r w:rsidRPr="00746C34">
        <w:rPr>
          <w:vertAlign w:val="superscript"/>
          <w:lang w:bidi="en-US"/>
        </w:rPr>
        <w:footnoteReference w:id="179"/>
      </w:r>
    </w:p>
    <w:p w14:paraId="3922D0C2" w14:textId="4CEC3E83" w:rsidR="00B540B3" w:rsidRPr="00746C34" w:rsidRDefault="00B540B3" w:rsidP="00FB187D">
      <w:pPr>
        <w:widowControl w:val="0"/>
        <w:contextualSpacing/>
        <w:rPr>
          <w:rFonts w:eastAsia="Calibri" w:cs="Times New Roman"/>
          <w:szCs w:val="24"/>
        </w:rPr>
      </w:pPr>
      <w:r w:rsidRPr="00746C34">
        <w:rPr>
          <w:rFonts w:eastAsia="Calibri" w:cs="Times New Roman"/>
          <w:szCs w:val="24"/>
        </w:rPr>
        <w:lastRenderedPageBreak/>
        <w:t>In a Note of the same date to diplomatic missions and international organizations in London, the FCO drew a</w:t>
      </w:r>
      <w:r w:rsidR="005525A0">
        <w:rPr>
          <w:rFonts w:eastAsia="Calibri" w:cs="Times New Roman"/>
          <w:szCs w:val="24"/>
        </w:rPr>
        <w:t xml:space="preserve">ttention to this new procedure </w:t>
      </w:r>
      <w:r w:rsidR="00AC5A5D">
        <w:rPr>
          <w:rFonts w:eastAsia="Calibri" w:cs="Times New Roman"/>
          <w:szCs w:val="24"/>
        </w:rPr>
        <w:t>‘</w:t>
      </w:r>
      <w:r w:rsidRPr="00746C34">
        <w:rPr>
          <w:rFonts w:eastAsia="Calibri" w:cs="Times New Roman"/>
          <w:szCs w:val="24"/>
        </w:rPr>
        <w:t>of which missions may wish to avail themselves, in order to clarify where the United Kingdom consents to an offici</w:t>
      </w:r>
      <w:r w:rsidR="005525A0">
        <w:rPr>
          <w:rFonts w:eastAsia="Calibri" w:cs="Times New Roman"/>
          <w:szCs w:val="24"/>
        </w:rPr>
        <w:t>al visit as a special mission</w:t>
      </w:r>
      <w:r w:rsidR="00AC5A5D">
        <w:rPr>
          <w:rFonts w:eastAsia="Calibri" w:cs="Times New Roman"/>
          <w:szCs w:val="24"/>
        </w:rPr>
        <w:t>’</w:t>
      </w:r>
      <w:r w:rsidR="005525A0">
        <w:rPr>
          <w:rFonts w:eastAsia="Calibri" w:cs="Times New Roman"/>
          <w:szCs w:val="24"/>
        </w:rPr>
        <w:t>.</w:t>
      </w:r>
      <w:r w:rsidRPr="00746C34">
        <w:rPr>
          <w:rFonts w:eastAsia="Calibri" w:cs="Times New Roman"/>
          <w:szCs w:val="24"/>
        </w:rPr>
        <w:t xml:space="preserve"> The Note stated that </w:t>
      </w:r>
    </w:p>
    <w:p w14:paraId="50241A41" w14:textId="346786B0" w:rsidR="00B540B3" w:rsidRPr="00925262" w:rsidRDefault="00B540B3" w:rsidP="00FB187D">
      <w:pPr>
        <w:pStyle w:val="Quote"/>
      </w:pPr>
      <w:r w:rsidRPr="00746C34">
        <w:rPr>
          <w:lang w:eastAsia="en-GB"/>
        </w:rPr>
        <w:t>The FCO is mindful of the obligations incumbent upon the United Kingdom under customary international law in respect of special missions. Under customary international law, a</w:t>
      </w:r>
      <w:r w:rsidRPr="00746C34">
        <w:t xml:space="preserve"> special mission is a temporary mission, representing a State, which is sent by one State to another State with the consent of the latter, in order to carry out official business. In this context, </w:t>
      </w:r>
      <w:r w:rsidR="00246315">
        <w:t>‘</w:t>
      </w:r>
      <w:r w:rsidRPr="00746C34">
        <w:t>official business</w:t>
      </w:r>
      <w:r w:rsidR="00246315">
        <w:t>’</w:t>
      </w:r>
      <w:r w:rsidRPr="00746C34">
        <w:t xml:space="preserve"> will normally involve official contacts with the authorities of the United Kingdom, such as a meeting [with] officials of Her Majesty’s Government, or attendance at a ceremonial occasion, for example a Royal Wedding.</w:t>
      </w:r>
      <w:r w:rsidRPr="00746C34">
        <w:rPr>
          <w:rStyle w:val="FootnoteReference"/>
          <w:rFonts w:eastAsia="Calibri" w:cs="Times New Roman"/>
          <w:szCs w:val="24"/>
        </w:rPr>
        <w:footnoteReference w:id="180"/>
      </w:r>
    </w:p>
    <w:p w14:paraId="63E289E2" w14:textId="6750B69E" w:rsidR="00EE5131" w:rsidRPr="00925262" w:rsidRDefault="00BA4079" w:rsidP="00EE5131">
      <w:pPr>
        <w:widowControl w:val="0"/>
        <w:contextualSpacing/>
        <w:rPr>
          <w:rFonts w:eastAsia="Calibri" w:cs="Times New Roman"/>
          <w:szCs w:val="24"/>
        </w:rPr>
      </w:pPr>
      <w:r>
        <w:rPr>
          <w:rFonts w:eastAsia="Calibri" w:cs="Times New Roman"/>
          <w:szCs w:val="24"/>
        </w:rPr>
        <w:t xml:space="preserve">Notwithstanding this </w:t>
      </w:r>
      <w:r w:rsidR="00604F12">
        <w:rPr>
          <w:rFonts w:eastAsia="Calibri" w:cs="Times New Roman"/>
          <w:szCs w:val="24"/>
        </w:rPr>
        <w:t xml:space="preserve">and other </w:t>
      </w:r>
      <w:r>
        <w:rPr>
          <w:rFonts w:eastAsia="Calibri" w:cs="Times New Roman"/>
          <w:szCs w:val="24"/>
        </w:rPr>
        <w:t>procedure</w:t>
      </w:r>
      <w:r w:rsidR="00604F12">
        <w:rPr>
          <w:rFonts w:eastAsia="Calibri" w:cs="Times New Roman"/>
          <w:szCs w:val="24"/>
        </w:rPr>
        <w:t>s for ensuring advance consent</w:t>
      </w:r>
      <w:r w:rsidR="00F41279">
        <w:rPr>
          <w:rFonts w:eastAsia="Calibri" w:cs="Times New Roman"/>
          <w:szCs w:val="24"/>
        </w:rPr>
        <w:t>,</w:t>
      </w:r>
      <w:r w:rsidR="00EE5131" w:rsidRPr="00925262">
        <w:rPr>
          <w:rFonts w:eastAsia="Calibri" w:cs="Times New Roman"/>
          <w:szCs w:val="24"/>
        </w:rPr>
        <w:t xml:space="preserve"> </w:t>
      </w:r>
      <w:r w:rsidR="00E145EB">
        <w:rPr>
          <w:rFonts w:eastAsia="Calibri" w:cs="Times New Roman"/>
          <w:szCs w:val="24"/>
        </w:rPr>
        <w:t>under customary international law</w:t>
      </w:r>
      <w:r>
        <w:rPr>
          <w:rFonts w:eastAsia="Calibri" w:cs="Times New Roman"/>
          <w:szCs w:val="24"/>
        </w:rPr>
        <w:t xml:space="preserve"> </w:t>
      </w:r>
      <w:r w:rsidR="00EE5131" w:rsidRPr="00925262">
        <w:rPr>
          <w:rFonts w:eastAsia="Calibri" w:cs="Times New Roman"/>
          <w:szCs w:val="24"/>
        </w:rPr>
        <w:t xml:space="preserve">there </w:t>
      </w:r>
      <w:r w:rsidR="005961DB">
        <w:rPr>
          <w:rFonts w:eastAsia="Calibri" w:cs="Times New Roman"/>
          <w:szCs w:val="24"/>
        </w:rPr>
        <w:t xml:space="preserve">does not seem to be a </w:t>
      </w:r>
      <w:r w:rsidR="00EE5131" w:rsidRPr="00925262">
        <w:rPr>
          <w:rFonts w:eastAsia="Calibri" w:cs="Times New Roman"/>
          <w:szCs w:val="24"/>
        </w:rPr>
        <w:t xml:space="preserve">strict requirement that consent must be given prior to the </w:t>
      </w:r>
      <w:r w:rsidR="00EE5131" w:rsidRPr="00746C34">
        <w:rPr>
          <w:rFonts w:eastAsia="Calibri" w:cs="Times New Roman"/>
          <w:szCs w:val="24"/>
        </w:rPr>
        <w:t>arrival of the members of the special mission.</w:t>
      </w:r>
      <w:r w:rsidR="00EE5131" w:rsidRPr="00746C34">
        <w:rPr>
          <w:rFonts w:eastAsia="Calibri" w:cs="Times New Roman"/>
          <w:szCs w:val="24"/>
          <w:vertAlign w:val="superscript"/>
        </w:rPr>
        <w:footnoteReference w:id="181"/>
      </w:r>
    </w:p>
    <w:p w14:paraId="4947845E" w14:textId="61893204" w:rsidR="00DD13EF" w:rsidRPr="00925262" w:rsidRDefault="002515F5" w:rsidP="00D53BCC">
      <w:pPr>
        <w:pStyle w:val="Heading1"/>
        <w:rPr>
          <w:rFonts w:eastAsia="Calibri"/>
        </w:rPr>
      </w:pPr>
      <w:bookmarkStart w:id="87" w:name="_Toc364753217"/>
      <w:bookmarkStart w:id="88" w:name="_Toc497598027"/>
      <w:bookmarkStart w:id="89" w:name="_Toc502996221"/>
      <w:r w:rsidRPr="00925262">
        <w:rPr>
          <w:rFonts w:eastAsia="Calibri"/>
        </w:rPr>
        <w:t>Conclusion</w:t>
      </w:r>
      <w:bookmarkEnd w:id="87"/>
      <w:bookmarkEnd w:id="88"/>
      <w:bookmarkEnd w:id="89"/>
    </w:p>
    <w:p w14:paraId="3A6FCBE6" w14:textId="0F005A1B" w:rsidR="00D37055" w:rsidRPr="00925262" w:rsidRDefault="006A3BF6" w:rsidP="008A187C">
      <w:pPr>
        <w:widowControl w:val="0"/>
        <w:contextualSpacing/>
        <w:rPr>
          <w:rFonts w:eastAsia="Calibri" w:cs="Times New Roman"/>
          <w:b/>
          <w:szCs w:val="24"/>
        </w:rPr>
      </w:pPr>
      <w:r>
        <w:rPr>
          <w:rFonts w:eastAsia="Calibri" w:cs="Times New Roman"/>
          <w:szCs w:val="24"/>
        </w:rPr>
        <w:t>F</w:t>
      </w:r>
      <w:r w:rsidR="00F81C9F" w:rsidRPr="00925262">
        <w:rPr>
          <w:rFonts w:eastAsia="Calibri" w:cs="Times New Roman"/>
          <w:szCs w:val="24"/>
        </w:rPr>
        <w:t xml:space="preserve">rom </w:t>
      </w:r>
      <w:r>
        <w:rPr>
          <w:rFonts w:eastAsia="Calibri" w:cs="Times New Roman"/>
          <w:szCs w:val="24"/>
        </w:rPr>
        <w:t xml:space="preserve">the </w:t>
      </w:r>
      <w:r w:rsidR="008F7045">
        <w:rPr>
          <w:rFonts w:eastAsia="Calibri" w:cs="Times New Roman"/>
          <w:szCs w:val="24"/>
        </w:rPr>
        <w:t>State</w:t>
      </w:r>
      <w:r w:rsidR="00F81C9F" w:rsidRPr="00925262">
        <w:rPr>
          <w:rFonts w:eastAsia="Calibri" w:cs="Times New Roman"/>
          <w:szCs w:val="24"/>
        </w:rPr>
        <w:t xml:space="preserve"> practice and </w:t>
      </w:r>
      <w:r w:rsidR="00F81C9F" w:rsidRPr="00925262">
        <w:rPr>
          <w:rFonts w:eastAsia="Calibri" w:cs="Times New Roman"/>
          <w:i/>
          <w:szCs w:val="24"/>
        </w:rPr>
        <w:t>opinio juris</w:t>
      </w:r>
      <w:r w:rsidR="00F81C9F" w:rsidRPr="00925262">
        <w:rPr>
          <w:rFonts w:eastAsia="Calibri" w:cs="Times New Roman"/>
          <w:szCs w:val="24"/>
        </w:rPr>
        <w:t xml:space="preserve"> </w:t>
      </w:r>
      <w:r>
        <w:rPr>
          <w:rFonts w:eastAsia="Calibri" w:cs="Times New Roman"/>
          <w:szCs w:val="24"/>
        </w:rPr>
        <w:t xml:space="preserve">referred to above, it can be seen </w:t>
      </w:r>
      <w:r w:rsidR="00F81C9F" w:rsidRPr="00925262">
        <w:rPr>
          <w:rFonts w:eastAsia="Calibri" w:cs="Times New Roman"/>
          <w:szCs w:val="24"/>
        </w:rPr>
        <w:t xml:space="preserve">that </w:t>
      </w:r>
      <w:r w:rsidR="00BF01CC">
        <w:rPr>
          <w:rFonts w:eastAsia="Calibri" w:cs="Times New Roman"/>
          <w:szCs w:val="24"/>
        </w:rPr>
        <w:t xml:space="preserve">under </w:t>
      </w:r>
      <w:r w:rsidR="00F81C9F" w:rsidRPr="00925262">
        <w:rPr>
          <w:rFonts w:eastAsia="Calibri" w:cs="Times New Roman"/>
          <w:szCs w:val="24"/>
        </w:rPr>
        <w:t xml:space="preserve">customary international law members of special missions, </w:t>
      </w:r>
      <w:r w:rsidR="005961DB">
        <w:rPr>
          <w:rFonts w:eastAsia="Calibri" w:cs="Times New Roman"/>
          <w:szCs w:val="24"/>
        </w:rPr>
        <w:t>accepted</w:t>
      </w:r>
      <w:r w:rsidR="00F81C9F" w:rsidRPr="00925262">
        <w:rPr>
          <w:rFonts w:eastAsia="Calibri" w:cs="Times New Roman"/>
          <w:szCs w:val="24"/>
        </w:rPr>
        <w:t xml:space="preserve"> as such by the </w:t>
      </w:r>
      <w:r w:rsidR="005961DB">
        <w:rPr>
          <w:rFonts w:eastAsia="Calibri" w:cs="Times New Roman"/>
          <w:szCs w:val="24"/>
        </w:rPr>
        <w:t>receiving</w:t>
      </w:r>
      <w:r w:rsidR="00F81C9F" w:rsidRPr="00925262">
        <w:rPr>
          <w:rFonts w:eastAsia="Calibri" w:cs="Times New Roman"/>
          <w:szCs w:val="24"/>
        </w:rPr>
        <w:t xml:space="preserve"> </w:t>
      </w:r>
      <w:r w:rsidR="008F7045">
        <w:rPr>
          <w:rFonts w:eastAsia="Calibri" w:cs="Times New Roman"/>
          <w:szCs w:val="24"/>
        </w:rPr>
        <w:t>State</w:t>
      </w:r>
      <w:r w:rsidR="00F81C9F" w:rsidRPr="00925262">
        <w:rPr>
          <w:rFonts w:eastAsia="Calibri" w:cs="Times New Roman"/>
          <w:szCs w:val="24"/>
        </w:rPr>
        <w:t xml:space="preserve">, </w:t>
      </w:r>
      <w:r w:rsidR="00BF01CC">
        <w:rPr>
          <w:rFonts w:eastAsia="Calibri" w:cs="Times New Roman"/>
          <w:szCs w:val="24"/>
        </w:rPr>
        <w:t xml:space="preserve">enjoy </w:t>
      </w:r>
      <w:r w:rsidR="00F81C9F" w:rsidRPr="00925262">
        <w:rPr>
          <w:rFonts w:eastAsia="Calibri" w:cs="Times New Roman"/>
          <w:szCs w:val="24"/>
        </w:rPr>
        <w:t xml:space="preserve">inviolability </w:t>
      </w:r>
      <w:r w:rsidR="009F43D4" w:rsidRPr="00925262">
        <w:rPr>
          <w:rFonts w:eastAsia="Calibri" w:cs="Times New Roman"/>
          <w:szCs w:val="24"/>
        </w:rPr>
        <w:t xml:space="preserve">of the person </w:t>
      </w:r>
      <w:r w:rsidR="00F81C9F" w:rsidRPr="00925262">
        <w:rPr>
          <w:rFonts w:eastAsia="Calibri" w:cs="Times New Roman"/>
          <w:szCs w:val="24"/>
        </w:rPr>
        <w:t>and immunity from criminal jurisdiction</w:t>
      </w:r>
      <w:r w:rsidR="00653232">
        <w:rPr>
          <w:rFonts w:eastAsia="Calibri" w:cs="Times New Roman"/>
          <w:szCs w:val="24"/>
        </w:rPr>
        <w:t xml:space="preserve"> for the duration of the mission</w:t>
      </w:r>
      <w:r w:rsidR="00F81C9F" w:rsidRPr="00925262">
        <w:rPr>
          <w:rFonts w:eastAsia="Calibri" w:cs="Times New Roman"/>
          <w:szCs w:val="24"/>
        </w:rPr>
        <w:t>.</w:t>
      </w:r>
      <w:r w:rsidR="005E2C6F">
        <w:rPr>
          <w:rFonts w:eastAsia="Calibri" w:cs="Times New Roman"/>
          <w:szCs w:val="24"/>
        </w:rPr>
        <w:t xml:space="preserve"> </w:t>
      </w:r>
      <w:r w:rsidR="00F81C9F" w:rsidRPr="00925262">
        <w:rPr>
          <w:rFonts w:eastAsia="Calibri" w:cs="Times New Roman"/>
          <w:szCs w:val="24"/>
        </w:rPr>
        <w:t>Beyond this, however, uncertainties remain</w:t>
      </w:r>
      <w:r w:rsidR="005961DB">
        <w:rPr>
          <w:rFonts w:eastAsia="Calibri" w:cs="Times New Roman"/>
          <w:szCs w:val="24"/>
        </w:rPr>
        <w:t xml:space="preserve">: </w:t>
      </w:r>
      <w:r w:rsidR="00717BEE">
        <w:rPr>
          <w:rFonts w:eastAsia="Calibri" w:cs="Times New Roman"/>
          <w:szCs w:val="24"/>
        </w:rPr>
        <w:t>these include</w:t>
      </w:r>
      <w:r w:rsidR="00F81C9F" w:rsidRPr="00925262">
        <w:rPr>
          <w:rFonts w:eastAsia="Calibri" w:cs="Times New Roman"/>
          <w:szCs w:val="24"/>
        </w:rPr>
        <w:t xml:space="preserve"> the precise scope of </w:t>
      </w:r>
      <w:r w:rsidR="00653232">
        <w:rPr>
          <w:rFonts w:eastAsia="Calibri" w:cs="Times New Roman"/>
          <w:szCs w:val="24"/>
        </w:rPr>
        <w:t>missions in respect of which immunity arises</w:t>
      </w:r>
      <w:r w:rsidR="00F81C9F" w:rsidRPr="00925262">
        <w:rPr>
          <w:rFonts w:eastAsia="Calibri" w:cs="Times New Roman"/>
          <w:szCs w:val="24"/>
        </w:rPr>
        <w:t xml:space="preserve"> (with some </w:t>
      </w:r>
      <w:r w:rsidR="008F7045">
        <w:rPr>
          <w:rFonts w:eastAsia="Calibri" w:cs="Times New Roman"/>
          <w:szCs w:val="24"/>
        </w:rPr>
        <w:t>State</w:t>
      </w:r>
      <w:r w:rsidR="00F81C9F" w:rsidRPr="00925262">
        <w:rPr>
          <w:rFonts w:eastAsia="Calibri" w:cs="Times New Roman"/>
          <w:szCs w:val="24"/>
        </w:rPr>
        <w:t xml:space="preserve">s </w:t>
      </w:r>
      <w:r w:rsidR="00653232">
        <w:rPr>
          <w:rFonts w:eastAsia="Calibri" w:cs="Times New Roman"/>
          <w:szCs w:val="24"/>
        </w:rPr>
        <w:t>recogni</w:t>
      </w:r>
      <w:r w:rsidR="003F669A">
        <w:rPr>
          <w:rFonts w:eastAsia="Calibri" w:cs="Times New Roman"/>
          <w:szCs w:val="24"/>
        </w:rPr>
        <w:t>s</w:t>
      </w:r>
      <w:r w:rsidR="00653232">
        <w:rPr>
          <w:rFonts w:eastAsia="Calibri" w:cs="Times New Roman"/>
          <w:szCs w:val="24"/>
        </w:rPr>
        <w:t xml:space="preserve">ing </w:t>
      </w:r>
      <w:r w:rsidR="00F81C9F" w:rsidRPr="00925262">
        <w:rPr>
          <w:rFonts w:eastAsia="Calibri" w:cs="Times New Roman"/>
          <w:szCs w:val="24"/>
        </w:rPr>
        <w:t xml:space="preserve">immunity </w:t>
      </w:r>
      <w:r w:rsidR="00653232">
        <w:rPr>
          <w:rFonts w:eastAsia="Calibri" w:cs="Times New Roman"/>
          <w:szCs w:val="24"/>
        </w:rPr>
        <w:t>for</w:t>
      </w:r>
      <w:r w:rsidR="00F81C9F" w:rsidRPr="00925262">
        <w:rPr>
          <w:rFonts w:eastAsia="Calibri" w:cs="Times New Roman"/>
          <w:szCs w:val="24"/>
        </w:rPr>
        <w:t xml:space="preserve"> all missions, regardless of their level and function)</w:t>
      </w:r>
      <w:r w:rsidR="005961DB">
        <w:rPr>
          <w:rFonts w:eastAsia="Calibri" w:cs="Times New Roman"/>
          <w:szCs w:val="24"/>
        </w:rPr>
        <w:t>;</w:t>
      </w:r>
      <w:r w:rsidR="00F81C9F" w:rsidRPr="00925262">
        <w:rPr>
          <w:rFonts w:eastAsia="Calibri" w:cs="Times New Roman"/>
          <w:szCs w:val="24"/>
        </w:rPr>
        <w:t xml:space="preserve"> and whether </w:t>
      </w:r>
      <w:r w:rsidR="005961DB">
        <w:rPr>
          <w:rFonts w:eastAsia="Calibri" w:cs="Times New Roman"/>
          <w:szCs w:val="24"/>
        </w:rPr>
        <w:t xml:space="preserve">and if so how far </w:t>
      </w:r>
      <w:r w:rsidR="00F81C9F" w:rsidRPr="00925262">
        <w:rPr>
          <w:rFonts w:eastAsia="Calibri" w:cs="Times New Roman"/>
          <w:szCs w:val="24"/>
        </w:rPr>
        <w:t xml:space="preserve">customary law requires </w:t>
      </w:r>
      <w:r w:rsidR="008F7045">
        <w:rPr>
          <w:rFonts w:eastAsia="Calibri" w:cs="Times New Roman"/>
          <w:szCs w:val="24"/>
        </w:rPr>
        <w:t>State</w:t>
      </w:r>
      <w:r w:rsidR="00F81C9F" w:rsidRPr="00925262">
        <w:rPr>
          <w:rFonts w:eastAsia="Calibri" w:cs="Times New Roman"/>
          <w:szCs w:val="24"/>
        </w:rPr>
        <w:t>s to grant immunity from civil jurisdiction</w:t>
      </w:r>
      <w:r w:rsidR="00D546A1">
        <w:rPr>
          <w:rFonts w:eastAsia="Calibri" w:cs="Times New Roman"/>
          <w:szCs w:val="24"/>
        </w:rPr>
        <w:t>.</w:t>
      </w:r>
    </w:p>
    <w:sectPr w:rsidR="00D37055" w:rsidRPr="00925262" w:rsidSect="00581025">
      <w:footerReference w:type="default" r:id="rId8"/>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C57C" w14:textId="77777777" w:rsidR="00D01A10" w:rsidRDefault="00D01A10" w:rsidP="00AA1317">
      <w:pPr>
        <w:spacing w:line="240" w:lineRule="auto"/>
      </w:pPr>
      <w:r>
        <w:separator/>
      </w:r>
    </w:p>
  </w:endnote>
  <w:endnote w:type="continuationSeparator" w:id="0">
    <w:p w14:paraId="6CDA9776" w14:textId="77777777" w:rsidR="00D01A10" w:rsidRDefault="00D01A10" w:rsidP="00AA1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2D38" w14:textId="77777777" w:rsidR="00CB7F9A" w:rsidRDefault="00CB7F9A" w:rsidP="00CB7F9A">
    <w:pPr>
      <w:pStyle w:val="Footer"/>
      <w:jc w:val="center"/>
    </w:pPr>
  </w:p>
  <w:p w14:paraId="4B91C8BE" w14:textId="43F9EF90" w:rsidR="00CB7F9A" w:rsidRDefault="00CB7F9A" w:rsidP="00CB7F9A">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E7E70" w14:textId="77777777" w:rsidR="00D01A10" w:rsidRDefault="00D01A10" w:rsidP="00AA1317">
      <w:pPr>
        <w:spacing w:line="240" w:lineRule="auto"/>
      </w:pPr>
      <w:r>
        <w:separator/>
      </w:r>
    </w:p>
  </w:footnote>
  <w:footnote w:type="continuationSeparator" w:id="0">
    <w:p w14:paraId="03160EB7" w14:textId="77777777" w:rsidR="00D01A10" w:rsidRDefault="00D01A10" w:rsidP="00AA1317">
      <w:pPr>
        <w:spacing w:line="240" w:lineRule="auto"/>
      </w:pPr>
      <w:r>
        <w:continuationSeparator/>
      </w:r>
    </w:p>
  </w:footnote>
  <w:footnote w:id="1">
    <w:p w14:paraId="52BED30E" w14:textId="5661375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Volterra Fietta</w:t>
      </w:r>
      <w:bookmarkStart w:id="0" w:name="_GoBack"/>
      <w:bookmarkEnd w:id="0"/>
      <w:r w:rsidRPr="00F66F3C">
        <w:rPr>
          <w:szCs w:val="20"/>
          <w:lang w:val="en-GB"/>
        </w:rPr>
        <w:t xml:space="preserve"> Junior Research Lecturer at Newnham College and the Lauterpacht Centre for International Law, University of Cambridge.</w:t>
      </w:r>
    </w:p>
  </w:footnote>
  <w:footnote w:id="2">
    <w:p w14:paraId="76F8FBE7" w14:textId="2D7A0077"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Barrister, 20 Essex Street, London; Member of the UN International Law Commission.</w:t>
      </w:r>
    </w:p>
  </w:footnote>
  <w:footnote w:id="3">
    <w:p w14:paraId="0ABA6DD9" w14:textId="6237B54C" w:rsidR="00CA7C77" w:rsidRPr="006A2E69" w:rsidRDefault="00CA7C77" w:rsidP="00F66F3C">
      <w:pPr>
        <w:pStyle w:val="FootnoteText"/>
        <w:rPr>
          <w:rFonts w:eastAsia="Calibri"/>
          <w:szCs w:val="20"/>
          <w:lang w:val="en-US"/>
        </w:rPr>
      </w:pPr>
      <w:r w:rsidRPr="00F66F3C">
        <w:rPr>
          <w:rStyle w:val="FootnoteReference"/>
          <w:sz w:val="20"/>
          <w:szCs w:val="20"/>
          <w:lang w:val="en-GB"/>
        </w:rPr>
        <w:footnoteRef/>
      </w:r>
      <w:r w:rsidRPr="00F66F3C">
        <w:rPr>
          <w:szCs w:val="20"/>
          <w:lang w:val="en-GB"/>
        </w:rPr>
        <w:t xml:space="preserve"> M. Wood, </w:t>
      </w:r>
      <w:r>
        <w:rPr>
          <w:szCs w:val="20"/>
          <w:lang w:val="en-GB"/>
        </w:rPr>
        <w:t>‘</w:t>
      </w:r>
      <w:r w:rsidRPr="00F66F3C">
        <w:rPr>
          <w:szCs w:val="20"/>
          <w:lang w:val="en-GB"/>
        </w:rPr>
        <w:t>The Immunity of Official Visitors</w:t>
      </w:r>
      <w:r>
        <w:rPr>
          <w:szCs w:val="20"/>
          <w:lang w:val="en-GB"/>
        </w:rPr>
        <w:t xml:space="preserve">’ (2012) 16 </w:t>
      </w:r>
      <w:r w:rsidRPr="00F66F3C">
        <w:rPr>
          <w:i/>
          <w:szCs w:val="20"/>
          <w:lang w:val="en-GB"/>
        </w:rPr>
        <w:t xml:space="preserve">Max Planck Yearbook of United Nations </w:t>
      </w:r>
      <w:r w:rsidRPr="00F66F3C">
        <w:rPr>
          <w:szCs w:val="20"/>
          <w:lang w:val="en-GB"/>
        </w:rPr>
        <w:t>Law, 35.</w:t>
      </w:r>
      <w:r w:rsidR="006A2E69">
        <w:rPr>
          <w:szCs w:val="20"/>
          <w:lang w:val="en-GB"/>
        </w:rPr>
        <w:t xml:space="preserve"> </w:t>
      </w:r>
      <w:r w:rsidR="00ED510D">
        <w:rPr>
          <w:szCs w:val="20"/>
          <w:lang w:val="en-GB"/>
        </w:rPr>
        <w:t xml:space="preserve"> </w:t>
      </w:r>
      <w:r w:rsidR="006A2E69" w:rsidRPr="00ED510D">
        <w:rPr>
          <w:szCs w:val="20"/>
          <w:lang w:val="en-US"/>
        </w:rPr>
        <w:t>See also Chapter 27 on ‘Material Immunity of Foreign Officials from Criminal Jurisdiction for 'Acts Committed in the Official Capacity' and Possible Exceptions Thereto’ by Concepción Escobar Hernández.</w:t>
      </w:r>
    </w:p>
  </w:footnote>
  <w:footnote w:id="4">
    <w:p w14:paraId="7E7BB02D" w14:textId="73B3A59B" w:rsidR="00CA7C77" w:rsidRPr="00E4511D" w:rsidRDefault="00CA7C77" w:rsidP="00F66F3C">
      <w:pPr>
        <w:pStyle w:val="FootnoteText"/>
        <w:rPr>
          <w:rFonts w:eastAsia="Calibri"/>
          <w:szCs w:val="20"/>
          <w:lang w:val="fr-FR"/>
        </w:rPr>
      </w:pPr>
      <w:r w:rsidRPr="00F66F3C">
        <w:rPr>
          <w:rStyle w:val="FootnoteReference"/>
          <w:sz w:val="20"/>
          <w:szCs w:val="20"/>
          <w:lang w:val="en-GB"/>
        </w:rPr>
        <w:footnoteRef/>
      </w:r>
      <w:r w:rsidRPr="00E4511D">
        <w:rPr>
          <w:szCs w:val="20"/>
          <w:lang w:val="fr-FR"/>
        </w:rPr>
        <w:t xml:space="preserve"> </w:t>
      </w:r>
      <w:r w:rsidRPr="00E4511D">
        <w:rPr>
          <w:rFonts w:eastAsia="Calibri"/>
          <w:szCs w:val="20"/>
          <w:lang w:val="fr-FR"/>
        </w:rPr>
        <w:t xml:space="preserve">M. Bartoš, ‘Le statut des missions spéciales de la diplomatie </w:t>
      </w:r>
      <w:r w:rsidRPr="00E4511D">
        <w:rPr>
          <w:rFonts w:eastAsia="Calibri"/>
          <w:i/>
          <w:szCs w:val="20"/>
          <w:lang w:val="fr-FR"/>
        </w:rPr>
        <w:t>ad hoc</w:t>
      </w:r>
      <w:r w:rsidRPr="00E4511D">
        <w:rPr>
          <w:rFonts w:eastAsia="Calibri"/>
          <w:szCs w:val="20"/>
          <w:lang w:val="fr-FR"/>
        </w:rPr>
        <w:t xml:space="preserve">’ (1963) 108 </w:t>
      </w:r>
      <w:r w:rsidRPr="00E4511D">
        <w:rPr>
          <w:rFonts w:eastAsia="Calibri"/>
          <w:i/>
          <w:szCs w:val="20"/>
          <w:lang w:val="fr-FR"/>
        </w:rPr>
        <w:t xml:space="preserve">Recueil des Cours, </w:t>
      </w:r>
      <w:r w:rsidRPr="00E4511D">
        <w:rPr>
          <w:rFonts w:eastAsia="Calibri"/>
          <w:szCs w:val="20"/>
          <w:lang w:val="fr-FR"/>
        </w:rPr>
        <w:t xml:space="preserve">425; P. Cahier, </w:t>
      </w:r>
      <w:r w:rsidRPr="00E4511D">
        <w:rPr>
          <w:rFonts w:eastAsia="Calibri"/>
          <w:i/>
          <w:szCs w:val="20"/>
          <w:lang w:val="fr-FR"/>
        </w:rPr>
        <w:t>Le Droit Diplomatique Contemporain</w:t>
      </w:r>
      <w:r w:rsidRPr="00E4511D">
        <w:rPr>
          <w:rFonts w:eastAsia="Calibri"/>
          <w:szCs w:val="20"/>
          <w:lang w:val="fr-FR"/>
        </w:rPr>
        <w:t>, 2</w:t>
      </w:r>
      <w:r w:rsidRPr="00E4511D">
        <w:rPr>
          <w:rFonts w:eastAsia="Calibri"/>
          <w:szCs w:val="20"/>
          <w:vertAlign w:val="superscript"/>
          <w:lang w:val="fr-FR"/>
        </w:rPr>
        <w:t>nd</w:t>
      </w:r>
      <w:r w:rsidRPr="00E4511D">
        <w:rPr>
          <w:rFonts w:eastAsia="Calibri"/>
          <w:szCs w:val="20"/>
          <w:lang w:val="fr-FR"/>
        </w:rPr>
        <w:t xml:space="preserve"> edn. (Librairie E Droz, 1962), pp. 361–72; M. Dehaussy, ‘Travaux de la Commission du Droit International des Nations Unies’ (1967) 13 </w:t>
      </w:r>
      <w:r w:rsidRPr="00E4511D">
        <w:rPr>
          <w:rFonts w:eastAsia="Calibri"/>
          <w:i/>
          <w:szCs w:val="20"/>
          <w:lang w:val="fr-FR"/>
        </w:rPr>
        <w:t>Annuaire français de droit international</w:t>
      </w:r>
      <w:r w:rsidRPr="00E4511D">
        <w:rPr>
          <w:rFonts w:eastAsia="Calibri"/>
          <w:szCs w:val="20"/>
          <w:lang w:val="fr-FR"/>
        </w:rPr>
        <w:t xml:space="preserve">, 434; R. Donnarumma, </w:t>
      </w:r>
      <w:r w:rsidRPr="00E4511D">
        <w:rPr>
          <w:rFonts w:eastAsia="Calibri"/>
          <w:i/>
          <w:szCs w:val="20"/>
          <w:lang w:val="fr-FR"/>
        </w:rPr>
        <w:t>La diplomazia ‘ad hoc’</w:t>
      </w:r>
      <w:r w:rsidRPr="00E4511D">
        <w:rPr>
          <w:rFonts w:eastAsia="Calibri"/>
          <w:szCs w:val="20"/>
          <w:lang w:val="fr-FR"/>
        </w:rPr>
        <w:t xml:space="preserve"> (Tipomeccanica, 1968); </w:t>
      </w:r>
    </w:p>
    <w:p w14:paraId="3F17180E" w14:textId="165AA374" w:rsidR="00CA7C77" w:rsidRDefault="00CA7C77" w:rsidP="00F66F3C">
      <w:pPr>
        <w:pStyle w:val="FootnoteText"/>
        <w:rPr>
          <w:rFonts w:eastAsia="Calibri"/>
          <w:szCs w:val="20"/>
          <w:lang w:val="en-GB"/>
        </w:rPr>
      </w:pPr>
      <w:r w:rsidRPr="00F66F3C">
        <w:rPr>
          <w:rFonts w:eastAsia="Calibri"/>
          <w:szCs w:val="20"/>
          <w:lang w:val="en-GB"/>
        </w:rPr>
        <w:t xml:space="preserve">M. R. Donnarumma, </w:t>
      </w:r>
      <w:r>
        <w:rPr>
          <w:rFonts w:eastAsia="Calibri"/>
          <w:szCs w:val="20"/>
          <w:lang w:val="en-GB"/>
        </w:rPr>
        <w:t>‘</w:t>
      </w:r>
      <w:r w:rsidRPr="00F66F3C">
        <w:rPr>
          <w:rFonts w:eastAsia="Calibri"/>
          <w:szCs w:val="20"/>
          <w:lang w:val="en-GB"/>
        </w:rPr>
        <w:t>La Convention sur les missions spéciales (8 décembre 1969)</w:t>
      </w:r>
      <w:r>
        <w:rPr>
          <w:rFonts w:eastAsia="Calibri"/>
          <w:szCs w:val="20"/>
          <w:lang w:val="en-GB"/>
        </w:rPr>
        <w:t>’ (1972) 8</w:t>
      </w:r>
      <w:r w:rsidRPr="00F66F3C">
        <w:rPr>
          <w:rFonts w:eastAsia="Calibri"/>
          <w:szCs w:val="20"/>
          <w:lang w:val="en-GB"/>
        </w:rPr>
        <w:t xml:space="preserve"> </w:t>
      </w:r>
      <w:r w:rsidRPr="00F66F3C">
        <w:rPr>
          <w:rFonts w:eastAsia="Calibri"/>
          <w:i/>
          <w:szCs w:val="20"/>
          <w:lang w:val="en-GB"/>
        </w:rPr>
        <w:t>Revue belge de droit</w:t>
      </w:r>
      <w:r w:rsidRPr="00F66F3C">
        <w:rPr>
          <w:rFonts w:eastAsia="Calibri"/>
          <w:szCs w:val="20"/>
          <w:lang w:val="en-GB"/>
        </w:rPr>
        <w:t xml:space="preserve"> </w:t>
      </w:r>
      <w:r w:rsidRPr="00F66F3C">
        <w:rPr>
          <w:rFonts w:eastAsia="Calibri"/>
          <w:i/>
          <w:szCs w:val="20"/>
          <w:lang w:val="en-GB"/>
        </w:rPr>
        <w:t>international</w:t>
      </w:r>
      <w:r w:rsidRPr="00F66F3C">
        <w:rPr>
          <w:rFonts w:eastAsia="Calibri"/>
          <w:szCs w:val="20"/>
          <w:lang w:val="en-GB"/>
        </w:rPr>
        <w:t xml:space="preserve">, 34; J. Foakes, </w:t>
      </w:r>
      <w:r w:rsidRPr="00F66F3C">
        <w:rPr>
          <w:rFonts w:eastAsia="Calibri"/>
          <w:i/>
          <w:szCs w:val="20"/>
          <w:lang w:val="en-GB"/>
        </w:rPr>
        <w:t xml:space="preserve">The Position of Heads of State and Senior Officials in International Law </w:t>
      </w:r>
      <w:r w:rsidRPr="00F66F3C">
        <w:rPr>
          <w:rFonts w:eastAsia="Calibri"/>
          <w:szCs w:val="20"/>
          <w:lang w:val="en-GB"/>
        </w:rPr>
        <w:t xml:space="preserve">(Oxford University Press, 2014), pp. 133–5; E. Franey, </w:t>
      </w:r>
      <w:r w:rsidRPr="00F66F3C">
        <w:rPr>
          <w:rFonts w:eastAsia="Calibri"/>
          <w:i/>
          <w:szCs w:val="20"/>
          <w:lang w:val="en-GB"/>
        </w:rPr>
        <w:t>Immunity, Individuals and International Law: Which Individuals are Immune from the Jurisdiction of National Courts under International Law</w:t>
      </w:r>
      <w:r w:rsidRPr="00F66F3C">
        <w:rPr>
          <w:rFonts w:eastAsia="Calibri"/>
          <w:szCs w:val="20"/>
          <w:lang w:val="en-GB"/>
        </w:rPr>
        <w:t xml:space="preserve"> (LAP LAMBERT Academic Publishing, 2011), pp. 135–49; H. Fox and P. Webb, </w:t>
      </w:r>
      <w:r w:rsidRPr="00F66F3C">
        <w:rPr>
          <w:rFonts w:eastAsia="Calibri"/>
          <w:i/>
          <w:szCs w:val="20"/>
          <w:lang w:val="en-GB"/>
        </w:rPr>
        <w:t>The Law of State Immunity</w:t>
      </w:r>
      <w:r>
        <w:rPr>
          <w:rFonts w:eastAsia="Calibri"/>
          <w:szCs w:val="20"/>
          <w:lang w:val="en-GB"/>
        </w:rPr>
        <w:t>, 3</w:t>
      </w:r>
      <w:r w:rsidRPr="001230B3">
        <w:rPr>
          <w:rFonts w:eastAsia="Calibri"/>
          <w:szCs w:val="20"/>
          <w:vertAlign w:val="superscript"/>
          <w:lang w:val="en-GB"/>
        </w:rPr>
        <w:t>rd</w:t>
      </w:r>
      <w:r>
        <w:rPr>
          <w:rFonts w:eastAsia="Calibri"/>
          <w:szCs w:val="20"/>
          <w:lang w:val="en-GB"/>
        </w:rPr>
        <w:t xml:space="preserve"> edn.</w:t>
      </w:r>
      <w:r w:rsidRPr="00F66F3C">
        <w:rPr>
          <w:rFonts w:eastAsia="Calibri"/>
          <w:i/>
          <w:szCs w:val="20"/>
          <w:lang w:val="en-GB"/>
        </w:rPr>
        <w:t xml:space="preserve"> </w:t>
      </w:r>
      <w:r w:rsidRPr="00F66F3C">
        <w:rPr>
          <w:rFonts w:eastAsia="Calibri"/>
          <w:szCs w:val="20"/>
          <w:lang w:val="en-GB"/>
        </w:rPr>
        <w:t xml:space="preserve">(Oxford University Press, 2015), pp. 567–70; </w:t>
      </w:r>
      <w:r w:rsidRPr="00F66F3C">
        <w:rPr>
          <w:szCs w:val="20"/>
          <w:lang w:val="en-GB"/>
        </w:rPr>
        <w:t xml:space="preserve">M. Hardy, </w:t>
      </w:r>
      <w:r w:rsidRPr="00F66F3C">
        <w:rPr>
          <w:i/>
          <w:szCs w:val="20"/>
          <w:lang w:val="en-GB"/>
        </w:rPr>
        <w:t>Modern Diplomatic Law</w:t>
      </w:r>
      <w:r w:rsidRPr="00F66F3C">
        <w:rPr>
          <w:szCs w:val="20"/>
          <w:lang w:val="en-GB"/>
        </w:rPr>
        <w:t xml:space="preserve"> (Manchester University Press, 1964), pp. 89–94</w:t>
      </w:r>
      <w:r>
        <w:rPr>
          <w:szCs w:val="20"/>
          <w:lang w:val="en-GB"/>
        </w:rPr>
        <w:t xml:space="preserve">; </w:t>
      </w:r>
      <w:r w:rsidRPr="00F66F3C">
        <w:rPr>
          <w:rFonts w:eastAsia="Calibri"/>
          <w:szCs w:val="20"/>
          <w:lang w:val="en-GB"/>
        </w:rPr>
        <w:t xml:space="preserve">N. Kalb, </w:t>
      </w:r>
      <w:r>
        <w:rPr>
          <w:rFonts w:eastAsia="Calibri"/>
          <w:szCs w:val="20"/>
          <w:lang w:val="en-GB"/>
        </w:rPr>
        <w:t>‘</w:t>
      </w:r>
      <w:r w:rsidRPr="00F66F3C">
        <w:rPr>
          <w:rFonts w:eastAsia="Calibri"/>
          <w:szCs w:val="20"/>
          <w:lang w:val="en-GB"/>
        </w:rPr>
        <w:t>Immunities, Special Missions</w:t>
      </w:r>
      <w:r>
        <w:rPr>
          <w:rFonts w:eastAsia="Calibri"/>
          <w:szCs w:val="20"/>
          <w:lang w:val="en-GB"/>
        </w:rPr>
        <w:t xml:space="preserve">’ </w:t>
      </w:r>
      <w:r w:rsidRPr="00F66F3C">
        <w:rPr>
          <w:rFonts w:eastAsia="Calibri"/>
          <w:szCs w:val="20"/>
          <w:lang w:val="en-GB"/>
        </w:rPr>
        <w:t>in R. Wolfrum (ed</w:t>
      </w:r>
      <w:r>
        <w:rPr>
          <w:rFonts w:eastAsia="Calibri"/>
          <w:szCs w:val="20"/>
          <w:lang w:val="en-GB"/>
        </w:rPr>
        <w:t>.</w:t>
      </w:r>
      <w:r w:rsidRPr="00F66F3C">
        <w:rPr>
          <w:rFonts w:eastAsia="Calibri"/>
          <w:szCs w:val="20"/>
          <w:lang w:val="en-GB"/>
        </w:rPr>
        <w:t xml:space="preserve">), </w:t>
      </w:r>
      <w:r w:rsidRPr="00F66F3C">
        <w:rPr>
          <w:rFonts w:eastAsia="Calibri"/>
          <w:i/>
          <w:iCs/>
          <w:szCs w:val="20"/>
          <w:lang w:val="en-GB"/>
        </w:rPr>
        <w:t xml:space="preserve">The Max Planck Encyclopedia of Public International Law </w:t>
      </w:r>
      <w:r w:rsidRPr="00F66F3C">
        <w:rPr>
          <w:rFonts w:eastAsia="Calibri"/>
          <w:iCs/>
          <w:szCs w:val="20"/>
          <w:lang w:val="en-GB"/>
        </w:rPr>
        <w:t>(</w:t>
      </w:r>
      <w:r w:rsidRPr="00F66F3C">
        <w:rPr>
          <w:rFonts w:eastAsia="Calibri"/>
          <w:szCs w:val="20"/>
          <w:lang w:val="en-GB"/>
        </w:rPr>
        <w:t xml:space="preserve">Oxford University Press, 2012); A. Maresca, </w:t>
      </w:r>
      <w:r w:rsidRPr="00F66F3C">
        <w:rPr>
          <w:rFonts w:eastAsia="Calibri"/>
          <w:i/>
          <w:szCs w:val="20"/>
          <w:lang w:val="en-GB"/>
        </w:rPr>
        <w:t>Le missioni speciali</w:t>
      </w:r>
      <w:r w:rsidRPr="00F66F3C">
        <w:rPr>
          <w:rFonts w:eastAsia="Calibri"/>
          <w:szCs w:val="20"/>
          <w:lang w:val="en-GB"/>
        </w:rPr>
        <w:t xml:space="preserve"> (Giuffre, 1975); B. Murty, </w:t>
      </w:r>
      <w:r w:rsidRPr="00F66F3C">
        <w:rPr>
          <w:rFonts w:eastAsia="Calibri"/>
          <w:i/>
          <w:szCs w:val="20"/>
          <w:lang w:val="en-GB"/>
        </w:rPr>
        <w:t>The International Law of Diplomacy</w:t>
      </w:r>
      <w:r w:rsidRPr="00F66F3C">
        <w:rPr>
          <w:rFonts w:eastAsia="Calibri"/>
          <w:szCs w:val="20"/>
          <w:lang w:val="en-GB"/>
        </w:rPr>
        <w:t xml:space="preserve"> (New Haven Press/Nijhoff, 1989), pp. 262–6, 454–61; J. Nisot, </w:t>
      </w:r>
      <w:r>
        <w:rPr>
          <w:rFonts w:eastAsia="Calibri"/>
          <w:szCs w:val="20"/>
          <w:lang w:val="en-GB"/>
        </w:rPr>
        <w:t>‘</w:t>
      </w:r>
      <w:r w:rsidRPr="00F66F3C">
        <w:rPr>
          <w:rFonts w:eastAsia="Calibri"/>
          <w:szCs w:val="20"/>
          <w:lang w:val="en-GB"/>
        </w:rPr>
        <w:t xml:space="preserve">Diplomatie </w:t>
      </w:r>
      <w:r w:rsidRPr="00F66F3C">
        <w:rPr>
          <w:rFonts w:eastAsia="Calibri"/>
          <w:i/>
          <w:szCs w:val="20"/>
          <w:lang w:val="en-GB"/>
        </w:rPr>
        <w:t>ad hoc</w:t>
      </w:r>
      <w:r w:rsidRPr="00F66F3C">
        <w:rPr>
          <w:rFonts w:eastAsia="Calibri"/>
          <w:szCs w:val="20"/>
          <w:lang w:val="en-GB"/>
        </w:rPr>
        <w:t>–les missions spéciales</w:t>
      </w:r>
      <w:r>
        <w:rPr>
          <w:rFonts w:eastAsia="Calibri"/>
          <w:szCs w:val="20"/>
          <w:lang w:val="en-GB"/>
        </w:rPr>
        <w:t>’ (1968) 2</w:t>
      </w:r>
      <w:r w:rsidRPr="00F66F3C">
        <w:rPr>
          <w:rFonts w:eastAsia="Calibri"/>
          <w:szCs w:val="20"/>
          <w:lang w:val="en-GB"/>
        </w:rPr>
        <w:t xml:space="preserve"> </w:t>
      </w:r>
      <w:r w:rsidRPr="00F66F3C">
        <w:rPr>
          <w:rFonts w:eastAsia="Calibri"/>
          <w:i/>
          <w:szCs w:val="20"/>
          <w:lang w:val="en-GB"/>
        </w:rPr>
        <w:t>Revue belge de droit international</w:t>
      </w:r>
      <w:r w:rsidRPr="00F66F3C">
        <w:rPr>
          <w:rFonts w:eastAsia="Calibri"/>
          <w:szCs w:val="20"/>
          <w:lang w:val="en-GB"/>
        </w:rPr>
        <w:t>, 416</w:t>
      </w:r>
      <w:r w:rsidRPr="00F66F3C">
        <w:rPr>
          <w:rFonts w:eastAsia="Calibri"/>
          <w:szCs w:val="20"/>
          <w:lang w:val="en-GB"/>
        </w:rPr>
        <w:softHyphen/>
      </w:r>
      <w:r w:rsidRPr="00F66F3C">
        <w:rPr>
          <w:rFonts w:eastAsia="Calibri"/>
          <w:szCs w:val="20"/>
          <w:lang w:val="en-GB"/>
        </w:rPr>
        <w:softHyphen/>
        <w:t xml:space="preserve">–22; M. Paszkowski, </w:t>
      </w:r>
      <w:r>
        <w:rPr>
          <w:rFonts w:eastAsia="Calibri"/>
          <w:szCs w:val="20"/>
          <w:lang w:val="en-GB"/>
        </w:rPr>
        <w:t>‘T</w:t>
      </w:r>
      <w:r w:rsidRPr="00F66F3C">
        <w:rPr>
          <w:rFonts w:eastAsia="Calibri"/>
          <w:szCs w:val="20"/>
          <w:lang w:val="en-GB"/>
        </w:rPr>
        <w:t>he Law on Special Missions</w:t>
      </w:r>
      <w:r>
        <w:rPr>
          <w:rFonts w:eastAsia="Calibri"/>
          <w:szCs w:val="20"/>
          <w:lang w:val="en-GB"/>
        </w:rPr>
        <w:t xml:space="preserve">’ (1974) VI </w:t>
      </w:r>
      <w:r w:rsidRPr="00F66F3C">
        <w:rPr>
          <w:rFonts w:eastAsia="Calibri"/>
          <w:i/>
          <w:szCs w:val="20"/>
          <w:lang w:val="en-GB"/>
        </w:rPr>
        <w:t>Polish Yearbook of International Law</w:t>
      </w:r>
      <w:r w:rsidRPr="00F66F3C">
        <w:rPr>
          <w:rFonts w:eastAsia="Calibri"/>
          <w:szCs w:val="20"/>
          <w:lang w:val="en-GB"/>
        </w:rPr>
        <w:t xml:space="preserve">, 267–88; F. Przetacznik, </w:t>
      </w:r>
      <w:r>
        <w:rPr>
          <w:rFonts w:eastAsia="Calibri"/>
          <w:szCs w:val="20"/>
          <w:lang w:val="en-GB"/>
        </w:rPr>
        <w:t>‘</w:t>
      </w:r>
      <w:r w:rsidRPr="00F66F3C">
        <w:rPr>
          <w:rFonts w:eastAsia="Calibri"/>
          <w:szCs w:val="20"/>
          <w:lang w:val="en-GB"/>
        </w:rPr>
        <w:t>Jurisdictional Immunity of the Members of a Special Mission</w:t>
      </w:r>
      <w:r>
        <w:rPr>
          <w:rFonts w:eastAsia="Calibri"/>
          <w:szCs w:val="20"/>
          <w:lang w:val="en-GB"/>
        </w:rPr>
        <w:t>’ (1971) 11</w:t>
      </w:r>
      <w:r w:rsidRPr="00F66F3C">
        <w:rPr>
          <w:rFonts w:eastAsia="Calibri"/>
          <w:szCs w:val="20"/>
          <w:lang w:val="en-GB"/>
        </w:rPr>
        <w:t xml:space="preserve"> </w:t>
      </w:r>
      <w:r w:rsidRPr="00F66F3C">
        <w:rPr>
          <w:rFonts w:eastAsia="Calibri"/>
          <w:i/>
          <w:szCs w:val="20"/>
          <w:lang w:val="en-GB"/>
        </w:rPr>
        <w:t>Indian Journal of International Law</w:t>
      </w:r>
      <w:r w:rsidRPr="00F66F3C">
        <w:rPr>
          <w:rFonts w:eastAsia="Calibri"/>
          <w:szCs w:val="20"/>
          <w:lang w:val="en-GB"/>
        </w:rPr>
        <w:t xml:space="preserve">, 593; F. Przetacznik, </w:t>
      </w:r>
      <w:r>
        <w:rPr>
          <w:rFonts w:eastAsia="Calibri"/>
          <w:szCs w:val="20"/>
          <w:lang w:val="en-GB"/>
        </w:rPr>
        <w:t>‘</w:t>
      </w:r>
      <w:r w:rsidRPr="00F66F3C">
        <w:rPr>
          <w:rFonts w:eastAsia="Calibri"/>
          <w:szCs w:val="20"/>
          <w:lang w:val="en-GB"/>
        </w:rPr>
        <w:t>Diplomacy by Special Missions</w:t>
      </w:r>
      <w:r>
        <w:rPr>
          <w:rFonts w:eastAsia="Calibri"/>
          <w:szCs w:val="20"/>
          <w:lang w:val="en-GB"/>
        </w:rPr>
        <w:t>’ (1981) 59</w:t>
      </w:r>
      <w:r w:rsidRPr="00F66F3C">
        <w:rPr>
          <w:rFonts w:eastAsia="Calibri"/>
          <w:szCs w:val="20"/>
          <w:lang w:val="en-GB"/>
        </w:rPr>
        <w:t xml:space="preserve"> </w:t>
      </w:r>
      <w:r w:rsidRPr="00F66F3C">
        <w:rPr>
          <w:rFonts w:eastAsia="Calibri"/>
          <w:i/>
          <w:szCs w:val="20"/>
          <w:lang w:val="en-GB"/>
        </w:rPr>
        <w:t>Revue de droit international, de sciences diplomatiques et politiques</w:t>
      </w:r>
      <w:r w:rsidRPr="00F66F3C">
        <w:rPr>
          <w:rFonts w:eastAsia="Calibri"/>
          <w:szCs w:val="20"/>
          <w:lang w:val="en-GB"/>
        </w:rPr>
        <w:t xml:space="preserve">, 109; </w:t>
      </w:r>
      <w:bookmarkStart w:id="6" w:name="_Hlk491033319"/>
      <w:r w:rsidRPr="00F66F3C">
        <w:rPr>
          <w:rFonts w:eastAsia="Calibri"/>
          <w:szCs w:val="20"/>
          <w:lang w:val="en-GB"/>
        </w:rPr>
        <w:t>I. Roberts (ed</w:t>
      </w:r>
      <w:r>
        <w:rPr>
          <w:rFonts w:eastAsia="Calibri"/>
          <w:szCs w:val="20"/>
          <w:lang w:val="en-GB"/>
        </w:rPr>
        <w:t>.</w:t>
      </w:r>
      <w:r w:rsidRPr="00F66F3C">
        <w:rPr>
          <w:rFonts w:eastAsia="Calibri"/>
          <w:szCs w:val="20"/>
          <w:lang w:val="en-GB"/>
        </w:rPr>
        <w:t xml:space="preserve">), </w:t>
      </w:r>
      <w:r w:rsidRPr="00F66F3C">
        <w:rPr>
          <w:rFonts w:eastAsia="Calibri"/>
          <w:i/>
          <w:szCs w:val="20"/>
          <w:lang w:val="en-GB"/>
        </w:rPr>
        <w:t>Satow’s Diplomatic Practice</w:t>
      </w:r>
      <w:r>
        <w:rPr>
          <w:rFonts w:eastAsia="Calibri"/>
          <w:szCs w:val="20"/>
          <w:lang w:val="en-GB"/>
        </w:rPr>
        <w:t>, 7</w:t>
      </w:r>
      <w:r w:rsidRPr="00E3793C">
        <w:rPr>
          <w:rFonts w:eastAsia="Calibri"/>
          <w:szCs w:val="20"/>
          <w:vertAlign w:val="superscript"/>
          <w:lang w:val="en-GB"/>
        </w:rPr>
        <w:t>th</w:t>
      </w:r>
      <w:r>
        <w:rPr>
          <w:rFonts w:eastAsia="Calibri"/>
          <w:szCs w:val="20"/>
          <w:lang w:val="en-GB"/>
        </w:rPr>
        <w:t xml:space="preserve"> edn.</w:t>
      </w:r>
      <w:r w:rsidRPr="00F66F3C">
        <w:rPr>
          <w:rFonts w:eastAsia="Calibri"/>
          <w:szCs w:val="20"/>
          <w:lang w:val="en-GB"/>
        </w:rPr>
        <w:t xml:space="preserve"> (Oxford University Press, 2017)</w:t>
      </w:r>
      <w:bookmarkEnd w:id="6"/>
      <w:r w:rsidRPr="00F66F3C">
        <w:rPr>
          <w:rFonts w:eastAsia="Calibri"/>
          <w:szCs w:val="20"/>
          <w:lang w:val="en-GB"/>
        </w:rPr>
        <w:t xml:space="preserve">; </w:t>
      </w:r>
    </w:p>
    <w:p w14:paraId="75BB704D" w14:textId="28C9E523" w:rsidR="00CA7C77" w:rsidRPr="00F66F3C" w:rsidRDefault="00CA7C77" w:rsidP="00F66F3C">
      <w:pPr>
        <w:pStyle w:val="FootnoteText"/>
        <w:rPr>
          <w:rFonts w:eastAsia="Calibri"/>
          <w:szCs w:val="20"/>
          <w:lang w:val="en-GB"/>
        </w:rPr>
      </w:pPr>
      <w:r w:rsidRPr="00F66F3C">
        <w:rPr>
          <w:rFonts w:eastAsia="Calibri"/>
          <w:szCs w:val="20"/>
          <w:lang w:val="en-GB"/>
        </w:rPr>
        <w:t xml:space="preserve">M. Ryan, </w:t>
      </w:r>
      <w:r>
        <w:rPr>
          <w:rFonts w:eastAsia="Calibri"/>
          <w:szCs w:val="20"/>
          <w:lang w:val="en-GB"/>
        </w:rPr>
        <w:t>‘</w:t>
      </w:r>
      <w:r w:rsidRPr="00F66F3C">
        <w:rPr>
          <w:rFonts w:eastAsia="Calibri"/>
          <w:szCs w:val="20"/>
          <w:lang w:val="en-GB"/>
        </w:rPr>
        <w:t>The Status of Agents on Special Missions in Customary International Law</w:t>
      </w:r>
      <w:r>
        <w:rPr>
          <w:rFonts w:eastAsia="Calibri"/>
          <w:szCs w:val="20"/>
          <w:lang w:val="en-GB"/>
        </w:rPr>
        <w:t>’ (1978) 16</w:t>
      </w:r>
      <w:r w:rsidRPr="00F66F3C">
        <w:rPr>
          <w:rFonts w:eastAsia="Calibri"/>
          <w:szCs w:val="20"/>
          <w:lang w:val="en-GB"/>
        </w:rPr>
        <w:t xml:space="preserve"> </w:t>
      </w:r>
      <w:r w:rsidRPr="00F66F3C">
        <w:rPr>
          <w:rFonts w:eastAsia="Calibri"/>
          <w:i/>
          <w:szCs w:val="20"/>
          <w:lang w:val="en-GB"/>
        </w:rPr>
        <w:t>Canadian Yearbook of International Law</w:t>
      </w:r>
      <w:r w:rsidRPr="00F66F3C">
        <w:rPr>
          <w:rFonts w:eastAsia="Calibri"/>
          <w:szCs w:val="20"/>
          <w:lang w:val="en-GB"/>
        </w:rPr>
        <w:t xml:space="preserve">, 157; J. Salmon, </w:t>
      </w:r>
      <w:r w:rsidRPr="00F66F3C">
        <w:rPr>
          <w:rFonts w:eastAsia="Calibri"/>
          <w:i/>
          <w:szCs w:val="20"/>
          <w:lang w:val="en-GB"/>
        </w:rPr>
        <w:t>Manuel de Droit Diplomatique</w:t>
      </w:r>
      <w:r>
        <w:rPr>
          <w:rFonts w:eastAsia="Calibri"/>
          <w:szCs w:val="20"/>
          <w:lang w:val="en-GB"/>
        </w:rPr>
        <w:t xml:space="preserve"> (</w:t>
      </w:r>
      <w:r w:rsidRPr="00F66F3C">
        <w:rPr>
          <w:rFonts w:eastAsia="Calibri"/>
          <w:szCs w:val="20"/>
          <w:lang w:val="en-GB"/>
        </w:rPr>
        <w:t>Bruylant, 1994</w:t>
      </w:r>
      <w:r>
        <w:rPr>
          <w:rFonts w:eastAsia="Calibri"/>
          <w:szCs w:val="20"/>
          <w:lang w:val="en-GB"/>
        </w:rPr>
        <w:t>)</w:t>
      </w:r>
      <w:r w:rsidRPr="00F66F3C">
        <w:rPr>
          <w:rFonts w:eastAsia="Calibri"/>
          <w:szCs w:val="20"/>
          <w:lang w:val="en-GB"/>
        </w:rPr>
        <w:t xml:space="preserve">, pp. 535–546; A. Sanger, </w:t>
      </w:r>
      <w:r>
        <w:rPr>
          <w:rFonts w:eastAsia="Calibri"/>
          <w:szCs w:val="20"/>
          <w:lang w:val="en-GB"/>
        </w:rPr>
        <w:t>‘</w:t>
      </w:r>
      <w:r w:rsidRPr="00F66F3C">
        <w:rPr>
          <w:rFonts w:eastAsia="Calibri"/>
          <w:szCs w:val="20"/>
          <w:lang w:val="en-GB"/>
        </w:rPr>
        <w:t>Immunity of State Officials from the Criminal Jurisdiction of a Foreign State</w:t>
      </w:r>
      <w:r>
        <w:rPr>
          <w:rFonts w:eastAsia="Calibri"/>
          <w:szCs w:val="20"/>
          <w:lang w:val="en-GB"/>
        </w:rPr>
        <w:t>’ (2013) 62</w:t>
      </w:r>
      <w:r w:rsidRPr="00F66F3C">
        <w:rPr>
          <w:rFonts w:eastAsia="Calibri"/>
          <w:szCs w:val="20"/>
          <w:lang w:val="en-GB"/>
        </w:rPr>
        <w:t xml:space="preserve"> </w:t>
      </w:r>
      <w:r w:rsidRPr="00F66F3C">
        <w:rPr>
          <w:rFonts w:eastAsia="Calibri"/>
          <w:i/>
          <w:szCs w:val="20"/>
          <w:lang w:val="en-GB"/>
        </w:rPr>
        <w:t>International and Comparative Law Quarterly</w:t>
      </w:r>
      <w:r w:rsidRPr="00F66F3C">
        <w:rPr>
          <w:rFonts w:eastAsia="Calibri"/>
          <w:szCs w:val="20"/>
          <w:lang w:val="en-GB"/>
        </w:rPr>
        <w:t xml:space="preserve">, 193; I. Sinclair, </w:t>
      </w:r>
      <w:r w:rsidRPr="00F66F3C">
        <w:rPr>
          <w:rFonts w:eastAsia="Calibri"/>
          <w:i/>
          <w:szCs w:val="20"/>
          <w:lang w:val="en-GB"/>
        </w:rPr>
        <w:t>The International Law Commission</w:t>
      </w:r>
      <w:r w:rsidRPr="00F66F3C">
        <w:rPr>
          <w:rFonts w:eastAsia="Calibri"/>
          <w:szCs w:val="20"/>
          <w:lang w:val="en-GB"/>
        </w:rPr>
        <w:t xml:space="preserve"> (Grotius Publications, 1987), pp. 59–61</w:t>
      </w:r>
      <w:r>
        <w:rPr>
          <w:rFonts w:eastAsia="Calibri"/>
          <w:szCs w:val="20"/>
          <w:lang w:val="en-GB"/>
        </w:rPr>
        <w:t xml:space="preserve">; </w:t>
      </w:r>
      <w:r w:rsidRPr="00F66F3C">
        <w:rPr>
          <w:rFonts w:eastAsia="Calibri"/>
          <w:szCs w:val="20"/>
          <w:lang w:val="en-GB"/>
        </w:rPr>
        <w:t xml:space="preserve">M. Waters, </w:t>
      </w:r>
      <w:r w:rsidRPr="00F66F3C">
        <w:rPr>
          <w:rFonts w:eastAsia="Calibri"/>
          <w:i/>
          <w:szCs w:val="20"/>
          <w:lang w:val="en-GB"/>
        </w:rPr>
        <w:t>The Ad Hoc Diplomat: A Study in Municipal and International Law</w:t>
      </w:r>
      <w:r w:rsidRPr="00F66F3C">
        <w:rPr>
          <w:rFonts w:eastAsia="Calibri"/>
          <w:szCs w:val="20"/>
          <w:lang w:val="en-GB"/>
        </w:rPr>
        <w:t xml:space="preserve"> (M. Nijhoff, 1963); C. Wickremasinghe, </w:t>
      </w:r>
      <w:r>
        <w:rPr>
          <w:rFonts w:eastAsia="Calibri"/>
          <w:szCs w:val="20"/>
          <w:lang w:val="en-GB"/>
        </w:rPr>
        <w:t>‘</w:t>
      </w:r>
      <w:r w:rsidRPr="00F66F3C">
        <w:rPr>
          <w:rFonts w:eastAsia="Calibri"/>
          <w:szCs w:val="20"/>
          <w:lang w:val="en-GB"/>
        </w:rPr>
        <w:t>Immunities enjoyed by Officials of States and International Organizations</w:t>
      </w:r>
      <w:r>
        <w:rPr>
          <w:rFonts w:eastAsia="Calibri"/>
          <w:szCs w:val="20"/>
          <w:lang w:val="en-GB"/>
        </w:rPr>
        <w:t>’</w:t>
      </w:r>
      <w:r w:rsidRPr="00F66F3C">
        <w:rPr>
          <w:rFonts w:eastAsia="Calibri"/>
          <w:szCs w:val="20"/>
          <w:lang w:val="en-GB"/>
        </w:rPr>
        <w:t xml:space="preserve"> in M. D. Evans</w:t>
      </w:r>
      <w:r>
        <w:rPr>
          <w:rFonts w:eastAsia="Calibri"/>
          <w:szCs w:val="20"/>
          <w:lang w:val="en-GB"/>
        </w:rPr>
        <w:t xml:space="preserve"> (ed.)</w:t>
      </w:r>
      <w:r w:rsidRPr="00F66F3C">
        <w:rPr>
          <w:rFonts w:eastAsia="Calibri"/>
          <w:szCs w:val="20"/>
          <w:lang w:val="en-GB"/>
        </w:rPr>
        <w:t xml:space="preserve">, </w:t>
      </w:r>
      <w:r w:rsidRPr="00F66F3C">
        <w:rPr>
          <w:rFonts w:eastAsia="Calibri"/>
          <w:i/>
          <w:szCs w:val="20"/>
          <w:lang w:val="en-GB"/>
        </w:rPr>
        <w:t>International Law</w:t>
      </w:r>
      <w:r>
        <w:rPr>
          <w:rFonts w:eastAsia="Calibri"/>
          <w:szCs w:val="20"/>
          <w:lang w:val="en-GB"/>
        </w:rPr>
        <w:t>, 5</w:t>
      </w:r>
      <w:r w:rsidRPr="00E3793C">
        <w:rPr>
          <w:rFonts w:eastAsia="Calibri"/>
          <w:szCs w:val="20"/>
          <w:vertAlign w:val="superscript"/>
          <w:lang w:val="en-GB"/>
        </w:rPr>
        <w:t>th</w:t>
      </w:r>
      <w:r>
        <w:rPr>
          <w:rFonts w:eastAsia="Calibri"/>
          <w:szCs w:val="20"/>
          <w:lang w:val="en-GB"/>
        </w:rPr>
        <w:t xml:space="preserve"> edn.</w:t>
      </w:r>
      <w:r w:rsidRPr="00F66F3C">
        <w:rPr>
          <w:rFonts w:eastAsia="Calibri"/>
          <w:szCs w:val="20"/>
          <w:lang w:val="en-GB"/>
        </w:rPr>
        <w:t xml:space="preserve"> (Oxford University Press, 2018) (forthcoming); M. Wood</w:t>
      </w:r>
      <w:r>
        <w:rPr>
          <w:rFonts w:eastAsia="Calibri"/>
          <w:szCs w:val="20"/>
          <w:lang w:val="en-GB"/>
        </w:rPr>
        <w:t xml:space="preserve"> and </w:t>
      </w:r>
      <w:r w:rsidRPr="00F66F3C">
        <w:rPr>
          <w:rFonts w:eastAsia="Calibri"/>
          <w:szCs w:val="20"/>
          <w:lang w:val="en-GB"/>
        </w:rPr>
        <w:t xml:space="preserve">A. Sanger, </w:t>
      </w:r>
      <w:r w:rsidRPr="00F66F3C">
        <w:rPr>
          <w:rFonts w:eastAsia="Calibri"/>
          <w:i/>
          <w:szCs w:val="20"/>
          <w:lang w:val="en-GB"/>
        </w:rPr>
        <w:t>The Immunities of Special Missions</w:t>
      </w:r>
      <w:r>
        <w:rPr>
          <w:rFonts w:eastAsia="Calibri"/>
          <w:i/>
          <w:szCs w:val="20"/>
          <w:lang w:val="en-GB"/>
        </w:rPr>
        <w:t xml:space="preserve"> </w:t>
      </w:r>
      <w:r>
        <w:rPr>
          <w:rFonts w:eastAsia="Calibri"/>
          <w:szCs w:val="20"/>
          <w:lang w:val="en-GB"/>
        </w:rPr>
        <w:t>(</w:t>
      </w:r>
      <w:r w:rsidRPr="00F66F3C">
        <w:rPr>
          <w:rFonts w:eastAsia="Calibri"/>
          <w:szCs w:val="20"/>
          <w:lang w:val="en-GB"/>
        </w:rPr>
        <w:t>Council of Europe</w:t>
      </w:r>
      <w:r>
        <w:rPr>
          <w:rFonts w:eastAsia="Calibri"/>
          <w:szCs w:val="20"/>
          <w:lang w:val="en-GB"/>
        </w:rPr>
        <w:t>,</w:t>
      </w:r>
      <w:r w:rsidRPr="00F66F3C">
        <w:rPr>
          <w:rFonts w:eastAsia="Calibri"/>
          <w:szCs w:val="20"/>
          <w:lang w:val="en-GB"/>
        </w:rPr>
        <w:t xml:space="preserve"> 2018) (forthcoming); H. Wriston, </w:t>
      </w:r>
      <w:r>
        <w:rPr>
          <w:rFonts w:eastAsia="Calibri"/>
          <w:szCs w:val="20"/>
          <w:lang w:val="en-GB"/>
        </w:rPr>
        <w:t>‘</w:t>
      </w:r>
      <w:r w:rsidRPr="00F66F3C">
        <w:rPr>
          <w:rFonts w:eastAsia="Calibri"/>
          <w:szCs w:val="20"/>
          <w:lang w:val="en-GB"/>
        </w:rPr>
        <w:t>The Special Envoy</w:t>
      </w:r>
      <w:r>
        <w:rPr>
          <w:rFonts w:eastAsia="Calibri"/>
          <w:szCs w:val="20"/>
          <w:lang w:val="en-GB"/>
        </w:rPr>
        <w:t>’ (1959-60) 38</w:t>
      </w:r>
      <w:r w:rsidRPr="00F66F3C">
        <w:rPr>
          <w:rFonts w:eastAsia="Calibri"/>
          <w:szCs w:val="20"/>
          <w:lang w:val="en-GB"/>
        </w:rPr>
        <w:t xml:space="preserve"> </w:t>
      </w:r>
      <w:r w:rsidRPr="00F66F3C">
        <w:rPr>
          <w:rFonts w:eastAsia="Calibri"/>
          <w:i/>
          <w:szCs w:val="20"/>
          <w:lang w:val="en-GB"/>
        </w:rPr>
        <w:t>Foreign Affairs</w:t>
      </w:r>
      <w:r w:rsidRPr="00F66F3C">
        <w:rPr>
          <w:rFonts w:eastAsia="Calibri"/>
          <w:szCs w:val="20"/>
          <w:lang w:val="en-GB"/>
        </w:rPr>
        <w:t>, 219; J</w:t>
      </w:r>
      <w:r>
        <w:rPr>
          <w:rFonts w:eastAsia="Calibri"/>
          <w:szCs w:val="20"/>
          <w:lang w:val="en-GB"/>
        </w:rPr>
        <w:t>.</w:t>
      </w:r>
      <w:r w:rsidRPr="00F66F3C">
        <w:rPr>
          <w:rFonts w:eastAsia="Calibri"/>
          <w:szCs w:val="20"/>
          <w:lang w:val="en-GB"/>
        </w:rPr>
        <w:t xml:space="preserve"> Young, </w:t>
      </w:r>
      <w:r>
        <w:rPr>
          <w:rFonts w:eastAsia="Calibri"/>
          <w:szCs w:val="20"/>
          <w:lang w:val="en-GB"/>
        </w:rPr>
        <w:t>‘</w:t>
      </w:r>
      <w:r w:rsidRPr="00F66F3C">
        <w:rPr>
          <w:rFonts w:eastAsia="Calibri"/>
          <w:szCs w:val="20"/>
          <w:lang w:val="en-GB"/>
        </w:rPr>
        <w:t>The United Kingdom and the Negotiation of the 1969 New York Convention on Special Missions</w:t>
      </w:r>
      <w:r>
        <w:rPr>
          <w:rFonts w:eastAsia="Calibri"/>
          <w:szCs w:val="20"/>
          <w:lang w:val="en-GB"/>
        </w:rPr>
        <w:t>’ (2014) 36(1)</w:t>
      </w:r>
      <w:r w:rsidRPr="00F66F3C">
        <w:rPr>
          <w:rFonts w:eastAsia="Calibri"/>
          <w:szCs w:val="20"/>
          <w:lang w:val="en-GB"/>
        </w:rPr>
        <w:t xml:space="preserve"> </w:t>
      </w:r>
      <w:r w:rsidRPr="00F66F3C">
        <w:rPr>
          <w:rFonts w:eastAsia="Calibri"/>
          <w:i/>
          <w:szCs w:val="20"/>
          <w:lang w:val="en-GB"/>
        </w:rPr>
        <w:t>The International History Review</w:t>
      </w:r>
      <w:r w:rsidRPr="00F66F3C">
        <w:rPr>
          <w:rFonts w:eastAsia="Calibri"/>
          <w:szCs w:val="20"/>
          <w:lang w:val="en-GB"/>
        </w:rPr>
        <w:t>, 171.</w:t>
      </w:r>
    </w:p>
  </w:footnote>
  <w:footnote w:id="5">
    <w:p w14:paraId="4AE7F7DF" w14:textId="4C0B714B"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International Court of Justice has emphasised the </w:t>
      </w:r>
      <w:r>
        <w:rPr>
          <w:szCs w:val="20"/>
          <w:lang w:val="en-GB"/>
        </w:rPr>
        <w:t>‘</w:t>
      </w:r>
      <w:r w:rsidRPr="00F66F3C">
        <w:rPr>
          <w:szCs w:val="20"/>
          <w:lang w:val="en-GB"/>
        </w:rPr>
        <w:t>extreme importance</w:t>
      </w:r>
      <w:r>
        <w:rPr>
          <w:szCs w:val="20"/>
          <w:lang w:val="en-GB"/>
        </w:rPr>
        <w:t>’</w:t>
      </w:r>
      <w:r w:rsidRPr="00F66F3C">
        <w:rPr>
          <w:szCs w:val="20"/>
          <w:lang w:val="en-GB"/>
        </w:rPr>
        <w:t xml:space="preserve"> of the law of diplomatic relations, referring to </w:t>
      </w:r>
      <w:r>
        <w:rPr>
          <w:szCs w:val="20"/>
          <w:lang w:val="en-GB"/>
        </w:rPr>
        <w:t>‘</w:t>
      </w:r>
      <w:r w:rsidRPr="00F66F3C">
        <w:rPr>
          <w:szCs w:val="20"/>
          <w:lang w:val="en-GB"/>
        </w:rPr>
        <w:t>the edifice of law carefully constructed by mankind over a period of centuries, the maintenance of which is vital for the security and well-being of the complex international community of the present day, to which it is more essential than ever that the rules developed to ensure the ordered progress of relations between its members should be constantly and scrupulously respected</w:t>
      </w:r>
      <w:r>
        <w:rPr>
          <w:szCs w:val="20"/>
          <w:lang w:val="en-GB"/>
        </w:rPr>
        <w:t>’</w:t>
      </w:r>
      <w:r w:rsidRPr="00F66F3C">
        <w:rPr>
          <w:szCs w:val="20"/>
          <w:lang w:val="en-GB"/>
        </w:rPr>
        <w:t>:</w:t>
      </w:r>
      <w:r w:rsidRPr="00F66F3C">
        <w:rPr>
          <w:i/>
          <w:iCs/>
          <w:szCs w:val="20"/>
          <w:lang w:val="en-GB"/>
        </w:rPr>
        <w:t xml:space="preserve"> </w:t>
      </w:r>
      <w:bookmarkStart w:id="8" w:name="_Hlk503801120"/>
      <w:r w:rsidRPr="00F66F3C">
        <w:rPr>
          <w:i/>
          <w:iCs/>
          <w:szCs w:val="20"/>
          <w:lang w:val="en-GB"/>
        </w:rPr>
        <w:t>United States Diplomatic and Consular Staff in Tehran</w:t>
      </w:r>
      <w:r>
        <w:rPr>
          <w:i/>
          <w:iCs/>
          <w:szCs w:val="20"/>
          <w:lang w:val="en-GB"/>
        </w:rPr>
        <w:t xml:space="preserve"> (United States of America v. Iran) </w:t>
      </w:r>
      <w:r>
        <w:rPr>
          <w:iCs/>
          <w:szCs w:val="20"/>
          <w:lang w:val="en-GB"/>
        </w:rPr>
        <w:t>(Merits) [1980]</w:t>
      </w:r>
      <w:r w:rsidRPr="00F66F3C">
        <w:rPr>
          <w:i/>
          <w:iCs/>
          <w:szCs w:val="20"/>
          <w:lang w:val="en-GB"/>
        </w:rPr>
        <w:t xml:space="preserve"> </w:t>
      </w:r>
      <w:r w:rsidRPr="004344AA">
        <w:rPr>
          <w:szCs w:val="20"/>
          <w:lang w:val="en-GB"/>
        </w:rPr>
        <w:t>ICJ Rep</w:t>
      </w:r>
      <w:r>
        <w:rPr>
          <w:szCs w:val="20"/>
          <w:lang w:val="en-GB"/>
        </w:rPr>
        <w:t xml:space="preserve"> </w:t>
      </w:r>
      <w:r w:rsidRPr="00F66F3C">
        <w:rPr>
          <w:szCs w:val="20"/>
          <w:lang w:val="en-GB"/>
        </w:rPr>
        <w:t>3</w:t>
      </w:r>
      <w:bookmarkEnd w:id="8"/>
      <w:r>
        <w:rPr>
          <w:szCs w:val="20"/>
          <w:lang w:val="en-GB"/>
        </w:rPr>
        <w:t>,</w:t>
      </w:r>
      <w:r w:rsidRPr="00F66F3C">
        <w:rPr>
          <w:szCs w:val="20"/>
          <w:lang w:val="en-GB"/>
        </w:rPr>
        <w:t xml:space="preserve"> para. 92. </w:t>
      </w:r>
      <w:r w:rsidRPr="00F66F3C">
        <w:rPr>
          <w:rFonts w:eastAsia="Calibri"/>
          <w:szCs w:val="20"/>
          <w:lang w:val="en-GB"/>
        </w:rPr>
        <w:t xml:space="preserve">This applies as much to </w:t>
      </w:r>
      <w:r w:rsidRPr="00F66F3C">
        <w:rPr>
          <w:rFonts w:eastAsia="Calibri"/>
          <w:i/>
          <w:szCs w:val="20"/>
          <w:lang w:val="en-GB"/>
        </w:rPr>
        <w:t>ad hoc</w:t>
      </w:r>
      <w:r w:rsidRPr="00F66F3C">
        <w:rPr>
          <w:rFonts w:eastAsia="Calibri"/>
          <w:szCs w:val="20"/>
          <w:lang w:val="en-GB"/>
        </w:rPr>
        <w:t xml:space="preserve"> diplomacy as it does to permanent diplomatic missions.</w:t>
      </w:r>
    </w:p>
  </w:footnote>
  <w:footnote w:id="6">
    <w:p w14:paraId="664F1084" w14:textId="30F41DBB"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Franey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p. 31.</w:t>
      </w:r>
    </w:p>
  </w:footnote>
  <w:footnote w:id="7">
    <w:p w14:paraId="1649BB28" w14:textId="4DA1D450"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44433F">
        <w:rPr>
          <w:lang w:val="en-GB"/>
        </w:rPr>
        <w:t>United Nations Convention on Jurisdictional Immunities of States and Their Property, 2 December 2004, not yet in force, UN Doc. A/RES/59/38, 16 December 2004</w:t>
      </w:r>
      <w:r w:rsidRPr="00F66F3C">
        <w:rPr>
          <w:szCs w:val="20"/>
          <w:lang w:val="en-GB"/>
        </w:rPr>
        <w:t>, seventh preambular paragraph.</w:t>
      </w:r>
    </w:p>
  </w:footnote>
  <w:footnote w:id="8">
    <w:p w14:paraId="047AF49B" w14:textId="45C28917" w:rsidR="00CA7C77" w:rsidRPr="00D238AB" w:rsidRDefault="00CA7C77">
      <w:pPr>
        <w:pStyle w:val="FootnoteText"/>
        <w:rPr>
          <w:lang w:val="en-GB"/>
        </w:rPr>
      </w:pPr>
      <w:r w:rsidRPr="00D238AB">
        <w:rPr>
          <w:rStyle w:val="FootnoteReference"/>
          <w:sz w:val="20"/>
          <w:szCs w:val="20"/>
        </w:rPr>
        <w:footnoteRef/>
      </w:r>
      <w:r w:rsidRPr="00E4511D">
        <w:rPr>
          <w:szCs w:val="20"/>
          <w:lang w:val="en-US"/>
        </w:rPr>
        <w:t xml:space="preserve"> Convention </w:t>
      </w:r>
      <w:r w:rsidRPr="00E4511D">
        <w:rPr>
          <w:lang w:val="en-US"/>
        </w:rPr>
        <w:t>on Special Missions, 8 December 1969, in force 21 June 1985, 1400 UNTS 231.</w:t>
      </w:r>
    </w:p>
  </w:footnote>
  <w:footnote w:id="9">
    <w:p w14:paraId="7CB5B70B" w14:textId="7258F77F"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See Mr Ruda, Chairman of the ILC in UNGA Sixth Committee, 23</w:t>
      </w:r>
      <w:r w:rsidRPr="00D2633D">
        <w:rPr>
          <w:szCs w:val="20"/>
          <w:vertAlign w:val="superscript"/>
          <w:lang w:val="en-GB"/>
        </w:rPr>
        <w:t>rd</w:t>
      </w:r>
      <w:r>
        <w:rPr>
          <w:szCs w:val="20"/>
          <w:lang w:val="en-GB"/>
        </w:rPr>
        <w:t xml:space="preserve"> Session, 1039</w:t>
      </w:r>
      <w:r w:rsidRPr="00D2633D">
        <w:rPr>
          <w:szCs w:val="20"/>
          <w:vertAlign w:val="superscript"/>
          <w:lang w:val="en-GB"/>
        </w:rPr>
        <w:t>th</w:t>
      </w:r>
      <w:r>
        <w:rPr>
          <w:szCs w:val="20"/>
          <w:lang w:val="en-GB"/>
        </w:rPr>
        <w:t xml:space="preserve"> Meeting, UN Doc. </w:t>
      </w:r>
      <w:r w:rsidRPr="00F66F3C">
        <w:rPr>
          <w:szCs w:val="20"/>
          <w:lang w:val="en-GB"/>
        </w:rPr>
        <w:t>A/C.6/SR.1039</w:t>
      </w:r>
      <w:r>
        <w:rPr>
          <w:szCs w:val="20"/>
          <w:lang w:val="en-GB"/>
        </w:rPr>
        <w:t xml:space="preserve">, </w:t>
      </w:r>
      <w:r w:rsidRPr="00F66F3C">
        <w:rPr>
          <w:szCs w:val="20"/>
          <w:lang w:val="en-GB"/>
        </w:rPr>
        <w:t>15 October 1968,</w:t>
      </w:r>
      <w:r>
        <w:rPr>
          <w:szCs w:val="20"/>
          <w:lang w:val="en-GB"/>
        </w:rPr>
        <w:t xml:space="preserve"> </w:t>
      </w:r>
      <w:r w:rsidRPr="00F66F3C">
        <w:rPr>
          <w:szCs w:val="20"/>
          <w:lang w:val="en-GB"/>
        </w:rPr>
        <w:t>paras 31–2</w:t>
      </w:r>
      <w:r>
        <w:rPr>
          <w:szCs w:val="20"/>
          <w:lang w:val="en-GB"/>
        </w:rPr>
        <w:t>: ‘</w:t>
      </w:r>
      <w:r w:rsidRPr="00F66F3C">
        <w:rPr>
          <w:szCs w:val="20"/>
          <w:lang w:val="en-GB"/>
        </w:rPr>
        <w:t xml:space="preserve">the use of special missions having been, in fact, the earliest form of diplomacy. State practice on the subject went back to the very beginning of formal relations between nations. The historical works on India established that constant contacts and relations were maintained between some of the States of ancient India and certain Asia, European and African States through special missions. Similarly, the Greek city states and Rome had developed in accident times an elaborate system of </w:t>
      </w:r>
      <w:r w:rsidRPr="00F66F3C">
        <w:rPr>
          <w:i/>
          <w:szCs w:val="20"/>
          <w:lang w:val="en-GB"/>
        </w:rPr>
        <w:t>ad hoc</w:t>
      </w:r>
      <w:r w:rsidRPr="00F66F3C">
        <w:rPr>
          <w:szCs w:val="20"/>
          <w:lang w:val="en-GB"/>
        </w:rPr>
        <w:t xml:space="preserve"> diplomacy</w:t>
      </w:r>
      <w:r>
        <w:rPr>
          <w:szCs w:val="20"/>
          <w:lang w:val="en-GB"/>
        </w:rPr>
        <w:t>’</w:t>
      </w:r>
      <w:r w:rsidRPr="00F66F3C">
        <w:rPr>
          <w:szCs w:val="20"/>
          <w:lang w:val="en-GB"/>
        </w:rPr>
        <w:t>.</w:t>
      </w:r>
    </w:p>
  </w:footnote>
  <w:footnote w:id="10">
    <w:p w14:paraId="3A4904BE" w14:textId="507F21E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bookmarkStart w:id="16" w:name="_Hlk490645186"/>
      <w:r>
        <w:rPr>
          <w:szCs w:val="20"/>
          <w:lang w:val="en-GB"/>
        </w:rPr>
        <w:t xml:space="preserve">(1963) II </w:t>
      </w:r>
      <w:r w:rsidRPr="00F66F3C">
        <w:rPr>
          <w:i/>
          <w:szCs w:val="20"/>
          <w:lang w:val="en-GB"/>
        </w:rPr>
        <w:t>Yearbook of the International Law Commission</w:t>
      </w:r>
      <w:r>
        <w:rPr>
          <w:szCs w:val="20"/>
          <w:lang w:val="en-GB"/>
        </w:rPr>
        <w:t>,</w:t>
      </w:r>
      <w:r w:rsidRPr="00F66F3C">
        <w:rPr>
          <w:szCs w:val="20"/>
          <w:lang w:val="en-GB"/>
        </w:rPr>
        <w:t xml:space="preserve"> 151</w:t>
      </w:r>
      <w:bookmarkEnd w:id="16"/>
      <w:r w:rsidRPr="00F66F3C">
        <w:rPr>
          <w:szCs w:val="20"/>
          <w:lang w:val="en-GB"/>
        </w:rPr>
        <w:t xml:space="preserve">, para. 3. See also Bartoš’s first report </w:t>
      </w:r>
      <w:bookmarkStart w:id="17" w:name="_Hlk490662433"/>
      <w:r w:rsidRPr="00F66F3C">
        <w:rPr>
          <w:szCs w:val="20"/>
          <w:lang w:val="en-GB"/>
        </w:rPr>
        <w:t>on special missions (A/CN.4/166), paras 11–19 (</w:t>
      </w:r>
      <w:r>
        <w:rPr>
          <w:szCs w:val="20"/>
          <w:lang w:val="en-GB"/>
        </w:rPr>
        <w:t xml:space="preserve">(1964) II </w:t>
      </w:r>
      <w:r w:rsidRPr="00F66F3C">
        <w:rPr>
          <w:i/>
          <w:szCs w:val="20"/>
          <w:lang w:val="en-GB"/>
        </w:rPr>
        <w:t xml:space="preserve">Yearbook of the International Law </w:t>
      </w:r>
      <w:r w:rsidRPr="00F44E43">
        <w:rPr>
          <w:i/>
          <w:szCs w:val="20"/>
          <w:lang w:val="en-GB"/>
        </w:rPr>
        <w:t>Commission</w:t>
      </w:r>
      <w:r>
        <w:rPr>
          <w:szCs w:val="20"/>
          <w:lang w:val="en-GB"/>
        </w:rPr>
        <w:t xml:space="preserve">, </w:t>
      </w:r>
      <w:r w:rsidRPr="00F44E43">
        <w:rPr>
          <w:szCs w:val="20"/>
          <w:lang w:val="en-GB"/>
        </w:rPr>
        <w:t>70</w:t>
      </w:r>
      <w:r w:rsidRPr="00F66F3C">
        <w:rPr>
          <w:szCs w:val="20"/>
          <w:lang w:val="en-GB"/>
        </w:rPr>
        <w:t>–3).</w:t>
      </w:r>
      <w:bookmarkEnd w:id="17"/>
      <w:r w:rsidRPr="00F66F3C">
        <w:rPr>
          <w:szCs w:val="20"/>
          <w:lang w:val="en-GB"/>
        </w:rPr>
        <w:t xml:space="preserve"> In the 1420s, Venice regarded its procurator in Rome, Bembo, </w:t>
      </w:r>
      <w:r>
        <w:rPr>
          <w:szCs w:val="20"/>
          <w:lang w:val="en-GB"/>
        </w:rPr>
        <w:t>‘</w:t>
      </w:r>
      <w:r w:rsidRPr="00F66F3C">
        <w:rPr>
          <w:szCs w:val="20"/>
          <w:lang w:val="en-GB"/>
        </w:rPr>
        <w:t>as dispensing them from the necessity of sending special missions, … it would be bold to assert that Bembo was the first resident ambassador at the Papal See, and thus the founder of the first lasting resident embassy in history. But he certainly had no immediate predecessor, and the language of the Senate indicates that they regarded his appointment as an innovation</w:t>
      </w:r>
      <w:r>
        <w:rPr>
          <w:szCs w:val="20"/>
          <w:lang w:val="en-GB"/>
        </w:rPr>
        <w:t>’;</w:t>
      </w:r>
      <w:r w:rsidRPr="00F66F3C">
        <w:rPr>
          <w:szCs w:val="20"/>
          <w:lang w:val="en-GB"/>
        </w:rPr>
        <w:t xml:space="preserve"> G. Mattingly, </w:t>
      </w:r>
      <w:r w:rsidRPr="00F66F3C">
        <w:rPr>
          <w:i/>
          <w:szCs w:val="20"/>
          <w:lang w:val="en-GB"/>
        </w:rPr>
        <w:t>Renaissance Diplomacy</w:t>
      </w:r>
      <w:r w:rsidRPr="00F66F3C">
        <w:rPr>
          <w:szCs w:val="20"/>
          <w:lang w:val="en-GB"/>
        </w:rPr>
        <w:t xml:space="preserve"> (</w:t>
      </w:r>
      <w:r>
        <w:rPr>
          <w:szCs w:val="20"/>
          <w:lang w:val="en-GB"/>
        </w:rPr>
        <w:t xml:space="preserve">Penguin Books, </w:t>
      </w:r>
      <w:r w:rsidRPr="00F66F3C">
        <w:rPr>
          <w:szCs w:val="20"/>
          <w:lang w:val="en-GB"/>
        </w:rPr>
        <w:t xml:space="preserve">1954), p. 74. </w:t>
      </w:r>
    </w:p>
  </w:footnote>
  <w:footnote w:id="11">
    <w:p w14:paraId="64F4884F" w14:textId="6628E72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(1963) II </w:t>
      </w:r>
      <w:r w:rsidRPr="00F66F3C">
        <w:rPr>
          <w:i/>
          <w:szCs w:val="20"/>
          <w:lang w:val="en-GB"/>
        </w:rPr>
        <w:t xml:space="preserve">Yearbook of the International Law </w:t>
      </w:r>
      <w:r w:rsidRPr="00F44E43">
        <w:rPr>
          <w:i/>
          <w:szCs w:val="20"/>
          <w:lang w:val="en-GB"/>
        </w:rPr>
        <w:t>Commission</w:t>
      </w:r>
      <w:r>
        <w:rPr>
          <w:szCs w:val="20"/>
          <w:lang w:val="en-GB"/>
        </w:rPr>
        <w:t xml:space="preserve">, </w:t>
      </w:r>
      <w:r w:rsidRPr="00F66F3C">
        <w:rPr>
          <w:szCs w:val="20"/>
          <w:lang w:val="en-GB"/>
        </w:rPr>
        <w:t xml:space="preserve">152, para. 6. </w:t>
      </w:r>
    </w:p>
  </w:footnote>
  <w:footnote w:id="12">
    <w:p w14:paraId="7C1E94A8" w14:textId="2C10449F" w:rsidR="00CA7C77" w:rsidRPr="00E4511D" w:rsidRDefault="00CA7C77" w:rsidP="00F66F3C">
      <w:pPr>
        <w:pStyle w:val="FootnoteText"/>
        <w:rPr>
          <w:szCs w:val="20"/>
          <w:lang w:val="fr-FR"/>
        </w:rPr>
      </w:pPr>
      <w:r w:rsidRPr="00386AE7">
        <w:rPr>
          <w:rStyle w:val="FootnoteReference"/>
          <w:sz w:val="20"/>
          <w:szCs w:val="20"/>
          <w:lang w:val="en-GB"/>
        </w:rPr>
        <w:footnoteRef/>
      </w:r>
      <w:r w:rsidRPr="00386AE7">
        <w:rPr>
          <w:szCs w:val="20"/>
          <w:lang w:val="en-GB"/>
        </w:rPr>
        <w:t xml:space="preserve"> </w:t>
      </w:r>
      <w:bookmarkStart w:id="19" w:name="_Hlk503785617"/>
      <w:r w:rsidRPr="00386AE7">
        <w:rPr>
          <w:szCs w:val="20"/>
          <w:lang w:val="en-GB"/>
        </w:rPr>
        <w:t>See, e</w:t>
      </w:r>
      <w:r>
        <w:rPr>
          <w:szCs w:val="20"/>
          <w:lang w:val="en-GB"/>
        </w:rPr>
        <w:t>.</w:t>
      </w:r>
      <w:r w:rsidRPr="00386AE7">
        <w:rPr>
          <w:szCs w:val="20"/>
          <w:lang w:val="en-GB"/>
        </w:rPr>
        <w:t>g</w:t>
      </w:r>
      <w:r>
        <w:rPr>
          <w:szCs w:val="20"/>
          <w:lang w:val="en-GB"/>
        </w:rPr>
        <w:t>.</w:t>
      </w:r>
      <w:r w:rsidRPr="00386AE7">
        <w:rPr>
          <w:szCs w:val="20"/>
          <w:lang w:val="en-GB"/>
        </w:rPr>
        <w:t xml:space="preserve">, the conclusion of the English Divisional Court in: United Kingdom, England and Wales High Court of Justice, Divisional Court, </w:t>
      </w:r>
      <w:r w:rsidRPr="00386AE7">
        <w:rPr>
          <w:i/>
          <w:szCs w:val="20"/>
          <w:lang w:val="en-GB"/>
        </w:rPr>
        <w:t>The Freedom and Justice Party and others v. Secretary of State for Foreign and Commonwealth Affairs and others</w:t>
      </w:r>
      <w:r w:rsidRPr="00386AE7">
        <w:rPr>
          <w:szCs w:val="20"/>
          <w:lang w:val="en-GB"/>
        </w:rPr>
        <w:t>, Case No. 2010, 5 August 2016, [2016] EWHC 2010 (Admin)</w:t>
      </w:r>
      <w:bookmarkEnd w:id="19"/>
      <w:r w:rsidRPr="00386AE7">
        <w:rPr>
          <w:szCs w:val="20"/>
          <w:lang w:val="en-GB"/>
        </w:rPr>
        <w:t xml:space="preserve">, that as of 1967 ‘[t]here was some customary law’ on special missions immunity (para. </w:t>
      </w:r>
      <w:r w:rsidRPr="00E4511D">
        <w:rPr>
          <w:szCs w:val="20"/>
          <w:lang w:val="fr-FR"/>
        </w:rPr>
        <w:t>101).</w:t>
      </w:r>
    </w:p>
  </w:footnote>
  <w:footnote w:id="13">
    <w:p w14:paraId="0512DA51" w14:textId="35427E8A" w:rsidR="00CA7C77" w:rsidRPr="00E4511D" w:rsidRDefault="00CA7C77" w:rsidP="00F66F3C">
      <w:pPr>
        <w:pStyle w:val="FootnoteText"/>
        <w:rPr>
          <w:szCs w:val="20"/>
          <w:lang w:val="fr-FR"/>
        </w:rPr>
      </w:pPr>
      <w:r w:rsidRPr="00F66F3C">
        <w:rPr>
          <w:rStyle w:val="FootnoteReference"/>
          <w:sz w:val="20"/>
          <w:szCs w:val="20"/>
          <w:lang w:val="en-GB"/>
        </w:rPr>
        <w:footnoteRef/>
      </w:r>
      <w:r w:rsidRPr="00E4511D">
        <w:rPr>
          <w:szCs w:val="20"/>
          <w:lang w:val="fr-FR"/>
        </w:rPr>
        <w:t xml:space="preserve"> Ibid., pp. 152–4, paras. 6–10.</w:t>
      </w:r>
    </w:p>
  </w:footnote>
  <w:footnote w:id="14">
    <w:p w14:paraId="4D481FCD" w14:textId="345AEA07" w:rsidR="00CA7C77" w:rsidRPr="00E4511D" w:rsidRDefault="00CA7C77" w:rsidP="00F66F3C">
      <w:pPr>
        <w:pStyle w:val="FootnoteText"/>
        <w:rPr>
          <w:i/>
          <w:szCs w:val="20"/>
          <w:lang w:val="fr-FR"/>
        </w:rPr>
      </w:pPr>
      <w:r w:rsidRPr="00F66F3C">
        <w:rPr>
          <w:rStyle w:val="FootnoteReference"/>
          <w:sz w:val="20"/>
          <w:szCs w:val="20"/>
          <w:lang w:val="en-GB"/>
        </w:rPr>
        <w:footnoteRef/>
      </w:r>
      <w:r w:rsidRPr="00E4511D">
        <w:rPr>
          <w:szCs w:val="20"/>
          <w:lang w:val="fr-FR"/>
        </w:rPr>
        <w:t xml:space="preserve"> </w:t>
      </w:r>
      <w:bookmarkStart w:id="20" w:name="_Hlk490647998"/>
      <w:r w:rsidRPr="00E4511D">
        <w:rPr>
          <w:i/>
          <w:szCs w:val="20"/>
          <w:lang w:val="fr-FR"/>
        </w:rPr>
        <w:t>Règlement</w:t>
      </w:r>
      <w:bookmarkEnd w:id="20"/>
      <w:r w:rsidRPr="00E4511D">
        <w:rPr>
          <w:i/>
          <w:szCs w:val="20"/>
          <w:lang w:val="fr-FR"/>
        </w:rPr>
        <w:t xml:space="preserve"> de Vienne sur le rang entre les agents diplomatiques</w:t>
      </w:r>
      <w:r w:rsidRPr="00E4511D">
        <w:rPr>
          <w:szCs w:val="20"/>
          <w:lang w:val="fr-FR"/>
        </w:rPr>
        <w:t xml:space="preserve">: for the text of the </w:t>
      </w:r>
      <w:r w:rsidRPr="00E4511D">
        <w:rPr>
          <w:i/>
          <w:szCs w:val="20"/>
          <w:lang w:val="fr-FR"/>
        </w:rPr>
        <w:t>Règlement</w:t>
      </w:r>
      <w:r w:rsidRPr="00E4511D">
        <w:rPr>
          <w:szCs w:val="20"/>
          <w:lang w:val="fr-FR"/>
        </w:rPr>
        <w:t xml:space="preserve">, see (1958) II </w:t>
      </w:r>
      <w:r w:rsidRPr="00E4511D">
        <w:rPr>
          <w:i/>
          <w:szCs w:val="20"/>
          <w:lang w:val="fr-FR"/>
        </w:rPr>
        <w:t>Annuaire de la Commission du droit international</w:t>
      </w:r>
      <w:r w:rsidRPr="00E4511D">
        <w:rPr>
          <w:szCs w:val="20"/>
          <w:lang w:val="fr-FR"/>
        </w:rPr>
        <w:t>, p. 97, note 29.</w:t>
      </w:r>
    </w:p>
  </w:footnote>
  <w:footnote w:id="15">
    <w:p w14:paraId="4C05F097" w14:textId="239EA74D"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bookmarkStart w:id="22" w:name="_Hlk503786509"/>
      <w:r>
        <w:rPr>
          <w:szCs w:val="20"/>
          <w:lang w:val="en-GB"/>
        </w:rPr>
        <w:t xml:space="preserve">Convention on Diplomatic Officers, 20 February 1928, in force 21 May 1929, </w:t>
      </w:r>
      <w:r w:rsidRPr="00F66F3C">
        <w:rPr>
          <w:szCs w:val="20"/>
          <w:lang w:val="en-GB"/>
        </w:rPr>
        <w:t>155 LNTS No. 3581</w:t>
      </w:r>
      <w:bookmarkEnd w:id="22"/>
      <w:r>
        <w:rPr>
          <w:szCs w:val="20"/>
          <w:lang w:val="en-GB"/>
        </w:rPr>
        <w:t xml:space="preserve">. </w:t>
      </w:r>
      <w:r w:rsidRPr="00F66F3C">
        <w:rPr>
          <w:szCs w:val="20"/>
          <w:lang w:val="en-GB"/>
        </w:rPr>
        <w:t xml:space="preserve">Articles 3 and 4 of the 1928 Convention read: </w:t>
      </w:r>
      <w:r>
        <w:rPr>
          <w:szCs w:val="20"/>
          <w:lang w:val="en-GB"/>
        </w:rPr>
        <w:t>‘</w:t>
      </w:r>
      <w:r w:rsidRPr="00F66F3C">
        <w:rPr>
          <w:szCs w:val="20"/>
          <w:lang w:val="en-GB"/>
        </w:rPr>
        <w:t>Diplomatic envoys are classed as ordinary or extraordinary. Those who permanently represent the Government of one State before that of another are ordinary. Those entrusted with a special mission or those who are accredited to represent the Government in international conferences and congresses or other international bodies are extraordinary. Except as concerns precedence and etiquette, diplomatic officers, whatever their category, have the same rights, prerogatives and immunities. Etiquette depends upon diplomatic usages in general as well as upon the laws and regulations of the country to which the officers are accredited.</w:t>
      </w:r>
      <w:r>
        <w:rPr>
          <w:szCs w:val="20"/>
          <w:lang w:val="en-GB"/>
        </w:rPr>
        <w:t>’</w:t>
      </w:r>
      <w:r w:rsidRPr="00F66F3C">
        <w:rPr>
          <w:szCs w:val="20"/>
          <w:lang w:val="en-GB"/>
        </w:rPr>
        <w:t xml:space="preserve"> The following States became parties to the Havana Convention: Brazil, Chile, Colombia, Costa Rica, Cuba, Dominican Republic, Ecuador, El Salvador, Haiti, Mexico, Nicaragua, Panama, Peru, Uruguay, Venezuela. In addition, the following have signed: Argentina, Bolivia, Guatemala, Paraguay, USA.</w:t>
      </w:r>
    </w:p>
  </w:footnote>
  <w:footnote w:id="16">
    <w:p w14:paraId="41F865B7" w14:textId="411ACFD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See ‘Diplomatic Privileges and Immunities’ (1932) 26 </w:t>
      </w:r>
      <w:r>
        <w:rPr>
          <w:i/>
          <w:szCs w:val="20"/>
          <w:lang w:val="en-GB"/>
        </w:rPr>
        <w:t>The American Journal of International Law</w:t>
      </w:r>
      <w:r>
        <w:rPr>
          <w:szCs w:val="20"/>
          <w:lang w:val="en-GB"/>
        </w:rPr>
        <w:t xml:space="preserve">, </w:t>
      </w:r>
      <w:r>
        <w:rPr>
          <w:i/>
          <w:szCs w:val="20"/>
          <w:lang w:val="en-GB"/>
        </w:rPr>
        <w:t>Supplement: Research in International Law</w:t>
      </w:r>
      <w:r>
        <w:rPr>
          <w:szCs w:val="20"/>
          <w:lang w:val="en-GB"/>
        </w:rPr>
        <w:t>, 15, 17ff;</w:t>
      </w:r>
      <w:r w:rsidRPr="00EF7CFD">
        <w:rPr>
          <w:szCs w:val="20"/>
          <w:lang w:val="en-GB"/>
        </w:rPr>
        <w:t xml:space="preserve"> also reproduced in J. Grant and J. Barker (eds.), </w:t>
      </w:r>
      <w:r w:rsidRPr="00EF7CFD">
        <w:rPr>
          <w:bCs/>
          <w:i/>
          <w:szCs w:val="20"/>
          <w:lang w:val="en-GB"/>
        </w:rPr>
        <w:t xml:space="preserve">The Harvard Research in International Law: Contemporary Analysis and Appraisal </w:t>
      </w:r>
      <w:r w:rsidRPr="00EF7CFD">
        <w:rPr>
          <w:bCs/>
          <w:szCs w:val="20"/>
          <w:lang w:val="en-GB"/>
        </w:rPr>
        <w:t xml:space="preserve">(Fred B Rothman &amp; Co, </w:t>
      </w:r>
      <w:r w:rsidRPr="00EF7CFD">
        <w:rPr>
          <w:szCs w:val="20"/>
          <w:lang w:val="en-GB"/>
        </w:rPr>
        <w:t>2007).</w:t>
      </w:r>
    </w:p>
  </w:footnote>
  <w:footnote w:id="17">
    <w:p w14:paraId="67A35FE0" w14:textId="2CC217B4"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EF7CFD">
        <w:rPr>
          <w:szCs w:val="20"/>
          <w:lang w:val="en-GB"/>
        </w:rPr>
        <w:t>Ibid.</w:t>
      </w:r>
      <w:r w:rsidRPr="00F66F3C">
        <w:rPr>
          <w:szCs w:val="20"/>
          <w:lang w:val="en-GB"/>
        </w:rPr>
        <w:t>, p. 42.</w:t>
      </w:r>
    </w:p>
  </w:footnote>
  <w:footnote w:id="18">
    <w:p w14:paraId="716307F3" w14:textId="52B62DB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Wood (n </w:t>
      </w:r>
      <w:r w:rsidRPr="00F66F3C">
        <w:rPr>
          <w:szCs w:val="20"/>
          <w:lang w:val="en-GB"/>
        </w:rPr>
        <w:fldChar w:fldCharType="begin"/>
      </w:r>
      <w:r w:rsidRPr="00F66F3C">
        <w:rPr>
          <w:szCs w:val="20"/>
          <w:lang w:val="en-GB"/>
        </w:rPr>
        <w:instrText xml:space="preserve"> NOTEREF _Ref364694143 \h  \* MERGEFORMAT </w:instrText>
      </w:r>
      <w:r w:rsidRPr="00F66F3C">
        <w:rPr>
          <w:szCs w:val="20"/>
          <w:lang w:val="en-GB"/>
        </w:rPr>
      </w:r>
      <w:r w:rsidRPr="00F66F3C">
        <w:rPr>
          <w:szCs w:val="20"/>
          <w:lang w:val="en-GB"/>
        </w:rPr>
        <w:fldChar w:fldCharType="separate"/>
      </w:r>
      <w:r w:rsidR="006A2E69">
        <w:rPr>
          <w:szCs w:val="20"/>
          <w:lang w:val="en-GB"/>
        </w:rPr>
        <w:t>3</w:t>
      </w:r>
      <w:r w:rsidRPr="00F66F3C">
        <w:rPr>
          <w:szCs w:val="20"/>
          <w:lang w:val="en-GB"/>
        </w:rPr>
        <w:fldChar w:fldCharType="end"/>
      </w:r>
      <w:r w:rsidRPr="00F66F3C">
        <w:rPr>
          <w:szCs w:val="20"/>
          <w:lang w:val="en-GB"/>
        </w:rPr>
        <w:t>), pp. 53–8.</w:t>
      </w:r>
    </w:p>
  </w:footnote>
  <w:footnote w:id="19">
    <w:p w14:paraId="04AAA8D1" w14:textId="344C6C3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(1958) II </w:t>
      </w:r>
      <w:r w:rsidRPr="00F66F3C">
        <w:rPr>
          <w:i/>
          <w:szCs w:val="20"/>
          <w:lang w:val="en-GB"/>
        </w:rPr>
        <w:t>Yearbook of the International Law Commission</w:t>
      </w:r>
      <w:r>
        <w:rPr>
          <w:szCs w:val="20"/>
          <w:lang w:val="en-GB"/>
        </w:rPr>
        <w:t>, 89-</w:t>
      </w:r>
      <w:r w:rsidRPr="00F66F3C">
        <w:rPr>
          <w:szCs w:val="20"/>
          <w:lang w:val="en-GB"/>
        </w:rPr>
        <w:t xml:space="preserve">105. </w:t>
      </w:r>
    </w:p>
  </w:footnote>
  <w:footnote w:id="20">
    <w:p w14:paraId="7721E8F4" w14:textId="5FD450F7"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w:t>
      </w:r>
      <w:r w:rsidRPr="00F66F3C">
        <w:rPr>
          <w:szCs w:val="20"/>
          <w:lang w:val="en-GB"/>
        </w:rPr>
        <w:t>Ad Hoc Diplomacy,</w:t>
      </w:r>
      <w:r>
        <w:rPr>
          <w:szCs w:val="20"/>
          <w:lang w:val="en-GB"/>
        </w:rPr>
        <w:t xml:space="preserve"> Document A/CN.4/129,</w:t>
      </w:r>
      <w:r w:rsidRPr="00F66F3C">
        <w:rPr>
          <w:szCs w:val="20"/>
          <w:lang w:val="en-GB"/>
        </w:rPr>
        <w:t xml:space="preserve"> Report by A.E.F Sandström</w:t>
      </w:r>
      <w:r>
        <w:rPr>
          <w:szCs w:val="20"/>
          <w:lang w:val="en-GB"/>
        </w:rPr>
        <w:t>’ (1960) II</w:t>
      </w:r>
      <w:r w:rsidRPr="00F66F3C">
        <w:rPr>
          <w:szCs w:val="20"/>
          <w:lang w:val="en-GB"/>
        </w:rPr>
        <w:t xml:space="preserve"> </w:t>
      </w:r>
      <w:r w:rsidRPr="00F66F3C">
        <w:rPr>
          <w:i/>
          <w:szCs w:val="20"/>
          <w:lang w:val="en-GB"/>
        </w:rPr>
        <w:t>Yearbook of the International Law Commission</w:t>
      </w:r>
      <w:r>
        <w:rPr>
          <w:szCs w:val="20"/>
          <w:lang w:val="en-GB"/>
        </w:rPr>
        <w:t>, 1</w:t>
      </w:r>
      <w:r w:rsidRPr="00F66F3C">
        <w:rPr>
          <w:szCs w:val="20"/>
          <w:lang w:val="en-GB"/>
        </w:rPr>
        <w:t xml:space="preserve">08. </w:t>
      </w:r>
    </w:p>
  </w:footnote>
  <w:footnote w:id="21">
    <w:p w14:paraId="7103776B" w14:textId="4FEDF8D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(1960) II </w:t>
      </w:r>
      <w:r w:rsidRPr="00F66F3C">
        <w:rPr>
          <w:i/>
          <w:szCs w:val="20"/>
          <w:lang w:val="en-GB"/>
        </w:rPr>
        <w:t>Yearbook of the International Law Commission</w:t>
      </w:r>
      <w:r w:rsidRPr="00F66F3C">
        <w:rPr>
          <w:szCs w:val="20"/>
          <w:lang w:val="en-GB"/>
        </w:rPr>
        <w:t xml:space="preserve"> </w:t>
      </w:r>
      <w:r w:rsidRPr="00F66F3C">
        <w:rPr>
          <w:i/>
          <w:szCs w:val="20"/>
          <w:lang w:val="en-GB"/>
        </w:rPr>
        <w:t>1960</w:t>
      </w:r>
      <w:r w:rsidRPr="00F66F3C">
        <w:rPr>
          <w:szCs w:val="20"/>
          <w:lang w:val="en-GB"/>
        </w:rPr>
        <w:t>, pp. 179–180. The three draft articles read as follows:</w:t>
      </w:r>
    </w:p>
    <w:p w14:paraId="512E0FD1" w14:textId="1F1B0118" w:rsidR="00CA7C77" w:rsidRPr="00F66F3C" w:rsidRDefault="00CA7C77" w:rsidP="00F66F3C">
      <w:pPr>
        <w:pStyle w:val="FootnoteText"/>
        <w:rPr>
          <w:i/>
          <w:szCs w:val="20"/>
          <w:lang w:val="en-GB"/>
        </w:rPr>
      </w:pPr>
      <w:r w:rsidRPr="00F66F3C">
        <w:rPr>
          <w:i/>
          <w:szCs w:val="20"/>
          <w:lang w:val="en-GB"/>
        </w:rPr>
        <w:t>Article 1</w:t>
      </w:r>
    </w:p>
    <w:p w14:paraId="00A86BEC" w14:textId="28F6B5DE" w:rsidR="00CA7C77" w:rsidRPr="00F66F3C" w:rsidRDefault="00CA7C77" w:rsidP="00F66F3C">
      <w:pPr>
        <w:pStyle w:val="FootnoteText"/>
        <w:rPr>
          <w:i/>
          <w:szCs w:val="20"/>
          <w:lang w:val="en-GB"/>
        </w:rPr>
      </w:pPr>
      <w:r w:rsidRPr="00F66F3C">
        <w:rPr>
          <w:i/>
          <w:szCs w:val="20"/>
          <w:lang w:val="en-GB"/>
        </w:rPr>
        <w:t>Definitions</w:t>
      </w:r>
    </w:p>
    <w:p w14:paraId="7DB162A2" w14:textId="4E8661E8" w:rsidR="00CA7C77" w:rsidRPr="00F66F3C" w:rsidRDefault="00CA7C77" w:rsidP="00F66F3C">
      <w:pPr>
        <w:pStyle w:val="FootnoteText"/>
        <w:numPr>
          <w:ilvl w:val="0"/>
          <w:numId w:val="36"/>
        </w:numPr>
        <w:rPr>
          <w:szCs w:val="20"/>
          <w:lang w:val="en-GB"/>
        </w:rPr>
      </w:pPr>
      <w:r w:rsidRPr="00F66F3C">
        <w:rPr>
          <w:szCs w:val="20"/>
          <w:lang w:val="en-GB"/>
        </w:rPr>
        <w:t>The expression “special mission” means an official mission of State representatives sent by one State to another in order to carry out a special task. It also applies to an itinerant envoy who carries out special tasks in the States to which he proceeds.</w:t>
      </w:r>
    </w:p>
    <w:p w14:paraId="26A0B00B" w14:textId="181F5F41" w:rsidR="00CA7C77" w:rsidRPr="00F66F3C" w:rsidRDefault="00CA7C77" w:rsidP="00F66F3C">
      <w:pPr>
        <w:pStyle w:val="FootnoteText"/>
        <w:numPr>
          <w:ilvl w:val="0"/>
          <w:numId w:val="36"/>
        </w:numPr>
        <w:rPr>
          <w:szCs w:val="20"/>
          <w:lang w:val="en-GB"/>
        </w:rPr>
      </w:pPr>
      <w:r w:rsidRPr="00F66F3C">
        <w:rPr>
          <w:szCs w:val="20"/>
          <w:lang w:val="en-GB"/>
        </w:rPr>
        <w:t xml:space="preserve">The expression “1958 draft” denotes the Draft Articles on Diplomatic Intercourse and Immunities prepared by the International Law Commission in 1958. </w:t>
      </w:r>
    </w:p>
    <w:p w14:paraId="0696113D" w14:textId="6A05AB97" w:rsidR="00CA7C77" w:rsidRPr="00F66F3C" w:rsidRDefault="00CA7C77" w:rsidP="00F66F3C">
      <w:pPr>
        <w:pStyle w:val="FootnoteText"/>
        <w:rPr>
          <w:i/>
          <w:szCs w:val="20"/>
          <w:lang w:val="en-GB"/>
        </w:rPr>
      </w:pPr>
      <w:r w:rsidRPr="00F66F3C">
        <w:rPr>
          <w:i/>
          <w:szCs w:val="20"/>
          <w:lang w:val="en-GB"/>
        </w:rPr>
        <w:t>Article 2</w:t>
      </w:r>
    </w:p>
    <w:p w14:paraId="1EBD1904" w14:textId="51458A93" w:rsidR="00CA7C77" w:rsidRPr="00F66F3C" w:rsidRDefault="00CA7C77" w:rsidP="00F66F3C">
      <w:pPr>
        <w:pStyle w:val="FootnoteText"/>
        <w:rPr>
          <w:i/>
          <w:szCs w:val="20"/>
          <w:lang w:val="en-GB"/>
        </w:rPr>
      </w:pPr>
      <w:r w:rsidRPr="00F66F3C">
        <w:rPr>
          <w:i/>
          <w:szCs w:val="20"/>
          <w:lang w:val="en-GB"/>
        </w:rPr>
        <w:t>Applicability of section 1 of the 1958 draft</w:t>
      </w:r>
    </w:p>
    <w:p w14:paraId="57757CE7" w14:textId="1C8334B7" w:rsidR="00CA7C77" w:rsidRPr="00F66F3C" w:rsidRDefault="00CA7C77" w:rsidP="00F66F3C">
      <w:pPr>
        <w:pStyle w:val="FootnoteText"/>
        <w:rPr>
          <w:szCs w:val="20"/>
          <w:lang w:val="en-GB"/>
        </w:rPr>
      </w:pPr>
      <w:r w:rsidRPr="00F66F3C">
        <w:rPr>
          <w:szCs w:val="20"/>
          <w:lang w:val="en-GB"/>
        </w:rPr>
        <w:t>Of the provisions of section 1 of the 1958 draft, only articles 8, 9 and 18 apply to special missions.</w:t>
      </w:r>
    </w:p>
    <w:p w14:paraId="2E59275A" w14:textId="7694B0B2" w:rsidR="00CA7C77" w:rsidRPr="00F66F3C" w:rsidRDefault="00CA7C77" w:rsidP="00F66F3C">
      <w:pPr>
        <w:pStyle w:val="FootnoteText"/>
        <w:rPr>
          <w:szCs w:val="20"/>
          <w:lang w:val="en-GB"/>
        </w:rPr>
      </w:pPr>
      <w:r w:rsidRPr="00F66F3C">
        <w:rPr>
          <w:i/>
          <w:szCs w:val="20"/>
          <w:lang w:val="en-GB"/>
        </w:rPr>
        <w:t>Article 3</w:t>
      </w:r>
    </w:p>
    <w:p w14:paraId="2D4773F9" w14:textId="1F57B7F1" w:rsidR="00CA7C77" w:rsidRPr="00F66F3C" w:rsidRDefault="00CA7C77" w:rsidP="00F66F3C">
      <w:pPr>
        <w:pStyle w:val="FootnoteText"/>
        <w:rPr>
          <w:i/>
          <w:szCs w:val="20"/>
          <w:lang w:val="en-GB"/>
        </w:rPr>
      </w:pPr>
      <w:r w:rsidRPr="00F66F3C">
        <w:rPr>
          <w:i/>
          <w:szCs w:val="20"/>
          <w:lang w:val="en-GB"/>
        </w:rPr>
        <w:t>Applicability of sections II, III and IV of the 1958 draft</w:t>
      </w:r>
    </w:p>
    <w:p w14:paraId="582BD7A6" w14:textId="37BE16BA" w:rsidR="00CA7C77" w:rsidRPr="00F66F3C" w:rsidRDefault="00CA7C77" w:rsidP="00F66F3C">
      <w:pPr>
        <w:pStyle w:val="FootnoteText"/>
        <w:numPr>
          <w:ilvl w:val="0"/>
          <w:numId w:val="37"/>
        </w:numPr>
        <w:rPr>
          <w:szCs w:val="20"/>
          <w:lang w:val="en-GB"/>
        </w:rPr>
      </w:pPr>
      <w:r w:rsidRPr="00F66F3C">
        <w:rPr>
          <w:szCs w:val="20"/>
          <w:lang w:val="en-GB"/>
        </w:rPr>
        <w:t>The provisions of sections II, III and IV apply to special missions also.</w:t>
      </w:r>
    </w:p>
    <w:p w14:paraId="387D3DF1" w14:textId="776FA757" w:rsidR="00CA7C77" w:rsidRPr="00F66F3C" w:rsidRDefault="00CA7C77" w:rsidP="00F66F3C">
      <w:pPr>
        <w:pStyle w:val="FootnoteText"/>
        <w:numPr>
          <w:ilvl w:val="0"/>
          <w:numId w:val="37"/>
        </w:numPr>
        <w:rPr>
          <w:szCs w:val="20"/>
          <w:lang w:val="en-GB"/>
        </w:rPr>
      </w:pPr>
      <w:r w:rsidRPr="00F66F3C">
        <w:rPr>
          <w:szCs w:val="20"/>
          <w:lang w:val="en-GB"/>
        </w:rPr>
        <w:t>In addition to the modes of termination referred to in article 41 of the 1958 draft, the functions of a special mission will come to an end when the tasks entrusted to it have been carried out.</w:t>
      </w:r>
    </w:p>
  </w:footnote>
  <w:footnote w:id="22">
    <w:p w14:paraId="1D4F51B8" w14:textId="1AF320DA"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6C3E15">
        <w:rPr>
          <w:szCs w:val="20"/>
          <w:lang w:val="en-GB"/>
        </w:rPr>
        <w:t>United Nations Conference on Diplomatic Intercourse and Immunities</w:t>
      </w:r>
      <w:r>
        <w:rPr>
          <w:szCs w:val="20"/>
          <w:lang w:val="en-GB"/>
        </w:rPr>
        <w:t>, ‘Resolutions Adopted by the Conference – I. Special Missions’</w:t>
      </w:r>
      <w:r w:rsidRPr="00F66F3C">
        <w:rPr>
          <w:i/>
          <w:szCs w:val="20"/>
          <w:lang w:val="en-GB"/>
        </w:rPr>
        <w:t>,</w:t>
      </w:r>
      <w:r>
        <w:rPr>
          <w:i/>
          <w:szCs w:val="20"/>
          <w:lang w:val="en-GB"/>
        </w:rPr>
        <w:t xml:space="preserve"> </w:t>
      </w:r>
      <w:r>
        <w:rPr>
          <w:szCs w:val="20"/>
          <w:lang w:val="en-GB"/>
        </w:rPr>
        <w:t xml:space="preserve">Doc. A/CONF.20/10/Add.1, </w:t>
      </w:r>
      <w:r w:rsidRPr="00F66F3C">
        <w:rPr>
          <w:szCs w:val="20"/>
          <w:lang w:val="en-GB"/>
        </w:rPr>
        <w:t>10 April 1961</w:t>
      </w:r>
      <w:r>
        <w:rPr>
          <w:szCs w:val="20"/>
          <w:lang w:val="en-GB"/>
        </w:rPr>
        <w:t xml:space="preserve">, </w:t>
      </w:r>
      <w:r w:rsidRPr="006C3E15">
        <w:rPr>
          <w:szCs w:val="20"/>
          <w:lang w:val="en-GB"/>
        </w:rPr>
        <w:t>Official Records</w:t>
      </w:r>
      <w:r w:rsidRPr="00F66F3C">
        <w:rPr>
          <w:szCs w:val="20"/>
          <w:lang w:val="en-GB"/>
        </w:rPr>
        <w:t>, vol. II, pp. 89–90.</w:t>
      </w:r>
      <w:r>
        <w:rPr>
          <w:szCs w:val="20"/>
          <w:lang w:val="en-GB"/>
        </w:rPr>
        <w:t xml:space="preserve"> </w:t>
      </w:r>
      <w:r w:rsidRPr="00F66F3C">
        <w:rPr>
          <w:szCs w:val="20"/>
          <w:lang w:val="en-GB"/>
        </w:rPr>
        <w:t xml:space="preserve">In reaching is decision, the Committee took note of the International Law Commission’s comments that the draft articles on special missions constituted only a preliminary draft and </w:t>
      </w:r>
      <w:r>
        <w:rPr>
          <w:szCs w:val="20"/>
          <w:lang w:val="en-GB"/>
        </w:rPr>
        <w:t>‘</w:t>
      </w:r>
      <w:r w:rsidRPr="00F66F3C">
        <w:rPr>
          <w:szCs w:val="20"/>
          <w:lang w:val="en-GB"/>
        </w:rPr>
        <w:t>that the time at its disposal had not permitted the Commission to undertake a thorough study of the matter</w:t>
      </w:r>
      <w:r>
        <w:rPr>
          <w:szCs w:val="20"/>
          <w:lang w:val="en-GB"/>
        </w:rPr>
        <w:t>’</w:t>
      </w:r>
      <w:r w:rsidRPr="00F66F3C">
        <w:rPr>
          <w:szCs w:val="20"/>
          <w:lang w:val="en-GB"/>
        </w:rPr>
        <w:t xml:space="preserve">, as well as the limited time available at the Vienna Conference to study the subject in full. </w:t>
      </w:r>
    </w:p>
  </w:footnote>
  <w:footnote w:id="23">
    <w:p w14:paraId="0AF28260" w14:textId="779D1E5C" w:rsidR="00CA7C77" w:rsidRPr="00E4511D" w:rsidRDefault="00CA7C77" w:rsidP="00F66F3C">
      <w:pPr>
        <w:pStyle w:val="FootnoteText"/>
        <w:rPr>
          <w:szCs w:val="20"/>
          <w:lang w:val="fr-FR"/>
        </w:rPr>
      </w:pPr>
      <w:r w:rsidRPr="00F66F3C">
        <w:rPr>
          <w:rStyle w:val="FootnoteReference"/>
          <w:sz w:val="20"/>
          <w:szCs w:val="20"/>
          <w:lang w:val="en-GB"/>
        </w:rPr>
        <w:footnoteRef/>
      </w:r>
      <w:r w:rsidRPr="00E4511D">
        <w:rPr>
          <w:szCs w:val="20"/>
          <w:lang w:val="fr-FR"/>
        </w:rPr>
        <w:t xml:space="preserve"> UNGA Res 1687(XVI), UN Doc A/RES/1687(XVI), 18 November 1961.</w:t>
      </w:r>
    </w:p>
  </w:footnote>
  <w:footnote w:id="24">
    <w:p w14:paraId="021F7CB1" w14:textId="558BD89C"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w:t>
      </w:r>
      <w:r>
        <w:rPr>
          <w:szCs w:val="20"/>
          <w:lang w:val="en-GB"/>
        </w:rPr>
        <w:t>(</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_Ref364692082 \h  \* MERGEFORMAT </w:instrText>
      </w:r>
      <w:r w:rsidRPr="00F66F3C">
        <w:rPr>
          <w:szCs w:val="20"/>
          <w:lang w:val="en-GB"/>
        </w:rPr>
      </w:r>
      <w:r w:rsidRPr="00F66F3C">
        <w:rPr>
          <w:szCs w:val="20"/>
          <w:lang w:val="en-GB"/>
        </w:rPr>
        <w:fldChar w:fldCharType="separate"/>
      </w:r>
      <w:r w:rsidR="006A2E69">
        <w:rPr>
          <w:szCs w:val="20"/>
          <w:lang w:val="en-GB"/>
        </w:rPr>
        <w:t>10</w:t>
      </w:r>
      <w:r w:rsidRPr="00F66F3C">
        <w:rPr>
          <w:szCs w:val="20"/>
          <w:lang w:val="en-GB"/>
        </w:rPr>
        <w:fldChar w:fldCharType="end"/>
      </w:r>
      <w:r>
        <w:rPr>
          <w:szCs w:val="20"/>
          <w:lang w:val="en-GB"/>
        </w:rPr>
        <w:t>)</w:t>
      </w:r>
      <w:r w:rsidRPr="00F66F3C">
        <w:rPr>
          <w:szCs w:val="20"/>
          <w:lang w:val="en-GB"/>
        </w:rPr>
        <w:t xml:space="preserve"> above.</w:t>
      </w:r>
    </w:p>
  </w:footnote>
  <w:footnote w:id="25">
    <w:p w14:paraId="4862C447" w14:textId="038A586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bookmarkStart w:id="28" w:name="_Hlk490662510"/>
      <w:r>
        <w:rPr>
          <w:szCs w:val="20"/>
          <w:lang w:val="en-GB"/>
        </w:rPr>
        <w:t xml:space="preserve">M. </w:t>
      </w:r>
      <w:r w:rsidRPr="00EB3034">
        <w:rPr>
          <w:szCs w:val="20"/>
          <w:lang w:val="en-GB"/>
        </w:rPr>
        <w:t>Bartoš</w:t>
      </w:r>
      <w:r>
        <w:rPr>
          <w:szCs w:val="20"/>
          <w:lang w:val="en-GB"/>
        </w:rPr>
        <w:t xml:space="preserve">, ‘First Report on Special Missions by Mr. Milan </w:t>
      </w:r>
      <w:r w:rsidRPr="00EB3034">
        <w:rPr>
          <w:szCs w:val="20"/>
          <w:lang w:val="en-GB"/>
        </w:rPr>
        <w:t>Bartoš</w:t>
      </w:r>
      <w:r>
        <w:rPr>
          <w:szCs w:val="20"/>
          <w:lang w:val="en-GB"/>
        </w:rPr>
        <w:t xml:space="preserve">, Special Rapporteur’, UN Doc. A/CN.4/166, 1 April 1964; M. </w:t>
      </w:r>
      <w:r w:rsidRPr="00EB3034">
        <w:rPr>
          <w:szCs w:val="20"/>
          <w:lang w:val="en-GB"/>
        </w:rPr>
        <w:t>Bartoš</w:t>
      </w:r>
      <w:r>
        <w:rPr>
          <w:szCs w:val="20"/>
          <w:lang w:val="en-GB"/>
        </w:rPr>
        <w:t xml:space="preserve">, ‘Second Report on Special Missions by Mr. Milan </w:t>
      </w:r>
      <w:r w:rsidRPr="00EB3034">
        <w:rPr>
          <w:szCs w:val="20"/>
          <w:lang w:val="en-GB"/>
        </w:rPr>
        <w:t>Bartoš</w:t>
      </w:r>
      <w:r>
        <w:rPr>
          <w:szCs w:val="20"/>
          <w:lang w:val="en-GB"/>
        </w:rPr>
        <w:t xml:space="preserve">, Special Rapporteur’, UN Doc. A/CN.4/179, 21 April 1965; M. </w:t>
      </w:r>
      <w:r w:rsidRPr="00EB3034">
        <w:rPr>
          <w:szCs w:val="20"/>
          <w:lang w:val="en-GB"/>
        </w:rPr>
        <w:t>Bartoš</w:t>
      </w:r>
      <w:r>
        <w:rPr>
          <w:szCs w:val="20"/>
          <w:lang w:val="en-GB"/>
        </w:rPr>
        <w:t xml:space="preserve">, ‘Third Report on Special Missions by Mr. Milan </w:t>
      </w:r>
      <w:r w:rsidRPr="00EB3034">
        <w:rPr>
          <w:szCs w:val="20"/>
          <w:lang w:val="en-GB"/>
        </w:rPr>
        <w:t>Bartoš</w:t>
      </w:r>
      <w:r>
        <w:rPr>
          <w:szCs w:val="20"/>
          <w:lang w:val="en-GB"/>
        </w:rPr>
        <w:t xml:space="preserve">, Special Rapporteur’, UN Doc. A/CN.4/189 and Add.1 &amp; 2, 13 June, 17 June and 11 July 1966; M. </w:t>
      </w:r>
      <w:r w:rsidRPr="00EB3034">
        <w:rPr>
          <w:szCs w:val="20"/>
          <w:lang w:val="en-GB"/>
        </w:rPr>
        <w:t>Bartoš</w:t>
      </w:r>
      <w:r>
        <w:rPr>
          <w:szCs w:val="20"/>
          <w:lang w:val="en-GB"/>
        </w:rPr>
        <w:t xml:space="preserve">, ‘Fourth Report on Special Missions by Mr. Milan </w:t>
      </w:r>
      <w:r w:rsidRPr="00EB3034">
        <w:rPr>
          <w:szCs w:val="20"/>
          <w:lang w:val="en-GB"/>
        </w:rPr>
        <w:t>Bartoš</w:t>
      </w:r>
      <w:r>
        <w:rPr>
          <w:szCs w:val="20"/>
          <w:lang w:val="en-GB"/>
        </w:rPr>
        <w:t>, Special Rapporteur’, UN Doc. A/CN.4/194 and Add.1-5, 5 April, 18 April, 21 April, 9 May, 10 May and 17 May 1967.</w:t>
      </w:r>
    </w:p>
    <w:bookmarkEnd w:id="28"/>
  </w:footnote>
  <w:footnote w:id="26">
    <w:p w14:paraId="1498305E" w14:textId="440BDEB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(1964) II </w:t>
      </w:r>
      <w:r w:rsidRPr="00F66F3C">
        <w:rPr>
          <w:i/>
          <w:szCs w:val="20"/>
          <w:lang w:val="en-GB"/>
        </w:rPr>
        <w:t>Yearbook of the International Law Commission</w:t>
      </w:r>
      <w:r w:rsidRPr="00F66F3C">
        <w:rPr>
          <w:szCs w:val="20"/>
          <w:lang w:val="en-GB"/>
        </w:rPr>
        <w:t xml:space="preserve">, pp. 210–26. </w:t>
      </w:r>
    </w:p>
  </w:footnote>
  <w:footnote w:id="27">
    <w:p w14:paraId="2FF85486" w14:textId="448D1A6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(1967) II </w:t>
      </w:r>
      <w:r w:rsidRPr="00F66F3C">
        <w:rPr>
          <w:i/>
          <w:szCs w:val="20"/>
          <w:lang w:val="en-GB"/>
        </w:rPr>
        <w:t>Yearbook of the International Law Commission</w:t>
      </w:r>
      <w:r w:rsidRPr="00F66F3C">
        <w:rPr>
          <w:szCs w:val="20"/>
          <w:lang w:val="en-GB"/>
        </w:rPr>
        <w:t xml:space="preserve">, pp. 347–68. </w:t>
      </w:r>
    </w:p>
  </w:footnote>
  <w:footnote w:id="28">
    <w:p w14:paraId="39CBD1F3" w14:textId="69AE574F"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Paszkowski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xml:space="preserve">), pp. 273–84. </w:t>
      </w:r>
    </w:p>
  </w:footnote>
  <w:footnote w:id="29">
    <w:p w14:paraId="0221DFD4" w14:textId="77777777" w:rsidR="00CA7C77" w:rsidRPr="0080145D" w:rsidRDefault="00CA7C77" w:rsidP="0080145D">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R. Kolodkin, ‘</w:t>
      </w:r>
      <w:r w:rsidRPr="0080145D">
        <w:rPr>
          <w:szCs w:val="20"/>
          <w:lang w:val="en-GB"/>
        </w:rPr>
        <w:t>Preliminary report on immunity of State officials from foreign criminal jurisdiction,</w:t>
      </w:r>
    </w:p>
    <w:p w14:paraId="11A1DF2C" w14:textId="7030C121" w:rsidR="00CA7C77" w:rsidRPr="00F66F3C" w:rsidRDefault="00CA7C77" w:rsidP="00F66F3C">
      <w:pPr>
        <w:pStyle w:val="FootnoteText"/>
        <w:rPr>
          <w:szCs w:val="20"/>
          <w:lang w:val="en-GB"/>
        </w:rPr>
      </w:pPr>
      <w:r w:rsidRPr="0080145D">
        <w:rPr>
          <w:szCs w:val="20"/>
          <w:lang w:val="en-GB"/>
        </w:rPr>
        <w:t>by Roman Anatolevich Kolodkin, Special Rapporteur</w:t>
      </w:r>
      <w:r>
        <w:rPr>
          <w:szCs w:val="20"/>
          <w:lang w:val="en-GB"/>
        </w:rPr>
        <w:t>’, UN Doc. A/CN.4/601, 29 May 2008, 183.</w:t>
      </w:r>
    </w:p>
  </w:footnote>
  <w:footnote w:id="30">
    <w:p w14:paraId="7E2B2774" w14:textId="449A29E4"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‘Report of the International Law Commission (65</w:t>
      </w:r>
      <w:r w:rsidRPr="00C87E8C">
        <w:rPr>
          <w:szCs w:val="20"/>
          <w:vertAlign w:val="superscript"/>
          <w:lang w:val="en-GB"/>
        </w:rPr>
        <w:t>th</w:t>
      </w:r>
      <w:r>
        <w:rPr>
          <w:szCs w:val="20"/>
          <w:lang w:val="en-GB"/>
        </w:rPr>
        <w:t xml:space="preserve"> session)’, </w:t>
      </w:r>
      <w:r w:rsidRPr="00F66F3C">
        <w:rPr>
          <w:szCs w:val="20"/>
          <w:lang w:val="en-GB"/>
        </w:rPr>
        <w:t>UN Doc</w:t>
      </w:r>
      <w:r>
        <w:rPr>
          <w:szCs w:val="20"/>
          <w:lang w:val="en-GB"/>
        </w:rPr>
        <w:t>.</w:t>
      </w:r>
      <w:r w:rsidRPr="00F66F3C">
        <w:rPr>
          <w:szCs w:val="20"/>
          <w:lang w:val="en-GB"/>
        </w:rPr>
        <w:t xml:space="preserve"> A/68/10,</w:t>
      </w:r>
      <w:r>
        <w:rPr>
          <w:szCs w:val="20"/>
          <w:lang w:val="en-GB"/>
        </w:rPr>
        <w:t xml:space="preserve"> 2013, 51, para. 48</w:t>
      </w:r>
      <w:r w:rsidRPr="00F66F3C">
        <w:rPr>
          <w:szCs w:val="20"/>
          <w:lang w:val="en-GB"/>
        </w:rPr>
        <w:t xml:space="preserve">. </w:t>
      </w:r>
    </w:p>
  </w:footnote>
  <w:footnote w:id="31">
    <w:p w14:paraId="589586C0" w14:textId="6945F74D"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C87E8C">
        <w:rPr>
          <w:szCs w:val="20"/>
          <w:lang w:val="en-GB"/>
        </w:rPr>
        <w:t>Ibid.</w:t>
      </w:r>
      <w:r w:rsidRPr="00F66F3C">
        <w:rPr>
          <w:szCs w:val="20"/>
          <w:lang w:val="en-GB"/>
        </w:rPr>
        <w:t>, 56, para</w:t>
      </w:r>
      <w:r>
        <w:rPr>
          <w:szCs w:val="20"/>
          <w:lang w:val="en-GB"/>
        </w:rPr>
        <w:t>.</w:t>
      </w:r>
      <w:r w:rsidRPr="00F66F3C">
        <w:rPr>
          <w:szCs w:val="20"/>
          <w:lang w:val="en-GB"/>
        </w:rPr>
        <w:t xml:space="preserve"> 11. </w:t>
      </w:r>
    </w:p>
  </w:footnote>
  <w:footnote w:id="32">
    <w:p w14:paraId="53189684" w14:textId="3C2D3F4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C87E8C">
        <w:rPr>
          <w:szCs w:val="20"/>
          <w:lang w:val="en-GB"/>
        </w:rPr>
        <w:t>Ibid.</w:t>
      </w:r>
      <w:r w:rsidRPr="00F66F3C">
        <w:rPr>
          <w:szCs w:val="20"/>
          <w:lang w:val="en-GB"/>
        </w:rPr>
        <w:t>, 65, para</w:t>
      </w:r>
      <w:r>
        <w:rPr>
          <w:szCs w:val="20"/>
          <w:lang w:val="en-GB"/>
        </w:rPr>
        <w:t>.</w:t>
      </w:r>
      <w:r w:rsidRPr="00F66F3C">
        <w:rPr>
          <w:szCs w:val="20"/>
          <w:lang w:val="en-GB"/>
        </w:rPr>
        <w:t xml:space="preserve"> 12. </w:t>
      </w:r>
    </w:p>
  </w:footnote>
  <w:footnote w:id="33">
    <w:p w14:paraId="38C35D87" w14:textId="3C5B797D"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Council of Europe, Committee of Legal Advisers on Public International Law (CAHDI), ‘Replies by States to the questionnaire on “Immunities of Special Missions”’, 7 December 2017 </w:t>
      </w:r>
      <w:r w:rsidRPr="00F66F3C">
        <w:rPr>
          <w:szCs w:val="20"/>
          <w:lang w:val="en-GB"/>
        </w:rPr>
        <w:t>(hereafter ‘CAHDI Replies to Questionnaire’)</w:t>
      </w:r>
      <w:r>
        <w:rPr>
          <w:szCs w:val="20"/>
          <w:lang w:val="en-GB"/>
        </w:rPr>
        <w:t>.</w:t>
      </w:r>
      <w:r w:rsidRPr="00F66F3C">
        <w:rPr>
          <w:szCs w:val="20"/>
          <w:lang w:val="en-GB"/>
        </w:rPr>
        <w:t xml:space="preserve"> See also</w:t>
      </w:r>
      <w:r>
        <w:rPr>
          <w:szCs w:val="20"/>
          <w:lang w:val="en-GB"/>
        </w:rPr>
        <w:t xml:space="preserve"> the</w:t>
      </w:r>
      <w:r w:rsidRPr="00F66F3C">
        <w:rPr>
          <w:szCs w:val="20"/>
          <w:lang w:val="en-GB"/>
        </w:rPr>
        <w:t xml:space="preserve"> </w:t>
      </w:r>
      <w:r w:rsidRPr="00F66F3C">
        <w:rPr>
          <w:i/>
          <w:szCs w:val="20"/>
          <w:lang w:val="en-GB"/>
        </w:rPr>
        <w:t xml:space="preserve">Freedom and Justice Party </w:t>
      </w:r>
      <w:r w:rsidRPr="00F66F3C">
        <w:rPr>
          <w:szCs w:val="20"/>
          <w:lang w:val="en-GB"/>
        </w:rPr>
        <w:t>case (</w:t>
      </w:r>
      <w:r>
        <w:rPr>
          <w:szCs w:val="20"/>
          <w:lang w:val="en-GB"/>
        </w:rPr>
        <w:t>n</w:t>
      </w:r>
      <w:r w:rsidRPr="00F66F3C">
        <w:rPr>
          <w:szCs w:val="20"/>
          <w:lang w:val="en-GB"/>
        </w:rPr>
        <w:t xml:space="preserve"> </w:t>
      </w:r>
      <w:r w:rsidRPr="00F66F3C">
        <w:rPr>
          <w:szCs w:val="20"/>
          <w:lang w:val="en-GB"/>
        </w:rPr>
        <w:fldChar w:fldCharType="begin"/>
      </w:r>
      <w:r w:rsidRPr="00F66F3C">
        <w:rPr>
          <w:szCs w:val="20"/>
          <w:lang w:val="en-GB"/>
        </w:rPr>
        <w:instrText xml:space="preserve"> NOTEREF _Ref493330102 \h  \* MERGEFORMAT </w:instrText>
      </w:r>
      <w:r w:rsidRPr="00F66F3C">
        <w:rPr>
          <w:szCs w:val="20"/>
          <w:lang w:val="en-GB"/>
        </w:rPr>
      </w:r>
      <w:r w:rsidRPr="00F66F3C">
        <w:rPr>
          <w:szCs w:val="20"/>
          <w:lang w:val="en-GB"/>
        </w:rPr>
        <w:fldChar w:fldCharType="separate"/>
      </w:r>
      <w:r w:rsidR="006A2E69">
        <w:rPr>
          <w:szCs w:val="20"/>
          <w:lang w:val="en-GB"/>
        </w:rPr>
        <w:t>12</w:t>
      </w:r>
      <w:r w:rsidRPr="00F66F3C">
        <w:rPr>
          <w:szCs w:val="20"/>
          <w:lang w:val="en-GB"/>
        </w:rPr>
        <w:fldChar w:fldCharType="end"/>
      </w:r>
      <w:r w:rsidRPr="00F66F3C">
        <w:rPr>
          <w:szCs w:val="20"/>
          <w:lang w:val="en-GB"/>
        </w:rPr>
        <w:t xml:space="preserve">). The Annex to the judgment is entitled </w:t>
      </w:r>
      <w:r>
        <w:rPr>
          <w:szCs w:val="20"/>
          <w:lang w:val="en-GB"/>
        </w:rPr>
        <w:t>‘</w:t>
      </w:r>
      <w:r w:rsidRPr="00F66F3C">
        <w:rPr>
          <w:szCs w:val="20"/>
          <w:lang w:val="en-GB"/>
        </w:rPr>
        <w:t>Committee of Legal Advisors on Public International Law (CAHDI) Replies by States to the questionnaire on immunities and special missions</w:t>
      </w:r>
      <w:r>
        <w:rPr>
          <w:szCs w:val="20"/>
          <w:lang w:val="en-GB"/>
        </w:rPr>
        <w:t>’</w:t>
      </w:r>
      <w:r w:rsidRPr="00F66F3C">
        <w:rPr>
          <w:szCs w:val="20"/>
          <w:lang w:val="en-GB"/>
        </w:rPr>
        <w:t>, and sets out Questions 5 and 6 and the responses thereto (hereafter ‘</w:t>
      </w:r>
      <w:r w:rsidRPr="00F66F3C">
        <w:rPr>
          <w:i/>
          <w:szCs w:val="20"/>
          <w:lang w:val="en-GB"/>
        </w:rPr>
        <w:t>Freedom and Justice Party</w:t>
      </w:r>
      <w:r w:rsidRPr="00F66F3C">
        <w:rPr>
          <w:szCs w:val="20"/>
          <w:lang w:val="en-GB"/>
        </w:rPr>
        <w:t>, CAHDI Annex’). The States whose responses were available to the Divisional Court in 2016 were Albania, Andorra, Armenia, Austria, Belarus, Czech Republic, Denmark, Estonia, Finland, France, Georgia, Germany, Ireland, Italy, Latvia, Mexico, The Netherlands, Norway, Romania, Serbia, Switzerland, Sweden, United Kingdom and the United States of America.</w:t>
      </w:r>
      <w:r w:rsidR="005E2C6F">
        <w:rPr>
          <w:szCs w:val="20"/>
          <w:lang w:val="en-GB"/>
        </w:rPr>
        <w:t xml:space="preserve"> </w:t>
      </w:r>
    </w:p>
  </w:footnote>
  <w:footnote w:id="34">
    <w:p w14:paraId="7FEF0975" w14:textId="1CD820C0"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lang w:val="en-GB"/>
        </w:rPr>
        <w:t>Convention on Special Missions, 8 December 1969, in force 21 June 1985, 1400 UNTS 231</w:t>
      </w:r>
      <w:r w:rsidRPr="00F66F3C">
        <w:rPr>
          <w:szCs w:val="20"/>
          <w:lang w:val="en-GB"/>
        </w:rPr>
        <w:t>. The resolution adopting the Convention was adopted by a non-recorded vote of 98–0–1 (Malawi abstaining)</w:t>
      </w:r>
      <w:r>
        <w:rPr>
          <w:szCs w:val="20"/>
          <w:lang w:val="en-GB"/>
        </w:rPr>
        <w:t xml:space="preserve">: Convention on Special Missions and Optional Protocol concerning the Compulsory Settlement of Disputes, UNGA Res 2530(XXIV), UN Doc. </w:t>
      </w:r>
      <w:r w:rsidRPr="00F66F3C">
        <w:rPr>
          <w:szCs w:val="20"/>
          <w:lang w:val="en-GB"/>
        </w:rPr>
        <w:t>A/RES/2530(XXIV)</w:t>
      </w:r>
      <w:r>
        <w:rPr>
          <w:szCs w:val="20"/>
          <w:lang w:val="en-GB"/>
        </w:rPr>
        <w:t xml:space="preserve">, </w:t>
      </w:r>
      <w:r w:rsidRPr="00F66F3C">
        <w:rPr>
          <w:szCs w:val="20"/>
          <w:lang w:val="en-GB"/>
        </w:rPr>
        <w:t xml:space="preserve">8 December 1969. </w:t>
      </w:r>
    </w:p>
  </w:footnote>
  <w:footnote w:id="35">
    <w:p w14:paraId="5AF0663B" w14:textId="3E2D8448"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bookmarkStart w:id="40" w:name="_Hlk503791686"/>
      <w:r w:rsidRPr="00D7585A">
        <w:rPr>
          <w:szCs w:val="20"/>
          <w:lang w:val="en-GB"/>
        </w:rPr>
        <w:t>Optional Protocol to the Convention on Special Missions concerning the compulsory settlement of disputes</w:t>
      </w:r>
      <w:r>
        <w:rPr>
          <w:szCs w:val="20"/>
          <w:lang w:val="en-GB"/>
        </w:rPr>
        <w:t xml:space="preserve">, 8 December 1969, in force 21 June 1985, </w:t>
      </w:r>
      <w:r w:rsidRPr="00F66F3C">
        <w:rPr>
          <w:szCs w:val="20"/>
          <w:lang w:val="en-GB"/>
        </w:rPr>
        <w:t>1400 UNTS 339.</w:t>
      </w:r>
      <w:bookmarkEnd w:id="40"/>
      <w:r w:rsidRPr="00F66F3C">
        <w:rPr>
          <w:szCs w:val="20"/>
          <w:lang w:val="en-GB"/>
        </w:rPr>
        <w:t xml:space="preserve"> As of </w:t>
      </w:r>
      <w:r w:rsidRPr="00F66F3C">
        <w:rPr>
          <w:color w:val="000000" w:themeColor="text1"/>
          <w:szCs w:val="20"/>
          <w:lang w:val="en-GB"/>
        </w:rPr>
        <w:t xml:space="preserve">October </w:t>
      </w:r>
      <w:r w:rsidRPr="00F66F3C">
        <w:rPr>
          <w:szCs w:val="20"/>
          <w:lang w:val="en-GB"/>
        </w:rPr>
        <w:t xml:space="preserve">2017, there were 17 States Parties. </w:t>
      </w:r>
    </w:p>
  </w:footnote>
  <w:footnote w:id="36">
    <w:p w14:paraId="538ECD65" w14:textId="0CF66B4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Settlement of civil claims in connexion with the Convention on Special Missions, UNGA Res 2531(XXIV), UN Doc. A/RES/2531(XXIV), 8 December 1969, which </w:t>
      </w:r>
      <w:r w:rsidRPr="00F66F3C">
        <w:rPr>
          <w:szCs w:val="20"/>
          <w:lang w:val="en-GB"/>
        </w:rPr>
        <w:t xml:space="preserve">recommended </w:t>
      </w:r>
      <w:r>
        <w:rPr>
          <w:szCs w:val="20"/>
          <w:lang w:val="en-GB"/>
        </w:rPr>
        <w:t>‘</w:t>
      </w:r>
      <w:r w:rsidRPr="00F66F3C">
        <w:rPr>
          <w:szCs w:val="20"/>
          <w:lang w:val="en-GB"/>
        </w:rPr>
        <w:t>that the sending State should waive the immunity of members of its special mission in respect of civil claims of persons in the receiving State when it can do so without impeding the performance of the functions of the special mission, and that, when immunity is not waived, the sending State should use its best endeavors to bring about a just settlement of the claims</w:t>
      </w:r>
      <w:r>
        <w:rPr>
          <w:szCs w:val="20"/>
          <w:lang w:val="en-GB"/>
        </w:rPr>
        <w:t>’</w:t>
      </w:r>
      <w:r w:rsidRPr="00F66F3C">
        <w:rPr>
          <w:szCs w:val="20"/>
          <w:lang w:val="en-GB"/>
        </w:rPr>
        <w:t xml:space="preserve">. </w:t>
      </w:r>
    </w:p>
  </w:footnote>
  <w:footnote w:id="37">
    <w:p w14:paraId="06213226" w14:textId="557071FA"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According to </w:t>
      </w:r>
      <w:r w:rsidRPr="00F66F3C">
        <w:rPr>
          <w:rFonts w:eastAsia="Calibri"/>
          <w:szCs w:val="20"/>
          <w:lang w:val="en-GB"/>
        </w:rPr>
        <w:t xml:space="preserve">Sinclair (n </w:t>
      </w:r>
      <w:r w:rsidRPr="00F66F3C">
        <w:rPr>
          <w:rFonts w:eastAsia="Calibri"/>
          <w:szCs w:val="20"/>
          <w:lang w:val="en-GB"/>
        </w:rPr>
        <w:fldChar w:fldCharType="begin"/>
      </w:r>
      <w:r w:rsidRPr="00F66F3C">
        <w:rPr>
          <w:rFonts w:eastAsia="Calibri"/>
          <w:szCs w:val="20"/>
          <w:lang w:val="en-GB"/>
        </w:rPr>
        <w:instrText xml:space="preserve"> NOTEREF _Ref364691894 \h  \* MERGEFORMAT </w:instrText>
      </w:r>
      <w:r w:rsidRPr="00F66F3C">
        <w:rPr>
          <w:rFonts w:eastAsia="Calibri"/>
          <w:szCs w:val="20"/>
          <w:lang w:val="en-GB"/>
        </w:rPr>
      </w:r>
      <w:r w:rsidRPr="00F66F3C">
        <w:rPr>
          <w:rFonts w:eastAsia="Calibri"/>
          <w:szCs w:val="20"/>
          <w:lang w:val="en-GB"/>
        </w:rPr>
        <w:fldChar w:fldCharType="separate"/>
      </w:r>
      <w:r w:rsidR="006A2E69">
        <w:rPr>
          <w:rFonts w:eastAsia="Calibri"/>
          <w:szCs w:val="20"/>
          <w:lang w:val="en-GB"/>
        </w:rPr>
        <w:t>4</w:t>
      </w:r>
      <w:r w:rsidRPr="00F66F3C">
        <w:rPr>
          <w:rFonts w:eastAsia="Calibri"/>
          <w:szCs w:val="20"/>
          <w:lang w:val="en-GB"/>
        </w:rPr>
        <w:fldChar w:fldCharType="end"/>
      </w:r>
      <w:r w:rsidRPr="00F66F3C">
        <w:rPr>
          <w:rFonts w:eastAsia="Calibri"/>
          <w:szCs w:val="20"/>
          <w:lang w:val="en-GB"/>
        </w:rPr>
        <w:t xml:space="preserve">), p. 61, </w:t>
      </w:r>
      <w:r>
        <w:rPr>
          <w:rFonts w:eastAsia="Calibri"/>
          <w:szCs w:val="20"/>
          <w:lang w:val="en-GB"/>
        </w:rPr>
        <w:t>‘</w:t>
      </w:r>
      <w:r w:rsidRPr="00F66F3C">
        <w:rPr>
          <w:rFonts w:eastAsia="Calibri"/>
          <w:szCs w:val="20"/>
          <w:lang w:val="en-GB"/>
        </w:rPr>
        <w:t>[t]his effort at progressive development and codification has accordingly been only partially successful, no doubt because of the reluctance of Governments to accord a wide range of privileges and immunities to special missions and their members when, in the view of the Governments concerned, the grant of such privileges and immunities was not justified by functional reasons</w:t>
      </w:r>
      <w:r>
        <w:rPr>
          <w:rFonts w:eastAsia="Calibri"/>
          <w:szCs w:val="20"/>
          <w:lang w:val="en-GB"/>
        </w:rPr>
        <w:t>’</w:t>
      </w:r>
      <w:r w:rsidRPr="00F66F3C">
        <w:rPr>
          <w:rFonts w:eastAsia="Calibri"/>
          <w:szCs w:val="20"/>
          <w:lang w:val="en-GB"/>
        </w:rPr>
        <w:t>. See discussion below on the core provisions of the Convention.</w:t>
      </w:r>
    </w:p>
  </w:footnote>
  <w:footnote w:id="38">
    <w:p w14:paraId="5578A178" w14:textId="5E7B519D"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Section III(2) on the core provisions of the Convention</w:t>
      </w:r>
      <w:r>
        <w:rPr>
          <w:szCs w:val="20"/>
          <w:lang w:val="en-GB"/>
        </w:rPr>
        <w:t xml:space="preserve"> (n </w:t>
      </w:r>
      <w:r>
        <w:rPr>
          <w:szCs w:val="20"/>
          <w:lang w:val="en-GB"/>
        </w:rPr>
        <w:fldChar w:fldCharType="begin"/>
      </w:r>
      <w:r>
        <w:rPr>
          <w:szCs w:val="20"/>
          <w:lang w:val="en-GB"/>
        </w:rPr>
        <w:instrText xml:space="preserve"> NOTEREF _Ref503791847 \h </w:instrText>
      </w:r>
      <w:r>
        <w:rPr>
          <w:szCs w:val="20"/>
          <w:lang w:val="en-GB"/>
        </w:rPr>
      </w:r>
      <w:r>
        <w:rPr>
          <w:szCs w:val="20"/>
          <w:lang w:val="en-GB"/>
        </w:rPr>
        <w:fldChar w:fldCharType="separate"/>
      </w:r>
      <w:r w:rsidR="006A2E69">
        <w:rPr>
          <w:szCs w:val="20"/>
          <w:lang w:val="en-GB"/>
        </w:rPr>
        <w:t>34</w:t>
      </w:r>
      <w:r>
        <w:rPr>
          <w:szCs w:val="20"/>
          <w:lang w:val="en-GB"/>
        </w:rPr>
        <w:fldChar w:fldCharType="end"/>
      </w:r>
      <w:r>
        <w:rPr>
          <w:szCs w:val="20"/>
          <w:lang w:val="en-GB"/>
        </w:rPr>
        <w:t>)</w:t>
      </w:r>
      <w:r w:rsidRPr="00F66F3C">
        <w:rPr>
          <w:szCs w:val="20"/>
          <w:lang w:val="en-GB"/>
        </w:rPr>
        <w:t>.</w:t>
      </w:r>
      <w:r w:rsidR="005E2C6F">
        <w:rPr>
          <w:szCs w:val="20"/>
          <w:lang w:val="en-GB"/>
        </w:rPr>
        <w:t xml:space="preserve"> </w:t>
      </w:r>
    </w:p>
  </w:footnote>
  <w:footnote w:id="39">
    <w:p w14:paraId="286A89B0" w14:textId="4F1C1595"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F66F3C">
        <w:rPr>
          <w:rFonts w:eastAsia="Calibri"/>
          <w:szCs w:val="20"/>
          <w:lang w:val="en-GB"/>
        </w:rPr>
        <w:t xml:space="preserve">In defining a special mission, the Convention allows for such missions between States that do not ordinarily have permanent diplomatic or consular relations, on the basis that </w:t>
      </w:r>
      <w:r>
        <w:rPr>
          <w:rFonts w:eastAsia="Calibri"/>
          <w:szCs w:val="20"/>
          <w:lang w:val="en-GB"/>
        </w:rPr>
        <w:t>‘</w:t>
      </w:r>
      <w:r w:rsidRPr="00F66F3C">
        <w:rPr>
          <w:rFonts w:eastAsia="Calibri"/>
          <w:szCs w:val="20"/>
          <w:lang w:val="en-GB"/>
        </w:rPr>
        <w:t>any mission might be better than none at all</w:t>
      </w:r>
      <w:r>
        <w:rPr>
          <w:rFonts w:eastAsia="Calibri"/>
          <w:szCs w:val="20"/>
          <w:lang w:val="en-GB"/>
        </w:rPr>
        <w:t>’</w:t>
      </w:r>
      <w:r w:rsidRPr="00F66F3C">
        <w:rPr>
          <w:rFonts w:eastAsia="Calibri"/>
          <w:szCs w:val="20"/>
          <w:lang w:val="en-GB"/>
        </w:rPr>
        <w:t xml:space="preserve">: </w:t>
      </w:r>
      <w:r w:rsidRPr="00F66F3C">
        <w:rPr>
          <w:szCs w:val="20"/>
          <w:lang w:val="en-GB"/>
        </w:rPr>
        <w:t xml:space="preserve">G. Berridge, </w:t>
      </w:r>
      <w:r w:rsidRPr="00F66F3C">
        <w:rPr>
          <w:i/>
          <w:szCs w:val="20"/>
          <w:lang w:val="en-GB"/>
        </w:rPr>
        <w:t>Diplomacy: Theory and Practice</w:t>
      </w:r>
      <w:r>
        <w:rPr>
          <w:szCs w:val="20"/>
          <w:lang w:val="en-GB"/>
        </w:rPr>
        <w:t>, 5</w:t>
      </w:r>
      <w:r w:rsidRPr="00395364">
        <w:rPr>
          <w:szCs w:val="20"/>
          <w:vertAlign w:val="superscript"/>
          <w:lang w:val="en-GB"/>
        </w:rPr>
        <w:t>th</w:t>
      </w:r>
      <w:r>
        <w:rPr>
          <w:szCs w:val="20"/>
          <w:lang w:val="en-GB"/>
        </w:rPr>
        <w:t xml:space="preserve"> edn</w:t>
      </w:r>
      <w:r w:rsidRPr="00F66F3C">
        <w:rPr>
          <w:szCs w:val="20"/>
          <w:lang w:val="en-GB"/>
        </w:rPr>
        <w:t xml:space="preserve"> (Palgrave Macmillan, 2015), p. 263. </w:t>
      </w:r>
    </w:p>
  </w:footnote>
  <w:footnote w:id="40">
    <w:p w14:paraId="5D17708B" w14:textId="7ED73C54" w:rsidR="006A2E69" w:rsidRPr="006A2E69" w:rsidRDefault="006A2E69" w:rsidP="006A2E69">
      <w:pPr>
        <w:pStyle w:val="FootnoteText"/>
        <w:rPr>
          <w:rFonts w:eastAsia="Calibri"/>
          <w:szCs w:val="20"/>
          <w:lang w:val="en-US"/>
        </w:rPr>
      </w:pPr>
      <w:r w:rsidRPr="00992EB7">
        <w:rPr>
          <w:rStyle w:val="FootnoteReference"/>
        </w:rPr>
        <w:footnoteRef/>
      </w:r>
      <w:r w:rsidRPr="00992EB7">
        <w:rPr>
          <w:lang w:val="en-US"/>
        </w:rPr>
        <w:t xml:space="preserve"> See also Chapters 23 and 24 on diplomatic and consular immunities by Sanderijn Duquet and Eileen Denza.</w:t>
      </w:r>
    </w:p>
  </w:footnote>
  <w:footnote w:id="41">
    <w:p w14:paraId="07803DE7" w14:textId="7306429C"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Article 31</w:t>
      </w:r>
      <w:r>
        <w:rPr>
          <w:szCs w:val="20"/>
          <w:lang w:val="en-GB"/>
        </w:rPr>
        <w:t xml:space="preserve"> of the</w:t>
      </w:r>
      <w:r w:rsidRPr="00F66F3C">
        <w:rPr>
          <w:szCs w:val="20"/>
          <w:lang w:val="en-GB"/>
        </w:rPr>
        <w:t xml:space="preserve"> Vienna Convention on Diplomatic Relations</w:t>
      </w:r>
      <w:r>
        <w:rPr>
          <w:szCs w:val="20"/>
          <w:lang w:val="en-GB"/>
        </w:rPr>
        <w:t xml:space="preserve"> (VCDR), 18 April 1961, in force 24 April 1964,</w:t>
      </w:r>
      <w:r w:rsidRPr="00F66F3C">
        <w:rPr>
          <w:szCs w:val="20"/>
          <w:lang w:val="en-GB"/>
        </w:rPr>
        <w:t xml:space="preserve"> 500 UNTS 95. </w:t>
      </w:r>
    </w:p>
  </w:footnote>
  <w:footnote w:id="42">
    <w:p w14:paraId="10012509" w14:textId="32BC9BB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exceptions shared with permanent missions include actions (a) relating to private immovable property situated in the territory of the receiving State, unless the person concerned holds it on behalf of the sending State for the purposes of the mission; (b) relating to succession in which the person concerned is involved as executor, administrator, heir or legatee as a private person and not on behalf of the sending State; (c) relating to any professional or commercial activity exercised by the person concerned in the receiving State outside his official functions.</w:t>
      </w:r>
      <w:r w:rsidR="005E2C6F">
        <w:rPr>
          <w:szCs w:val="20"/>
          <w:lang w:val="en-GB"/>
        </w:rPr>
        <w:t xml:space="preserve"> </w:t>
      </w:r>
    </w:p>
  </w:footnote>
  <w:footnote w:id="43">
    <w:p w14:paraId="4C1C70D3" w14:textId="5DCB1DF5"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In other words, members of the families of representatives of the sending State in the special mission and of its members of its diplomatic staff are entitled to immunities in articles 29 to 35 of the Convention; members of families of members of the administrative and technical staff are entitled to immunities as specified in article 36 of the Convention. </w:t>
      </w:r>
    </w:p>
  </w:footnote>
  <w:footnote w:id="44">
    <w:p w14:paraId="2973840C" w14:textId="03A3484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For practice on the interpretation and application of ‘members of the family’, see E. Denza, </w:t>
      </w:r>
      <w:r w:rsidRPr="00F66F3C">
        <w:rPr>
          <w:i/>
          <w:szCs w:val="20"/>
          <w:lang w:val="en-GB"/>
        </w:rPr>
        <w:t>Diplomatic Law. A Commentary</w:t>
      </w:r>
      <w:r>
        <w:rPr>
          <w:szCs w:val="20"/>
          <w:lang w:val="en-GB"/>
        </w:rPr>
        <w:t>, 4</w:t>
      </w:r>
      <w:r w:rsidRPr="00A36A12">
        <w:rPr>
          <w:szCs w:val="20"/>
          <w:vertAlign w:val="superscript"/>
          <w:lang w:val="en-GB"/>
        </w:rPr>
        <w:t>th</w:t>
      </w:r>
      <w:r>
        <w:rPr>
          <w:szCs w:val="20"/>
          <w:lang w:val="en-GB"/>
        </w:rPr>
        <w:t xml:space="preserve"> edn</w:t>
      </w:r>
      <w:r w:rsidRPr="00F66F3C">
        <w:rPr>
          <w:i/>
          <w:szCs w:val="20"/>
          <w:lang w:val="en-GB"/>
        </w:rPr>
        <w:t xml:space="preserve"> </w:t>
      </w:r>
      <w:r w:rsidRPr="00F66F3C">
        <w:rPr>
          <w:szCs w:val="20"/>
          <w:lang w:val="en-GB"/>
        </w:rPr>
        <w:t>(</w:t>
      </w:r>
      <w:r>
        <w:rPr>
          <w:szCs w:val="20"/>
          <w:lang w:val="en-GB"/>
        </w:rPr>
        <w:t>Oxford University Press</w:t>
      </w:r>
      <w:r w:rsidRPr="00F66F3C">
        <w:rPr>
          <w:szCs w:val="20"/>
          <w:lang w:val="en-GB"/>
        </w:rPr>
        <w:t>, 2016), pp. 319-24.</w:t>
      </w:r>
    </w:p>
  </w:footnote>
  <w:footnote w:id="45">
    <w:p w14:paraId="73FEEC86" w14:textId="14E1F10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w:t>
      </w:r>
      <w:r>
        <w:rPr>
          <w:szCs w:val="20"/>
          <w:lang w:val="en-GB"/>
        </w:rPr>
        <w:t xml:space="preserve"> the</w:t>
      </w:r>
      <w:r w:rsidRPr="00F66F3C">
        <w:rPr>
          <w:szCs w:val="20"/>
          <w:lang w:val="en-GB"/>
        </w:rPr>
        <w:t xml:space="preserve"> </w:t>
      </w:r>
      <w:r w:rsidRPr="00F66F3C">
        <w:rPr>
          <w:i/>
          <w:szCs w:val="20"/>
          <w:lang w:val="en-GB"/>
        </w:rPr>
        <w:t xml:space="preserve">Freedom and Justice Party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_Ref493330102 \h  \* MERGEFORMAT </w:instrText>
      </w:r>
      <w:r w:rsidRPr="00F66F3C">
        <w:rPr>
          <w:szCs w:val="20"/>
          <w:lang w:val="en-GB"/>
        </w:rPr>
      </w:r>
      <w:r w:rsidRPr="00F66F3C">
        <w:rPr>
          <w:szCs w:val="20"/>
          <w:lang w:val="en-GB"/>
        </w:rPr>
        <w:fldChar w:fldCharType="separate"/>
      </w:r>
      <w:r w:rsidR="006A2E69">
        <w:rPr>
          <w:szCs w:val="20"/>
          <w:lang w:val="en-GB"/>
        </w:rPr>
        <w:t>12</w:t>
      </w:r>
      <w:r w:rsidRPr="00F66F3C">
        <w:rPr>
          <w:szCs w:val="20"/>
          <w:lang w:val="en-GB"/>
        </w:rPr>
        <w:fldChar w:fldCharType="end"/>
      </w:r>
      <w:r w:rsidRPr="00F66F3C">
        <w:rPr>
          <w:szCs w:val="20"/>
          <w:lang w:val="en-GB"/>
        </w:rPr>
        <w:t>), paras</w:t>
      </w:r>
      <w:r>
        <w:rPr>
          <w:szCs w:val="20"/>
          <w:lang w:val="en-GB"/>
        </w:rPr>
        <w:t>.</w:t>
      </w:r>
      <w:r w:rsidRPr="00F66F3C">
        <w:rPr>
          <w:szCs w:val="20"/>
          <w:lang w:val="en-GB"/>
        </w:rPr>
        <w:t xml:space="preserve"> 74–165; J Crawford, </w:t>
      </w:r>
      <w:r w:rsidRPr="00F66F3C">
        <w:rPr>
          <w:i/>
          <w:szCs w:val="20"/>
          <w:lang w:val="en-GB"/>
        </w:rPr>
        <w:t>Brownlie’s Principles of Public International Law</w:t>
      </w:r>
      <w:r>
        <w:rPr>
          <w:szCs w:val="20"/>
          <w:lang w:val="en-GB"/>
        </w:rPr>
        <w:t>, 8</w:t>
      </w:r>
      <w:r w:rsidRPr="00DB06A2">
        <w:rPr>
          <w:szCs w:val="20"/>
          <w:vertAlign w:val="superscript"/>
          <w:lang w:val="en-GB"/>
        </w:rPr>
        <w:t>th</w:t>
      </w:r>
      <w:r>
        <w:rPr>
          <w:szCs w:val="20"/>
          <w:lang w:val="en-GB"/>
        </w:rPr>
        <w:t xml:space="preserve"> edn</w:t>
      </w:r>
      <w:r w:rsidRPr="00F66F3C">
        <w:rPr>
          <w:szCs w:val="20"/>
          <w:lang w:val="en-GB"/>
        </w:rPr>
        <w:t xml:space="preserve"> (O</w:t>
      </w:r>
      <w:r>
        <w:rPr>
          <w:szCs w:val="20"/>
          <w:lang w:val="en-GB"/>
        </w:rPr>
        <w:t xml:space="preserve">xford University </w:t>
      </w:r>
      <w:r w:rsidRPr="00F66F3C">
        <w:rPr>
          <w:szCs w:val="20"/>
          <w:lang w:val="en-GB"/>
        </w:rPr>
        <w:t>P</w:t>
      </w:r>
      <w:r>
        <w:rPr>
          <w:szCs w:val="20"/>
          <w:lang w:val="en-GB"/>
        </w:rPr>
        <w:t>ress</w:t>
      </w:r>
      <w:r w:rsidRPr="00F66F3C">
        <w:rPr>
          <w:szCs w:val="20"/>
          <w:lang w:val="en-GB"/>
        </w:rPr>
        <w:t>, 2012)</w:t>
      </w:r>
      <w:r>
        <w:rPr>
          <w:szCs w:val="20"/>
          <w:lang w:val="en-GB"/>
        </w:rPr>
        <w:t>,</w:t>
      </w:r>
      <w:r w:rsidRPr="00F66F3C">
        <w:rPr>
          <w:szCs w:val="20"/>
          <w:lang w:val="en-GB"/>
        </w:rPr>
        <w:t xml:space="preserve"> p. 414; Fox and Webb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xml:space="preserve">), pp. 567–8; Foakes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xml:space="preserve">), p. 134; Wickremasinghe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xml:space="preserve">), p. 390; Franey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p. 218.</w:t>
      </w:r>
    </w:p>
  </w:footnote>
  <w:footnote w:id="46">
    <w:p w14:paraId="15C4C486" w14:textId="093C5C1B"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International Court has reaffirmed the important and fundamental point </w:t>
      </w:r>
      <w:r>
        <w:rPr>
          <w:szCs w:val="20"/>
          <w:lang w:val="en-GB"/>
        </w:rPr>
        <w:t>‘</w:t>
      </w:r>
      <w:r w:rsidRPr="00F66F3C">
        <w:rPr>
          <w:szCs w:val="20"/>
          <w:lang w:val="en-GB"/>
        </w:rPr>
        <w:t>that immunity is governed by international law, and is not a matter of mere comity</w:t>
      </w:r>
      <w:r>
        <w:rPr>
          <w:szCs w:val="20"/>
          <w:lang w:val="en-GB"/>
        </w:rPr>
        <w:t>’</w:t>
      </w:r>
      <w:r w:rsidRPr="00F66F3C">
        <w:rPr>
          <w:szCs w:val="20"/>
          <w:lang w:val="en-GB"/>
        </w:rPr>
        <w:t xml:space="preserve">: </w:t>
      </w:r>
      <w:r w:rsidRPr="00F66F3C">
        <w:rPr>
          <w:i/>
          <w:szCs w:val="20"/>
          <w:lang w:val="en-GB"/>
        </w:rPr>
        <w:t>Jurisdictional Immunities of the State</w:t>
      </w:r>
      <w:r w:rsidRPr="00F66F3C">
        <w:rPr>
          <w:szCs w:val="20"/>
          <w:lang w:val="en-GB"/>
        </w:rPr>
        <w:t xml:space="preserve"> </w:t>
      </w:r>
      <w:r w:rsidRPr="00F66F3C">
        <w:rPr>
          <w:i/>
          <w:szCs w:val="20"/>
          <w:lang w:val="en-GB"/>
        </w:rPr>
        <w:t>(Germany v. Italy: Greece intervening)</w:t>
      </w:r>
      <w:r>
        <w:rPr>
          <w:szCs w:val="20"/>
          <w:lang w:val="en-GB"/>
        </w:rPr>
        <w:t xml:space="preserve"> (Merits) [2012]</w:t>
      </w:r>
      <w:r w:rsidRPr="00F66F3C">
        <w:rPr>
          <w:szCs w:val="20"/>
          <w:lang w:val="en-GB"/>
        </w:rPr>
        <w:t xml:space="preserve"> ICJ Rep</w:t>
      </w:r>
      <w:r>
        <w:rPr>
          <w:szCs w:val="20"/>
          <w:lang w:val="en-GB"/>
        </w:rPr>
        <w:t xml:space="preserve"> </w:t>
      </w:r>
      <w:r w:rsidRPr="00F66F3C">
        <w:rPr>
          <w:szCs w:val="20"/>
          <w:lang w:val="en-GB"/>
        </w:rPr>
        <w:t xml:space="preserve">99, para. 55. This is equally the case with the immunity of members of special missions: </w:t>
      </w:r>
      <w:r>
        <w:rPr>
          <w:szCs w:val="20"/>
          <w:lang w:val="en-GB"/>
        </w:rPr>
        <w:t xml:space="preserve">(1967) II </w:t>
      </w:r>
      <w:r w:rsidRPr="00F66F3C">
        <w:rPr>
          <w:i/>
          <w:szCs w:val="20"/>
          <w:lang w:val="en-GB"/>
        </w:rPr>
        <w:t>Yearbook of the International Law Commission</w:t>
      </w:r>
      <w:r w:rsidRPr="00F66F3C">
        <w:rPr>
          <w:szCs w:val="20"/>
          <w:lang w:val="en-GB"/>
        </w:rPr>
        <w:t>, 358, para</w:t>
      </w:r>
      <w:r>
        <w:rPr>
          <w:szCs w:val="20"/>
          <w:lang w:val="en-GB"/>
        </w:rPr>
        <w:t>.</w:t>
      </w:r>
      <w:r w:rsidRPr="00F66F3C">
        <w:rPr>
          <w:szCs w:val="20"/>
          <w:lang w:val="en-GB"/>
        </w:rPr>
        <w:t xml:space="preserve"> (1) of the </w:t>
      </w:r>
      <w:r>
        <w:rPr>
          <w:szCs w:val="20"/>
          <w:lang w:val="en-GB"/>
        </w:rPr>
        <w:t>‘</w:t>
      </w:r>
      <w:r w:rsidRPr="00F66F3C">
        <w:rPr>
          <w:szCs w:val="20"/>
          <w:lang w:val="en-GB"/>
        </w:rPr>
        <w:t>General considerations</w:t>
      </w:r>
      <w:r>
        <w:rPr>
          <w:szCs w:val="20"/>
          <w:lang w:val="en-GB"/>
        </w:rPr>
        <w:t>’</w:t>
      </w:r>
      <w:r w:rsidRPr="00F66F3C">
        <w:rPr>
          <w:szCs w:val="20"/>
          <w:lang w:val="en-GB"/>
        </w:rPr>
        <w:t xml:space="preserve"> at the beginning of Part II of the draft articles; </w:t>
      </w:r>
      <w:r>
        <w:rPr>
          <w:szCs w:val="20"/>
          <w:lang w:val="en-GB"/>
        </w:rPr>
        <w:t xml:space="preserve">the </w:t>
      </w:r>
      <w:r w:rsidRPr="00F66F3C">
        <w:rPr>
          <w:i/>
          <w:szCs w:val="20"/>
          <w:lang w:val="en-GB"/>
        </w:rPr>
        <w:t xml:space="preserve">Freedom and Justice Party </w:t>
      </w:r>
      <w:r>
        <w:rPr>
          <w:szCs w:val="20"/>
          <w:lang w:val="en-GB"/>
        </w:rPr>
        <w:t xml:space="preserve">case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_Ref493330102 \h  \* MERGEFORMAT </w:instrText>
      </w:r>
      <w:r w:rsidRPr="00F66F3C">
        <w:rPr>
          <w:szCs w:val="20"/>
          <w:lang w:val="en-GB"/>
        </w:rPr>
      </w:r>
      <w:r w:rsidRPr="00F66F3C">
        <w:rPr>
          <w:szCs w:val="20"/>
          <w:lang w:val="en-GB"/>
        </w:rPr>
        <w:fldChar w:fldCharType="separate"/>
      </w:r>
      <w:r w:rsidR="006A2E69">
        <w:rPr>
          <w:szCs w:val="20"/>
          <w:lang w:val="en-GB"/>
        </w:rPr>
        <w:t>12</w:t>
      </w:r>
      <w:r w:rsidRPr="00F66F3C">
        <w:rPr>
          <w:szCs w:val="20"/>
          <w:lang w:val="en-GB"/>
        </w:rPr>
        <w:fldChar w:fldCharType="end"/>
      </w:r>
      <w:r w:rsidRPr="00F66F3C">
        <w:rPr>
          <w:szCs w:val="20"/>
          <w:lang w:val="en-GB"/>
        </w:rPr>
        <w:t>), paras. 74</w:t>
      </w:r>
      <w:r>
        <w:rPr>
          <w:szCs w:val="20"/>
          <w:lang w:val="en-GB"/>
        </w:rPr>
        <w:t xml:space="preserve"> and</w:t>
      </w:r>
      <w:r w:rsidRPr="00F66F3C">
        <w:rPr>
          <w:szCs w:val="20"/>
          <w:lang w:val="en-GB"/>
        </w:rPr>
        <w:t xml:space="preserve"> 99.</w:t>
      </w:r>
    </w:p>
  </w:footnote>
  <w:footnote w:id="47">
    <w:p w14:paraId="1E40C09A" w14:textId="49C3325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UNGA Sixth Committee, 23</w:t>
      </w:r>
      <w:r w:rsidRPr="00D2633D">
        <w:rPr>
          <w:szCs w:val="20"/>
          <w:vertAlign w:val="superscript"/>
          <w:lang w:val="en-GB"/>
        </w:rPr>
        <w:t>rd</w:t>
      </w:r>
      <w:r>
        <w:rPr>
          <w:szCs w:val="20"/>
          <w:lang w:val="en-GB"/>
        </w:rPr>
        <w:t xml:space="preserve"> Session, 1069</w:t>
      </w:r>
      <w:r w:rsidRPr="00D35FC5">
        <w:rPr>
          <w:szCs w:val="20"/>
          <w:vertAlign w:val="superscript"/>
          <w:lang w:val="en-GB"/>
        </w:rPr>
        <w:t>th</w:t>
      </w:r>
      <w:r>
        <w:rPr>
          <w:szCs w:val="20"/>
          <w:lang w:val="en-GB"/>
        </w:rPr>
        <w:t xml:space="preserve"> Meeting, UN Doc. A/C.6/SR.1069, 2, para. 12.</w:t>
      </w:r>
    </w:p>
  </w:footnote>
  <w:footnote w:id="48">
    <w:p w14:paraId="38B3F543" w14:textId="5F3693F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Wood (n </w:t>
      </w:r>
      <w:r w:rsidRPr="00F66F3C">
        <w:rPr>
          <w:szCs w:val="20"/>
          <w:lang w:val="en-GB"/>
        </w:rPr>
        <w:fldChar w:fldCharType="begin"/>
      </w:r>
      <w:r w:rsidRPr="00F66F3C">
        <w:rPr>
          <w:szCs w:val="20"/>
          <w:lang w:val="en-GB"/>
        </w:rPr>
        <w:instrText xml:space="preserve"> NOTEREF _Ref364694143 \h  \* MERGEFORMAT </w:instrText>
      </w:r>
      <w:r w:rsidRPr="00F66F3C">
        <w:rPr>
          <w:szCs w:val="20"/>
          <w:lang w:val="en-GB"/>
        </w:rPr>
      </w:r>
      <w:r w:rsidRPr="00F66F3C">
        <w:rPr>
          <w:szCs w:val="20"/>
          <w:lang w:val="en-GB"/>
        </w:rPr>
        <w:fldChar w:fldCharType="separate"/>
      </w:r>
      <w:r w:rsidR="006A2E69">
        <w:rPr>
          <w:szCs w:val="20"/>
          <w:lang w:val="en-GB"/>
        </w:rPr>
        <w:t>3</w:t>
      </w:r>
      <w:r w:rsidRPr="00F66F3C">
        <w:rPr>
          <w:szCs w:val="20"/>
          <w:lang w:val="en-GB"/>
        </w:rPr>
        <w:fldChar w:fldCharType="end"/>
      </w:r>
      <w:r w:rsidRPr="00F66F3C">
        <w:rPr>
          <w:szCs w:val="20"/>
          <w:lang w:val="en-GB"/>
        </w:rPr>
        <w:t>), pp. 72</w:t>
      </w:r>
      <w:r w:rsidRPr="00F66F3C">
        <w:rPr>
          <w:szCs w:val="20"/>
          <w:lang w:val="en-GB"/>
        </w:rPr>
        <w:softHyphen/>
        <w:t>–3.</w:t>
      </w:r>
      <w:r w:rsidRPr="00F66F3C" w:rsidDel="005A555A">
        <w:rPr>
          <w:szCs w:val="20"/>
          <w:lang w:val="en-GB"/>
        </w:rPr>
        <w:t xml:space="preserve"> </w:t>
      </w:r>
    </w:p>
  </w:footnote>
  <w:footnote w:id="49">
    <w:p w14:paraId="1F7A1555" w14:textId="47D5765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16 draft conclusions were adopted by the Commission in 2016, on first reading, together with commentaries. </w:t>
      </w:r>
      <w:r>
        <w:rPr>
          <w:szCs w:val="20"/>
          <w:lang w:val="en-GB"/>
        </w:rPr>
        <w:t>‘Report of the International Law Commission (68</w:t>
      </w:r>
      <w:r w:rsidRPr="00D35FC5">
        <w:rPr>
          <w:szCs w:val="20"/>
          <w:vertAlign w:val="superscript"/>
          <w:lang w:val="en-GB"/>
        </w:rPr>
        <w:t>th</w:t>
      </w:r>
      <w:r>
        <w:rPr>
          <w:szCs w:val="20"/>
          <w:lang w:val="en-GB"/>
        </w:rPr>
        <w:t xml:space="preserve"> session)’, UN Doc. A/71/10, 2016, 76-117.</w:t>
      </w:r>
    </w:p>
  </w:footnote>
  <w:footnote w:id="50">
    <w:p w14:paraId="1DD9A185" w14:textId="2CE8FBAC"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F66F3C">
        <w:rPr>
          <w:rFonts w:eastAsia="Calibri"/>
          <w:szCs w:val="20"/>
          <w:lang w:val="en-GB"/>
        </w:rPr>
        <w:t xml:space="preserve">As the ILC emphasised, the draft conclusions are to be read together with the commentaries: </w:t>
      </w:r>
      <w:r w:rsidRPr="00D35FC5">
        <w:rPr>
          <w:szCs w:val="20"/>
          <w:lang w:val="en-GB"/>
        </w:rPr>
        <w:t>ibid.</w:t>
      </w:r>
      <w:r w:rsidRPr="00F66F3C">
        <w:rPr>
          <w:szCs w:val="20"/>
          <w:lang w:val="en-GB"/>
        </w:rPr>
        <w:t xml:space="preserve">, </w:t>
      </w:r>
      <w:r>
        <w:rPr>
          <w:szCs w:val="20"/>
          <w:lang w:val="en-GB"/>
        </w:rPr>
        <w:t xml:space="preserve">note </w:t>
      </w:r>
      <w:r w:rsidRPr="00F66F3C">
        <w:rPr>
          <w:szCs w:val="20"/>
          <w:lang w:val="en-GB"/>
        </w:rPr>
        <w:t>245.</w:t>
      </w:r>
      <w:r w:rsidRPr="00F66F3C">
        <w:rPr>
          <w:rFonts w:eastAsia="Calibri"/>
          <w:szCs w:val="20"/>
          <w:lang w:val="en-GB"/>
        </w:rPr>
        <w:t xml:space="preserve"> </w:t>
      </w:r>
    </w:p>
  </w:footnote>
  <w:footnote w:id="51">
    <w:p w14:paraId="208A48FE" w14:textId="72B774D4"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35FC5">
        <w:rPr>
          <w:szCs w:val="20"/>
          <w:lang w:val="en-GB"/>
        </w:rPr>
        <w:t>Ibid.</w:t>
      </w:r>
      <w:r w:rsidRPr="00F66F3C">
        <w:rPr>
          <w:szCs w:val="20"/>
          <w:lang w:val="en-GB"/>
        </w:rPr>
        <w:t>, conclusion 2 and commentary.</w:t>
      </w:r>
    </w:p>
  </w:footnote>
  <w:footnote w:id="52">
    <w:p w14:paraId="741EF1BE" w14:textId="0309EB5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35FC5">
        <w:rPr>
          <w:szCs w:val="20"/>
          <w:lang w:val="en-GB"/>
        </w:rPr>
        <w:t>Ibid.</w:t>
      </w:r>
      <w:r w:rsidRPr="00F66F3C">
        <w:rPr>
          <w:szCs w:val="20"/>
          <w:lang w:val="en-GB"/>
        </w:rPr>
        <w:t xml:space="preserve">, conclusion 8, commentary, para (3). </w:t>
      </w:r>
    </w:p>
  </w:footnote>
  <w:footnote w:id="53">
    <w:p w14:paraId="622D0314" w14:textId="010BD2D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35FC5">
        <w:rPr>
          <w:szCs w:val="20"/>
          <w:lang w:val="en-GB"/>
        </w:rPr>
        <w:t>Ibid</w:t>
      </w:r>
      <w:r>
        <w:rPr>
          <w:szCs w:val="20"/>
          <w:lang w:val="en-GB"/>
        </w:rPr>
        <w:t>.</w:t>
      </w:r>
    </w:p>
  </w:footnote>
  <w:footnote w:id="54">
    <w:p w14:paraId="73DBF63F" w14:textId="3EE17F0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35FC5">
        <w:rPr>
          <w:szCs w:val="20"/>
          <w:lang w:val="en-GB"/>
        </w:rPr>
        <w:t>Ibid.</w:t>
      </w:r>
      <w:r w:rsidRPr="00F66F3C">
        <w:rPr>
          <w:szCs w:val="20"/>
          <w:lang w:val="en-GB"/>
        </w:rPr>
        <w:t xml:space="preserve">, </w:t>
      </w:r>
      <w:r>
        <w:rPr>
          <w:szCs w:val="20"/>
          <w:lang w:val="en-GB"/>
        </w:rPr>
        <w:t>note</w:t>
      </w:r>
      <w:r w:rsidRPr="00F66F3C">
        <w:rPr>
          <w:szCs w:val="20"/>
          <w:lang w:val="en-GB"/>
        </w:rPr>
        <w:t xml:space="preserve"> 294, referring to the judgment of the Federal Court of Australia in </w:t>
      </w:r>
      <w:r w:rsidRPr="00F66F3C">
        <w:rPr>
          <w:i/>
          <w:iCs/>
          <w:szCs w:val="20"/>
          <w:lang w:val="en-GB"/>
        </w:rPr>
        <w:t>Ure v The Commonwealth of Australia</w:t>
      </w:r>
      <w:r>
        <w:rPr>
          <w:iCs/>
          <w:szCs w:val="20"/>
          <w:lang w:val="en-GB"/>
        </w:rPr>
        <w:t xml:space="preserve"> (4 February 2016,</w:t>
      </w:r>
      <w:r w:rsidRPr="00F66F3C">
        <w:rPr>
          <w:szCs w:val="20"/>
          <w:lang w:val="en-GB"/>
        </w:rPr>
        <w:t xml:space="preserve"> [2016] FCAFC 8, para. 37</w:t>
      </w:r>
      <w:r>
        <w:rPr>
          <w:szCs w:val="20"/>
          <w:lang w:val="en-GB"/>
        </w:rPr>
        <w:t>): ‘</w:t>
      </w:r>
      <w:r w:rsidRPr="00F66F3C">
        <w:rPr>
          <w:szCs w:val="20"/>
          <w:lang w:val="en-GB"/>
        </w:rPr>
        <w:t>we would hesitate to say that it is impossible to demonstrate the existence of a rule of customary international [law] from a small number of instances of State practice. We would accept the less prescriptive proposition that as the number of instances of State practice decreases the task becomes more difficult</w:t>
      </w:r>
      <w:r>
        <w:rPr>
          <w:szCs w:val="20"/>
          <w:lang w:val="en-GB"/>
        </w:rPr>
        <w:t>’</w:t>
      </w:r>
      <w:r w:rsidRPr="00F66F3C">
        <w:rPr>
          <w:szCs w:val="20"/>
          <w:lang w:val="en-GB"/>
        </w:rPr>
        <w:t>.</w:t>
      </w:r>
    </w:p>
  </w:footnote>
  <w:footnote w:id="55">
    <w:p w14:paraId="2F9CB1AD" w14:textId="70306D4C"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Mrs Kerstin Pürschel, Permanent Mission of Germany to the United Nations</w:t>
      </w:r>
      <w:r>
        <w:rPr>
          <w:szCs w:val="20"/>
          <w:lang w:val="en-GB"/>
        </w:rPr>
        <w:t xml:space="preserve"> in UNGA Sixth Committee, 71</w:t>
      </w:r>
      <w:r w:rsidRPr="00D2633D">
        <w:rPr>
          <w:szCs w:val="20"/>
          <w:vertAlign w:val="superscript"/>
          <w:lang w:val="en-GB"/>
        </w:rPr>
        <w:t>st</w:t>
      </w:r>
      <w:r>
        <w:rPr>
          <w:szCs w:val="20"/>
          <w:lang w:val="en-GB"/>
        </w:rPr>
        <w:t xml:space="preserve"> Session, 29</w:t>
      </w:r>
      <w:r w:rsidRPr="00D2633D">
        <w:rPr>
          <w:szCs w:val="20"/>
          <w:vertAlign w:val="superscript"/>
          <w:lang w:val="en-GB"/>
        </w:rPr>
        <w:t>th</w:t>
      </w:r>
      <w:r>
        <w:rPr>
          <w:szCs w:val="20"/>
          <w:lang w:val="en-GB"/>
        </w:rPr>
        <w:t xml:space="preserve"> Meeting, UN Doc. A/C.6/71/SR.29, 2 December 2016, 4, para. 14.</w:t>
      </w:r>
    </w:p>
  </w:footnote>
  <w:footnote w:id="56">
    <w:p w14:paraId="5882C2E0" w14:textId="7D318E7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See </w:t>
      </w:r>
      <w:r w:rsidRPr="00F66F3C">
        <w:rPr>
          <w:szCs w:val="20"/>
          <w:lang w:val="en-GB"/>
        </w:rPr>
        <w:t xml:space="preserve">(n </w:t>
      </w:r>
      <w:r w:rsidRPr="00F66F3C">
        <w:rPr>
          <w:szCs w:val="20"/>
          <w:lang w:val="en-GB"/>
        </w:rPr>
        <w:fldChar w:fldCharType="begin"/>
      </w:r>
      <w:r w:rsidRPr="00F66F3C">
        <w:rPr>
          <w:szCs w:val="20"/>
          <w:lang w:val="en-GB"/>
        </w:rPr>
        <w:instrText xml:space="preserve"> NOTEREF _Ref502998042 \h  \* MERGEFORMAT </w:instrText>
      </w:r>
      <w:r w:rsidRPr="00F66F3C">
        <w:rPr>
          <w:szCs w:val="20"/>
          <w:lang w:val="en-GB"/>
        </w:rPr>
      </w:r>
      <w:r w:rsidRPr="00F66F3C">
        <w:rPr>
          <w:szCs w:val="20"/>
          <w:lang w:val="en-GB"/>
        </w:rPr>
        <w:fldChar w:fldCharType="separate"/>
      </w:r>
      <w:r w:rsidR="006A2E69">
        <w:rPr>
          <w:szCs w:val="20"/>
          <w:lang w:val="en-GB"/>
        </w:rPr>
        <w:t>49</w:t>
      </w:r>
      <w:r w:rsidRPr="00F66F3C">
        <w:rPr>
          <w:szCs w:val="20"/>
          <w:lang w:val="en-GB"/>
        </w:rPr>
        <w:fldChar w:fldCharType="end"/>
      </w:r>
      <w:r w:rsidRPr="00F66F3C">
        <w:rPr>
          <w:szCs w:val="20"/>
          <w:lang w:val="en-GB"/>
        </w:rPr>
        <w:t>)</w:t>
      </w:r>
      <w:r>
        <w:rPr>
          <w:szCs w:val="20"/>
          <w:lang w:val="en-GB"/>
        </w:rPr>
        <w:t>,</w:t>
      </w:r>
      <w:r w:rsidRPr="00F66F3C">
        <w:rPr>
          <w:szCs w:val="20"/>
          <w:lang w:val="en-GB"/>
        </w:rPr>
        <w:t xml:space="preserve"> </w:t>
      </w:r>
      <w:r>
        <w:rPr>
          <w:szCs w:val="20"/>
          <w:lang w:val="en-GB"/>
        </w:rPr>
        <w:t>c</w:t>
      </w:r>
      <w:r w:rsidRPr="00F66F3C">
        <w:rPr>
          <w:szCs w:val="20"/>
          <w:lang w:val="en-GB"/>
        </w:rPr>
        <w:t>onclusion 3 and commentary</w:t>
      </w:r>
      <w:r>
        <w:rPr>
          <w:szCs w:val="20"/>
          <w:lang w:val="en-GB"/>
        </w:rPr>
        <w:t>.</w:t>
      </w:r>
    </w:p>
  </w:footnote>
  <w:footnote w:id="57">
    <w:p w14:paraId="2B7AEC1C" w14:textId="03FA0E6F" w:rsidR="00CA7C77" w:rsidRPr="00F66F3C" w:rsidRDefault="00CA7C77" w:rsidP="001E20E2">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2633D">
        <w:rPr>
          <w:szCs w:val="20"/>
          <w:lang w:val="en-GB"/>
        </w:rPr>
        <w:t>Ibid.</w:t>
      </w:r>
      <w:r w:rsidRPr="00F66F3C">
        <w:rPr>
          <w:szCs w:val="20"/>
          <w:lang w:val="en-GB"/>
        </w:rPr>
        <w:t>, commentary para</w:t>
      </w:r>
      <w:r>
        <w:rPr>
          <w:szCs w:val="20"/>
          <w:lang w:val="en-GB"/>
        </w:rPr>
        <w:t>.</w:t>
      </w:r>
      <w:r w:rsidRPr="00F66F3C">
        <w:rPr>
          <w:szCs w:val="20"/>
          <w:lang w:val="en-GB"/>
        </w:rPr>
        <w:t xml:space="preserve"> (3). See also </w:t>
      </w:r>
      <w:r>
        <w:rPr>
          <w:szCs w:val="20"/>
          <w:lang w:val="en-GB"/>
        </w:rPr>
        <w:t xml:space="preserve">the </w:t>
      </w:r>
      <w:r w:rsidRPr="00F66F3C">
        <w:rPr>
          <w:i/>
          <w:szCs w:val="20"/>
          <w:lang w:val="en-GB"/>
        </w:rPr>
        <w:t xml:space="preserve">Jurisdictional Immunities </w:t>
      </w:r>
      <w:r>
        <w:rPr>
          <w:szCs w:val="20"/>
          <w:lang w:val="en-GB"/>
        </w:rPr>
        <w:t>case</w:t>
      </w:r>
      <w:r w:rsidRPr="00F66F3C">
        <w:rPr>
          <w:i/>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_Ref364711167 \h  \* MERGEFORMAT </w:instrText>
      </w:r>
      <w:r w:rsidRPr="00F66F3C">
        <w:rPr>
          <w:szCs w:val="20"/>
          <w:lang w:val="en-GB"/>
        </w:rPr>
      </w:r>
      <w:r w:rsidRPr="00F66F3C">
        <w:rPr>
          <w:szCs w:val="20"/>
          <w:lang w:val="en-GB"/>
        </w:rPr>
        <w:fldChar w:fldCharType="separate"/>
      </w:r>
      <w:r w:rsidR="006A2E69">
        <w:rPr>
          <w:szCs w:val="20"/>
          <w:lang w:val="en-GB"/>
        </w:rPr>
        <w:t>46</w:t>
      </w:r>
      <w:r w:rsidRPr="00F66F3C">
        <w:rPr>
          <w:szCs w:val="20"/>
          <w:lang w:val="en-GB"/>
        </w:rPr>
        <w:fldChar w:fldCharType="end"/>
      </w:r>
      <w:r w:rsidRPr="00F66F3C">
        <w:rPr>
          <w:szCs w:val="20"/>
          <w:lang w:val="en-GB"/>
        </w:rPr>
        <w:t>), para</w:t>
      </w:r>
      <w:r>
        <w:rPr>
          <w:szCs w:val="20"/>
          <w:lang w:val="en-GB"/>
        </w:rPr>
        <w:t>.</w:t>
      </w:r>
      <w:r w:rsidRPr="00F66F3C">
        <w:rPr>
          <w:szCs w:val="20"/>
          <w:lang w:val="en-GB"/>
        </w:rPr>
        <w:t xml:space="preserve"> 55. </w:t>
      </w:r>
    </w:p>
  </w:footnote>
  <w:footnote w:id="58">
    <w:p w14:paraId="0A7FFADC" w14:textId="7E3BDC35" w:rsidR="00CA7C77" w:rsidRPr="00F66F3C" w:rsidRDefault="00CA7C77" w:rsidP="001E20E2">
      <w:pPr>
        <w:pStyle w:val="FootnoteText"/>
        <w:rPr>
          <w:szCs w:val="20"/>
          <w:lang w:val="en-GB"/>
        </w:rPr>
      </w:pPr>
      <w:r w:rsidRPr="00F66F3C">
        <w:rPr>
          <w:rStyle w:val="FootnoteReference"/>
          <w:sz w:val="20"/>
          <w:szCs w:val="20"/>
          <w:lang w:val="en-GB"/>
        </w:rPr>
        <w:footnoteRef/>
      </w:r>
      <w:r w:rsidRPr="00F66F3C">
        <w:rPr>
          <w:szCs w:val="20"/>
          <w:lang w:val="en-GB"/>
        </w:rPr>
        <w:t xml:space="preserve"> See </w:t>
      </w:r>
      <w:r>
        <w:rPr>
          <w:szCs w:val="20"/>
          <w:lang w:val="en-GB"/>
        </w:rPr>
        <w:t>(n</w:t>
      </w:r>
      <w:r w:rsidRPr="00F66F3C">
        <w:rPr>
          <w:szCs w:val="20"/>
          <w:lang w:val="en-GB"/>
        </w:rPr>
        <w:t xml:space="preserve"> </w:t>
      </w:r>
      <w:r w:rsidRPr="00F66F3C">
        <w:rPr>
          <w:szCs w:val="20"/>
          <w:lang w:val="en-GB"/>
        </w:rPr>
        <w:fldChar w:fldCharType="begin"/>
      </w:r>
      <w:r w:rsidRPr="00F66F3C">
        <w:rPr>
          <w:szCs w:val="20"/>
          <w:lang w:val="en-GB"/>
        </w:rPr>
        <w:instrText xml:space="preserve"> NOTEREF _Ref494958445 \h  \* MERGEFORMAT </w:instrText>
      </w:r>
      <w:r w:rsidRPr="00F66F3C">
        <w:rPr>
          <w:szCs w:val="20"/>
          <w:lang w:val="en-GB"/>
        </w:rPr>
      </w:r>
      <w:r w:rsidRPr="00F66F3C">
        <w:rPr>
          <w:szCs w:val="20"/>
          <w:lang w:val="en-GB"/>
        </w:rPr>
        <w:fldChar w:fldCharType="separate"/>
      </w:r>
      <w:r w:rsidR="006A2E69">
        <w:rPr>
          <w:szCs w:val="20"/>
          <w:lang w:val="en-GB"/>
        </w:rPr>
        <w:t>103</w:t>
      </w:r>
      <w:r w:rsidRPr="00F66F3C">
        <w:rPr>
          <w:szCs w:val="20"/>
          <w:lang w:val="en-GB"/>
        </w:rPr>
        <w:fldChar w:fldCharType="end"/>
      </w:r>
      <w:r>
        <w:rPr>
          <w:szCs w:val="20"/>
          <w:lang w:val="en-GB"/>
        </w:rPr>
        <w:t>)</w:t>
      </w:r>
      <w:r w:rsidRPr="00F66F3C">
        <w:rPr>
          <w:szCs w:val="20"/>
          <w:lang w:val="en-GB"/>
        </w:rPr>
        <w:t xml:space="preserve"> below.</w:t>
      </w:r>
    </w:p>
  </w:footnote>
  <w:footnote w:id="59">
    <w:p w14:paraId="0EE582AD" w14:textId="44DB3B0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bookmarkStart w:id="54" w:name="_Hlk503795171"/>
      <w:r>
        <w:rPr>
          <w:szCs w:val="20"/>
          <w:lang w:val="en-GB"/>
        </w:rPr>
        <w:t xml:space="preserve">United States, District Court for the Southern District of Florida (SDFla), </w:t>
      </w:r>
      <w:r>
        <w:rPr>
          <w:i/>
          <w:szCs w:val="20"/>
          <w:lang w:val="en-GB"/>
        </w:rPr>
        <w:t xml:space="preserve">United States of America v. Sissoko </w:t>
      </w:r>
      <w:r>
        <w:rPr>
          <w:szCs w:val="20"/>
          <w:lang w:val="en-GB"/>
        </w:rPr>
        <w:t xml:space="preserve">(1997), Case No. 96-759-CR, 3 September 1997, </w:t>
      </w:r>
      <w:r w:rsidRPr="00F66F3C">
        <w:rPr>
          <w:szCs w:val="20"/>
          <w:lang w:val="en-GB"/>
        </w:rPr>
        <w:t>995 F. Supp. 1469, 1470</w:t>
      </w:r>
      <w:r>
        <w:rPr>
          <w:szCs w:val="20"/>
          <w:lang w:val="en-GB"/>
        </w:rPr>
        <w:t xml:space="preserve"> (S</w:t>
      </w:r>
      <w:r w:rsidR="00E748A7">
        <w:rPr>
          <w:szCs w:val="20"/>
          <w:lang w:val="en-GB"/>
        </w:rPr>
        <w:t>.</w:t>
      </w:r>
      <w:r>
        <w:rPr>
          <w:szCs w:val="20"/>
          <w:lang w:val="en-GB"/>
        </w:rPr>
        <w:t>D</w:t>
      </w:r>
      <w:r w:rsidR="00E748A7">
        <w:rPr>
          <w:szCs w:val="20"/>
          <w:lang w:val="en-GB"/>
        </w:rPr>
        <w:t>.</w:t>
      </w:r>
      <w:r w:rsidR="001646CB">
        <w:rPr>
          <w:szCs w:val="20"/>
          <w:lang w:val="en-GB"/>
        </w:rPr>
        <w:t xml:space="preserve"> </w:t>
      </w:r>
      <w:r>
        <w:rPr>
          <w:szCs w:val="20"/>
          <w:lang w:val="en-GB"/>
        </w:rPr>
        <w:t xml:space="preserve">Fla 1997), </w:t>
      </w:r>
      <w:r w:rsidRPr="00F66F3C">
        <w:rPr>
          <w:szCs w:val="20"/>
          <w:lang w:val="en-GB"/>
        </w:rPr>
        <w:t>121 ILR 599, 601</w:t>
      </w:r>
      <w:r>
        <w:rPr>
          <w:szCs w:val="20"/>
          <w:lang w:val="en-GB"/>
        </w:rPr>
        <w:t>.</w:t>
      </w:r>
      <w:bookmarkEnd w:id="54"/>
    </w:p>
  </w:footnote>
  <w:footnote w:id="60">
    <w:p w14:paraId="26F4CF6E" w14:textId="0155D2F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See (n</w:t>
      </w:r>
      <w:r w:rsidRPr="00F66F3C">
        <w:rPr>
          <w:szCs w:val="20"/>
          <w:lang w:val="en-GB"/>
        </w:rPr>
        <w:t xml:space="preserve"> </w:t>
      </w:r>
      <w:r w:rsidRPr="00F66F3C">
        <w:rPr>
          <w:szCs w:val="20"/>
          <w:lang w:val="en-GB"/>
        </w:rPr>
        <w:fldChar w:fldCharType="begin"/>
      </w:r>
      <w:r w:rsidRPr="00F66F3C">
        <w:rPr>
          <w:szCs w:val="20"/>
          <w:lang w:val="en-GB"/>
        </w:rPr>
        <w:instrText xml:space="preserve"> NOTEREF _Ref502998042 \h  \* MERGEFORMAT </w:instrText>
      </w:r>
      <w:r w:rsidRPr="00F66F3C">
        <w:rPr>
          <w:szCs w:val="20"/>
          <w:lang w:val="en-GB"/>
        </w:rPr>
      </w:r>
      <w:r w:rsidRPr="00F66F3C">
        <w:rPr>
          <w:szCs w:val="20"/>
          <w:lang w:val="en-GB"/>
        </w:rPr>
        <w:fldChar w:fldCharType="separate"/>
      </w:r>
      <w:r w:rsidR="006A2E69">
        <w:rPr>
          <w:szCs w:val="20"/>
          <w:lang w:val="en-GB"/>
        </w:rPr>
        <w:t>49</w:t>
      </w:r>
      <w:r w:rsidRPr="00F66F3C">
        <w:rPr>
          <w:szCs w:val="20"/>
          <w:lang w:val="en-GB"/>
        </w:rPr>
        <w:fldChar w:fldCharType="end"/>
      </w:r>
      <w:r w:rsidRPr="00F66F3C">
        <w:rPr>
          <w:szCs w:val="20"/>
          <w:lang w:val="en-GB"/>
        </w:rPr>
        <w:t>)</w:t>
      </w:r>
      <w:r>
        <w:rPr>
          <w:szCs w:val="20"/>
          <w:lang w:val="en-GB"/>
        </w:rPr>
        <w:t>,</w:t>
      </w:r>
      <w:r w:rsidRPr="0015186D">
        <w:rPr>
          <w:szCs w:val="20"/>
          <w:lang w:val="en-GB"/>
        </w:rPr>
        <w:t xml:space="preserve"> </w:t>
      </w:r>
      <w:r w:rsidRPr="00F66F3C">
        <w:rPr>
          <w:szCs w:val="20"/>
          <w:lang w:val="en-GB"/>
        </w:rPr>
        <w:t>conclusion 7 and commentary</w:t>
      </w:r>
      <w:r>
        <w:rPr>
          <w:szCs w:val="20"/>
          <w:lang w:val="en-GB"/>
        </w:rPr>
        <w:t>.</w:t>
      </w:r>
    </w:p>
  </w:footnote>
  <w:footnote w:id="61">
    <w:p w14:paraId="1ADCB4A9" w14:textId="097341D7"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15186D">
        <w:rPr>
          <w:szCs w:val="20"/>
          <w:lang w:val="en-GB"/>
        </w:rPr>
        <w:t>Ibid.</w:t>
      </w:r>
      <w:r w:rsidRPr="00F66F3C">
        <w:rPr>
          <w:szCs w:val="20"/>
          <w:lang w:val="en-GB"/>
        </w:rPr>
        <w:t xml:space="preserve"> </w:t>
      </w:r>
    </w:p>
  </w:footnote>
  <w:footnote w:id="62">
    <w:p w14:paraId="459E3FB8" w14:textId="6BE0DA5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See </w:t>
      </w:r>
      <w:r w:rsidRPr="00F66F3C">
        <w:rPr>
          <w:szCs w:val="20"/>
          <w:lang w:val="en-GB"/>
        </w:rPr>
        <w:t xml:space="preserve">(n </w:t>
      </w:r>
      <w:r w:rsidRPr="00F66F3C">
        <w:rPr>
          <w:szCs w:val="20"/>
          <w:lang w:val="en-GB"/>
        </w:rPr>
        <w:fldChar w:fldCharType="begin"/>
      </w:r>
      <w:r w:rsidRPr="00F66F3C">
        <w:rPr>
          <w:szCs w:val="20"/>
          <w:lang w:val="en-GB"/>
        </w:rPr>
        <w:instrText xml:space="preserve"> NOTEREF _Ref502998042 \h  \* MERGEFORMAT </w:instrText>
      </w:r>
      <w:r w:rsidRPr="00F66F3C">
        <w:rPr>
          <w:szCs w:val="20"/>
          <w:lang w:val="en-GB"/>
        </w:rPr>
      </w:r>
      <w:r w:rsidRPr="00F66F3C">
        <w:rPr>
          <w:szCs w:val="20"/>
          <w:lang w:val="en-GB"/>
        </w:rPr>
        <w:fldChar w:fldCharType="separate"/>
      </w:r>
      <w:r w:rsidR="006A2E69">
        <w:rPr>
          <w:szCs w:val="20"/>
          <w:lang w:val="en-GB"/>
        </w:rPr>
        <w:t>49</w:t>
      </w:r>
      <w:r w:rsidRPr="00F66F3C">
        <w:rPr>
          <w:szCs w:val="20"/>
          <w:lang w:val="en-GB"/>
        </w:rPr>
        <w:fldChar w:fldCharType="end"/>
      </w:r>
      <w:r w:rsidRPr="00F66F3C">
        <w:rPr>
          <w:szCs w:val="20"/>
          <w:lang w:val="en-GB"/>
        </w:rPr>
        <w:t>)</w:t>
      </w:r>
      <w:r>
        <w:rPr>
          <w:szCs w:val="20"/>
          <w:lang w:val="en-GB"/>
        </w:rPr>
        <w:t>,</w:t>
      </w:r>
      <w:r w:rsidRPr="0015186D">
        <w:rPr>
          <w:szCs w:val="20"/>
          <w:lang w:val="en-GB"/>
        </w:rPr>
        <w:t xml:space="preserve"> </w:t>
      </w:r>
      <w:r w:rsidRPr="00F66F3C">
        <w:rPr>
          <w:szCs w:val="20"/>
          <w:lang w:val="en-GB"/>
        </w:rPr>
        <w:t>conclusion 11 and commentary</w:t>
      </w:r>
      <w:r>
        <w:rPr>
          <w:szCs w:val="20"/>
          <w:lang w:val="en-GB"/>
        </w:rPr>
        <w:t>.</w:t>
      </w:r>
    </w:p>
  </w:footnote>
  <w:footnote w:id="63">
    <w:p w14:paraId="7CE1917D" w14:textId="10DD783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For example, Austria and Romania in CAHDI Replies to Questionnaire (n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w:t>
      </w:r>
    </w:p>
  </w:footnote>
  <w:footnote w:id="64">
    <w:p w14:paraId="74976CBB" w14:textId="359EA86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For example, </w:t>
      </w:r>
      <w:r>
        <w:rPr>
          <w:szCs w:val="20"/>
          <w:lang w:val="en-GB"/>
        </w:rPr>
        <w:t xml:space="preserve">the </w:t>
      </w:r>
      <w:r w:rsidRPr="00F66F3C">
        <w:rPr>
          <w:szCs w:val="20"/>
          <w:lang w:val="en-GB"/>
        </w:rPr>
        <w:t xml:space="preserve">Czech Republic has stated that </w:t>
      </w:r>
      <w:r>
        <w:rPr>
          <w:szCs w:val="20"/>
          <w:lang w:val="en-GB"/>
        </w:rPr>
        <w:t>‘</w:t>
      </w:r>
      <w:r w:rsidRPr="00F66F3C">
        <w:rPr>
          <w:szCs w:val="20"/>
          <w:lang w:val="en-GB"/>
        </w:rPr>
        <w:t>[w]ith regard to States which are not parties to the Convention, the customary nature of the relevant rules will be assessed on a case-by-case basis</w:t>
      </w:r>
      <w:r>
        <w:rPr>
          <w:szCs w:val="20"/>
          <w:lang w:val="en-GB"/>
        </w:rPr>
        <w:t>’</w:t>
      </w:r>
      <w:r w:rsidRPr="00F66F3C">
        <w:rPr>
          <w:szCs w:val="20"/>
          <w:lang w:val="en-GB"/>
        </w:rPr>
        <w:t xml:space="preserve">: </w:t>
      </w:r>
      <w:r w:rsidRPr="00F66F3C">
        <w:rPr>
          <w:i/>
          <w:szCs w:val="20"/>
          <w:lang w:val="en-GB"/>
        </w:rPr>
        <w:t>Freedom and Justice Party</w:t>
      </w:r>
      <w:r w:rsidRPr="00F66F3C">
        <w:rPr>
          <w:szCs w:val="20"/>
          <w:lang w:val="en-GB"/>
        </w:rPr>
        <w:t xml:space="preserve">, CAHDI Replies to Questionnaire (n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 xml:space="preserve">). </w:t>
      </w:r>
    </w:p>
  </w:footnote>
  <w:footnote w:id="65">
    <w:p w14:paraId="40E1C086" w14:textId="1E284C90"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Pr>
          <w:szCs w:val="20"/>
          <w:lang w:val="en-GB"/>
        </w:rPr>
        <w:t xml:space="preserve">See </w:t>
      </w:r>
      <w:r w:rsidRPr="00F66F3C">
        <w:rPr>
          <w:szCs w:val="20"/>
          <w:lang w:val="en-GB"/>
        </w:rPr>
        <w:t xml:space="preserve">(n </w:t>
      </w:r>
      <w:r w:rsidRPr="00F66F3C">
        <w:rPr>
          <w:szCs w:val="20"/>
          <w:lang w:val="en-GB"/>
        </w:rPr>
        <w:fldChar w:fldCharType="begin"/>
      </w:r>
      <w:r w:rsidRPr="00F66F3C">
        <w:rPr>
          <w:szCs w:val="20"/>
          <w:lang w:val="en-GB"/>
        </w:rPr>
        <w:instrText xml:space="preserve"> NOTEREF _Ref502998042 \h  \* MERGEFORMAT </w:instrText>
      </w:r>
      <w:r w:rsidRPr="00F66F3C">
        <w:rPr>
          <w:szCs w:val="20"/>
          <w:lang w:val="en-GB"/>
        </w:rPr>
      </w:r>
      <w:r w:rsidRPr="00F66F3C">
        <w:rPr>
          <w:szCs w:val="20"/>
          <w:lang w:val="en-GB"/>
        </w:rPr>
        <w:fldChar w:fldCharType="separate"/>
      </w:r>
      <w:r w:rsidR="006A2E69">
        <w:rPr>
          <w:szCs w:val="20"/>
          <w:lang w:val="en-GB"/>
        </w:rPr>
        <w:t>49</w:t>
      </w:r>
      <w:r w:rsidRPr="00F66F3C">
        <w:rPr>
          <w:szCs w:val="20"/>
          <w:lang w:val="en-GB"/>
        </w:rPr>
        <w:fldChar w:fldCharType="end"/>
      </w:r>
      <w:r w:rsidRPr="00F66F3C">
        <w:rPr>
          <w:szCs w:val="20"/>
          <w:lang w:val="en-GB"/>
        </w:rPr>
        <w:t>)</w:t>
      </w:r>
      <w:r>
        <w:rPr>
          <w:szCs w:val="20"/>
          <w:lang w:val="en-GB"/>
        </w:rPr>
        <w:t>,</w:t>
      </w:r>
      <w:r w:rsidRPr="0015186D">
        <w:rPr>
          <w:szCs w:val="20"/>
          <w:lang w:val="en-GB"/>
        </w:rPr>
        <w:t xml:space="preserve"> </w:t>
      </w:r>
      <w:r w:rsidRPr="00F66F3C">
        <w:rPr>
          <w:szCs w:val="20"/>
          <w:lang w:val="en-GB"/>
        </w:rPr>
        <w:t xml:space="preserve">conclusion 11 and commentary para (3): </w:t>
      </w:r>
      <w:r>
        <w:rPr>
          <w:szCs w:val="20"/>
          <w:lang w:val="en-GB"/>
        </w:rPr>
        <w:t>‘</w:t>
      </w:r>
      <w:r w:rsidRPr="00F66F3C">
        <w:rPr>
          <w:szCs w:val="20"/>
          <w:lang w:val="en-GB"/>
        </w:rPr>
        <w:t>The extent of participation in a treaty may be an important factor in determining whether it corresponds to customary international law; treaties that have obtained near universal acceptance may be seen as particularly indicative in this respect. But treaties that are not yet in force or which have not yet attained widespread participation may also be influential in certain circumstances, particularly where they were adopted without opposition or by an overwhelming majority of States.</w:t>
      </w:r>
      <w:r>
        <w:rPr>
          <w:szCs w:val="20"/>
          <w:lang w:val="en-GB"/>
        </w:rPr>
        <w:t>’</w:t>
      </w:r>
    </w:p>
  </w:footnote>
  <w:footnote w:id="66">
    <w:p w14:paraId="693C56A1" w14:textId="554F4695"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e</w:t>
      </w:r>
      <w:r>
        <w:rPr>
          <w:szCs w:val="20"/>
          <w:lang w:val="en-GB"/>
        </w:rPr>
        <w:t>.</w:t>
      </w:r>
      <w:r w:rsidRPr="00F66F3C">
        <w:rPr>
          <w:szCs w:val="20"/>
          <w:lang w:val="en-GB"/>
        </w:rPr>
        <w:t>g</w:t>
      </w:r>
      <w:r>
        <w:rPr>
          <w:szCs w:val="20"/>
          <w:lang w:val="en-GB"/>
        </w:rPr>
        <w:t>.</w:t>
      </w:r>
      <w:r w:rsidRPr="00F66F3C">
        <w:rPr>
          <w:szCs w:val="20"/>
          <w:lang w:val="en-GB"/>
        </w:rPr>
        <w:t xml:space="preserve">, </w:t>
      </w:r>
      <w:r>
        <w:rPr>
          <w:szCs w:val="20"/>
          <w:lang w:val="en-GB"/>
        </w:rPr>
        <w:t>‘</w:t>
      </w:r>
      <w:r w:rsidRPr="00F66F3C">
        <w:rPr>
          <w:szCs w:val="20"/>
          <w:lang w:val="en-GB"/>
        </w:rPr>
        <w:t>Written Ministerial Statement, House of Commons, 4 March 2013</w:t>
      </w:r>
      <w:r>
        <w:rPr>
          <w:szCs w:val="20"/>
          <w:lang w:val="en-GB"/>
        </w:rPr>
        <w:t xml:space="preserve">’, reproduced in </w:t>
      </w:r>
      <w:r w:rsidRPr="00F66F3C">
        <w:rPr>
          <w:szCs w:val="20"/>
          <w:lang w:val="en-GB"/>
        </w:rPr>
        <w:t xml:space="preserve">(2013) </w:t>
      </w:r>
      <w:r>
        <w:rPr>
          <w:i/>
          <w:szCs w:val="20"/>
          <w:lang w:val="en-GB"/>
        </w:rPr>
        <w:t>British Yearbook of International Law</w:t>
      </w:r>
      <w:r>
        <w:rPr>
          <w:szCs w:val="20"/>
          <w:lang w:val="en-GB"/>
        </w:rPr>
        <w:t>,</w:t>
      </w:r>
      <w:r w:rsidRPr="00F66F3C">
        <w:rPr>
          <w:szCs w:val="20"/>
          <w:lang w:val="en-GB"/>
        </w:rPr>
        <w:t xml:space="preserve"> 735</w:t>
      </w:r>
      <w:r>
        <w:rPr>
          <w:szCs w:val="20"/>
          <w:lang w:val="en-GB"/>
        </w:rPr>
        <w:t>-</w:t>
      </w:r>
      <w:r w:rsidRPr="00F66F3C">
        <w:rPr>
          <w:szCs w:val="20"/>
          <w:lang w:val="en-GB"/>
        </w:rPr>
        <w:t>6</w:t>
      </w:r>
      <w:r>
        <w:rPr>
          <w:szCs w:val="20"/>
          <w:lang w:val="en-GB"/>
        </w:rPr>
        <w:t xml:space="preserve"> (‘</w:t>
      </w:r>
      <w:r w:rsidRPr="00F66F3C">
        <w:rPr>
          <w:szCs w:val="20"/>
          <w:lang w:val="en-GB"/>
        </w:rPr>
        <w:t>[a] special mission is a temporary mission, representing a state, which is sent by one state to another with the consent of the latter, in order to carry out official engagements on behalf of the sending state</w:t>
      </w:r>
      <w:r>
        <w:rPr>
          <w:szCs w:val="20"/>
          <w:lang w:val="en-GB"/>
        </w:rPr>
        <w:t>’</w:t>
      </w:r>
      <w:r w:rsidRPr="00F66F3C">
        <w:rPr>
          <w:szCs w:val="20"/>
          <w:lang w:val="en-GB"/>
        </w:rPr>
        <w:t xml:space="preserve">), and </w:t>
      </w:r>
      <w:r>
        <w:rPr>
          <w:szCs w:val="20"/>
          <w:lang w:val="en-GB"/>
        </w:rPr>
        <w:t>‘</w:t>
      </w:r>
      <w:r w:rsidRPr="00F66F3C">
        <w:rPr>
          <w:szCs w:val="20"/>
          <w:lang w:val="en-GB"/>
        </w:rPr>
        <w:t>FCO Diplomatic Note No A061/13, 4 March 2013</w:t>
      </w:r>
      <w:r>
        <w:rPr>
          <w:szCs w:val="20"/>
          <w:lang w:val="en-GB"/>
        </w:rPr>
        <w:t>’</w:t>
      </w:r>
      <w:r w:rsidRPr="00F66F3C">
        <w:rPr>
          <w:szCs w:val="20"/>
          <w:lang w:val="en-GB"/>
        </w:rPr>
        <w:t xml:space="preserve">, reproduced </w:t>
      </w:r>
      <w:r>
        <w:rPr>
          <w:szCs w:val="20"/>
          <w:lang w:val="en-GB"/>
        </w:rPr>
        <w:t>in</w:t>
      </w:r>
      <w:r w:rsidRPr="00F66F3C">
        <w:rPr>
          <w:szCs w:val="20"/>
          <w:lang w:val="en-GB"/>
        </w:rPr>
        <w:t xml:space="preserve"> </w:t>
      </w:r>
      <w:r>
        <w:rPr>
          <w:szCs w:val="20"/>
          <w:lang w:val="en-GB"/>
        </w:rPr>
        <w:t>(</w:t>
      </w:r>
      <w:r w:rsidRPr="00F66F3C">
        <w:rPr>
          <w:szCs w:val="20"/>
          <w:lang w:val="en-GB"/>
        </w:rPr>
        <w:t>2013</w:t>
      </w:r>
      <w:r>
        <w:rPr>
          <w:szCs w:val="20"/>
          <w:lang w:val="en-GB"/>
        </w:rPr>
        <w:t>)</w:t>
      </w:r>
      <w:r w:rsidRPr="00F66F3C">
        <w:rPr>
          <w:szCs w:val="20"/>
          <w:lang w:val="en-GB"/>
        </w:rPr>
        <w:t xml:space="preserve"> </w:t>
      </w:r>
      <w:r w:rsidRPr="00F66F3C">
        <w:rPr>
          <w:i/>
          <w:szCs w:val="20"/>
          <w:lang w:val="en-GB"/>
        </w:rPr>
        <w:t>B</w:t>
      </w:r>
      <w:r>
        <w:rPr>
          <w:i/>
          <w:szCs w:val="20"/>
          <w:lang w:val="en-GB"/>
        </w:rPr>
        <w:t xml:space="preserve">ritish </w:t>
      </w:r>
      <w:r w:rsidRPr="00F66F3C">
        <w:rPr>
          <w:i/>
          <w:szCs w:val="20"/>
          <w:lang w:val="en-GB"/>
        </w:rPr>
        <w:t>Y</w:t>
      </w:r>
      <w:r>
        <w:rPr>
          <w:i/>
          <w:szCs w:val="20"/>
          <w:lang w:val="en-GB"/>
        </w:rPr>
        <w:t xml:space="preserve">earbook of </w:t>
      </w:r>
      <w:r w:rsidRPr="00F66F3C">
        <w:rPr>
          <w:i/>
          <w:szCs w:val="20"/>
          <w:lang w:val="en-GB"/>
        </w:rPr>
        <w:t>I</w:t>
      </w:r>
      <w:r>
        <w:rPr>
          <w:i/>
          <w:szCs w:val="20"/>
          <w:lang w:val="en-GB"/>
        </w:rPr>
        <w:t xml:space="preserve">nternational </w:t>
      </w:r>
      <w:r w:rsidRPr="00F66F3C">
        <w:rPr>
          <w:i/>
          <w:szCs w:val="20"/>
          <w:lang w:val="en-GB"/>
        </w:rPr>
        <w:t>L</w:t>
      </w:r>
      <w:r>
        <w:rPr>
          <w:i/>
          <w:szCs w:val="20"/>
          <w:lang w:val="en-GB"/>
        </w:rPr>
        <w:t>aw</w:t>
      </w:r>
      <w:r>
        <w:rPr>
          <w:szCs w:val="20"/>
          <w:lang w:val="en-GB"/>
        </w:rPr>
        <w:t>,</w:t>
      </w:r>
      <w:r w:rsidRPr="00F66F3C">
        <w:rPr>
          <w:szCs w:val="20"/>
          <w:lang w:val="en-GB"/>
        </w:rPr>
        <w:t xml:space="preserve"> 736</w:t>
      </w:r>
      <w:r w:rsidRPr="00F66F3C">
        <w:rPr>
          <w:szCs w:val="20"/>
          <w:lang w:val="en-GB"/>
        </w:rPr>
        <w:softHyphen/>
      </w:r>
      <w:r>
        <w:rPr>
          <w:szCs w:val="20"/>
          <w:lang w:val="en-GB"/>
        </w:rPr>
        <w:t>-</w:t>
      </w:r>
      <w:r w:rsidRPr="00F66F3C">
        <w:rPr>
          <w:szCs w:val="20"/>
          <w:lang w:val="en-GB"/>
        </w:rPr>
        <w:t>7 (</w:t>
      </w:r>
      <w:r>
        <w:rPr>
          <w:szCs w:val="20"/>
          <w:lang w:val="en-GB"/>
        </w:rPr>
        <w:t>‘</w:t>
      </w:r>
      <w:r w:rsidRPr="00F66F3C">
        <w:rPr>
          <w:szCs w:val="20"/>
          <w:lang w:val="en-GB"/>
        </w:rPr>
        <w:t>[u]nder customary international law, a special mission is a temporary mission, representing a State, which is sent by one State to another State with the consent of the latter, in order to carry out official business</w:t>
      </w:r>
      <w:r>
        <w:rPr>
          <w:szCs w:val="20"/>
          <w:lang w:val="en-GB"/>
        </w:rPr>
        <w:t>’</w:t>
      </w:r>
      <w:r w:rsidRPr="00F66F3C">
        <w:rPr>
          <w:szCs w:val="20"/>
          <w:lang w:val="en-GB"/>
        </w:rPr>
        <w:t>). The Dutch Government has enumerated four conditions that must be satisfied in order for a special mission to attract immunity:</w:t>
      </w:r>
    </w:p>
    <w:p w14:paraId="4AD440DE" w14:textId="2AE3811F" w:rsidR="00CA7C77" w:rsidRPr="00F66F3C" w:rsidRDefault="00CA7C77" w:rsidP="00F66F3C">
      <w:pPr>
        <w:pStyle w:val="FootnoteText"/>
        <w:rPr>
          <w:szCs w:val="20"/>
          <w:lang w:val="en-GB"/>
        </w:rPr>
      </w:pPr>
      <w:r>
        <w:rPr>
          <w:szCs w:val="20"/>
          <w:lang w:val="en-GB"/>
        </w:rPr>
        <w:t>‘</w:t>
      </w:r>
      <w:r w:rsidRPr="00F66F3C">
        <w:rPr>
          <w:szCs w:val="20"/>
          <w:lang w:val="en-GB"/>
        </w:rPr>
        <w:t xml:space="preserve">a. The official mission must be temporary in nature (generally “a relatively short time, ranging from part of a day to a period of several weeks”; </w:t>
      </w:r>
    </w:p>
    <w:p w14:paraId="4BC97172" w14:textId="0CBFABC0" w:rsidR="00CA7C77" w:rsidRPr="00F66F3C" w:rsidRDefault="00CA7C77" w:rsidP="00F66F3C">
      <w:pPr>
        <w:pStyle w:val="FootnoteText"/>
        <w:rPr>
          <w:szCs w:val="20"/>
          <w:lang w:val="en-GB"/>
        </w:rPr>
      </w:pPr>
      <w:r w:rsidRPr="00F66F3C">
        <w:rPr>
          <w:szCs w:val="20"/>
          <w:lang w:val="en-GB"/>
        </w:rPr>
        <w:t xml:space="preserve">b. The mission must be </w:t>
      </w:r>
      <w:r>
        <w:rPr>
          <w:szCs w:val="20"/>
          <w:lang w:val="en-GB"/>
        </w:rPr>
        <w:t>“</w:t>
      </w:r>
      <w:r w:rsidRPr="00F66F3C">
        <w:rPr>
          <w:szCs w:val="20"/>
          <w:lang w:val="en-GB"/>
        </w:rPr>
        <w:t>from one state to another</w:t>
      </w:r>
      <w:r>
        <w:rPr>
          <w:szCs w:val="20"/>
          <w:lang w:val="en-GB"/>
        </w:rPr>
        <w:t>”</w:t>
      </w:r>
      <w:r w:rsidRPr="00F66F3C">
        <w:rPr>
          <w:szCs w:val="20"/>
          <w:lang w:val="en-GB"/>
        </w:rPr>
        <w:t xml:space="preserve">. But </w:t>
      </w:r>
      <w:r>
        <w:rPr>
          <w:szCs w:val="20"/>
          <w:lang w:val="en-GB"/>
        </w:rPr>
        <w:t>“</w:t>
      </w:r>
      <w:r w:rsidRPr="00F66F3C">
        <w:rPr>
          <w:szCs w:val="20"/>
          <w:lang w:val="en-GB"/>
        </w:rPr>
        <w:t>this does not mean that all the members of an official mission must be government officials.</w:t>
      </w:r>
      <w:r w:rsidR="005E2C6F">
        <w:rPr>
          <w:szCs w:val="20"/>
          <w:lang w:val="en-GB"/>
        </w:rPr>
        <w:t xml:space="preserve"> </w:t>
      </w:r>
      <w:r w:rsidRPr="00F66F3C">
        <w:rPr>
          <w:szCs w:val="20"/>
          <w:lang w:val="en-GB"/>
        </w:rPr>
        <w:t>They may include, for example, parliamentarians or representatives of the business community</w:t>
      </w:r>
      <w:r>
        <w:rPr>
          <w:szCs w:val="20"/>
          <w:lang w:val="en-GB"/>
        </w:rPr>
        <w:t>”</w:t>
      </w:r>
      <w:r w:rsidRPr="00F66F3C">
        <w:rPr>
          <w:szCs w:val="20"/>
          <w:lang w:val="en-GB"/>
        </w:rPr>
        <w:t>.</w:t>
      </w:r>
    </w:p>
    <w:p w14:paraId="0A11F25E" w14:textId="32867C67" w:rsidR="00CA7C77" w:rsidRPr="00F66F3C" w:rsidRDefault="00CA7C77" w:rsidP="00F66F3C">
      <w:pPr>
        <w:pStyle w:val="FootnoteText"/>
        <w:rPr>
          <w:szCs w:val="20"/>
          <w:lang w:val="en-GB"/>
        </w:rPr>
      </w:pPr>
      <w:r w:rsidRPr="00F66F3C">
        <w:rPr>
          <w:szCs w:val="20"/>
          <w:lang w:val="en-GB"/>
        </w:rPr>
        <w:t xml:space="preserve">c. </w:t>
      </w:r>
      <w:r>
        <w:rPr>
          <w:szCs w:val="20"/>
          <w:lang w:val="en-GB"/>
        </w:rPr>
        <w:t>“</w:t>
      </w:r>
      <w:r w:rsidRPr="00F66F3C">
        <w:rPr>
          <w:szCs w:val="20"/>
          <w:lang w:val="en-GB"/>
        </w:rPr>
        <w:t>An official mission must be a mission to the government of the receiving state.</w:t>
      </w:r>
      <w:r>
        <w:rPr>
          <w:szCs w:val="20"/>
          <w:lang w:val="en-GB"/>
        </w:rPr>
        <w:t>”</w:t>
      </w:r>
    </w:p>
    <w:p w14:paraId="2BC8306C" w14:textId="05EC35FF" w:rsidR="00CA7C77" w:rsidRPr="00F66F3C" w:rsidRDefault="00CA7C77" w:rsidP="00F66F3C">
      <w:pPr>
        <w:pStyle w:val="FootnoteText"/>
        <w:rPr>
          <w:szCs w:val="20"/>
          <w:lang w:val="en-GB"/>
        </w:rPr>
      </w:pPr>
      <w:r w:rsidRPr="00F66F3C">
        <w:rPr>
          <w:szCs w:val="20"/>
          <w:lang w:val="en-GB"/>
        </w:rPr>
        <w:t xml:space="preserve">d. </w:t>
      </w:r>
      <w:r>
        <w:rPr>
          <w:szCs w:val="20"/>
          <w:lang w:val="en-GB"/>
        </w:rPr>
        <w:t>“</w:t>
      </w:r>
      <w:r w:rsidRPr="00F66F3C">
        <w:rPr>
          <w:szCs w:val="20"/>
          <w:lang w:val="en-GB"/>
        </w:rPr>
        <w:t>The receiving state must have consented to receive the mission in question.</w:t>
      </w:r>
      <w:r>
        <w:rPr>
          <w:szCs w:val="20"/>
          <w:lang w:val="en-GB"/>
        </w:rPr>
        <w:t xml:space="preserve">”’ </w:t>
      </w:r>
    </w:p>
    <w:p w14:paraId="71347491" w14:textId="2F082CA2" w:rsidR="00CA7C77" w:rsidRPr="00F66F3C" w:rsidRDefault="00CA7C77" w:rsidP="00F66F3C">
      <w:pPr>
        <w:pStyle w:val="FootnoteText"/>
        <w:rPr>
          <w:szCs w:val="20"/>
          <w:lang w:val="en-GB"/>
        </w:rPr>
      </w:pPr>
      <w:r w:rsidRPr="00F66F3C">
        <w:rPr>
          <w:szCs w:val="20"/>
          <w:lang w:val="en-GB"/>
        </w:rPr>
        <w:t xml:space="preserve">Letter of 26 April 2012 from the Minister of Foreign Affairs and the State Secretary for Security and Justice to the Senate and the House of Representatives on the immunity of members of foreign official missions (the Netherlands). See also responses in CAHDI Replies to Questionnaire (n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 xml:space="preserve">) (in particular those of France, Germany, Italy, the Netherlands, Ukraine and the United Kingdom), and see the discussion below on the types of special mission to which immunity applies. </w:t>
      </w:r>
    </w:p>
  </w:footnote>
  <w:footnote w:id="67">
    <w:p w14:paraId="45A69810" w14:textId="5A40D77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immunity of permanent and temporary diplomats derives from the same customary law principle of immunity (see the section above on </w:t>
      </w:r>
      <w:r>
        <w:rPr>
          <w:szCs w:val="20"/>
          <w:lang w:val="en-GB"/>
        </w:rPr>
        <w:t>‘</w:t>
      </w:r>
      <w:r w:rsidRPr="00F66F3C">
        <w:rPr>
          <w:szCs w:val="20"/>
          <w:lang w:val="en-GB"/>
        </w:rPr>
        <w:t>The Early Development of the Law on ad hoc Diplomacy</w:t>
      </w:r>
      <w:r>
        <w:rPr>
          <w:szCs w:val="20"/>
          <w:lang w:val="en-GB"/>
        </w:rPr>
        <w:t>’</w:t>
      </w:r>
      <w:r w:rsidRPr="00F66F3C">
        <w:rPr>
          <w:szCs w:val="20"/>
          <w:lang w:val="en-GB"/>
        </w:rPr>
        <w:t>), even if there are</w:t>
      </w:r>
      <w:r>
        <w:rPr>
          <w:szCs w:val="20"/>
          <w:lang w:val="en-GB"/>
        </w:rPr>
        <w:t xml:space="preserve"> – </w:t>
      </w:r>
      <w:r w:rsidRPr="00F66F3C">
        <w:rPr>
          <w:szCs w:val="20"/>
          <w:lang w:val="en-GB"/>
        </w:rPr>
        <w:t>for the reasons enumerated above</w:t>
      </w:r>
      <w:r>
        <w:rPr>
          <w:szCs w:val="20"/>
          <w:lang w:val="en-GB"/>
        </w:rPr>
        <w:t xml:space="preserve"> – </w:t>
      </w:r>
      <w:r w:rsidRPr="00F66F3C">
        <w:rPr>
          <w:szCs w:val="20"/>
          <w:lang w:val="en-GB"/>
        </w:rPr>
        <w:t xml:space="preserve">fewer examples of state practice concerning temporary missions than of diplomatic missions. When the International Law Commission separated permanent and temporary missions (resulting in the VCDR and Convention on Special Missions respectively), they did so because of the functional differences between these two types of diplomacy and because of the difficulty of reaching an agreement on the definition of temporary diplomacy, and not because it was doubted that </w:t>
      </w:r>
      <w:r w:rsidRPr="00F66F3C">
        <w:rPr>
          <w:i/>
          <w:szCs w:val="20"/>
          <w:lang w:val="en-GB"/>
        </w:rPr>
        <w:t>ad hoc</w:t>
      </w:r>
      <w:r w:rsidRPr="00F66F3C">
        <w:rPr>
          <w:szCs w:val="20"/>
          <w:lang w:val="en-GB"/>
        </w:rPr>
        <w:t xml:space="preserve"> diplomats benefited from inviolability and immunity from arrest and prosecution.</w:t>
      </w:r>
    </w:p>
  </w:footnote>
  <w:footnote w:id="68">
    <w:p w14:paraId="09A138D3" w14:textId="432DF0C7"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CAHDI Replies to Questionnaire</w:t>
      </w:r>
      <w:r w:rsidRPr="00F66F3C" w:rsidDel="00CB0591">
        <w:rPr>
          <w:szCs w:val="20"/>
          <w:lang w:val="en-GB"/>
        </w:rPr>
        <w:t xml:space="preserve"> </w:t>
      </w:r>
      <w:r w:rsidRPr="00F66F3C">
        <w:rPr>
          <w:szCs w:val="20"/>
          <w:lang w:val="en-GB"/>
        </w:rPr>
        <w:t>(</w:t>
      </w:r>
      <w:r>
        <w:rPr>
          <w:szCs w:val="20"/>
          <w:lang w:val="en-GB"/>
        </w:rPr>
        <w:t>n</w:t>
      </w:r>
      <w:r w:rsidRPr="00F66F3C">
        <w:rPr>
          <w:szCs w:val="20"/>
          <w:lang w:val="en-GB"/>
        </w:rPr>
        <w:t xml:space="preserve">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 in particular statements by Albania; Belarus; Belgium (see also Article 1</w:t>
      </w:r>
      <w:r w:rsidRPr="00F66F3C">
        <w:rPr>
          <w:i/>
          <w:szCs w:val="20"/>
          <w:lang w:val="en-GB"/>
        </w:rPr>
        <w:t>bis</w:t>
      </w:r>
      <w:r w:rsidRPr="00F66F3C">
        <w:rPr>
          <w:szCs w:val="20"/>
          <w:lang w:val="en-GB"/>
        </w:rPr>
        <w:t>, §2 of the Belgian Code of Criminal Procedure); Finland (see also sections 9 and 17 of the Act on the Privileges and Immunities of International Conferences and Special Missions (572/1973)); France; Germany; Malta; Switzerland; Ukraine; and the United Kingdom.</w:t>
      </w:r>
    </w:p>
  </w:footnote>
  <w:footnote w:id="69">
    <w:p w14:paraId="7D50EABF" w14:textId="304B57D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discussion below. </w:t>
      </w:r>
    </w:p>
  </w:footnote>
  <w:footnote w:id="70">
    <w:p w14:paraId="5F376406" w14:textId="7910D985"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e</w:t>
      </w:r>
      <w:r>
        <w:rPr>
          <w:szCs w:val="20"/>
          <w:lang w:val="en-GB"/>
        </w:rPr>
        <w:t>.</w:t>
      </w:r>
      <w:r w:rsidRPr="00F66F3C">
        <w:rPr>
          <w:szCs w:val="20"/>
          <w:lang w:val="en-GB"/>
        </w:rPr>
        <w:t>g</w:t>
      </w:r>
      <w:r>
        <w:rPr>
          <w:szCs w:val="20"/>
          <w:lang w:val="en-GB"/>
        </w:rPr>
        <w:t>.</w:t>
      </w:r>
      <w:r w:rsidRPr="00F66F3C">
        <w:rPr>
          <w:szCs w:val="20"/>
          <w:lang w:val="en-GB"/>
        </w:rPr>
        <w:t>,</w:t>
      </w:r>
      <w:r>
        <w:rPr>
          <w:szCs w:val="20"/>
          <w:lang w:val="en-GB"/>
        </w:rPr>
        <w:t xml:space="preserve"> </w:t>
      </w:r>
      <w:bookmarkStart w:id="61" w:name="_Hlk503271048"/>
      <w:r>
        <w:rPr>
          <w:lang w:val="en-GB"/>
        </w:rPr>
        <w:t>UN</w:t>
      </w:r>
      <w:r w:rsidRPr="0044433F">
        <w:rPr>
          <w:lang w:val="en-GB"/>
        </w:rPr>
        <w:t xml:space="preserve"> Convention on Jurisdictional Immunities of States and Their Property</w:t>
      </w:r>
      <w:r>
        <w:rPr>
          <w:lang w:val="en-GB"/>
        </w:rPr>
        <w:t xml:space="preserve"> (n </w:t>
      </w:r>
      <w:r>
        <w:rPr>
          <w:lang w:val="en-GB"/>
        </w:rPr>
        <w:fldChar w:fldCharType="begin"/>
      </w:r>
      <w:r>
        <w:rPr>
          <w:lang w:val="en-GB"/>
        </w:rPr>
        <w:instrText xml:space="preserve"> NOTEREF _Ref503796788 \h </w:instrText>
      </w:r>
      <w:r>
        <w:rPr>
          <w:lang w:val="en-GB"/>
        </w:rPr>
      </w:r>
      <w:r>
        <w:rPr>
          <w:lang w:val="en-GB"/>
        </w:rPr>
        <w:fldChar w:fldCharType="separate"/>
      </w:r>
      <w:r w:rsidR="006A2E69">
        <w:rPr>
          <w:lang w:val="en-GB"/>
        </w:rPr>
        <w:t>7</w:t>
      </w:r>
      <w:r>
        <w:rPr>
          <w:lang w:val="en-GB"/>
        </w:rPr>
        <w:fldChar w:fldCharType="end"/>
      </w:r>
      <w:r>
        <w:rPr>
          <w:lang w:val="en-GB"/>
        </w:rPr>
        <w:t>)</w:t>
      </w:r>
      <w:bookmarkEnd w:id="61"/>
      <w:r>
        <w:rPr>
          <w:lang w:val="en-GB"/>
        </w:rPr>
        <w:t xml:space="preserve">, </w:t>
      </w:r>
      <w:r w:rsidRPr="00F66F3C">
        <w:rPr>
          <w:szCs w:val="20"/>
          <w:lang w:val="en-GB"/>
        </w:rPr>
        <w:t>Arts</w:t>
      </w:r>
      <w:r>
        <w:rPr>
          <w:szCs w:val="20"/>
          <w:lang w:val="en-GB"/>
        </w:rPr>
        <w:t>.</w:t>
      </w:r>
      <w:r w:rsidRPr="00F66F3C">
        <w:rPr>
          <w:szCs w:val="20"/>
          <w:lang w:val="en-GB"/>
        </w:rPr>
        <w:t xml:space="preserve"> 22–8 of the Vienna Convention on Diplomatic Relations</w:t>
      </w:r>
      <w:r>
        <w:rPr>
          <w:szCs w:val="20"/>
          <w:lang w:val="en-GB"/>
        </w:rPr>
        <w:t xml:space="preserve"> (n </w:t>
      </w:r>
      <w:r>
        <w:rPr>
          <w:szCs w:val="20"/>
          <w:lang w:val="en-GB"/>
        </w:rPr>
        <w:fldChar w:fldCharType="begin"/>
      </w:r>
      <w:r>
        <w:rPr>
          <w:szCs w:val="20"/>
          <w:lang w:val="en-GB"/>
        </w:rPr>
        <w:instrText xml:space="preserve"> NOTEREF _Ref497593576 \h </w:instrText>
      </w:r>
      <w:r>
        <w:rPr>
          <w:szCs w:val="20"/>
          <w:lang w:val="en-GB"/>
        </w:rPr>
      </w:r>
      <w:r>
        <w:rPr>
          <w:szCs w:val="20"/>
          <w:lang w:val="en-GB"/>
        </w:rPr>
        <w:fldChar w:fldCharType="separate"/>
      </w:r>
      <w:r w:rsidR="006A2E69">
        <w:rPr>
          <w:szCs w:val="20"/>
          <w:lang w:val="en-GB"/>
        </w:rPr>
        <w:t>41</w:t>
      </w:r>
      <w:r>
        <w:rPr>
          <w:szCs w:val="20"/>
          <w:lang w:val="en-GB"/>
        </w:rPr>
        <w:fldChar w:fldCharType="end"/>
      </w:r>
      <w:r>
        <w:rPr>
          <w:szCs w:val="20"/>
          <w:lang w:val="en-GB"/>
        </w:rPr>
        <w:t>)</w:t>
      </w:r>
      <w:r w:rsidRPr="00F66F3C">
        <w:rPr>
          <w:szCs w:val="20"/>
          <w:lang w:val="en-GB"/>
        </w:rPr>
        <w:t xml:space="preserve"> and Arts</w:t>
      </w:r>
      <w:r>
        <w:rPr>
          <w:szCs w:val="20"/>
          <w:lang w:val="en-GB"/>
        </w:rPr>
        <w:t>.</w:t>
      </w:r>
      <w:r w:rsidRPr="00F66F3C">
        <w:rPr>
          <w:szCs w:val="20"/>
          <w:lang w:val="en-GB"/>
        </w:rPr>
        <w:t xml:space="preserve"> 31–38 of the </w:t>
      </w:r>
      <w:bookmarkStart w:id="62" w:name="_Hlk503797003"/>
      <w:r w:rsidRPr="00F66F3C">
        <w:rPr>
          <w:szCs w:val="20"/>
          <w:lang w:val="en-GB"/>
        </w:rPr>
        <w:t>Vienna Convention on Consular Relations</w:t>
      </w:r>
      <w:r>
        <w:rPr>
          <w:szCs w:val="20"/>
          <w:lang w:val="en-GB"/>
        </w:rPr>
        <w:t xml:space="preserve"> (VCCR), 24 April 1964, in force 19 March 1967, 596 UNTS 261</w:t>
      </w:r>
      <w:bookmarkEnd w:id="62"/>
      <w:r>
        <w:rPr>
          <w:szCs w:val="20"/>
          <w:lang w:val="en-GB"/>
        </w:rPr>
        <w:t>.</w:t>
      </w:r>
      <w:r w:rsidRPr="00F66F3C">
        <w:rPr>
          <w:szCs w:val="20"/>
          <w:lang w:val="en-GB"/>
        </w:rPr>
        <w:t xml:space="preserve"> </w:t>
      </w:r>
      <w:r>
        <w:rPr>
          <w:szCs w:val="20"/>
          <w:lang w:val="en-GB"/>
        </w:rPr>
        <w:t xml:space="preserve">The </w:t>
      </w:r>
      <w:r>
        <w:rPr>
          <w:i/>
          <w:szCs w:val="20"/>
          <w:lang w:val="en-GB"/>
        </w:rPr>
        <w:t xml:space="preserve">Tehran Hostages </w:t>
      </w:r>
      <w:r>
        <w:rPr>
          <w:szCs w:val="20"/>
          <w:lang w:val="en-GB"/>
        </w:rPr>
        <w:t xml:space="preserve">case (n </w:t>
      </w:r>
      <w:r>
        <w:rPr>
          <w:szCs w:val="20"/>
          <w:lang w:val="en-GB"/>
        </w:rPr>
        <w:fldChar w:fldCharType="begin"/>
      </w:r>
      <w:r>
        <w:rPr>
          <w:szCs w:val="20"/>
          <w:lang w:val="en-GB"/>
        </w:rPr>
        <w:instrText xml:space="preserve"> NOTEREF _Ref503801185 \h </w:instrText>
      </w:r>
      <w:r>
        <w:rPr>
          <w:szCs w:val="20"/>
          <w:lang w:val="en-GB"/>
        </w:rPr>
      </w:r>
      <w:r>
        <w:rPr>
          <w:szCs w:val="20"/>
          <w:lang w:val="en-GB"/>
        </w:rPr>
        <w:fldChar w:fldCharType="separate"/>
      </w:r>
      <w:r w:rsidR="006A2E69">
        <w:rPr>
          <w:szCs w:val="20"/>
          <w:lang w:val="en-GB"/>
        </w:rPr>
        <w:t>5</w:t>
      </w:r>
      <w:r>
        <w:rPr>
          <w:szCs w:val="20"/>
          <w:lang w:val="en-GB"/>
        </w:rPr>
        <w:fldChar w:fldCharType="end"/>
      </w:r>
      <w:r>
        <w:rPr>
          <w:szCs w:val="20"/>
          <w:lang w:val="en-GB"/>
        </w:rPr>
        <w:t>), 30-1.</w:t>
      </w:r>
    </w:p>
  </w:footnote>
  <w:footnote w:id="71">
    <w:p w14:paraId="13B4D16F" w14:textId="3E316F38" w:rsidR="006A2E69" w:rsidRPr="006A2E69" w:rsidRDefault="006A2E69">
      <w:pPr>
        <w:pStyle w:val="FootnoteText"/>
        <w:rPr>
          <w:rFonts w:eastAsia="Calibri"/>
          <w:szCs w:val="20"/>
          <w:lang w:val="en-US"/>
        </w:rPr>
      </w:pPr>
      <w:r w:rsidRPr="00992EB7">
        <w:rPr>
          <w:rStyle w:val="FootnoteReference"/>
        </w:rPr>
        <w:footnoteRef/>
      </w:r>
      <w:r w:rsidRPr="00992EB7">
        <w:rPr>
          <w:lang w:val="en-US"/>
        </w:rPr>
        <w:t xml:space="preserve"> </w:t>
      </w:r>
      <w:r w:rsidRPr="00992EB7">
        <w:rPr>
          <w:szCs w:val="20"/>
          <w:lang w:val="en-US"/>
        </w:rPr>
        <w:t xml:space="preserve">See also Chapter 27 on ‘Material Immunity of Foreign Officials </w:t>
      </w:r>
      <w:r w:rsidR="00DD1CD6">
        <w:rPr>
          <w:szCs w:val="20"/>
          <w:lang w:val="en-US"/>
        </w:rPr>
        <w:t>from Criminal Jurisdiction for ‘</w:t>
      </w:r>
      <w:r w:rsidRPr="00992EB7">
        <w:rPr>
          <w:szCs w:val="20"/>
          <w:lang w:val="en-US"/>
        </w:rPr>
        <w:t>Acts Comm</w:t>
      </w:r>
      <w:r w:rsidR="00992EB7">
        <w:rPr>
          <w:szCs w:val="20"/>
          <w:lang w:val="en-US"/>
        </w:rPr>
        <w:t xml:space="preserve">itted in the Official Capacity’ </w:t>
      </w:r>
      <w:r w:rsidRPr="00992EB7">
        <w:rPr>
          <w:szCs w:val="20"/>
          <w:lang w:val="en-US"/>
        </w:rPr>
        <w:t>and Possible Exceptions Thereto’ by Concepción Escobar Hernández.</w:t>
      </w:r>
    </w:p>
  </w:footnote>
  <w:footnote w:id="72">
    <w:p w14:paraId="70AE2BB2" w14:textId="1A6C598A"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CAHDI Replies to Questionnaire</w:t>
      </w:r>
      <w:r w:rsidRPr="00F66F3C" w:rsidDel="00CB0591">
        <w:rPr>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 (</w:t>
      </w:r>
      <w:r>
        <w:rPr>
          <w:szCs w:val="20"/>
          <w:lang w:val="en-GB"/>
        </w:rPr>
        <w:t>‘</w:t>
      </w:r>
      <w:r w:rsidRPr="00F66F3C">
        <w:rPr>
          <w:szCs w:val="20"/>
          <w:lang w:val="en-GB"/>
        </w:rPr>
        <w:t>Albania considers that issues related to immunity of special missions derive from customary law. The customary rules that are applied to a high-level mission are related with immunity from civil and criminal jurisdiction in respect of their official acts.</w:t>
      </w:r>
      <w:r>
        <w:rPr>
          <w:szCs w:val="20"/>
          <w:lang w:val="en-GB"/>
        </w:rPr>
        <w:t>’</w:t>
      </w:r>
      <w:r w:rsidRPr="00F66F3C">
        <w:rPr>
          <w:szCs w:val="20"/>
          <w:lang w:val="en-GB"/>
        </w:rPr>
        <w:t>)</w:t>
      </w:r>
    </w:p>
  </w:footnote>
  <w:footnote w:id="73">
    <w:p w14:paraId="388F1902" w14:textId="2A024EB7"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C27E0">
        <w:rPr>
          <w:szCs w:val="20"/>
          <w:lang w:val="en-GB"/>
        </w:rPr>
        <w:t>Ibid.</w:t>
      </w:r>
      <w:r w:rsidRPr="00F66F3C">
        <w:rPr>
          <w:szCs w:val="20"/>
          <w:lang w:val="en-GB"/>
        </w:rPr>
        <w:t xml:space="preserve"> (</w:t>
      </w:r>
      <w:r>
        <w:rPr>
          <w:szCs w:val="20"/>
          <w:lang w:val="en-GB"/>
        </w:rPr>
        <w:t>‘</w:t>
      </w:r>
      <w:r w:rsidRPr="00F66F3C">
        <w:rPr>
          <w:szCs w:val="20"/>
          <w:lang w:val="en-GB"/>
        </w:rPr>
        <w:t>Although Austria is aware of the progressive elements in the Convention, it considers it as reflecting by and large customary international law. Austria thus applies the provisions of the Convention in relation to any state. If a state not party to the Convention contested the customary status of a provision in a particular situation, a detailed case-by-case analysis would be necessary.</w:t>
      </w:r>
      <w:r>
        <w:rPr>
          <w:szCs w:val="20"/>
          <w:lang w:val="en-GB"/>
        </w:rPr>
        <w:t>’</w:t>
      </w:r>
      <w:r w:rsidRPr="00F66F3C">
        <w:rPr>
          <w:szCs w:val="20"/>
          <w:lang w:val="en-GB"/>
        </w:rPr>
        <w:t>)</w:t>
      </w:r>
    </w:p>
  </w:footnote>
  <w:footnote w:id="74">
    <w:p w14:paraId="0EAF460A" w14:textId="47570A9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C27E0">
        <w:rPr>
          <w:szCs w:val="20"/>
          <w:lang w:val="en-GB"/>
        </w:rPr>
        <w:t>Ibid.</w:t>
      </w:r>
      <w:r w:rsidRPr="00F66F3C">
        <w:rPr>
          <w:szCs w:val="20"/>
          <w:lang w:val="en-GB"/>
        </w:rPr>
        <w:t xml:space="preserve"> (</w:t>
      </w:r>
      <w:r>
        <w:rPr>
          <w:szCs w:val="20"/>
          <w:lang w:val="en-GB"/>
        </w:rPr>
        <w:t>‘</w:t>
      </w:r>
      <w:r w:rsidRPr="00F66F3C">
        <w:rPr>
          <w:szCs w:val="20"/>
          <w:lang w:val="en-GB"/>
        </w:rPr>
        <w:t>Customary international law applied to the status of members of special missions stems from the principle of sovereign immunity and depends on the category of the mission in question</w:t>
      </w:r>
      <w:r>
        <w:rPr>
          <w:szCs w:val="20"/>
          <w:lang w:val="en-GB"/>
        </w:rPr>
        <w:t>.’</w:t>
      </w:r>
      <w:r w:rsidRPr="00F66F3C">
        <w:rPr>
          <w:szCs w:val="20"/>
          <w:lang w:val="en-GB"/>
        </w:rPr>
        <w:t>)</w:t>
      </w:r>
    </w:p>
  </w:footnote>
  <w:footnote w:id="75">
    <w:p w14:paraId="21E41997" w14:textId="270E7D8B" w:rsidR="00CA7C77" w:rsidRPr="00E4511D" w:rsidRDefault="00CA7C77" w:rsidP="00F66F3C">
      <w:pPr>
        <w:pStyle w:val="FootnoteText"/>
        <w:rPr>
          <w:szCs w:val="20"/>
          <w:lang w:val="fr-FR"/>
        </w:rPr>
      </w:pPr>
      <w:r w:rsidRPr="00F66F3C">
        <w:rPr>
          <w:rStyle w:val="FootnoteReference"/>
          <w:sz w:val="20"/>
          <w:szCs w:val="20"/>
          <w:lang w:val="en-GB"/>
        </w:rPr>
        <w:footnoteRef/>
      </w:r>
      <w:r w:rsidRPr="00E4511D">
        <w:rPr>
          <w:szCs w:val="20"/>
          <w:lang w:val="fr-FR"/>
        </w:rPr>
        <w:t xml:space="preserve"> Ibid. (‘</w:t>
      </w:r>
      <w:r w:rsidRPr="005C27E0">
        <w:rPr>
          <w:i/>
          <w:szCs w:val="20"/>
          <w:lang w:val="fr-FR"/>
        </w:rPr>
        <w:t>Oui. Les immunités accordées aux missions spéciales sont pour l’essentiel basées sur le droit international coutumier. L’immunité de juridiction pénale des missions spéciales couvre tous les actes accomplis à titre officiel pendant la durée de la mission, à l’exception des actes constitutifs de crimes internationaux (crime de génocide, crime contre l’humanité et crime de guerre, notamment).</w:t>
      </w:r>
      <w:r>
        <w:rPr>
          <w:szCs w:val="20"/>
          <w:lang w:val="fr-FR"/>
        </w:rPr>
        <w:t>’</w:t>
      </w:r>
      <w:r w:rsidRPr="00E4511D">
        <w:rPr>
          <w:szCs w:val="20"/>
          <w:lang w:val="fr-FR"/>
        </w:rPr>
        <w:t>)</w:t>
      </w:r>
    </w:p>
  </w:footnote>
  <w:footnote w:id="76">
    <w:p w14:paraId="164AAF3A" w14:textId="77777777" w:rsidR="0014360C" w:rsidRPr="00511E5A" w:rsidRDefault="0014360C" w:rsidP="0014360C">
      <w:pPr>
        <w:pStyle w:val="FootnoteText"/>
        <w:rPr>
          <w:lang w:val="en-US"/>
        </w:rPr>
      </w:pPr>
      <w:r>
        <w:rPr>
          <w:rStyle w:val="FootnoteReference"/>
        </w:rPr>
        <w:footnoteRef/>
      </w:r>
      <w:r w:rsidRPr="0014360C">
        <w:rPr>
          <w:lang w:val="en-US"/>
        </w:rPr>
        <w:t xml:space="preserve"> </w:t>
      </w:r>
      <w:r>
        <w:rPr>
          <w:lang w:val="en-US"/>
        </w:rPr>
        <w:t>Ibid. (‘</w:t>
      </w:r>
      <w:r w:rsidRPr="006C29BD">
        <w:rPr>
          <w:lang w:val="en-US"/>
        </w:rPr>
        <w:t>If the sending state notifies the receiving state (Bosnia and Herzegovina) through diplomatic channels about the “Special mission”, members of the mission, the scope, travelling dates and other details, the mission will enjoy immunities and privileges based on the customary international law and Convention on Special Missions.</w:t>
      </w:r>
      <w:r>
        <w:rPr>
          <w:lang w:val="en-US"/>
        </w:rPr>
        <w:t>’)</w:t>
      </w:r>
    </w:p>
  </w:footnote>
  <w:footnote w:id="77">
    <w:p w14:paraId="20DDF4EC" w14:textId="6AFB930B"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C27E0">
        <w:rPr>
          <w:szCs w:val="20"/>
          <w:lang w:val="en-GB"/>
        </w:rPr>
        <w:t>Ibid.</w:t>
      </w:r>
      <w:r w:rsidRPr="00F66F3C">
        <w:rPr>
          <w:szCs w:val="20"/>
          <w:lang w:val="en-GB"/>
        </w:rPr>
        <w:t xml:space="preserve"> (</w:t>
      </w:r>
      <w:r>
        <w:rPr>
          <w:szCs w:val="20"/>
          <w:lang w:val="en-GB"/>
        </w:rPr>
        <w:t>‘</w:t>
      </w:r>
      <w:r w:rsidRPr="00F66F3C">
        <w:rPr>
          <w:szCs w:val="20"/>
          <w:lang w:val="en-GB"/>
        </w:rPr>
        <w:t>The Republic of Bulgaria considers that some aspects regarding the immunity of special missions may derive from customary international law</w:t>
      </w:r>
      <w:r>
        <w:rPr>
          <w:szCs w:val="20"/>
          <w:lang w:val="en-GB"/>
        </w:rPr>
        <w:t xml:space="preserve"> … .’</w:t>
      </w:r>
      <w:r w:rsidRPr="00F66F3C">
        <w:rPr>
          <w:szCs w:val="20"/>
          <w:lang w:val="en-GB"/>
        </w:rPr>
        <w:t>)</w:t>
      </w:r>
    </w:p>
  </w:footnote>
  <w:footnote w:id="78">
    <w:p w14:paraId="3BF93103" w14:textId="633C561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C27E0">
        <w:rPr>
          <w:szCs w:val="20"/>
          <w:lang w:val="en-GB"/>
        </w:rPr>
        <w:t>Ibid.</w:t>
      </w:r>
      <w:r w:rsidRPr="00F66F3C">
        <w:rPr>
          <w:szCs w:val="20"/>
          <w:lang w:val="en-GB"/>
        </w:rPr>
        <w:t xml:space="preserve"> (</w:t>
      </w:r>
      <w:r>
        <w:rPr>
          <w:szCs w:val="20"/>
          <w:lang w:val="en-GB"/>
        </w:rPr>
        <w:t>‘</w:t>
      </w:r>
      <w:r w:rsidRPr="00F66F3C">
        <w:rPr>
          <w:szCs w:val="20"/>
          <w:lang w:val="en-GB"/>
        </w:rPr>
        <w:t>The Republic of Croatia considers that the provisions of the Convention on special missions, in particular the provisions concerning the scope of privileges and immunities, reflect customary international law. With regard to States that are not Parties to the Convention, the customary nature of relevant rules shall be assessed on a case-by case basis.</w:t>
      </w:r>
      <w:r>
        <w:rPr>
          <w:szCs w:val="20"/>
          <w:lang w:val="en-GB"/>
        </w:rPr>
        <w:t>’</w:t>
      </w:r>
      <w:r w:rsidRPr="00F66F3C">
        <w:rPr>
          <w:szCs w:val="20"/>
          <w:lang w:val="en-GB"/>
        </w:rPr>
        <w:t>)</w:t>
      </w:r>
    </w:p>
  </w:footnote>
  <w:footnote w:id="79">
    <w:p w14:paraId="6282B4E5" w14:textId="32583EA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w:t>
      </w:r>
      <w:r>
        <w:rPr>
          <w:szCs w:val="20"/>
          <w:lang w:val="en-GB"/>
        </w:rPr>
        <w:t>‘</w:t>
      </w:r>
      <w:r w:rsidRPr="00F66F3C">
        <w:rPr>
          <w:szCs w:val="20"/>
          <w:lang w:val="en-GB"/>
        </w:rPr>
        <w:t>The Czech Republic is of the view that the Convention, in particular the provisions concerning the scope of privileges and immunities, to large extent reflects customary international law. With regard to States which are not parties to the Convention, the customary nature of relevant rules will be assessed on a case-by case basis.</w:t>
      </w:r>
      <w:r>
        <w:rPr>
          <w:szCs w:val="20"/>
          <w:lang w:val="en-GB"/>
        </w:rPr>
        <w:t>’</w:t>
      </w:r>
      <w:r w:rsidRPr="00F66F3C">
        <w:rPr>
          <w:szCs w:val="20"/>
          <w:lang w:val="en-GB"/>
        </w:rPr>
        <w:t>)</w:t>
      </w:r>
    </w:p>
  </w:footnote>
  <w:footnote w:id="80">
    <w:p w14:paraId="0C095D58" w14:textId="2860AF9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w:t>
      </w:r>
      <w:r>
        <w:rPr>
          <w:szCs w:val="20"/>
          <w:lang w:val="en-GB"/>
        </w:rPr>
        <w:t>‘</w:t>
      </w:r>
      <w:r w:rsidRPr="00F66F3C">
        <w:rPr>
          <w:szCs w:val="20"/>
          <w:lang w:val="en-GB"/>
        </w:rPr>
        <w:t>Estonia considers immunities afforded to special missions to derive from customary international law in as far as the principles relating thereto are not covered by the 1969 Convention and in relation to countries that are not states parties to it.</w:t>
      </w:r>
      <w:r>
        <w:rPr>
          <w:szCs w:val="20"/>
          <w:lang w:val="en-GB"/>
        </w:rPr>
        <w:t>’</w:t>
      </w:r>
      <w:r w:rsidRPr="00F66F3C">
        <w:rPr>
          <w:szCs w:val="20"/>
          <w:lang w:val="en-GB"/>
        </w:rPr>
        <w:t>)</w:t>
      </w:r>
    </w:p>
  </w:footnote>
  <w:footnote w:id="81">
    <w:p w14:paraId="2779E35D" w14:textId="7F6D8C50" w:rsidR="00CA7C77" w:rsidRPr="0014360C" w:rsidRDefault="00CA7C77" w:rsidP="00F66F3C">
      <w:pPr>
        <w:pStyle w:val="FootnoteText"/>
        <w:rPr>
          <w:szCs w:val="20"/>
          <w:lang w:val="en-US"/>
        </w:rPr>
      </w:pPr>
      <w:r w:rsidRPr="00F66F3C">
        <w:rPr>
          <w:rStyle w:val="FootnoteReference"/>
          <w:sz w:val="20"/>
          <w:szCs w:val="20"/>
          <w:lang w:val="en-GB"/>
        </w:rPr>
        <w:footnoteRef/>
      </w:r>
      <w:r w:rsidRPr="0014360C">
        <w:rPr>
          <w:szCs w:val="20"/>
          <w:lang w:val="en-US"/>
        </w:rPr>
        <w:t xml:space="preserve"> Ibid. See discussion below. </w:t>
      </w:r>
    </w:p>
  </w:footnote>
  <w:footnote w:id="82">
    <w:p w14:paraId="53B88A22" w14:textId="193B174A" w:rsidR="00CA7C77" w:rsidRPr="00E4511D" w:rsidRDefault="00CA7C77" w:rsidP="00F66F3C">
      <w:pPr>
        <w:pStyle w:val="FootnoteText"/>
        <w:rPr>
          <w:szCs w:val="20"/>
          <w:lang w:val="fr-FR"/>
        </w:rPr>
      </w:pPr>
      <w:r w:rsidRPr="00F66F3C">
        <w:rPr>
          <w:rStyle w:val="FootnoteReference"/>
          <w:sz w:val="20"/>
          <w:szCs w:val="20"/>
          <w:lang w:val="en-GB"/>
        </w:rPr>
        <w:footnoteRef/>
      </w:r>
      <w:r w:rsidRPr="0014360C">
        <w:rPr>
          <w:szCs w:val="20"/>
          <w:lang w:val="en-US"/>
        </w:rPr>
        <w:t xml:space="preserve"> Ibid. </w:t>
      </w:r>
      <w:r w:rsidRPr="00E4511D">
        <w:rPr>
          <w:szCs w:val="20"/>
          <w:lang w:val="fr-FR"/>
        </w:rPr>
        <w:t>(‘</w:t>
      </w:r>
      <w:r w:rsidRPr="0009504E">
        <w:rPr>
          <w:i/>
          <w:szCs w:val="20"/>
          <w:lang w:val="fr-FR"/>
        </w:rPr>
        <w:t>S’agissant de la définition d’une mission spéciale, elle considère que les règles posées par la Convention de New York sur les missions spéciales du 8 décembre 1969 reflètent le droit international coutumier.</w:t>
      </w:r>
      <w:r w:rsidRPr="00E4511D">
        <w:rPr>
          <w:szCs w:val="20"/>
          <w:lang w:val="fr-FR"/>
        </w:rPr>
        <w:t xml:space="preserve">’) </w:t>
      </w:r>
    </w:p>
  </w:footnote>
  <w:footnote w:id="83">
    <w:p w14:paraId="779C19B1" w14:textId="2E1F94C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w:t>
      </w:r>
      <w:r>
        <w:rPr>
          <w:szCs w:val="20"/>
          <w:lang w:val="en-GB"/>
        </w:rPr>
        <w:t>‘</w:t>
      </w:r>
      <w:r w:rsidRPr="00F66F3C">
        <w:rPr>
          <w:szCs w:val="20"/>
          <w:lang w:val="en-GB"/>
        </w:rPr>
        <w:t>The German government takes the view that immunity of the members of special missions from judicial, in particular from criminal proceedings, is part of customary international law.</w:t>
      </w:r>
      <w:r>
        <w:rPr>
          <w:szCs w:val="20"/>
          <w:lang w:val="en-GB"/>
        </w:rPr>
        <w:t>’</w:t>
      </w:r>
      <w:r w:rsidRPr="00F66F3C">
        <w:rPr>
          <w:szCs w:val="20"/>
          <w:lang w:val="en-GB"/>
        </w:rPr>
        <w:t>)</w:t>
      </w:r>
    </w:p>
  </w:footnote>
  <w:footnote w:id="84">
    <w:p w14:paraId="1DEE27D2" w14:textId="0A93DDA5"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w:t>
      </w:r>
      <w:r>
        <w:rPr>
          <w:szCs w:val="20"/>
          <w:lang w:val="en-GB"/>
        </w:rPr>
        <w:t>‘</w:t>
      </w:r>
      <w:r w:rsidRPr="00F66F3C">
        <w:rPr>
          <w:szCs w:val="20"/>
          <w:lang w:val="en-GB"/>
        </w:rPr>
        <w:t>Italy considers that immunity of the members of special missions from judicial proceedings, and in particular from criminal proceedings, is part of customary international law.</w:t>
      </w:r>
      <w:r>
        <w:rPr>
          <w:szCs w:val="20"/>
          <w:lang w:val="en-GB"/>
        </w:rPr>
        <w:t>’</w:t>
      </w:r>
      <w:r w:rsidRPr="00F66F3C">
        <w:rPr>
          <w:szCs w:val="20"/>
          <w:lang w:val="en-GB"/>
        </w:rPr>
        <w:t>)</w:t>
      </w:r>
    </w:p>
  </w:footnote>
  <w:footnote w:id="85">
    <w:p w14:paraId="6FA9279A" w14:textId="1398EB0C"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w:t>
      </w:r>
      <w:r>
        <w:rPr>
          <w:szCs w:val="20"/>
          <w:lang w:val="en-GB"/>
        </w:rPr>
        <w:t>‘</w:t>
      </w:r>
      <w:r w:rsidRPr="00F66F3C">
        <w:rPr>
          <w:szCs w:val="20"/>
          <w:lang w:val="en-GB"/>
        </w:rPr>
        <w:t>In the view of the Netherlands, there is sufficient basis to conclude an obligation exists under customary international law to accord full immunity to the members of official missions.</w:t>
      </w:r>
      <w:r>
        <w:rPr>
          <w:szCs w:val="20"/>
          <w:lang w:val="en-GB"/>
        </w:rPr>
        <w:t>’</w:t>
      </w:r>
      <w:r w:rsidRPr="00F66F3C">
        <w:rPr>
          <w:szCs w:val="20"/>
          <w:lang w:val="en-GB"/>
        </w:rPr>
        <w:t>)</w:t>
      </w:r>
    </w:p>
  </w:footnote>
  <w:footnote w:id="86">
    <w:p w14:paraId="13667A3A" w14:textId="46BFE165"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w:t>
      </w:r>
      <w:r>
        <w:rPr>
          <w:szCs w:val="20"/>
          <w:lang w:val="en-GB"/>
        </w:rPr>
        <w:t>‘</w:t>
      </w:r>
      <w:r w:rsidRPr="00F66F3C">
        <w:rPr>
          <w:szCs w:val="20"/>
          <w:lang w:val="en-GB"/>
        </w:rPr>
        <w:t>Although not a party to the UN Convention on Special Missions, Romania considers that its provisions reflect the customary international law in this field and Romania applies the Convention as such.</w:t>
      </w:r>
      <w:r>
        <w:rPr>
          <w:szCs w:val="20"/>
          <w:lang w:val="en-GB"/>
        </w:rPr>
        <w:t>’</w:t>
      </w:r>
      <w:r w:rsidRPr="00F66F3C">
        <w:rPr>
          <w:szCs w:val="20"/>
          <w:lang w:val="en-GB"/>
        </w:rPr>
        <w:t>)</w:t>
      </w:r>
    </w:p>
  </w:footnote>
  <w:footnote w:id="87">
    <w:p w14:paraId="001EA937" w14:textId="3A4E619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005E2C6F">
        <w:rPr>
          <w:szCs w:val="20"/>
          <w:lang w:val="en-GB"/>
        </w:rPr>
        <w:t xml:space="preserve"> </w:t>
      </w:r>
      <w:r w:rsidRPr="00F66F3C">
        <w:rPr>
          <w:szCs w:val="20"/>
          <w:lang w:val="en-GB"/>
        </w:rPr>
        <w:t xml:space="preserve">In answer to the question </w:t>
      </w:r>
      <w:r>
        <w:rPr>
          <w:szCs w:val="20"/>
          <w:lang w:val="en-GB"/>
        </w:rPr>
        <w:t>‘</w:t>
      </w:r>
      <w:r w:rsidRPr="00F66F3C">
        <w:rPr>
          <w:szCs w:val="20"/>
          <w:lang w:val="en-GB"/>
        </w:rPr>
        <w:t>[d]oes your State consider the certain obligations and/or definitions regarding immunity of special missions derive from customary international law?</w:t>
      </w:r>
      <w:r>
        <w:rPr>
          <w:szCs w:val="20"/>
          <w:lang w:val="en-GB"/>
        </w:rPr>
        <w:t>’</w:t>
      </w:r>
      <w:r w:rsidRPr="00F66F3C">
        <w:rPr>
          <w:szCs w:val="20"/>
          <w:lang w:val="en-GB"/>
        </w:rPr>
        <w:t xml:space="preserve">, Serbia replied </w:t>
      </w:r>
      <w:r>
        <w:rPr>
          <w:szCs w:val="20"/>
          <w:lang w:val="en-GB"/>
        </w:rPr>
        <w:t>‘</w:t>
      </w:r>
      <w:r w:rsidRPr="00F66F3C">
        <w:rPr>
          <w:szCs w:val="20"/>
          <w:lang w:val="en-GB"/>
        </w:rPr>
        <w:t>Yes, it does</w:t>
      </w:r>
      <w:r>
        <w:rPr>
          <w:szCs w:val="20"/>
          <w:lang w:val="en-GB"/>
        </w:rPr>
        <w:t>.’</w:t>
      </w:r>
      <w:r w:rsidRPr="00F66F3C">
        <w:rPr>
          <w:szCs w:val="20"/>
          <w:lang w:val="en-GB"/>
        </w:rPr>
        <w:t xml:space="preserve"> </w:t>
      </w:r>
    </w:p>
  </w:footnote>
  <w:footnote w:id="88">
    <w:p w14:paraId="4EE49DA0" w14:textId="708923F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w:t>
      </w:r>
      <w:r>
        <w:rPr>
          <w:szCs w:val="20"/>
          <w:lang w:val="en-GB"/>
        </w:rPr>
        <w:t>‘</w:t>
      </w:r>
      <w:r w:rsidRPr="00F66F3C">
        <w:rPr>
          <w:szCs w:val="20"/>
          <w:lang w:val="en-GB"/>
        </w:rPr>
        <w:t>The Republic of Slovenia is of the view that the UN Convention on special missions to a large extent reflects customary international law.</w:t>
      </w:r>
      <w:r>
        <w:rPr>
          <w:szCs w:val="20"/>
          <w:lang w:val="en-GB"/>
        </w:rPr>
        <w:t>’</w:t>
      </w:r>
      <w:r w:rsidRPr="00F66F3C">
        <w:rPr>
          <w:szCs w:val="20"/>
          <w:lang w:val="en-GB"/>
        </w:rPr>
        <w:t>)</w:t>
      </w:r>
    </w:p>
  </w:footnote>
  <w:footnote w:id="89">
    <w:p w14:paraId="5F74676E" w14:textId="7A556E9F"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w:t>
      </w:r>
      <w:r>
        <w:rPr>
          <w:szCs w:val="20"/>
          <w:lang w:val="en-GB"/>
        </w:rPr>
        <w:t>‘</w:t>
      </w:r>
      <w:r w:rsidRPr="00F66F3C">
        <w:rPr>
          <w:szCs w:val="20"/>
          <w:lang w:val="en-GB"/>
        </w:rPr>
        <w:t>Spain considers that current obligations and/or definitions regarding immunity of special missions are essentially those explicitly established by the UN Convention on special missions and by its national legislation</w:t>
      </w:r>
      <w:r>
        <w:rPr>
          <w:szCs w:val="20"/>
          <w:lang w:val="en-GB"/>
        </w:rPr>
        <w:t xml:space="preserve"> …</w:t>
      </w:r>
      <w:r w:rsidRPr="00F66F3C">
        <w:rPr>
          <w:szCs w:val="20"/>
          <w:lang w:val="en-GB"/>
        </w:rPr>
        <w:t xml:space="preserve"> but does not exclude a priori the possible application of customary international law to cases which may not be explicitly covered by the aforementioned texts.</w:t>
      </w:r>
      <w:r>
        <w:rPr>
          <w:szCs w:val="20"/>
          <w:lang w:val="en-GB"/>
        </w:rPr>
        <w:t>’</w:t>
      </w:r>
      <w:r w:rsidRPr="00F66F3C">
        <w:rPr>
          <w:szCs w:val="20"/>
          <w:lang w:val="en-GB"/>
        </w:rPr>
        <w:t>)</w:t>
      </w:r>
    </w:p>
  </w:footnote>
  <w:footnote w:id="90">
    <w:p w14:paraId="19E95338" w14:textId="20F25E00" w:rsidR="00CA7C77" w:rsidRPr="00E4511D" w:rsidRDefault="00CA7C77" w:rsidP="00F66F3C">
      <w:pPr>
        <w:pStyle w:val="FootnoteText"/>
        <w:rPr>
          <w:szCs w:val="20"/>
          <w:lang w:val="fr-FR"/>
        </w:rPr>
      </w:pPr>
      <w:r w:rsidRPr="00F66F3C">
        <w:rPr>
          <w:rStyle w:val="FootnoteReference"/>
          <w:sz w:val="20"/>
          <w:szCs w:val="20"/>
          <w:lang w:val="en-GB"/>
        </w:rPr>
        <w:footnoteRef/>
      </w:r>
      <w:r w:rsidRPr="00E4511D">
        <w:rPr>
          <w:szCs w:val="20"/>
          <w:lang w:val="fr-FR"/>
        </w:rPr>
        <w:t xml:space="preserve"> Ibid. (‘</w:t>
      </w:r>
      <w:r w:rsidRPr="0009504E">
        <w:rPr>
          <w:i/>
          <w:szCs w:val="20"/>
          <w:lang w:val="fr-FR"/>
        </w:rPr>
        <w:t>De manière générale, la Suisse considère que la Convention sur les missions spéciales constitue dans une large mesure une codification du droit international coutumier, s'agissant en particulier de la portée des privilèges et immunités.</w:t>
      </w:r>
      <w:r w:rsidRPr="00E4511D">
        <w:rPr>
          <w:szCs w:val="20"/>
          <w:lang w:val="fr-FR"/>
        </w:rPr>
        <w:t>’)</w:t>
      </w:r>
    </w:p>
  </w:footnote>
  <w:footnote w:id="91">
    <w:p w14:paraId="64850E27" w14:textId="68293FC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w:t>
      </w:r>
      <w:r>
        <w:rPr>
          <w:szCs w:val="20"/>
          <w:lang w:val="en-GB"/>
        </w:rPr>
        <w:t>‘</w:t>
      </w:r>
      <w:r w:rsidRPr="00F66F3C">
        <w:rPr>
          <w:szCs w:val="20"/>
          <w:lang w:val="en-GB"/>
        </w:rPr>
        <w:t>Ukraine is of the view that the United Nations Convention on special missions (1969) to large extent reflects customary international law.</w:t>
      </w:r>
      <w:r>
        <w:rPr>
          <w:szCs w:val="20"/>
          <w:lang w:val="en-GB"/>
        </w:rPr>
        <w:t>’</w:t>
      </w:r>
      <w:r w:rsidRPr="00F66F3C">
        <w:rPr>
          <w:szCs w:val="20"/>
          <w:lang w:val="en-GB"/>
        </w:rPr>
        <w:t>)</w:t>
      </w:r>
    </w:p>
  </w:footnote>
  <w:footnote w:id="92">
    <w:p w14:paraId="36F36241" w14:textId="165ED0FF"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See discussion below.</w:t>
      </w:r>
    </w:p>
  </w:footnote>
  <w:footnote w:id="93">
    <w:p w14:paraId="4E1C99AF" w14:textId="6E5E10A4"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09504E">
        <w:rPr>
          <w:szCs w:val="20"/>
          <w:lang w:val="en-GB"/>
        </w:rPr>
        <w:t>Ibid.</w:t>
      </w:r>
      <w:r w:rsidRPr="00F66F3C">
        <w:rPr>
          <w:szCs w:val="20"/>
          <w:lang w:val="en-GB"/>
        </w:rPr>
        <w:t xml:space="preserve"> See discussion below.</w:t>
      </w:r>
    </w:p>
  </w:footnote>
  <w:footnote w:id="94">
    <w:p w14:paraId="5ADD3904" w14:textId="428B00C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w:t>
      </w:r>
      <w:r>
        <w:rPr>
          <w:szCs w:val="20"/>
          <w:lang w:val="en-GB"/>
        </w:rPr>
        <w:t xml:space="preserve"> the</w:t>
      </w:r>
      <w:r w:rsidRPr="00F66F3C">
        <w:rPr>
          <w:szCs w:val="20"/>
          <w:lang w:val="en-GB"/>
        </w:rPr>
        <w:t xml:space="preserve"> </w:t>
      </w:r>
      <w:r w:rsidRPr="00F66F3C">
        <w:rPr>
          <w:i/>
          <w:iCs/>
          <w:szCs w:val="20"/>
          <w:lang w:val="en-GB"/>
        </w:rPr>
        <w:t>Freedom and Justice Party</w:t>
      </w:r>
      <w:r w:rsidRPr="00F66F3C">
        <w:rPr>
          <w:szCs w:val="20"/>
          <w:lang w:val="en-GB"/>
        </w:rPr>
        <w:t xml:space="preserve"> </w:t>
      </w:r>
      <w:r>
        <w:rPr>
          <w:szCs w:val="20"/>
          <w:lang w:val="en-GB"/>
        </w:rPr>
        <w:t xml:space="preserve">case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_Ref493330102 \h  \* MERGEFORMAT </w:instrText>
      </w:r>
      <w:r w:rsidRPr="00F66F3C">
        <w:rPr>
          <w:szCs w:val="20"/>
          <w:lang w:val="en-GB"/>
        </w:rPr>
      </w:r>
      <w:r w:rsidRPr="00F66F3C">
        <w:rPr>
          <w:szCs w:val="20"/>
          <w:lang w:val="en-GB"/>
        </w:rPr>
        <w:fldChar w:fldCharType="separate"/>
      </w:r>
      <w:r w:rsidR="006A2E69">
        <w:rPr>
          <w:szCs w:val="20"/>
          <w:lang w:val="en-GB"/>
        </w:rPr>
        <w:t>12</w:t>
      </w:r>
      <w:r w:rsidRPr="00F66F3C">
        <w:rPr>
          <w:szCs w:val="20"/>
          <w:lang w:val="en-GB"/>
        </w:rPr>
        <w:fldChar w:fldCharType="end"/>
      </w:r>
      <w:r w:rsidRPr="00F66F3C">
        <w:rPr>
          <w:szCs w:val="20"/>
          <w:lang w:val="en-GB"/>
        </w:rPr>
        <w:t>), para. 147 and CAHDI Replies to Questionnaire</w:t>
      </w:r>
      <w:r w:rsidRPr="00F66F3C" w:rsidDel="00CB0591">
        <w:rPr>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w:t>
      </w:r>
    </w:p>
  </w:footnote>
  <w:footnote w:id="95">
    <w:p w14:paraId="6289BBA6" w14:textId="217DF203" w:rsidR="00CA7C77" w:rsidRPr="00E4511D" w:rsidRDefault="00CA7C77" w:rsidP="00F66F3C">
      <w:pPr>
        <w:pStyle w:val="FootnoteText"/>
        <w:rPr>
          <w:szCs w:val="20"/>
          <w:lang w:val="fr-FR"/>
        </w:rPr>
      </w:pPr>
      <w:r w:rsidRPr="00F66F3C">
        <w:rPr>
          <w:rStyle w:val="FootnoteReference"/>
          <w:sz w:val="20"/>
          <w:szCs w:val="20"/>
          <w:lang w:val="en-GB"/>
        </w:rPr>
        <w:footnoteRef/>
      </w:r>
      <w:r w:rsidRPr="00F66F3C">
        <w:rPr>
          <w:szCs w:val="20"/>
          <w:lang w:val="en-GB"/>
        </w:rPr>
        <w:t xml:space="preserve"> Act on the Privileges and Immunities of International Conferences and Special Missions (572/1973; amendments up to 1649/1991 included), unofficial translation available </w:t>
      </w:r>
      <w:r>
        <w:rPr>
          <w:szCs w:val="20"/>
          <w:lang w:val="en-GB"/>
        </w:rPr>
        <w:t xml:space="preserve">at </w:t>
      </w:r>
      <w:hyperlink r:id="rId1" w:history="1">
        <w:r w:rsidRPr="00F66F3C">
          <w:rPr>
            <w:rStyle w:val="Hyperlink"/>
            <w:szCs w:val="20"/>
            <w:lang w:val="en-GB"/>
          </w:rPr>
          <w:t>http://www.finlex.fi/fi/laki/kaannokset/1973/en19730572.pdf</w:t>
        </w:r>
      </w:hyperlink>
      <w:r w:rsidRPr="00F66F3C">
        <w:rPr>
          <w:szCs w:val="20"/>
          <w:lang w:val="en-GB"/>
        </w:rPr>
        <w:t xml:space="preserve">. </w:t>
      </w:r>
      <w:r w:rsidRPr="00E4511D">
        <w:rPr>
          <w:szCs w:val="20"/>
          <w:lang w:val="fr-FR"/>
        </w:rPr>
        <w:t>See also CAHDI Replies to Questionnaire</w:t>
      </w:r>
      <w:r w:rsidRPr="00E4511D" w:rsidDel="00CB0591">
        <w:rPr>
          <w:szCs w:val="20"/>
          <w:lang w:val="fr-FR"/>
        </w:rPr>
        <w:t xml:space="preserve"> </w:t>
      </w:r>
      <w:r w:rsidRPr="00E4511D">
        <w:rPr>
          <w:szCs w:val="20"/>
          <w:lang w:val="fr-FR"/>
        </w:rPr>
        <w:t xml:space="preserve">(n </w:t>
      </w:r>
      <w:r w:rsidRPr="00F66F3C">
        <w:rPr>
          <w:szCs w:val="20"/>
          <w:lang w:val="en-GB"/>
        </w:rPr>
        <w:fldChar w:fldCharType="begin"/>
      </w:r>
      <w:r w:rsidRPr="00E4511D">
        <w:rPr>
          <w:szCs w:val="20"/>
          <w:lang w:val="fr-FR"/>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fr-FR"/>
        </w:rPr>
        <w:t>33</w:t>
      </w:r>
      <w:r w:rsidRPr="00F66F3C">
        <w:rPr>
          <w:szCs w:val="20"/>
          <w:lang w:val="en-GB"/>
        </w:rPr>
        <w:fldChar w:fldCharType="end"/>
      </w:r>
      <w:r w:rsidRPr="00E4511D">
        <w:rPr>
          <w:szCs w:val="20"/>
          <w:lang w:val="fr-FR"/>
        </w:rPr>
        <w:t>) (emphasis added).</w:t>
      </w:r>
    </w:p>
  </w:footnote>
  <w:footnote w:id="96">
    <w:p w14:paraId="23841B16" w14:textId="6F552D1A" w:rsidR="00CA7C77" w:rsidRPr="00E4511D" w:rsidRDefault="00CA7C77" w:rsidP="00F66F3C">
      <w:pPr>
        <w:pStyle w:val="FootnoteText"/>
        <w:rPr>
          <w:szCs w:val="20"/>
          <w:lang w:val="en-GB"/>
        </w:rPr>
      </w:pPr>
      <w:r w:rsidRPr="00E4511D">
        <w:rPr>
          <w:rStyle w:val="FootnoteReference"/>
          <w:sz w:val="20"/>
          <w:szCs w:val="20"/>
          <w:lang w:val="en-GB"/>
        </w:rPr>
        <w:footnoteRef/>
      </w:r>
      <w:r w:rsidRPr="00E4511D">
        <w:rPr>
          <w:szCs w:val="20"/>
          <w:lang w:val="fr-FR"/>
        </w:rPr>
        <w:t xml:space="preserve"> ‘</w:t>
      </w:r>
      <w:r w:rsidRPr="00E4511D">
        <w:rPr>
          <w:i/>
          <w:szCs w:val="20"/>
          <w:lang w:val="fr-FR"/>
        </w:rPr>
        <w:t>Le Ministère des affaires étrangères confirme que l’Ambassadeur du Congo en France a certifié que M. N’Dengue, porteur d’un document signé par le président de la République du Congo, est en mission officielle en France à compter du 19 mars 2004, qu’à ce titre, et en vertu du droit inter- national coutumier, il bénéficie d’immunités de juridiction et d’exécution</w:t>
      </w:r>
      <w:r w:rsidRPr="00E4511D">
        <w:rPr>
          <w:szCs w:val="20"/>
          <w:lang w:val="fr-FR"/>
        </w:rPr>
        <w:t xml:space="preserve">.’ </w:t>
      </w:r>
      <w:r w:rsidRPr="00E4511D">
        <w:rPr>
          <w:szCs w:val="20"/>
          <w:lang w:val="en-US"/>
        </w:rPr>
        <w:t xml:space="preserve">(reproduced in: </w:t>
      </w:r>
      <w:bookmarkStart w:id="64" w:name="_Hlk503799792"/>
      <w:bookmarkStart w:id="65" w:name="_Hlk504123628"/>
      <w:r w:rsidRPr="00E4511D">
        <w:rPr>
          <w:szCs w:val="20"/>
          <w:lang w:val="en-US"/>
        </w:rPr>
        <w:t>France, Cour de Cassation (Chambre Criminelle)</w:t>
      </w:r>
      <w:r w:rsidRPr="00E4511D">
        <w:rPr>
          <w:szCs w:val="20"/>
          <w:lang w:val="en-GB"/>
        </w:rPr>
        <w:t xml:space="preserve">, </w:t>
      </w:r>
      <w:r w:rsidRPr="00E4511D">
        <w:rPr>
          <w:i/>
          <w:szCs w:val="20"/>
          <w:lang w:val="en-GB"/>
        </w:rPr>
        <w:t>Appeal by X and others</w:t>
      </w:r>
      <w:r w:rsidRPr="00E4511D">
        <w:rPr>
          <w:szCs w:val="20"/>
          <w:lang w:val="en-GB"/>
        </w:rPr>
        <w:t xml:space="preserve">, Appeal No. 07-86412, 9 April 2008, available at </w:t>
      </w:r>
      <w:hyperlink r:id="rId2" w:history="1">
        <w:r w:rsidRPr="00E4511D">
          <w:rPr>
            <w:rStyle w:val="Hyperlink"/>
            <w:szCs w:val="20"/>
            <w:lang w:val="en-GB"/>
          </w:rPr>
          <w:t>https://www.legifrance.gouv.fr/affichJuriJudi.do?idTexte=JURITEXT000018642947</w:t>
        </w:r>
      </w:hyperlink>
      <w:bookmarkEnd w:id="64"/>
      <w:r w:rsidRPr="00E4511D">
        <w:rPr>
          <w:szCs w:val="20"/>
          <w:lang w:val="en-GB"/>
        </w:rPr>
        <w:t>.</w:t>
      </w:r>
      <w:bookmarkEnd w:id="65"/>
    </w:p>
  </w:footnote>
  <w:footnote w:id="97">
    <w:p w14:paraId="25103CAF" w14:textId="7B20D9E1" w:rsidR="00CA7C77" w:rsidRPr="00F66F3C" w:rsidRDefault="00CA7C77" w:rsidP="00F66F3C">
      <w:pPr>
        <w:pStyle w:val="FootnoteText"/>
        <w:rPr>
          <w:szCs w:val="20"/>
          <w:lang w:val="en-GB"/>
        </w:rPr>
      </w:pPr>
      <w:r w:rsidRPr="00E4511D">
        <w:rPr>
          <w:rStyle w:val="FootnoteReference"/>
          <w:sz w:val="20"/>
          <w:szCs w:val="20"/>
          <w:lang w:val="en-GB"/>
        </w:rPr>
        <w:footnoteRef/>
      </w:r>
      <w:r w:rsidRPr="00E4511D">
        <w:rPr>
          <w:szCs w:val="20"/>
          <w:lang w:val="en-GB"/>
        </w:rPr>
        <w:t xml:space="preserve"> See Judgment of 20 June 2007 of the </w:t>
      </w:r>
      <w:r w:rsidRPr="00E4511D">
        <w:rPr>
          <w:i/>
          <w:szCs w:val="20"/>
          <w:lang w:val="en-GB"/>
        </w:rPr>
        <w:t>Cour d’Appel de Versailles (Chambre de l’Instruction)</w:t>
      </w:r>
      <w:r w:rsidRPr="00E4511D">
        <w:rPr>
          <w:szCs w:val="20"/>
          <w:lang w:val="en-GB"/>
        </w:rPr>
        <w:t xml:space="preserve">, referred to above (n </w:t>
      </w:r>
      <w:r w:rsidRPr="00E4511D">
        <w:rPr>
          <w:szCs w:val="20"/>
          <w:lang w:val="en-GB"/>
        </w:rPr>
        <w:fldChar w:fldCharType="begin"/>
      </w:r>
      <w:r w:rsidRPr="00E4511D">
        <w:rPr>
          <w:szCs w:val="20"/>
          <w:lang w:val="en-GB"/>
        </w:rPr>
        <w:instrText xml:space="preserve"> NOTEREF _Ref494905651 \h </w:instrText>
      </w:r>
      <w:r>
        <w:rPr>
          <w:szCs w:val="20"/>
          <w:lang w:val="en-GB"/>
        </w:rPr>
        <w:instrText xml:space="preserve"> \* MERGEFORMAT </w:instrText>
      </w:r>
      <w:r w:rsidRPr="00E4511D">
        <w:rPr>
          <w:szCs w:val="20"/>
          <w:lang w:val="en-GB"/>
        </w:rPr>
      </w:r>
      <w:r w:rsidRPr="00E4511D">
        <w:rPr>
          <w:szCs w:val="20"/>
          <w:lang w:val="en-GB"/>
        </w:rPr>
        <w:fldChar w:fldCharType="separate"/>
      </w:r>
      <w:r w:rsidR="006A2E69">
        <w:rPr>
          <w:szCs w:val="20"/>
          <w:lang w:val="en-GB"/>
        </w:rPr>
        <w:t>95</w:t>
      </w:r>
      <w:r w:rsidRPr="00E4511D">
        <w:rPr>
          <w:szCs w:val="20"/>
          <w:lang w:val="en-GB"/>
        </w:rPr>
        <w:fldChar w:fldCharType="end"/>
      </w:r>
      <w:r w:rsidRPr="00E4511D">
        <w:rPr>
          <w:szCs w:val="20"/>
          <w:lang w:val="en-GB"/>
        </w:rPr>
        <w:t>).</w:t>
      </w:r>
    </w:p>
  </w:footnote>
  <w:footnote w:id="98">
    <w:p w14:paraId="7D0B84D1" w14:textId="77BA2D6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relevant part of the </w:t>
      </w:r>
      <w:r w:rsidRPr="00F66F3C">
        <w:rPr>
          <w:i/>
          <w:szCs w:val="20"/>
          <w:lang w:val="en-GB"/>
        </w:rPr>
        <w:t xml:space="preserve">Cour d’Appel’s </w:t>
      </w:r>
      <w:r w:rsidRPr="00F66F3C">
        <w:rPr>
          <w:szCs w:val="20"/>
          <w:lang w:val="en-GB"/>
        </w:rPr>
        <w:t xml:space="preserve">judgment can be found in the </w:t>
      </w:r>
      <w:r>
        <w:rPr>
          <w:szCs w:val="20"/>
          <w:lang w:val="en-GB"/>
        </w:rPr>
        <w:t>j</w:t>
      </w:r>
      <w:r w:rsidRPr="00F66F3C">
        <w:rPr>
          <w:szCs w:val="20"/>
          <w:lang w:val="en-GB"/>
        </w:rPr>
        <w:t xml:space="preserve">udgment of 9 April 2008 (n </w:t>
      </w:r>
      <w:r w:rsidRPr="00F66F3C">
        <w:rPr>
          <w:szCs w:val="20"/>
          <w:lang w:val="en-GB"/>
        </w:rPr>
        <w:fldChar w:fldCharType="begin"/>
      </w:r>
      <w:r w:rsidRPr="00F66F3C">
        <w:rPr>
          <w:szCs w:val="20"/>
          <w:lang w:val="en-GB"/>
        </w:rPr>
        <w:instrText xml:space="preserve"> NOTEREF _Ref494905651 \h  \* MERGEFORMAT </w:instrText>
      </w:r>
      <w:r w:rsidRPr="00F66F3C">
        <w:rPr>
          <w:szCs w:val="20"/>
          <w:lang w:val="en-GB"/>
        </w:rPr>
      </w:r>
      <w:r w:rsidRPr="00F66F3C">
        <w:rPr>
          <w:szCs w:val="20"/>
          <w:lang w:val="en-GB"/>
        </w:rPr>
        <w:fldChar w:fldCharType="separate"/>
      </w:r>
      <w:r w:rsidR="006A2E69">
        <w:rPr>
          <w:szCs w:val="20"/>
          <w:lang w:val="en-GB"/>
        </w:rPr>
        <w:t>95</w:t>
      </w:r>
      <w:r w:rsidRPr="00F66F3C">
        <w:rPr>
          <w:szCs w:val="20"/>
          <w:lang w:val="en-GB"/>
        </w:rPr>
        <w:fldChar w:fldCharType="end"/>
      </w:r>
      <w:r w:rsidRPr="00F66F3C">
        <w:rPr>
          <w:szCs w:val="20"/>
          <w:lang w:val="en-GB"/>
        </w:rPr>
        <w:t xml:space="preserve">). The </w:t>
      </w:r>
      <w:r w:rsidRPr="00F66F3C">
        <w:rPr>
          <w:i/>
          <w:iCs/>
          <w:szCs w:val="20"/>
          <w:lang w:val="en-GB"/>
        </w:rPr>
        <w:t xml:space="preserve">Cour de Cassation </w:t>
      </w:r>
      <w:r w:rsidRPr="00F66F3C">
        <w:rPr>
          <w:szCs w:val="20"/>
          <w:lang w:val="en-GB"/>
        </w:rPr>
        <w:t xml:space="preserve">turned down the appeal on other grounds but seems to have concluded that the </w:t>
      </w:r>
      <w:r w:rsidRPr="00F66F3C">
        <w:rPr>
          <w:i/>
          <w:iCs/>
          <w:szCs w:val="20"/>
          <w:lang w:val="en-GB"/>
        </w:rPr>
        <w:t xml:space="preserve">Cour d’Appel </w:t>
      </w:r>
      <w:r w:rsidRPr="00F66F3C">
        <w:rPr>
          <w:szCs w:val="20"/>
          <w:lang w:val="en-GB"/>
        </w:rPr>
        <w:t>had not been competent to deal with immunity and was moreover wrong, since the Director-General of Police was only entitled to official act immunity.</w:t>
      </w:r>
    </w:p>
  </w:footnote>
  <w:footnote w:id="99">
    <w:p w14:paraId="3DF352F1" w14:textId="67099994"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w:t>
      </w:r>
      <w:r w:rsidRPr="00F66F3C">
        <w:rPr>
          <w:i/>
          <w:szCs w:val="20"/>
          <w:lang w:val="en-GB"/>
        </w:rPr>
        <w:t>Certain Questions of Mutual Judicial Assistance in Criminal Matters (Djibouti v</w:t>
      </w:r>
      <w:r>
        <w:rPr>
          <w:i/>
          <w:szCs w:val="20"/>
          <w:lang w:val="en-GB"/>
        </w:rPr>
        <w:t>.</w:t>
      </w:r>
      <w:r w:rsidRPr="00F66F3C">
        <w:rPr>
          <w:i/>
          <w:szCs w:val="20"/>
          <w:lang w:val="en-GB"/>
        </w:rPr>
        <w:t xml:space="preserve"> France)</w:t>
      </w:r>
      <w:r>
        <w:rPr>
          <w:i/>
          <w:szCs w:val="20"/>
          <w:lang w:val="en-GB"/>
        </w:rPr>
        <w:t xml:space="preserve"> </w:t>
      </w:r>
      <w:r>
        <w:rPr>
          <w:szCs w:val="20"/>
          <w:lang w:val="en-GB"/>
        </w:rPr>
        <w:t xml:space="preserve">(Counter-Memorial of the French Republic), 13 July 2007, </w:t>
      </w:r>
      <w:hyperlink r:id="rId3" w:history="1">
        <w:r w:rsidRPr="00F54ED3">
          <w:rPr>
            <w:rStyle w:val="Hyperlink"/>
            <w:szCs w:val="20"/>
            <w:lang w:val="en-GB"/>
          </w:rPr>
          <w:t>http://www.icj-cij.org/en/case/136/written-proceedings</w:t>
        </w:r>
      </w:hyperlink>
      <w:r>
        <w:rPr>
          <w:szCs w:val="20"/>
          <w:lang w:val="en-GB"/>
        </w:rPr>
        <w:t xml:space="preserve">, para. 4.34. In the </w:t>
      </w:r>
      <w:r>
        <w:rPr>
          <w:i/>
          <w:szCs w:val="20"/>
          <w:lang w:val="en-GB"/>
        </w:rPr>
        <w:t xml:space="preserve">Case concerning </w:t>
      </w:r>
      <w:r w:rsidRPr="00F66F3C">
        <w:rPr>
          <w:i/>
          <w:szCs w:val="20"/>
          <w:lang w:val="en-GB"/>
        </w:rPr>
        <w:t xml:space="preserve">Immunities and Criminal Proceedings (Equatorial Guinea </w:t>
      </w:r>
      <w:r w:rsidRPr="004D5713">
        <w:rPr>
          <w:i/>
          <w:szCs w:val="20"/>
          <w:lang w:val="en-GB"/>
        </w:rPr>
        <w:t>v.</w:t>
      </w:r>
      <w:r w:rsidRPr="00F66F3C">
        <w:rPr>
          <w:i/>
          <w:szCs w:val="20"/>
          <w:lang w:val="en-GB"/>
        </w:rPr>
        <w:t xml:space="preserve"> France)</w:t>
      </w:r>
      <w:r w:rsidRPr="00F66F3C">
        <w:rPr>
          <w:szCs w:val="20"/>
          <w:lang w:val="en-GB"/>
        </w:rPr>
        <w:t xml:space="preserve"> (provisional measures) before the International Court of Justice, Counsel for France stated: </w:t>
      </w:r>
      <w:r>
        <w:rPr>
          <w:szCs w:val="20"/>
          <w:lang w:val="en-GB"/>
        </w:rPr>
        <w:t>‘</w:t>
      </w:r>
      <w:r w:rsidRPr="00E4511D">
        <w:rPr>
          <w:i/>
          <w:szCs w:val="20"/>
          <w:lang w:val="en-GB"/>
        </w:rPr>
        <w:t>il</w:t>
      </w:r>
      <w:r w:rsidRPr="00E4511D">
        <w:rPr>
          <w:szCs w:val="20"/>
          <w:lang w:val="en-GB"/>
        </w:rPr>
        <w:t xml:space="preserve"> [the Vice-President of the Republic of Equatorial Guinea] </w:t>
      </w:r>
      <w:r w:rsidRPr="00E4511D">
        <w:rPr>
          <w:i/>
          <w:szCs w:val="20"/>
          <w:lang w:val="en-GB"/>
        </w:rPr>
        <w:t>peut parfaitement se déplacer à titre officiel dans le cadre d’une mission diplomatique spéciale, car il bénéficiera alors d’une immunité conformément au droit international</w:t>
      </w:r>
      <w:r>
        <w:rPr>
          <w:szCs w:val="20"/>
          <w:lang w:val="en-GB"/>
        </w:rPr>
        <w:t xml:space="preserve">’ ((Verbatim Record), 18 October 2016, </w:t>
      </w:r>
      <w:r w:rsidRPr="00F66F3C">
        <w:rPr>
          <w:bCs/>
          <w:iCs/>
          <w:szCs w:val="20"/>
          <w:lang w:val="en-GB"/>
        </w:rPr>
        <w:t>CR 2016/15</w:t>
      </w:r>
      <w:r>
        <w:rPr>
          <w:bCs/>
          <w:iCs/>
          <w:szCs w:val="20"/>
          <w:lang w:val="en-GB"/>
        </w:rPr>
        <w:t xml:space="preserve">, </w:t>
      </w:r>
      <w:r w:rsidRPr="00F66F3C">
        <w:rPr>
          <w:szCs w:val="20"/>
          <w:lang w:val="en-GB"/>
        </w:rPr>
        <w:t>37</w:t>
      </w:r>
      <w:r>
        <w:rPr>
          <w:szCs w:val="20"/>
          <w:lang w:val="en-GB"/>
        </w:rPr>
        <w:t>, para.</w:t>
      </w:r>
      <w:r w:rsidRPr="00F66F3C">
        <w:rPr>
          <w:szCs w:val="20"/>
          <w:lang w:val="en-GB"/>
        </w:rPr>
        <w:t xml:space="preserve"> 19</w:t>
      </w:r>
      <w:r>
        <w:rPr>
          <w:szCs w:val="20"/>
          <w:lang w:val="en-GB"/>
        </w:rPr>
        <w:t xml:space="preserve"> (</w:t>
      </w:r>
      <w:r w:rsidRPr="00F66F3C">
        <w:rPr>
          <w:szCs w:val="20"/>
          <w:lang w:val="en-GB"/>
        </w:rPr>
        <w:t>Ascensio)</w:t>
      </w:r>
      <w:r>
        <w:rPr>
          <w:szCs w:val="20"/>
          <w:lang w:val="en-GB"/>
        </w:rPr>
        <w:t>)</w:t>
      </w:r>
      <w:r w:rsidRPr="00F66F3C">
        <w:rPr>
          <w:szCs w:val="20"/>
          <w:lang w:val="en-GB"/>
        </w:rPr>
        <w:t>.</w:t>
      </w:r>
      <w:r>
        <w:rPr>
          <w:szCs w:val="20"/>
          <w:lang w:val="en-GB"/>
        </w:rPr>
        <w:t xml:space="preserve"> See also, 19 October 2016, CR 2016/17, 16,</w:t>
      </w:r>
      <w:r w:rsidRPr="00F66F3C">
        <w:rPr>
          <w:szCs w:val="20"/>
          <w:lang w:val="en-GB"/>
        </w:rPr>
        <w:t xml:space="preserve"> </w:t>
      </w:r>
      <w:r>
        <w:rPr>
          <w:szCs w:val="20"/>
          <w:lang w:val="en-GB"/>
        </w:rPr>
        <w:t>para. 12 (Ascensio).</w:t>
      </w:r>
      <w:r w:rsidRPr="00F66F3C">
        <w:rPr>
          <w:szCs w:val="20"/>
          <w:lang w:val="en-GB"/>
        </w:rPr>
        <w:t xml:space="preserve"> </w:t>
      </w:r>
    </w:p>
  </w:footnote>
  <w:footnote w:id="100">
    <w:p w14:paraId="2918CFE5" w14:textId="2FA8BCBD" w:rsidR="00CA7C77" w:rsidRPr="0009527A" w:rsidRDefault="00CA7C77" w:rsidP="00F66F3C">
      <w:pPr>
        <w:pStyle w:val="FootnoteText"/>
        <w:rPr>
          <w:szCs w:val="20"/>
          <w:lang w:val="en-GB"/>
        </w:rPr>
      </w:pPr>
      <w:r w:rsidRPr="0009527A">
        <w:rPr>
          <w:rStyle w:val="FootnoteReference"/>
          <w:sz w:val="20"/>
          <w:szCs w:val="20"/>
          <w:lang w:val="en-GB"/>
        </w:rPr>
        <w:footnoteRef/>
      </w:r>
      <w:r w:rsidRPr="0009527A">
        <w:rPr>
          <w:szCs w:val="20"/>
          <w:lang w:val="en-GB"/>
        </w:rPr>
        <w:t xml:space="preserve"> Germany, Federal Supreme Court, </w:t>
      </w:r>
      <w:r w:rsidRPr="0009527A">
        <w:rPr>
          <w:i/>
          <w:szCs w:val="20"/>
          <w:lang w:val="en-GB"/>
        </w:rPr>
        <w:t>Tabatabai</w:t>
      </w:r>
      <w:r w:rsidRPr="0009527A">
        <w:rPr>
          <w:szCs w:val="20"/>
          <w:lang w:val="en-GB"/>
        </w:rPr>
        <w:t xml:space="preserve"> Case, 27 February 1984, 80 ILR 388, 411.</w:t>
      </w:r>
    </w:p>
  </w:footnote>
  <w:footnote w:id="101">
    <w:p w14:paraId="533F386A" w14:textId="301160A5" w:rsidR="00CA7C77" w:rsidRPr="0009527A" w:rsidRDefault="00CA7C77" w:rsidP="00F66F3C">
      <w:pPr>
        <w:pStyle w:val="FootnoteText"/>
        <w:rPr>
          <w:szCs w:val="20"/>
          <w:lang w:val="en-GB"/>
        </w:rPr>
      </w:pPr>
      <w:r w:rsidRPr="0009527A">
        <w:rPr>
          <w:rStyle w:val="FootnoteReference"/>
          <w:sz w:val="20"/>
          <w:szCs w:val="20"/>
          <w:lang w:val="en-GB"/>
        </w:rPr>
        <w:footnoteRef/>
      </w:r>
      <w:r w:rsidRPr="0009527A">
        <w:rPr>
          <w:szCs w:val="20"/>
          <w:lang w:val="en-GB"/>
        </w:rPr>
        <w:t xml:space="preserve"> See V. Thalmann, ‘French Justice’s Endeavours to Substitute for the ICTR’ (2008) 6 </w:t>
      </w:r>
      <w:r w:rsidRPr="0009527A">
        <w:rPr>
          <w:i/>
          <w:iCs/>
          <w:szCs w:val="20"/>
          <w:lang w:val="en-GB"/>
        </w:rPr>
        <w:t>Journal of International Criminal Justice</w:t>
      </w:r>
      <w:r w:rsidRPr="0009527A">
        <w:rPr>
          <w:iCs/>
          <w:szCs w:val="20"/>
          <w:lang w:val="en-GB"/>
        </w:rPr>
        <w:t>,</w:t>
      </w:r>
      <w:r w:rsidRPr="0009527A">
        <w:rPr>
          <w:i/>
          <w:iCs/>
          <w:szCs w:val="20"/>
          <w:lang w:val="en-GB"/>
        </w:rPr>
        <w:t xml:space="preserve"> </w:t>
      </w:r>
      <w:r w:rsidRPr="0009527A">
        <w:rPr>
          <w:szCs w:val="20"/>
          <w:lang w:val="en-GB"/>
        </w:rPr>
        <w:t>995-1002.</w:t>
      </w:r>
    </w:p>
  </w:footnote>
  <w:footnote w:id="102">
    <w:p w14:paraId="3B6421FC" w14:textId="79739A2D" w:rsidR="00CA7C77" w:rsidRPr="00F66F3C" w:rsidRDefault="00CA7C77" w:rsidP="00F66F3C">
      <w:pPr>
        <w:pStyle w:val="FootnoteText"/>
        <w:rPr>
          <w:szCs w:val="20"/>
          <w:lang w:val="en-GB"/>
        </w:rPr>
      </w:pPr>
      <w:r w:rsidRPr="0009527A">
        <w:rPr>
          <w:rStyle w:val="FootnoteReference"/>
          <w:sz w:val="20"/>
          <w:szCs w:val="20"/>
          <w:lang w:val="en-GB"/>
        </w:rPr>
        <w:footnoteRef/>
      </w:r>
      <w:r w:rsidRPr="0009527A">
        <w:rPr>
          <w:szCs w:val="20"/>
          <w:lang w:val="en-GB"/>
        </w:rPr>
        <w:t xml:space="preserve"> </w:t>
      </w:r>
      <w:r w:rsidR="0009527A" w:rsidRPr="0009527A">
        <w:rPr>
          <w:szCs w:val="20"/>
          <w:lang w:val="en-GB"/>
        </w:rPr>
        <w:t xml:space="preserve">Germany, Higher Administrative Court Berlin-Brandenburg, </w:t>
      </w:r>
      <w:r w:rsidR="0009527A" w:rsidRPr="0009527A">
        <w:rPr>
          <w:i/>
          <w:szCs w:val="20"/>
          <w:lang w:val="en-GB"/>
        </w:rPr>
        <w:t>Vietnamese National Case</w:t>
      </w:r>
      <w:r w:rsidR="0009527A" w:rsidRPr="0009527A">
        <w:rPr>
          <w:szCs w:val="20"/>
          <w:lang w:val="en-GB"/>
        </w:rPr>
        <w:t>, Case No. OVG 8 S 39.06, 15 June 2006</w:t>
      </w:r>
      <w:r w:rsidR="0009527A">
        <w:rPr>
          <w:szCs w:val="20"/>
          <w:lang w:val="en-GB"/>
        </w:rPr>
        <w:t xml:space="preserve"> </w:t>
      </w:r>
      <w:r w:rsidRPr="00F66F3C">
        <w:rPr>
          <w:szCs w:val="20"/>
          <w:lang w:val="en-GB"/>
        </w:rPr>
        <w:t>(overturning a decision of the Administrative Court Berlin).</w:t>
      </w:r>
    </w:p>
  </w:footnote>
  <w:footnote w:id="103">
    <w:p w14:paraId="7E3DF9F2" w14:textId="7D2DF150" w:rsidR="00CA7C77" w:rsidRPr="0014360C" w:rsidRDefault="00CA7C77" w:rsidP="00F66F3C">
      <w:pPr>
        <w:pStyle w:val="FootnoteText"/>
        <w:rPr>
          <w:szCs w:val="20"/>
          <w:lang w:val="de-DE"/>
        </w:rPr>
      </w:pPr>
      <w:r w:rsidRPr="00F66F3C">
        <w:rPr>
          <w:rStyle w:val="FootnoteReference"/>
          <w:sz w:val="20"/>
          <w:szCs w:val="20"/>
          <w:lang w:val="en-GB"/>
        </w:rPr>
        <w:footnoteRef/>
      </w:r>
      <w:r w:rsidRPr="0014360C">
        <w:rPr>
          <w:szCs w:val="20"/>
          <w:lang w:val="de-DE"/>
        </w:rPr>
        <w:t xml:space="preserve"> See</w:t>
      </w:r>
      <w:r w:rsidR="0009527A" w:rsidRPr="0014360C">
        <w:rPr>
          <w:szCs w:val="20"/>
          <w:lang w:val="de-DE"/>
        </w:rPr>
        <w:t>:</w:t>
      </w:r>
      <w:r w:rsidRPr="0014360C">
        <w:rPr>
          <w:szCs w:val="20"/>
          <w:lang w:val="de-DE"/>
        </w:rPr>
        <w:t xml:space="preserve"> Rundschreiben vom 15.09.15 Zur Behandlung von Diplomaten und anderen bevorrechtigten Personen in der Bundesrepublik Deutschland, GMBL vom 19.11.2015, S. 1206ff. (1210),</w:t>
      </w:r>
    </w:p>
    <w:p w14:paraId="0174FEE2" w14:textId="21977875" w:rsidR="00CA7C77" w:rsidRPr="0014360C" w:rsidRDefault="00D01A10" w:rsidP="00F66F3C">
      <w:pPr>
        <w:pStyle w:val="FootnoteText"/>
        <w:rPr>
          <w:szCs w:val="20"/>
          <w:lang w:val="de-DE"/>
        </w:rPr>
      </w:pPr>
      <w:hyperlink r:id="rId4" w:history="1">
        <w:r w:rsidR="0009527A" w:rsidRPr="0014360C">
          <w:rPr>
            <w:rStyle w:val="Hyperlink"/>
            <w:szCs w:val="20"/>
            <w:lang w:val="de-DE"/>
          </w:rPr>
          <w:t>http://www.auswaertiges-amt.de/cae/servlet/contentblob/669230/publicationFile/189128/Rundschreiben_Beh_Diplomaten.pdf</w:t>
        </w:r>
      </w:hyperlink>
      <w:r w:rsidR="0009527A" w:rsidRPr="0014360C">
        <w:rPr>
          <w:szCs w:val="20"/>
          <w:lang w:val="de-DE"/>
        </w:rPr>
        <w:t xml:space="preserve">. </w:t>
      </w:r>
    </w:p>
  </w:footnote>
  <w:footnote w:id="104">
    <w:p w14:paraId="78C0537B" w14:textId="00D4249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w:t>
      </w:r>
      <w:r w:rsidR="0009527A">
        <w:rPr>
          <w:szCs w:val="20"/>
          <w:lang w:val="en-GB"/>
        </w:rPr>
        <w:t xml:space="preserve">United Kingdom, </w:t>
      </w:r>
      <w:r w:rsidR="003F6699">
        <w:rPr>
          <w:szCs w:val="20"/>
          <w:lang w:val="en-GB"/>
        </w:rPr>
        <w:t xml:space="preserve">England and Wales </w:t>
      </w:r>
      <w:r w:rsidR="0009527A">
        <w:rPr>
          <w:szCs w:val="20"/>
          <w:lang w:val="en-GB"/>
        </w:rPr>
        <w:t xml:space="preserve">High Court of Justice, </w:t>
      </w:r>
      <w:r w:rsidR="003F6699">
        <w:rPr>
          <w:szCs w:val="20"/>
          <w:lang w:val="en-GB"/>
        </w:rPr>
        <w:t>Qu</w:t>
      </w:r>
      <w:r w:rsidR="0009527A">
        <w:rPr>
          <w:szCs w:val="20"/>
          <w:lang w:val="en-GB"/>
        </w:rPr>
        <w:t xml:space="preserve">een’s Bench Division, </w:t>
      </w:r>
      <w:r w:rsidR="0009527A">
        <w:rPr>
          <w:i/>
          <w:szCs w:val="20"/>
          <w:lang w:val="en-GB"/>
        </w:rPr>
        <w:t>Khurts</w:t>
      </w:r>
      <w:r w:rsidR="00DD3C4C">
        <w:rPr>
          <w:i/>
          <w:szCs w:val="20"/>
          <w:lang w:val="en-GB"/>
        </w:rPr>
        <w:t xml:space="preserve"> </w:t>
      </w:r>
      <w:r w:rsidR="003F6699">
        <w:rPr>
          <w:i/>
          <w:szCs w:val="20"/>
          <w:lang w:val="en-GB"/>
        </w:rPr>
        <w:t>Bat v. Investigating Judge of the German Federal Court and others</w:t>
      </w:r>
      <w:r w:rsidR="003F6699">
        <w:rPr>
          <w:szCs w:val="20"/>
          <w:lang w:val="en-GB"/>
        </w:rPr>
        <w:t>, Case No. 2029, 29 July 2007, [2011] EWHC 2029 (Admin), [2013] QB 349, 361.</w:t>
      </w:r>
    </w:p>
  </w:footnote>
  <w:footnote w:id="105">
    <w:p w14:paraId="25486B00" w14:textId="34C5C82B"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CAVV is an independent body that advises the Government, the House of Representative and the Senate of the Netherlands on issues of international law. </w:t>
      </w:r>
    </w:p>
  </w:footnote>
  <w:footnote w:id="106">
    <w:p w14:paraId="663DA834" w14:textId="7A2D3E8E" w:rsidR="00CA7C77" w:rsidRPr="000003B9"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0003B9" w:rsidRPr="00F66F3C">
        <w:rPr>
          <w:szCs w:val="20"/>
          <w:lang w:val="en-GB"/>
        </w:rPr>
        <w:t>Advisory Committee on Issues of Public International Law (</w:t>
      </w:r>
      <w:r w:rsidR="000003B9" w:rsidRPr="00F66F3C">
        <w:rPr>
          <w:i/>
          <w:szCs w:val="20"/>
          <w:lang w:val="en-GB"/>
        </w:rPr>
        <w:t>Commissie van advies inzake volkenrechtelijke vraagstukken</w:t>
      </w:r>
      <w:r w:rsidR="000003B9" w:rsidRPr="00F66F3C">
        <w:rPr>
          <w:szCs w:val="20"/>
          <w:lang w:val="en-GB"/>
        </w:rPr>
        <w:t xml:space="preserve">, CAVV), </w:t>
      </w:r>
      <w:r w:rsidR="000003B9">
        <w:rPr>
          <w:szCs w:val="20"/>
          <w:lang w:val="en-GB"/>
        </w:rPr>
        <w:t>‘</w:t>
      </w:r>
      <w:r w:rsidR="000003B9" w:rsidRPr="007A2AFE">
        <w:rPr>
          <w:szCs w:val="20"/>
          <w:lang w:val="en-GB"/>
        </w:rPr>
        <w:t>Advisory Report on the Immunity of Foreign State Officials</w:t>
      </w:r>
      <w:r w:rsidR="000003B9">
        <w:rPr>
          <w:szCs w:val="20"/>
          <w:lang w:val="en-GB"/>
        </w:rPr>
        <w:t>’</w:t>
      </w:r>
      <w:r w:rsidR="000003B9" w:rsidRPr="007A2AFE">
        <w:rPr>
          <w:szCs w:val="20"/>
          <w:lang w:val="en-GB"/>
        </w:rPr>
        <w:t>, No. 20</w:t>
      </w:r>
      <w:r w:rsidR="000003B9" w:rsidRPr="00F66F3C">
        <w:rPr>
          <w:szCs w:val="20"/>
          <w:lang w:val="en-GB"/>
        </w:rPr>
        <w:t>, 2011.</w:t>
      </w:r>
    </w:p>
  </w:footnote>
  <w:footnote w:id="107">
    <w:p w14:paraId="666ABE7C" w14:textId="3DEA2BA1" w:rsidR="00CA7C77" w:rsidRPr="00F66F3C" w:rsidRDefault="00CA7C77" w:rsidP="00F66F3C">
      <w:pPr>
        <w:pStyle w:val="FootnoteText"/>
        <w:rPr>
          <w:szCs w:val="20"/>
          <w:lang w:val="en-GB"/>
        </w:rPr>
      </w:pPr>
      <w:r w:rsidRPr="00F66F3C">
        <w:rPr>
          <w:rStyle w:val="FootnoteReference"/>
          <w:sz w:val="20"/>
          <w:szCs w:val="20"/>
          <w:lang w:val="en-GB"/>
        </w:rPr>
        <w:footnoteRef/>
      </w:r>
      <w:r w:rsidR="000003B9">
        <w:rPr>
          <w:szCs w:val="20"/>
          <w:lang w:val="en-GB"/>
        </w:rPr>
        <w:t xml:space="preserve"> Ibid.</w:t>
      </w:r>
      <w:r w:rsidRPr="00F66F3C">
        <w:rPr>
          <w:szCs w:val="20"/>
          <w:lang w:val="en-GB"/>
        </w:rPr>
        <w:t>, 31.</w:t>
      </w:r>
      <w:r w:rsidR="005E2C6F">
        <w:rPr>
          <w:szCs w:val="20"/>
          <w:lang w:val="en-GB"/>
        </w:rPr>
        <w:t xml:space="preserve"> </w:t>
      </w:r>
      <w:r w:rsidRPr="00F66F3C">
        <w:rPr>
          <w:szCs w:val="20"/>
          <w:lang w:val="en-GB"/>
        </w:rPr>
        <w:t>See also</w:t>
      </w:r>
      <w:r w:rsidR="000003B9">
        <w:rPr>
          <w:szCs w:val="20"/>
          <w:lang w:val="en-GB"/>
        </w:rPr>
        <w:t>, at</w:t>
      </w:r>
      <w:r w:rsidRPr="00F66F3C">
        <w:rPr>
          <w:szCs w:val="20"/>
          <w:lang w:val="en-GB"/>
        </w:rPr>
        <w:t xml:space="preserve"> 3</w:t>
      </w:r>
      <w:r w:rsidR="000003B9">
        <w:rPr>
          <w:szCs w:val="20"/>
          <w:lang w:val="en-GB"/>
        </w:rPr>
        <w:t>4: ‘</w:t>
      </w:r>
      <w:r w:rsidRPr="00F66F3C">
        <w:rPr>
          <w:szCs w:val="20"/>
          <w:lang w:val="en-GB"/>
        </w:rPr>
        <w:t>[i]f a representative of a State pays an official visit to another State, this person should, in the opinion of the CAVV, be able to claim full immunity, even in cases concerning international crimes</w:t>
      </w:r>
      <w:r w:rsidR="000003B9">
        <w:rPr>
          <w:szCs w:val="20"/>
          <w:lang w:val="en-GB"/>
        </w:rPr>
        <w:t xml:space="preserve">. </w:t>
      </w:r>
      <w:r w:rsidRPr="00F66F3C">
        <w:rPr>
          <w:szCs w:val="20"/>
          <w:lang w:val="en-GB"/>
        </w:rPr>
        <w:t>… The CAVV bases the granting of immunity in such cases on customary international law</w:t>
      </w:r>
      <w:r w:rsidR="000003B9">
        <w:rPr>
          <w:szCs w:val="20"/>
          <w:lang w:val="en-GB"/>
        </w:rPr>
        <w:t>.’</w:t>
      </w:r>
    </w:p>
  </w:footnote>
  <w:footnote w:id="108">
    <w:p w14:paraId="281A94F5" w14:textId="0ED7116F" w:rsidR="00CA7C77" w:rsidRPr="00F66F3C" w:rsidRDefault="00CA7C77" w:rsidP="00F66F3C">
      <w:pPr>
        <w:pStyle w:val="FootnoteText"/>
        <w:rPr>
          <w:szCs w:val="20"/>
          <w:lang w:val="en-GB"/>
        </w:rPr>
      </w:pPr>
      <w:r w:rsidRPr="009B5B30">
        <w:rPr>
          <w:rStyle w:val="FootnoteReference"/>
          <w:sz w:val="20"/>
          <w:szCs w:val="20"/>
          <w:lang w:val="en-GB"/>
        </w:rPr>
        <w:footnoteRef/>
      </w:r>
      <w:r w:rsidRPr="009B5B30">
        <w:rPr>
          <w:szCs w:val="20"/>
          <w:lang w:val="en-GB"/>
        </w:rPr>
        <w:t xml:space="preserve"> </w:t>
      </w:r>
      <w:r w:rsidR="00796BCB" w:rsidRPr="009B5B30">
        <w:rPr>
          <w:szCs w:val="20"/>
          <w:lang w:val="en-GB"/>
        </w:rPr>
        <w:t>The Netherlands, Ministry of Foreign Affairs, ‘</w:t>
      </w:r>
      <w:r w:rsidR="00796BCB" w:rsidRPr="009B5B30">
        <w:rPr>
          <w:i/>
          <w:szCs w:val="20"/>
          <w:lang w:val="en-GB"/>
        </w:rPr>
        <w:t>Regeringsreactie op CAVV Advies Nr. 20, inzake de immuniteit van buitenlandse ambtsdragers</w:t>
      </w:r>
      <w:r w:rsidR="00796BCB" w:rsidRPr="009B5B30">
        <w:rPr>
          <w:szCs w:val="20"/>
          <w:lang w:val="en-GB"/>
        </w:rPr>
        <w:t xml:space="preserve">’, 19 October 2011, </w:t>
      </w:r>
      <w:r w:rsidR="009B5B30" w:rsidRPr="009B5B30">
        <w:rPr>
          <w:szCs w:val="20"/>
          <w:lang w:val="en-GB"/>
        </w:rPr>
        <w:t>House of Representatives, 2011-2012, 33000-V, No. 9, 5</w:t>
      </w:r>
      <w:r w:rsidR="00B570D6">
        <w:rPr>
          <w:szCs w:val="20"/>
          <w:lang w:val="en-GB"/>
        </w:rPr>
        <w:t xml:space="preserve"> (for an unofficial </w:t>
      </w:r>
      <w:r w:rsidR="00B570D6" w:rsidRPr="00B570D6">
        <w:rPr>
          <w:szCs w:val="20"/>
          <w:lang w:val="en-GB"/>
        </w:rPr>
        <w:t>English translation</w:t>
      </w:r>
      <w:r w:rsidR="00B570D6">
        <w:rPr>
          <w:szCs w:val="20"/>
          <w:lang w:val="en-GB"/>
        </w:rPr>
        <w:t xml:space="preserve">, see: </w:t>
      </w:r>
      <w:r w:rsidR="00B570D6" w:rsidRPr="00B570D6">
        <w:rPr>
          <w:szCs w:val="20"/>
          <w:lang w:val="en-GB"/>
        </w:rPr>
        <w:t xml:space="preserve"> </w:t>
      </w:r>
      <w:hyperlink r:id="rId5" w:history="1">
        <w:r w:rsidR="00B570D6" w:rsidRPr="00B570D6">
          <w:rPr>
            <w:rStyle w:val="Hyperlink"/>
            <w:szCs w:val="20"/>
            <w:lang w:val="en-GB"/>
          </w:rPr>
          <w:t>http://cms.webbeat.net/ContentSuite/upload/cav/doc/Advice_nr__20_-_government_response_to_advice_on_immunity_foreign_state_officials.pdf</w:t>
        </w:r>
      </w:hyperlink>
      <w:r w:rsidR="00B570D6">
        <w:rPr>
          <w:szCs w:val="20"/>
          <w:lang w:val="en-GB"/>
        </w:rPr>
        <w:t>).</w:t>
      </w:r>
    </w:p>
  </w:footnote>
  <w:footnote w:id="109">
    <w:p w14:paraId="111B6378" w14:textId="274AA7B6" w:rsidR="00CA7C77" w:rsidRPr="00E41673" w:rsidRDefault="00CA7C77" w:rsidP="00F66F3C">
      <w:pPr>
        <w:pStyle w:val="FootnoteText"/>
        <w:rPr>
          <w:szCs w:val="20"/>
          <w:lang w:val="fr-FR"/>
        </w:rPr>
      </w:pPr>
      <w:r w:rsidRPr="00F66F3C">
        <w:rPr>
          <w:rStyle w:val="FootnoteReference"/>
          <w:sz w:val="20"/>
          <w:szCs w:val="20"/>
          <w:lang w:val="en-GB"/>
        </w:rPr>
        <w:footnoteRef/>
      </w:r>
      <w:r w:rsidRPr="00E41673">
        <w:rPr>
          <w:szCs w:val="20"/>
          <w:lang w:val="fr-FR"/>
        </w:rPr>
        <w:t xml:space="preserve"> </w:t>
      </w:r>
      <w:r w:rsidR="00E41673" w:rsidRPr="00E41673">
        <w:rPr>
          <w:szCs w:val="20"/>
          <w:lang w:val="fr-FR"/>
        </w:rPr>
        <w:t>CAHDI Replies to Questionnaire</w:t>
      </w:r>
      <w:r w:rsidR="00E41673" w:rsidRPr="00E41673" w:rsidDel="00CB0591">
        <w:rPr>
          <w:szCs w:val="20"/>
          <w:lang w:val="fr-FR"/>
        </w:rPr>
        <w:t xml:space="preserve"> </w:t>
      </w:r>
      <w:r w:rsidR="00E41673" w:rsidRPr="00E41673">
        <w:rPr>
          <w:szCs w:val="20"/>
          <w:lang w:val="fr-FR"/>
        </w:rPr>
        <w:t xml:space="preserve">(n </w:t>
      </w:r>
      <w:r w:rsidR="00E41673" w:rsidRPr="00F66F3C">
        <w:rPr>
          <w:szCs w:val="20"/>
          <w:lang w:val="en-GB"/>
        </w:rPr>
        <w:fldChar w:fldCharType="begin"/>
      </w:r>
      <w:r w:rsidR="00E41673" w:rsidRPr="00E41673">
        <w:rPr>
          <w:szCs w:val="20"/>
          <w:lang w:val="fr-FR"/>
        </w:rPr>
        <w:instrText xml:space="preserve"> NOTEREF _Ref364844973 \h  \* MERGEFORMAT </w:instrText>
      </w:r>
      <w:r w:rsidR="00E41673" w:rsidRPr="00F66F3C">
        <w:rPr>
          <w:szCs w:val="20"/>
          <w:lang w:val="en-GB"/>
        </w:rPr>
      </w:r>
      <w:r w:rsidR="00E41673" w:rsidRPr="00F66F3C">
        <w:rPr>
          <w:szCs w:val="20"/>
          <w:lang w:val="en-GB"/>
        </w:rPr>
        <w:fldChar w:fldCharType="separate"/>
      </w:r>
      <w:r w:rsidR="006A2E69">
        <w:rPr>
          <w:szCs w:val="20"/>
          <w:lang w:val="fr-FR"/>
        </w:rPr>
        <w:t>33</w:t>
      </w:r>
      <w:r w:rsidR="00E41673" w:rsidRPr="00F66F3C">
        <w:rPr>
          <w:szCs w:val="20"/>
          <w:lang w:val="en-GB"/>
        </w:rPr>
        <w:fldChar w:fldCharType="end"/>
      </w:r>
      <w:r w:rsidR="00E41673" w:rsidRPr="00E41673">
        <w:rPr>
          <w:szCs w:val="20"/>
          <w:lang w:val="fr-FR"/>
        </w:rPr>
        <w:t>),</w:t>
      </w:r>
      <w:r w:rsidR="00E41673">
        <w:rPr>
          <w:szCs w:val="20"/>
          <w:lang w:val="fr-FR"/>
        </w:rPr>
        <w:t xml:space="preserve"> 94.</w:t>
      </w:r>
    </w:p>
  </w:footnote>
  <w:footnote w:id="110">
    <w:p w14:paraId="425C75B4" w14:textId="7ADCE67A"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w:t>
      </w:r>
      <w:r w:rsidR="00E41673">
        <w:rPr>
          <w:szCs w:val="20"/>
          <w:lang w:val="en-GB"/>
        </w:rPr>
        <w:t xml:space="preserve">Art. 141 of the </w:t>
      </w:r>
      <w:r w:rsidRPr="00F66F3C">
        <w:rPr>
          <w:rFonts w:eastAsia="Calibri"/>
          <w:szCs w:val="20"/>
          <w:lang w:val="en-GB"/>
        </w:rPr>
        <w:t>Criminal Procedure Act</w:t>
      </w:r>
      <w:r w:rsidR="00E41673">
        <w:rPr>
          <w:rFonts w:eastAsia="Calibri"/>
          <w:szCs w:val="20"/>
          <w:lang w:val="en-GB"/>
        </w:rPr>
        <w:t xml:space="preserve"> </w:t>
      </w:r>
      <w:r w:rsidRPr="00F66F3C">
        <w:rPr>
          <w:rFonts w:eastAsia="Calibri"/>
          <w:szCs w:val="20"/>
          <w:lang w:val="en-GB"/>
        </w:rPr>
        <w:t>and</w:t>
      </w:r>
      <w:r w:rsidR="00E41673">
        <w:rPr>
          <w:rFonts w:eastAsia="Calibri"/>
          <w:szCs w:val="20"/>
          <w:lang w:val="en-GB"/>
        </w:rPr>
        <w:t xml:space="preserve"> Art. 28 of the</w:t>
      </w:r>
      <w:r w:rsidRPr="00F66F3C">
        <w:rPr>
          <w:rFonts w:eastAsia="Calibri"/>
          <w:szCs w:val="20"/>
          <w:lang w:val="en-GB"/>
        </w:rPr>
        <w:t xml:space="preserve"> Civil Procedure Act, available in </w:t>
      </w:r>
      <w:r w:rsidRPr="00F66F3C">
        <w:rPr>
          <w:szCs w:val="20"/>
          <w:lang w:val="en-GB"/>
        </w:rPr>
        <w:t>CAHDI Replies to Questionnaire</w:t>
      </w:r>
      <w:r w:rsidRPr="00F66F3C" w:rsidDel="00CB0591">
        <w:rPr>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 93.</w:t>
      </w:r>
    </w:p>
  </w:footnote>
  <w:footnote w:id="111">
    <w:p w14:paraId="1F1731A8" w14:textId="1D2A75CA"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F66F3C">
        <w:rPr>
          <w:rFonts w:eastAsia="Calibri"/>
          <w:szCs w:val="20"/>
          <w:lang w:val="en-GB"/>
        </w:rPr>
        <w:t>Section 4(2) of the South African Diplomatic Immunities and Privileges Act 37 of 2001, as amended by the Diplomatic Immunities and Privileges Amendment Act 35 of 2008, available at</w:t>
      </w:r>
      <w:r w:rsidRPr="00F66F3C">
        <w:rPr>
          <w:szCs w:val="20"/>
          <w:lang w:val="en-GB"/>
        </w:rPr>
        <w:t xml:space="preserve"> </w:t>
      </w:r>
      <w:hyperlink r:id="rId6" w:history="1">
        <w:r w:rsidRPr="00F66F3C">
          <w:rPr>
            <w:rStyle w:val="Hyperlink"/>
            <w:rFonts w:eastAsia="Calibri"/>
            <w:szCs w:val="20"/>
            <w:lang w:val="en-GB"/>
          </w:rPr>
          <w:t>http://www.dirco.gov.za/chiefstatelawadvicer/documents/acts/diplomaticimmunitiesandprivilegesact.pdf</w:t>
        </w:r>
      </w:hyperlink>
      <w:r w:rsidRPr="00F66F3C">
        <w:rPr>
          <w:szCs w:val="20"/>
          <w:lang w:val="en-GB"/>
        </w:rPr>
        <w:t xml:space="preserve">. Section 4(3) also requires that </w:t>
      </w:r>
      <w:r w:rsidR="00E41673">
        <w:rPr>
          <w:szCs w:val="20"/>
          <w:lang w:val="en-GB"/>
        </w:rPr>
        <w:t>‘</w:t>
      </w:r>
      <w:r w:rsidRPr="00F66F3C">
        <w:rPr>
          <w:szCs w:val="20"/>
          <w:lang w:val="en-GB"/>
        </w:rPr>
        <w:t>[t]he Minister must by notice in the [Government] Gazette recognise a special envoy or representative for the purposes of subsection (2)</w:t>
      </w:r>
      <w:r w:rsidR="00E41673">
        <w:rPr>
          <w:szCs w:val="20"/>
          <w:lang w:val="en-GB"/>
        </w:rPr>
        <w:t>’</w:t>
      </w:r>
      <w:r w:rsidRPr="00F66F3C">
        <w:rPr>
          <w:szCs w:val="20"/>
          <w:lang w:val="en-GB"/>
        </w:rPr>
        <w:t>.</w:t>
      </w:r>
    </w:p>
  </w:footnote>
  <w:footnote w:id="112">
    <w:p w14:paraId="128A18DF" w14:textId="77777777" w:rsidR="00CA7C77" w:rsidRPr="00F66F3C" w:rsidRDefault="00CA7C77" w:rsidP="00221DC1">
      <w:pPr>
        <w:pStyle w:val="FootnoteText"/>
        <w:rPr>
          <w:szCs w:val="20"/>
          <w:lang w:val="en-GB"/>
        </w:rPr>
      </w:pPr>
      <w:r w:rsidRPr="00F66F3C">
        <w:rPr>
          <w:rStyle w:val="FootnoteReference"/>
          <w:sz w:val="20"/>
          <w:szCs w:val="20"/>
          <w:lang w:val="en-GB"/>
        </w:rPr>
        <w:footnoteRef/>
      </w:r>
      <w:r w:rsidRPr="00F66F3C">
        <w:rPr>
          <w:szCs w:val="20"/>
          <w:lang w:val="en-GB"/>
        </w:rPr>
        <w:t xml:space="preserve"> In English: Organic Law 16/2015, of October 27th, about privileges and immunities of foreign States, International Organizations with headquarters in Spain, and international conferences and meetings celebrated in Spain. </w:t>
      </w:r>
    </w:p>
  </w:footnote>
  <w:footnote w:id="113">
    <w:p w14:paraId="57E1EE6B" w14:textId="14B07B0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CAHDI Replies to Questionnaire</w:t>
      </w:r>
      <w:r w:rsidRPr="00F66F3C" w:rsidDel="00CB0591">
        <w:rPr>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w:t>
      </w:r>
    </w:p>
  </w:footnote>
  <w:footnote w:id="114">
    <w:p w14:paraId="1612EB79" w14:textId="49088ACD"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Art</w:t>
      </w:r>
      <w:r w:rsidR="00CA42B4">
        <w:rPr>
          <w:szCs w:val="20"/>
          <w:lang w:val="en-GB"/>
        </w:rPr>
        <w:t>.</w:t>
      </w:r>
      <w:r w:rsidRPr="00F66F3C">
        <w:rPr>
          <w:szCs w:val="20"/>
          <w:lang w:val="en-GB"/>
        </w:rPr>
        <w:t xml:space="preserve"> 9 (</w:t>
      </w:r>
      <w:r w:rsidR="00CA42B4">
        <w:rPr>
          <w:szCs w:val="20"/>
          <w:lang w:val="en-GB"/>
        </w:rPr>
        <w:t>‘</w:t>
      </w:r>
      <w:r w:rsidRPr="00F66F3C">
        <w:rPr>
          <w:szCs w:val="20"/>
          <w:lang w:val="en-GB"/>
        </w:rPr>
        <w:t>International treaties in force, consented by the Verkhovna Rada of Ukraine as binding, shall be an integral part of the national legislation of Ukraine</w:t>
      </w:r>
      <w:r w:rsidR="00CA42B4">
        <w:rPr>
          <w:szCs w:val="20"/>
          <w:lang w:val="en-GB"/>
        </w:rPr>
        <w:t>’</w:t>
      </w:r>
      <w:r w:rsidRPr="00F66F3C">
        <w:rPr>
          <w:szCs w:val="20"/>
          <w:lang w:val="en-GB"/>
        </w:rPr>
        <w:t>) and Article 19 (</w:t>
      </w:r>
      <w:r w:rsidR="00CA42B4">
        <w:rPr>
          <w:szCs w:val="20"/>
          <w:lang w:val="en-GB"/>
        </w:rPr>
        <w:t>‘</w:t>
      </w:r>
      <w:r w:rsidRPr="00F66F3C">
        <w:rPr>
          <w:szCs w:val="20"/>
          <w:lang w:val="en-GB"/>
        </w:rPr>
        <w:t>International treaties in force, consented by the Verkhovna Rada of Ukraine as binding, shall be an integral part of the national legislation of Ukraine and have to be applied in a manner similar to any other act of national legislation</w:t>
      </w:r>
      <w:r w:rsidR="00CA42B4">
        <w:rPr>
          <w:szCs w:val="20"/>
          <w:lang w:val="en-GB"/>
        </w:rPr>
        <w:t>’</w:t>
      </w:r>
      <w:r w:rsidRPr="00F66F3C">
        <w:rPr>
          <w:szCs w:val="20"/>
          <w:lang w:val="en-GB"/>
        </w:rPr>
        <w:t>) of the Constitution</w:t>
      </w:r>
      <w:r w:rsidR="00CA42B4">
        <w:rPr>
          <w:szCs w:val="20"/>
          <w:lang w:val="en-GB"/>
        </w:rPr>
        <w:t xml:space="preserve">, as mentioned in </w:t>
      </w:r>
      <w:r w:rsidRPr="00F66F3C">
        <w:rPr>
          <w:szCs w:val="20"/>
          <w:lang w:val="en-GB"/>
        </w:rPr>
        <w:t xml:space="preserve">CAHDI Replies to Questionnaire (n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w:t>
      </w:r>
    </w:p>
  </w:footnote>
  <w:footnote w:id="115">
    <w:p w14:paraId="6EE0461D" w14:textId="190A7FA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Art</w:t>
      </w:r>
      <w:r w:rsidR="00CA42B4">
        <w:rPr>
          <w:szCs w:val="20"/>
          <w:lang w:val="en-GB"/>
        </w:rPr>
        <w:t>.</w:t>
      </w:r>
      <w:r w:rsidRPr="00F66F3C">
        <w:rPr>
          <w:szCs w:val="20"/>
          <w:lang w:val="en-GB"/>
        </w:rPr>
        <w:t xml:space="preserve"> 6(2) of the Code of Criminal Procedure</w:t>
      </w:r>
      <w:r w:rsidR="00CA42B4">
        <w:rPr>
          <w:szCs w:val="20"/>
          <w:lang w:val="en-GB"/>
        </w:rPr>
        <w:t xml:space="preserve"> and </w:t>
      </w:r>
      <w:r w:rsidRPr="00F66F3C">
        <w:rPr>
          <w:szCs w:val="20"/>
          <w:lang w:val="en-GB"/>
        </w:rPr>
        <w:t>Plenary Session Resolution of the High Specialized Court for Civil and Criminal Cases for Consideration of Civil Cases with foreign element of 16.05.2013 No 2754/0/4–13</w:t>
      </w:r>
      <w:r w:rsidR="00CA42B4">
        <w:rPr>
          <w:szCs w:val="20"/>
          <w:lang w:val="en-GB"/>
        </w:rPr>
        <w:t xml:space="preserve">, both mentioned in CAHDI Replies to Questionnaire (n </w:t>
      </w:r>
      <w:r w:rsidR="00CA42B4">
        <w:rPr>
          <w:szCs w:val="20"/>
          <w:lang w:val="en-GB"/>
        </w:rPr>
        <w:fldChar w:fldCharType="begin"/>
      </w:r>
      <w:r w:rsidR="00CA42B4">
        <w:rPr>
          <w:szCs w:val="20"/>
          <w:lang w:val="en-GB"/>
        </w:rPr>
        <w:instrText xml:space="preserve"> NOTEREF _Ref364844973 \h </w:instrText>
      </w:r>
      <w:r w:rsidR="00CA42B4">
        <w:rPr>
          <w:szCs w:val="20"/>
          <w:lang w:val="en-GB"/>
        </w:rPr>
      </w:r>
      <w:r w:rsidR="00CA42B4">
        <w:rPr>
          <w:szCs w:val="20"/>
          <w:lang w:val="en-GB"/>
        </w:rPr>
        <w:fldChar w:fldCharType="separate"/>
      </w:r>
      <w:r w:rsidR="006A2E69">
        <w:rPr>
          <w:szCs w:val="20"/>
          <w:lang w:val="en-GB"/>
        </w:rPr>
        <w:t>33</w:t>
      </w:r>
      <w:r w:rsidR="00CA42B4">
        <w:rPr>
          <w:szCs w:val="20"/>
          <w:lang w:val="en-GB"/>
        </w:rPr>
        <w:fldChar w:fldCharType="end"/>
      </w:r>
      <w:r w:rsidR="00CA42B4">
        <w:rPr>
          <w:szCs w:val="20"/>
          <w:lang w:val="en-GB"/>
        </w:rPr>
        <w:t>).</w:t>
      </w:r>
    </w:p>
  </w:footnote>
  <w:footnote w:id="116">
    <w:p w14:paraId="2CEEB97A" w14:textId="19168544" w:rsidR="00CA7C77" w:rsidRPr="00E4511D" w:rsidRDefault="00CA7C77" w:rsidP="00F66F3C">
      <w:pPr>
        <w:pStyle w:val="FootnoteText"/>
        <w:rPr>
          <w:szCs w:val="20"/>
          <w:lang w:val="fr-FR"/>
        </w:rPr>
      </w:pPr>
      <w:r w:rsidRPr="00F66F3C">
        <w:rPr>
          <w:rStyle w:val="FootnoteReference"/>
          <w:sz w:val="20"/>
          <w:szCs w:val="20"/>
          <w:lang w:val="en-GB"/>
        </w:rPr>
        <w:footnoteRef/>
      </w:r>
      <w:r w:rsidRPr="00E4511D">
        <w:rPr>
          <w:szCs w:val="20"/>
          <w:lang w:val="fr-FR"/>
        </w:rPr>
        <w:t xml:space="preserve"> CAHDI Replies to Questionnaire (n </w:t>
      </w:r>
      <w:r w:rsidRPr="00F66F3C">
        <w:rPr>
          <w:szCs w:val="20"/>
          <w:lang w:val="en-GB"/>
        </w:rPr>
        <w:fldChar w:fldCharType="begin"/>
      </w:r>
      <w:r w:rsidRPr="00E4511D">
        <w:rPr>
          <w:szCs w:val="20"/>
          <w:lang w:val="fr-FR"/>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fr-FR"/>
        </w:rPr>
        <w:t>33</w:t>
      </w:r>
      <w:r w:rsidRPr="00F66F3C">
        <w:rPr>
          <w:szCs w:val="20"/>
          <w:lang w:val="en-GB"/>
        </w:rPr>
        <w:fldChar w:fldCharType="end"/>
      </w:r>
      <w:r w:rsidRPr="00E4511D">
        <w:rPr>
          <w:szCs w:val="20"/>
          <w:lang w:val="fr-FR"/>
        </w:rPr>
        <w:t xml:space="preserve">). </w:t>
      </w:r>
    </w:p>
  </w:footnote>
  <w:footnote w:id="117">
    <w:p w14:paraId="5D4E495F" w14:textId="77777777"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Ibid.</w:t>
      </w:r>
    </w:p>
  </w:footnote>
  <w:footnote w:id="118">
    <w:p w14:paraId="36EB8330" w14:textId="01B1D080"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bookmarkStart w:id="70" w:name="_Hlk504132463"/>
      <w:r w:rsidR="008754BD">
        <w:rPr>
          <w:szCs w:val="20"/>
          <w:lang w:val="en-GB"/>
        </w:rPr>
        <w:t xml:space="preserve">United Kingdom, England and Wales Bow Street Magistrates Court, </w:t>
      </w:r>
      <w:r w:rsidR="008754BD">
        <w:rPr>
          <w:i/>
          <w:szCs w:val="20"/>
          <w:lang w:val="en-GB"/>
        </w:rPr>
        <w:t>Re v. Bo Xilai</w:t>
      </w:r>
      <w:r w:rsidR="008754BD">
        <w:rPr>
          <w:szCs w:val="20"/>
          <w:lang w:val="en-GB"/>
        </w:rPr>
        <w:t>, 8 November 2005, 128 ILR 713, 713-5</w:t>
      </w:r>
      <w:bookmarkEnd w:id="70"/>
      <w:r w:rsidR="008754BD">
        <w:rPr>
          <w:szCs w:val="20"/>
          <w:lang w:val="en-GB"/>
        </w:rPr>
        <w:t xml:space="preserve">; France, </w:t>
      </w:r>
      <w:r w:rsidRPr="008754BD">
        <w:rPr>
          <w:szCs w:val="20"/>
          <w:lang w:val="en-GB"/>
        </w:rPr>
        <w:t>Court of Appeal Paris,</w:t>
      </w:r>
      <w:r w:rsidRPr="00F66F3C">
        <w:rPr>
          <w:i/>
          <w:szCs w:val="20"/>
          <w:lang w:val="en-GB"/>
        </w:rPr>
        <w:t xml:space="preserve"> France v</w:t>
      </w:r>
      <w:r w:rsidR="008754BD">
        <w:rPr>
          <w:i/>
          <w:szCs w:val="20"/>
          <w:lang w:val="en-GB"/>
        </w:rPr>
        <w:t>.</w:t>
      </w:r>
      <w:r w:rsidRPr="00F66F3C">
        <w:rPr>
          <w:i/>
          <w:szCs w:val="20"/>
          <w:lang w:val="en-GB"/>
        </w:rPr>
        <w:t xml:space="preserve"> Durbar</w:t>
      </w:r>
      <w:r w:rsidRPr="00F66F3C">
        <w:rPr>
          <w:szCs w:val="20"/>
          <w:lang w:val="en-GB"/>
        </w:rPr>
        <w:t>, 16 June 2008</w:t>
      </w:r>
      <w:r w:rsidR="008754BD">
        <w:rPr>
          <w:szCs w:val="20"/>
          <w:lang w:val="en-GB"/>
        </w:rPr>
        <w:t xml:space="preserve">, see </w:t>
      </w:r>
      <w:r w:rsidRPr="00F66F3C">
        <w:rPr>
          <w:szCs w:val="20"/>
          <w:lang w:val="en-GB"/>
        </w:rPr>
        <w:t xml:space="preserve">Franey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xml:space="preserve">) </w:t>
      </w:r>
      <w:r w:rsidR="008754BD">
        <w:rPr>
          <w:szCs w:val="20"/>
          <w:lang w:val="en-GB"/>
        </w:rPr>
        <w:t xml:space="preserve">pp. </w:t>
      </w:r>
      <w:r w:rsidRPr="00F66F3C">
        <w:rPr>
          <w:szCs w:val="20"/>
          <w:lang w:val="en-GB"/>
        </w:rPr>
        <w:t>147–9</w:t>
      </w:r>
      <w:r w:rsidR="008754BD">
        <w:rPr>
          <w:szCs w:val="20"/>
          <w:lang w:val="en-GB"/>
        </w:rPr>
        <w:t xml:space="preserve">; </w:t>
      </w:r>
      <w:r w:rsidRPr="00F66F3C">
        <w:rPr>
          <w:i/>
          <w:szCs w:val="20"/>
          <w:lang w:val="en-GB"/>
        </w:rPr>
        <w:t>Re Ehud Barak</w:t>
      </w:r>
      <w:r w:rsidRPr="00F66F3C">
        <w:rPr>
          <w:szCs w:val="20"/>
          <w:lang w:val="en-GB"/>
        </w:rPr>
        <w:t>, 29 September 2009</w:t>
      </w:r>
      <w:r w:rsidR="008754BD">
        <w:rPr>
          <w:szCs w:val="20"/>
          <w:lang w:val="en-GB"/>
        </w:rPr>
        <w:t>,</w:t>
      </w:r>
      <w:r w:rsidRPr="00F66F3C">
        <w:rPr>
          <w:szCs w:val="20"/>
          <w:lang w:val="en-GB"/>
        </w:rPr>
        <w:t xml:space="preserve"> </w:t>
      </w:r>
      <w:r w:rsidR="008754BD">
        <w:rPr>
          <w:szCs w:val="20"/>
          <w:lang w:val="en-GB"/>
        </w:rPr>
        <w:t xml:space="preserve">reproduced in </w:t>
      </w:r>
      <w:r w:rsidRPr="00F66F3C">
        <w:rPr>
          <w:szCs w:val="20"/>
          <w:lang w:val="en-GB"/>
        </w:rPr>
        <w:t xml:space="preserve">Franey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xml:space="preserve">) pp. 146–7; </w:t>
      </w:r>
      <w:r w:rsidRPr="00F66F3C">
        <w:rPr>
          <w:i/>
          <w:szCs w:val="20"/>
          <w:lang w:val="en-GB"/>
        </w:rPr>
        <w:t>Re Mikhael Gorbachev</w:t>
      </w:r>
      <w:r w:rsidRPr="00F66F3C">
        <w:rPr>
          <w:szCs w:val="20"/>
          <w:lang w:val="en-GB"/>
        </w:rPr>
        <w:t>, 30 March 2011</w:t>
      </w:r>
      <w:r w:rsidRPr="00F66F3C">
        <w:rPr>
          <w:i/>
          <w:szCs w:val="20"/>
          <w:lang w:val="en-GB"/>
        </w:rPr>
        <w:t xml:space="preserve"> </w:t>
      </w:r>
      <w:r w:rsidRPr="00F66F3C">
        <w:rPr>
          <w:szCs w:val="20"/>
          <w:lang w:val="en-GB"/>
        </w:rPr>
        <w:t xml:space="preserve">(unreported). The fact that decisions of the lower courts are not a precedent as a matter of English law </w:t>
      </w:r>
      <w:bookmarkStart w:id="71" w:name="_Hlk490831624"/>
      <w:r w:rsidRPr="00F66F3C">
        <w:rPr>
          <w:szCs w:val="20"/>
          <w:lang w:val="en-GB"/>
        </w:rPr>
        <w:t>does not prevent them being relevant as UK practice, or as a subsidiary means for the identification of international law within the meaning of Article 38 of the ICJ Statute</w:t>
      </w:r>
      <w:bookmarkEnd w:id="71"/>
      <w:r w:rsidRPr="00F66F3C">
        <w:rPr>
          <w:szCs w:val="20"/>
          <w:lang w:val="en-GB"/>
        </w:rPr>
        <w:t xml:space="preserve">. </w:t>
      </w:r>
    </w:p>
  </w:footnote>
  <w:footnote w:id="119">
    <w:p w14:paraId="06CCEE95" w14:textId="1003416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8754BD">
        <w:rPr>
          <w:i/>
          <w:szCs w:val="20"/>
          <w:lang w:val="en-GB"/>
        </w:rPr>
        <w:t>Khurts Bat v. Investigating Judge of the German Federal Court and others</w:t>
      </w:r>
      <w:r w:rsidR="008754BD" w:rsidRPr="00F66F3C">
        <w:rPr>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_Ref494958445 \h  \* MERGEFORMAT </w:instrText>
      </w:r>
      <w:r w:rsidRPr="00F66F3C">
        <w:rPr>
          <w:szCs w:val="20"/>
          <w:lang w:val="en-GB"/>
        </w:rPr>
      </w:r>
      <w:r w:rsidRPr="00F66F3C">
        <w:rPr>
          <w:szCs w:val="20"/>
          <w:lang w:val="en-GB"/>
        </w:rPr>
        <w:fldChar w:fldCharType="separate"/>
      </w:r>
      <w:r w:rsidR="006A2E69">
        <w:rPr>
          <w:szCs w:val="20"/>
          <w:lang w:val="en-GB"/>
        </w:rPr>
        <w:t>103</w:t>
      </w:r>
      <w:r w:rsidRPr="00F66F3C">
        <w:rPr>
          <w:szCs w:val="20"/>
          <w:lang w:val="en-GB"/>
        </w:rPr>
        <w:fldChar w:fldCharType="end"/>
      </w:r>
      <w:r w:rsidRPr="00F66F3C">
        <w:rPr>
          <w:szCs w:val="20"/>
          <w:lang w:val="en-GB"/>
        </w:rPr>
        <w:t>), 633. For discussion, see R</w:t>
      </w:r>
      <w:r w:rsidR="008754BD">
        <w:rPr>
          <w:szCs w:val="20"/>
          <w:lang w:val="en-GB"/>
        </w:rPr>
        <w:t>.</w:t>
      </w:r>
      <w:r w:rsidRPr="00F66F3C">
        <w:rPr>
          <w:szCs w:val="20"/>
          <w:lang w:val="en-GB"/>
        </w:rPr>
        <w:t xml:space="preserve"> O’Keefe,</w:t>
      </w:r>
      <w:r w:rsidR="008754BD">
        <w:rPr>
          <w:szCs w:val="20"/>
          <w:lang w:val="en-GB"/>
        </w:rPr>
        <w:t xml:space="preserve"> ‘Decisions of British Courts during 2011 involving Questions of Public or Private International Law: A. Public International Law’ (2012) 82</w:t>
      </w:r>
      <w:r w:rsidRPr="00F66F3C">
        <w:rPr>
          <w:szCs w:val="20"/>
          <w:lang w:val="en-GB"/>
        </w:rPr>
        <w:t xml:space="preserve"> </w:t>
      </w:r>
      <w:r w:rsidRPr="00F66F3C">
        <w:rPr>
          <w:i/>
          <w:szCs w:val="20"/>
          <w:lang w:val="en-GB"/>
        </w:rPr>
        <w:t>British Yearbook of International Law</w:t>
      </w:r>
      <w:r w:rsidR="008754BD">
        <w:rPr>
          <w:szCs w:val="20"/>
          <w:lang w:val="en-GB"/>
        </w:rPr>
        <w:t xml:space="preserve"> 564</w:t>
      </w:r>
      <w:r w:rsidRPr="00F66F3C">
        <w:rPr>
          <w:szCs w:val="20"/>
          <w:lang w:val="en-GB"/>
        </w:rPr>
        <w:t xml:space="preserve">. 613–28 and Sanger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xml:space="preserve">) 193–224. </w:t>
      </w:r>
    </w:p>
  </w:footnote>
  <w:footnote w:id="120">
    <w:p w14:paraId="7EE9817F" w14:textId="31CCA05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E66033">
        <w:rPr>
          <w:szCs w:val="20"/>
          <w:lang w:val="en-GB"/>
        </w:rPr>
        <w:t xml:space="preserve">The </w:t>
      </w:r>
      <w:r w:rsidRPr="00F66F3C">
        <w:rPr>
          <w:i/>
          <w:szCs w:val="20"/>
          <w:lang w:val="en-GB"/>
        </w:rPr>
        <w:t>Freedom and Justice Party</w:t>
      </w:r>
      <w:r w:rsidRPr="00F66F3C">
        <w:rPr>
          <w:szCs w:val="20"/>
          <w:lang w:val="en-GB"/>
        </w:rPr>
        <w:t xml:space="preserve"> </w:t>
      </w:r>
      <w:r w:rsidR="00E66033">
        <w:rPr>
          <w:szCs w:val="20"/>
          <w:lang w:val="en-GB"/>
        </w:rPr>
        <w:t xml:space="preserve">case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_Ref493330102 \h  \* MERGEFORMAT </w:instrText>
      </w:r>
      <w:r w:rsidRPr="00F66F3C">
        <w:rPr>
          <w:szCs w:val="20"/>
          <w:lang w:val="en-GB"/>
        </w:rPr>
      </w:r>
      <w:r w:rsidRPr="00F66F3C">
        <w:rPr>
          <w:szCs w:val="20"/>
          <w:lang w:val="en-GB"/>
        </w:rPr>
        <w:fldChar w:fldCharType="separate"/>
      </w:r>
      <w:r w:rsidR="006A2E69">
        <w:rPr>
          <w:szCs w:val="20"/>
          <w:lang w:val="en-GB"/>
        </w:rPr>
        <w:t>12</w:t>
      </w:r>
      <w:r w:rsidRPr="00F66F3C">
        <w:rPr>
          <w:szCs w:val="20"/>
          <w:lang w:val="en-GB"/>
        </w:rPr>
        <w:fldChar w:fldCharType="end"/>
      </w:r>
      <w:r w:rsidRPr="00F66F3C">
        <w:rPr>
          <w:szCs w:val="20"/>
          <w:lang w:val="en-GB"/>
        </w:rPr>
        <w:t xml:space="preserve">), para. 117. This position under English law does not prevent </w:t>
      </w:r>
      <w:r w:rsidRPr="00F66F3C">
        <w:rPr>
          <w:i/>
          <w:szCs w:val="20"/>
          <w:lang w:val="en-GB"/>
        </w:rPr>
        <w:t>Khurts Bat</w:t>
      </w:r>
      <w:r w:rsidRPr="00F66F3C">
        <w:rPr>
          <w:szCs w:val="20"/>
          <w:lang w:val="en-GB"/>
        </w:rPr>
        <w:t xml:space="preserve"> forming part of UK practice, or as constituting a subsidiary means for the identification of international law.</w:t>
      </w:r>
    </w:p>
  </w:footnote>
  <w:footnote w:id="121">
    <w:p w14:paraId="4DF95D2F" w14:textId="53D13950"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other claimants were the Minister of Investment in the Government of Egypt in May 2013 (ceasing to hold office in July 2013), the </w:t>
      </w:r>
      <w:r w:rsidR="00E66033">
        <w:rPr>
          <w:szCs w:val="20"/>
          <w:lang w:val="en-GB"/>
        </w:rPr>
        <w:t>‘</w:t>
      </w:r>
      <w:r w:rsidRPr="00F66F3C">
        <w:rPr>
          <w:szCs w:val="20"/>
          <w:lang w:val="en-GB"/>
        </w:rPr>
        <w:t>Foreign Relations Secretary of the Freedom and Justice Party of Alexandria</w:t>
      </w:r>
      <w:r w:rsidR="00E66033">
        <w:rPr>
          <w:szCs w:val="20"/>
          <w:lang w:val="en-GB"/>
        </w:rPr>
        <w:t>’</w:t>
      </w:r>
      <w:r w:rsidRPr="00F66F3C">
        <w:rPr>
          <w:szCs w:val="20"/>
          <w:lang w:val="en-GB"/>
        </w:rPr>
        <w:t xml:space="preserve"> from June 2012 to July 2013 and a British citizen and surgeon who went to Egypt in July and August 2013 to assist in emergency field hospitals. </w:t>
      </w:r>
    </w:p>
  </w:footnote>
  <w:footnote w:id="122">
    <w:p w14:paraId="7278C0A4" w14:textId="5FD17890"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29096A">
        <w:rPr>
          <w:szCs w:val="20"/>
          <w:lang w:val="en-GB"/>
        </w:rPr>
        <w:t>The</w:t>
      </w:r>
      <w:r w:rsidRPr="00F66F3C">
        <w:rPr>
          <w:i/>
          <w:szCs w:val="20"/>
          <w:lang w:val="en-GB"/>
        </w:rPr>
        <w:t xml:space="preserve"> Freedom and Justice Party</w:t>
      </w:r>
      <w:r w:rsidRPr="00F66F3C">
        <w:rPr>
          <w:szCs w:val="20"/>
          <w:lang w:val="en-GB"/>
        </w:rPr>
        <w:t xml:space="preserve"> </w:t>
      </w:r>
      <w:r w:rsidR="00E66033">
        <w:rPr>
          <w:szCs w:val="20"/>
          <w:lang w:val="en-GB"/>
        </w:rPr>
        <w:t xml:space="preserve">case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_Ref493330102 \h  \* MERGEFORMAT </w:instrText>
      </w:r>
      <w:r w:rsidRPr="00F66F3C">
        <w:rPr>
          <w:szCs w:val="20"/>
          <w:lang w:val="en-GB"/>
        </w:rPr>
      </w:r>
      <w:r w:rsidRPr="00F66F3C">
        <w:rPr>
          <w:szCs w:val="20"/>
          <w:lang w:val="en-GB"/>
        </w:rPr>
        <w:fldChar w:fldCharType="separate"/>
      </w:r>
      <w:r w:rsidR="006A2E69">
        <w:rPr>
          <w:szCs w:val="20"/>
          <w:lang w:val="en-GB"/>
        </w:rPr>
        <w:t>12</w:t>
      </w:r>
      <w:r w:rsidRPr="00F66F3C">
        <w:rPr>
          <w:szCs w:val="20"/>
          <w:lang w:val="en-GB"/>
        </w:rPr>
        <w:fldChar w:fldCharType="end"/>
      </w:r>
      <w:r w:rsidRPr="00F66F3C">
        <w:rPr>
          <w:szCs w:val="20"/>
          <w:lang w:val="en-GB"/>
        </w:rPr>
        <w:t xml:space="preserve">), para. 2. </w:t>
      </w:r>
    </w:p>
  </w:footnote>
  <w:footnote w:id="123">
    <w:p w14:paraId="1D835B5A" w14:textId="4066B24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This section criminalises torture committed by </w:t>
      </w:r>
      <w:r w:rsidR="00E66033">
        <w:rPr>
          <w:szCs w:val="20"/>
          <w:lang w:val="en-GB"/>
        </w:rPr>
        <w:t>‘</w:t>
      </w:r>
      <w:r w:rsidRPr="00F66F3C">
        <w:rPr>
          <w:szCs w:val="20"/>
          <w:lang w:val="en-GB"/>
        </w:rPr>
        <w:t>in the United Kingdom or elsewhere</w:t>
      </w:r>
      <w:r w:rsidR="00E66033">
        <w:rPr>
          <w:szCs w:val="20"/>
          <w:lang w:val="en-GB"/>
        </w:rPr>
        <w:t>’</w:t>
      </w:r>
      <w:r w:rsidRPr="00F66F3C">
        <w:rPr>
          <w:szCs w:val="20"/>
          <w:lang w:val="en-GB"/>
        </w:rPr>
        <w:t xml:space="preserve"> and regardless of the nationality of the perpetrator. </w:t>
      </w:r>
    </w:p>
  </w:footnote>
  <w:footnote w:id="124">
    <w:p w14:paraId="53544444" w14:textId="2A7661DB"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Head of Diplomatic Missions and International Organizations United of the Protocol Directorate of the FCO issued a certificate on 14 September 2015 confirming that the FCO </w:t>
      </w:r>
      <w:r w:rsidR="0029096A">
        <w:rPr>
          <w:szCs w:val="20"/>
          <w:lang w:val="en-GB"/>
        </w:rPr>
        <w:t>‘</w:t>
      </w:r>
      <w:r w:rsidRPr="00F66F3C">
        <w:rPr>
          <w:szCs w:val="20"/>
          <w:lang w:val="en-GB"/>
        </w:rPr>
        <w:t>has consented to the visit to the United Kingdom of Egyptian Chief of Defence Staff, Lt General Mahmoud Hegezazy</w:t>
      </w:r>
      <w:r w:rsidR="0029096A">
        <w:rPr>
          <w:szCs w:val="20"/>
          <w:lang w:val="en-GB"/>
        </w:rPr>
        <w:t xml:space="preserve"> … </w:t>
      </w:r>
      <w:r w:rsidRPr="00F66F3C">
        <w:rPr>
          <w:szCs w:val="20"/>
          <w:lang w:val="en-GB"/>
        </w:rPr>
        <w:t>from 15–19 September as a special mission</w:t>
      </w:r>
      <w:r w:rsidR="0029096A">
        <w:rPr>
          <w:szCs w:val="20"/>
          <w:lang w:val="en-GB"/>
        </w:rPr>
        <w:t>’, ibid., para. 15.</w:t>
      </w:r>
    </w:p>
  </w:footnote>
  <w:footnote w:id="125">
    <w:p w14:paraId="3E25C2FC" w14:textId="5E7FACAA"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decision not to prosecute was also challenged on other grounds, but the Court rejected these: </w:t>
      </w:r>
      <w:r w:rsidR="0029096A">
        <w:rPr>
          <w:szCs w:val="20"/>
          <w:lang w:val="en-GB"/>
        </w:rPr>
        <w:t>ibid.</w:t>
      </w:r>
      <w:r w:rsidRPr="00F66F3C">
        <w:rPr>
          <w:szCs w:val="20"/>
          <w:lang w:val="en-GB"/>
        </w:rPr>
        <w:t>, paras. 29–73.</w:t>
      </w:r>
    </w:p>
  </w:footnote>
  <w:footnote w:id="126">
    <w:p w14:paraId="49B6253F" w14:textId="56CB267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29096A">
        <w:rPr>
          <w:szCs w:val="20"/>
          <w:lang w:val="en-GB"/>
        </w:rPr>
        <w:t>Ibid.</w:t>
      </w:r>
      <w:r w:rsidRPr="00F66F3C">
        <w:rPr>
          <w:szCs w:val="20"/>
          <w:lang w:val="en-GB"/>
        </w:rPr>
        <w:t>, para. 180. The claimants have been given leave to appeal to the Court of Appeal.</w:t>
      </w:r>
    </w:p>
  </w:footnote>
  <w:footnote w:id="127">
    <w:p w14:paraId="37D08661" w14:textId="0700A42A"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F66F3C">
        <w:rPr>
          <w:i/>
          <w:szCs w:val="20"/>
          <w:lang w:val="en-GB"/>
        </w:rPr>
        <w:t>North Sea Continental Shelf Cases</w:t>
      </w:r>
      <w:r w:rsidRPr="00F66F3C">
        <w:rPr>
          <w:szCs w:val="20"/>
          <w:lang w:val="en-GB"/>
        </w:rPr>
        <w:t xml:space="preserve"> for the </w:t>
      </w:r>
      <w:r w:rsidR="0029096A">
        <w:rPr>
          <w:szCs w:val="20"/>
          <w:lang w:val="en-GB"/>
        </w:rPr>
        <w:t>‘</w:t>
      </w:r>
      <w:r w:rsidRPr="00F66F3C">
        <w:rPr>
          <w:szCs w:val="20"/>
          <w:lang w:val="en-GB"/>
        </w:rPr>
        <w:t>test</w:t>
      </w:r>
      <w:r w:rsidR="0029096A">
        <w:rPr>
          <w:szCs w:val="20"/>
          <w:lang w:val="en-GB"/>
        </w:rPr>
        <w:t>’</w:t>
      </w:r>
      <w:r w:rsidRPr="00F66F3C">
        <w:rPr>
          <w:szCs w:val="20"/>
          <w:lang w:val="en-GB"/>
        </w:rPr>
        <w:t xml:space="preserve"> of identifying customary international law and </w:t>
      </w:r>
      <w:r w:rsidRPr="00F66F3C">
        <w:rPr>
          <w:i/>
          <w:szCs w:val="20"/>
          <w:lang w:val="en-GB"/>
        </w:rPr>
        <w:t>Jurisdictional Immunities of the State</w:t>
      </w:r>
      <w:r w:rsidRPr="00F66F3C">
        <w:rPr>
          <w:szCs w:val="20"/>
          <w:lang w:val="en-GB"/>
        </w:rPr>
        <w:t xml:space="preserve"> for guidance on identifying </w:t>
      </w:r>
      <w:r w:rsidR="0029096A">
        <w:rPr>
          <w:szCs w:val="20"/>
          <w:lang w:val="en-GB"/>
        </w:rPr>
        <w:t>‘</w:t>
      </w:r>
      <w:r w:rsidRPr="00F66F3C">
        <w:rPr>
          <w:szCs w:val="20"/>
          <w:lang w:val="en-GB"/>
        </w:rPr>
        <w:t>evidence</w:t>
      </w:r>
      <w:r w:rsidR="0029096A">
        <w:rPr>
          <w:szCs w:val="20"/>
          <w:lang w:val="en-GB"/>
        </w:rPr>
        <w:t>’</w:t>
      </w:r>
      <w:r w:rsidRPr="00F66F3C">
        <w:rPr>
          <w:szCs w:val="20"/>
          <w:lang w:val="en-GB"/>
        </w:rPr>
        <w:t xml:space="preserve"> of customary norms</w:t>
      </w:r>
      <w:r w:rsidR="0029096A">
        <w:rPr>
          <w:szCs w:val="20"/>
          <w:lang w:val="en-GB"/>
        </w:rPr>
        <w:t>, ibid., paras 78-9.</w:t>
      </w:r>
      <w:r w:rsidRPr="00F66F3C">
        <w:rPr>
          <w:szCs w:val="20"/>
          <w:lang w:val="en-GB"/>
        </w:rPr>
        <w:t xml:space="preserve"> </w:t>
      </w:r>
    </w:p>
  </w:footnote>
  <w:footnote w:id="128">
    <w:p w14:paraId="55BFFE32" w14:textId="72ED4497"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In particular, conclusions 3 and 8</w:t>
      </w:r>
      <w:r w:rsidR="0029096A">
        <w:rPr>
          <w:szCs w:val="20"/>
          <w:lang w:val="en-GB"/>
        </w:rPr>
        <w:t xml:space="preserve"> (ibid., paras. 77ff) </w:t>
      </w:r>
      <w:r w:rsidRPr="00F66F3C">
        <w:rPr>
          <w:szCs w:val="20"/>
          <w:lang w:val="en-GB"/>
        </w:rPr>
        <w:t>although not the accompanying commentaries (which were not adopted until 9 August 2016, after the handing down of the judgment).</w:t>
      </w:r>
    </w:p>
  </w:footnote>
  <w:footnote w:id="129">
    <w:p w14:paraId="41879E87" w14:textId="2C750A6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Specifically, the Havana Convention regarding Diplomatic Officers of 1928, the Vienna Convention on Diplomatic Relations, and the New York Convention on Special Missions of 1969</w:t>
      </w:r>
      <w:r w:rsidR="0029096A">
        <w:rPr>
          <w:szCs w:val="20"/>
          <w:lang w:val="en-GB"/>
        </w:rPr>
        <w:t xml:space="preserve"> (ibid., paras. 83-4).</w:t>
      </w:r>
    </w:p>
  </w:footnote>
  <w:footnote w:id="130">
    <w:p w14:paraId="0AD97D22" w14:textId="7FC64BFF"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29096A">
        <w:rPr>
          <w:szCs w:val="20"/>
          <w:lang w:val="en-GB"/>
        </w:rPr>
        <w:t xml:space="preserve">The </w:t>
      </w:r>
      <w:r w:rsidRPr="00F66F3C">
        <w:rPr>
          <w:i/>
          <w:szCs w:val="20"/>
          <w:lang w:val="en-GB"/>
        </w:rPr>
        <w:t xml:space="preserve">Freedom and Justice Party </w:t>
      </w:r>
      <w:r w:rsidR="0029096A">
        <w:rPr>
          <w:szCs w:val="20"/>
          <w:lang w:val="en-GB"/>
        </w:rPr>
        <w:t xml:space="preserve">case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_Ref493330102 \h  \* MERGEFORMAT </w:instrText>
      </w:r>
      <w:r w:rsidRPr="00F66F3C">
        <w:rPr>
          <w:szCs w:val="20"/>
          <w:lang w:val="en-GB"/>
        </w:rPr>
      </w:r>
      <w:r w:rsidRPr="00F66F3C">
        <w:rPr>
          <w:szCs w:val="20"/>
          <w:lang w:val="en-GB"/>
        </w:rPr>
        <w:fldChar w:fldCharType="separate"/>
      </w:r>
      <w:r w:rsidR="006A2E69">
        <w:rPr>
          <w:szCs w:val="20"/>
          <w:lang w:val="en-GB"/>
        </w:rPr>
        <w:t>12</w:t>
      </w:r>
      <w:r w:rsidRPr="00F66F3C">
        <w:rPr>
          <w:szCs w:val="20"/>
          <w:lang w:val="en-GB"/>
        </w:rPr>
        <w:fldChar w:fldCharType="end"/>
      </w:r>
      <w:r w:rsidRPr="00F66F3C">
        <w:rPr>
          <w:szCs w:val="20"/>
          <w:lang w:val="en-GB"/>
        </w:rPr>
        <w:t>), para. 105.</w:t>
      </w:r>
    </w:p>
  </w:footnote>
  <w:footnote w:id="131">
    <w:p w14:paraId="54A23DE5" w14:textId="5B78F7E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29096A">
        <w:rPr>
          <w:szCs w:val="20"/>
          <w:lang w:val="en-GB"/>
        </w:rPr>
        <w:t>Ibid.</w:t>
      </w:r>
      <w:r w:rsidRPr="00F66F3C">
        <w:rPr>
          <w:i/>
          <w:szCs w:val="20"/>
          <w:lang w:val="en-GB"/>
        </w:rPr>
        <w:t>,</w:t>
      </w:r>
      <w:r w:rsidRPr="00F66F3C">
        <w:rPr>
          <w:szCs w:val="20"/>
          <w:lang w:val="en-GB"/>
        </w:rPr>
        <w:t xml:space="preserve"> para. 118. </w:t>
      </w:r>
    </w:p>
  </w:footnote>
  <w:footnote w:id="132">
    <w:p w14:paraId="6F2D4B09" w14:textId="41661E2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29096A">
        <w:rPr>
          <w:szCs w:val="20"/>
          <w:lang w:val="en-GB"/>
        </w:rPr>
        <w:t>Ibid.</w:t>
      </w:r>
      <w:r w:rsidRPr="00F66F3C">
        <w:rPr>
          <w:szCs w:val="20"/>
          <w:lang w:val="en-GB"/>
        </w:rPr>
        <w:t xml:space="preserve">, para. 144. The States whose responses were available to the Divisional Court in 2016 are listed in </w:t>
      </w:r>
      <w:r w:rsidR="0029096A">
        <w:rPr>
          <w:szCs w:val="20"/>
          <w:lang w:val="en-GB"/>
        </w:rPr>
        <w:t>(</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0029096A">
        <w:rPr>
          <w:szCs w:val="20"/>
          <w:lang w:val="en-GB"/>
        </w:rPr>
        <w:t>)</w:t>
      </w:r>
      <w:r w:rsidRPr="00F66F3C">
        <w:rPr>
          <w:szCs w:val="20"/>
          <w:lang w:val="en-GB"/>
        </w:rPr>
        <w:t xml:space="preserve"> above.</w:t>
      </w:r>
    </w:p>
  </w:footnote>
  <w:footnote w:id="133">
    <w:p w14:paraId="406BCC6D" w14:textId="52604690"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Ibid., paras</w:t>
      </w:r>
      <w:r w:rsidR="0029096A">
        <w:rPr>
          <w:szCs w:val="20"/>
          <w:lang w:val="en-GB"/>
        </w:rPr>
        <w:t>.</w:t>
      </w:r>
      <w:r w:rsidRPr="00F66F3C">
        <w:rPr>
          <w:szCs w:val="20"/>
          <w:lang w:val="en-GB"/>
        </w:rPr>
        <w:t xml:space="preserve"> 148–62. </w:t>
      </w:r>
    </w:p>
  </w:footnote>
  <w:footnote w:id="134">
    <w:p w14:paraId="028E472B" w14:textId="255D77E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American Law Institute, </w:t>
      </w:r>
      <w:r w:rsidRPr="00F66F3C">
        <w:rPr>
          <w:i/>
          <w:szCs w:val="20"/>
          <w:lang w:val="en-GB"/>
        </w:rPr>
        <w:t>Third Restatement of the Foreign Relations Law of the United States</w:t>
      </w:r>
      <w:r w:rsidRPr="00F66F3C">
        <w:rPr>
          <w:szCs w:val="20"/>
          <w:lang w:val="en-GB"/>
        </w:rPr>
        <w:t xml:space="preserve"> (1986), p. 470. </w:t>
      </w:r>
    </w:p>
  </w:footnote>
  <w:footnote w:id="135">
    <w:p w14:paraId="274D00BC" w14:textId="7BBC2A9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R</w:t>
      </w:r>
      <w:r w:rsidR="0007105D">
        <w:rPr>
          <w:szCs w:val="20"/>
          <w:lang w:val="en-GB"/>
        </w:rPr>
        <w:t>.</w:t>
      </w:r>
      <w:r w:rsidRPr="00F66F3C">
        <w:rPr>
          <w:szCs w:val="20"/>
          <w:lang w:val="en-GB"/>
        </w:rPr>
        <w:t xml:space="preserve"> Jennings and A</w:t>
      </w:r>
      <w:r w:rsidR="0007105D">
        <w:rPr>
          <w:szCs w:val="20"/>
          <w:lang w:val="en-GB"/>
        </w:rPr>
        <w:t>.</w:t>
      </w:r>
      <w:r w:rsidRPr="00F66F3C">
        <w:rPr>
          <w:szCs w:val="20"/>
          <w:lang w:val="en-GB"/>
        </w:rPr>
        <w:t xml:space="preserve"> Watts, </w:t>
      </w:r>
      <w:r w:rsidRPr="00F66F3C">
        <w:rPr>
          <w:i/>
          <w:szCs w:val="20"/>
          <w:lang w:val="en-GB"/>
        </w:rPr>
        <w:t>Oppenheim’s International Law</w:t>
      </w:r>
      <w:r w:rsidR="0007105D">
        <w:rPr>
          <w:szCs w:val="20"/>
          <w:lang w:val="en-GB"/>
        </w:rPr>
        <w:t>, 9</w:t>
      </w:r>
      <w:r w:rsidR="0007105D" w:rsidRPr="0007105D">
        <w:rPr>
          <w:szCs w:val="20"/>
          <w:vertAlign w:val="superscript"/>
          <w:lang w:val="en-GB"/>
        </w:rPr>
        <w:t>th</w:t>
      </w:r>
      <w:r w:rsidR="0007105D">
        <w:rPr>
          <w:szCs w:val="20"/>
          <w:lang w:val="en-GB"/>
        </w:rPr>
        <w:t xml:space="preserve"> edn.</w:t>
      </w:r>
      <w:r w:rsidRPr="00F66F3C">
        <w:rPr>
          <w:i/>
          <w:szCs w:val="20"/>
          <w:lang w:val="en-GB"/>
        </w:rPr>
        <w:t xml:space="preserve"> </w:t>
      </w:r>
      <w:r w:rsidRPr="00F66F3C">
        <w:rPr>
          <w:szCs w:val="20"/>
          <w:lang w:val="en-GB"/>
        </w:rPr>
        <w:t xml:space="preserve">(Oxford University Press, 1991), para. 533. See, however, Dehaussy (n </w:t>
      </w:r>
      <w:r w:rsidR="0007105D">
        <w:rPr>
          <w:szCs w:val="20"/>
          <w:lang w:val="en-GB"/>
        </w:rPr>
        <w:fldChar w:fldCharType="begin"/>
      </w:r>
      <w:r w:rsidR="0007105D">
        <w:rPr>
          <w:szCs w:val="20"/>
          <w:lang w:val="en-GB"/>
        </w:rPr>
        <w:instrText xml:space="preserve"> NOTEREF _Ref364691894 \h </w:instrText>
      </w:r>
      <w:r w:rsidR="0007105D">
        <w:rPr>
          <w:szCs w:val="20"/>
          <w:lang w:val="en-GB"/>
        </w:rPr>
      </w:r>
      <w:r w:rsidR="0007105D">
        <w:rPr>
          <w:szCs w:val="20"/>
          <w:lang w:val="en-GB"/>
        </w:rPr>
        <w:fldChar w:fldCharType="separate"/>
      </w:r>
      <w:r w:rsidR="006A2E69">
        <w:rPr>
          <w:szCs w:val="20"/>
          <w:lang w:val="en-GB"/>
        </w:rPr>
        <w:t>4</w:t>
      </w:r>
      <w:r w:rsidR="0007105D">
        <w:rPr>
          <w:szCs w:val="20"/>
          <w:lang w:val="en-GB"/>
        </w:rPr>
        <w:fldChar w:fldCharType="end"/>
      </w:r>
      <w:r w:rsidR="0007105D">
        <w:rPr>
          <w:szCs w:val="20"/>
          <w:lang w:val="en-GB"/>
        </w:rPr>
        <w:t>)</w:t>
      </w:r>
      <w:r w:rsidRPr="00F66F3C">
        <w:rPr>
          <w:szCs w:val="20"/>
          <w:lang w:val="en-GB"/>
        </w:rPr>
        <w:t>, 440</w:t>
      </w:r>
      <w:r w:rsidR="0007105D">
        <w:rPr>
          <w:szCs w:val="20"/>
          <w:lang w:val="en-GB"/>
        </w:rPr>
        <w:t>-</w:t>
      </w:r>
      <w:r w:rsidRPr="00F66F3C">
        <w:rPr>
          <w:szCs w:val="20"/>
          <w:lang w:val="en-GB"/>
        </w:rPr>
        <w:t xml:space="preserve">1 and 443 for the view that in 1967 the ILC was at least </w:t>
      </w:r>
      <w:r w:rsidR="00812B98">
        <w:rPr>
          <w:szCs w:val="20"/>
          <w:lang w:val="en-GB"/>
        </w:rPr>
        <w:t xml:space="preserve">in part </w:t>
      </w:r>
      <w:r w:rsidRPr="00F66F3C">
        <w:rPr>
          <w:szCs w:val="20"/>
          <w:lang w:val="en-GB"/>
        </w:rPr>
        <w:t xml:space="preserve">codifying existing law. </w:t>
      </w:r>
    </w:p>
  </w:footnote>
  <w:footnote w:id="136">
    <w:p w14:paraId="5021E40C" w14:textId="0BEF9FB4"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812B98">
        <w:rPr>
          <w:szCs w:val="20"/>
          <w:lang w:val="en-GB"/>
        </w:rPr>
        <w:t xml:space="preserve">The </w:t>
      </w:r>
      <w:r w:rsidRPr="00F66F3C">
        <w:rPr>
          <w:i/>
          <w:szCs w:val="20"/>
          <w:lang w:val="en-GB"/>
        </w:rPr>
        <w:t>Freedom and Justice Party</w:t>
      </w:r>
      <w:r w:rsidR="00812B98">
        <w:rPr>
          <w:i/>
          <w:szCs w:val="20"/>
          <w:lang w:val="en-GB"/>
        </w:rPr>
        <w:t xml:space="preserve"> </w:t>
      </w:r>
      <w:r w:rsidR="00812B98">
        <w:rPr>
          <w:szCs w:val="20"/>
          <w:lang w:val="en-GB"/>
        </w:rPr>
        <w:t>case</w:t>
      </w:r>
      <w:r w:rsidRPr="00F66F3C">
        <w:rPr>
          <w:i/>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_Ref493330102 \h  \* MERGEFORMAT </w:instrText>
      </w:r>
      <w:r w:rsidRPr="00F66F3C">
        <w:rPr>
          <w:szCs w:val="20"/>
          <w:lang w:val="en-GB"/>
        </w:rPr>
      </w:r>
      <w:r w:rsidRPr="00F66F3C">
        <w:rPr>
          <w:szCs w:val="20"/>
          <w:lang w:val="en-GB"/>
        </w:rPr>
        <w:fldChar w:fldCharType="separate"/>
      </w:r>
      <w:r w:rsidR="006A2E69">
        <w:rPr>
          <w:szCs w:val="20"/>
          <w:lang w:val="en-GB"/>
        </w:rPr>
        <w:t>12</w:t>
      </w:r>
      <w:r w:rsidRPr="00F66F3C">
        <w:rPr>
          <w:szCs w:val="20"/>
          <w:lang w:val="en-GB"/>
        </w:rPr>
        <w:fldChar w:fldCharType="end"/>
      </w:r>
      <w:r w:rsidRPr="00F66F3C">
        <w:rPr>
          <w:szCs w:val="20"/>
          <w:lang w:val="en-GB"/>
        </w:rPr>
        <w:t xml:space="preserve">), para. 162. The Divisional Court cited Wood (n </w:t>
      </w:r>
      <w:r w:rsidRPr="00F66F3C">
        <w:rPr>
          <w:szCs w:val="20"/>
          <w:lang w:val="en-GB"/>
        </w:rPr>
        <w:fldChar w:fldCharType="begin"/>
      </w:r>
      <w:r w:rsidRPr="00F66F3C">
        <w:rPr>
          <w:szCs w:val="20"/>
          <w:lang w:val="en-GB"/>
        </w:rPr>
        <w:instrText xml:space="preserve"> NOTEREF _Ref364694143 \h  \* MERGEFORMAT </w:instrText>
      </w:r>
      <w:r w:rsidRPr="00F66F3C">
        <w:rPr>
          <w:szCs w:val="20"/>
          <w:lang w:val="en-GB"/>
        </w:rPr>
      </w:r>
      <w:r w:rsidRPr="00F66F3C">
        <w:rPr>
          <w:szCs w:val="20"/>
          <w:lang w:val="en-GB"/>
        </w:rPr>
        <w:fldChar w:fldCharType="separate"/>
      </w:r>
      <w:r w:rsidR="006A2E69">
        <w:rPr>
          <w:szCs w:val="20"/>
          <w:lang w:val="en-GB"/>
        </w:rPr>
        <w:t>3</w:t>
      </w:r>
      <w:r w:rsidRPr="00F66F3C">
        <w:rPr>
          <w:szCs w:val="20"/>
          <w:lang w:val="en-GB"/>
        </w:rPr>
        <w:fldChar w:fldCharType="end"/>
      </w:r>
      <w:r w:rsidRPr="00F66F3C">
        <w:rPr>
          <w:szCs w:val="20"/>
          <w:lang w:val="en-GB"/>
        </w:rPr>
        <w:t>), 60</w:t>
      </w:r>
      <w:r w:rsidR="00812B98">
        <w:rPr>
          <w:szCs w:val="20"/>
          <w:lang w:val="en-GB"/>
        </w:rPr>
        <w:t xml:space="preserve"> and</w:t>
      </w:r>
      <w:r w:rsidRPr="00F66F3C">
        <w:rPr>
          <w:szCs w:val="20"/>
          <w:lang w:val="en-GB"/>
        </w:rPr>
        <w:t xml:space="preserve"> 72–3; N Kalb (n </w:t>
      </w:r>
      <w:r w:rsidR="00812B98">
        <w:rPr>
          <w:szCs w:val="20"/>
          <w:lang w:val="en-GB"/>
        </w:rPr>
        <w:fldChar w:fldCharType="begin"/>
      </w:r>
      <w:r w:rsidR="00812B98">
        <w:rPr>
          <w:szCs w:val="20"/>
          <w:lang w:val="en-GB"/>
        </w:rPr>
        <w:instrText xml:space="preserve"> NOTEREF _Ref364691894 \h </w:instrText>
      </w:r>
      <w:r w:rsidR="00812B98">
        <w:rPr>
          <w:szCs w:val="20"/>
          <w:lang w:val="en-GB"/>
        </w:rPr>
      </w:r>
      <w:r w:rsidR="00812B98">
        <w:rPr>
          <w:szCs w:val="20"/>
          <w:lang w:val="en-GB"/>
        </w:rPr>
        <w:fldChar w:fldCharType="separate"/>
      </w:r>
      <w:r w:rsidR="006A2E69">
        <w:rPr>
          <w:szCs w:val="20"/>
          <w:lang w:val="en-GB"/>
        </w:rPr>
        <w:t>4</w:t>
      </w:r>
      <w:r w:rsidR="00812B98">
        <w:rPr>
          <w:szCs w:val="20"/>
          <w:lang w:val="en-GB"/>
        </w:rPr>
        <w:fldChar w:fldCharType="end"/>
      </w:r>
      <w:r w:rsidRPr="00F66F3C">
        <w:rPr>
          <w:szCs w:val="20"/>
          <w:lang w:val="en-GB"/>
        </w:rPr>
        <w:t xml:space="preserve">); Crawford (n </w:t>
      </w:r>
      <w:r w:rsidRPr="00F66F3C">
        <w:rPr>
          <w:szCs w:val="20"/>
          <w:lang w:val="en-GB"/>
        </w:rPr>
        <w:fldChar w:fldCharType="begin"/>
      </w:r>
      <w:r w:rsidRPr="00F66F3C">
        <w:rPr>
          <w:szCs w:val="20"/>
          <w:lang w:val="en-GB"/>
        </w:rPr>
        <w:instrText xml:space="preserve"> NOTEREF _Ref364712378 \h  \* MERGEFORMAT </w:instrText>
      </w:r>
      <w:r w:rsidRPr="00F66F3C">
        <w:rPr>
          <w:szCs w:val="20"/>
          <w:lang w:val="en-GB"/>
        </w:rPr>
      </w:r>
      <w:r w:rsidRPr="00F66F3C">
        <w:rPr>
          <w:szCs w:val="20"/>
          <w:lang w:val="en-GB"/>
        </w:rPr>
        <w:fldChar w:fldCharType="separate"/>
      </w:r>
      <w:r w:rsidR="006A2E69">
        <w:rPr>
          <w:szCs w:val="20"/>
          <w:lang w:val="en-GB"/>
        </w:rPr>
        <w:t>45</w:t>
      </w:r>
      <w:r w:rsidRPr="00F66F3C">
        <w:rPr>
          <w:szCs w:val="20"/>
          <w:lang w:val="en-GB"/>
        </w:rPr>
        <w:fldChar w:fldCharType="end"/>
      </w:r>
      <w:r w:rsidRPr="00F66F3C">
        <w:rPr>
          <w:szCs w:val="20"/>
          <w:lang w:val="en-GB"/>
        </w:rPr>
        <w:t xml:space="preserve">), p. 414; Fox and Webb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pp. 567</w:t>
      </w:r>
      <w:r w:rsidR="00812B98">
        <w:rPr>
          <w:szCs w:val="20"/>
          <w:lang w:val="en-GB"/>
        </w:rPr>
        <w:t>-</w:t>
      </w:r>
      <w:r w:rsidRPr="00F66F3C">
        <w:rPr>
          <w:szCs w:val="20"/>
          <w:lang w:val="en-GB"/>
        </w:rPr>
        <w:t xml:space="preserve">8; Foakes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xml:space="preserve">), p. 134; </w:t>
      </w:r>
      <w:r w:rsidRPr="00F66F3C">
        <w:rPr>
          <w:i/>
          <w:szCs w:val="20"/>
          <w:lang w:val="en-GB"/>
        </w:rPr>
        <w:t>Halsbury’s Laws of England</w:t>
      </w:r>
      <w:r w:rsidR="00812B98">
        <w:rPr>
          <w:szCs w:val="20"/>
          <w:lang w:val="en-GB"/>
        </w:rPr>
        <w:t xml:space="preserve"> </w:t>
      </w:r>
      <w:r w:rsidRPr="00F66F3C">
        <w:rPr>
          <w:szCs w:val="20"/>
          <w:lang w:val="en-GB"/>
        </w:rPr>
        <w:t>(</w:t>
      </w:r>
      <w:r w:rsidR="00812B98">
        <w:rPr>
          <w:szCs w:val="20"/>
          <w:lang w:val="en-GB"/>
        </w:rPr>
        <w:t xml:space="preserve">LexisNexis Butterworths, </w:t>
      </w:r>
      <w:r w:rsidRPr="00F66F3C">
        <w:rPr>
          <w:szCs w:val="20"/>
          <w:lang w:val="en-GB"/>
        </w:rPr>
        <w:t>2010)</w:t>
      </w:r>
      <w:r w:rsidR="00812B98">
        <w:rPr>
          <w:szCs w:val="20"/>
          <w:lang w:val="en-GB"/>
        </w:rPr>
        <w:t xml:space="preserve"> vol. 61</w:t>
      </w:r>
      <w:r w:rsidRPr="00F66F3C">
        <w:rPr>
          <w:szCs w:val="20"/>
          <w:lang w:val="en-GB"/>
        </w:rPr>
        <w:t xml:space="preserve">, para. 264; Wickremasinghe (n </w:t>
      </w:r>
      <w:r w:rsidRPr="00F66F3C">
        <w:rPr>
          <w:szCs w:val="20"/>
          <w:lang w:val="en-GB"/>
        </w:rPr>
        <w:fldChar w:fldCharType="begin"/>
      </w:r>
      <w:r w:rsidRPr="00F66F3C">
        <w:rPr>
          <w:szCs w:val="20"/>
          <w:lang w:val="en-GB"/>
        </w:rPr>
        <w:instrText xml:space="preserve"> NOTEREF _Ref364691894 \h  \* MERGEFORMAT </w:instrText>
      </w:r>
      <w:r w:rsidRPr="00F66F3C">
        <w:rPr>
          <w:szCs w:val="20"/>
          <w:lang w:val="en-GB"/>
        </w:rPr>
      </w:r>
      <w:r w:rsidRPr="00F66F3C">
        <w:rPr>
          <w:szCs w:val="20"/>
          <w:lang w:val="en-GB"/>
        </w:rPr>
        <w:fldChar w:fldCharType="separate"/>
      </w:r>
      <w:r w:rsidR="006A2E69">
        <w:rPr>
          <w:szCs w:val="20"/>
          <w:lang w:val="en-GB"/>
        </w:rPr>
        <w:t>4</w:t>
      </w:r>
      <w:r w:rsidRPr="00F66F3C">
        <w:rPr>
          <w:szCs w:val="20"/>
          <w:lang w:val="en-GB"/>
        </w:rPr>
        <w:fldChar w:fldCharType="end"/>
      </w:r>
      <w:r w:rsidRPr="00F66F3C">
        <w:rPr>
          <w:szCs w:val="20"/>
          <w:lang w:val="en-GB"/>
        </w:rPr>
        <w:t>), p. 390</w:t>
      </w:r>
      <w:r w:rsidR="00812B98">
        <w:rPr>
          <w:szCs w:val="20"/>
          <w:lang w:val="en-GB"/>
        </w:rPr>
        <w:t xml:space="preserve">; </w:t>
      </w:r>
      <w:r w:rsidRPr="00F66F3C">
        <w:rPr>
          <w:szCs w:val="20"/>
          <w:lang w:val="en-GB"/>
        </w:rPr>
        <w:t xml:space="preserve">P. d’Argent, </w:t>
      </w:r>
      <w:r w:rsidR="00812B98">
        <w:rPr>
          <w:szCs w:val="20"/>
          <w:lang w:val="en-GB"/>
        </w:rPr>
        <w:t>‘</w:t>
      </w:r>
      <w:r w:rsidRPr="00F66F3C">
        <w:rPr>
          <w:szCs w:val="20"/>
          <w:lang w:val="en-GB"/>
        </w:rPr>
        <w:t>Immunity of State Officials and the Obligation to Prosecute</w:t>
      </w:r>
      <w:r w:rsidR="00812B98">
        <w:rPr>
          <w:szCs w:val="20"/>
          <w:lang w:val="en-GB"/>
        </w:rPr>
        <w:t>’</w:t>
      </w:r>
      <w:r w:rsidRPr="00F66F3C">
        <w:rPr>
          <w:szCs w:val="20"/>
          <w:lang w:val="en-GB"/>
        </w:rPr>
        <w:t xml:space="preserve"> in A. Peters</w:t>
      </w:r>
      <w:r w:rsidR="00812B98">
        <w:rPr>
          <w:szCs w:val="20"/>
          <w:lang w:val="en-GB"/>
        </w:rPr>
        <w:t>, E. Lagrange, S. Oeter and C. Tomuschat ‘eds.)</w:t>
      </w:r>
      <w:r w:rsidRPr="00F66F3C">
        <w:rPr>
          <w:szCs w:val="20"/>
          <w:lang w:val="en-GB"/>
        </w:rPr>
        <w:t xml:space="preserve">, </w:t>
      </w:r>
      <w:r w:rsidRPr="00F66F3C">
        <w:rPr>
          <w:i/>
          <w:szCs w:val="20"/>
          <w:lang w:val="en-GB"/>
        </w:rPr>
        <w:t>Immunities in the Age of Global Constitutionalism</w:t>
      </w:r>
      <w:r w:rsidR="00812B98">
        <w:rPr>
          <w:i/>
          <w:szCs w:val="20"/>
          <w:lang w:val="en-GB"/>
        </w:rPr>
        <w:t xml:space="preserve"> </w:t>
      </w:r>
      <w:r w:rsidR="00812B98">
        <w:rPr>
          <w:szCs w:val="20"/>
          <w:lang w:val="en-GB"/>
        </w:rPr>
        <w:t>(Bril Nijhoff, 2015)</w:t>
      </w:r>
      <w:r w:rsidRPr="00F66F3C">
        <w:rPr>
          <w:szCs w:val="20"/>
          <w:lang w:val="en-GB"/>
        </w:rPr>
        <w:t>, p. 245</w:t>
      </w:r>
      <w:r w:rsidR="00812B98">
        <w:rPr>
          <w:szCs w:val="20"/>
          <w:lang w:val="en-GB"/>
        </w:rPr>
        <w:t>: ‘</w:t>
      </w:r>
      <w:r w:rsidRPr="00F66F3C">
        <w:rPr>
          <w:szCs w:val="20"/>
          <w:lang w:val="en-GB"/>
        </w:rPr>
        <w:t>The same is true for diplomats and members of special missions, but only in relation to possible criminal proceedings in the states to which they are accredited or on mission.</w:t>
      </w:r>
      <w:r w:rsidR="00812B98">
        <w:rPr>
          <w:szCs w:val="20"/>
          <w:lang w:val="en-GB"/>
        </w:rPr>
        <w:t>’</w:t>
      </w:r>
      <w:r w:rsidRPr="00F66F3C">
        <w:rPr>
          <w:szCs w:val="20"/>
          <w:lang w:val="en-GB"/>
        </w:rPr>
        <w:t>; I Roberts (ed</w:t>
      </w:r>
      <w:r w:rsidR="00812B98">
        <w:rPr>
          <w:szCs w:val="20"/>
          <w:lang w:val="en-GB"/>
        </w:rPr>
        <w:t>.</w:t>
      </w:r>
      <w:r w:rsidRPr="00F66F3C">
        <w:rPr>
          <w:szCs w:val="20"/>
          <w:lang w:val="en-GB"/>
        </w:rPr>
        <w:t xml:space="preserve">), </w:t>
      </w:r>
      <w:r w:rsidRPr="00F66F3C">
        <w:rPr>
          <w:i/>
          <w:szCs w:val="20"/>
          <w:lang w:val="en-GB"/>
        </w:rPr>
        <w:t>Satow’s Diplomatic Practice</w:t>
      </w:r>
      <w:r w:rsidR="00812B98">
        <w:rPr>
          <w:i/>
          <w:szCs w:val="20"/>
          <w:lang w:val="en-GB"/>
        </w:rPr>
        <w:t xml:space="preserve">, </w:t>
      </w:r>
      <w:r w:rsidR="00812B98" w:rsidRPr="00812B98">
        <w:rPr>
          <w:szCs w:val="20"/>
          <w:lang w:val="en-GB"/>
        </w:rPr>
        <w:t>6</w:t>
      </w:r>
      <w:r w:rsidR="00812B98" w:rsidRPr="00812B98">
        <w:rPr>
          <w:szCs w:val="20"/>
          <w:vertAlign w:val="superscript"/>
          <w:lang w:val="en-GB"/>
        </w:rPr>
        <w:t>th</w:t>
      </w:r>
      <w:r w:rsidR="00812B98" w:rsidRPr="00812B98">
        <w:rPr>
          <w:szCs w:val="20"/>
          <w:lang w:val="en-GB"/>
        </w:rPr>
        <w:t xml:space="preserve"> edn.</w:t>
      </w:r>
      <w:r w:rsidRPr="00F66F3C">
        <w:rPr>
          <w:szCs w:val="20"/>
          <w:lang w:val="en-GB"/>
        </w:rPr>
        <w:t xml:space="preserve"> (Oxford University Press, 2009).</w:t>
      </w:r>
    </w:p>
  </w:footnote>
  <w:footnote w:id="137">
    <w:p w14:paraId="3F36703C" w14:textId="44952A1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812B98">
        <w:rPr>
          <w:szCs w:val="20"/>
          <w:lang w:val="en-GB"/>
        </w:rPr>
        <w:t xml:space="preserve">The </w:t>
      </w:r>
      <w:r w:rsidRPr="00F66F3C">
        <w:rPr>
          <w:i/>
          <w:szCs w:val="20"/>
          <w:lang w:val="en-GB"/>
        </w:rPr>
        <w:t xml:space="preserve">Freedom and Justice Party </w:t>
      </w:r>
      <w:r w:rsidR="00812B98">
        <w:rPr>
          <w:szCs w:val="20"/>
          <w:lang w:val="en-GB"/>
        </w:rPr>
        <w:t xml:space="preserve">case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_Ref493330102 \h  \* MERGEFORMAT </w:instrText>
      </w:r>
      <w:r w:rsidRPr="00F66F3C">
        <w:rPr>
          <w:szCs w:val="20"/>
          <w:lang w:val="en-GB"/>
        </w:rPr>
      </w:r>
      <w:r w:rsidRPr="00F66F3C">
        <w:rPr>
          <w:szCs w:val="20"/>
          <w:lang w:val="en-GB"/>
        </w:rPr>
        <w:fldChar w:fldCharType="separate"/>
      </w:r>
      <w:r w:rsidR="006A2E69">
        <w:rPr>
          <w:szCs w:val="20"/>
          <w:lang w:val="en-GB"/>
        </w:rPr>
        <w:t>12</w:t>
      </w:r>
      <w:r w:rsidRPr="00F66F3C">
        <w:rPr>
          <w:szCs w:val="20"/>
          <w:lang w:val="en-GB"/>
        </w:rPr>
        <w:fldChar w:fldCharType="end"/>
      </w:r>
      <w:r w:rsidRPr="00F66F3C">
        <w:rPr>
          <w:szCs w:val="20"/>
          <w:lang w:val="en-GB"/>
        </w:rPr>
        <w:t xml:space="preserve">), para. 165. </w:t>
      </w:r>
    </w:p>
  </w:footnote>
  <w:footnote w:id="138">
    <w:p w14:paraId="7F78CBDE" w14:textId="33CB10B9"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US response to the CAHDI questionnaire was, however, somewhat equivocal: CAHDI Replies to Questionnaire (n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 xml:space="preserve">), 126. </w:t>
      </w:r>
    </w:p>
  </w:footnote>
  <w:footnote w:id="139">
    <w:p w14:paraId="46D11676" w14:textId="31B0BD95" w:rsidR="00812B98" w:rsidRPr="00F66F3C" w:rsidRDefault="00CA7C77" w:rsidP="00F66F3C">
      <w:pPr>
        <w:pStyle w:val="FootnoteText"/>
        <w:rPr>
          <w:szCs w:val="20"/>
          <w:lang w:val="en-GB"/>
        </w:rPr>
      </w:pPr>
      <w:r w:rsidRPr="00B570D6">
        <w:rPr>
          <w:rStyle w:val="FootnoteReference"/>
          <w:sz w:val="20"/>
          <w:szCs w:val="20"/>
          <w:lang w:val="en-GB"/>
        </w:rPr>
        <w:footnoteRef/>
      </w:r>
      <w:r w:rsidRPr="00B570D6">
        <w:rPr>
          <w:szCs w:val="20"/>
          <w:lang w:val="en-GB"/>
        </w:rPr>
        <w:t xml:space="preserve"> </w:t>
      </w:r>
      <w:bookmarkStart w:id="75" w:name="_Hlk491034159"/>
      <w:r w:rsidR="00B570D6" w:rsidRPr="00B570D6">
        <w:rPr>
          <w:szCs w:val="20"/>
          <w:lang w:val="en-GB"/>
        </w:rPr>
        <w:t xml:space="preserve">United States, District of Columbia District Court, </w:t>
      </w:r>
      <w:r w:rsidR="00B570D6" w:rsidRPr="00B570D6">
        <w:rPr>
          <w:i/>
          <w:szCs w:val="20"/>
          <w:lang w:val="en-GB"/>
        </w:rPr>
        <w:t>Li Weixum v. Bo Xilai</w:t>
      </w:r>
      <w:r w:rsidR="00B570D6" w:rsidRPr="00B570D6">
        <w:rPr>
          <w:szCs w:val="20"/>
          <w:lang w:val="en-GB"/>
        </w:rPr>
        <w:t xml:space="preserve">, Civ. No. 04-cv-0649 (RJL), </w:t>
      </w:r>
      <w:r w:rsidR="00B570D6" w:rsidRPr="00B570D6">
        <w:rPr>
          <w:i/>
          <w:szCs w:val="20"/>
          <w:lang w:val="en-GB"/>
        </w:rPr>
        <w:t>Further Statement of Interest of the United States in Support of the United States’ Suggestion of Immunity</w:t>
      </w:r>
      <w:r w:rsidR="00B570D6" w:rsidRPr="00B570D6">
        <w:rPr>
          <w:szCs w:val="20"/>
          <w:lang w:val="en-GB"/>
        </w:rPr>
        <w:t>, 6 December 2006</w:t>
      </w:r>
      <w:r w:rsidR="00B570D6">
        <w:rPr>
          <w:szCs w:val="20"/>
          <w:lang w:val="en-GB"/>
        </w:rPr>
        <w:t xml:space="preserve">, </w:t>
      </w:r>
      <w:hyperlink r:id="rId7" w:history="1">
        <w:r w:rsidR="00B570D6" w:rsidRPr="00B570D6">
          <w:rPr>
            <w:rStyle w:val="Hyperlink"/>
            <w:szCs w:val="20"/>
            <w:lang w:val="en-US"/>
          </w:rPr>
          <w:t>https://www.state.gov/documents/organization/98772.pdf</w:t>
        </w:r>
      </w:hyperlink>
      <w:r w:rsidR="00B570D6">
        <w:rPr>
          <w:szCs w:val="20"/>
          <w:lang w:val="en-GB"/>
        </w:rPr>
        <w:t xml:space="preserve">, 12. See also: </w:t>
      </w:r>
      <w:r w:rsidR="00812B98" w:rsidRPr="00B570D6">
        <w:rPr>
          <w:szCs w:val="20"/>
          <w:lang w:val="en-GB"/>
        </w:rPr>
        <w:t xml:space="preserve">United States, </w:t>
      </w:r>
      <w:r w:rsidR="00D90DDA" w:rsidRPr="00B570D6">
        <w:rPr>
          <w:szCs w:val="20"/>
          <w:lang w:val="en-GB"/>
        </w:rPr>
        <w:t xml:space="preserve">District of Columbia District Court, </w:t>
      </w:r>
      <w:r w:rsidR="00812B98" w:rsidRPr="00B570D6">
        <w:rPr>
          <w:i/>
          <w:szCs w:val="20"/>
          <w:lang w:val="en-GB"/>
        </w:rPr>
        <w:t>Li Weixum v. Bo Xilai</w:t>
      </w:r>
      <w:r w:rsidR="00812B98" w:rsidRPr="00B570D6">
        <w:rPr>
          <w:szCs w:val="20"/>
          <w:lang w:val="en-GB"/>
        </w:rPr>
        <w:t xml:space="preserve">, Civ. No. 04-0649 (RJL), </w:t>
      </w:r>
      <w:r w:rsidR="00812B98" w:rsidRPr="00B570D6">
        <w:rPr>
          <w:i/>
          <w:szCs w:val="20"/>
          <w:lang w:val="en-GB"/>
        </w:rPr>
        <w:t>Suggestion of Immunity and Statement of Interest of the United States</w:t>
      </w:r>
      <w:r w:rsidR="00812B98" w:rsidRPr="00B570D6">
        <w:rPr>
          <w:szCs w:val="20"/>
          <w:lang w:val="en-GB"/>
        </w:rPr>
        <w:t>, 24 July 2006, 4;</w:t>
      </w:r>
      <w:r w:rsidRPr="00B570D6">
        <w:rPr>
          <w:szCs w:val="20"/>
          <w:lang w:val="en-GB"/>
        </w:rPr>
        <w:t xml:space="preserve"> </w:t>
      </w:r>
      <w:bookmarkEnd w:id="75"/>
      <w:r w:rsidRPr="00B570D6">
        <w:rPr>
          <w:szCs w:val="20"/>
          <w:lang w:val="en-GB"/>
        </w:rPr>
        <w:t>Letter from Legal Adviser Bellinger Concerning Immunity of Bo Xilai, 24 July 2006</w:t>
      </w:r>
      <w:r w:rsidR="00D90DDA" w:rsidRPr="00B570D6">
        <w:rPr>
          <w:szCs w:val="20"/>
          <w:lang w:val="en-GB"/>
        </w:rPr>
        <w:t xml:space="preserve">, </w:t>
      </w:r>
      <w:hyperlink r:id="rId8" w:history="1">
        <w:r w:rsidR="00D90DDA" w:rsidRPr="00B570D6">
          <w:rPr>
            <w:rStyle w:val="Hyperlink"/>
            <w:szCs w:val="20"/>
            <w:lang w:val="en-GB"/>
          </w:rPr>
          <w:t>https://www.state.gov/documents/organization/98830.pdf</w:t>
        </w:r>
      </w:hyperlink>
      <w:r w:rsidR="00D90DDA" w:rsidRPr="00B570D6">
        <w:rPr>
          <w:szCs w:val="20"/>
          <w:lang w:val="en-GB"/>
        </w:rPr>
        <w:t xml:space="preserve">: </w:t>
      </w:r>
      <w:r w:rsidR="00812B98" w:rsidRPr="00B570D6">
        <w:rPr>
          <w:szCs w:val="20"/>
          <w:lang w:val="en-GB"/>
        </w:rPr>
        <w:t>‘</w:t>
      </w:r>
      <w:r w:rsidRPr="00B570D6">
        <w:rPr>
          <w:szCs w:val="20"/>
          <w:lang w:val="en-GB"/>
        </w:rPr>
        <w:t>[c]onsistent with the rules of customary international law</w:t>
      </w:r>
      <w:r w:rsidR="00812B98" w:rsidRPr="00B570D6">
        <w:rPr>
          <w:szCs w:val="20"/>
          <w:lang w:val="en-GB"/>
        </w:rPr>
        <w:t xml:space="preserve"> … </w:t>
      </w:r>
      <w:r w:rsidRPr="00B570D6">
        <w:rPr>
          <w:szCs w:val="20"/>
          <w:lang w:val="en-GB"/>
        </w:rPr>
        <w:t>it is appropriate to recognise the immunity of a high-level official on a special diplomatic mission form the jurisdiction of United States federal and state courts</w:t>
      </w:r>
      <w:r w:rsidR="00812B98" w:rsidRPr="00B570D6">
        <w:rPr>
          <w:szCs w:val="20"/>
          <w:lang w:val="en-GB"/>
        </w:rPr>
        <w:t>’</w:t>
      </w:r>
      <w:r w:rsidRPr="00B570D6">
        <w:rPr>
          <w:szCs w:val="20"/>
          <w:lang w:val="en-GB"/>
        </w:rPr>
        <w:t xml:space="preserve">); </w:t>
      </w:r>
      <w:r w:rsidR="00D90DDA" w:rsidRPr="00B570D6">
        <w:rPr>
          <w:szCs w:val="20"/>
          <w:lang w:val="en-GB"/>
        </w:rPr>
        <w:t xml:space="preserve">United States, District Court for Northern District of Ohio, </w:t>
      </w:r>
      <w:r w:rsidRPr="00B570D6">
        <w:rPr>
          <w:i/>
          <w:szCs w:val="20"/>
          <w:lang w:val="en-GB"/>
        </w:rPr>
        <w:t>Kilroy v</w:t>
      </w:r>
      <w:r w:rsidR="00D90DDA" w:rsidRPr="00B570D6">
        <w:rPr>
          <w:i/>
          <w:szCs w:val="20"/>
          <w:lang w:val="en-GB"/>
        </w:rPr>
        <w:t>.</w:t>
      </w:r>
      <w:r w:rsidRPr="00B570D6">
        <w:rPr>
          <w:i/>
          <w:szCs w:val="20"/>
          <w:lang w:val="en-GB"/>
        </w:rPr>
        <w:t xml:space="preserve"> Charles Windsor, Prince of Wales</w:t>
      </w:r>
      <w:r w:rsidRPr="00B570D6">
        <w:rPr>
          <w:szCs w:val="20"/>
          <w:lang w:val="en-GB"/>
        </w:rPr>
        <w:t>, Civ</w:t>
      </w:r>
      <w:r w:rsidR="00D90DDA" w:rsidRPr="00B570D6">
        <w:rPr>
          <w:szCs w:val="20"/>
          <w:lang w:val="en-GB"/>
        </w:rPr>
        <w:t>.</w:t>
      </w:r>
      <w:r w:rsidRPr="00B570D6">
        <w:rPr>
          <w:szCs w:val="20"/>
          <w:lang w:val="en-GB"/>
        </w:rPr>
        <w:t xml:space="preserve"> No</w:t>
      </w:r>
      <w:r w:rsidR="00D90DDA" w:rsidRPr="00B570D6">
        <w:rPr>
          <w:szCs w:val="20"/>
          <w:lang w:val="en-GB"/>
        </w:rPr>
        <w:t>.</w:t>
      </w:r>
      <w:r w:rsidRPr="00B570D6">
        <w:rPr>
          <w:szCs w:val="20"/>
          <w:lang w:val="en-GB"/>
        </w:rPr>
        <w:t xml:space="preserve"> C</w:t>
      </w:r>
      <w:r w:rsidR="00D90DDA" w:rsidRPr="00B570D6">
        <w:rPr>
          <w:szCs w:val="20"/>
          <w:lang w:val="en-GB"/>
        </w:rPr>
        <w:t>-</w:t>
      </w:r>
      <w:r w:rsidRPr="00B570D6">
        <w:rPr>
          <w:szCs w:val="20"/>
          <w:lang w:val="en-GB"/>
        </w:rPr>
        <w:t>78</w:t>
      </w:r>
      <w:r w:rsidR="00D90DDA" w:rsidRPr="00B570D6">
        <w:rPr>
          <w:szCs w:val="20"/>
          <w:lang w:val="en-GB"/>
        </w:rPr>
        <w:t>-</w:t>
      </w:r>
      <w:r w:rsidRPr="00B570D6">
        <w:rPr>
          <w:szCs w:val="20"/>
          <w:lang w:val="en-GB"/>
        </w:rPr>
        <w:t>291</w:t>
      </w:r>
      <w:r w:rsidR="00D90DDA" w:rsidRPr="00B570D6">
        <w:rPr>
          <w:szCs w:val="20"/>
          <w:lang w:val="en-GB"/>
        </w:rPr>
        <w:t>,</w:t>
      </w:r>
      <w:r w:rsidRPr="00B570D6">
        <w:rPr>
          <w:szCs w:val="20"/>
          <w:lang w:val="en-GB"/>
        </w:rPr>
        <w:t xml:space="preserve"> </w:t>
      </w:r>
      <w:r w:rsidRPr="00B570D6">
        <w:rPr>
          <w:i/>
          <w:szCs w:val="20"/>
          <w:lang w:val="en-GB"/>
        </w:rPr>
        <w:t>Suggestion of Immunity</w:t>
      </w:r>
      <w:r w:rsidRPr="00B570D6">
        <w:rPr>
          <w:szCs w:val="20"/>
          <w:lang w:val="en-GB"/>
        </w:rPr>
        <w:t xml:space="preserve">, 81 ILR 605. See also J. Bellinger III, </w:t>
      </w:r>
      <w:r w:rsidR="00D90DDA" w:rsidRPr="00B570D6">
        <w:rPr>
          <w:szCs w:val="20"/>
          <w:lang w:val="en-GB"/>
        </w:rPr>
        <w:t>‘</w:t>
      </w:r>
      <w:r w:rsidRPr="00B570D6">
        <w:rPr>
          <w:iCs/>
          <w:szCs w:val="20"/>
          <w:lang w:val="en-GB"/>
        </w:rPr>
        <w:t>Immunities</w:t>
      </w:r>
      <w:r w:rsidR="00D90DDA" w:rsidRPr="00B570D6">
        <w:rPr>
          <w:iCs/>
          <w:szCs w:val="20"/>
          <w:lang w:val="en-GB"/>
        </w:rPr>
        <w:t>’</w:t>
      </w:r>
      <w:r w:rsidRPr="00B570D6">
        <w:rPr>
          <w:szCs w:val="20"/>
          <w:lang w:val="en-GB"/>
        </w:rPr>
        <w:t xml:space="preserve">, </w:t>
      </w:r>
      <w:r w:rsidRPr="00B570D6">
        <w:rPr>
          <w:iCs/>
          <w:szCs w:val="20"/>
          <w:lang w:val="en-GB"/>
        </w:rPr>
        <w:t>Opinio Juris</w:t>
      </w:r>
      <w:r w:rsidR="00D90DDA" w:rsidRPr="00B570D6">
        <w:rPr>
          <w:iCs/>
          <w:szCs w:val="20"/>
          <w:lang w:val="en-GB"/>
        </w:rPr>
        <w:t xml:space="preserve">, </w:t>
      </w:r>
      <w:r w:rsidRPr="00B570D6">
        <w:rPr>
          <w:szCs w:val="20"/>
          <w:lang w:val="en-GB"/>
        </w:rPr>
        <w:t xml:space="preserve">18 January 2007, see under </w:t>
      </w:r>
      <w:hyperlink r:id="rId9" w:history="1">
        <w:r w:rsidR="00D90DDA" w:rsidRPr="00B570D6">
          <w:rPr>
            <w:rStyle w:val="Hyperlink"/>
            <w:szCs w:val="20"/>
            <w:lang w:val="en-GB"/>
          </w:rPr>
          <w:t>http://opiniojuris.org/2007/01/18/immunities/</w:t>
        </w:r>
      </w:hyperlink>
      <w:r w:rsidR="00D90DDA" w:rsidRPr="00B570D6">
        <w:rPr>
          <w:szCs w:val="20"/>
          <w:lang w:val="en-GB"/>
        </w:rPr>
        <w:t xml:space="preserve"> </w:t>
      </w:r>
      <w:r w:rsidRPr="00B570D6">
        <w:rPr>
          <w:szCs w:val="20"/>
          <w:lang w:val="en-GB"/>
        </w:rPr>
        <w:t xml:space="preserve">and J. Bellinger, ‘The Dog that Caught the Car: Observations on the Past, Present, and Future Approaches of the Office of the Legal Adviser to Official Acts Immunities’ (2011) 44 </w:t>
      </w:r>
      <w:r w:rsidR="00D90DDA" w:rsidRPr="00B570D6">
        <w:rPr>
          <w:i/>
          <w:szCs w:val="20"/>
          <w:lang w:val="en-GB"/>
        </w:rPr>
        <w:t>Vanderbilt Journal of Transnational Law</w:t>
      </w:r>
      <w:r w:rsidRPr="00B570D6">
        <w:rPr>
          <w:szCs w:val="20"/>
          <w:lang w:val="en-GB"/>
        </w:rPr>
        <w:t xml:space="preserve"> 819, 831</w:t>
      </w:r>
      <w:r w:rsidR="00D90DDA" w:rsidRPr="00B570D6">
        <w:rPr>
          <w:szCs w:val="20"/>
          <w:lang w:val="en-GB"/>
        </w:rPr>
        <w:t>-</w:t>
      </w:r>
      <w:r w:rsidRPr="00B570D6">
        <w:rPr>
          <w:szCs w:val="20"/>
          <w:lang w:val="en-GB"/>
        </w:rPr>
        <w:t xml:space="preserve">2. See also </w:t>
      </w:r>
      <w:r w:rsidR="00D90DDA" w:rsidRPr="00B570D6">
        <w:rPr>
          <w:szCs w:val="20"/>
          <w:lang w:val="en-GB"/>
        </w:rPr>
        <w:t xml:space="preserve">United States, District of Columbia District Court, </w:t>
      </w:r>
      <w:r w:rsidRPr="00B570D6">
        <w:rPr>
          <w:i/>
          <w:szCs w:val="20"/>
          <w:lang w:val="en-GB"/>
        </w:rPr>
        <w:t xml:space="preserve">In </w:t>
      </w:r>
      <w:r w:rsidR="00D90DDA" w:rsidRPr="00B570D6">
        <w:rPr>
          <w:i/>
          <w:szCs w:val="20"/>
          <w:lang w:val="en-GB"/>
        </w:rPr>
        <w:t>R</w:t>
      </w:r>
      <w:r w:rsidRPr="00B570D6">
        <w:rPr>
          <w:i/>
          <w:szCs w:val="20"/>
          <w:lang w:val="en-GB"/>
        </w:rPr>
        <w:t>e</w:t>
      </w:r>
      <w:r w:rsidR="00D90DDA" w:rsidRPr="00B570D6">
        <w:rPr>
          <w:i/>
          <w:szCs w:val="20"/>
          <w:lang w:val="en-GB"/>
        </w:rPr>
        <w:t>:</w:t>
      </w:r>
      <w:r w:rsidRPr="00B570D6">
        <w:rPr>
          <w:i/>
          <w:szCs w:val="20"/>
          <w:lang w:val="en-GB"/>
        </w:rPr>
        <w:t xml:space="preserve"> Matter of the Application of Mikhail B. Khodorkovsky for an Order Seeking Discovery under 28 USC</w:t>
      </w:r>
      <w:r w:rsidR="005E2C6F" w:rsidRPr="00B570D6">
        <w:rPr>
          <w:i/>
          <w:szCs w:val="20"/>
          <w:lang w:val="en-GB"/>
        </w:rPr>
        <w:t xml:space="preserve"> </w:t>
      </w:r>
      <w:r w:rsidRPr="00B570D6">
        <w:rPr>
          <w:i/>
          <w:szCs w:val="20"/>
          <w:lang w:val="en-GB"/>
        </w:rPr>
        <w:t>1782</w:t>
      </w:r>
      <w:r w:rsidRPr="00B570D6">
        <w:rPr>
          <w:szCs w:val="20"/>
          <w:lang w:val="en-GB"/>
        </w:rPr>
        <w:t xml:space="preserve">, </w:t>
      </w:r>
      <w:r w:rsidR="00D90DDA" w:rsidRPr="00B570D6">
        <w:rPr>
          <w:szCs w:val="20"/>
          <w:lang w:val="en-GB"/>
        </w:rPr>
        <w:t xml:space="preserve">Case </w:t>
      </w:r>
      <w:r w:rsidRPr="00B570D6">
        <w:rPr>
          <w:szCs w:val="20"/>
          <w:lang w:val="en-GB"/>
        </w:rPr>
        <w:t>No. 09-mc-205</w:t>
      </w:r>
      <w:r w:rsidR="00D90DDA" w:rsidRPr="00B570D6">
        <w:rPr>
          <w:szCs w:val="20"/>
          <w:lang w:val="en-GB"/>
        </w:rPr>
        <w:t>, 17 April 2009</w:t>
      </w:r>
      <w:r w:rsidRPr="00B570D6">
        <w:rPr>
          <w:szCs w:val="20"/>
          <w:lang w:val="en-GB"/>
        </w:rPr>
        <w:t xml:space="preserve"> (D</w:t>
      </w:r>
      <w:r w:rsidR="00D90DDA" w:rsidRPr="00B570D6">
        <w:rPr>
          <w:szCs w:val="20"/>
          <w:lang w:val="en-GB"/>
        </w:rPr>
        <w:t>.</w:t>
      </w:r>
      <w:r w:rsidRPr="00B570D6">
        <w:rPr>
          <w:szCs w:val="20"/>
          <w:lang w:val="en-GB"/>
        </w:rPr>
        <w:t>D</w:t>
      </w:r>
      <w:r w:rsidR="00D90DDA" w:rsidRPr="00B570D6">
        <w:rPr>
          <w:szCs w:val="20"/>
          <w:lang w:val="en-GB"/>
        </w:rPr>
        <w:t>.</w:t>
      </w:r>
      <w:r w:rsidRPr="00B570D6">
        <w:rPr>
          <w:szCs w:val="20"/>
          <w:lang w:val="en-GB"/>
        </w:rPr>
        <w:t>C</w:t>
      </w:r>
      <w:r w:rsidR="00D90DDA" w:rsidRPr="00B570D6">
        <w:rPr>
          <w:szCs w:val="20"/>
          <w:lang w:val="en-GB"/>
        </w:rPr>
        <w:t>.</w:t>
      </w:r>
      <w:r w:rsidRPr="00B570D6">
        <w:rPr>
          <w:szCs w:val="20"/>
          <w:lang w:val="en-GB"/>
        </w:rPr>
        <w:t xml:space="preserve"> 2009).</w:t>
      </w:r>
    </w:p>
  </w:footnote>
  <w:footnote w:id="140">
    <w:p w14:paraId="2990D171" w14:textId="37058AA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CAHDI Replies to Questionnaire</w:t>
      </w:r>
      <w:r w:rsidRPr="00F66F3C" w:rsidDel="00CB0591">
        <w:rPr>
          <w:i/>
          <w:iCs/>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w:t>
      </w:r>
      <w:r w:rsidR="00D90DDA">
        <w:rPr>
          <w:szCs w:val="20"/>
          <w:lang w:val="en-GB"/>
        </w:rPr>
        <w:t xml:space="preserve"> (‘</w:t>
      </w:r>
      <w:r w:rsidRPr="00F66F3C">
        <w:rPr>
          <w:szCs w:val="20"/>
          <w:lang w:val="en-GB"/>
        </w:rPr>
        <w:t xml:space="preserve">Ireland accepts that members of special missions may be entitled to certain immunities but has not taken a position as to the </w:t>
      </w:r>
      <w:r w:rsidRPr="00F66F3C">
        <w:rPr>
          <w:i/>
          <w:szCs w:val="20"/>
          <w:lang w:val="en-GB"/>
        </w:rPr>
        <w:t>precise scope</w:t>
      </w:r>
      <w:r w:rsidRPr="00F66F3C">
        <w:rPr>
          <w:szCs w:val="20"/>
          <w:lang w:val="en-GB"/>
        </w:rPr>
        <w:t xml:space="preserve"> of immunities applicable to special missions under customary international law</w:t>
      </w:r>
      <w:r w:rsidR="00D90DDA">
        <w:rPr>
          <w:szCs w:val="20"/>
          <w:lang w:val="en-GB"/>
        </w:rPr>
        <w:t>’</w:t>
      </w:r>
      <w:r w:rsidRPr="00F66F3C">
        <w:rPr>
          <w:szCs w:val="20"/>
          <w:lang w:val="en-GB"/>
        </w:rPr>
        <w:t xml:space="preserve"> (emphasis added) and </w:t>
      </w:r>
      <w:r w:rsidR="00D90DDA">
        <w:rPr>
          <w:szCs w:val="20"/>
          <w:lang w:val="en-GB"/>
        </w:rPr>
        <w:t>‘</w:t>
      </w:r>
      <w:r w:rsidRPr="00F66F3C">
        <w:rPr>
          <w:szCs w:val="20"/>
          <w:lang w:val="en-GB"/>
        </w:rPr>
        <w:t>immunities can be applicable to special missions by virtue of customary international law, which forms part of Irish law</w:t>
      </w:r>
      <w:r w:rsidR="00D90DDA">
        <w:rPr>
          <w:szCs w:val="20"/>
          <w:lang w:val="en-GB"/>
        </w:rPr>
        <w:t>’</w:t>
      </w:r>
      <w:r w:rsidRPr="00F66F3C">
        <w:rPr>
          <w:szCs w:val="20"/>
          <w:lang w:val="en-GB"/>
        </w:rPr>
        <w:t>.</w:t>
      </w:r>
    </w:p>
  </w:footnote>
  <w:footnote w:id="141">
    <w:p w14:paraId="3CBA101D" w14:textId="4E2B06FF"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90DDA">
        <w:rPr>
          <w:iCs/>
          <w:szCs w:val="20"/>
          <w:lang w:val="en-GB"/>
        </w:rPr>
        <w:t>Ibid.</w:t>
      </w:r>
      <w:r w:rsidRPr="00F66F3C">
        <w:rPr>
          <w:szCs w:val="20"/>
          <w:lang w:val="en-GB"/>
        </w:rPr>
        <w:t xml:space="preserve"> (</w:t>
      </w:r>
      <w:r w:rsidR="00D90DDA">
        <w:rPr>
          <w:szCs w:val="20"/>
          <w:lang w:val="en-GB"/>
        </w:rPr>
        <w:t>‘</w:t>
      </w:r>
      <w:r w:rsidRPr="00F66F3C">
        <w:rPr>
          <w:szCs w:val="20"/>
          <w:lang w:val="en-GB"/>
        </w:rPr>
        <w:t>Whilst Malta acknowledges that members of special missions may be entitled to certain immunities, it has not as yet taken a formal position as to the precise scope of these under customary international law, and any situation that were to arise would be considered on an individual basis.</w:t>
      </w:r>
      <w:r w:rsidR="00D90DDA">
        <w:rPr>
          <w:szCs w:val="20"/>
          <w:lang w:val="en-GB"/>
        </w:rPr>
        <w:t>’</w:t>
      </w:r>
      <w:r w:rsidRPr="00F66F3C">
        <w:rPr>
          <w:szCs w:val="20"/>
          <w:lang w:val="en-GB"/>
        </w:rPr>
        <w:t>)</w:t>
      </w:r>
    </w:p>
  </w:footnote>
  <w:footnote w:id="142">
    <w:p w14:paraId="0582B7C2" w14:textId="10F892B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90DDA">
        <w:rPr>
          <w:iCs/>
          <w:szCs w:val="20"/>
          <w:lang w:val="en-GB"/>
        </w:rPr>
        <w:t>Ibid.</w:t>
      </w:r>
      <w:r w:rsidRPr="00F66F3C">
        <w:rPr>
          <w:szCs w:val="20"/>
          <w:lang w:val="en-GB"/>
        </w:rPr>
        <w:t xml:space="preserve"> (</w:t>
      </w:r>
      <w:r w:rsidR="00D90DDA">
        <w:rPr>
          <w:szCs w:val="20"/>
          <w:lang w:val="en-GB"/>
        </w:rPr>
        <w:t>‘</w:t>
      </w:r>
      <w:r w:rsidRPr="00F66F3C">
        <w:rPr>
          <w:szCs w:val="20"/>
          <w:lang w:val="en-GB"/>
        </w:rPr>
        <w:t xml:space="preserve">Norway does see an emerging customary law developing on this topic, but has not taken a position as to the </w:t>
      </w:r>
      <w:r w:rsidRPr="00F66F3C">
        <w:rPr>
          <w:i/>
          <w:szCs w:val="20"/>
          <w:lang w:val="en-GB"/>
        </w:rPr>
        <w:t>precise scope</w:t>
      </w:r>
      <w:r w:rsidRPr="00F66F3C">
        <w:rPr>
          <w:szCs w:val="20"/>
          <w:lang w:val="en-GB"/>
        </w:rPr>
        <w:t xml:space="preserve"> of immunities applicable to special missions”, emphasis added)</w:t>
      </w:r>
    </w:p>
  </w:footnote>
  <w:footnote w:id="143">
    <w:p w14:paraId="37F8DB13" w14:textId="2FCF95BB"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90DDA">
        <w:rPr>
          <w:iCs/>
          <w:szCs w:val="20"/>
          <w:lang w:val="en-GB"/>
        </w:rPr>
        <w:t>Ibid.</w:t>
      </w:r>
      <w:r w:rsidRPr="00F66F3C">
        <w:rPr>
          <w:i/>
          <w:iCs/>
          <w:szCs w:val="20"/>
          <w:lang w:val="en-GB"/>
        </w:rPr>
        <w:t xml:space="preserve"> </w:t>
      </w:r>
      <w:r w:rsidRPr="00F66F3C">
        <w:rPr>
          <w:szCs w:val="20"/>
          <w:lang w:val="en-GB"/>
        </w:rPr>
        <w:t>(</w:t>
      </w:r>
      <w:r w:rsidR="00D90DDA">
        <w:rPr>
          <w:szCs w:val="20"/>
          <w:lang w:val="en-GB"/>
        </w:rPr>
        <w:t>‘</w:t>
      </w:r>
      <w:r w:rsidRPr="00F66F3C">
        <w:rPr>
          <w:szCs w:val="20"/>
          <w:lang w:val="en-GB"/>
        </w:rPr>
        <w:t>Mexico acknowledges the existence of certain State practice regarding immunity of special missions that might be interpreted as an emerging rule of customary international law. However, Mexico has not taken a position as to the existence of a customary rule of international law in this field. Rather, Mexico has voluntarily opted to be legally bound by the rules codified in the [Convention on Special Missions]</w:t>
      </w:r>
      <w:r w:rsidR="00D90DDA">
        <w:rPr>
          <w:szCs w:val="20"/>
          <w:lang w:val="en-GB"/>
        </w:rPr>
        <w:t>’</w:t>
      </w:r>
      <w:r w:rsidRPr="00F66F3C">
        <w:rPr>
          <w:szCs w:val="20"/>
          <w:lang w:val="en-GB"/>
        </w:rPr>
        <w:t>.</w:t>
      </w:r>
    </w:p>
  </w:footnote>
  <w:footnote w:id="144">
    <w:p w14:paraId="5CA961F9" w14:textId="77777777"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90DDA">
        <w:rPr>
          <w:szCs w:val="20"/>
          <w:lang w:val="en-GB"/>
        </w:rPr>
        <w:t>Ibid.,</w:t>
      </w:r>
      <w:r w:rsidRPr="00F66F3C">
        <w:rPr>
          <w:szCs w:val="20"/>
          <w:lang w:val="en-GB"/>
        </w:rPr>
        <w:t xml:space="preserve"> Austria; Belarus (though note reference to the Convention on Special Missions); Czech Republic; Germany; Italy; the Netherlands; United Kingdom. </w:t>
      </w:r>
    </w:p>
  </w:footnote>
  <w:footnote w:id="145">
    <w:p w14:paraId="6920699E" w14:textId="76E9155B" w:rsidR="00CA7C77" w:rsidRPr="00F66F3C" w:rsidRDefault="00CA7C77" w:rsidP="00F66F3C">
      <w:pPr>
        <w:pStyle w:val="FootnoteText"/>
        <w:rPr>
          <w:szCs w:val="20"/>
          <w:lang w:val="en-GB"/>
        </w:rPr>
      </w:pPr>
      <w:r w:rsidRPr="00F66F3C">
        <w:rPr>
          <w:rStyle w:val="FootnoteReference"/>
          <w:sz w:val="20"/>
          <w:szCs w:val="20"/>
          <w:lang w:val="en-GB"/>
        </w:rPr>
        <w:footnoteRef/>
      </w:r>
      <w:r w:rsidRPr="00D90DDA">
        <w:rPr>
          <w:szCs w:val="20"/>
          <w:lang w:val="en-US"/>
        </w:rPr>
        <w:t xml:space="preserve"> </w:t>
      </w:r>
      <w:r w:rsidR="00D90DDA" w:rsidRPr="00D90DDA">
        <w:rPr>
          <w:szCs w:val="20"/>
          <w:lang w:val="en-US"/>
        </w:rPr>
        <w:t xml:space="preserve">The </w:t>
      </w:r>
      <w:r w:rsidRPr="00D90DDA">
        <w:rPr>
          <w:i/>
          <w:szCs w:val="20"/>
          <w:lang w:val="en-US"/>
        </w:rPr>
        <w:t>Khurts Bat</w:t>
      </w:r>
      <w:r w:rsidR="00D90DDA" w:rsidRPr="00D90DDA">
        <w:rPr>
          <w:i/>
          <w:szCs w:val="20"/>
          <w:lang w:val="en-US"/>
        </w:rPr>
        <w:t xml:space="preserve"> </w:t>
      </w:r>
      <w:r w:rsidR="00D90DDA" w:rsidRPr="00D90DDA">
        <w:rPr>
          <w:szCs w:val="20"/>
          <w:lang w:val="en-US"/>
        </w:rPr>
        <w:t>case</w:t>
      </w:r>
      <w:r w:rsidRPr="00D90DDA">
        <w:rPr>
          <w:i/>
          <w:szCs w:val="20"/>
          <w:lang w:val="en-US"/>
        </w:rPr>
        <w:t xml:space="preserve"> </w:t>
      </w:r>
      <w:r w:rsidRPr="00D90DDA">
        <w:rPr>
          <w:szCs w:val="20"/>
          <w:lang w:val="en-US"/>
        </w:rPr>
        <w:t xml:space="preserve">(n </w:t>
      </w:r>
      <w:r w:rsidRPr="00F66F3C">
        <w:rPr>
          <w:szCs w:val="20"/>
          <w:lang w:val="en-GB"/>
        </w:rPr>
        <w:fldChar w:fldCharType="begin"/>
      </w:r>
      <w:r w:rsidRPr="00D90DDA">
        <w:rPr>
          <w:szCs w:val="20"/>
          <w:lang w:val="en-US"/>
        </w:rPr>
        <w:instrText xml:space="preserve"> NOTEREF _Ref494958445 \h  \* MERGEFORMAT </w:instrText>
      </w:r>
      <w:r w:rsidRPr="00F66F3C">
        <w:rPr>
          <w:szCs w:val="20"/>
          <w:lang w:val="en-GB"/>
        </w:rPr>
      </w:r>
      <w:r w:rsidRPr="00F66F3C">
        <w:rPr>
          <w:szCs w:val="20"/>
          <w:lang w:val="en-GB"/>
        </w:rPr>
        <w:fldChar w:fldCharType="separate"/>
      </w:r>
      <w:r w:rsidR="006A2E69">
        <w:rPr>
          <w:szCs w:val="20"/>
          <w:lang w:val="en-US"/>
        </w:rPr>
        <w:t>103</w:t>
      </w:r>
      <w:r w:rsidRPr="00F66F3C">
        <w:rPr>
          <w:szCs w:val="20"/>
          <w:lang w:val="en-GB"/>
        </w:rPr>
        <w:fldChar w:fldCharType="end"/>
      </w:r>
      <w:r w:rsidRPr="00D90DDA">
        <w:rPr>
          <w:szCs w:val="20"/>
          <w:lang w:val="en-US"/>
        </w:rPr>
        <w:t>), 362</w:t>
      </w:r>
      <w:r w:rsidR="00D90DDA">
        <w:rPr>
          <w:szCs w:val="20"/>
          <w:lang w:val="en-US"/>
        </w:rPr>
        <w:t xml:space="preserve">, </w:t>
      </w:r>
      <w:r w:rsidRPr="00D90DDA">
        <w:rPr>
          <w:szCs w:val="20"/>
          <w:lang w:val="en-US"/>
        </w:rPr>
        <w:t xml:space="preserve">para. </w:t>
      </w:r>
      <w:r w:rsidRPr="00F66F3C">
        <w:rPr>
          <w:szCs w:val="20"/>
          <w:lang w:val="en-GB"/>
        </w:rPr>
        <w:t xml:space="preserve">26. </w:t>
      </w:r>
    </w:p>
  </w:footnote>
  <w:footnote w:id="146">
    <w:p w14:paraId="6EE3941A" w14:textId="4E7939EB" w:rsidR="00C46DDC" w:rsidRPr="00F66F3C" w:rsidRDefault="00CA7C77" w:rsidP="00F66F3C">
      <w:pPr>
        <w:pStyle w:val="FootnoteText"/>
        <w:rPr>
          <w:szCs w:val="20"/>
          <w:lang w:val="en-GB"/>
        </w:rPr>
      </w:pPr>
      <w:r w:rsidRPr="00DB3CEC">
        <w:rPr>
          <w:rStyle w:val="FootnoteReference"/>
          <w:sz w:val="20"/>
          <w:szCs w:val="20"/>
          <w:lang w:val="en-GB"/>
        </w:rPr>
        <w:footnoteRef/>
      </w:r>
      <w:r w:rsidRPr="00DB3CEC">
        <w:rPr>
          <w:szCs w:val="20"/>
          <w:lang w:val="en-GB"/>
        </w:rPr>
        <w:t xml:space="preserve"> </w:t>
      </w:r>
      <w:bookmarkStart w:id="77" w:name="_Hlk504142190"/>
      <w:r w:rsidR="00C46DDC" w:rsidRPr="00DB3CEC">
        <w:rPr>
          <w:szCs w:val="20"/>
          <w:lang w:val="en-GB"/>
        </w:rPr>
        <w:t xml:space="preserve">United Kingdom, England and Wales High Court of Justice, Queen’s Bench Divison, </w:t>
      </w:r>
      <w:r w:rsidR="00C46DDC" w:rsidRPr="00DB3CEC">
        <w:rPr>
          <w:i/>
          <w:szCs w:val="20"/>
          <w:lang w:val="en-GB"/>
        </w:rPr>
        <w:t>R</w:t>
      </w:r>
      <w:r w:rsidR="00DB3CEC" w:rsidRPr="00DB3CEC">
        <w:rPr>
          <w:i/>
          <w:szCs w:val="20"/>
          <w:lang w:val="en-GB"/>
        </w:rPr>
        <w:t>. v. Governor of Pentonville Prison, ex parte Osman (No 2)</w:t>
      </w:r>
      <w:r w:rsidR="00DB3CEC" w:rsidRPr="00DB3CEC">
        <w:rPr>
          <w:szCs w:val="20"/>
          <w:lang w:val="en-GB"/>
        </w:rPr>
        <w:t>, 21 December 1988, 88 ILR 378.</w:t>
      </w:r>
    </w:p>
    <w:bookmarkEnd w:id="77"/>
  </w:footnote>
  <w:footnote w:id="147">
    <w:p w14:paraId="342F60FA" w14:textId="051C68A5"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D90DDA">
        <w:rPr>
          <w:szCs w:val="20"/>
          <w:lang w:val="en-GB"/>
        </w:rPr>
        <w:t xml:space="preserve">See the </w:t>
      </w:r>
      <w:r w:rsidRPr="00F66F3C">
        <w:rPr>
          <w:i/>
          <w:szCs w:val="20"/>
          <w:lang w:val="en-GB"/>
        </w:rPr>
        <w:t>USA v Sissoko</w:t>
      </w:r>
      <w:r w:rsidR="00D90DDA">
        <w:rPr>
          <w:i/>
          <w:szCs w:val="20"/>
          <w:lang w:val="en-GB"/>
        </w:rPr>
        <w:t xml:space="preserve"> </w:t>
      </w:r>
      <w:r w:rsidR="00D90DDA">
        <w:rPr>
          <w:szCs w:val="20"/>
          <w:lang w:val="en-GB"/>
        </w:rPr>
        <w:t xml:space="preserve">case (n </w:t>
      </w:r>
      <w:r w:rsidRPr="00F66F3C">
        <w:rPr>
          <w:szCs w:val="20"/>
          <w:lang w:val="en-GB"/>
        </w:rPr>
        <w:fldChar w:fldCharType="begin"/>
      </w:r>
      <w:r w:rsidRPr="00F66F3C">
        <w:rPr>
          <w:szCs w:val="20"/>
          <w:lang w:val="en-GB"/>
        </w:rPr>
        <w:instrText xml:space="preserve"> NOTEREF _Ref493329995 \h  \* MERGEFORMAT </w:instrText>
      </w:r>
      <w:r w:rsidRPr="00F66F3C">
        <w:rPr>
          <w:szCs w:val="20"/>
          <w:lang w:val="en-GB"/>
        </w:rPr>
      </w:r>
      <w:r w:rsidRPr="00F66F3C">
        <w:rPr>
          <w:szCs w:val="20"/>
          <w:lang w:val="en-GB"/>
        </w:rPr>
        <w:fldChar w:fldCharType="separate"/>
      </w:r>
      <w:r w:rsidR="006A2E69">
        <w:rPr>
          <w:szCs w:val="20"/>
          <w:lang w:val="en-GB"/>
        </w:rPr>
        <w:t>59</w:t>
      </w:r>
      <w:r w:rsidRPr="00F66F3C">
        <w:rPr>
          <w:szCs w:val="20"/>
          <w:lang w:val="en-GB"/>
        </w:rPr>
        <w:fldChar w:fldCharType="end"/>
      </w:r>
      <w:r w:rsidR="00D90DDA">
        <w:rPr>
          <w:szCs w:val="20"/>
          <w:lang w:val="en-GB"/>
        </w:rPr>
        <w:t>)</w:t>
      </w:r>
      <w:r w:rsidRPr="00F66F3C">
        <w:rPr>
          <w:szCs w:val="20"/>
          <w:lang w:val="en-GB"/>
        </w:rPr>
        <w:t xml:space="preserve">. </w:t>
      </w:r>
    </w:p>
  </w:footnote>
  <w:footnote w:id="148">
    <w:p w14:paraId="18A822CD" w14:textId="1932C478" w:rsidR="00CA7C77" w:rsidRPr="00F66F3C" w:rsidRDefault="00CA7C77" w:rsidP="00F66F3C">
      <w:pPr>
        <w:pStyle w:val="FootnoteText"/>
        <w:rPr>
          <w:szCs w:val="20"/>
          <w:lang w:val="en-GB"/>
        </w:rPr>
      </w:pPr>
      <w:r w:rsidRPr="00F66F3C">
        <w:rPr>
          <w:rStyle w:val="FootnoteReference"/>
          <w:sz w:val="20"/>
          <w:szCs w:val="20"/>
          <w:lang w:val="en-GB"/>
        </w:rPr>
        <w:footnoteRef/>
      </w:r>
      <w:r w:rsidR="00D90DDA">
        <w:rPr>
          <w:szCs w:val="20"/>
          <w:lang w:val="en-GB"/>
        </w:rPr>
        <w:t xml:space="preserve"> The</w:t>
      </w:r>
      <w:r w:rsidRPr="00F66F3C">
        <w:rPr>
          <w:szCs w:val="20"/>
          <w:lang w:val="en-GB"/>
        </w:rPr>
        <w:t xml:space="preserve"> </w:t>
      </w:r>
      <w:r w:rsidRPr="00F66F3C">
        <w:rPr>
          <w:i/>
          <w:szCs w:val="20"/>
          <w:lang w:val="en-GB"/>
        </w:rPr>
        <w:t>Osman</w:t>
      </w:r>
      <w:r w:rsidRPr="00F66F3C">
        <w:rPr>
          <w:szCs w:val="20"/>
          <w:lang w:val="en-GB"/>
        </w:rPr>
        <w:t xml:space="preserve"> </w:t>
      </w:r>
      <w:r w:rsidR="00D90DDA">
        <w:rPr>
          <w:szCs w:val="20"/>
          <w:lang w:val="en-GB"/>
        </w:rPr>
        <w:t xml:space="preserve">case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_Ref494958606 \h  \* MERGEFORMAT </w:instrText>
      </w:r>
      <w:r w:rsidRPr="00F66F3C">
        <w:rPr>
          <w:szCs w:val="20"/>
          <w:lang w:val="en-GB"/>
        </w:rPr>
      </w:r>
      <w:r w:rsidRPr="00F66F3C">
        <w:rPr>
          <w:szCs w:val="20"/>
          <w:lang w:val="en-GB"/>
        </w:rPr>
        <w:fldChar w:fldCharType="separate"/>
      </w:r>
      <w:r w:rsidR="006A2E69">
        <w:rPr>
          <w:szCs w:val="20"/>
          <w:lang w:val="en-GB"/>
        </w:rPr>
        <w:t>145</w:t>
      </w:r>
      <w:r w:rsidRPr="00F66F3C">
        <w:rPr>
          <w:szCs w:val="20"/>
          <w:lang w:val="en-GB"/>
        </w:rPr>
        <w:fldChar w:fldCharType="end"/>
      </w:r>
      <w:r w:rsidRPr="00F66F3C">
        <w:rPr>
          <w:szCs w:val="20"/>
          <w:lang w:val="en-GB"/>
        </w:rPr>
        <w:t>), 385.</w:t>
      </w:r>
    </w:p>
  </w:footnote>
  <w:footnote w:id="149">
    <w:p w14:paraId="054BCCFF" w14:textId="5A8FA32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DB3CEC">
        <w:rPr>
          <w:iCs/>
          <w:szCs w:val="20"/>
          <w:lang w:val="en-GB"/>
        </w:rPr>
        <w:t>Ibid.</w:t>
      </w:r>
      <w:r w:rsidRPr="00F66F3C">
        <w:rPr>
          <w:szCs w:val="20"/>
          <w:lang w:val="en-GB"/>
        </w:rPr>
        <w:t>, 393.</w:t>
      </w:r>
    </w:p>
  </w:footnote>
  <w:footnote w:id="150">
    <w:p w14:paraId="480400CB" w14:textId="77777777"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Discussed in detail below. </w:t>
      </w:r>
    </w:p>
  </w:footnote>
  <w:footnote w:id="151">
    <w:p w14:paraId="5C9F4163" w14:textId="050C40B4"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DB3CEC">
        <w:rPr>
          <w:szCs w:val="20"/>
          <w:lang w:val="en-GB"/>
        </w:rPr>
        <w:t xml:space="preserve">The </w:t>
      </w:r>
      <w:r w:rsidR="00DB3CEC">
        <w:rPr>
          <w:i/>
          <w:szCs w:val="20"/>
          <w:lang w:val="en-GB"/>
        </w:rPr>
        <w:t xml:space="preserve">USA v. </w:t>
      </w:r>
      <w:r w:rsidRPr="00F66F3C">
        <w:rPr>
          <w:i/>
          <w:szCs w:val="20"/>
          <w:lang w:val="en-GB"/>
        </w:rPr>
        <w:t>Sissoko</w:t>
      </w:r>
      <w:r w:rsidRPr="00F66F3C">
        <w:rPr>
          <w:szCs w:val="20"/>
          <w:lang w:val="en-GB"/>
        </w:rPr>
        <w:t xml:space="preserve"> (n </w:t>
      </w:r>
      <w:r w:rsidRPr="00F66F3C">
        <w:rPr>
          <w:szCs w:val="20"/>
          <w:lang w:val="en-GB"/>
        </w:rPr>
        <w:fldChar w:fldCharType="begin"/>
      </w:r>
      <w:r w:rsidRPr="00F66F3C">
        <w:rPr>
          <w:szCs w:val="20"/>
          <w:lang w:val="en-GB"/>
        </w:rPr>
        <w:instrText xml:space="preserve"> NOTEREF _Ref494958651 \h  \* MERGEFORMAT </w:instrText>
      </w:r>
      <w:r w:rsidRPr="00F66F3C">
        <w:rPr>
          <w:szCs w:val="20"/>
          <w:lang w:val="en-GB"/>
        </w:rPr>
      </w:r>
      <w:r w:rsidRPr="00F66F3C">
        <w:rPr>
          <w:szCs w:val="20"/>
          <w:lang w:val="en-GB"/>
        </w:rPr>
        <w:fldChar w:fldCharType="separate"/>
      </w:r>
      <w:r w:rsidR="006A2E69">
        <w:rPr>
          <w:szCs w:val="20"/>
          <w:lang w:val="en-GB"/>
        </w:rPr>
        <w:t>59</w:t>
      </w:r>
      <w:r w:rsidRPr="00F66F3C">
        <w:rPr>
          <w:szCs w:val="20"/>
          <w:lang w:val="en-GB"/>
        </w:rPr>
        <w:fldChar w:fldCharType="end"/>
      </w:r>
      <w:r w:rsidRPr="00F66F3C">
        <w:rPr>
          <w:szCs w:val="20"/>
          <w:lang w:val="en-GB"/>
        </w:rPr>
        <w:t xml:space="preserve">), 1470. </w:t>
      </w:r>
    </w:p>
  </w:footnote>
  <w:footnote w:id="152">
    <w:p w14:paraId="649C6468" w14:textId="764027F4"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The United Kingdom had in fact signed the Convention.</w:t>
      </w:r>
      <w:r w:rsidR="005E2C6F">
        <w:rPr>
          <w:szCs w:val="20"/>
          <w:lang w:val="en-GB"/>
        </w:rPr>
        <w:t xml:space="preserve"> </w:t>
      </w:r>
    </w:p>
  </w:footnote>
  <w:footnote w:id="153">
    <w:p w14:paraId="5240EB3A" w14:textId="21EC5E75" w:rsidR="00CA7C77" w:rsidRPr="00E4511D" w:rsidRDefault="00CA7C77" w:rsidP="00F66F3C">
      <w:pPr>
        <w:pStyle w:val="FootnoteText"/>
        <w:rPr>
          <w:szCs w:val="20"/>
          <w:lang w:val="fr-FR"/>
        </w:rPr>
      </w:pPr>
      <w:r w:rsidRPr="00F66F3C">
        <w:rPr>
          <w:rStyle w:val="FootnoteReference"/>
          <w:sz w:val="20"/>
          <w:szCs w:val="20"/>
          <w:lang w:val="en-GB"/>
        </w:rPr>
        <w:footnoteRef/>
      </w:r>
      <w:r w:rsidRPr="00E4511D">
        <w:rPr>
          <w:szCs w:val="20"/>
          <w:lang w:val="fr-FR"/>
        </w:rPr>
        <w:t xml:space="preserve"> CAHDI Replies to Questionnaire</w:t>
      </w:r>
      <w:r w:rsidRPr="00E4511D" w:rsidDel="00CB0591">
        <w:rPr>
          <w:i/>
          <w:iCs/>
          <w:szCs w:val="20"/>
          <w:lang w:val="fr-FR"/>
        </w:rPr>
        <w:t xml:space="preserve"> </w:t>
      </w:r>
      <w:r w:rsidRPr="00E4511D">
        <w:rPr>
          <w:szCs w:val="20"/>
          <w:lang w:val="fr-FR"/>
        </w:rPr>
        <w:t xml:space="preserve">(n </w:t>
      </w:r>
      <w:r w:rsidRPr="00F66F3C">
        <w:rPr>
          <w:szCs w:val="20"/>
          <w:lang w:val="en-GB"/>
        </w:rPr>
        <w:fldChar w:fldCharType="begin"/>
      </w:r>
      <w:r w:rsidRPr="00E4511D">
        <w:rPr>
          <w:szCs w:val="20"/>
          <w:lang w:val="fr-FR"/>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fr-FR"/>
        </w:rPr>
        <w:t>33</w:t>
      </w:r>
      <w:r w:rsidRPr="00F66F3C">
        <w:rPr>
          <w:szCs w:val="20"/>
          <w:lang w:val="en-GB"/>
        </w:rPr>
        <w:fldChar w:fldCharType="end"/>
      </w:r>
      <w:r w:rsidRPr="00E4511D">
        <w:rPr>
          <w:szCs w:val="20"/>
          <w:lang w:val="fr-FR"/>
        </w:rPr>
        <w:t>).</w:t>
      </w:r>
    </w:p>
  </w:footnote>
  <w:footnote w:id="154">
    <w:p w14:paraId="1F8CE305" w14:textId="14A9F87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w:t>
      </w:r>
      <w:r w:rsidR="00510119">
        <w:rPr>
          <w:szCs w:val="20"/>
          <w:lang w:val="en-GB"/>
        </w:rPr>
        <w:t xml:space="preserve">(n </w:t>
      </w:r>
      <w:r w:rsidRPr="00F66F3C">
        <w:rPr>
          <w:szCs w:val="20"/>
          <w:lang w:val="en-GB"/>
        </w:rPr>
        <w:fldChar w:fldCharType="begin"/>
      </w:r>
      <w:r w:rsidRPr="00F66F3C">
        <w:rPr>
          <w:szCs w:val="20"/>
          <w:lang w:val="en-GB"/>
        </w:rPr>
        <w:instrText xml:space="preserve"> NOTEREF _Ref502483839 \h  \* MERGEFORMAT </w:instrText>
      </w:r>
      <w:r w:rsidRPr="00F66F3C">
        <w:rPr>
          <w:szCs w:val="20"/>
          <w:lang w:val="en-GB"/>
        </w:rPr>
      </w:r>
      <w:r w:rsidRPr="00F66F3C">
        <w:rPr>
          <w:szCs w:val="20"/>
          <w:lang w:val="en-GB"/>
        </w:rPr>
        <w:fldChar w:fldCharType="separate"/>
      </w:r>
      <w:r w:rsidR="006A2E69">
        <w:rPr>
          <w:szCs w:val="20"/>
          <w:lang w:val="en-GB"/>
        </w:rPr>
        <w:t>110</w:t>
      </w:r>
      <w:r w:rsidRPr="00F66F3C">
        <w:rPr>
          <w:szCs w:val="20"/>
          <w:lang w:val="en-GB"/>
        </w:rPr>
        <w:fldChar w:fldCharType="end"/>
      </w:r>
      <w:r w:rsidR="00510119">
        <w:rPr>
          <w:szCs w:val="20"/>
          <w:lang w:val="en-GB"/>
        </w:rPr>
        <w:t>)</w:t>
      </w:r>
      <w:r w:rsidRPr="00F66F3C">
        <w:rPr>
          <w:szCs w:val="20"/>
          <w:lang w:val="en-GB"/>
        </w:rPr>
        <w:t xml:space="preserve"> above (emphasis added). </w:t>
      </w:r>
    </w:p>
  </w:footnote>
  <w:footnote w:id="155">
    <w:p w14:paraId="6DEA6ADD" w14:textId="32DC4C24" w:rsidR="00CA7C77" w:rsidRPr="00F66F3C" w:rsidRDefault="00CA7C77" w:rsidP="00F66F3C">
      <w:pPr>
        <w:pStyle w:val="FootnoteText"/>
        <w:rPr>
          <w:i/>
          <w:szCs w:val="20"/>
          <w:lang w:val="en-GB"/>
        </w:rPr>
      </w:pPr>
      <w:r w:rsidRPr="00F66F3C">
        <w:rPr>
          <w:rStyle w:val="FootnoteReference"/>
          <w:sz w:val="20"/>
          <w:szCs w:val="20"/>
          <w:lang w:val="en-GB"/>
        </w:rPr>
        <w:footnoteRef/>
      </w:r>
      <w:r w:rsidRPr="00F66F3C">
        <w:rPr>
          <w:szCs w:val="20"/>
          <w:lang w:val="en-GB"/>
        </w:rPr>
        <w:t xml:space="preserve"> CAHDI Replies to Questionnaire</w:t>
      </w:r>
      <w:r w:rsidRPr="00F66F3C" w:rsidDel="00CB0591">
        <w:rPr>
          <w:i/>
          <w:iCs/>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 (</w:t>
      </w:r>
      <w:r w:rsidR="00510119">
        <w:rPr>
          <w:szCs w:val="20"/>
          <w:lang w:val="en-GB"/>
        </w:rPr>
        <w:t>‘</w:t>
      </w:r>
      <w:r w:rsidRPr="00F66F3C">
        <w:rPr>
          <w:szCs w:val="20"/>
          <w:lang w:val="en-GB"/>
        </w:rPr>
        <w:t>The Republic of Croatia considers that the provisions of the Convention on special missions, in particular the provisions concerning the scope of privileges and immunities, reflect customary international law. With regard to States that are not Parties to the Convention, the customary nature of relevant rules shall be assessed on a case-by case basis.</w:t>
      </w:r>
      <w:r w:rsidR="00510119">
        <w:rPr>
          <w:szCs w:val="20"/>
          <w:lang w:val="en-GB"/>
        </w:rPr>
        <w:t>’</w:t>
      </w:r>
      <w:r w:rsidRPr="00F66F3C">
        <w:rPr>
          <w:szCs w:val="20"/>
          <w:lang w:val="en-GB"/>
        </w:rPr>
        <w:t>)</w:t>
      </w:r>
    </w:p>
  </w:footnote>
  <w:footnote w:id="156">
    <w:p w14:paraId="1F1F94E5" w14:textId="0212A8B8"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szCs w:val="20"/>
          <w:lang w:val="en-GB"/>
        </w:rPr>
        <w:t>Ibid.</w:t>
      </w:r>
      <w:r w:rsidRPr="00F66F3C">
        <w:rPr>
          <w:szCs w:val="20"/>
          <w:lang w:val="en-GB"/>
        </w:rPr>
        <w:t xml:space="preserve"> (</w:t>
      </w:r>
      <w:r w:rsidR="00510119">
        <w:rPr>
          <w:szCs w:val="20"/>
          <w:lang w:val="en-GB"/>
        </w:rPr>
        <w:t>‘</w:t>
      </w:r>
      <w:r w:rsidRPr="00F66F3C">
        <w:rPr>
          <w:szCs w:val="20"/>
          <w:lang w:val="en-GB"/>
        </w:rPr>
        <w:t>the Convention, in particular the provisions concerning the scope of privileges and immunities, to large extent reflects customary international law</w:t>
      </w:r>
      <w:r w:rsidR="00510119">
        <w:rPr>
          <w:szCs w:val="20"/>
          <w:lang w:val="en-GB"/>
        </w:rPr>
        <w:t>’</w:t>
      </w:r>
      <w:r w:rsidRPr="00F66F3C">
        <w:rPr>
          <w:szCs w:val="20"/>
          <w:lang w:val="en-GB"/>
        </w:rPr>
        <w:t>.)</w:t>
      </w:r>
    </w:p>
  </w:footnote>
  <w:footnote w:id="157">
    <w:p w14:paraId="4C412B0A" w14:textId="6C5300E5"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szCs w:val="20"/>
          <w:lang w:val="en-GB"/>
        </w:rPr>
        <w:t>Ibid.</w:t>
      </w:r>
      <w:r w:rsidRPr="00F66F3C">
        <w:rPr>
          <w:szCs w:val="20"/>
          <w:lang w:val="en-GB"/>
        </w:rPr>
        <w:t xml:space="preserve"> </w:t>
      </w:r>
    </w:p>
  </w:footnote>
  <w:footnote w:id="158">
    <w:p w14:paraId="7F14DCB8" w14:textId="182F1328"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szCs w:val="20"/>
          <w:lang w:val="en-GB"/>
        </w:rPr>
        <w:t>Ibid.</w:t>
      </w:r>
      <w:r w:rsidRPr="00F66F3C">
        <w:rPr>
          <w:szCs w:val="20"/>
          <w:lang w:val="en-GB"/>
        </w:rPr>
        <w:t xml:space="preserve"> To the question </w:t>
      </w:r>
      <w:r w:rsidR="00510119">
        <w:rPr>
          <w:szCs w:val="20"/>
          <w:lang w:val="en-GB"/>
        </w:rPr>
        <w:t>‘</w:t>
      </w:r>
      <w:r w:rsidRPr="00F66F3C">
        <w:rPr>
          <w:szCs w:val="20"/>
          <w:lang w:val="en-GB"/>
        </w:rPr>
        <w:t>Does your State consider that certain obligations and/or definitions regarding immunity of special missions derive from customary international law?</w:t>
      </w:r>
      <w:r w:rsidR="00510119">
        <w:rPr>
          <w:szCs w:val="20"/>
          <w:lang w:val="en-GB"/>
        </w:rPr>
        <w:t>’</w:t>
      </w:r>
      <w:r w:rsidRPr="00F66F3C">
        <w:rPr>
          <w:szCs w:val="20"/>
          <w:lang w:val="en-GB"/>
        </w:rPr>
        <w:t xml:space="preserve">, Serbia answered </w:t>
      </w:r>
      <w:r w:rsidR="00510119">
        <w:rPr>
          <w:szCs w:val="20"/>
          <w:lang w:val="en-GB"/>
        </w:rPr>
        <w:t>‘</w:t>
      </w:r>
      <w:r w:rsidRPr="00F66F3C">
        <w:rPr>
          <w:szCs w:val="20"/>
          <w:lang w:val="en-GB"/>
        </w:rPr>
        <w:t>Yes, it does</w:t>
      </w:r>
      <w:r w:rsidR="00510119">
        <w:rPr>
          <w:szCs w:val="20"/>
          <w:lang w:val="en-GB"/>
        </w:rPr>
        <w:t>.’</w:t>
      </w:r>
      <w:r w:rsidRPr="00F66F3C">
        <w:rPr>
          <w:szCs w:val="20"/>
          <w:lang w:val="en-GB"/>
        </w:rPr>
        <w:t xml:space="preserve"> </w:t>
      </w:r>
    </w:p>
  </w:footnote>
  <w:footnote w:id="159">
    <w:p w14:paraId="44BB2A91" w14:textId="5B4250C0"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szCs w:val="20"/>
          <w:lang w:val="en-GB"/>
        </w:rPr>
        <w:t>Ibid.</w:t>
      </w:r>
      <w:r w:rsidRPr="00F66F3C">
        <w:rPr>
          <w:szCs w:val="20"/>
          <w:lang w:val="en-GB"/>
        </w:rPr>
        <w:t xml:space="preserve"> (</w:t>
      </w:r>
      <w:r w:rsidR="00510119">
        <w:rPr>
          <w:szCs w:val="20"/>
          <w:lang w:val="en-GB"/>
        </w:rPr>
        <w:t>‘</w:t>
      </w:r>
      <w:r w:rsidRPr="00F66F3C">
        <w:rPr>
          <w:szCs w:val="20"/>
          <w:lang w:val="en-GB"/>
        </w:rPr>
        <w:t>[Austria] is aware of the progressive elements in the Convention, it considers it as reflecting by and large customary international law. Austria thus applies the provisions of the Convention in relation to any state. … As to immunity in civil and administrative proceedings, Article 31 (2) of the Convention applies.</w:t>
      </w:r>
      <w:r w:rsidR="00510119">
        <w:rPr>
          <w:szCs w:val="20"/>
          <w:lang w:val="en-GB"/>
        </w:rPr>
        <w:t>’</w:t>
      </w:r>
      <w:r w:rsidRPr="00F66F3C">
        <w:rPr>
          <w:szCs w:val="20"/>
          <w:lang w:val="en-GB"/>
        </w:rPr>
        <w:t>)</w:t>
      </w:r>
    </w:p>
  </w:footnote>
  <w:footnote w:id="160">
    <w:p w14:paraId="6E97628F" w14:textId="3ACF2B2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szCs w:val="20"/>
          <w:lang w:val="en-GB"/>
        </w:rPr>
        <w:t>Ibid.</w:t>
      </w:r>
    </w:p>
  </w:footnote>
  <w:footnote w:id="161">
    <w:p w14:paraId="5A16BBF4" w14:textId="1A579F46"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szCs w:val="20"/>
          <w:lang w:val="en-GB"/>
        </w:rPr>
        <w:t>Ibid.</w:t>
      </w:r>
    </w:p>
  </w:footnote>
  <w:footnote w:id="162">
    <w:p w14:paraId="4B5851B4" w14:textId="2A7F3DE4"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szCs w:val="20"/>
          <w:lang w:val="en-GB"/>
        </w:rPr>
        <w:t>Ibid.</w:t>
      </w:r>
    </w:p>
  </w:footnote>
  <w:footnote w:id="163">
    <w:p w14:paraId="164349AC" w14:textId="225D47BB"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14360C">
        <w:rPr>
          <w:szCs w:val="20"/>
          <w:lang w:val="en-GB"/>
        </w:rPr>
        <w:t>Ibid</w:t>
      </w:r>
      <w:r w:rsidRPr="00F66F3C">
        <w:rPr>
          <w:szCs w:val="20"/>
          <w:lang w:val="en-GB"/>
        </w:rPr>
        <w:t>.</w:t>
      </w:r>
    </w:p>
  </w:footnote>
  <w:footnote w:id="164">
    <w:p w14:paraId="040E6713" w14:textId="525938F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510119">
        <w:rPr>
          <w:szCs w:val="20"/>
          <w:lang w:val="en-GB"/>
        </w:rPr>
        <w:t xml:space="preserve">See the </w:t>
      </w:r>
      <w:r w:rsidRPr="00F66F3C">
        <w:rPr>
          <w:i/>
          <w:szCs w:val="20"/>
          <w:lang w:val="en-GB"/>
        </w:rPr>
        <w:t>Li Weixum v</w:t>
      </w:r>
      <w:r w:rsidR="00510119">
        <w:rPr>
          <w:i/>
          <w:szCs w:val="20"/>
          <w:lang w:val="en-GB"/>
        </w:rPr>
        <w:t>.</w:t>
      </w:r>
      <w:r w:rsidRPr="00F66F3C">
        <w:rPr>
          <w:i/>
          <w:szCs w:val="20"/>
          <w:lang w:val="en-GB"/>
        </w:rPr>
        <w:t xml:space="preserve"> Bo Xilai</w:t>
      </w:r>
      <w:r w:rsidRPr="00F66F3C">
        <w:rPr>
          <w:szCs w:val="20"/>
          <w:lang w:val="en-GB"/>
        </w:rPr>
        <w:t xml:space="preserve"> (n </w:t>
      </w:r>
      <w:r w:rsidRPr="00F66F3C">
        <w:rPr>
          <w:szCs w:val="20"/>
          <w:lang w:val="en-GB"/>
        </w:rPr>
        <w:fldChar w:fldCharType="begin"/>
      </w:r>
      <w:r w:rsidRPr="00F66F3C">
        <w:rPr>
          <w:szCs w:val="20"/>
          <w:lang w:val="en-GB"/>
        </w:rPr>
        <w:instrText xml:space="preserve"> NOTEREF _Ref488048423 \h  \* MERGEFORMAT </w:instrText>
      </w:r>
      <w:r w:rsidRPr="00F66F3C">
        <w:rPr>
          <w:szCs w:val="20"/>
          <w:lang w:val="en-GB"/>
        </w:rPr>
      </w:r>
      <w:r w:rsidRPr="00F66F3C">
        <w:rPr>
          <w:szCs w:val="20"/>
          <w:lang w:val="en-GB"/>
        </w:rPr>
        <w:fldChar w:fldCharType="separate"/>
      </w:r>
      <w:r w:rsidR="006A2E69">
        <w:rPr>
          <w:szCs w:val="20"/>
          <w:lang w:val="en-GB"/>
        </w:rPr>
        <w:t>138</w:t>
      </w:r>
      <w:r w:rsidRPr="00F66F3C">
        <w:rPr>
          <w:szCs w:val="20"/>
          <w:lang w:val="en-GB"/>
        </w:rPr>
        <w:fldChar w:fldCharType="end"/>
      </w:r>
      <w:r w:rsidRPr="00F66F3C">
        <w:rPr>
          <w:szCs w:val="20"/>
          <w:lang w:val="en-GB"/>
        </w:rPr>
        <w:t xml:space="preserve">) and </w:t>
      </w:r>
      <w:r w:rsidRPr="00F66F3C">
        <w:rPr>
          <w:i/>
          <w:szCs w:val="20"/>
          <w:lang w:val="en-GB"/>
        </w:rPr>
        <w:t>Kilroy v</w:t>
      </w:r>
      <w:r w:rsidR="00510119">
        <w:rPr>
          <w:i/>
          <w:szCs w:val="20"/>
          <w:lang w:val="en-GB"/>
        </w:rPr>
        <w:t>.</w:t>
      </w:r>
      <w:r w:rsidRPr="00F66F3C">
        <w:rPr>
          <w:i/>
          <w:szCs w:val="20"/>
          <w:lang w:val="en-GB"/>
        </w:rPr>
        <w:t xml:space="preserve"> Charles Windsor, Prince of Wales </w:t>
      </w:r>
      <w:r w:rsidRPr="00F66F3C">
        <w:rPr>
          <w:szCs w:val="20"/>
          <w:lang w:val="en-GB"/>
        </w:rPr>
        <w:t xml:space="preserve">(n </w:t>
      </w:r>
      <w:r w:rsidRPr="00F66F3C">
        <w:rPr>
          <w:szCs w:val="20"/>
          <w:lang w:val="en-GB"/>
        </w:rPr>
        <w:fldChar w:fldCharType="begin"/>
      </w:r>
      <w:r w:rsidRPr="00F66F3C">
        <w:rPr>
          <w:szCs w:val="20"/>
          <w:lang w:val="en-GB"/>
        </w:rPr>
        <w:instrText xml:space="preserve"> NOTEREF _Ref488048423 \h  \* MERGEFORMAT </w:instrText>
      </w:r>
      <w:r w:rsidRPr="00F66F3C">
        <w:rPr>
          <w:szCs w:val="20"/>
          <w:lang w:val="en-GB"/>
        </w:rPr>
      </w:r>
      <w:r w:rsidRPr="00F66F3C">
        <w:rPr>
          <w:szCs w:val="20"/>
          <w:lang w:val="en-GB"/>
        </w:rPr>
        <w:fldChar w:fldCharType="separate"/>
      </w:r>
      <w:r w:rsidR="006A2E69">
        <w:rPr>
          <w:szCs w:val="20"/>
          <w:lang w:val="en-GB"/>
        </w:rPr>
        <w:t>138</w:t>
      </w:r>
      <w:r w:rsidRPr="00F66F3C">
        <w:rPr>
          <w:szCs w:val="20"/>
          <w:lang w:val="en-GB"/>
        </w:rPr>
        <w:fldChar w:fldCharType="end"/>
      </w:r>
      <w:r w:rsidRPr="00F66F3C">
        <w:rPr>
          <w:szCs w:val="20"/>
          <w:lang w:val="en-GB"/>
        </w:rPr>
        <w:t>)</w:t>
      </w:r>
      <w:r w:rsidR="00510119">
        <w:rPr>
          <w:szCs w:val="20"/>
          <w:lang w:val="en-GB"/>
        </w:rPr>
        <w:t xml:space="preserve"> cases</w:t>
      </w:r>
      <w:r w:rsidRPr="00F66F3C">
        <w:rPr>
          <w:szCs w:val="20"/>
          <w:lang w:val="en-GB"/>
        </w:rPr>
        <w:t xml:space="preserve">. </w:t>
      </w:r>
    </w:p>
  </w:footnote>
  <w:footnote w:id="165">
    <w:p w14:paraId="6F8CED77" w14:textId="095ED2F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w:t>
      </w:r>
      <w:r w:rsidR="00E67CFD">
        <w:rPr>
          <w:szCs w:val="20"/>
          <w:lang w:val="en-GB"/>
        </w:rPr>
        <w:t xml:space="preserve"> e.g.,</w:t>
      </w:r>
      <w:r w:rsidRPr="00F66F3C">
        <w:rPr>
          <w:szCs w:val="20"/>
          <w:lang w:val="en-GB"/>
        </w:rPr>
        <w:t xml:space="preserve"> Albania (CAHDI Replies to Questionnaire</w:t>
      </w:r>
      <w:r w:rsidRPr="00F66F3C" w:rsidDel="00CB0591">
        <w:rPr>
          <w:i/>
          <w:iCs/>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w:t>
      </w:r>
      <w:r w:rsidR="00510119">
        <w:rPr>
          <w:szCs w:val="20"/>
          <w:lang w:val="en-GB"/>
        </w:rPr>
        <w:t>, 10</w:t>
      </w:r>
      <w:r w:rsidRPr="00F66F3C">
        <w:rPr>
          <w:szCs w:val="20"/>
          <w:lang w:val="en-GB"/>
        </w:rPr>
        <w:t xml:space="preserve">): includes Head of State and Government, Speaker of Parliament, Minister of Foreign Affairs and their family members accompanying them; diplomats and high officials holding a diplomatic passport. </w:t>
      </w:r>
    </w:p>
  </w:footnote>
  <w:footnote w:id="166">
    <w:p w14:paraId="0C7ECFB7" w14:textId="3506FFF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iCs/>
          <w:szCs w:val="20"/>
          <w:lang w:val="en-GB"/>
        </w:rPr>
        <w:t>Ibid</w:t>
      </w:r>
      <w:r w:rsidRPr="00510119">
        <w:rPr>
          <w:szCs w:val="20"/>
          <w:lang w:val="en-GB"/>
        </w:rPr>
        <w:t>.</w:t>
      </w:r>
      <w:r w:rsidRPr="00F66F3C">
        <w:rPr>
          <w:szCs w:val="20"/>
          <w:lang w:val="en-GB"/>
        </w:rPr>
        <w:t xml:space="preserve"> See also cases listed in </w:t>
      </w:r>
      <w:r w:rsidR="00510119">
        <w:rPr>
          <w:szCs w:val="20"/>
          <w:lang w:val="en-GB"/>
        </w:rPr>
        <w:t xml:space="preserve">(n </w:t>
      </w:r>
      <w:r w:rsidRPr="00F66F3C">
        <w:rPr>
          <w:szCs w:val="20"/>
          <w:lang w:val="en-GB"/>
        </w:rPr>
        <w:fldChar w:fldCharType="begin"/>
      </w:r>
      <w:r w:rsidRPr="00F66F3C">
        <w:rPr>
          <w:szCs w:val="20"/>
          <w:lang w:val="en-GB"/>
        </w:rPr>
        <w:instrText xml:space="preserve"> NOTEREF _Ref494958810 \h  \* MERGEFORMAT </w:instrText>
      </w:r>
      <w:r w:rsidRPr="00F66F3C">
        <w:rPr>
          <w:szCs w:val="20"/>
          <w:lang w:val="en-GB"/>
        </w:rPr>
      </w:r>
      <w:r w:rsidRPr="00F66F3C">
        <w:rPr>
          <w:szCs w:val="20"/>
          <w:lang w:val="en-GB"/>
        </w:rPr>
        <w:fldChar w:fldCharType="separate"/>
      </w:r>
      <w:r w:rsidR="006A2E69">
        <w:rPr>
          <w:szCs w:val="20"/>
          <w:lang w:val="en-GB"/>
        </w:rPr>
        <w:t>163</w:t>
      </w:r>
      <w:r w:rsidRPr="00F66F3C">
        <w:rPr>
          <w:szCs w:val="20"/>
          <w:lang w:val="en-GB"/>
        </w:rPr>
        <w:fldChar w:fldCharType="end"/>
      </w:r>
      <w:r w:rsidR="00510119">
        <w:rPr>
          <w:szCs w:val="20"/>
          <w:lang w:val="en-GB"/>
        </w:rPr>
        <w:t>)</w:t>
      </w:r>
      <w:r w:rsidRPr="00F66F3C">
        <w:rPr>
          <w:szCs w:val="20"/>
          <w:lang w:val="en-GB"/>
        </w:rPr>
        <w:t xml:space="preserve"> above.</w:t>
      </w:r>
    </w:p>
  </w:footnote>
  <w:footnote w:id="167">
    <w:p w14:paraId="77F35F17" w14:textId="0F069C11"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w:t>
      </w:r>
      <w:r w:rsidR="00E67CFD">
        <w:rPr>
          <w:szCs w:val="20"/>
          <w:lang w:val="en-GB"/>
        </w:rPr>
        <w:t xml:space="preserve"> e.g.,</w:t>
      </w:r>
      <w:r w:rsidRPr="00F66F3C">
        <w:rPr>
          <w:szCs w:val="20"/>
          <w:lang w:val="en-GB"/>
        </w:rPr>
        <w:t xml:space="preserve"> CAHDI Replies to Questionnaire</w:t>
      </w:r>
      <w:r w:rsidRPr="00F66F3C" w:rsidDel="00CB0591">
        <w:rPr>
          <w:i/>
          <w:iCs/>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 xml:space="preserve">): the Czech Republic; Romania (noting that </w:t>
      </w:r>
      <w:r w:rsidR="00510119">
        <w:rPr>
          <w:szCs w:val="20"/>
          <w:lang w:val="en-GB"/>
        </w:rPr>
        <w:t>‘</w:t>
      </w:r>
      <w:r w:rsidRPr="00F66F3C">
        <w:rPr>
          <w:szCs w:val="20"/>
          <w:lang w:val="en-GB"/>
        </w:rPr>
        <w:t>[i]n practice, immunity of special missions would be granted to holders of diplomatic passports or service passports (for members of the administrative and technical staff</w:t>
      </w:r>
      <w:r w:rsidR="00510119">
        <w:rPr>
          <w:szCs w:val="20"/>
          <w:lang w:val="en-GB"/>
        </w:rPr>
        <w:t>’</w:t>
      </w:r>
      <w:r w:rsidRPr="00F66F3C">
        <w:rPr>
          <w:szCs w:val="20"/>
          <w:lang w:val="en-GB"/>
        </w:rPr>
        <w:t>); Serbia; and Switzerland.</w:t>
      </w:r>
    </w:p>
  </w:footnote>
  <w:footnote w:id="168">
    <w:p w14:paraId="4E93FDB9" w14:textId="5C43C770"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szCs w:val="20"/>
          <w:lang w:val="en-GB"/>
        </w:rPr>
        <w:t>Ibid</w:t>
      </w:r>
      <w:r w:rsidR="00510119">
        <w:rPr>
          <w:szCs w:val="20"/>
          <w:lang w:val="en-GB"/>
        </w:rPr>
        <w:t>.</w:t>
      </w:r>
      <w:r w:rsidRPr="00F66F3C">
        <w:rPr>
          <w:szCs w:val="20"/>
          <w:lang w:val="en-GB"/>
        </w:rPr>
        <w:t xml:space="preserve">: Ireland; Norway; Sweden. </w:t>
      </w:r>
    </w:p>
  </w:footnote>
  <w:footnote w:id="169">
    <w:p w14:paraId="1B081FED" w14:textId="2F4704E8"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Pr="00510119">
        <w:rPr>
          <w:szCs w:val="20"/>
          <w:lang w:val="en-GB"/>
        </w:rPr>
        <w:t>Ibid</w:t>
      </w:r>
      <w:r w:rsidR="00510119">
        <w:rPr>
          <w:szCs w:val="20"/>
          <w:lang w:val="en-GB"/>
        </w:rPr>
        <w:t>.</w:t>
      </w:r>
      <w:r w:rsidRPr="00F66F3C">
        <w:rPr>
          <w:szCs w:val="20"/>
          <w:lang w:val="en-GB"/>
        </w:rPr>
        <w:t>: France; Germany; Italy; the Netherlands; and the United Kingdom.</w:t>
      </w:r>
    </w:p>
  </w:footnote>
  <w:footnote w:id="170">
    <w:p w14:paraId="08440D44" w14:textId="07BA8F0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For example, Tzipi Livni, then Israeli Opposition Leader, visited the UK in 2011. See</w:t>
      </w:r>
      <w:r w:rsidR="00510119">
        <w:rPr>
          <w:szCs w:val="20"/>
          <w:lang w:val="en-GB"/>
        </w:rPr>
        <w:t xml:space="preserve"> O. Bowcott, ‘Tzipi Livni Spared War Crime Arrest’, The Guardian, 6 October 2011, </w:t>
      </w:r>
      <w:hyperlink r:id="rId10" w:history="1">
        <w:r w:rsidRPr="00F66F3C">
          <w:rPr>
            <w:rStyle w:val="Hyperlink"/>
            <w:szCs w:val="20"/>
            <w:lang w:val="en-GB"/>
          </w:rPr>
          <w:t>https://www.theguardian.com/world/2011/oct/06/tzipi-livni-war-crime-arrest-threat</w:t>
        </w:r>
      </w:hyperlink>
      <w:r w:rsidRPr="00F66F3C">
        <w:rPr>
          <w:szCs w:val="20"/>
          <w:lang w:val="en-GB"/>
        </w:rPr>
        <w:t>.</w:t>
      </w:r>
    </w:p>
  </w:footnote>
  <w:footnote w:id="171">
    <w:p w14:paraId="1E799287" w14:textId="4475051D"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Advisory Report on the Immunity of Foreign State Officials (n</w:t>
      </w:r>
      <w:r w:rsidR="00510119">
        <w:rPr>
          <w:szCs w:val="20"/>
          <w:lang w:val="en-GB"/>
        </w:rPr>
        <w:t xml:space="preserve"> </w:t>
      </w:r>
      <w:r w:rsidR="00510119">
        <w:rPr>
          <w:szCs w:val="20"/>
          <w:lang w:val="en-GB"/>
        </w:rPr>
        <w:fldChar w:fldCharType="begin"/>
      </w:r>
      <w:r w:rsidR="00510119">
        <w:rPr>
          <w:szCs w:val="20"/>
          <w:lang w:val="en-GB"/>
        </w:rPr>
        <w:instrText xml:space="preserve"> NOTEREF _Ref504142641 \h </w:instrText>
      </w:r>
      <w:r w:rsidR="00510119">
        <w:rPr>
          <w:szCs w:val="20"/>
          <w:lang w:val="en-GB"/>
        </w:rPr>
      </w:r>
      <w:r w:rsidR="00510119">
        <w:rPr>
          <w:szCs w:val="20"/>
          <w:lang w:val="en-GB"/>
        </w:rPr>
        <w:fldChar w:fldCharType="separate"/>
      </w:r>
      <w:r w:rsidR="006A2E69">
        <w:rPr>
          <w:szCs w:val="20"/>
          <w:lang w:val="en-GB"/>
        </w:rPr>
        <w:t>105</w:t>
      </w:r>
      <w:r w:rsidR="00510119">
        <w:rPr>
          <w:szCs w:val="20"/>
          <w:lang w:val="en-GB"/>
        </w:rPr>
        <w:fldChar w:fldCharType="end"/>
      </w:r>
      <w:r w:rsidRPr="00F66F3C">
        <w:rPr>
          <w:szCs w:val="20"/>
          <w:lang w:val="en-GB"/>
        </w:rPr>
        <w:t>), 34.</w:t>
      </w:r>
      <w:r w:rsidR="005E2C6F">
        <w:rPr>
          <w:szCs w:val="20"/>
          <w:lang w:val="en-GB"/>
        </w:rPr>
        <w:t xml:space="preserve"> </w:t>
      </w:r>
      <w:r w:rsidRPr="00F66F3C">
        <w:rPr>
          <w:szCs w:val="20"/>
          <w:lang w:val="en-GB"/>
        </w:rPr>
        <w:t xml:space="preserve">See also CAHDI Replies to Questionnaire (n </w:t>
      </w:r>
      <w:r w:rsidRPr="00F66F3C">
        <w:rPr>
          <w:szCs w:val="20"/>
          <w:lang w:val="en-GB"/>
        </w:rPr>
        <w:fldChar w:fldCharType="begin"/>
      </w:r>
      <w:r w:rsidRPr="00F66F3C">
        <w:rPr>
          <w:szCs w:val="20"/>
          <w:lang w:val="en-GB"/>
        </w:rPr>
        <w:instrText xml:space="preserve"> NOTEREF _Ref364844973 \h  \* MERGEFORMAT </w:instrText>
      </w:r>
      <w:r w:rsidRPr="00F66F3C">
        <w:rPr>
          <w:szCs w:val="20"/>
          <w:lang w:val="en-GB"/>
        </w:rPr>
      </w:r>
      <w:r w:rsidRPr="00F66F3C">
        <w:rPr>
          <w:szCs w:val="20"/>
          <w:lang w:val="en-GB"/>
        </w:rPr>
        <w:fldChar w:fldCharType="separate"/>
      </w:r>
      <w:r w:rsidR="006A2E69">
        <w:rPr>
          <w:szCs w:val="20"/>
          <w:lang w:val="en-GB"/>
        </w:rPr>
        <w:t>33</w:t>
      </w:r>
      <w:r w:rsidRPr="00F66F3C">
        <w:rPr>
          <w:szCs w:val="20"/>
          <w:lang w:val="en-GB"/>
        </w:rPr>
        <w:fldChar w:fldCharType="end"/>
      </w:r>
      <w:r w:rsidRPr="00F66F3C">
        <w:rPr>
          <w:szCs w:val="20"/>
          <w:lang w:val="en-GB"/>
        </w:rPr>
        <w:t>).</w:t>
      </w:r>
    </w:p>
  </w:footnote>
  <w:footnote w:id="172">
    <w:p w14:paraId="38F7033C" w14:textId="5F5AD465" w:rsidR="00CA7C77" w:rsidRPr="0014360C" w:rsidRDefault="00CA7C77" w:rsidP="00F66F3C">
      <w:pPr>
        <w:pStyle w:val="FootnoteText"/>
        <w:rPr>
          <w:szCs w:val="20"/>
          <w:lang w:val="en-US"/>
        </w:rPr>
      </w:pPr>
      <w:r w:rsidRPr="00F66F3C">
        <w:rPr>
          <w:rStyle w:val="FootnoteReference"/>
          <w:sz w:val="20"/>
          <w:szCs w:val="20"/>
          <w:lang w:val="en-GB"/>
        </w:rPr>
        <w:footnoteRef/>
      </w:r>
      <w:r w:rsidRPr="0014360C">
        <w:rPr>
          <w:szCs w:val="20"/>
          <w:lang w:val="en-US"/>
        </w:rPr>
        <w:t xml:space="preserve"> CAHDI Replies to Questionnaire</w:t>
      </w:r>
      <w:r w:rsidRPr="0014360C" w:rsidDel="00AF2AFD">
        <w:rPr>
          <w:i/>
          <w:iCs/>
          <w:szCs w:val="20"/>
          <w:lang w:val="en-US"/>
        </w:rPr>
        <w:t xml:space="preserve"> </w:t>
      </w:r>
      <w:r w:rsidRPr="0014360C">
        <w:rPr>
          <w:szCs w:val="20"/>
          <w:lang w:val="en-US"/>
        </w:rPr>
        <w:t xml:space="preserve">(n </w:t>
      </w:r>
      <w:r w:rsidRPr="00F66F3C">
        <w:rPr>
          <w:szCs w:val="20"/>
          <w:lang w:val="en-GB"/>
        </w:rPr>
        <w:fldChar w:fldCharType="begin"/>
      </w:r>
      <w:r w:rsidRPr="0014360C">
        <w:rPr>
          <w:szCs w:val="20"/>
          <w:lang w:val="en-US"/>
        </w:rPr>
        <w:instrText xml:space="preserve"> NOTEREF _Ref364844973 \h  \* MERGEFORMAT </w:instrText>
      </w:r>
      <w:r w:rsidRPr="00F66F3C">
        <w:rPr>
          <w:szCs w:val="20"/>
          <w:lang w:val="en-GB"/>
        </w:rPr>
      </w:r>
      <w:r w:rsidRPr="00F66F3C">
        <w:rPr>
          <w:szCs w:val="20"/>
          <w:lang w:val="en-GB"/>
        </w:rPr>
        <w:fldChar w:fldCharType="separate"/>
      </w:r>
      <w:r w:rsidR="006A2E69" w:rsidRPr="0014360C">
        <w:rPr>
          <w:szCs w:val="20"/>
          <w:lang w:val="en-US"/>
        </w:rPr>
        <w:t>33</w:t>
      </w:r>
      <w:r w:rsidRPr="00F66F3C">
        <w:rPr>
          <w:szCs w:val="20"/>
          <w:lang w:val="en-GB"/>
        </w:rPr>
        <w:fldChar w:fldCharType="end"/>
      </w:r>
      <w:r w:rsidRPr="0014360C">
        <w:rPr>
          <w:szCs w:val="20"/>
          <w:lang w:val="en-US"/>
        </w:rPr>
        <w:t>).</w:t>
      </w:r>
    </w:p>
  </w:footnote>
  <w:footnote w:id="173">
    <w:p w14:paraId="2D7DB72D" w14:textId="38E660C5"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Art</w:t>
      </w:r>
      <w:r w:rsidR="00510119">
        <w:rPr>
          <w:szCs w:val="20"/>
          <w:lang w:val="en-GB"/>
        </w:rPr>
        <w:t>.</w:t>
      </w:r>
      <w:r w:rsidRPr="00F66F3C">
        <w:rPr>
          <w:szCs w:val="20"/>
          <w:lang w:val="en-GB"/>
        </w:rPr>
        <w:t xml:space="preserve"> 18</w:t>
      </w:r>
      <w:r w:rsidR="00510119">
        <w:rPr>
          <w:szCs w:val="20"/>
          <w:lang w:val="en-GB"/>
        </w:rPr>
        <w:t xml:space="preserve"> of the</w:t>
      </w:r>
      <w:r w:rsidRPr="00F66F3C">
        <w:rPr>
          <w:szCs w:val="20"/>
          <w:lang w:val="en-GB"/>
        </w:rPr>
        <w:t xml:space="preserve"> Convention on Special Missions</w:t>
      </w:r>
      <w:r w:rsidR="00510119">
        <w:rPr>
          <w:szCs w:val="20"/>
          <w:lang w:val="en-GB"/>
        </w:rPr>
        <w:t xml:space="preserve"> (n </w:t>
      </w:r>
      <w:r w:rsidR="00510119">
        <w:rPr>
          <w:szCs w:val="20"/>
          <w:lang w:val="en-GB"/>
        </w:rPr>
        <w:fldChar w:fldCharType="begin"/>
      </w:r>
      <w:r w:rsidR="00510119">
        <w:rPr>
          <w:szCs w:val="20"/>
          <w:lang w:val="en-GB"/>
        </w:rPr>
        <w:instrText xml:space="preserve"> NOTEREF _Ref504142686 \h </w:instrText>
      </w:r>
      <w:r w:rsidR="00510119">
        <w:rPr>
          <w:szCs w:val="20"/>
          <w:lang w:val="en-GB"/>
        </w:rPr>
      </w:r>
      <w:r w:rsidR="00510119">
        <w:rPr>
          <w:szCs w:val="20"/>
          <w:lang w:val="en-GB"/>
        </w:rPr>
        <w:fldChar w:fldCharType="separate"/>
      </w:r>
      <w:r w:rsidR="006A2E69">
        <w:rPr>
          <w:szCs w:val="20"/>
          <w:lang w:val="en-GB"/>
        </w:rPr>
        <w:t>8</w:t>
      </w:r>
      <w:r w:rsidR="00510119">
        <w:rPr>
          <w:szCs w:val="20"/>
          <w:lang w:val="en-GB"/>
        </w:rPr>
        <w:fldChar w:fldCharType="end"/>
      </w:r>
      <w:r w:rsidR="00510119">
        <w:rPr>
          <w:szCs w:val="20"/>
          <w:lang w:val="en-GB"/>
        </w:rPr>
        <w:t>)</w:t>
      </w:r>
      <w:r w:rsidRPr="00F66F3C">
        <w:rPr>
          <w:szCs w:val="20"/>
          <w:lang w:val="en-GB"/>
        </w:rPr>
        <w:t xml:space="preserve">. </w:t>
      </w:r>
    </w:p>
  </w:footnote>
  <w:footnote w:id="174">
    <w:p w14:paraId="6C7C041D" w14:textId="73ADDD62"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510119">
        <w:rPr>
          <w:szCs w:val="20"/>
          <w:lang w:val="en-GB"/>
        </w:rPr>
        <w:t xml:space="preserve">The </w:t>
      </w:r>
      <w:r w:rsidRPr="00F66F3C">
        <w:rPr>
          <w:i/>
          <w:szCs w:val="20"/>
          <w:lang w:val="en-GB"/>
        </w:rPr>
        <w:t>Khurts Bat</w:t>
      </w:r>
      <w:r w:rsidR="00510119">
        <w:rPr>
          <w:i/>
          <w:szCs w:val="20"/>
          <w:lang w:val="en-GB"/>
        </w:rPr>
        <w:t xml:space="preserve"> </w:t>
      </w:r>
      <w:r w:rsidR="00510119">
        <w:rPr>
          <w:szCs w:val="20"/>
          <w:lang w:val="en-GB"/>
        </w:rPr>
        <w:t>case</w:t>
      </w:r>
      <w:r w:rsidRPr="00F66F3C">
        <w:rPr>
          <w:i/>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_Ref494958445 \h  \* MERGEFORMAT </w:instrText>
      </w:r>
      <w:r w:rsidRPr="00F66F3C">
        <w:rPr>
          <w:szCs w:val="20"/>
          <w:lang w:val="en-GB"/>
        </w:rPr>
      </w:r>
      <w:r w:rsidRPr="00F66F3C">
        <w:rPr>
          <w:szCs w:val="20"/>
          <w:lang w:val="en-GB"/>
        </w:rPr>
        <w:fldChar w:fldCharType="separate"/>
      </w:r>
      <w:r w:rsidR="006A2E69">
        <w:rPr>
          <w:szCs w:val="20"/>
          <w:lang w:val="en-GB"/>
        </w:rPr>
        <w:t>103</w:t>
      </w:r>
      <w:r w:rsidRPr="00F66F3C">
        <w:rPr>
          <w:szCs w:val="20"/>
          <w:lang w:val="en-GB"/>
        </w:rPr>
        <w:fldChar w:fldCharType="end"/>
      </w:r>
      <w:r w:rsidRPr="00F66F3C">
        <w:rPr>
          <w:szCs w:val="20"/>
          <w:lang w:val="en-GB"/>
        </w:rPr>
        <w:t>), para. 29; Art 2</w:t>
      </w:r>
      <w:r w:rsidR="00510119">
        <w:rPr>
          <w:szCs w:val="20"/>
          <w:lang w:val="en-GB"/>
        </w:rPr>
        <w:t xml:space="preserve"> of the</w:t>
      </w:r>
      <w:r w:rsidRPr="00F66F3C">
        <w:rPr>
          <w:szCs w:val="20"/>
          <w:lang w:val="en-GB"/>
        </w:rPr>
        <w:t xml:space="preserve"> Convention on Special Missions</w:t>
      </w:r>
      <w:r w:rsidR="00510119">
        <w:rPr>
          <w:szCs w:val="20"/>
          <w:lang w:val="en-GB"/>
        </w:rPr>
        <w:t xml:space="preserve"> (n </w:t>
      </w:r>
      <w:r w:rsidR="00510119">
        <w:rPr>
          <w:szCs w:val="20"/>
          <w:lang w:val="en-GB"/>
        </w:rPr>
        <w:fldChar w:fldCharType="begin"/>
      </w:r>
      <w:r w:rsidR="00510119">
        <w:rPr>
          <w:szCs w:val="20"/>
          <w:lang w:val="en-GB"/>
        </w:rPr>
        <w:instrText xml:space="preserve"> NOTEREF _Ref504142686 \h </w:instrText>
      </w:r>
      <w:r w:rsidR="00510119">
        <w:rPr>
          <w:szCs w:val="20"/>
          <w:lang w:val="en-GB"/>
        </w:rPr>
      </w:r>
      <w:r w:rsidR="00510119">
        <w:rPr>
          <w:szCs w:val="20"/>
          <w:lang w:val="en-GB"/>
        </w:rPr>
        <w:fldChar w:fldCharType="separate"/>
      </w:r>
      <w:r w:rsidR="006A2E69">
        <w:rPr>
          <w:szCs w:val="20"/>
          <w:lang w:val="en-GB"/>
        </w:rPr>
        <w:t>8</w:t>
      </w:r>
      <w:r w:rsidR="00510119">
        <w:rPr>
          <w:szCs w:val="20"/>
          <w:lang w:val="en-GB"/>
        </w:rPr>
        <w:fldChar w:fldCharType="end"/>
      </w:r>
      <w:r w:rsidR="00510119">
        <w:rPr>
          <w:szCs w:val="20"/>
          <w:lang w:val="en-GB"/>
        </w:rPr>
        <w:t>)</w:t>
      </w:r>
      <w:r w:rsidRPr="00F66F3C">
        <w:rPr>
          <w:szCs w:val="20"/>
          <w:lang w:val="en-GB"/>
        </w:rPr>
        <w:t>.</w:t>
      </w:r>
    </w:p>
  </w:footnote>
  <w:footnote w:id="175">
    <w:p w14:paraId="05476A09" w14:textId="234743EE"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Art 2</w:t>
      </w:r>
      <w:r w:rsidR="00510119">
        <w:rPr>
          <w:szCs w:val="20"/>
          <w:lang w:val="en-GB"/>
        </w:rPr>
        <w:t>. Of the</w:t>
      </w:r>
      <w:r w:rsidRPr="00F66F3C">
        <w:rPr>
          <w:szCs w:val="20"/>
          <w:lang w:val="en-GB"/>
        </w:rPr>
        <w:t xml:space="preserve"> Convention on Special Missions</w:t>
      </w:r>
      <w:r w:rsidR="00510119">
        <w:rPr>
          <w:szCs w:val="20"/>
          <w:lang w:val="en-GB"/>
        </w:rPr>
        <w:t xml:space="preserve"> (n </w:t>
      </w:r>
      <w:r w:rsidR="00510119">
        <w:rPr>
          <w:szCs w:val="20"/>
          <w:lang w:val="en-GB"/>
        </w:rPr>
        <w:fldChar w:fldCharType="begin"/>
      </w:r>
      <w:r w:rsidR="00510119">
        <w:rPr>
          <w:szCs w:val="20"/>
          <w:lang w:val="en-GB"/>
        </w:rPr>
        <w:instrText xml:space="preserve"> NOTEREF _Ref504142686 \h </w:instrText>
      </w:r>
      <w:r w:rsidR="00510119">
        <w:rPr>
          <w:szCs w:val="20"/>
          <w:lang w:val="en-GB"/>
        </w:rPr>
      </w:r>
      <w:r w:rsidR="00510119">
        <w:rPr>
          <w:szCs w:val="20"/>
          <w:lang w:val="en-GB"/>
        </w:rPr>
        <w:fldChar w:fldCharType="separate"/>
      </w:r>
      <w:r w:rsidR="006A2E69">
        <w:rPr>
          <w:szCs w:val="20"/>
          <w:lang w:val="en-GB"/>
        </w:rPr>
        <w:t>8</w:t>
      </w:r>
      <w:r w:rsidR="00510119">
        <w:rPr>
          <w:szCs w:val="20"/>
          <w:lang w:val="en-GB"/>
        </w:rPr>
        <w:fldChar w:fldCharType="end"/>
      </w:r>
      <w:r w:rsidR="00510119">
        <w:rPr>
          <w:szCs w:val="20"/>
          <w:lang w:val="en-GB"/>
        </w:rPr>
        <w:t>)</w:t>
      </w:r>
      <w:r w:rsidRPr="00F66F3C">
        <w:rPr>
          <w:szCs w:val="20"/>
          <w:lang w:val="en-GB"/>
        </w:rPr>
        <w:t xml:space="preserve">, which also stipulates that consent should be obtained </w:t>
      </w:r>
      <w:r w:rsidR="00510119">
        <w:rPr>
          <w:szCs w:val="20"/>
          <w:lang w:val="en-GB"/>
        </w:rPr>
        <w:t>‘</w:t>
      </w:r>
      <w:r w:rsidRPr="00F66F3C">
        <w:rPr>
          <w:szCs w:val="20"/>
          <w:lang w:val="en-GB"/>
        </w:rPr>
        <w:t>through the diplomatic or another agreed or mutually acceptable channel</w:t>
      </w:r>
      <w:r w:rsidR="00510119">
        <w:rPr>
          <w:szCs w:val="20"/>
          <w:lang w:val="en-GB"/>
        </w:rPr>
        <w:t>’</w:t>
      </w:r>
      <w:r w:rsidRPr="00F66F3C">
        <w:rPr>
          <w:szCs w:val="20"/>
          <w:lang w:val="en-GB"/>
        </w:rPr>
        <w:t xml:space="preserve">. </w:t>
      </w:r>
    </w:p>
  </w:footnote>
  <w:footnote w:id="176">
    <w:p w14:paraId="6CB6C564" w14:textId="77BB98AE" w:rsidR="00CA7C77" w:rsidRPr="006A2E69" w:rsidRDefault="00CA7C77" w:rsidP="00F66F3C">
      <w:pPr>
        <w:pStyle w:val="FootnoteText"/>
        <w:rPr>
          <w:szCs w:val="20"/>
          <w:lang w:val="en-US"/>
        </w:rPr>
      </w:pPr>
      <w:r w:rsidRPr="00F66F3C">
        <w:rPr>
          <w:rStyle w:val="FootnoteReference"/>
          <w:sz w:val="20"/>
          <w:szCs w:val="20"/>
          <w:lang w:val="en-GB"/>
        </w:rPr>
        <w:footnoteRef/>
      </w:r>
      <w:r w:rsidRPr="002726CA">
        <w:rPr>
          <w:szCs w:val="20"/>
          <w:lang w:val="en-US"/>
        </w:rPr>
        <w:t xml:space="preserve"> </w:t>
      </w:r>
      <w:r w:rsidR="002726CA" w:rsidRPr="002726CA">
        <w:rPr>
          <w:szCs w:val="20"/>
          <w:lang w:val="en-US"/>
        </w:rPr>
        <w:t xml:space="preserve">The </w:t>
      </w:r>
      <w:r w:rsidRPr="002726CA">
        <w:rPr>
          <w:i/>
          <w:szCs w:val="20"/>
          <w:lang w:val="en-US"/>
        </w:rPr>
        <w:t xml:space="preserve">Khurts Bat </w:t>
      </w:r>
      <w:r w:rsidR="002726CA" w:rsidRPr="002726CA">
        <w:rPr>
          <w:szCs w:val="20"/>
          <w:lang w:val="en-US"/>
        </w:rPr>
        <w:t>case</w:t>
      </w:r>
      <w:r w:rsidR="002726CA">
        <w:rPr>
          <w:szCs w:val="20"/>
          <w:lang w:val="en-US"/>
        </w:rPr>
        <w:t xml:space="preserve"> </w:t>
      </w:r>
      <w:r w:rsidRPr="002726CA">
        <w:rPr>
          <w:szCs w:val="20"/>
          <w:lang w:val="en-US"/>
        </w:rPr>
        <w:t xml:space="preserve">(n </w:t>
      </w:r>
      <w:r w:rsidRPr="00F66F3C">
        <w:rPr>
          <w:szCs w:val="20"/>
          <w:lang w:val="en-GB"/>
        </w:rPr>
        <w:fldChar w:fldCharType="begin"/>
      </w:r>
      <w:r w:rsidRPr="002726CA">
        <w:rPr>
          <w:szCs w:val="20"/>
          <w:lang w:val="en-US"/>
        </w:rPr>
        <w:instrText xml:space="preserve"> NOTEREF _Ref494958445 \h  \* MERGEFORMAT </w:instrText>
      </w:r>
      <w:r w:rsidRPr="00F66F3C">
        <w:rPr>
          <w:szCs w:val="20"/>
          <w:lang w:val="en-GB"/>
        </w:rPr>
      </w:r>
      <w:r w:rsidRPr="00F66F3C">
        <w:rPr>
          <w:szCs w:val="20"/>
          <w:lang w:val="en-GB"/>
        </w:rPr>
        <w:fldChar w:fldCharType="separate"/>
      </w:r>
      <w:r w:rsidR="006A2E69">
        <w:rPr>
          <w:szCs w:val="20"/>
          <w:lang w:val="en-US"/>
        </w:rPr>
        <w:t>103</w:t>
      </w:r>
      <w:r w:rsidRPr="00F66F3C">
        <w:rPr>
          <w:szCs w:val="20"/>
          <w:lang w:val="en-GB"/>
        </w:rPr>
        <w:fldChar w:fldCharType="end"/>
      </w:r>
      <w:r w:rsidRPr="002726CA">
        <w:rPr>
          <w:szCs w:val="20"/>
          <w:lang w:val="en-US"/>
        </w:rPr>
        <w:t xml:space="preserve">), paras. </w:t>
      </w:r>
      <w:r w:rsidRPr="006A2E69">
        <w:rPr>
          <w:szCs w:val="20"/>
          <w:lang w:val="en-US"/>
        </w:rPr>
        <w:t xml:space="preserve">27ff. </w:t>
      </w:r>
    </w:p>
  </w:footnote>
  <w:footnote w:id="177">
    <w:p w14:paraId="5450EFFA" w14:textId="68E40ED1" w:rsidR="002726CA" w:rsidRPr="002726CA" w:rsidRDefault="00CA7C77" w:rsidP="00F66F3C">
      <w:pPr>
        <w:pStyle w:val="FootnoteText"/>
        <w:rPr>
          <w:szCs w:val="20"/>
          <w:lang w:val="en-US"/>
        </w:rPr>
      </w:pPr>
      <w:r w:rsidRPr="00B570D6">
        <w:rPr>
          <w:rStyle w:val="FootnoteReference"/>
          <w:sz w:val="20"/>
          <w:szCs w:val="20"/>
          <w:lang w:val="en-GB"/>
        </w:rPr>
        <w:footnoteRef/>
      </w:r>
      <w:r w:rsidRPr="00B570D6">
        <w:rPr>
          <w:szCs w:val="20"/>
          <w:lang w:val="en-GB"/>
        </w:rPr>
        <w:t xml:space="preserve"> E</w:t>
      </w:r>
      <w:r w:rsidR="00B570D6">
        <w:rPr>
          <w:szCs w:val="20"/>
          <w:lang w:val="en-GB"/>
        </w:rPr>
        <w:t>.</w:t>
      </w:r>
      <w:r w:rsidRPr="00B570D6">
        <w:rPr>
          <w:szCs w:val="20"/>
          <w:lang w:val="en-GB"/>
        </w:rPr>
        <w:t>g</w:t>
      </w:r>
      <w:r w:rsidR="00B570D6">
        <w:rPr>
          <w:szCs w:val="20"/>
          <w:lang w:val="en-GB"/>
        </w:rPr>
        <w:t>.</w:t>
      </w:r>
      <w:r w:rsidR="002726CA" w:rsidRPr="00B570D6">
        <w:rPr>
          <w:szCs w:val="20"/>
          <w:lang w:val="en-GB"/>
        </w:rPr>
        <w:t xml:space="preserve">: </w:t>
      </w:r>
      <w:r w:rsidRPr="00B570D6">
        <w:rPr>
          <w:szCs w:val="20"/>
          <w:lang w:val="en-GB"/>
        </w:rPr>
        <w:t>Finland (Section 13 of the Government Rules of Procedure Representation of Foreign States and Organisations in Finland); Germany (a formal notification to the Federal Foreign Office; although consent can still be implied</w:t>
      </w:r>
      <w:r w:rsidR="002726CA" w:rsidRPr="00B570D6">
        <w:rPr>
          <w:szCs w:val="20"/>
          <w:lang w:val="en-GB"/>
        </w:rPr>
        <w:t xml:space="preserve">): </w:t>
      </w:r>
      <w:r w:rsidR="002726CA" w:rsidRPr="00B570D6">
        <w:rPr>
          <w:szCs w:val="20"/>
          <w:lang w:val="en-US"/>
        </w:rPr>
        <w:t xml:space="preserve">CAHDI Replies to Questionnaire (n </w:t>
      </w:r>
      <w:r w:rsidR="002726CA" w:rsidRPr="00B570D6">
        <w:rPr>
          <w:szCs w:val="20"/>
          <w:lang w:val="en-GB"/>
        </w:rPr>
        <w:fldChar w:fldCharType="begin"/>
      </w:r>
      <w:r w:rsidR="002726CA" w:rsidRPr="00B570D6">
        <w:rPr>
          <w:szCs w:val="20"/>
          <w:lang w:val="en-US"/>
        </w:rPr>
        <w:instrText xml:space="preserve"> NOTEREF _Ref364844973 \h  \* MERGEFORMAT </w:instrText>
      </w:r>
      <w:r w:rsidR="002726CA" w:rsidRPr="00B570D6">
        <w:rPr>
          <w:szCs w:val="20"/>
          <w:lang w:val="en-GB"/>
        </w:rPr>
      </w:r>
      <w:r w:rsidR="002726CA" w:rsidRPr="00B570D6">
        <w:rPr>
          <w:szCs w:val="20"/>
          <w:lang w:val="en-GB"/>
        </w:rPr>
        <w:fldChar w:fldCharType="separate"/>
      </w:r>
      <w:r w:rsidR="006A2E69" w:rsidRPr="00B570D6">
        <w:rPr>
          <w:szCs w:val="20"/>
          <w:lang w:val="en-US"/>
        </w:rPr>
        <w:t>33</w:t>
      </w:r>
      <w:r w:rsidR="002726CA" w:rsidRPr="00B570D6">
        <w:rPr>
          <w:szCs w:val="20"/>
          <w:lang w:val="en-GB"/>
        </w:rPr>
        <w:fldChar w:fldCharType="end"/>
      </w:r>
      <w:r w:rsidR="002726CA" w:rsidRPr="00B570D6">
        <w:rPr>
          <w:szCs w:val="20"/>
          <w:lang w:val="en-US"/>
        </w:rPr>
        <w:t>), 53</w:t>
      </w:r>
      <w:r w:rsidR="00B570D6">
        <w:rPr>
          <w:szCs w:val="20"/>
          <w:lang w:val="en-US"/>
        </w:rPr>
        <w:t xml:space="preserve"> and</w:t>
      </w:r>
      <w:r w:rsidR="002726CA" w:rsidRPr="00B570D6">
        <w:rPr>
          <w:szCs w:val="20"/>
          <w:lang w:val="en-US"/>
        </w:rPr>
        <w:t xml:space="preserve"> 62. </w:t>
      </w:r>
      <w:r w:rsidR="002726CA" w:rsidRPr="00B570D6">
        <w:rPr>
          <w:szCs w:val="20"/>
          <w:lang w:val="en-GB"/>
        </w:rPr>
        <w:t xml:space="preserve">See also: </w:t>
      </w:r>
      <w:r w:rsidRPr="00B570D6">
        <w:rPr>
          <w:szCs w:val="20"/>
          <w:lang w:val="en-GB"/>
        </w:rPr>
        <w:t xml:space="preserve">Italy (a formal notification to the Italian Ministry of Foreign Affairs, although an official invitation by competent Italian authorities would normally indicate implied consent to the mission: </w:t>
      </w:r>
      <w:r w:rsidRPr="00B570D6">
        <w:rPr>
          <w:i/>
          <w:iCs/>
          <w:szCs w:val="20"/>
          <w:lang w:val="en-GB"/>
        </w:rPr>
        <w:t>Freedom and Justice Party</w:t>
      </w:r>
      <w:r w:rsidRPr="00B570D6">
        <w:rPr>
          <w:szCs w:val="20"/>
          <w:lang w:val="en-GB"/>
        </w:rPr>
        <w:t xml:space="preserve">, CAHDI Annex (n </w:t>
      </w:r>
      <w:r w:rsidRPr="00B570D6">
        <w:rPr>
          <w:szCs w:val="20"/>
          <w:lang w:val="en-GB"/>
        </w:rPr>
        <w:fldChar w:fldCharType="begin"/>
      </w:r>
      <w:r w:rsidRPr="00B570D6">
        <w:rPr>
          <w:szCs w:val="20"/>
          <w:lang w:val="en-GB"/>
        </w:rPr>
        <w:instrText xml:space="preserve"> NOTEREF _Ref364844973 \h  \* MERGEFORMAT </w:instrText>
      </w:r>
      <w:r w:rsidRPr="00B570D6">
        <w:rPr>
          <w:szCs w:val="20"/>
          <w:lang w:val="en-GB"/>
        </w:rPr>
      </w:r>
      <w:r w:rsidRPr="00B570D6">
        <w:rPr>
          <w:szCs w:val="20"/>
          <w:lang w:val="en-GB"/>
        </w:rPr>
        <w:fldChar w:fldCharType="separate"/>
      </w:r>
      <w:r w:rsidR="006A2E69" w:rsidRPr="00B570D6">
        <w:rPr>
          <w:szCs w:val="20"/>
          <w:lang w:val="en-GB"/>
        </w:rPr>
        <w:t>33</w:t>
      </w:r>
      <w:r w:rsidRPr="00B570D6">
        <w:rPr>
          <w:szCs w:val="20"/>
          <w:lang w:val="en-GB"/>
        </w:rPr>
        <w:fldChar w:fldCharType="end"/>
      </w:r>
      <w:r w:rsidRPr="00B570D6">
        <w:rPr>
          <w:szCs w:val="20"/>
          <w:lang w:val="en-GB"/>
        </w:rPr>
        <w:t>)</w:t>
      </w:r>
      <w:r w:rsidR="002726CA" w:rsidRPr="00B570D6">
        <w:rPr>
          <w:szCs w:val="20"/>
          <w:lang w:val="en-GB"/>
        </w:rPr>
        <w:t>).</w:t>
      </w:r>
      <w:r w:rsidRPr="00F66F3C">
        <w:rPr>
          <w:szCs w:val="20"/>
          <w:lang w:val="en-GB"/>
        </w:rPr>
        <w:t xml:space="preserve"> </w:t>
      </w:r>
    </w:p>
  </w:footnote>
  <w:footnote w:id="178">
    <w:p w14:paraId="737A5300" w14:textId="10536891" w:rsidR="00CA7C77" w:rsidRPr="00F66F3C" w:rsidRDefault="00CA7C77" w:rsidP="00F66F3C">
      <w:pPr>
        <w:pStyle w:val="FootnoteText"/>
        <w:rPr>
          <w:iCs/>
          <w:szCs w:val="20"/>
          <w:lang w:val="en-GB"/>
        </w:rPr>
      </w:pPr>
      <w:r w:rsidRPr="00F66F3C">
        <w:rPr>
          <w:rStyle w:val="FootnoteReference"/>
          <w:sz w:val="20"/>
          <w:szCs w:val="20"/>
          <w:lang w:val="en-GB"/>
        </w:rPr>
        <w:footnoteRef/>
      </w:r>
      <w:r w:rsidRPr="00F66F3C">
        <w:rPr>
          <w:szCs w:val="20"/>
          <w:lang w:val="en-GB"/>
        </w:rPr>
        <w:t xml:space="preserve"> </w:t>
      </w:r>
      <w:r w:rsidR="00246315">
        <w:rPr>
          <w:szCs w:val="20"/>
          <w:lang w:val="en-GB"/>
        </w:rPr>
        <w:t xml:space="preserve">The </w:t>
      </w:r>
      <w:r w:rsidRPr="00F66F3C">
        <w:rPr>
          <w:i/>
          <w:szCs w:val="20"/>
          <w:lang w:val="en-GB"/>
        </w:rPr>
        <w:t>Khurts Bat</w:t>
      </w:r>
      <w:r w:rsidR="00246315">
        <w:rPr>
          <w:i/>
          <w:szCs w:val="20"/>
          <w:lang w:val="en-GB"/>
        </w:rPr>
        <w:t xml:space="preserve"> </w:t>
      </w:r>
      <w:r w:rsidR="00246315">
        <w:rPr>
          <w:szCs w:val="20"/>
          <w:lang w:val="en-GB"/>
        </w:rPr>
        <w:t>case</w:t>
      </w:r>
      <w:r w:rsidRPr="00F66F3C">
        <w:rPr>
          <w:i/>
          <w:szCs w:val="20"/>
          <w:lang w:val="en-GB"/>
        </w:rPr>
        <w:t xml:space="preserve"> </w:t>
      </w:r>
      <w:r w:rsidRPr="00F66F3C">
        <w:rPr>
          <w:szCs w:val="20"/>
          <w:lang w:val="en-GB"/>
        </w:rPr>
        <w:t xml:space="preserve">(n </w:t>
      </w:r>
      <w:r w:rsidRPr="00F66F3C">
        <w:rPr>
          <w:szCs w:val="20"/>
          <w:lang w:val="en-GB"/>
        </w:rPr>
        <w:fldChar w:fldCharType="begin"/>
      </w:r>
      <w:r w:rsidRPr="00F66F3C">
        <w:rPr>
          <w:szCs w:val="20"/>
          <w:lang w:val="en-GB"/>
        </w:rPr>
        <w:instrText xml:space="preserve"> NOTEREF _Ref494958445 \h  \* MERGEFORMAT </w:instrText>
      </w:r>
      <w:r w:rsidRPr="00F66F3C">
        <w:rPr>
          <w:szCs w:val="20"/>
          <w:lang w:val="en-GB"/>
        </w:rPr>
      </w:r>
      <w:r w:rsidRPr="00F66F3C">
        <w:rPr>
          <w:szCs w:val="20"/>
          <w:lang w:val="en-GB"/>
        </w:rPr>
        <w:fldChar w:fldCharType="separate"/>
      </w:r>
      <w:r w:rsidR="006A2E69">
        <w:rPr>
          <w:szCs w:val="20"/>
          <w:lang w:val="en-GB"/>
        </w:rPr>
        <w:t>103</w:t>
      </w:r>
      <w:r w:rsidRPr="00F66F3C">
        <w:rPr>
          <w:szCs w:val="20"/>
          <w:lang w:val="en-GB"/>
        </w:rPr>
        <w:fldChar w:fldCharType="end"/>
      </w:r>
      <w:r w:rsidRPr="00F66F3C">
        <w:rPr>
          <w:szCs w:val="20"/>
          <w:lang w:val="en-GB"/>
        </w:rPr>
        <w:t>).</w:t>
      </w:r>
    </w:p>
  </w:footnote>
  <w:footnote w:id="179">
    <w:p w14:paraId="36CF0B8E" w14:textId="12FBE783"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Written Ministerial Statement, House of Commons</w:t>
      </w:r>
      <w:r w:rsidR="00246315">
        <w:rPr>
          <w:szCs w:val="20"/>
          <w:lang w:val="en-GB"/>
        </w:rPr>
        <w:t xml:space="preserve"> (n </w:t>
      </w:r>
      <w:r w:rsidR="00246315">
        <w:rPr>
          <w:szCs w:val="20"/>
          <w:lang w:val="en-GB"/>
        </w:rPr>
        <w:fldChar w:fldCharType="begin"/>
      </w:r>
      <w:r w:rsidR="00246315">
        <w:rPr>
          <w:szCs w:val="20"/>
          <w:lang w:val="en-GB"/>
        </w:rPr>
        <w:instrText xml:space="preserve"> NOTEREF _Ref504143606 \h </w:instrText>
      </w:r>
      <w:r w:rsidR="00246315">
        <w:rPr>
          <w:szCs w:val="20"/>
          <w:lang w:val="en-GB"/>
        </w:rPr>
      </w:r>
      <w:r w:rsidR="00246315">
        <w:rPr>
          <w:szCs w:val="20"/>
          <w:lang w:val="en-GB"/>
        </w:rPr>
        <w:fldChar w:fldCharType="separate"/>
      </w:r>
      <w:r w:rsidR="006A2E69">
        <w:rPr>
          <w:szCs w:val="20"/>
          <w:lang w:val="en-GB"/>
        </w:rPr>
        <w:t>66</w:t>
      </w:r>
      <w:r w:rsidR="00246315">
        <w:rPr>
          <w:szCs w:val="20"/>
          <w:lang w:val="en-GB"/>
        </w:rPr>
        <w:fldChar w:fldCharType="end"/>
      </w:r>
      <w:r w:rsidR="00246315">
        <w:rPr>
          <w:szCs w:val="20"/>
          <w:lang w:val="en-GB"/>
        </w:rPr>
        <w:t>)</w:t>
      </w:r>
      <w:r w:rsidRPr="00F66F3C">
        <w:rPr>
          <w:szCs w:val="20"/>
          <w:lang w:val="en-GB"/>
        </w:rPr>
        <w:t>.</w:t>
      </w:r>
    </w:p>
  </w:footnote>
  <w:footnote w:id="180">
    <w:p w14:paraId="3FFB176F" w14:textId="7D83150D"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w:t>
      </w:r>
      <w:r w:rsidR="00246315" w:rsidRPr="00F66F3C">
        <w:rPr>
          <w:szCs w:val="20"/>
          <w:lang w:val="en-GB"/>
        </w:rPr>
        <w:t>FCO Diplomatic Note No A061/13, 4 March 2013</w:t>
      </w:r>
      <w:r w:rsidR="00246315">
        <w:rPr>
          <w:szCs w:val="20"/>
          <w:lang w:val="en-GB"/>
        </w:rPr>
        <w:t xml:space="preserve"> (n </w:t>
      </w:r>
      <w:r w:rsidR="00246315">
        <w:rPr>
          <w:szCs w:val="20"/>
          <w:lang w:val="en-GB"/>
        </w:rPr>
        <w:fldChar w:fldCharType="begin"/>
      </w:r>
      <w:r w:rsidR="00246315">
        <w:rPr>
          <w:szCs w:val="20"/>
          <w:lang w:val="en-GB"/>
        </w:rPr>
        <w:instrText xml:space="preserve"> NOTEREF _Ref504143606 \h </w:instrText>
      </w:r>
      <w:r w:rsidR="00246315">
        <w:rPr>
          <w:szCs w:val="20"/>
          <w:lang w:val="en-GB"/>
        </w:rPr>
      </w:r>
      <w:r w:rsidR="00246315">
        <w:rPr>
          <w:szCs w:val="20"/>
          <w:lang w:val="en-GB"/>
        </w:rPr>
        <w:fldChar w:fldCharType="separate"/>
      </w:r>
      <w:r w:rsidR="006A2E69">
        <w:rPr>
          <w:szCs w:val="20"/>
          <w:lang w:val="en-GB"/>
        </w:rPr>
        <w:t>66</w:t>
      </w:r>
      <w:r w:rsidR="00246315">
        <w:rPr>
          <w:szCs w:val="20"/>
          <w:lang w:val="en-GB"/>
        </w:rPr>
        <w:fldChar w:fldCharType="end"/>
      </w:r>
      <w:r w:rsidR="00246315">
        <w:rPr>
          <w:szCs w:val="20"/>
          <w:lang w:val="en-GB"/>
        </w:rPr>
        <w:t>)</w:t>
      </w:r>
      <w:r w:rsidRPr="00F66F3C">
        <w:rPr>
          <w:szCs w:val="20"/>
          <w:lang w:val="en-GB"/>
        </w:rPr>
        <w:t>.</w:t>
      </w:r>
      <w:r w:rsidR="00246315">
        <w:rPr>
          <w:szCs w:val="20"/>
          <w:lang w:val="en-GB"/>
        </w:rPr>
        <w:t xml:space="preserve"> </w:t>
      </w:r>
      <w:r w:rsidRPr="00F66F3C">
        <w:rPr>
          <w:szCs w:val="20"/>
          <w:lang w:val="en-GB"/>
        </w:rPr>
        <w:t>For the practice under this procedure, see the reply to a written question of 12 July 2013 (</w:t>
      </w:r>
      <w:r w:rsidR="00246315">
        <w:rPr>
          <w:szCs w:val="20"/>
          <w:lang w:val="en-GB"/>
        </w:rPr>
        <w:t>(</w:t>
      </w:r>
      <w:r w:rsidRPr="00F66F3C">
        <w:rPr>
          <w:szCs w:val="20"/>
          <w:lang w:val="en-GB"/>
        </w:rPr>
        <w:t>2013</w:t>
      </w:r>
      <w:r w:rsidR="00246315">
        <w:rPr>
          <w:szCs w:val="20"/>
          <w:lang w:val="en-GB"/>
        </w:rPr>
        <w:t>)</w:t>
      </w:r>
      <w:r w:rsidRPr="00F66F3C">
        <w:rPr>
          <w:szCs w:val="20"/>
          <w:lang w:val="en-GB"/>
        </w:rPr>
        <w:t xml:space="preserve"> </w:t>
      </w:r>
      <w:r w:rsidRPr="00F66F3C">
        <w:rPr>
          <w:i/>
          <w:szCs w:val="20"/>
          <w:lang w:val="en-GB"/>
        </w:rPr>
        <w:t>B</w:t>
      </w:r>
      <w:r w:rsidR="00246315">
        <w:rPr>
          <w:i/>
          <w:szCs w:val="20"/>
          <w:lang w:val="en-GB"/>
        </w:rPr>
        <w:t xml:space="preserve">ritish </w:t>
      </w:r>
      <w:r w:rsidRPr="00F66F3C">
        <w:rPr>
          <w:i/>
          <w:szCs w:val="20"/>
          <w:lang w:val="en-GB"/>
        </w:rPr>
        <w:t>Y</w:t>
      </w:r>
      <w:r w:rsidR="00246315">
        <w:rPr>
          <w:i/>
          <w:szCs w:val="20"/>
          <w:lang w:val="en-GB"/>
        </w:rPr>
        <w:t xml:space="preserve">earbook of </w:t>
      </w:r>
      <w:r w:rsidRPr="00F66F3C">
        <w:rPr>
          <w:i/>
          <w:szCs w:val="20"/>
          <w:lang w:val="en-GB"/>
        </w:rPr>
        <w:t>I</w:t>
      </w:r>
      <w:r w:rsidR="00246315">
        <w:rPr>
          <w:i/>
          <w:szCs w:val="20"/>
          <w:lang w:val="en-GB"/>
        </w:rPr>
        <w:t xml:space="preserve">nternational </w:t>
      </w:r>
      <w:r w:rsidRPr="00F66F3C">
        <w:rPr>
          <w:i/>
          <w:szCs w:val="20"/>
          <w:lang w:val="en-GB"/>
        </w:rPr>
        <w:t>L</w:t>
      </w:r>
      <w:r w:rsidR="00246315">
        <w:rPr>
          <w:i/>
          <w:szCs w:val="20"/>
          <w:lang w:val="en-GB"/>
        </w:rPr>
        <w:t>aw</w:t>
      </w:r>
      <w:r w:rsidR="00246315">
        <w:rPr>
          <w:szCs w:val="20"/>
          <w:lang w:val="en-GB"/>
        </w:rPr>
        <w:t>,</w:t>
      </w:r>
      <w:r w:rsidRPr="00F66F3C">
        <w:rPr>
          <w:szCs w:val="20"/>
          <w:lang w:val="en-GB"/>
        </w:rPr>
        <w:t xml:space="preserve"> 737). See also </w:t>
      </w:r>
      <w:r w:rsidR="00246315">
        <w:rPr>
          <w:szCs w:val="20"/>
          <w:lang w:val="en-GB"/>
        </w:rPr>
        <w:t xml:space="preserve">United Kingdom, Foreign &amp; Commonwealth Office, </w:t>
      </w:r>
      <w:r w:rsidR="00246315" w:rsidRPr="00246315">
        <w:rPr>
          <w:szCs w:val="20"/>
          <w:lang w:val="en-GB"/>
        </w:rPr>
        <w:t xml:space="preserve">Diplomatic Missions and International Organisations Unit Protocol Directorate, </w:t>
      </w:r>
      <w:r w:rsidR="00246315">
        <w:rPr>
          <w:szCs w:val="20"/>
          <w:lang w:val="en-GB"/>
        </w:rPr>
        <w:t>‘</w:t>
      </w:r>
      <w:r w:rsidRPr="00F66F3C">
        <w:rPr>
          <w:szCs w:val="20"/>
          <w:lang w:val="en-GB"/>
        </w:rPr>
        <w:t>Freedom of Information Act Request 2000</w:t>
      </w:r>
      <w:r w:rsidR="005E2C6F">
        <w:rPr>
          <w:szCs w:val="20"/>
          <w:lang w:val="en-GB"/>
        </w:rPr>
        <w:t xml:space="preserve"> </w:t>
      </w:r>
      <w:r w:rsidRPr="00F66F3C">
        <w:rPr>
          <w:szCs w:val="20"/>
          <w:lang w:val="en-GB"/>
        </w:rPr>
        <w:t>Request Ref</w:t>
      </w:r>
      <w:r w:rsidR="00246315">
        <w:rPr>
          <w:szCs w:val="20"/>
          <w:lang w:val="en-GB"/>
        </w:rPr>
        <w:t>.</w:t>
      </w:r>
      <w:r w:rsidRPr="00F66F3C">
        <w:rPr>
          <w:szCs w:val="20"/>
          <w:lang w:val="en-GB"/>
        </w:rPr>
        <w:t xml:space="preserve"> 0926–16</w:t>
      </w:r>
      <w:r w:rsidR="00246315">
        <w:rPr>
          <w:szCs w:val="20"/>
          <w:lang w:val="en-GB"/>
        </w:rPr>
        <w:t>’</w:t>
      </w:r>
      <w:r w:rsidRPr="00F66F3C">
        <w:rPr>
          <w:szCs w:val="20"/>
          <w:lang w:val="en-GB"/>
        </w:rPr>
        <w:t xml:space="preserve">, 25 October 2016, </w:t>
      </w:r>
      <w:hyperlink r:id="rId11" w:history="1">
        <w:r w:rsidRPr="00F66F3C">
          <w:rPr>
            <w:rStyle w:val="Hyperlink"/>
            <w:szCs w:val="20"/>
            <w:lang w:val="en-GB"/>
          </w:rPr>
          <w:t>https://www.gov.uk/government/uploads/system/uploads/attachment_data/file/601028/0926-16_Letter_07.03.17.pdf</w:t>
        </w:r>
      </w:hyperlink>
      <w:r w:rsidRPr="00F66F3C">
        <w:rPr>
          <w:szCs w:val="20"/>
          <w:lang w:val="en-GB"/>
        </w:rPr>
        <w:t>, stating that during the period 1 October 2014 to 30 September 2015, the FCO consented to 15 requests for a special mission, covering 47 visitors in total.</w:t>
      </w:r>
    </w:p>
  </w:footnote>
  <w:footnote w:id="181">
    <w:p w14:paraId="70EA343A" w14:textId="6F958F6C" w:rsidR="00CA7C77" w:rsidRPr="00F66F3C" w:rsidRDefault="00CA7C77" w:rsidP="00F66F3C">
      <w:pPr>
        <w:pStyle w:val="FootnoteText"/>
        <w:rPr>
          <w:szCs w:val="20"/>
          <w:lang w:val="en-GB"/>
        </w:rPr>
      </w:pPr>
      <w:r w:rsidRPr="00F66F3C">
        <w:rPr>
          <w:rStyle w:val="FootnoteReference"/>
          <w:sz w:val="20"/>
          <w:szCs w:val="20"/>
          <w:lang w:val="en-GB"/>
        </w:rPr>
        <w:footnoteRef/>
      </w:r>
      <w:r w:rsidRPr="00F66F3C">
        <w:rPr>
          <w:szCs w:val="20"/>
          <w:lang w:val="en-GB"/>
        </w:rPr>
        <w:t xml:space="preserve"> See, </w:t>
      </w:r>
      <w:r w:rsidR="00E67CFD">
        <w:rPr>
          <w:szCs w:val="20"/>
          <w:lang w:val="en-GB"/>
        </w:rPr>
        <w:t>e.g.,</w:t>
      </w:r>
      <w:r w:rsidRPr="00F66F3C">
        <w:rPr>
          <w:szCs w:val="20"/>
          <w:lang w:val="en-GB"/>
        </w:rPr>
        <w:t xml:space="preserve"> </w:t>
      </w:r>
      <w:r w:rsidR="00246315">
        <w:rPr>
          <w:szCs w:val="20"/>
          <w:lang w:val="en-GB"/>
        </w:rPr>
        <w:t xml:space="preserve">the </w:t>
      </w:r>
      <w:r w:rsidRPr="00F66F3C">
        <w:rPr>
          <w:i/>
          <w:iCs/>
          <w:szCs w:val="20"/>
          <w:lang w:val="en-GB"/>
        </w:rPr>
        <w:t xml:space="preserve">Tabatabai </w:t>
      </w:r>
      <w:r w:rsidRPr="00F66F3C">
        <w:rPr>
          <w:szCs w:val="20"/>
          <w:lang w:val="en-GB"/>
        </w:rPr>
        <w:t>case (</w:t>
      </w:r>
      <w:r w:rsidR="00246315">
        <w:rPr>
          <w:szCs w:val="20"/>
          <w:lang w:val="en-GB"/>
        </w:rPr>
        <w:t xml:space="preserve">n </w:t>
      </w:r>
      <w:r w:rsidR="00246315">
        <w:rPr>
          <w:szCs w:val="20"/>
          <w:lang w:val="en-GB"/>
        </w:rPr>
        <w:fldChar w:fldCharType="begin"/>
      </w:r>
      <w:r w:rsidR="00246315">
        <w:rPr>
          <w:szCs w:val="20"/>
          <w:lang w:val="en-GB"/>
        </w:rPr>
        <w:instrText xml:space="preserve"> NOTEREF _Ref504143671 \h </w:instrText>
      </w:r>
      <w:r w:rsidR="00246315">
        <w:rPr>
          <w:szCs w:val="20"/>
          <w:lang w:val="en-GB"/>
        </w:rPr>
      </w:r>
      <w:r w:rsidR="00246315">
        <w:rPr>
          <w:szCs w:val="20"/>
          <w:lang w:val="en-GB"/>
        </w:rPr>
        <w:fldChar w:fldCharType="separate"/>
      </w:r>
      <w:r w:rsidR="006A2E69">
        <w:rPr>
          <w:szCs w:val="20"/>
          <w:lang w:val="en-GB"/>
        </w:rPr>
        <w:t>99</w:t>
      </w:r>
      <w:r w:rsidR="00246315">
        <w:rPr>
          <w:szCs w:val="20"/>
          <w:lang w:val="en-GB"/>
        </w:rPr>
        <w:fldChar w:fldCharType="end"/>
      </w:r>
      <w:r w:rsidR="00246315">
        <w:rPr>
          <w:szCs w:val="20"/>
          <w:lang w:val="en-GB"/>
        </w:rPr>
        <w:t>),</w:t>
      </w:r>
      <w:r w:rsidRPr="00F66F3C">
        <w:rPr>
          <w:szCs w:val="20"/>
          <w:lang w:val="en-GB"/>
        </w:rPr>
        <w:t xml:space="preserve"> 411.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3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6B95"/>
    <w:multiLevelType w:val="hybridMultilevel"/>
    <w:tmpl w:val="1C0C7342"/>
    <w:lvl w:ilvl="0" w:tplc="0132352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0F15B21"/>
    <w:multiLevelType w:val="hybridMultilevel"/>
    <w:tmpl w:val="1F149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647486"/>
    <w:multiLevelType w:val="hybridMultilevel"/>
    <w:tmpl w:val="38100EEC"/>
    <w:lvl w:ilvl="0" w:tplc="40820C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167760"/>
    <w:multiLevelType w:val="hybridMultilevel"/>
    <w:tmpl w:val="EC3C7784"/>
    <w:lvl w:ilvl="0" w:tplc="96E2C0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4573178"/>
    <w:multiLevelType w:val="hybridMultilevel"/>
    <w:tmpl w:val="EC6699F4"/>
    <w:lvl w:ilvl="0" w:tplc="58261340">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A51F15"/>
    <w:multiLevelType w:val="hybridMultilevel"/>
    <w:tmpl w:val="E436A0FE"/>
    <w:lvl w:ilvl="0" w:tplc="92F0AF7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703ED"/>
    <w:multiLevelType w:val="hybridMultilevel"/>
    <w:tmpl w:val="836A14AA"/>
    <w:lvl w:ilvl="0" w:tplc="BA26CBEE">
      <w:start w:val="1"/>
      <w:numFmt w:val="lowerRoman"/>
      <w:pStyle w:val="Heading4"/>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BD69B6"/>
    <w:multiLevelType w:val="hybridMultilevel"/>
    <w:tmpl w:val="1C0C7342"/>
    <w:lvl w:ilvl="0" w:tplc="0132352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AE16F07"/>
    <w:multiLevelType w:val="hybridMultilevel"/>
    <w:tmpl w:val="D36EC100"/>
    <w:lvl w:ilvl="0" w:tplc="3B2A2D8E">
      <w:start w:val="1"/>
      <w:numFmt w:val="decimal"/>
      <w:lvlText w:val="%1."/>
      <w:lvlJc w:val="left"/>
      <w:pPr>
        <w:ind w:left="643"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E1A42"/>
    <w:multiLevelType w:val="hybridMultilevel"/>
    <w:tmpl w:val="19845558"/>
    <w:lvl w:ilvl="0" w:tplc="3B2A2D8E">
      <w:start w:val="1"/>
      <w:numFmt w:val="decimal"/>
      <w:lvlText w:val="%1."/>
      <w:lvlJc w:val="left"/>
      <w:pPr>
        <w:ind w:left="643"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12F80"/>
    <w:multiLevelType w:val="hybridMultilevel"/>
    <w:tmpl w:val="19845558"/>
    <w:lvl w:ilvl="0" w:tplc="3B2A2D8E">
      <w:start w:val="1"/>
      <w:numFmt w:val="decimal"/>
      <w:lvlText w:val="%1."/>
      <w:lvlJc w:val="left"/>
      <w:pPr>
        <w:ind w:left="643"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D5B61"/>
    <w:multiLevelType w:val="hybridMultilevel"/>
    <w:tmpl w:val="D77C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E372F"/>
    <w:multiLevelType w:val="hybridMultilevel"/>
    <w:tmpl w:val="4DB0C090"/>
    <w:lvl w:ilvl="0" w:tplc="7B74A4C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512BA4"/>
    <w:multiLevelType w:val="hybridMultilevel"/>
    <w:tmpl w:val="028E5DE4"/>
    <w:lvl w:ilvl="0" w:tplc="D09A19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193F58"/>
    <w:multiLevelType w:val="hybridMultilevel"/>
    <w:tmpl w:val="5CDA7D40"/>
    <w:lvl w:ilvl="0" w:tplc="7CBCAD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B9E6C2F"/>
    <w:multiLevelType w:val="hybridMultilevel"/>
    <w:tmpl w:val="5D889DD8"/>
    <w:lvl w:ilvl="0" w:tplc="B95EDDAA">
      <w:start w:val="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C4560EE"/>
    <w:multiLevelType w:val="hybridMultilevel"/>
    <w:tmpl w:val="B35C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F6C34"/>
    <w:multiLevelType w:val="hybridMultilevel"/>
    <w:tmpl w:val="A7944D14"/>
    <w:lvl w:ilvl="0" w:tplc="AA88B68A">
      <w:start w:val="1"/>
      <w:numFmt w:val="upperLetter"/>
      <w:pStyle w:val="Heading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757D0C"/>
    <w:multiLevelType w:val="hybridMultilevel"/>
    <w:tmpl w:val="CEE82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15CEE"/>
    <w:multiLevelType w:val="hybridMultilevel"/>
    <w:tmpl w:val="85C43B38"/>
    <w:lvl w:ilvl="0" w:tplc="81D43826">
      <w:start w:val="3"/>
      <w:numFmt w:val="upp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B8F03C5"/>
    <w:multiLevelType w:val="hybridMultilevel"/>
    <w:tmpl w:val="20860C02"/>
    <w:lvl w:ilvl="0" w:tplc="95B498C4">
      <w:start w:val="3"/>
      <w:numFmt w:val="upperLetter"/>
      <w:lvlText w:val="%1&gt;"/>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F8C655F"/>
    <w:multiLevelType w:val="hybridMultilevel"/>
    <w:tmpl w:val="B3B0D6C2"/>
    <w:lvl w:ilvl="0" w:tplc="D850F1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0592888"/>
    <w:multiLevelType w:val="hybridMultilevel"/>
    <w:tmpl w:val="ADF8AEEA"/>
    <w:lvl w:ilvl="0" w:tplc="440ACAB8">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29028CA"/>
    <w:multiLevelType w:val="hybridMultilevel"/>
    <w:tmpl w:val="4282D94E"/>
    <w:lvl w:ilvl="0" w:tplc="ECD2E412">
      <w:start w:val="1"/>
      <w:numFmt w:val="upperRoman"/>
      <w:lvlText w:val="%1."/>
      <w:lvlJc w:val="left"/>
      <w:pPr>
        <w:ind w:left="157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C25422"/>
    <w:multiLevelType w:val="hybridMultilevel"/>
    <w:tmpl w:val="ADF8AEEA"/>
    <w:lvl w:ilvl="0" w:tplc="440ACAB8">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A123F0C"/>
    <w:multiLevelType w:val="hybridMultilevel"/>
    <w:tmpl w:val="F9828A5A"/>
    <w:lvl w:ilvl="0" w:tplc="A7922668">
      <w:start w:val="1"/>
      <w:numFmt w:val="decimal"/>
      <w:pStyle w:val="Heading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C865F7"/>
    <w:multiLevelType w:val="hybridMultilevel"/>
    <w:tmpl w:val="97E22494"/>
    <w:lvl w:ilvl="0" w:tplc="B13E1F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1900D6"/>
    <w:multiLevelType w:val="hybridMultilevel"/>
    <w:tmpl w:val="19845558"/>
    <w:lvl w:ilvl="0" w:tplc="3B2A2D8E">
      <w:start w:val="1"/>
      <w:numFmt w:val="decimal"/>
      <w:lvlText w:val="%1."/>
      <w:lvlJc w:val="left"/>
      <w:pPr>
        <w:ind w:left="643"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6163AC"/>
    <w:multiLevelType w:val="hybridMultilevel"/>
    <w:tmpl w:val="1C0C7342"/>
    <w:lvl w:ilvl="0" w:tplc="0132352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2B63BE1"/>
    <w:multiLevelType w:val="hybridMultilevel"/>
    <w:tmpl w:val="C8E6B828"/>
    <w:lvl w:ilvl="0" w:tplc="1AAA670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6B5FF1"/>
    <w:multiLevelType w:val="hybridMultilevel"/>
    <w:tmpl w:val="0D56ECB8"/>
    <w:lvl w:ilvl="0" w:tplc="35B0FC0C">
      <w:start w:val="12"/>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0B68AC"/>
    <w:multiLevelType w:val="hybridMultilevel"/>
    <w:tmpl w:val="AFA04430"/>
    <w:lvl w:ilvl="0" w:tplc="C938FA16">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3" w15:restartNumberingAfterBreak="0">
    <w:nsid w:val="69B45B3D"/>
    <w:multiLevelType w:val="hybridMultilevel"/>
    <w:tmpl w:val="5F829596"/>
    <w:lvl w:ilvl="0" w:tplc="7D3499F2">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366DD"/>
    <w:multiLevelType w:val="hybridMultilevel"/>
    <w:tmpl w:val="19845558"/>
    <w:lvl w:ilvl="0" w:tplc="3B2A2D8E">
      <w:start w:val="1"/>
      <w:numFmt w:val="decimal"/>
      <w:lvlText w:val="%1."/>
      <w:lvlJc w:val="left"/>
      <w:pPr>
        <w:ind w:left="643"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C7DC4"/>
    <w:multiLevelType w:val="hybridMultilevel"/>
    <w:tmpl w:val="4B6260F8"/>
    <w:lvl w:ilvl="0" w:tplc="5DECAABE">
      <w:start w:val="1"/>
      <w:numFmt w:val="upperRoman"/>
      <w:pStyle w:val="Heading1"/>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472EF8"/>
    <w:multiLevelType w:val="hybridMultilevel"/>
    <w:tmpl w:val="ED346B90"/>
    <w:lvl w:ilvl="0" w:tplc="34DEB5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AE1C1B"/>
    <w:multiLevelType w:val="hybridMultilevel"/>
    <w:tmpl w:val="A39AB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FA745A"/>
    <w:multiLevelType w:val="hybridMultilevel"/>
    <w:tmpl w:val="AFA04430"/>
    <w:lvl w:ilvl="0" w:tplc="C938FA1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C7908B0"/>
    <w:multiLevelType w:val="hybridMultilevel"/>
    <w:tmpl w:val="9532340A"/>
    <w:lvl w:ilvl="0" w:tplc="BB902B90">
      <w:start w:val="4"/>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7F7A3860"/>
    <w:multiLevelType w:val="hybridMultilevel"/>
    <w:tmpl w:val="346C88C0"/>
    <w:lvl w:ilvl="0" w:tplc="2884D006">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4"/>
  </w:num>
  <w:num w:numId="3">
    <w:abstractNumId w:val="30"/>
  </w:num>
  <w:num w:numId="4">
    <w:abstractNumId w:val="36"/>
  </w:num>
  <w:num w:numId="5">
    <w:abstractNumId w:val="16"/>
  </w:num>
  <w:num w:numId="6">
    <w:abstractNumId w:val="5"/>
  </w:num>
  <w:num w:numId="7">
    <w:abstractNumId w:val="23"/>
  </w:num>
  <w:num w:numId="8">
    <w:abstractNumId w:val="25"/>
  </w:num>
  <w:num w:numId="9">
    <w:abstractNumId w:val="13"/>
  </w:num>
  <w:num w:numId="10">
    <w:abstractNumId w:val="31"/>
  </w:num>
  <w:num w:numId="11">
    <w:abstractNumId w:val="14"/>
  </w:num>
  <w:num w:numId="12">
    <w:abstractNumId w:val="19"/>
  </w:num>
  <w:num w:numId="13">
    <w:abstractNumId w:val="3"/>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9"/>
  </w:num>
  <w:num w:numId="21">
    <w:abstractNumId w:val="27"/>
  </w:num>
  <w:num w:numId="22">
    <w:abstractNumId w:val="1"/>
  </w:num>
  <w:num w:numId="23">
    <w:abstractNumId w:val="8"/>
  </w:num>
  <w:num w:numId="24">
    <w:abstractNumId w:val="29"/>
  </w:num>
  <w:num w:numId="25">
    <w:abstractNumId w:val="21"/>
  </w:num>
  <w:num w:numId="26">
    <w:abstractNumId w:val="11"/>
  </w:num>
  <w:num w:numId="27">
    <w:abstractNumId w:val="10"/>
  </w:num>
  <w:num w:numId="28">
    <w:abstractNumId w:val="28"/>
  </w:num>
  <w:num w:numId="29">
    <w:abstractNumId w:val="32"/>
  </w:num>
  <w:num w:numId="30">
    <w:abstractNumId w:val="39"/>
  </w:num>
  <w:num w:numId="31">
    <w:abstractNumId w:val="38"/>
  </w:num>
  <w:num w:numId="32">
    <w:abstractNumId w:val="40"/>
  </w:num>
  <w:num w:numId="33">
    <w:abstractNumId w:val="33"/>
  </w:num>
  <w:num w:numId="34">
    <w:abstractNumId w:val="0"/>
  </w:num>
  <w:num w:numId="35">
    <w:abstractNumId w:val="15"/>
  </w:num>
  <w:num w:numId="36">
    <w:abstractNumId w:val="2"/>
  </w:num>
  <w:num w:numId="37">
    <w:abstractNumId w:val="37"/>
  </w:num>
  <w:num w:numId="38">
    <w:abstractNumId w:val="4"/>
  </w:num>
  <w:num w:numId="39">
    <w:abstractNumId w:val="22"/>
  </w:num>
  <w:num w:numId="40">
    <w:abstractNumId w:val="35"/>
  </w:num>
  <w:num w:numId="41">
    <w:abstractNumId w:val="26"/>
  </w:num>
  <w:num w:numId="42">
    <w:abstractNumId w:val="18"/>
  </w:num>
  <w:num w:numId="43">
    <w:abstractNumId w:val="7"/>
  </w:num>
  <w:num w:numId="44">
    <w:abstractNumId w:val="26"/>
    <w:lvlOverride w:ilvl="0">
      <w:startOverride w:val="1"/>
    </w:lvlOverride>
  </w:num>
  <w:num w:numId="45">
    <w:abstractNumId w:val="26"/>
    <w:lvlOverride w:ilvl="0">
      <w:startOverride w:val="1"/>
    </w:lvlOverride>
  </w:num>
  <w:num w:numId="46">
    <w:abstractNumId w:val="1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17"/>
    <w:rsid w:val="000003B9"/>
    <w:rsid w:val="00001956"/>
    <w:rsid w:val="00003B0E"/>
    <w:rsid w:val="0000518C"/>
    <w:rsid w:val="00010942"/>
    <w:rsid w:val="0001168C"/>
    <w:rsid w:val="00012371"/>
    <w:rsid w:val="00012E07"/>
    <w:rsid w:val="00013DCF"/>
    <w:rsid w:val="00017B3D"/>
    <w:rsid w:val="00017E54"/>
    <w:rsid w:val="00020CB1"/>
    <w:rsid w:val="00021D3F"/>
    <w:rsid w:val="000221AB"/>
    <w:rsid w:val="00026FD2"/>
    <w:rsid w:val="00027400"/>
    <w:rsid w:val="00027542"/>
    <w:rsid w:val="00027DF4"/>
    <w:rsid w:val="000300F8"/>
    <w:rsid w:val="000305B3"/>
    <w:rsid w:val="000309FF"/>
    <w:rsid w:val="00031834"/>
    <w:rsid w:val="00035287"/>
    <w:rsid w:val="000365AC"/>
    <w:rsid w:val="00040212"/>
    <w:rsid w:val="00041E82"/>
    <w:rsid w:val="00042168"/>
    <w:rsid w:val="00043A6E"/>
    <w:rsid w:val="00045423"/>
    <w:rsid w:val="00046E20"/>
    <w:rsid w:val="00050B60"/>
    <w:rsid w:val="00050D12"/>
    <w:rsid w:val="00050E99"/>
    <w:rsid w:val="000510B0"/>
    <w:rsid w:val="000545B7"/>
    <w:rsid w:val="000564F2"/>
    <w:rsid w:val="00056DAC"/>
    <w:rsid w:val="00057CDF"/>
    <w:rsid w:val="0006113C"/>
    <w:rsid w:val="00061399"/>
    <w:rsid w:val="000613CC"/>
    <w:rsid w:val="00061A27"/>
    <w:rsid w:val="0006243B"/>
    <w:rsid w:val="00064FA6"/>
    <w:rsid w:val="0006550F"/>
    <w:rsid w:val="000700DA"/>
    <w:rsid w:val="000704CF"/>
    <w:rsid w:val="00070CA4"/>
    <w:rsid w:val="0007105D"/>
    <w:rsid w:val="000710E0"/>
    <w:rsid w:val="00073426"/>
    <w:rsid w:val="00074E4D"/>
    <w:rsid w:val="0007699B"/>
    <w:rsid w:val="00080493"/>
    <w:rsid w:val="000805D7"/>
    <w:rsid w:val="00083C66"/>
    <w:rsid w:val="0008495C"/>
    <w:rsid w:val="000865A7"/>
    <w:rsid w:val="00086937"/>
    <w:rsid w:val="00092EAD"/>
    <w:rsid w:val="00094063"/>
    <w:rsid w:val="0009412B"/>
    <w:rsid w:val="0009504E"/>
    <w:rsid w:val="0009527A"/>
    <w:rsid w:val="000A017C"/>
    <w:rsid w:val="000A12FD"/>
    <w:rsid w:val="000A1304"/>
    <w:rsid w:val="000A6035"/>
    <w:rsid w:val="000A7AC3"/>
    <w:rsid w:val="000B3068"/>
    <w:rsid w:val="000B34E2"/>
    <w:rsid w:val="000B365A"/>
    <w:rsid w:val="000B56D6"/>
    <w:rsid w:val="000C108F"/>
    <w:rsid w:val="000C1B9D"/>
    <w:rsid w:val="000C2480"/>
    <w:rsid w:val="000C327F"/>
    <w:rsid w:val="000C4DA5"/>
    <w:rsid w:val="000D0821"/>
    <w:rsid w:val="000D0E74"/>
    <w:rsid w:val="000D1707"/>
    <w:rsid w:val="000D1F5A"/>
    <w:rsid w:val="000D32A1"/>
    <w:rsid w:val="000D45FB"/>
    <w:rsid w:val="000D6161"/>
    <w:rsid w:val="000D6243"/>
    <w:rsid w:val="000D7FD4"/>
    <w:rsid w:val="000E0AC2"/>
    <w:rsid w:val="000E1B7C"/>
    <w:rsid w:val="000E431C"/>
    <w:rsid w:val="000E729C"/>
    <w:rsid w:val="000F0CFB"/>
    <w:rsid w:val="000F1EBE"/>
    <w:rsid w:val="000F3097"/>
    <w:rsid w:val="000F403E"/>
    <w:rsid w:val="000F4D0C"/>
    <w:rsid w:val="000F7493"/>
    <w:rsid w:val="000F7C0B"/>
    <w:rsid w:val="000F7DAB"/>
    <w:rsid w:val="00100614"/>
    <w:rsid w:val="00103597"/>
    <w:rsid w:val="0010384A"/>
    <w:rsid w:val="00107D68"/>
    <w:rsid w:val="0011264A"/>
    <w:rsid w:val="001129CD"/>
    <w:rsid w:val="00114B5B"/>
    <w:rsid w:val="00115EA0"/>
    <w:rsid w:val="001161DB"/>
    <w:rsid w:val="0011762E"/>
    <w:rsid w:val="00117EDF"/>
    <w:rsid w:val="00120B6C"/>
    <w:rsid w:val="00121565"/>
    <w:rsid w:val="00121753"/>
    <w:rsid w:val="0012225C"/>
    <w:rsid w:val="001230B3"/>
    <w:rsid w:val="001240BD"/>
    <w:rsid w:val="00125A6A"/>
    <w:rsid w:val="00126405"/>
    <w:rsid w:val="0013088B"/>
    <w:rsid w:val="00131345"/>
    <w:rsid w:val="00131B09"/>
    <w:rsid w:val="001332B7"/>
    <w:rsid w:val="001332D5"/>
    <w:rsid w:val="00133E22"/>
    <w:rsid w:val="00134EB7"/>
    <w:rsid w:val="00135529"/>
    <w:rsid w:val="00135FB9"/>
    <w:rsid w:val="00136F5F"/>
    <w:rsid w:val="001373D2"/>
    <w:rsid w:val="0014102E"/>
    <w:rsid w:val="0014242A"/>
    <w:rsid w:val="00143407"/>
    <w:rsid w:val="0014360C"/>
    <w:rsid w:val="00143AB8"/>
    <w:rsid w:val="00144890"/>
    <w:rsid w:val="00144B76"/>
    <w:rsid w:val="00145137"/>
    <w:rsid w:val="001468CC"/>
    <w:rsid w:val="00150E5D"/>
    <w:rsid w:val="0015186D"/>
    <w:rsid w:val="00154361"/>
    <w:rsid w:val="001559FF"/>
    <w:rsid w:val="001565A9"/>
    <w:rsid w:val="001571CE"/>
    <w:rsid w:val="00157DE4"/>
    <w:rsid w:val="00161871"/>
    <w:rsid w:val="001632E3"/>
    <w:rsid w:val="00163B78"/>
    <w:rsid w:val="001646CB"/>
    <w:rsid w:val="0016620E"/>
    <w:rsid w:val="001678D7"/>
    <w:rsid w:val="00171024"/>
    <w:rsid w:val="001711FC"/>
    <w:rsid w:val="00171706"/>
    <w:rsid w:val="0017198B"/>
    <w:rsid w:val="00171C2B"/>
    <w:rsid w:val="00176433"/>
    <w:rsid w:val="00176B33"/>
    <w:rsid w:val="0018104D"/>
    <w:rsid w:val="00181BD0"/>
    <w:rsid w:val="00182C89"/>
    <w:rsid w:val="0018319F"/>
    <w:rsid w:val="00184F55"/>
    <w:rsid w:val="00190290"/>
    <w:rsid w:val="00191B43"/>
    <w:rsid w:val="00193045"/>
    <w:rsid w:val="001941C7"/>
    <w:rsid w:val="00194CC5"/>
    <w:rsid w:val="00195171"/>
    <w:rsid w:val="001A563D"/>
    <w:rsid w:val="001B485A"/>
    <w:rsid w:val="001B5E72"/>
    <w:rsid w:val="001B644E"/>
    <w:rsid w:val="001B6F0A"/>
    <w:rsid w:val="001C0F70"/>
    <w:rsid w:val="001C15FC"/>
    <w:rsid w:val="001C1FBC"/>
    <w:rsid w:val="001C300E"/>
    <w:rsid w:val="001C4883"/>
    <w:rsid w:val="001C5562"/>
    <w:rsid w:val="001C58D8"/>
    <w:rsid w:val="001C58FE"/>
    <w:rsid w:val="001C6FD2"/>
    <w:rsid w:val="001C71FF"/>
    <w:rsid w:val="001C7E0D"/>
    <w:rsid w:val="001D1513"/>
    <w:rsid w:val="001D1917"/>
    <w:rsid w:val="001D1B5C"/>
    <w:rsid w:val="001D52D4"/>
    <w:rsid w:val="001D5BBA"/>
    <w:rsid w:val="001D7B1F"/>
    <w:rsid w:val="001E1247"/>
    <w:rsid w:val="001E20E2"/>
    <w:rsid w:val="001E2772"/>
    <w:rsid w:val="001E2C9E"/>
    <w:rsid w:val="001E2D31"/>
    <w:rsid w:val="001E3AB0"/>
    <w:rsid w:val="001E3DF1"/>
    <w:rsid w:val="001E726D"/>
    <w:rsid w:val="001F14AA"/>
    <w:rsid w:val="001F2ACE"/>
    <w:rsid w:val="001F2D80"/>
    <w:rsid w:val="001F438B"/>
    <w:rsid w:val="001F4A5C"/>
    <w:rsid w:val="001F5F82"/>
    <w:rsid w:val="001F7C69"/>
    <w:rsid w:val="002017BD"/>
    <w:rsid w:val="00202FB6"/>
    <w:rsid w:val="0020369D"/>
    <w:rsid w:val="002053EB"/>
    <w:rsid w:val="00205A80"/>
    <w:rsid w:val="00206029"/>
    <w:rsid w:val="002074C4"/>
    <w:rsid w:val="00207A61"/>
    <w:rsid w:val="00207ADF"/>
    <w:rsid w:val="00212BE0"/>
    <w:rsid w:val="00213B8E"/>
    <w:rsid w:val="00215216"/>
    <w:rsid w:val="0022016B"/>
    <w:rsid w:val="002212DB"/>
    <w:rsid w:val="00221DC1"/>
    <w:rsid w:val="00222039"/>
    <w:rsid w:val="00222E37"/>
    <w:rsid w:val="00224B85"/>
    <w:rsid w:val="002261A2"/>
    <w:rsid w:val="0022711E"/>
    <w:rsid w:val="002304B7"/>
    <w:rsid w:val="00232CCF"/>
    <w:rsid w:val="0023421C"/>
    <w:rsid w:val="002344C8"/>
    <w:rsid w:val="00234625"/>
    <w:rsid w:val="00234BC9"/>
    <w:rsid w:val="00234CB3"/>
    <w:rsid w:val="00236975"/>
    <w:rsid w:val="0023700A"/>
    <w:rsid w:val="0024101D"/>
    <w:rsid w:val="00241906"/>
    <w:rsid w:val="00242651"/>
    <w:rsid w:val="002438FD"/>
    <w:rsid w:val="00243CA0"/>
    <w:rsid w:val="00244717"/>
    <w:rsid w:val="00246315"/>
    <w:rsid w:val="00247595"/>
    <w:rsid w:val="00247988"/>
    <w:rsid w:val="00247B8B"/>
    <w:rsid w:val="002515F5"/>
    <w:rsid w:val="0025463B"/>
    <w:rsid w:val="00254821"/>
    <w:rsid w:val="002558F3"/>
    <w:rsid w:val="00256418"/>
    <w:rsid w:val="00265829"/>
    <w:rsid w:val="00265A03"/>
    <w:rsid w:val="00266430"/>
    <w:rsid w:val="00270663"/>
    <w:rsid w:val="00270860"/>
    <w:rsid w:val="002726C4"/>
    <w:rsid w:val="002726CA"/>
    <w:rsid w:val="00272880"/>
    <w:rsid w:val="002728C0"/>
    <w:rsid w:val="0027492A"/>
    <w:rsid w:val="002752E3"/>
    <w:rsid w:val="00276944"/>
    <w:rsid w:val="002769B6"/>
    <w:rsid w:val="00276F23"/>
    <w:rsid w:val="00277A5E"/>
    <w:rsid w:val="002801AE"/>
    <w:rsid w:val="002814CB"/>
    <w:rsid w:val="0028175B"/>
    <w:rsid w:val="00282125"/>
    <w:rsid w:val="00282375"/>
    <w:rsid w:val="002854FD"/>
    <w:rsid w:val="00285FCB"/>
    <w:rsid w:val="002878FA"/>
    <w:rsid w:val="00287CDE"/>
    <w:rsid w:val="0029096A"/>
    <w:rsid w:val="0029308D"/>
    <w:rsid w:val="00293701"/>
    <w:rsid w:val="00295D68"/>
    <w:rsid w:val="002A0356"/>
    <w:rsid w:val="002A3560"/>
    <w:rsid w:val="002A5339"/>
    <w:rsid w:val="002B1090"/>
    <w:rsid w:val="002B573C"/>
    <w:rsid w:val="002B7113"/>
    <w:rsid w:val="002B7DF2"/>
    <w:rsid w:val="002C34A7"/>
    <w:rsid w:val="002C3C4F"/>
    <w:rsid w:val="002C42BE"/>
    <w:rsid w:val="002C4AED"/>
    <w:rsid w:val="002C6F18"/>
    <w:rsid w:val="002D0E10"/>
    <w:rsid w:val="002D202A"/>
    <w:rsid w:val="002D2F32"/>
    <w:rsid w:val="002D447C"/>
    <w:rsid w:val="002D4BCF"/>
    <w:rsid w:val="002D4F21"/>
    <w:rsid w:val="002D5A63"/>
    <w:rsid w:val="002E7230"/>
    <w:rsid w:val="002E7B01"/>
    <w:rsid w:val="002F0519"/>
    <w:rsid w:val="002F1628"/>
    <w:rsid w:val="002F1F53"/>
    <w:rsid w:val="002F2837"/>
    <w:rsid w:val="002F69F9"/>
    <w:rsid w:val="002F74B6"/>
    <w:rsid w:val="002F79A8"/>
    <w:rsid w:val="002F7EAA"/>
    <w:rsid w:val="00301F0D"/>
    <w:rsid w:val="00306A8B"/>
    <w:rsid w:val="0030760A"/>
    <w:rsid w:val="00310242"/>
    <w:rsid w:val="003102D7"/>
    <w:rsid w:val="00320397"/>
    <w:rsid w:val="003243DC"/>
    <w:rsid w:val="003248F3"/>
    <w:rsid w:val="00326BF5"/>
    <w:rsid w:val="0033169E"/>
    <w:rsid w:val="0033362D"/>
    <w:rsid w:val="0033535A"/>
    <w:rsid w:val="00336D5F"/>
    <w:rsid w:val="00336EBC"/>
    <w:rsid w:val="0034076A"/>
    <w:rsid w:val="003408C0"/>
    <w:rsid w:val="00342DD5"/>
    <w:rsid w:val="00343732"/>
    <w:rsid w:val="00343A94"/>
    <w:rsid w:val="00343C57"/>
    <w:rsid w:val="003451FC"/>
    <w:rsid w:val="00346C35"/>
    <w:rsid w:val="003476A7"/>
    <w:rsid w:val="00347EBA"/>
    <w:rsid w:val="0035087E"/>
    <w:rsid w:val="0035212D"/>
    <w:rsid w:val="00353459"/>
    <w:rsid w:val="0035350E"/>
    <w:rsid w:val="00353EB9"/>
    <w:rsid w:val="00356804"/>
    <w:rsid w:val="00356E66"/>
    <w:rsid w:val="003625EA"/>
    <w:rsid w:val="00364AAF"/>
    <w:rsid w:val="00364AED"/>
    <w:rsid w:val="00364C9A"/>
    <w:rsid w:val="0036546D"/>
    <w:rsid w:val="0036581A"/>
    <w:rsid w:val="003664F5"/>
    <w:rsid w:val="00366F96"/>
    <w:rsid w:val="00367117"/>
    <w:rsid w:val="0036758E"/>
    <w:rsid w:val="00367BC2"/>
    <w:rsid w:val="00370B2B"/>
    <w:rsid w:val="00370E1C"/>
    <w:rsid w:val="00373497"/>
    <w:rsid w:val="00374D09"/>
    <w:rsid w:val="0037591E"/>
    <w:rsid w:val="00377A55"/>
    <w:rsid w:val="0038006A"/>
    <w:rsid w:val="00381AFC"/>
    <w:rsid w:val="00381DC2"/>
    <w:rsid w:val="00382707"/>
    <w:rsid w:val="00383381"/>
    <w:rsid w:val="003836BA"/>
    <w:rsid w:val="00383828"/>
    <w:rsid w:val="00383FD1"/>
    <w:rsid w:val="00384989"/>
    <w:rsid w:val="00385CBA"/>
    <w:rsid w:val="00386AE7"/>
    <w:rsid w:val="00387029"/>
    <w:rsid w:val="00387EF8"/>
    <w:rsid w:val="00391B72"/>
    <w:rsid w:val="0039217C"/>
    <w:rsid w:val="0039292C"/>
    <w:rsid w:val="00395046"/>
    <w:rsid w:val="00395364"/>
    <w:rsid w:val="00397178"/>
    <w:rsid w:val="003A070C"/>
    <w:rsid w:val="003A09DB"/>
    <w:rsid w:val="003A10D9"/>
    <w:rsid w:val="003A218E"/>
    <w:rsid w:val="003A4492"/>
    <w:rsid w:val="003A4763"/>
    <w:rsid w:val="003A5704"/>
    <w:rsid w:val="003A5FEB"/>
    <w:rsid w:val="003A6CB3"/>
    <w:rsid w:val="003B1B37"/>
    <w:rsid w:val="003B2BED"/>
    <w:rsid w:val="003B4FCC"/>
    <w:rsid w:val="003B56C2"/>
    <w:rsid w:val="003B6225"/>
    <w:rsid w:val="003B65D7"/>
    <w:rsid w:val="003B7112"/>
    <w:rsid w:val="003B7613"/>
    <w:rsid w:val="003C012D"/>
    <w:rsid w:val="003C147F"/>
    <w:rsid w:val="003C27D6"/>
    <w:rsid w:val="003C2E2A"/>
    <w:rsid w:val="003C3824"/>
    <w:rsid w:val="003C4349"/>
    <w:rsid w:val="003C4A59"/>
    <w:rsid w:val="003C76BB"/>
    <w:rsid w:val="003D06F0"/>
    <w:rsid w:val="003D0F51"/>
    <w:rsid w:val="003D2F18"/>
    <w:rsid w:val="003D39EF"/>
    <w:rsid w:val="003D5E29"/>
    <w:rsid w:val="003D69D2"/>
    <w:rsid w:val="003D75E9"/>
    <w:rsid w:val="003E0722"/>
    <w:rsid w:val="003E43C2"/>
    <w:rsid w:val="003E4E4B"/>
    <w:rsid w:val="003E5D27"/>
    <w:rsid w:val="003E6399"/>
    <w:rsid w:val="003E6BFE"/>
    <w:rsid w:val="003F0336"/>
    <w:rsid w:val="003F0C16"/>
    <w:rsid w:val="003F4E55"/>
    <w:rsid w:val="003F6699"/>
    <w:rsid w:val="003F669A"/>
    <w:rsid w:val="00400628"/>
    <w:rsid w:val="00400888"/>
    <w:rsid w:val="0040142B"/>
    <w:rsid w:val="004035D4"/>
    <w:rsid w:val="00403EED"/>
    <w:rsid w:val="00404047"/>
    <w:rsid w:val="00404700"/>
    <w:rsid w:val="00404D99"/>
    <w:rsid w:val="004057A2"/>
    <w:rsid w:val="00405C3C"/>
    <w:rsid w:val="0040629E"/>
    <w:rsid w:val="00407713"/>
    <w:rsid w:val="00407DBC"/>
    <w:rsid w:val="00410ADD"/>
    <w:rsid w:val="0041141A"/>
    <w:rsid w:val="004128F1"/>
    <w:rsid w:val="00414349"/>
    <w:rsid w:val="00414697"/>
    <w:rsid w:val="0041541A"/>
    <w:rsid w:val="0041571E"/>
    <w:rsid w:val="00415CC2"/>
    <w:rsid w:val="00416E8A"/>
    <w:rsid w:val="0041719B"/>
    <w:rsid w:val="00421A3F"/>
    <w:rsid w:val="00422887"/>
    <w:rsid w:val="00423783"/>
    <w:rsid w:val="00424709"/>
    <w:rsid w:val="004251B6"/>
    <w:rsid w:val="004274C0"/>
    <w:rsid w:val="00427AE0"/>
    <w:rsid w:val="00430141"/>
    <w:rsid w:val="00431364"/>
    <w:rsid w:val="00432431"/>
    <w:rsid w:val="00432C57"/>
    <w:rsid w:val="0043393B"/>
    <w:rsid w:val="004344AA"/>
    <w:rsid w:val="00434ABD"/>
    <w:rsid w:val="00436422"/>
    <w:rsid w:val="00436ADF"/>
    <w:rsid w:val="00436B6C"/>
    <w:rsid w:val="00436BDC"/>
    <w:rsid w:val="00437F69"/>
    <w:rsid w:val="00440A79"/>
    <w:rsid w:val="00440C45"/>
    <w:rsid w:val="0044133D"/>
    <w:rsid w:val="00441645"/>
    <w:rsid w:val="004417DF"/>
    <w:rsid w:val="00441FE2"/>
    <w:rsid w:val="00442260"/>
    <w:rsid w:val="004422FB"/>
    <w:rsid w:val="0044239E"/>
    <w:rsid w:val="004426AC"/>
    <w:rsid w:val="00442AD1"/>
    <w:rsid w:val="00442AD9"/>
    <w:rsid w:val="00444A6A"/>
    <w:rsid w:val="00444FA2"/>
    <w:rsid w:val="00444FA4"/>
    <w:rsid w:val="004455B9"/>
    <w:rsid w:val="0044799B"/>
    <w:rsid w:val="00447D4F"/>
    <w:rsid w:val="00450AB6"/>
    <w:rsid w:val="0045161F"/>
    <w:rsid w:val="00455CF8"/>
    <w:rsid w:val="0045692F"/>
    <w:rsid w:val="004575A2"/>
    <w:rsid w:val="00457F83"/>
    <w:rsid w:val="0046297C"/>
    <w:rsid w:val="00462B74"/>
    <w:rsid w:val="00463098"/>
    <w:rsid w:val="004640D8"/>
    <w:rsid w:val="0046547D"/>
    <w:rsid w:val="00471F79"/>
    <w:rsid w:val="00474E9C"/>
    <w:rsid w:val="0047581A"/>
    <w:rsid w:val="00475A5E"/>
    <w:rsid w:val="00476822"/>
    <w:rsid w:val="00476E8F"/>
    <w:rsid w:val="0047708B"/>
    <w:rsid w:val="00487E3C"/>
    <w:rsid w:val="00490D4C"/>
    <w:rsid w:val="004921DF"/>
    <w:rsid w:val="004924AB"/>
    <w:rsid w:val="004925D2"/>
    <w:rsid w:val="004930BE"/>
    <w:rsid w:val="00493989"/>
    <w:rsid w:val="00494195"/>
    <w:rsid w:val="004957F3"/>
    <w:rsid w:val="004958F9"/>
    <w:rsid w:val="00495B3F"/>
    <w:rsid w:val="00496C0F"/>
    <w:rsid w:val="004A0157"/>
    <w:rsid w:val="004A2467"/>
    <w:rsid w:val="004A2847"/>
    <w:rsid w:val="004A323A"/>
    <w:rsid w:val="004A70B3"/>
    <w:rsid w:val="004A71FD"/>
    <w:rsid w:val="004B0681"/>
    <w:rsid w:val="004B0981"/>
    <w:rsid w:val="004B1A1E"/>
    <w:rsid w:val="004B1B22"/>
    <w:rsid w:val="004B56E0"/>
    <w:rsid w:val="004B6019"/>
    <w:rsid w:val="004B65A5"/>
    <w:rsid w:val="004B6785"/>
    <w:rsid w:val="004B7685"/>
    <w:rsid w:val="004C0272"/>
    <w:rsid w:val="004C077E"/>
    <w:rsid w:val="004C1B39"/>
    <w:rsid w:val="004C1D63"/>
    <w:rsid w:val="004C3472"/>
    <w:rsid w:val="004C37F9"/>
    <w:rsid w:val="004C43AE"/>
    <w:rsid w:val="004C6F9E"/>
    <w:rsid w:val="004D158F"/>
    <w:rsid w:val="004D19FB"/>
    <w:rsid w:val="004D24B5"/>
    <w:rsid w:val="004D2591"/>
    <w:rsid w:val="004D2D4B"/>
    <w:rsid w:val="004D3326"/>
    <w:rsid w:val="004D41A8"/>
    <w:rsid w:val="004D5713"/>
    <w:rsid w:val="004D5AC7"/>
    <w:rsid w:val="004D64D3"/>
    <w:rsid w:val="004D7097"/>
    <w:rsid w:val="004E0036"/>
    <w:rsid w:val="004E09C1"/>
    <w:rsid w:val="004E275A"/>
    <w:rsid w:val="004E36CB"/>
    <w:rsid w:val="004E6310"/>
    <w:rsid w:val="004E6B6D"/>
    <w:rsid w:val="004F0858"/>
    <w:rsid w:val="004F10DF"/>
    <w:rsid w:val="004F11D0"/>
    <w:rsid w:val="004F162C"/>
    <w:rsid w:val="004F20E4"/>
    <w:rsid w:val="004F22C6"/>
    <w:rsid w:val="004F2A8E"/>
    <w:rsid w:val="004F3B13"/>
    <w:rsid w:val="004F499E"/>
    <w:rsid w:val="004F6849"/>
    <w:rsid w:val="004F6A1E"/>
    <w:rsid w:val="004F7037"/>
    <w:rsid w:val="00500C3D"/>
    <w:rsid w:val="00500CBE"/>
    <w:rsid w:val="00501308"/>
    <w:rsid w:val="0050189E"/>
    <w:rsid w:val="005023A3"/>
    <w:rsid w:val="005051FE"/>
    <w:rsid w:val="00507DC9"/>
    <w:rsid w:val="005100C7"/>
    <w:rsid w:val="00510119"/>
    <w:rsid w:val="005104E4"/>
    <w:rsid w:val="0051486A"/>
    <w:rsid w:val="005172AB"/>
    <w:rsid w:val="00520808"/>
    <w:rsid w:val="00520DB6"/>
    <w:rsid w:val="00521238"/>
    <w:rsid w:val="005224D9"/>
    <w:rsid w:val="005229D9"/>
    <w:rsid w:val="00527708"/>
    <w:rsid w:val="00530D23"/>
    <w:rsid w:val="0053112D"/>
    <w:rsid w:val="00531235"/>
    <w:rsid w:val="0053200F"/>
    <w:rsid w:val="00532325"/>
    <w:rsid w:val="00533201"/>
    <w:rsid w:val="005339CA"/>
    <w:rsid w:val="00534AB7"/>
    <w:rsid w:val="0053607B"/>
    <w:rsid w:val="005364FB"/>
    <w:rsid w:val="00537574"/>
    <w:rsid w:val="00537FCC"/>
    <w:rsid w:val="0054087D"/>
    <w:rsid w:val="0054096F"/>
    <w:rsid w:val="0054104E"/>
    <w:rsid w:val="00541462"/>
    <w:rsid w:val="0054174D"/>
    <w:rsid w:val="00541986"/>
    <w:rsid w:val="0054199A"/>
    <w:rsid w:val="00542E18"/>
    <w:rsid w:val="00542F17"/>
    <w:rsid w:val="00542F83"/>
    <w:rsid w:val="00544B7A"/>
    <w:rsid w:val="005455E9"/>
    <w:rsid w:val="005465AE"/>
    <w:rsid w:val="00547391"/>
    <w:rsid w:val="005525A0"/>
    <w:rsid w:val="005525CC"/>
    <w:rsid w:val="00552CCA"/>
    <w:rsid w:val="00553922"/>
    <w:rsid w:val="00555165"/>
    <w:rsid w:val="005562EA"/>
    <w:rsid w:val="00556B4B"/>
    <w:rsid w:val="00556F3D"/>
    <w:rsid w:val="00557917"/>
    <w:rsid w:val="00562721"/>
    <w:rsid w:val="00562DBA"/>
    <w:rsid w:val="00563934"/>
    <w:rsid w:val="00564628"/>
    <w:rsid w:val="005667FD"/>
    <w:rsid w:val="00566997"/>
    <w:rsid w:val="00566C1A"/>
    <w:rsid w:val="00566E5E"/>
    <w:rsid w:val="0057145A"/>
    <w:rsid w:val="005728C1"/>
    <w:rsid w:val="005745F7"/>
    <w:rsid w:val="005765D6"/>
    <w:rsid w:val="00581025"/>
    <w:rsid w:val="005814F5"/>
    <w:rsid w:val="00581529"/>
    <w:rsid w:val="00582D08"/>
    <w:rsid w:val="005843CA"/>
    <w:rsid w:val="005853D0"/>
    <w:rsid w:val="00586A4E"/>
    <w:rsid w:val="0059140E"/>
    <w:rsid w:val="005950F2"/>
    <w:rsid w:val="005961DB"/>
    <w:rsid w:val="0059719B"/>
    <w:rsid w:val="0059721D"/>
    <w:rsid w:val="005A25E2"/>
    <w:rsid w:val="005A432D"/>
    <w:rsid w:val="005A52B8"/>
    <w:rsid w:val="005A555A"/>
    <w:rsid w:val="005A63AF"/>
    <w:rsid w:val="005A6FEE"/>
    <w:rsid w:val="005B145A"/>
    <w:rsid w:val="005B1CCC"/>
    <w:rsid w:val="005B25C6"/>
    <w:rsid w:val="005B28D0"/>
    <w:rsid w:val="005B32B8"/>
    <w:rsid w:val="005B3562"/>
    <w:rsid w:val="005B3B08"/>
    <w:rsid w:val="005B3B1A"/>
    <w:rsid w:val="005B76C0"/>
    <w:rsid w:val="005C26FD"/>
    <w:rsid w:val="005C27C6"/>
    <w:rsid w:val="005C27E0"/>
    <w:rsid w:val="005C32A7"/>
    <w:rsid w:val="005C3664"/>
    <w:rsid w:val="005C6FCC"/>
    <w:rsid w:val="005D5023"/>
    <w:rsid w:val="005D5EB0"/>
    <w:rsid w:val="005D6614"/>
    <w:rsid w:val="005D6966"/>
    <w:rsid w:val="005D6B9A"/>
    <w:rsid w:val="005D775C"/>
    <w:rsid w:val="005D7E24"/>
    <w:rsid w:val="005E07B4"/>
    <w:rsid w:val="005E1A77"/>
    <w:rsid w:val="005E20F7"/>
    <w:rsid w:val="005E2557"/>
    <w:rsid w:val="005E2C6F"/>
    <w:rsid w:val="005E33DF"/>
    <w:rsid w:val="005E4CA3"/>
    <w:rsid w:val="005E50B6"/>
    <w:rsid w:val="005E50C4"/>
    <w:rsid w:val="005E583D"/>
    <w:rsid w:val="005E5BF4"/>
    <w:rsid w:val="005F2BCC"/>
    <w:rsid w:val="005F2CC7"/>
    <w:rsid w:val="005F30AC"/>
    <w:rsid w:val="005F3281"/>
    <w:rsid w:val="005F39AD"/>
    <w:rsid w:val="005F42FB"/>
    <w:rsid w:val="005F506F"/>
    <w:rsid w:val="005F5AE1"/>
    <w:rsid w:val="005F693E"/>
    <w:rsid w:val="0060116F"/>
    <w:rsid w:val="00603DBB"/>
    <w:rsid w:val="00604909"/>
    <w:rsid w:val="00604F12"/>
    <w:rsid w:val="006065EA"/>
    <w:rsid w:val="006079A0"/>
    <w:rsid w:val="006120A8"/>
    <w:rsid w:val="0061234F"/>
    <w:rsid w:val="006128B7"/>
    <w:rsid w:val="00614CBF"/>
    <w:rsid w:val="00616165"/>
    <w:rsid w:val="006164B9"/>
    <w:rsid w:val="00616DF6"/>
    <w:rsid w:val="00616FB0"/>
    <w:rsid w:val="00617160"/>
    <w:rsid w:val="00620E14"/>
    <w:rsid w:val="0062216A"/>
    <w:rsid w:val="00622344"/>
    <w:rsid w:val="00623122"/>
    <w:rsid w:val="00623F0C"/>
    <w:rsid w:val="006247CD"/>
    <w:rsid w:val="00625DD5"/>
    <w:rsid w:val="00625DDE"/>
    <w:rsid w:val="00630A73"/>
    <w:rsid w:val="0063434C"/>
    <w:rsid w:val="00635189"/>
    <w:rsid w:val="00635CF2"/>
    <w:rsid w:val="00636F2A"/>
    <w:rsid w:val="00637109"/>
    <w:rsid w:val="0063798F"/>
    <w:rsid w:val="006422E1"/>
    <w:rsid w:val="00642D78"/>
    <w:rsid w:val="0064503E"/>
    <w:rsid w:val="006466AD"/>
    <w:rsid w:val="00653232"/>
    <w:rsid w:val="0065686E"/>
    <w:rsid w:val="00657703"/>
    <w:rsid w:val="00660943"/>
    <w:rsid w:val="00661AF4"/>
    <w:rsid w:val="0066371A"/>
    <w:rsid w:val="006641DE"/>
    <w:rsid w:val="006676C0"/>
    <w:rsid w:val="00670C5D"/>
    <w:rsid w:val="00671A78"/>
    <w:rsid w:val="0067232A"/>
    <w:rsid w:val="00672C55"/>
    <w:rsid w:val="00672E05"/>
    <w:rsid w:val="00673253"/>
    <w:rsid w:val="006733FD"/>
    <w:rsid w:val="006734BA"/>
    <w:rsid w:val="006770D0"/>
    <w:rsid w:val="006800E6"/>
    <w:rsid w:val="00680E9F"/>
    <w:rsid w:val="00682C6E"/>
    <w:rsid w:val="00682D4E"/>
    <w:rsid w:val="00682F95"/>
    <w:rsid w:val="00683D26"/>
    <w:rsid w:val="006860A8"/>
    <w:rsid w:val="0068618C"/>
    <w:rsid w:val="00686E74"/>
    <w:rsid w:val="006877B1"/>
    <w:rsid w:val="00690A65"/>
    <w:rsid w:val="00690A9F"/>
    <w:rsid w:val="0069192A"/>
    <w:rsid w:val="0069288A"/>
    <w:rsid w:val="006946E6"/>
    <w:rsid w:val="0069721C"/>
    <w:rsid w:val="006973C2"/>
    <w:rsid w:val="006A23A3"/>
    <w:rsid w:val="006A2E69"/>
    <w:rsid w:val="006A3530"/>
    <w:rsid w:val="006A3BF6"/>
    <w:rsid w:val="006A4E86"/>
    <w:rsid w:val="006A6529"/>
    <w:rsid w:val="006A7C77"/>
    <w:rsid w:val="006B0EB5"/>
    <w:rsid w:val="006B0F6B"/>
    <w:rsid w:val="006B3308"/>
    <w:rsid w:val="006B3578"/>
    <w:rsid w:val="006B6A19"/>
    <w:rsid w:val="006B748B"/>
    <w:rsid w:val="006C0BB0"/>
    <w:rsid w:val="006C27F5"/>
    <w:rsid w:val="006C3E15"/>
    <w:rsid w:val="006C454D"/>
    <w:rsid w:val="006C6676"/>
    <w:rsid w:val="006C6DA6"/>
    <w:rsid w:val="006C7280"/>
    <w:rsid w:val="006C73EB"/>
    <w:rsid w:val="006C7BF5"/>
    <w:rsid w:val="006D279B"/>
    <w:rsid w:val="006D2CA2"/>
    <w:rsid w:val="006D4B45"/>
    <w:rsid w:val="006E05D9"/>
    <w:rsid w:val="006E08F3"/>
    <w:rsid w:val="006E166D"/>
    <w:rsid w:val="006E2CE1"/>
    <w:rsid w:val="006E2E16"/>
    <w:rsid w:val="006E45E7"/>
    <w:rsid w:val="006E5998"/>
    <w:rsid w:val="006E6BAD"/>
    <w:rsid w:val="006F0A39"/>
    <w:rsid w:val="006F10D7"/>
    <w:rsid w:val="006F2434"/>
    <w:rsid w:val="006F3C07"/>
    <w:rsid w:val="006F689A"/>
    <w:rsid w:val="006F7312"/>
    <w:rsid w:val="00700F9E"/>
    <w:rsid w:val="00702F74"/>
    <w:rsid w:val="00706295"/>
    <w:rsid w:val="00706343"/>
    <w:rsid w:val="00712412"/>
    <w:rsid w:val="00712FB1"/>
    <w:rsid w:val="00713AA9"/>
    <w:rsid w:val="00716C65"/>
    <w:rsid w:val="00717BEE"/>
    <w:rsid w:val="00720E69"/>
    <w:rsid w:val="00721A25"/>
    <w:rsid w:val="00722A5B"/>
    <w:rsid w:val="007237E5"/>
    <w:rsid w:val="007311E4"/>
    <w:rsid w:val="00734EDC"/>
    <w:rsid w:val="007360E0"/>
    <w:rsid w:val="00736D43"/>
    <w:rsid w:val="00736FBF"/>
    <w:rsid w:val="00740CDC"/>
    <w:rsid w:val="00741BCF"/>
    <w:rsid w:val="00742285"/>
    <w:rsid w:val="007428EC"/>
    <w:rsid w:val="00743880"/>
    <w:rsid w:val="007446EA"/>
    <w:rsid w:val="007452F7"/>
    <w:rsid w:val="00746612"/>
    <w:rsid w:val="00746C34"/>
    <w:rsid w:val="00750D65"/>
    <w:rsid w:val="0075130A"/>
    <w:rsid w:val="00751A72"/>
    <w:rsid w:val="00756A92"/>
    <w:rsid w:val="00756EE7"/>
    <w:rsid w:val="007578C7"/>
    <w:rsid w:val="00757A3F"/>
    <w:rsid w:val="00762C8F"/>
    <w:rsid w:val="00762ECC"/>
    <w:rsid w:val="00763300"/>
    <w:rsid w:val="00763BF4"/>
    <w:rsid w:val="0076499D"/>
    <w:rsid w:val="0076510C"/>
    <w:rsid w:val="007662F1"/>
    <w:rsid w:val="00766497"/>
    <w:rsid w:val="0076649B"/>
    <w:rsid w:val="007705BE"/>
    <w:rsid w:val="00771F4F"/>
    <w:rsid w:val="00773CFD"/>
    <w:rsid w:val="0077424D"/>
    <w:rsid w:val="00774C83"/>
    <w:rsid w:val="00775541"/>
    <w:rsid w:val="00776A6B"/>
    <w:rsid w:val="00777780"/>
    <w:rsid w:val="007802F9"/>
    <w:rsid w:val="00782737"/>
    <w:rsid w:val="007833AC"/>
    <w:rsid w:val="0078367A"/>
    <w:rsid w:val="007849E9"/>
    <w:rsid w:val="00787307"/>
    <w:rsid w:val="007907EC"/>
    <w:rsid w:val="007930DB"/>
    <w:rsid w:val="00794F0E"/>
    <w:rsid w:val="00795814"/>
    <w:rsid w:val="007960E2"/>
    <w:rsid w:val="007963A2"/>
    <w:rsid w:val="007967EB"/>
    <w:rsid w:val="00796BCB"/>
    <w:rsid w:val="0079703D"/>
    <w:rsid w:val="007A0CB9"/>
    <w:rsid w:val="007A12D5"/>
    <w:rsid w:val="007A2AFE"/>
    <w:rsid w:val="007A5B5A"/>
    <w:rsid w:val="007A5C11"/>
    <w:rsid w:val="007A646B"/>
    <w:rsid w:val="007B057B"/>
    <w:rsid w:val="007B12FE"/>
    <w:rsid w:val="007B1996"/>
    <w:rsid w:val="007B1EF8"/>
    <w:rsid w:val="007B3D25"/>
    <w:rsid w:val="007B4A0E"/>
    <w:rsid w:val="007B4AEB"/>
    <w:rsid w:val="007B5079"/>
    <w:rsid w:val="007B7DF0"/>
    <w:rsid w:val="007B7E0E"/>
    <w:rsid w:val="007C2A08"/>
    <w:rsid w:val="007C4F68"/>
    <w:rsid w:val="007C55EE"/>
    <w:rsid w:val="007C5846"/>
    <w:rsid w:val="007C60CF"/>
    <w:rsid w:val="007C732D"/>
    <w:rsid w:val="007D006D"/>
    <w:rsid w:val="007D16D2"/>
    <w:rsid w:val="007D22B9"/>
    <w:rsid w:val="007D2D2F"/>
    <w:rsid w:val="007D3948"/>
    <w:rsid w:val="007E0E87"/>
    <w:rsid w:val="007E138C"/>
    <w:rsid w:val="007E18FA"/>
    <w:rsid w:val="007E283F"/>
    <w:rsid w:val="007E290E"/>
    <w:rsid w:val="007E5E9E"/>
    <w:rsid w:val="007E7EFC"/>
    <w:rsid w:val="007F113D"/>
    <w:rsid w:val="007F1496"/>
    <w:rsid w:val="007F2256"/>
    <w:rsid w:val="007F290D"/>
    <w:rsid w:val="007F2DA3"/>
    <w:rsid w:val="007F2DCE"/>
    <w:rsid w:val="007F3A9F"/>
    <w:rsid w:val="0080145D"/>
    <w:rsid w:val="008019DA"/>
    <w:rsid w:val="008035F6"/>
    <w:rsid w:val="0080378A"/>
    <w:rsid w:val="00803969"/>
    <w:rsid w:val="0080431E"/>
    <w:rsid w:val="00804666"/>
    <w:rsid w:val="00804724"/>
    <w:rsid w:val="008056FA"/>
    <w:rsid w:val="00805D83"/>
    <w:rsid w:val="008067D3"/>
    <w:rsid w:val="00812B98"/>
    <w:rsid w:val="00813176"/>
    <w:rsid w:val="0081356D"/>
    <w:rsid w:val="00813CA8"/>
    <w:rsid w:val="008142FC"/>
    <w:rsid w:val="00815989"/>
    <w:rsid w:val="00816E37"/>
    <w:rsid w:val="008201EF"/>
    <w:rsid w:val="0082079F"/>
    <w:rsid w:val="008232D5"/>
    <w:rsid w:val="00823DA6"/>
    <w:rsid w:val="00825191"/>
    <w:rsid w:val="00825778"/>
    <w:rsid w:val="00825B99"/>
    <w:rsid w:val="008264A7"/>
    <w:rsid w:val="00826DDE"/>
    <w:rsid w:val="00831618"/>
    <w:rsid w:val="00832C1A"/>
    <w:rsid w:val="00833246"/>
    <w:rsid w:val="00833490"/>
    <w:rsid w:val="00834C1B"/>
    <w:rsid w:val="008415ED"/>
    <w:rsid w:val="008426F8"/>
    <w:rsid w:val="00843852"/>
    <w:rsid w:val="008438EE"/>
    <w:rsid w:val="008444E6"/>
    <w:rsid w:val="00844E0A"/>
    <w:rsid w:val="008462EB"/>
    <w:rsid w:val="00846651"/>
    <w:rsid w:val="00847244"/>
    <w:rsid w:val="00847B0B"/>
    <w:rsid w:val="00847D83"/>
    <w:rsid w:val="00850682"/>
    <w:rsid w:val="008523AE"/>
    <w:rsid w:val="0085259D"/>
    <w:rsid w:val="0085270B"/>
    <w:rsid w:val="00853C7F"/>
    <w:rsid w:val="0086096D"/>
    <w:rsid w:val="00861C2F"/>
    <w:rsid w:val="008641D2"/>
    <w:rsid w:val="008661DC"/>
    <w:rsid w:val="008662B7"/>
    <w:rsid w:val="008677DE"/>
    <w:rsid w:val="00867E0A"/>
    <w:rsid w:val="00870CF9"/>
    <w:rsid w:val="00872C6F"/>
    <w:rsid w:val="00874A97"/>
    <w:rsid w:val="00874BBF"/>
    <w:rsid w:val="008754BD"/>
    <w:rsid w:val="00875FCE"/>
    <w:rsid w:val="00876B57"/>
    <w:rsid w:val="008812D8"/>
    <w:rsid w:val="008813D9"/>
    <w:rsid w:val="008831A2"/>
    <w:rsid w:val="008852A3"/>
    <w:rsid w:val="00887152"/>
    <w:rsid w:val="00890DFA"/>
    <w:rsid w:val="008911F3"/>
    <w:rsid w:val="00891377"/>
    <w:rsid w:val="008917B8"/>
    <w:rsid w:val="008917CB"/>
    <w:rsid w:val="00893047"/>
    <w:rsid w:val="00893FA4"/>
    <w:rsid w:val="00896538"/>
    <w:rsid w:val="00896EF5"/>
    <w:rsid w:val="008A187C"/>
    <w:rsid w:val="008A23CB"/>
    <w:rsid w:val="008A29FF"/>
    <w:rsid w:val="008A2BB9"/>
    <w:rsid w:val="008A2E16"/>
    <w:rsid w:val="008A32FD"/>
    <w:rsid w:val="008A3AD9"/>
    <w:rsid w:val="008A47B6"/>
    <w:rsid w:val="008A4E2A"/>
    <w:rsid w:val="008A5B55"/>
    <w:rsid w:val="008A64DB"/>
    <w:rsid w:val="008B182F"/>
    <w:rsid w:val="008B2116"/>
    <w:rsid w:val="008B3A4D"/>
    <w:rsid w:val="008B3F71"/>
    <w:rsid w:val="008B52A0"/>
    <w:rsid w:val="008B7440"/>
    <w:rsid w:val="008C011A"/>
    <w:rsid w:val="008C308B"/>
    <w:rsid w:val="008C331A"/>
    <w:rsid w:val="008C5A2F"/>
    <w:rsid w:val="008D1C39"/>
    <w:rsid w:val="008D3C39"/>
    <w:rsid w:val="008D43E5"/>
    <w:rsid w:val="008D4CFD"/>
    <w:rsid w:val="008D52E8"/>
    <w:rsid w:val="008D7F99"/>
    <w:rsid w:val="008E0802"/>
    <w:rsid w:val="008E2493"/>
    <w:rsid w:val="008E5242"/>
    <w:rsid w:val="008E60B7"/>
    <w:rsid w:val="008E69D4"/>
    <w:rsid w:val="008F0911"/>
    <w:rsid w:val="008F3C37"/>
    <w:rsid w:val="008F3CAC"/>
    <w:rsid w:val="008F4FDA"/>
    <w:rsid w:val="008F578A"/>
    <w:rsid w:val="008F65B3"/>
    <w:rsid w:val="008F7045"/>
    <w:rsid w:val="008F71DC"/>
    <w:rsid w:val="008F7759"/>
    <w:rsid w:val="008F7902"/>
    <w:rsid w:val="00901535"/>
    <w:rsid w:val="00901674"/>
    <w:rsid w:val="009020B5"/>
    <w:rsid w:val="00903736"/>
    <w:rsid w:val="00903B03"/>
    <w:rsid w:val="009062D3"/>
    <w:rsid w:val="00910B32"/>
    <w:rsid w:val="00911766"/>
    <w:rsid w:val="00912B07"/>
    <w:rsid w:val="009130F3"/>
    <w:rsid w:val="00913199"/>
    <w:rsid w:val="00914AA8"/>
    <w:rsid w:val="00915363"/>
    <w:rsid w:val="00916880"/>
    <w:rsid w:val="00916906"/>
    <w:rsid w:val="00921EFB"/>
    <w:rsid w:val="00923F26"/>
    <w:rsid w:val="0092424E"/>
    <w:rsid w:val="00924B78"/>
    <w:rsid w:val="00925262"/>
    <w:rsid w:val="00925EAB"/>
    <w:rsid w:val="009265A7"/>
    <w:rsid w:val="00926652"/>
    <w:rsid w:val="009268E9"/>
    <w:rsid w:val="00927D96"/>
    <w:rsid w:val="009315B5"/>
    <w:rsid w:val="00931D0F"/>
    <w:rsid w:val="009326FB"/>
    <w:rsid w:val="00932B83"/>
    <w:rsid w:val="00934011"/>
    <w:rsid w:val="00934F34"/>
    <w:rsid w:val="00936407"/>
    <w:rsid w:val="00936DF9"/>
    <w:rsid w:val="00936E15"/>
    <w:rsid w:val="009437B6"/>
    <w:rsid w:val="00943D20"/>
    <w:rsid w:val="0094515E"/>
    <w:rsid w:val="009453DF"/>
    <w:rsid w:val="00945E05"/>
    <w:rsid w:val="009476D4"/>
    <w:rsid w:val="00951362"/>
    <w:rsid w:val="009578E7"/>
    <w:rsid w:val="0095796E"/>
    <w:rsid w:val="00960CAB"/>
    <w:rsid w:val="00962EA4"/>
    <w:rsid w:val="0096411D"/>
    <w:rsid w:val="009646C5"/>
    <w:rsid w:val="00964A33"/>
    <w:rsid w:val="0096546C"/>
    <w:rsid w:val="0096619F"/>
    <w:rsid w:val="00966E96"/>
    <w:rsid w:val="009674D4"/>
    <w:rsid w:val="009677CD"/>
    <w:rsid w:val="00967B83"/>
    <w:rsid w:val="00971877"/>
    <w:rsid w:val="00971947"/>
    <w:rsid w:val="00973A0B"/>
    <w:rsid w:val="00974159"/>
    <w:rsid w:val="00982D44"/>
    <w:rsid w:val="00982D8F"/>
    <w:rsid w:val="00984E29"/>
    <w:rsid w:val="00985A55"/>
    <w:rsid w:val="0098604B"/>
    <w:rsid w:val="00986217"/>
    <w:rsid w:val="00987116"/>
    <w:rsid w:val="009872A0"/>
    <w:rsid w:val="0098784C"/>
    <w:rsid w:val="009912D3"/>
    <w:rsid w:val="00992EB7"/>
    <w:rsid w:val="00993230"/>
    <w:rsid w:val="009935AD"/>
    <w:rsid w:val="00993888"/>
    <w:rsid w:val="00995707"/>
    <w:rsid w:val="00996F94"/>
    <w:rsid w:val="009A0BF1"/>
    <w:rsid w:val="009A0CCC"/>
    <w:rsid w:val="009A0DC3"/>
    <w:rsid w:val="009A1D7F"/>
    <w:rsid w:val="009A350C"/>
    <w:rsid w:val="009A5B6A"/>
    <w:rsid w:val="009A5F28"/>
    <w:rsid w:val="009A5F3D"/>
    <w:rsid w:val="009A6E41"/>
    <w:rsid w:val="009A7081"/>
    <w:rsid w:val="009A7894"/>
    <w:rsid w:val="009B184B"/>
    <w:rsid w:val="009B25AF"/>
    <w:rsid w:val="009B534E"/>
    <w:rsid w:val="009B5B30"/>
    <w:rsid w:val="009B6F2C"/>
    <w:rsid w:val="009B745C"/>
    <w:rsid w:val="009C189F"/>
    <w:rsid w:val="009C2C18"/>
    <w:rsid w:val="009C4240"/>
    <w:rsid w:val="009C6D53"/>
    <w:rsid w:val="009C7C5A"/>
    <w:rsid w:val="009D03E6"/>
    <w:rsid w:val="009D28D9"/>
    <w:rsid w:val="009D2943"/>
    <w:rsid w:val="009D5858"/>
    <w:rsid w:val="009D58CB"/>
    <w:rsid w:val="009D6A21"/>
    <w:rsid w:val="009E07D6"/>
    <w:rsid w:val="009E0B1A"/>
    <w:rsid w:val="009E3796"/>
    <w:rsid w:val="009E3C28"/>
    <w:rsid w:val="009E601C"/>
    <w:rsid w:val="009E6CD4"/>
    <w:rsid w:val="009E6D4D"/>
    <w:rsid w:val="009E7834"/>
    <w:rsid w:val="009F097E"/>
    <w:rsid w:val="009F2AA1"/>
    <w:rsid w:val="009F43D4"/>
    <w:rsid w:val="009F43EC"/>
    <w:rsid w:val="009F4D62"/>
    <w:rsid w:val="009F587C"/>
    <w:rsid w:val="00A00DDA"/>
    <w:rsid w:val="00A032C9"/>
    <w:rsid w:val="00A03A27"/>
    <w:rsid w:val="00A03CE5"/>
    <w:rsid w:val="00A05B17"/>
    <w:rsid w:val="00A06D99"/>
    <w:rsid w:val="00A106B5"/>
    <w:rsid w:val="00A111D6"/>
    <w:rsid w:val="00A141D8"/>
    <w:rsid w:val="00A14FAF"/>
    <w:rsid w:val="00A15927"/>
    <w:rsid w:val="00A16C3E"/>
    <w:rsid w:val="00A200C9"/>
    <w:rsid w:val="00A20365"/>
    <w:rsid w:val="00A2594F"/>
    <w:rsid w:val="00A26AD8"/>
    <w:rsid w:val="00A3097D"/>
    <w:rsid w:val="00A30D79"/>
    <w:rsid w:val="00A311A8"/>
    <w:rsid w:val="00A318C9"/>
    <w:rsid w:val="00A3199E"/>
    <w:rsid w:val="00A31F5B"/>
    <w:rsid w:val="00A33F35"/>
    <w:rsid w:val="00A36620"/>
    <w:rsid w:val="00A36A12"/>
    <w:rsid w:val="00A37D4D"/>
    <w:rsid w:val="00A42A8E"/>
    <w:rsid w:val="00A431A5"/>
    <w:rsid w:val="00A437E2"/>
    <w:rsid w:val="00A448A3"/>
    <w:rsid w:val="00A460E8"/>
    <w:rsid w:val="00A46E86"/>
    <w:rsid w:val="00A47EB8"/>
    <w:rsid w:val="00A50942"/>
    <w:rsid w:val="00A514AE"/>
    <w:rsid w:val="00A51A71"/>
    <w:rsid w:val="00A52ED7"/>
    <w:rsid w:val="00A54DFF"/>
    <w:rsid w:val="00A60430"/>
    <w:rsid w:val="00A6175A"/>
    <w:rsid w:val="00A6415A"/>
    <w:rsid w:val="00A64B19"/>
    <w:rsid w:val="00A67720"/>
    <w:rsid w:val="00A6776D"/>
    <w:rsid w:val="00A70C09"/>
    <w:rsid w:val="00A713D2"/>
    <w:rsid w:val="00A717A0"/>
    <w:rsid w:val="00A746BE"/>
    <w:rsid w:val="00A768A3"/>
    <w:rsid w:val="00A77786"/>
    <w:rsid w:val="00A77866"/>
    <w:rsid w:val="00A80054"/>
    <w:rsid w:val="00A80619"/>
    <w:rsid w:val="00A816CE"/>
    <w:rsid w:val="00A81FB6"/>
    <w:rsid w:val="00A82A30"/>
    <w:rsid w:val="00A82AD3"/>
    <w:rsid w:val="00A831DC"/>
    <w:rsid w:val="00A834BC"/>
    <w:rsid w:val="00A83552"/>
    <w:rsid w:val="00A83CED"/>
    <w:rsid w:val="00A86259"/>
    <w:rsid w:val="00A91EF7"/>
    <w:rsid w:val="00A93036"/>
    <w:rsid w:val="00A94E2B"/>
    <w:rsid w:val="00A95AF3"/>
    <w:rsid w:val="00A95EE4"/>
    <w:rsid w:val="00AA01FE"/>
    <w:rsid w:val="00AA05AA"/>
    <w:rsid w:val="00AA0EEA"/>
    <w:rsid w:val="00AA1317"/>
    <w:rsid w:val="00AA2671"/>
    <w:rsid w:val="00AA4A3E"/>
    <w:rsid w:val="00AA53C2"/>
    <w:rsid w:val="00AA5761"/>
    <w:rsid w:val="00AA7CD4"/>
    <w:rsid w:val="00AB0FEA"/>
    <w:rsid w:val="00AB1AA3"/>
    <w:rsid w:val="00AB2B86"/>
    <w:rsid w:val="00AB40C9"/>
    <w:rsid w:val="00AB5B69"/>
    <w:rsid w:val="00AC0F22"/>
    <w:rsid w:val="00AC1DA2"/>
    <w:rsid w:val="00AC35ED"/>
    <w:rsid w:val="00AC445E"/>
    <w:rsid w:val="00AC4E82"/>
    <w:rsid w:val="00AC534B"/>
    <w:rsid w:val="00AC5A5D"/>
    <w:rsid w:val="00AC68E9"/>
    <w:rsid w:val="00AD317A"/>
    <w:rsid w:val="00AD6D34"/>
    <w:rsid w:val="00AD73B3"/>
    <w:rsid w:val="00AE2A81"/>
    <w:rsid w:val="00AE2C86"/>
    <w:rsid w:val="00AE3CA7"/>
    <w:rsid w:val="00AE5349"/>
    <w:rsid w:val="00AE7337"/>
    <w:rsid w:val="00AE74AB"/>
    <w:rsid w:val="00AE74D0"/>
    <w:rsid w:val="00AF073F"/>
    <w:rsid w:val="00AF17CF"/>
    <w:rsid w:val="00AF18FC"/>
    <w:rsid w:val="00AF2448"/>
    <w:rsid w:val="00AF2AFD"/>
    <w:rsid w:val="00AF30C0"/>
    <w:rsid w:val="00AF3529"/>
    <w:rsid w:val="00AF5AF7"/>
    <w:rsid w:val="00AF7B2C"/>
    <w:rsid w:val="00B023AD"/>
    <w:rsid w:val="00B026E0"/>
    <w:rsid w:val="00B03BE9"/>
    <w:rsid w:val="00B05AF2"/>
    <w:rsid w:val="00B05CCD"/>
    <w:rsid w:val="00B05DC4"/>
    <w:rsid w:val="00B067BA"/>
    <w:rsid w:val="00B06D39"/>
    <w:rsid w:val="00B0780F"/>
    <w:rsid w:val="00B07FAD"/>
    <w:rsid w:val="00B11A35"/>
    <w:rsid w:val="00B1332D"/>
    <w:rsid w:val="00B13640"/>
    <w:rsid w:val="00B136D0"/>
    <w:rsid w:val="00B139C8"/>
    <w:rsid w:val="00B169DE"/>
    <w:rsid w:val="00B173CC"/>
    <w:rsid w:val="00B2011F"/>
    <w:rsid w:val="00B20D32"/>
    <w:rsid w:val="00B22154"/>
    <w:rsid w:val="00B224DD"/>
    <w:rsid w:val="00B255E0"/>
    <w:rsid w:val="00B25C93"/>
    <w:rsid w:val="00B26444"/>
    <w:rsid w:val="00B266B0"/>
    <w:rsid w:val="00B310E1"/>
    <w:rsid w:val="00B31893"/>
    <w:rsid w:val="00B31FFD"/>
    <w:rsid w:val="00B34670"/>
    <w:rsid w:val="00B357F1"/>
    <w:rsid w:val="00B41AEA"/>
    <w:rsid w:val="00B42F56"/>
    <w:rsid w:val="00B42FAD"/>
    <w:rsid w:val="00B42FB9"/>
    <w:rsid w:val="00B43273"/>
    <w:rsid w:val="00B43D08"/>
    <w:rsid w:val="00B455E2"/>
    <w:rsid w:val="00B4643D"/>
    <w:rsid w:val="00B4665D"/>
    <w:rsid w:val="00B4732A"/>
    <w:rsid w:val="00B47F14"/>
    <w:rsid w:val="00B50F68"/>
    <w:rsid w:val="00B51888"/>
    <w:rsid w:val="00B51D4F"/>
    <w:rsid w:val="00B52450"/>
    <w:rsid w:val="00B540B3"/>
    <w:rsid w:val="00B55FDB"/>
    <w:rsid w:val="00B56185"/>
    <w:rsid w:val="00B56F48"/>
    <w:rsid w:val="00B570D6"/>
    <w:rsid w:val="00B575E0"/>
    <w:rsid w:val="00B57DB4"/>
    <w:rsid w:val="00B57E1B"/>
    <w:rsid w:val="00B603D5"/>
    <w:rsid w:val="00B6401A"/>
    <w:rsid w:val="00B648CB"/>
    <w:rsid w:val="00B64D84"/>
    <w:rsid w:val="00B65020"/>
    <w:rsid w:val="00B6797F"/>
    <w:rsid w:val="00B67F42"/>
    <w:rsid w:val="00B70215"/>
    <w:rsid w:val="00B71140"/>
    <w:rsid w:val="00B71ACC"/>
    <w:rsid w:val="00B7348E"/>
    <w:rsid w:val="00B77E0F"/>
    <w:rsid w:val="00B8111A"/>
    <w:rsid w:val="00B8340F"/>
    <w:rsid w:val="00B835FA"/>
    <w:rsid w:val="00B858C1"/>
    <w:rsid w:val="00B85D02"/>
    <w:rsid w:val="00B90F49"/>
    <w:rsid w:val="00B91DCA"/>
    <w:rsid w:val="00B91FCC"/>
    <w:rsid w:val="00B924EC"/>
    <w:rsid w:val="00B92A54"/>
    <w:rsid w:val="00B9404C"/>
    <w:rsid w:val="00B94066"/>
    <w:rsid w:val="00B9677C"/>
    <w:rsid w:val="00B967C2"/>
    <w:rsid w:val="00B96CA8"/>
    <w:rsid w:val="00B979F2"/>
    <w:rsid w:val="00B97C74"/>
    <w:rsid w:val="00BA05CD"/>
    <w:rsid w:val="00BA103B"/>
    <w:rsid w:val="00BA29C6"/>
    <w:rsid w:val="00BA4079"/>
    <w:rsid w:val="00BA498F"/>
    <w:rsid w:val="00BA556D"/>
    <w:rsid w:val="00BA6E05"/>
    <w:rsid w:val="00BA7EBB"/>
    <w:rsid w:val="00BB19AA"/>
    <w:rsid w:val="00BB5C58"/>
    <w:rsid w:val="00BB5C70"/>
    <w:rsid w:val="00BB6D64"/>
    <w:rsid w:val="00BC0912"/>
    <w:rsid w:val="00BC09F3"/>
    <w:rsid w:val="00BC195B"/>
    <w:rsid w:val="00BC28B1"/>
    <w:rsid w:val="00BC4E35"/>
    <w:rsid w:val="00BC5390"/>
    <w:rsid w:val="00BC6190"/>
    <w:rsid w:val="00BC7212"/>
    <w:rsid w:val="00BD07E1"/>
    <w:rsid w:val="00BD1756"/>
    <w:rsid w:val="00BD37E0"/>
    <w:rsid w:val="00BD3D92"/>
    <w:rsid w:val="00BD528D"/>
    <w:rsid w:val="00BD6E20"/>
    <w:rsid w:val="00BD7AC7"/>
    <w:rsid w:val="00BE220F"/>
    <w:rsid w:val="00BE2C14"/>
    <w:rsid w:val="00BE372B"/>
    <w:rsid w:val="00BE3B70"/>
    <w:rsid w:val="00BE4D39"/>
    <w:rsid w:val="00BE50DE"/>
    <w:rsid w:val="00BF01CC"/>
    <w:rsid w:val="00BF43F2"/>
    <w:rsid w:val="00BF4D99"/>
    <w:rsid w:val="00BF6078"/>
    <w:rsid w:val="00BF72F8"/>
    <w:rsid w:val="00C01D9E"/>
    <w:rsid w:val="00C0425B"/>
    <w:rsid w:val="00C05061"/>
    <w:rsid w:val="00C059B0"/>
    <w:rsid w:val="00C05E3A"/>
    <w:rsid w:val="00C06F7D"/>
    <w:rsid w:val="00C11CD3"/>
    <w:rsid w:val="00C1425E"/>
    <w:rsid w:val="00C158DF"/>
    <w:rsid w:val="00C16D49"/>
    <w:rsid w:val="00C20904"/>
    <w:rsid w:val="00C20986"/>
    <w:rsid w:val="00C2106F"/>
    <w:rsid w:val="00C23590"/>
    <w:rsid w:val="00C24B47"/>
    <w:rsid w:val="00C3193E"/>
    <w:rsid w:val="00C32F5E"/>
    <w:rsid w:val="00C33688"/>
    <w:rsid w:val="00C33836"/>
    <w:rsid w:val="00C33ACD"/>
    <w:rsid w:val="00C33B6C"/>
    <w:rsid w:val="00C34BD5"/>
    <w:rsid w:val="00C42607"/>
    <w:rsid w:val="00C451C5"/>
    <w:rsid w:val="00C45CF6"/>
    <w:rsid w:val="00C46DDC"/>
    <w:rsid w:val="00C50FA3"/>
    <w:rsid w:val="00C548F2"/>
    <w:rsid w:val="00C54C28"/>
    <w:rsid w:val="00C54F71"/>
    <w:rsid w:val="00C568C9"/>
    <w:rsid w:val="00C56CE0"/>
    <w:rsid w:val="00C57446"/>
    <w:rsid w:val="00C62CAD"/>
    <w:rsid w:val="00C63E20"/>
    <w:rsid w:val="00C705D0"/>
    <w:rsid w:val="00C73944"/>
    <w:rsid w:val="00C73DF3"/>
    <w:rsid w:val="00C75197"/>
    <w:rsid w:val="00C75850"/>
    <w:rsid w:val="00C767DB"/>
    <w:rsid w:val="00C7693A"/>
    <w:rsid w:val="00C76C8A"/>
    <w:rsid w:val="00C80241"/>
    <w:rsid w:val="00C827F7"/>
    <w:rsid w:val="00C835CE"/>
    <w:rsid w:val="00C858C7"/>
    <w:rsid w:val="00C8738F"/>
    <w:rsid w:val="00C87E8C"/>
    <w:rsid w:val="00C903A1"/>
    <w:rsid w:val="00C91B24"/>
    <w:rsid w:val="00C9246A"/>
    <w:rsid w:val="00C92563"/>
    <w:rsid w:val="00C92A80"/>
    <w:rsid w:val="00C94C4C"/>
    <w:rsid w:val="00C96484"/>
    <w:rsid w:val="00C9691C"/>
    <w:rsid w:val="00C96954"/>
    <w:rsid w:val="00CA0070"/>
    <w:rsid w:val="00CA0184"/>
    <w:rsid w:val="00CA0581"/>
    <w:rsid w:val="00CA29DD"/>
    <w:rsid w:val="00CA2BAA"/>
    <w:rsid w:val="00CA2D7E"/>
    <w:rsid w:val="00CA42B4"/>
    <w:rsid w:val="00CA4348"/>
    <w:rsid w:val="00CA4D20"/>
    <w:rsid w:val="00CA4F2D"/>
    <w:rsid w:val="00CA6EA9"/>
    <w:rsid w:val="00CA72C5"/>
    <w:rsid w:val="00CA7A5E"/>
    <w:rsid w:val="00CA7C77"/>
    <w:rsid w:val="00CB0417"/>
    <w:rsid w:val="00CB0591"/>
    <w:rsid w:val="00CB07B0"/>
    <w:rsid w:val="00CB24FF"/>
    <w:rsid w:val="00CB2A0C"/>
    <w:rsid w:val="00CB2B1C"/>
    <w:rsid w:val="00CB3992"/>
    <w:rsid w:val="00CB3FA6"/>
    <w:rsid w:val="00CB448C"/>
    <w:rsid w:val="00CB6730"/>
    <w:rsid w:val="00CB7F9A"/>
    <w:rsid w:val="00CC3A80"/>
    <w:rsid w:val="00CC4334"/>
    <w:rsid w:val="00CC44B9"/>
    <w:rsid w:val="00CC7FB2"/>
    <w:rsid w:val="00CD00CF"/>
    <w:rsid w:val="00CD25B6"/>
    <w:rsid w:val="00CD270C"/>
    <w:rsid w:val="00CD4AC7"/>
    <w:rsid w:val="00CD6EB5"/>
    <w:rsid w:val="00CE08C4"/>
    <w:rsid w:val="00CE339D"/>
    <w:rsid w:val="00CE3A73"/>
    <w:rsid w:val="00CE3EAD"/>
    <w:rsid w:val="00CE5136"/>
    <w:rsid w:val="00CE7102"/>
    <w:rsid w:val="00CF19E8"/>
    <w:rsid w:val="00CF35AD"/>
    <w:rsid w:val="00CF427F"/>
    <w:rsid w:val="00CF52D2"/>
    <w:rsid w:val="00CF69F1"/>
    <w:rsid w:val="00CF6F01"/>
    <w:rsid w:val="00CF7D21"/>
    <w:rsid w:val="00CF7E03"/>
    <w:rsid w:val="00CF7F84"/>
    <w:rsid w:val="00D0128E"/>
    <w:rsid w:val="00D01512"/>
    <w:rsid w:val="00D01A10"/>
    <w:rsid w:val="00D02649"/>
    <w:rsid w:val="00D03552"/>
    <w:rsid w:val="00D05594"/>
    <w:rsid w:val="00D063BA"/>
    <w:rsid w:val="00D1153A"/>
    <w:rsid w:val="00D11957"/>
    <w:rsid w:val="00D11C45"/>
    <w:rsid w:val="00D12206"/>
    <w:rsid w:val="00D12EBE"/>
    <w:rsid w:val="00D12FFE"/>
    <w:rsid w:val="00D13455"/>
    <w:rsid w:val="00D14293"/>
    <w:rsid w:val="00D16698"/>
    <w:rsid w:val="00D172B4"/>
    <w:rsid w:val="00D17B8F"/>
    <w:rsid w:val="00D17C3C"/>
    <w:rsid w:val="00D2103A"/>
    <w:rsid w:val="00D2271A"/>
    <w:rsid w:val="00D238AB"/>
    <w:rsid w:val="00D240BE"/>
    <w:rsid w:val="00D244AF"/>
    <w:rsid w:val="00D2550F"/>
    <w:rsid w:val="00D25771"/>
    <w:rsid w:val="00D26125"/>
    <w:rsid w:val="00D2633D"/>
    <w:rsid w:val="00D33885"/>
    <w:rsid w:val="00D35FC5"/>
    <w:rsid w:val="00D37055"/>
    <w:rsid w:val="00D40B9D"/>
    <w:rsid w:val="00D42CA5"/>
    <w:rsid w:val="00D43E4B"/>
    <w:rsid w:val="00D443CC"/>
    <w:rsid w:val="00D45661"/>
    <w:rsid w:val="00D45BB7"/>
    <w:rsid w:val="00D45F99"/>
    <w:rsid w:val="00D46914"/>
    <w:rsid w:val="00D47EC8"/>
    <w:rsid w:val="00D5000E"/>
    <w:rsid w:val="00D505C5"/>
    <w:rsid w:val="00D5142A"/>
    <w:rsid w:val="00D5221A"/>
    <w:rsid w:val="00D53BCC"/>
    <w:rsid w:val="00D546A1"/>
    <w:rsid w:val="00D54992"/>
    <w:rsid w:val="00D55168"/>
    <w:rsid w:val="00D55F97"/>
    <w:rsid w:val="00D563D6"/>
    <w:rsid w:val="00D56C58"/>
    <w:rsid w:val="00D57BFF"/>
    <w:rsid w:val="00D62542"/>
    <w:rsid w:val="00D6460D"/>
    <w:rsid w:val="00D64E06"/>
    <w:rsid w:val="00D656DF"/>
    <w:rsid w:val="00D66B65"/>
    <w:rsid w:val="00D6760F"/>
    <w:rsid w:val="00D67F85"/>
    <w:rsid w:val="00D72137"/>
    <w:rsid w:val="00D72FAA"/>
    <w:rsid w:val="00D73B6E"/>
    <w:rsid w:val="00D74C9A"/>
    <w:rsid w:val="00D7585A"/>
    <w:rsid w:val="00D75D4F"/>
    <w:rsid w:val="00D775A7"/>
    <w:rsid w:val="00D84686"/>
    <w:rsid w:val="00D90DDA"/>
    <w:rsid w:val="00D91FF9"/>
    <w:rsid w:val="00D92786"/>
    <w:rsid w:val="00D92E99"/>
    <w:rsid w:val="00D95DD3"/>
    <w:rsid w:val="00D95F39"/>
    <w:rsid w:val="00D96BEC"/>
    <w:rsid w:val="00D96D94"/>
    <w:rsid w:val="00D97336"/>
    <w:rsid w:val="00DA1647"/>
    <w:rsid w:val="00DA16C3"/>
    <w:rsid w:val="00DA17ED"/>
    <w:rsid w:val="00DA1E5E"/>
    <w:rsid w:val="00DA31CF"/>
    <w:rsid w:val="00DA32DD"/>
    <w:rsid w:val="00DA4DD8"/>
    <w:rsid w:val="00DA601C"/>
    <w:rsid w:val="00DA7926"/>
    <w:rsid w:val="00DA7F99"/>
    <w:rsid w:val="00DB02A7"/>
    <w:rsid w:val="00DB06A2"/>
    <w:rsid w:val="00DB1613"/>
    <w:rsid w:val="00DB1E3F"/>
    <w:rsid w:val="00DB3363"/>
    <w:rsid w:val="00DB3CEC"/>
    <w:rsid w:val="00DB62A2"/>
    <w:rsid w:val="00DC2804"/>
    <w:rsid w:val="00DC33C9"/>
    <w:rsid w:val="00DC3B72"/>
    <w:rsid w:val="00DC4290"/>
    <w:rsid w:val="00DC6F21"/>
    <w:rsid w:val="00DD000D"/>
    <w:rsid w:val="00DD0556"/>
    <w:rsid w:val="00DD0D28"/>
    <w:rsid w:val="00DD1269"/>
    <w:rsid w:val="00DD13EF"/>
    <w:rsid w:val="00DD1CD6"/>
    <w:rsid w:val="00DD334B"/>
    <w:rsid w:val="00DD3C4C"/>
    <w:rsid w:val="00DD4309"/>
    <w:rsid w:val="00DD4ABC"/>
    <w:rsid w:val="00DD523E"/>
    <w:rsid w:val="00DD555E"/>
    <w:rsid w:val="00DE1D25"/>
    <w:rsid w:val="00DE272D"/>
    <w:rsid w:val="00DE3A4B"/>
    <w:rsid w:val="00DE4423"/>
    <w:rsid w:val="00DE449D"/>
    <w:rsid w:val="00DF0A69"/>
    <w:rsid w:val="00DF161C"/>
    <w:rsid w:val="00DF3F01"/>
    <w:rsid w:val="00DF5CE1"/>
    <w:rsid w:val="00DF6366"/>
    <w:rsid w:val="00DF7234"/>
    <w:rsid w:val="00E001E3"/>
    <w:rsid w:val="00E06D0F"/>
    <w:rsid w:val="00E06DF2"/>
    <w:rsid w:val="00E06FDF"/>
    <w:rsid w:val="00E118D7"/>
    <w:rsid w:val="00E11993"/>
    <w:rsid w:val="00E11C68"/>
    <w:rsid w:val="00E12BEA"/>
    <w:rsid w:val="00E14463"/>
    <w:rsid w:val="00E145EB"/>
    <w:rsid w:val="00E14A62"/>
    <w:rsid w:val="00E14AF4"/>
    <w:rsid w:val="00E169DF"/>
    <w:rsid w:val="00E170E0"/>
    <w:rsid w:val="00E21395"/>
    <w:rsid w:val="00E2291E"/>
    <w:rsid w:val="00E23E56"/>
    <w:rsid w:val="00E25354"/>
    <w:rsid w:val="00E25529"/>
    <w:rsid w:val="00E25B7D"/>
    <w:rsid w:val="00E27554"/>
    <w:rsid w:val="00E302F2"/>
    <w:rsid w:val="00E31AC9"/>
    <w:rsid w:val="00E32007"/>
    <w:rsid w:val="00E321D0"/>
    <w:rsid w:val="00E3253A"/>
    <w:rsid w:val="00E33238"/>
    <w:rsid w:val="00E33EF7"/>
    <w:rsid w:val="00E35697"/>
    <w:rsid w:val="00E36C21"/>
    <w:rsid w:val="00E37456"/>
    <w:rsid w:val="00E3793C"/>
    <w:rsid w:val="00E37D3C"/>
    <w:rsid w:val="00E41065"/>
    <w:rsid w:val="00E41673"/>
    <w:rsid w:val="00E42879"/>
    <w:rsid w:val="00E4511D"/>
    <w:rsid w:val="00E467C7"/>
    <w:rsid w:val="00E47179"/>
    <w:rsid w:val="00E47C76"/>
    <w:rsid w:val="00E5007C"/>
    <w:rsid w:val="00E5070E"/>
    <w:rsid w:val="00E560D2"/>
    <w:rsid w:val="00E57826"/>
    <w:rsid w:val="00E60985"/>
    <w:rsid w:val="00E61B24"/>
    <w:rsid w:val="00E61FB3"/>
    <w:rsid w:val="00E6312F"/>
    <w:rsid w:val="00E63617"/>
    <w:rsid w:val="00E64C27"/>
    <w:rsid w:val="00E64F68"/>
    <w:rsid w:val="00E65139"/>
    <w:rsid w:val="00E65655"/>
    <w:rsid w:val="00E65B94"/>
    <w:rsid w:val="00E65F47"/>
    <w:rsid w:val="00E66033"/>
    <w:rsid w:val="00E67CFD"/>
    <w:rsid w:val="00E707CF"/>
    <w:rsid w:val="00E70A38"/>
    <w:rsid w:val="00E720A4"/>
    <w:rsid w:val="00E720E5"/>
    <w:rsid w:val="00E724F2"/>
    <w:rsid w:val="00E748A7"/>
    <w:rsid w:val="00E74C72"/>
    <w:rsid w:val="00E7577C"/>
    <w:rsid w:val="00E7658A"/>
    <w:rsid w:val="00E76749"/>
    <w:rsid w:val="00E77E39"/>
    <w:rsid w:val="00E80BFD"/>
    <w:rsid w:val="00E812E6"/>
    <w:rsid w:val="00E814E4"/>
    <w:rsid w:val="00E8584A"/>
    <w:rsid w:val="00E860D1"/>
    <w:rsid w:val="00E86798"/>
    <w:rsid w:val="00E870B9"/>
    <w:rsid w:val="00E90816"/>
    <w:rsid w:val="00E90EA8"/>
    <w:rsid w:val="00E913DD"/>
    <w:rsid w:val="00E91998"/>
    <w:rsid w:val="00E91F87"/>
    <w:rsid w:val="00E929A3"/>
    <w:rsid w:val="00E94308"/>
    <w:rsid w:val="00E95ADB"/>
    <w:rsid w:val="00E961F3"/>
    <w:rsid w:val="00E96A4C"/>
    <w:rsid w:val="00E96E80"/>
    <w:rsid w:val="00E97797"/>
    <w:rsid w:val="00E97D86"/>
    <w:rsid w:val="00EA0095"/>
    <w:rsid w:val="00EA3D38"/>
    <w:rsid w:val="00EA4625"/>
    <w:rsid w:val="00EA4D78"/>
    <w:rsid w:val="00EB2040"/>
    <w:rsid w:val="00EB3034"/>
    <w:rsid w:val="00EB6052"/>
    <w:rsid w:val="00EB7D37"/>
    <w:rsid w:val="00EB7D87"/>
    <w:rsid w:val="00EC16D1"/>
    <w:rsid w:val="00EC213D"/>
    <w:rsid w:val="00EC2787"/>
    <w:rsid w:val="00EC3F79"/>
    <w:rsid w:val="00EC4D08"/>
    <w:rsid w:val="00EC71C6"/>
    <w:rsid w:val="00EC7879"/>
    <w:rsid w:val="00ED0CBE"/>
    <w:rsid w:val="00ED3724"/>
    <w:rsid w:val="00ED3B3F"/>
    <w:rsid w:val="00ED4033"/>
    <w:rsid w:val="00ED47A8"/>
    <w:rsid w:val="00ED50C5"/>
    <w:rsid w:val="00ED510D"/>
    <w:rsid w:val="00ED56FF"/>
    <w:rsid w:val="00EE2E63"/>
    <w:rsid w:val="00EE387D"/>
    <w:rsid w:val="00EE3BD7"/>
    <w:rsid w:val="00EE4A7E"/>
    <w:rsid w:val="00EE5131"/>
    <w:rsid w:val="00EE52B8"/>
    <w:rsid w:val="00EE6259"/>
    <w:rsid w:val="00EE791A"/>
    <w:rsid w:val="00EE79D9"/>
    <w:rsid w:val="00EF0BD3"/>
    <w:rsid w:val="00EF3465"/>
    <w:rsid w:val="00EF430A"/>
    <w:rsid w:val="00EF4FB0"/>
    <w:rsid w:val="00EF6A32"/>
    <w:rsid w:val="00EF6A69"/>
    <w:rsid w:val="00EF6CAC"/>
    <w:rsid w:val="00EF7265"/>
    <w:rsid w:val="00EF7CFD"/>
    <w:rsid w:val="00F00130"/>
    <w:rsid w:val="00F00BCB"/>
    <w:rsid w:val="00F02A7D"/>
    <w:rsid w:val="00F05B02"/>
    <w:rsid w:val="00F05C08"/>
    <w:rsid w:val="00F05C98"/>
    <w:rsid w:val="00F0606D"/>
    <w:rsid w:val="00F0664C"/>
    <w:rsid w:val="00F06F4F"/>
    <w:rsid w:val="00F10865"/>
    <w:rsid w:val="00F114CE"/>
    <w:rsid w:val="00F12CD2"/>
    <w:rsid w:val="00F13EFC"/>
    <w:rsid w:val="00F15B2D"/>
    <w:rsid w:val="00F1776E"/>
    <w:rsid w:val="00F22D16"/>
    <w:rsid w:val="00F24E39"/>
    <w:rsid w:val="00F26437"/>
    <w:rsid w:val="00F26DEB"/>
    <w:rsid w:val="00F27AB9"/>
    <w:rsid w:val="00F31AD3"/>
    <w:rsid w:val="00F3205F"/>
    <w:rsid w:val="00F3348D"/>
    <w:rsid w:val="00F340BB"/>
    <w:rsid w:val="00F34CFC"/>
    <w:rsid w:val="00F3663D"/>
    <w:rsid w:val="00F36659"/>
    <w:rsid w:val="00F36F8A"/>
    <w:rsid w:val="00F37C70"/>
    <w:rsid w:val="00F40CE0"/>
    <w:rsid w:val="00F41279"/>
    <w:rsid w:val="00F41441"/>
    <w:rsid w:val="00F414CE"/>
    <w:rsid w:val="00F422C5"/>
    <w:rsid w:val="00F43897"/>
    <w:rsid w:val="00F44E43"/>
    <w:rsid w:val="00F45443"/>
    <w:rsid w:val="00F45F08"/>
    <w:rsid w:val="00F5158C"/>
    <w:rsid w:val="00F51826"/>
    <w:rsid w:val="00F51E68"/>
    <w:rsid w:val="00F5233F"/>
    <w:rsid w:val="00F53D63"/>
    <w:rsid w:val="00F54238"/>
    <w:rsid w:val="00F548F4"/>
    <w:rsid w:val="00F56630"/>
    <w:rsid w:val="00F56F5C"/>
    <w:rsid w:val="00F570F7"/>
    <w:rsid w:val="00F62675"/>
    <w:rsid w:val="00F62721"/>
    <w:rsid w:val="00F62ED8"/>
    <w:rsid w:val="00F64676"/>
    <w:rsid w:val="00F65CF3"/>
    <w:rsid w:val="00F66F3C"/>
    <w:rsid w:val="00F671FE"/>
    <w:rsid w:val="00F71042"/>
    <w:rsid w:val="00F710D0"/>
    <w:rsid w:val="00F72C3B"/>
    <w:rsid w:val="00F73B64"/>
    <w:rsid w:val="00F75530"/>
    <w:rsid w:val="00F76900"/>
    <w:rsid w:val="00F81C9F"/>
    <w:rsid w:val="00F85500"/>
    <w:rsid w:val="00F855D7"/>
    <w:rsid w:val="00F85D28"/>
    <w:rsid w:val="00F873BF"/>
    <w:rsid w:val="00F8745C"/>
    <w:rsid w:val="00F87547"/>
    <w:rsid w:val="00F90AE2"/>
    <w:rsid w:val="00F911EC"/>
    <w:rsid w:val="00F921BB"/>
    <w:rsid w:val="00F925E4"/>
    <w:rsid w:val="00F92620"/>
    <w:rsid w:val="00F95D04"/>
    <w:rsid w:val="00F9617B"/>
    <w:rsid w:val="00FA095E"/>
    <w:rsid w:val="00FA1ADA"/>
    <w:rsid w:val="00FA3BB6"/>
    <w:rsid w:val="00FA5569"/>
    <w:rsid w:val="00FA6BA5"/>
    <w:rsid w:val="00FA6E3A"/>
    <w:rsid w:val="00FA7EE2"/>
    <w:rsid w:val="00FB0B85"/>
    <w:rsid w:val="00FB187D"/>
    <w:rsid w:val="00FB1B81"/>
    <w:rsid w:val="00FB2B67"/>
    <w:rsid w:val="00FB416F"/>
    <w:rsid w:val="00FB6ABD"/>
    <w:rsid w:val="00FB6D8B"/>
    <w:rsid w:val="00FB7C65"/>
    <w:rsid w:val="00FC21C2"/>
    <w:rsid w:val="00FC3013"/>
    <w:rsid w:val="00FC3F9B"/>
    <w:rsid w:val="00FC544F"/>
    <w:rsid w:val="00FC5BBB"/>
    <w:rsid w:val="00FC6CAA"/>
    <w:rsid w:val="00FD1B7E"/>
    <w:rsid w:val="00FD44C3"/>
    <w:rsid w:val="00FD4F16"/>
    <w:rsid w:val="00FD53FA"/>
    <w:rsid w:val="00FD6419"/>
    <w:rsid w:val="00FE03A6"/>
    <w:rsid w:val="00FE2D5D"/>
    <w:rsid w:val="00FE2F30"/>
    <w:rsid w:val="00FE2FD2"/>
    <w:rsid w:val="00FE3B0D"/>
    <w:rsid w:val="00FE5725"/>
    <w:rsid w:val="00FE63CE"/>
    <w:rsid w:val="00FE6566"/>
    <w:rsid w:val="00FE678E"/>
    <w:rsid w:val="00FE6BDF"/>
    <w:rsid w:val="00FE6C4B"/>
    <w:rsid w:val="00FF03A6"/>
    <w:rsid w:val="00FF1EC2"/>
    <w:rsid w:val="00FF2D47"/>
    <w:rsid w:val="00FF3003"/>
    <w:rsid w:val="00FF5B07"/>
    <w:rsid w:val="00FF6525"/>
    <w:rsid w:val="00FF6FD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51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20F"/>
    <w:pPr>
      <w:spacing w:before="100" w:beforeAutospacing="1" w:after="100" w:afterAutospacing="1" w:line="276" w:lineRule="auto"/>
      <w:jc w:val="both"/>
    </w:pPr>
    <w:rPr>
      <w:rFonts w:ascii="Times New Roman" w:hAnsi="Times New Roman"/>
      <w:sz w:val="24"/>
    </w:rPr>
  </w:style>
  <w:style w:type="paragraph" w:styleId="Heading1">
    <w:name w:val="heading 1"/>
    <w:basedOn w:val="Normal"/>
    <w:next w:val="Normal"/>
    <w:link w:val="Heading1Char"/>
    <w:qFormat/>
    <w:rsid w:val="00F66F3C"/>
    <w:pPr>
      <w:keepNext/>
      <w:numPr>
        <w:numId w:val="40"/>
      </w:numPr>
      <w:spacing w:after="280" w:line="240" w:lineRule="auto"/>
      <w:outlineLvl w:val="0"/>
    </w:pPr>
    <w:rPr>
      <w:rFonts w:eastAsia="Times New Roman" w:cs="Times New Roman"/>
      <w:b/>
      <w:szCs w:val="20"/>
      <w:u w:val="single"/>
      <w:lang w:val="fr-CH" w:eastAsia="fr-CH"/>
    </w:rPr>
  </w:style>
  <w:style w:type="paragraph" w:styleId="Heading2">
    <w:name w:val="heading 2"/>
    <w:basedOn w:val="Normal"/>
    <w:next w:val="Normal"/>
    <w:link w:val="Heading2Char"/>
    <w:qFormat/>
    <w:rsid w:val="00F66F3C"/>
    <w:pPr>
      <w:keepNext/>
      <w:numPr>
        <w:numId w:val="41"/>
      </w:numPr>
      <w:spacing w:line="240" w:lineRule="auto"/>
      <w:outlineLvl w:val="1"/>
    </w:pPr>
    <w:rPr>
      <w:rFonts w:eastAsia="Times New Roman" w:cs="Times New Roman"/>
      <w:szCs w:val="20"/>
      <w:u w:val="single"/>
      <w:lang w:val="fr-CH" w:eastAsia="fr-CH"/>
    </w:rPr>
  </w:style>
  <w:style w:type="paragraph" w:styleId="Heading3">
    <w:name w:val="heading 3"/>
    <w:basedOn w:val="Normal"/>
    <w:next w:val="Normal"/>
    <w:link w:val="Heading3Char"/>
    <w:qFormat/>
    <w:rsid w:val="00BE220F"/>
    <w:pPr>
      <w:keepNext/>
      <w:numPr>
        <w:numId w:val="42"/>
      </w:numPr>
      <w:spacing w:line="240" w:lineRule="auto"/>
      <w:outlineLvl w:val="2"/>
    </w:pPr>
    <w:rPr>
      <w:rFonts w:eastAsia="Times New Roman" w:cs="Times New Roman"/>
      <w:b/>
      <w:szCs w:val="20"/>
      <w:lang w:val="fr-CH" w:eastAsia="fr-CH"/>
    </w:rPr>
  </w:style>
  <w:style w:type="paragraph" w:styleId="Heading4">
    <w:name w:val="heading 4"/>
    <w:basedOn w:val="Normal"/>
    <w:next w:val="Normal"/>
    <w:link w:val="Heading4Char"/>
    <w:qFormat/>
    <w:rsid w:val="00BE220F"/>
    <w:pPr>
      <w:keepNext/>
      <w:numPr>
        <w:numId w:val="43"/>
      </w:numPr>
      <w:spacing w:line="240" w:lineRule="auto"/>
      <w:outlineLvl w:val="3"/>
    </w:pPr>
    <w:rPr>
      <w:rFonts w:eastAsia="Times New Roman" w:cs="Times New Roman"/>
      <w:i/>
      <w:szCs w:val="20"/>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238AB"/>
    <w:pPr>
      <w:spacing w:before="0" w:beforeAutospacing="0" w:after="0" w:afterAutospacing="0" w:line="240" w:lineRule="auto"/>
    </w:pPr>
    <w:rPr>
      <w:rFonts w:eastAsia="Times New Roman" w:cs="Times New Roman"/>
      <w:sz w:val="20"/>
      <w:szCs w:val="18"/>
      <w:lang w:val="fr-CH"/>
    </w:rPr>
  </w:style>
  <w:style w:type="character" w:customStyle="1" w:styleId="FootnoteTextChar">
    <w:name w:val="Footnote Text Char"/>
    <w:basedOn w:val="DefaultParagraphFont"/>
    <w:link w:val="FootnoteText"/>
    <w:uiPriority w:val="99"/>
    <w:rsid w:val="00D238AB"/>
    <w:rPr>
      <w:rFonts w:ascii="Times New Roman" w:eastAsia="Times New Roman" w:hAnsi="Times New Roman" w:cs="Times New Roman"/>
      <w:sz w:val="20"/>
      <w:szCs w:val="18"/>
      <w:lang w:val="fr-CH"/>
    </w:rPr>
  </w:style>
  <w:style w:type="character" w:styleId="FootnoteReference">
    <w:name w:val="footnote reference"/>
    <w:basedOn w:val="DefaultParagraphFont"/>
    <w:uiPriority w:val="99"/>
    <w:rsid w:val="00F66F3C"/>
    <w:rPr>
      <w:rFonts w:ascii="Times New Roman" w:hAnsi="Times New Roman"/>
      <w:sz w:val="24"/>
      <w:vertAlign w:val="superscript"/>
    </w:rPr>
  </w:style>
  <w:style w:type="character" w:styleId="Hyperlink">
    <w:name w:val="Hyperlink"/>
    <w:basedOn w:val="DefaultParagraphFont"/>
    <w:uiPriority w:val="99"/>
    <w:unhideWhenUsed/>
    <w:rsid w:val="00F41441"/>
    <w:rPr>
      <w:rFonts w:ascii="Times New Roman" w:hAnsi="Times New Roman"/>
      <w:color w:val="0563C1" w:themeColor="hyperlink"/>
      <w:u w:val="single"/>
    </w:rPr>
  </w:style>
  <w:style w:type="character" w:customStyle="1" w:styleId="Mention1">
    <w:name w:val="Mention1"/>
    <w:basedOn w:val="DefaultParagraphFont"/>
    <w:uiPriority w:val="99"/>
    <w:semiHidden/>
    <w:unhideWhenUsed/>
    <w:rsid w:val="006946E6"/>
    <w:rPr>
      <w:color w:val="2B579A"/>
      <w:shd w:val="clear" w:color="auto" w:fill="E6E6E6"/>
    </w:rPr>
  </w:style>
  <w:style w:type="paragraph" w:styleId="Header">
    <w:name w:val="header"/>
    <w:basedOn w:val="Normal"/>
    <w:link w:val="HeaderChar"/>
    <w:uiPriority w:val="99"/>
    <w:unhideWhenUsed/>
    <w:rsid w:val="000E729C"/>
    <w:pPr>
      <w:tabs>
        <w:tab w:val="center" w:pos="4513"/>
        <w:tab w:val="right" w:pos="9026"/>
      </w:tabs>
      <w:spacing w:line="240" w:lineRule="auto"/>
    </w:pPr>
  </w:style>
  <w:style w:type="character" w:customStyle="1" w:styleId="HeaderChar">
    <w:name w:val="Header Char"/>
    <w:basedOn w:val="DefaultParagraphFont"/>
    <w:link w:val="Header"/>
    <w:uiPriority w:val="99"/>
    <w:rsid w:val="000E729C"/>
  </w:style>
  <w:style w:type="paragraph" w:styleId="Footer">
    <w:name w:val="footer"/>
    <w:basedOn w:val="Normal"/>
    <w:link w:val="FooterChar"/>
    <w:uiPriority w:val="99"/>
    <w:unhideWhenUsed/>
    <w:rsid w:val="000E729C"/>
    <w:pPr>
      <w:tabs>
        <w:tab w:val="center" w:pos="4513"/>
        <w:tab w:val="right" w:pos="9026"/>
      </w:tabs>
      <w:spacing w:line="240" w:lineRule="auto"/>
    </w:pPr>
  </w:style>
  <w:style w:type="character" w:customStyle="1" w:styleId="FooterChar">
    <w:name w:val="Footer Char"/>
    <w:basedOn w:val="DefaultParagraphFont"/>
    <w:link w:val="Footer"/>
    <w:uiPriority w:val="99"/>
    <w:rsid w:val="000E729C"/>
  </w:style>
  <w:style w:type="paragraph" w:styleId="ListParagraph">
    <w:name w:val="List Paragraph"/>
    <w:basedOn w:val="Normal"/>
    <w:uiPriority w:val="34"/>
    <w:qFormat/>
    <w:rsid w:val="00B42FB9"/>
    <w:pPr>
      <w:ind w:left="720"/>
      <w:contextualSpacing/>
    </w:pPr>
  </w:style>
  <w:style w:type="paragraph" w:styleId="BalloonText">
    <w:name w:val="Balloon Text"/>
    <w:basedOn w:val="Normal"/>
    <w:link w:val="BalloonTextChar"/>
    <w:uiPriority w:val="99"/>
    <w:semiHidden/>
    <w:unhideWhenUsed/>
    <w:rsid w:val="00E170E0"/>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E170E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7D4F"/>
    <w:rPr>
      <w:sz w:val="18"/>
      <w:szCs w:val="18"/>
    </w:rPr>
  </w:style>
  <w:style w:type="paragraph" w:styleId="CommentText">
    <w:name w:val="annotation text"/>
    <w:basedOn w:val="Normal"/>
    <w:link w:val="CommentTextChar"/>
    <w:uiPriority w:val="99"/>
    <w:semiHidden/>
    <w:unhideWhenUsed/>
    <w:rsid w:val="00447D4F"/>
    <w:pPr>
      <w:spacing w:line="240" w:lineRule="auto"/>
    </w:pPr>
    <w:rPr>
      <w:szCs w:val="24"/>
    </w:rPr>
  </w:style>
  <w:style w:type="character" w:customStyle="1" w:styleId="CommentTextChar">
    <w:name w:val="Comment Text Char"/>
    <w:basedOn w:val="DefaultParagraphFont"/>
    <w:link w:val="CommentText"/>
    <w:uiPriority w:val="99"/>
    <w:semiHidden/>
    <w:rsid w:val="00447D4F"/>
    <w:rPr>
      <w:sz w:val="24"/>
      <w:szCs w:val="24"/>
    </w:rPr>
  </w:style>
  <w:style w:type="paragraph" w:styleId="CommentSubject">
    <w:name w:val="annotation subject"/>
    <w:basedOn w:val="CommentText"/>
    <w:next w:val="CommentText"/>
    <w:link w:val="CommentSubjectChar"/>
    <w:uiPriority w:val="99"/>
    <w:semiHidden/>
    <w:unhideWhenUsed/>
    <w:rsid w:val="00447D4F"/>
    <w:rPr>
      <w:b/>
      <w:bCs/>
      <w:sz w:val="20"/>
      <w:szCs w:val="20"/>
    </w:rPr>
  </w:style>
  <w:style w:type="character" w:customStyle="1" w:styleId="CommentSubjectChar">
    <w:name w:val="Comment Subject Char"/>
    <w:basedOn w:val="CommentTextChar"/>
    <w:link w:val="CommentSubject"/>
    <w:uiPriority w:val="99"/>
    <w:semiHidden/>
    <w:rsid w:val="00447D4F"/>
    <w:rPr>
      <w:b/>
      <w:bCs/>
      <w:sz w:val="20"/>
      <w:szCs w:val="20"/>
    </w:rPr>
  </w:style>
  <w:style w:type="character" w:customStyle="1" w:styleId="Heading1Char">
    <w:name w:val="Heading 1 Char"/>
    <w:basedOn w:val="DefaultParagraphFont"/>
    <w:link w:val="Heading1"/>
    <w:rsid w:val="00F66F3C"/>
    <w:rPr>
      <w:rFonts w:ascii="Times New Roman" w:eastAsia="Times New Roman" w:hAnsi="Times New Roman" w:cs="Times New Roman"/>
      <w:b/>
      <w:sz w:val="24"/>
      <w:szCs w:val="20"/>
      <w:u w:val="single"/>
      <w:lang w:val="fr-CH" w:eastAsia="fr-CH"/>
    </w:rPr>
  </w:style>
  <w:style w:type="character" w:customStyle="1" w:styleId="Heading2Char">
    <w:name w:val="Heading 2 Char"/>
    <w:basedOn w:val="DefaultParagraphFont"/>
    <w:link w:val="Heading2"/>
    <w:rsid w:val="00F66F3C"/>
    <w:rPr>
      <w:rFonts w:ascii="Times New Roman" w:eastAsia="Times New Roman" w:hAnsi="Times New Roman" w:cs="Times New Roman"/>
      <w:sz w:val="24"/>
      <w:szCs w:val="20"/>
      <w:u w:val="single"/>
      <w:lang w:val="fr-CH" w:eastAsia="fr-CH"/>
    </w:rPr>
  </w:style>
  <w:style w:type="character" w:customStyle="1" w:styleId="Heading3Char">
    <w:name w:val="Heading 3 Char"/>
    <w:basedOn w:val="DefaultParagraphFont"/>
    <w:link w:val="Heading3"/>
    <w:rsid w:val="00BE220F"/>
    <w:rPr>
      <w:rFonts w:ascii="Times New Roman" w:eastAsia="Times New Roman" w:hAnsi="Times New Roman" w:cs="Times New Roman"/>
      <w:b/>
      <w:sz w:val="24"/>
      <w:szCs w:val="20"/>
      <w:lang w:val="fr-CH" w:eastAsia="fr-CH"/>
    </w:rPr>
  </w:style>
  <w:style w:type="paragraph" w:styleId="Index1">
    <w:name w:val="index 1"/>
    <w:basedOn w:val="Normal"/>
    <w:next w:val="Normal"/>
    <w:autoRedefine/>
    <w:uiPriority w:val="99"/>
    <w:unhideWhenUsed/>
    <w:rsid w:val="0047581A"/>
    <w:pPr>
      <w:ind w:left="220" w:hanging="220"/>
    </w:pPr>
  </w:style>
  <w:style w:type="paragraph" w:styleId="Index2">
    <w:name w:val="index 2"/>
    <w:basedOn w:val="Normal"/>
    <w:next w:val="Normal"/>
    <w:autoRedefine/>
    <w:uiPriority w:val="99"/>
    <w:unhideWhenUsed/>
    <w:rsid w:val="0047581A"/>
    <w:pPr>
      <w:ind w:left="440" w:hanging="220"/>
    </w:pPr>
  </w:style>
  <w:style w:type="paragraph" w:styleId="Index3">
    <w:name w:val="index 3"/>
    <w:basedOn w:val="Normal"/>
    <w:next w:val="Normal"/>
    <w:autoRedefine/>
    <w:uiPriority w:val="99"/>
    <w:unhideWhenUsed/>
    <w:rsid w:val="0047581A"/>
    <w:pPr>
      <w:ind w:left="660" w:hanging="220"/>
    </w:pPr>
  </w:style>
  <w:style w:type="paragraph" w:styleId="Index4">
    <w:name w:val="index 4"/>
    <w:basedOn w:val="Normal"/>
    <w:next w:val="Normal"/>
    <w:autoRedefine/>
    <w:uiPriority w:val="99"/>
    <w:unhideWhenUsed/>
    <w:rsid w:val="0047581A"/>
    <w:pPr>
      <w:ind w:left="880" w:hanging="220"/>
    </w:pPr>
  </w:style>
  <w:style w:type="paragraph" w:styleId="Index5">
    <w:name w:val="index 5"/>
    <w:basedOn w:val="Normal"/>
    <w:next w:val="Normal"/>
    <w:autoRedefine/>
    <w:uiPriority w:val="99"/>
    <w:unhideWhenUsed/>
    <w:rsid w:val="0047581A"/>
    <w:pPr>
      <w:ind w:left="1100" w:hanging="220"/>
    </w:pPr>
  </w:style>
  <w:style w:type="paragraph" w:styleId="Index6">
    <w:name w:val="index 6"/>
    <w:basedOn w:val="Normal"/>
    <w:next w:val="Normal"/>
    <w:autoRedefine/>
    <w:uiPriority w:val="99"/>
    <w:unhideWhenUsed/>
    <w:rsid w:val="0047581A"/>
    <w:pPr>
      <w:ind w:left="1320" w:hanging="220"/>
    </w:pPr>
  </w:style>
  <w:style w:type="paragraph" w:styleId="Index7">
    <w:name w:val="index 7"/>
    <w:basedOn w:val="Normal"/>
    <w:next w:val="Normal"/>
    <w:autoRedefine/>
    <w:uiPriority w:val="99"/>
    <w:unhideWhenUsed/>
    <w:rsid w:val="0047581A"/>
    <w:pPr>
      <w:ind w:left="1540" w:hanging="220"/>
    </w:pPr>
  </w:style>
  <w:style w:type="paragraph" w:styleId="Index8">
    <w:name w:val="index 8"/>
    <w:basedOn w:val="Normal"/>
    <w:next w:val="Normal"/>
    <w:autoRedefine/>
    <w:uiPriority w:val="99"/>
    <w:unhideWhenUsed/>
    <w:rsid w:val="0047581A"/>
    <w:pPr>
      <w:ind w:left="1760" w:hanging="220"/>
    </w:pPr>
  </w:style>
  <w:style w:type="paragraph" w:styleId="Index9">
    <w:name w:val="index 9"/>
    <w:basedOn w:val="Normal"/>
    <w:next w:val="Normal"/>
    <w:autoRedefine/>
    <w:uiPriority w:val="99"/>
    <w:unhideWhenUsed/>
    <w:rsid w:val="0047581A"/>
    <w:pPr>
      <w:ind w:left="1980" w:hanging="220"/>
    </w:pPr>
  </w:style>
  <w:style w:type="paragraph" w:styleId="IndexHeading">
    <w:name w:val="index heading"/>
    <w:basedOn w:val="Normal"/>
    <w:next w:val="Index1"/>
    <w:uiPriority w:val="99"/>
    <w:unhideWhenUsed/>
    <w:rsid w:val="0047581A"/>
  </w:style>
  <w:style w:type="paragraph" w:styleId="TOC1">
    <w:name w:val="toc 1"/>
    <w:basedOn w:val="Normal"/>
    <w:next w:val="Normal"/>
    <w:autoRedefine/>
    <w:uiPriority w:val="39"/>
    <w:unhideWhenUsed/>
    <w:rsid w:val="0047581A"/>
  </w:style>
  <w:style w:type="paragraph" w:styleId="TOC2">
    <w:name w:val="toc 2"/>
    <w:basedOn w:val="Normal"/>
    <w:next w:val="Normal"/>
    <w:autoRedefine/>
    <w:uiPriority w:val="39"/>
    <w:unhideWhenUsed/>
    <w:rsid w:val="0047581A"/>
    <w:pPr>
      <w:ind w:left="220"/>
    </w:pPr>
  </w:style>
  <w:style w:type="paragraph" w:styleId="TOC3">
    <w:name w:val="toc 3"/>
    <w:basedOn w:val="Normal"/>
    <w:next w:val="Normal"/>
    <w:autoRedefine/>
    <w:uiPriority w:val="39"/>
    <w:unhideWhenUsed/>
    <w:rsid w:val="0047581A"/>
    <w:pPr>
      <w:ind w:left="440"/>
    </w:pPr>
  </w:style>
  <w:style w:type="paragraph" w:styleId="TOC4">
    <w:name w:val="toc 4"/>
    <w:basedOn w:val="Normal"/>
    <w:next w:val="Normal"/>
    <w:autoRedefine/>
    <w:uiPriority w:val="39"/>
    <w:unhideWhenUsed/>
    <w:rsid w:val="0047581A"/>
    <w:pPr>
      <w:ind w:left="660"/>
    </w:pPr>
  </w:style>
  <w:style w:type="paragraph" w:styleId="TOC5">
    <w:name w:val="toc 5"/>
    <w:basedOn w:val="Normal"/>
    <w:next w:val="Normal"/>
    <w:autoRedefine/>
    <w:uiPriority w:val="39"/>
    <w:unhideWhenUsed/>
    <w:rsid w:val="0047581A"/>
    <w:pPr>
      <w:ind w:left="880"/>
    </w:pPr>
  </w:style>
  <w:style w:type="paragraph" w:styleId="TOC6">
    <w:name w:val="toc 6"/>
    <w:basedOn w:val="Normal"/>
    <w:next w:val="Normal"/>
    <w:autoRedefine/>
    <w:uiPriority w:val="39"/>
    <w:unhideWhenUsed/>
    <w:rsid w:val="0047581A"/>
    <w:pPr>
      <w:ind w:left="1100"/>
    </w:pPr>
  </w:style>
  <w:style w:type="paragraph" w:styleId="TOC7">
    <w:name w:val="toc 7"/>
    <w:basedOn w:val="Normal"/>
    <w:next w:val="Normal"/>
    <w:autoRedefine/>
    <w:uiPriority w:val="39"/>
    <w:unhideWhenUsed/>
    <w:rsid w:val="0047581A"/>
    <w:pPr>
      <w:ind w:left="1320"/>
    </w:pPr>
  </w:style>
  <w:style w:type="paragraph" w:styleId="TOC8">
    <w:name w:val="toc 8"/>
    <w:basedOn w:val="Normal"/>
    <w:next w:val="Normal"/>
    <w:autoRedefine/>
    <w:uiPriority w:val="39"/>
    <w:unhideWhenUsed/>
    <w:rsid w:val="0047581A"/>
    <w:pPr>
      <w:ind w:left="1540"/>
    </w:pPr>
  </w:style>
  <w:style w:type="paragraph" w:styleId="TOC9">
    <w:name w:val="toc 9"/>
    <w:basedOn w:val="Normal"/>
    <w:next w:val="Normal"/>
    <w:autoRedefine/>
    <w:uiPriority w:val="39"/>
    <w:unhideWhenUsed/>
    <w:rsid w:val="0047581A"/>
    <w:pPr>
      <w:ind w:left="1760"/>
    </w:pPr>
  </w:style>
  <w:style w:type="paragraph" w:styleId="Quote">
    <w:name w:val="Quote"/>
    <w:basedOn w:val="Normal"/>
    <w:next w:val="Normal"/>
    <w:link w:val="QuoteChar"/>
    <w:uiPriority w:val="29"/>
    <w:qFormat/>
    <w:rsid w:val="00557917"/>
    <w:pPr>
      <w:ind w:left="720"/>
    </w:pPr>
    <w:rPr>
      <w:iCs/>
      <w:color w:val="000000" w:themeColor="text1"/>
      <w:sz w:val="20"/>
    </w:rPr>
  </w:style>
  <w:style w:type="character" w:customStyle="1" w:styleId="QuoteChar">
    <w:name w:val="Quote Char"/>
    <w:basedOn w:val="DefaultParagraphFont"/>
    <w:link w:val="Quote"/>
    <w:uiPriority w:val="29"/>
    <w:rsid w:val="00557917"/>
    <w:rPr>
      <w:rFonts w:ascii="Times New Roman" w:hAnsi="Times New Roman"/>
      <w:iCs/>
      <w:color w:val="000000" w:themeColor="text1"/>
      <w:sz w:val="20"/>
    </w:rPr>
  </w:style>
  <w:style w:type="paragraph" w:styleId="NoSpacing">
    <w:name w:val="No Spacing"/>
    <w:uiPriority w:val="1"/>
    <w:qFormat/>
    <w:rsid w:val="00FB187D"/>
    <w:pPr>
      <w:spacing w:after="0" w:line="240" w:lineRule="auto"/>
      <w:jc w:val="both"/>
    </w:pPr>
    <w:rPr>
      <w:rFonts w:ascii="Times New Roman" w:hAnsi="Times New Roman"/>
      <w:sz w:val="24"/>
    </w:rPr>
  </w:style>
  <w:style w:type="character" w:customStyle="1" w:styleId="UnresolvedMention1">
    <w:name w:val="Unresolved Mention1"/>
    <w:basedOn w:val="DefaultParagraphFont"/>
    <w:uiPriority w:val="99"/>
    <w:semiHidden/>
    <w:unhideWhenUsed/>
    <w:rsid w:val="00400628"/>
    <w:rPr>
      <w:color w:val="808080"/>
      <w:shd w:val="clear" w:color="auto" w:fill="E6E6E6"/>
    </w:rPr>
  </w:style>
  <w:style w:type="character" w:customStyle="1" w:styleId="Heading4Char">
    <w:name w:val="Heading 4 Char"/>
    <w:basedOn w:val="DefaultParagraphFont"/>
    <w:link w:val="Heading4"/>
    <w:rsid w:val="00BE220F"/>
    <w:rPr>
      <w:rFonts w:ascii="Times New Roman" w:eastAsia="Times New Roman" w:hAnsi="Times New Roman" w:cs="Times New Roman"/>
      <w:i/>
      <w:sz w:val="24"/>
      <w:szCs w:val="20"/>
      <w:lang w:val="fr-CH" w:eastAsia="fr-CH"/>
    </w:rPr>
  </w:style>
  <w:style w:type="character" w:styleId="IntenseEmphasis">
    <w:name w:val="Intense Emphasis"/>
    <w:basedOn w:val="DefaultParagraphFont"/>
    <w:uiPriority w:val="21"/>
    <w:qFormat/>
    <w:rsid w:val="003D69D2"/>
    <w:rPr>
      <w:b/>
      <w:bCs/>
      <w:i/>
      <w:iCs/>
      <w:color w:val="4472C4" w:themeColor="accent1"/>
    </w:rPr>
  </w:style>
  <w:style w:type="paragraph" w:styleId="Revision">
    <w:name w:val="Revision"/>
    <w:hidden/>
    <w:uiPriority w:val="99"/>
    <w:semiHidden/>
    <w:rsid w:val="00BD37E0"/>
    <w:pPr>
      <w:spacing w:after="0" w:line="240" w:lineRule="auto"/>
    </w:pPr>
    <w:rPr>
      <w:rFonts w:ascii="Times New Roman" w:hAnsi="Times New Roman"/>
      <w:sz w:val="24"/>
    </w:rPr>
  </w:style>
  <w:style w:type="paragraph" w:styleId="HTMLPreformatted">
    <w:name w:val="HTML Preformatted"/>
    <w:basedOn w:val="Normal"/>
    <w:link w:val="HTMLPreformattedChar"/>
    <w:uiPriority w:val="99"/>
    <w:unhideWhenUsed/>
    <w:rsid w:val="00F66F3C"/>
    <w:pPr>
      <w:spacing w:line="240" w:lineRule="auto"/>
    </w:pPr>
    <w:rPr>
      <w:rFonts w:ascii="Consolas" w:hAnsi="Consolas" w:cs="Consolas"/>
      <w:sz w:val="20"/>
      <w:szCs w:val="20"/>
      <w:lang w:val="en-US"/>
    </w:rPr>
  </w:style>
  <w:style w:type="character" w:customStyle="1" w:styleId="HTMLPreformattedChar">
    <w:name w:val="HTML Preformatted Char"/>
    <w:basedOn w:val="DefaultParagraphFont"/>
    <w:link w:val="HTMLPreformatted"/>
    <w:uiPriority w:val="99"/>
    <w:rsid w:val="00F66F3C"/>
    <w:rPr>
      <w:rFonts w:ascii="Consolas" w:hAnsi="Consolas" w:cs="Consolas"/>
      <w:sz w:val="20"/>
      <w:szCs w:val="20"/>
      <w:lang w:val="en-US"/>
    </w:rPr>
  </w:style>
  <w:style w:type="character" w:styleId="UnresolvedMention">
    <w:name w:val="Unresolved Mention"/>
    <w:basedOn w:val="DefaultParagraphFont"/>
    <w:uiPriority w:val="99"/>
    <w:rsid w:val="004D5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964548">
      <w:bodyDiv w:val="1"/>
      <w:marLeft w:val="0"/>
      <w:marRight w:val="0"/>
      <w:marTop w:val="0"/>
      <w:marBottom w:val="0"/>
      <w:divBdr>
        <w:top w:val="none" w:sz="0" w:space="0" w:color="auto"/>
        <w:left w:val="none" w:sz="0" w:space="0" w:color="auto"/>
        <w:bottom w:val="none" w:sz="0" w:space="0" w:color="auto"/>
        <w:right w:val="none" w:sz="0" w:space="0" w:color="auto"/>
      </w:divBdr>
      <w:divsChild>
        <w:div w:id="196281953">
          <w:marLeft w:val="0"/>
          <w:marRight w:val="0"/>
          <w:marTop w:val="0"/>
          <w:marBottom w:val="0"/>
          <w:divBdr>
            <w:top w:val="none" w:sz="0" w:space="0" w:color="auto"/>
            <w:left w:val="none" w:sz="0" w:space="0" w:color="auto"/>
            <w:bottom w:val="none" w:sz="0" w:space="0" w:color="auto"/>
            <w:right w:val="none" w:sz="0" w:space="0" w:color="auto"/>
          </w:divBdr>
          <w:divsChild>
            <w:div w:id="1867328936">
              <w:marLeft w:val="0"/>
              <w:marRight w:val="0"/>
              <w:marTop w:val="0"/>
              <w:marBottom w:val="0"/>
              <w:divBdr>
                <w:top w:val="none" w:sz="0" w:space="0" w:color="auto"/>
                <w:left w:val="none" w:sz="0" w:space="0" w:color="auto"/>
                <w:bottom w:val="none" w:sz="0" w:space="0" w:color="auto"/>
                <w:right w:val="none" w:sz="0" w:space="0" w:color="auto"/>
              </w:divBdr>
              <w:divsChild>
                <w:div w:id="17226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6564">
      <w:bodyDiv w:val="1"/>
      <w:marLeft w:val="0"/>
      <w:marRight w:val="0"/>
      <w:marTop w:val="0"/>
      <w:marBottom w:val="0"/>
      <w:divBdr>
        <w:top w:val="none" w:sz="0" w:space="0" w:color="auto"/>
        <w:left w:val="none" w:sz="0" w:space="0" w:color="auto"/>
        <w:bottom w:val="none" w:sz="0" w:space="0" w:color="auto"/>
        <w:right w:val="none" w:sz="0" w:space="0" w:color="auto"/>
      </w:divBdr>
      <w:divsChild>
        <w:div w:id="812604023">
          <w:marLeft w:val="0"/>
          <w:marRight w:val="0"/>
          <w:marTop w:val="0"/>
          <w:marBottom w:val="0"/>
          <w:divBdr>
            <w:top w:val="none" w:sz="0" w:space="0" w:color="auto"/>
            <w:left w:val="none" w:sz="0" w:space="0" w:color="auto"/>
            <w:bottom w:val="none" w:sz="0" w:space="0" w:color="auto"/>
            <w:right w:val="none" w:sz="0" w:space="0" w:color="auto"/>
          </w:divBdr>
          <w:divsChild>
            <w:div w:id="2124415267">
              <w:marLeft w:val="0"/>
              <w:marRight w:val="0"/>
              <w:marTop w:val="0"/>
              <w:marBottom w:val="0"/>
              <w:divBdr>
                <w:top w:val="none" w:sz="0" w:space="0" w:color="auto"/>
                <w:left w:val="none" w:sz="0" w:space="0" w:color="auto"/>
                <w:bottom w:val="none" w:sz="0" w:space="0" w:color="auto"/>
                <w:right w:val="none" w:sz="0" w:space="0" w:color="auto"/>
              </w:divBdr>
              <w:divsChild>
                <w:div w:id="1367026801">
                  <w:marLeft w:val="0"/>
                  <w:marRight w:val="0"/>
                  <w:marTop w:val="0"/>
                  <w:marBottom w:val="0"/>
                  <w:divBdr>
                    <w:top w:val="none" w:sz="0" w:space="0" w:color="auto"/>
                    <w:left w:val="none" w:sz="0" w:space="0" w:color="auto"/>
                    <w:bottom w:val="none" w:sz="0" w:space="0" w:color="auto"/>
                    <w:right w:val="none" w:sz="0" w:space="0" w:color="auto"/>
                  </w:divBdr>
                  <w:divsChild>
                    <w:div w:id="607468213">
                      <w:marLeft w:val="0"/>
                      <w:marRight w:val="0"/>
                      <w:marTop w:val="0"/>
                      <w:marBottom w:val="0"/>
                      <w:divBdr>
                        <w:top w:val="none" w:sz="0" w:space="0" w:color="auto"/>
                        <w:left w:val="none" w:sz="0" w:space="0" w:color="auto"/>
                        <w:bottom w:val="none" w:sz="0" w:space="0" w:color="auto"/>
                        <w:right w:val="none" w:sz="0" w:space="0" w:color="auto"/>
                      </w:divBdr>
                      <w:divsChild>
                        <w:div w:id="1569074136">
                          <w:marLeft w:val="0"/>
                          <w:marRight w:val="0"/>
                          <w:marTop w:val="0"/>
                          <w:marBottom w:val="0"/>
                          <w:divBdr>
                            <w:top w:val="none" w:sz="0" w:space="0" w:color="auto"/>
                            <w:left w:val="none" w:sz="0" w:space="0" w:color="auto"/>
                            <w:bottom w:val="none" w:sz="0" w:space="0" w:color="auto"/>
                            <w:right w:val="none" w:sz="0" w:space="0" w:color="auto"/>
                          </w:divBdr>
                          <w:divsChild>
                            <w:div w:id="155390332">
                              <w:marLeft w:val="0"/>
                              <w:marRight w:val="0"/>
                              <w:marTop w:val="0"/>
                              <w:marBottom w:val="0"/>
                              <w:divBdr>
                                <w:top w:val="none" w:sz="0" w:space="0" w:color="auto"/>
                                <w:left w:val="none" w:sz="0" w:space="0" w:color="auto"/>
                                <w:bottom w:val="none" w:sz="0" w:space="0" w:color="auto"/>
                                <w:right w:val="none" w:sz="0" w:space="0" w:color="auto"/>
                              </w:divBdr>
                              <w:divsChild>
                                <w:div w:id="1544781203">
                                  <w:marLeft w:val="0"/>
                                  <w:marRight w:val="0"/>
                                  <w:marTop w:val="0"/>
                                  <w:marBottom w:val="0"/>
                                  <w:divBdr>
                                    <w:top w:val="none" w:sz="0" w:space="0" w:color="auto"/>
                                    <w:left w:val="none" w:sz="0" w:space="0" w:color="auto"/>
                                    <w:bottom w:val="none" w:sz="0" w:space="0" w:color="auto"/>
                                    <w:right w:val="none" w:sz="0" w:space="0" w:color="auto"/>
                                  </w:divBdr>
                                </w:div>
                                <w:div w:id="7870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476192">
      <w:bodyDiv w:val="1"/>
      <w:marLeft w:val="0"/>
      <w:marRight w:val="0"/>
      <w:marTop w:val="0"/>
      <w:marBottom w:val="0"/>
      <w:divBdr>
        <w:top w:val="none" w:sz="0" w:space="0" w:color="auto"/>
        <w:left w:val="none" w:sz="0" w:space="0" w:color="auto"/>
        <w:bottom w:val="none" w:sz="0" w:space="0" w:color="auto"/>
        <w:right w:val="none" w:sz="0" w:space="0" w:color="auto"/>
      </w:divBdr>
    </w:div>
    <w:div w:id="997228314">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791627974">
      <w:bodyDiv w:val="1"/>
      <w:marLeft w:val="0"/>
      <w:marRight w:val="0"/>
      <w:marTop w:val="0"/>
      <w:marBottom w:val="0"/>
      <w:divBdr>
        <w:top w:val="none" w:sz="0" w:space="0" w:color="auto"/>
        <w:left w:val="none" w:sz="0" w:space="0" w:color="auto"/>
        <w:bottom w:val="none" w:sz="0" w:space="0" w:color="auto"/>
        <w:right w:val="none" w:sz="0" w:space="0" w:color="auto"/>
      </w:divBdr>
    </w:div>
    <w:div w:id="19954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ate.gov/documents/organization/98830.pdf" TargetMode="External"/><Relationship Id="rId3" Type="http://schemas.openxmlformats.org/officeDocument/2006/relationships/hyperlink" Target="http://www.icj-cij.org/en/case/136/written-proceedings" TargetMode="External"/><Relationship Id="rId7" Type="http://schemas.openxmlformats.org/officeDocument/2006/relationships/hyperlink" Target="https://www.state.gov/documents/organization/98772.pdf" TargetMode="External"/><Relationship Id="rId2" Type="http://schemas.openxmlformats.org/officeDocument/2006/relationships/hyperlink" Target="https://www.legifrance.gouv.fr/affichJuriJudi.do?idTexte=JURITEXT000018642947" TargetMode="External"/><Relationship Id="rId1" Type="http://schemas.openxmlformats.org/officeDocument/2006/relationships/hyperlink" Target="http://www.finlex.fi/fi/laki/kaannokset/1973/en19730572.pdf" TargetMode="External"/><Relationship Id="rId6" Type="http://schemas.openxmlformats.org/officeDocument/2006/relationships/hyperlink" Target="http://www.dirco.gov.za/chiefstatelawadvicer/documents/acts/diplomaticimmunitiesandprivilegesact.pdf" TargetMode="External"/><Relationship Id="rId11" Type="http://schemas.openxmlformats.org/officeDocument/2006/relationships/hyperlink" Target="https://www.gov.uk/government/uploads/system/uploads/attachment_data/file/601028/0926-16_Letter_07.03.17.pdf" TargetMode="External"/><Relationship Id="rId5" Type="http://schemas.openxmlformats.org/officeDocument/2006/relationships/hyperlink" Target="http://cms.webbeat.net/ContentSuite/upload/cav/doc/Advice_nr__20_-_government_response_to_advice_on_immunity_foreign_state_officials.pdf" TargetMode="External"/><Relationship Id="rId10" Type="http://schemas.openxmlformats.org/officeDocument/2006/relationships/hyperlink" Target="https://www.theguardian.com/world/2011/oct/06/tzipi-livni-war-crime-arrest-threat" TargetMode="External"/><Relationship Id="rId4" Type="http://schemas.openxmlformats.org/officeDocument/2006/relationships/hyperlink" Target="http://www.auswaertiges-amt.de/cae/servlet/contentblob/669230/publicationFile/189128/Rundschreiben_Beh_Diplomaten.pdf" TargetMode="External"/><Relationship Id="rId9" Type="http://schemas.openxmlformats.org/officeDocument/2006/relationships/hyperlink" Target="http://opiniojuris.org/2007/01/18/i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D52DF-D47A-534A-A72F-42D0C718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9171</Words>
  <Characters>51271</Characters>
  <Application>Microsoft Office Word</Application>
  <DocSecurity>0</DocSecurity>
  <Lines>801</Lines>
  <Paragraphs>86</Paragraphs>
  <ScaleCrop>false</ScaleCrop>
  <HeadingPairs>
    <vt:vector size="2" baseType="variant">
      <vt:variant>
        <vt:lpstr>Title</vt:lpstr>
      </vt:variant>
      <vt:variant>
        <vt:i4>1</vt:i4>
      </vt:variant>
    </vt:vector>
  </HeadingPairs>
  <TitlesOfParts>
    <vt:vector size="1" baseType="lpstr">
      <vt:lpstr/>
    </vt:vector>
  </TitlesOfParts>
  <Company>Stibbe</Company>
  <LinksUpToDate>false</LinksUpToDate>
  <CharactersWithSpaces>60356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Wood</dc:creator>
  <cp:lastModifiedBy>AS</cp:lastModifiedBy>
  <cp:revision>11</cp:revision>
  <cp:lastPrinted>2018-01-06T18:29:00Z</cp:lastPrinted>
  <dcterms:created xsi:type="dcterms:W3CDTF">2018-01-22T21:19:00Z</dcterms:created>
  <dcterms:modified xsi:type="dcterms:W3CDTF">2018-03-06T18:16:00Z</dcterms:modified>
</cp:coreProperties>
</file>