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524B" w14:textId="673E52E1" w:rsidR="00E2639B" w:rsidRPr="00263267" w:rsidRDefault="002353AC" w:rsidP="006D08D9">
      <w:pPr>
        <w:spacing w:line="276" w:lineRule="auto"/>
        <w:jc w:val="both"/>
        <w:rPr>
          <w:rFonts w:ascii="Garamond" w:hAnsi="Garamond"/>
          <w:b/>
          <w:sz w:val="22"/>
          <w:szCs w:val="22"/>
        </w:rPr>
      </w:pPr>
      <w:r w:rsidRPr="00263267">
        <w:rPr>
          <w:rFonts w:ascii="Garamond" w:hAnsi="Garamond"/>
          <w:b/>
          <w:sz w:val="22"/>
          <w:szCs w:val="22"/>
        </w:rPr>
        <w:t>Intermediary Organisations</w:t>
      </w:r>
      <w:r w:rsidR="00640265" w:rsidRPr="00263267">
        <w:rPr>
          <w:rFonts w:ascii="Garamond" w:hAnsi="Garamond"/>
          <w:b/>
          <w:sz w:val="22"/>
          <w:szCs w:val="22"/>
        </w:rPr>
        <w:t xml:space="preserve"> and</w:t>
      </w:r>
      <w:r w:rsidR="00FA0797" w:rsidRPr="00263267">
        <w:rPr>
          <w:rFonts w:ascii="Garamond" w:hAnsi="Garamond"/>
          <w:b/>
          <w:sz w:val="22"/>
          <w:szCs w:val="22"/>
        </w:rPr>
        <w:t xml:space="preserve"> </w:t>
      </w:r>
      <w:r w:rsidR="004D1359" w:rsidRPr="00263267">
        <w:rPr>
          <w:rFonts w:ascii="Garamond" w:hAnsi="Garamond"/>
          <w:b/>
          <w:sz w:val="22"/>
          <w:szCs w:val="22"/>
        </w:rPr>
        <w:t xml:space="preserve">the </w:t>
      </w:r>
      <w:r w:rsidR="00FD161A">
        <w:rPr>
          <w:rFonts w:ascii="Garamond" w:hAnsi="Garamond"/>
          <w:b/>
          <w:sz w:val="22"/>
          <w:szCs w:val="22"/>
        </w:rPr>
        <w:t xml:space="preserve">Liquid </w:t>
      </w:r>
      <w:r w:rsidR="00FA0797" w:rsidRPr="00263267">
        <w:rPr>
          <w:rFonts w:ascii="Garamond" w:hAnsi="Garamond"/>
          <w:b/>
          <w:sz w:val="22"/>
          <w:szCs w:val="22"/>
        </w:rPr>
        <w:t xml:space="preserve">Regulation </w:t>
      </w:r>
      <w:r w:rsidR="004D1359" w:rsidRPr="00263267">
        <w:rPr>
          <w:rFonts w:ascii="Garamond" w:hAnsi="Garamond"/>
          <w:b/>
          <w:sz w:val="22"/>
          <w:szCs w:val="22"/>
        </w:rPr>
        <w:t>of</w:t>
      </w:r>
      <w:r w:rsidR="00FA0797" w:rsidRPr="00263267">
        <w:rPr>
          <w:rFonts w:ascii="Garamond" w:hAnsi="Garamond"/>
          <w:b/>
          <w:sz w:val="22"/>
          <w:szCs w:val="22"/>
        </w:rPr>
        <w:t xml:space="preserve"> Urban Planning</w:t>
      </w:r>
      <w:r w:rsidR="006E2FE0">
        <w:rPr>
          <w:rFonts w:ascii="Garamond" w:hAnsi="Garamond"/>
          <w:b/>
          <w:sz w:val="22"/>
          <w:szCs w:val="22"/>
        </w:rPr>
        <w:t xml:space="preserve"> in England</w:t>
      </w:r>
    </w:p>
    <w:p w14:paraId="516E9D27" w14:textId="77777777" w:rsidR="004D1359" w:rsidRPr="00263267" w:rsidRDefault="004D1359" w:rsidP="006D08D9">
      <w:pPr>
        <w:spacing w:line="276" w:lineRule="auto"/>
        <w:jc w:val="both"/>
        <w:rPr>
          <w:rFonts w:ascii="Garamond" w:hAnsi="Garamond"/>
          <w:b/>
          <w:sz w:val="22"/>
          <w:szCs w:val="22"/>
        </w:rPr>
      </w:pPr>
    </w:p>
    <w:p w14:paraId="0E610399" w14:textId="5E7E3FD6" w:rsidR="00FA0797" w:rsidRPr="00263267" w:rsidRDefault="00DC7DFD" w:rsidP="006D08D9">
      <w:pPr>
        <w:spacing w:line="276" w:lineRule="auto"/>
        <w:jc w:val="both"/>
        <w:rPr>
          <w:rFonts w:ascii="Garamond" w:hAnsi="Garamond"/>
          <w:b/>
          <w:sz w:val="22"/>
          <w:szCs w:val="22"/>
        </w:rPr>
      </w:pPr>
      <w:r w:rsidRPr="00263267">
        <w:rPr>
          <w:rFonts w:ascii="Garamond" w:hAnsi="Garamond"/>
          <w:b/>
          <w:sz w:val="22"/>
          <w:szCs w:val="22"/>
        </w:rPr>
        <w:t xml:space="preserve">Mike Raco, Frances Brill and Jess </w:t>
      </w:r>
      <w:proofErr w:type="spellStart"/>
      <w:r w:rsidRPr="00263267">
        <w:rPr>
          <w:rFonts w:ascii="Garamond" w:hAnsi="Garamond"/>
          <w:b/>
          <w:sz w:val="22"/>
          <w:szCs w:val="22"/>
        </w:rPr>
        <w:t>Ferm</w:t>
      </w:r>
      <w:proofErr w:type="spellEnd"/>
      <w:r w:rsidRPr="00263267">
        <w:rPr>
          <w:rFonts w:ascii="Garamond" w:hAnsi="Garamond"/>
          <w:b/>
          <w:sz w:val="22"/>
          <w:szCs w:val="22"/>
        </w:rPr>
        <w:t xml:space="preserve"> (BSP, UCL)</w:t>
      </w:r>
    </w:p>
    <w:p w14:paraId="4652D129" w14:textId="77777777" w:rsidR="00DC7DFD" w:rsidRPr="00263267" w:rsidRDefault="00DC7DFD" w:rsidP="006D08D9">
      <w:pPr>
        <w:spacing w:line="276" w:lineRule="auto"/>
        <w:jc w:val="both"/>
        <w:rPr>
          <w:rFonts w:ascii="Garamond" w:hAnsi="Garamond"/>
          <w:b/>
          <w:sz w:val="22"/>
          <w:szCs w:val="22"/>
        </w:rPr>
      </w:pPr>
    </w:p>
    <w:p w14:paraId="091C3D20" w14:textId="77777777" w:rsidR="00FA0797" w:rsidRPr="00263267" w:rsidRDefault="00FA0797" w:rsidP="006D08D9">
      <w:pPr>
        <w:shd w:val="clear" w:color="auto" w:fill="FFFFFF"/>
        <w:spacing w:line="276" w:lineRule="auto"/>
        <w:jc w:val="both"/>
        <w:textAlignment w:val="baseline"/>
        <w:rPr>
          <w:rFonts w:ascii="Garamond" w:eastAsia="Times New Roman" w:hAnsi="Garamond" w:cs="Times New Roman"/>
          <w:b/>
          <w:bCs/>
          <w:color w:val="000000" w:themeColor="text1"/>
          <w:sz w:val="22"/>
          <w:szCs w:val="22"/>
          <w:bdr w:val="none" w:sz="0" w:space="0" w:color="auto" w:frame="1"/>
        </w:rPr>
      </w:pPr>
      <w:r w:rsidRPr="00263267">
        <w:rPr>
          <w:rFonts w:ascii="Garamond" w:eastAsia="Times New Roman" w:hAnsi="Garamond" w:cs="Times New Roman"/>
          <w:b/>
          <w:bCs/>
          <w:color w:val="000000" w:themeColor="text1"/>
          <w:sz w:val="22"/>
          <w:szCs w:val="22"/>
          <w:bdr w:val="none" w:sz="0" w:space="0" w:color="auto" w:frame="1"/>
        </w:rPr>
        <w:t>Abstract:</w:t>
      </w:r>
    </w:p>
    <w:p w14:paraId="1B61B9F0" w14:textId="77777777" w:rsidR="00FA0797" w:rsidRPr="00263267" w:rsidRDefault="00FA0797" w:rsidP="006D08D9">
      <w:pPr>
        <w:shd w:val="clear" w:color="auto" w:fill="FFFFFF"/>
        <w:spacing w:line="276" w:lineRule="auto"/>
        <w:jc w:val="both"/>
        <w:textAlignment w:val="baseline"/>
        <w:rPr>
          <w:rFonts w:ascii="Garamond" w:eastAsia="Times New Roman" w:hAnsi="Garamond" w:cs="Times New Roman"/>
          <w:color w:val="000000" w:themeColor="text1"/>
          <w:sz w:val="22"/>
          <w:szCs w:val="22"/>
        </w:rPr>
      </w:pPr>
    </w:p>
    <w:p w14:paraId="0F26E057" w14:textId="4FF028D2" w:rsidR="00FA0797" w:rsidRDefault="00FA0797" w:rsidP="006D08D9">
      <w:pPr>
        <w:shd w:val="clear" w:color="auto" w:fill="FFFFFF"/>
        <w:spacing w:line="276" w:lineRule="auto"/>
        <w:jc w:val="both"/>
        <w:textAlignment w:val="baseline"/>
        <w:rPr>
          <w:rFonts w:ascii="Garamond" w:eastAsia="Times New Roman" w:hAnsi="Garamond" w:cs="Times New Roman"/>
          <w:color w:val="000000" w:themeColor="text1"/>
          <w:sz w:val="22"/>
          <w:szCs w:val="22"/>
        </w:rPr>
      </w:pPr>
      <w:r w:rsidRPr="00263267">
        <w:rPr>
          <w:rFonts w:ascii="Garamond" w:eastAsia="Times New Roman" w:hAnsi="Garamond" w:cs="Times New Roman"/>
          <w:color w:val="000000" w:themeColor="text1"/>
          <w:sz w:val="22"/>
          <w:szCs w:val="22"/>
        </w:rPr>
        <w:t xml:space="preserve">The chapter draws on recent writings in political studies </w:t>
      </w:r>
      <w:r w:rsidR="00D265E1" w:rsidRPr="00263267">
        <w:rPr>
          <w:rFonts w:ascii="Garamond" w:eastAsia="Times New Roman" w:hAnsi="Garamond" w:cs="Times New Roman"/>
          <w:color w:val="000000" w:themeColor="text1"/>
          <w:sz w:val="22"/>
          <w:szCs w:val="22"/>
        </w:rPr>
        <w:t xml:space="preserve">examining </w:t>
      </w:r>
      <w:r w:rsidR="006704E8" w:rsidRPr="00263267">
        <w:rPr>
          <w:rFonts w:ascii="Garamond" w:eastAsia="Times New Roman" w:hAnsi="Garamond" w:cs="Times New Roman"/>
          <w:color w:val="000000" w:themeColor="text1"/>
          <w:sz w:val="22"/>
          <w:szCs w:val="22"/>
        </w:rPr>
        <w:t xml:space="preserve">he role of intermediaries in the development and implementation of development planning regulation.  In particular it develops recent, but relatively abstract, arguments on </w:t>
      </w:r>
      <w:r w:rsidRPr="00263267">
        <w:rPr>
          <w:rFonts w:ascii="Garamond" w:eastAsia="Times New Roman" w:hAnsi="Garamond" w:cs="Times New Roman"/>
          <w:color w:val="000000" w:themeColor="text1"/>
          <w:sz w:val="22"/>
          <w:szCs w:val="22"/>
        </w:rPr>
        <w:t xml:space="preserve">liquid regulation and the growing power of </w:t>
      </w:r>
      <w:r w:rsidR="006704E8" w:rsidRPr="00263267">
        <w:rPr>
          <w:rFonts w:ascii="Garamond" w:eastAsia="Times New Roman" w:hAnsi="Garamond" w:cs="Times New Roman"/>
          <w:color w:val="000000" w:themeColor="text1"/>
          <w:sz w:val="22"/>
          <w:szCs w:val="22"/>
        </w:rPr>
        <w:t>non-governmental organisations</w:t>
      </w:r>
      <w:r w:rsidRPr="00263267">
        <w:rPr>
          <w:rFonts w:ascii="Garamond" w:eastAsia="Times New Roman" w:hAnsi="Garamond" w:cs="Times New Roman"/>
          <w:color w:val="000000" w:themeColor="text1"/>
          <w:sz w:val="22"/>
          <w:szCs w:val="22"/>
        </w:rPr>
        <w:t xml:space="preserve"> </w:t>
      </w:r>
      <w:r w:rsidR="006704E8" w:rsidRPr="00263267">
        <w:rPr>
          <w:rFonts w:ascii="Garamond" w:eastAsia="Times New Roman" w:hAnsi="Garamond" w:cs="Times New Roman"/>
          <w:color w:val="000000" w:themeColor="text1"/>
          <w:sz w:val="22"/>
          <w:szCs w:val="22"/>
        </w:rPr>
        <w:t>and applies them to the English planning context</w:t>
      </w:r>
      <w:r w:rsidRPr="00263267">
        <w:rPr>
          <w:rFonts w:ascii="Garamond" w:eastAsia="Times New Roman" w:hAnsi="Garamond" w:cs="Times New Roman"/>
          <w:color w:val="000000" w:themeColor="text1"/>
          <w:sz w:val="22"/>
          <w:szCs w:val="22"/>
        </w:rPr>
        <w:t>. Drawing on</w:t>
      </w:r>
      <w:r w:rsidR="007717D1" w:rsidRPr="00263267">
        <w:rPr>
          <w:rFonts w:ascii="Garamond" w:eastAsia="Times New Roman" w:hAnsi="Garamond" w:cs="Times New Roman"/>
          <w:color w:val="000000" w:themeColor="text1"/>
          <w:sz w:val="22"/>
          <w:szCs w:val="22"/>
        </w:rPr>
        <w:t xml:space="preserve"> a comparison and contrast of two of the most significant intermediary organisations in the English planning system, the RTPI and the RICS</w:t>
      </w:r>
      <w:r w:rsidRPr="00263267">
        <w:rPr>
          <w:rFonts w:ascii="Garamond" w:eastAsia="Times New Roman" w:hAnsi="Garamond" w:cs="Times New Roman"/>
          <w:color w:val="000000" w:themeColor="text1"/>
          <w:sz w:val="22"/>
          <w:szCs w:val="22"/>
        </w:rPr>
        <w:t xml:space="preserve">, the </w:t>
      </w:r>
      <w:r w:rsidR="005227A2" w:rsidRPr="00263267">
        <w:rPr>
          <w:rFonts w:ascii="Garamond" w:eastAsia="Times New Roman" w:hAnsi="Garamond" w:cs="Times New Roman"/>
          <w:color w:val="000000" w:themeColor="text1"/>
          <w:sz w:val="22"/>
          <w:szCs w:val="22"/>
        </w:rPr>
        <w:t>chapter</w:t>
      </w:r>
      <w:r w:rsidRPr="00263267">
        <w:rPr>
          <w:rFonts w:ascii="Garamond" w:eastAsia="Times New Roman" w:hAnsi="Garamond" w:cs="Times New Roman"/>
          <w:color w:val="000000" w:themeColor="text1"/>
          <w:sz w:val="22"/>
          <w:szCs w:val="22"/>
        </w:rPr>
        <w:t xml:space="preserve"> critically assesses </w:t>
      </w:r>
      <w:r w:rsidR="007717D1" w:rsidRPr="00263267">
        <w:rPr>
          <w:rFonts w:ascii="Garamond" w:eastAsia="Times New Roman" w:hAnsi="Garamond" w:cs="Times New Roman"/>
          <w:color w:val="000000" w:themeColor="text1"/>
          <w:sz w:val="22"/>
          <w:szCs w:val="22"/>
        </w:rPr>
        <w:t>the organisation, roles and regulatory influences of intermediaries in shaping recent reforms</w:t>
      </w:r>
      <w:r w:rsidRPr="00263267">
        <w:rPr>
          <w:rFonts w:ascii="Garamond" w:eastAsia="Times New Roman" w:hAnsi="Garamond" w:cs="Times New Roman"/>
          <w:color w:val="000000" w:themeColor="text1"/>
          <w:sz w:val="22"/>
          <w:szCs w:val="22"/>
        </w:rPr>
        <w:t xml:space="preserve">.  It argues that a stronger focus on </w:t>
      </w:r>
      <w:r w:rsidR="00DC7DFD" w:rsidRPr="00263267">
        <w:rPr>
          <w:rFonts w:ascii="Garamond" w:eastAsia="Times New Roman" w:hAnsi="Garamond" w:cs="Times New Roman"/>
          <w:color w:val="000000" w:themeColor="text1"/>
          <w:sz w:val="22"/>
          <w:szCs w:val="22"/>
        </w:rPr>
        <w:t>intermediaries</w:t>
      </w:r>
      <w:r w:rsidRPr="00263267">
        <w:rPr>
          <w:rFonts w:ascii="Garamond" w:eastAsia="Times New Roman" w:hAnsi="Garamond" w:cs="Times New Roman"/>
          <w:color w:val="000000" w:themeColor="text1"/>
          <w:sz w:val="22"/>
          <w:szCs w:val="22"/>
        </w:rPr>
        <w:t xml:space="preserve"> </w:t>
      </w:r>
      <w:r w:rsidR="006704E8" w:rsidRPr="00263267">
        <w:rPr>
          <w:rFonts w:ascii="Garamond" w:eastAsia="Times New Roman" w:hAnsi="Garamond" w:cs="Times New Roman"/>
          <w:color w:val="000000" w:themeColor="text1"/>
          <w:sz w:val="22"/>
          <w:szCs w:val="22"/>
        </w:rPr>
        <w:t xml:space="preserve">sheds </w:t>
      </w:r>
      <w:r w:rsidRPr="00263267">
        <w:rPr>
          <w:rFonts w:ascii="Garamond" w:eastAsia="Times New Roman" w:hAnsi="Garamond" w:cs="Times New Roman"/>
          <w:color w:val="000000" w:themeColor="text1"/>
          <w:sz w:val="22"/>
          <w:szCs w:val="22"/>
        </w:rPr>
        <w:t>light on the growing importance of softer</w:t>
      </w:r>
      <w:r w:rsidR="008B0AAF">
        <w:rPr>
          <w:rFonts w:ascii="Garamond" w:eastAsia="Times New Roman" w:hAnsi="Garamond" w:cs="Times New Roman"/>
          <w:color w:val="000000" w:themeColor="text1"/>
          <w:sz w:val="22"/>
          <w:szCs w:val="22"/>
        </w:rPr>
        <w:t>, more liquid</w:t>
      </w:r>
      <w:r w:rsidRPr="00263267">
        <w:rPr>
          <w:rFonts w:ascii="Garamond" w:eastAsia="Times New Roman" w:hAnsi="Garamond" w:cs="Times New Roman"/>
          <w:color w:val="000000" w:themeColor="text1"/>
          <w:sz w:val="22"/>
          <w:szCs w:val="22"/>
        </w:rPr>
        <w:t xml:space="preserve"> modes of regulation, organisational legitimation and authority-making in shaping policy practices and outcomes.  The chapter concludes by highlighting directions for future research and conceptual-methodological approaches in urban studies.</w:t>
      </w:r>
    </w:p>
    <w:p w14:paraId="4B5AD721" w14:textId="76FBFAD5" w:rsidR="00FD161A" w:rsidRDefault="00FD161A" w:rsidP="006D08D9">
      <w:pPr>
        <w:shd w:val="clear" w:color="auto" w:fill="FFFFFF"/>
        <w:spacing w:line="276" w:lineRule="auto"/>
        <w:jc w:val="both"/>
        <w:textAlignment w:val="baseline"/>
        <w:rPr>
          <w:rFonts w:ascii="Garamond" w:eastAsia="Times New Roman" w:hAnsi="Garamond" w:cs="Times New Roman"/>
          <w:color w:val="000000" w:themeColor="text1"/>
          <w:sz w:val="22"/>
          <w:szCs w:val="22"/>
        </w:rPr>
      </w:pPr>
    </w:p>
    <w:p w14:paraId="3BD2A228" w14:textId="353E995A" w:rsidR="00FD161A" w:rsidRPr="00263267" w:rsidRDefault="00FD161A" w:rsidP="006D08D9">
      <w:pPr>
        <w:shd w:val="clear" w:color="auto" w:fill="FFFFFF"/>
        <w:spacing w:line="276" w:lineRule="auto"/>
        <w:jc w:val="both"/>
        <w:textAlignment w:val="baseline"/>
        <w:rPr>
          <w:rFonts w:ascii="Garamond" w:eastAsia="Times New Roman" w:hAnsi="Garamond" w:cs="Times New Roman"/>
          <w:color w:val="000000" w:themeColor="text1"/>
          <w:sz w:val="22"/>
          <w:szCs w:val="22"/>
        </w:rPr>
      </w:pPr>
      <w:r>
        <w:rPr>
          <w:rFonts w:ascii="Garamond" w:eastAsia="Times New Roman" w:hAnsi="Garamond" w:cs="Times New Roman"/>
          <w:color w:val="000000" w:themeColor="text1"/>
          <w:sz w:val="22"/>
          <w:szCs w:val="22"/>
        </w:rPr>
        <w:t xml:space="preserve">Key Words: Liquid Regulation; Intermediary Organisations; </w:t>
      </w:r>
      <w:r w:rsidR="006B527E">
        <w:rPr>
          <w:rFonts w:ascii="Garamond" w:eastAsia="Times New Roman" w:hAnsi="Garamond" w:cs="Times New Roman"/>
          <w:color w:val="000000" w:themeColor="text1"/>
          <w:sz w:val="22"/>
          <w:szCs w:val="22"/>
        </w:rPr>
        <w:t>Market-led Planning</w:t>
      </w:r>
      <w:r>
        <w:rPr>
          <w:rFonts w:ascii="Garamond" w:eastAsia="Times New Roman" w:hAnsi="Garamond" w:cs="Times New Roman"/>
          <w:color w:val="000000" w:themeColor="text1"/>
          <w:sz w:val="22"/>
          <w:szCs w:val="22"/>
        </w:rPr>
        <w:t>;</w:t>
      </w:r>
      <w:r w:rsidR="006B527E">
        <w:rPr>
          <w:rFonts w:ascii="Garamond" w:eastAsia="Times New Roman" w:hAnsi="Garamond" w:cs="Times New Roman"/>
          <w:color w:val="000000" w:themeColor="text1"/>
          <w:sz w:val="22"/>
          <w:szCs w:val="22"/>
        </w:rPr>
        <w:t xml:space="preserve"> Professionalism.</w:t>
      </w:r>
      <w:r>
        <w:rPr>
          <w:rFonts w:ascii="Garamond" w:eastAsia="Times New Roman" w:hAnsi="Garamond" w:cs="Times New Roman"/>
          <w:color w:val="000000" w:themeColor="text1"/>
          <w:sz w:val="22"/>
          <w:szCs w:val="22"/>
        </w:rPr>
        <w:t xml:space="preserve"> </w:t>
      </w:r>
    </w:p>
    <w:p w14:paraId="66EFCD21" w14:textId="7BB8CC08" w:rsidR="00FA0797" w:rsidRDefault="00FA0797" w:rsidP="006D08D9">
      <w:pPr>
        <w:spacing w:line="276" w:lineRule="auto"/>
        <w:jc w:val="both"/>
        <w:rPr>
          <w:rFonts w:ascii="Garamond" w:hAnsi="Garamond"/>
          <w:b/>
          <w:sz w:val="22"/>
          <w:szCs w:val="22"/>
        </w:rPr>
      </w:pPr>
      <w:r w:rsidRPr="00263267">
        <w:rPr>
          <w:rFonts w:ascii="Garamond" w:hAnsi="Garamond"/>
          <w:b/>
          <w:sz w:val="22"/>
          <w:szCs w:val="22"/>
        </w:rPr>
        <w:br w:type="page"/>
      </w:r>
    </w:p>
    <w:p w14:paraId="7B7844B1" w14:textId="77777777" w:rsidR="00FD161A" w:rsidRPr="00263267" w:rsidRDefault="00FD161A" w:rsidP="006D08D9">
      <w:pPr>
        <w:spacing w:line="276" w:lineRule="auto"/>
        <w:jc w:val="both"/>
        <w:rPr>
          <w:rFonts w:ascii="Garamond" w:hAnsi="Garamond"/>
          <w:b/>
          <w:sz w:val="22"/>
          <w:szCs w:val="22"/>
        </w:rPr>
      </w:pPr>
    </w:p>
    <w:p w14:paraId="663AD59B" w14:textId="37ACACB7" w:rsidR="00FA0797" w:rsidRPr="00263267" w:rsidRDefault="00FA0797" w:rsidP="006D08D9">
      <w:pPr>
        <w:spacing w:line="276" w:lineRule="auto"/>
        <w:jc w:val="both"/>
        <w:rPr>
          <w:rFonts w:ascii="Garamond" w:hAnsi="Garamond"/>
          <w:b/>
          <w:sz w:val="22"/>
          <w:szCs w:val="22"/>
        </w:rPr>
      </w:pPr>
      <w:r w:rsidRPr="00263267">
        <w:rPr>
          <w:rFonts w:ascii="Garamond" w:hAnsi="Garamond"/>
          <w:b/>
          <w:sz w:val="22"/>
          <w:szCs w:val="22"/>
        </w:rPr>
        <w:t>Introduction</w:t>
      </w:r>
    </w:p>
    <w:p w14:paraId="766AB3EE" w14:textId="77777777" w:rsidR="00F36E46" w:rsidRPr="00263267" w:rsidRDefault="00F36E46" w:rsidP="006D08D9">
      <w:pPr>
        <w:spacing w:line="276" w:lineRule="auto"/>
        <w:jc w:val="both"/>
        <w:rPr>
          <w:rFonts w:ascii="Garamond" w:hAnsi="Garamond"/>
          <w:b/>
          <w:sz w:val="22"/>
          <w:szCs w:val="22"/>
        </w:rPr>
      </w:pPr>
    </w:p>
    <w:p w14:paraId="4670F13A" w14:textId="20DE517B" w:rsidR="00640265" w:rsidRPr="00263267" w:rsidRDefault="00010CDF" w:rsidP="006D08D9">
      <w:pPr>
        <w:spacing w:line="276" w:lineRule="auto"/>
        <w:ind w:right="-52"/>
        <w:jc w:val="both"/>
        <w:rPr>
          <w:rFonts w:ascii="Garamond" w:hAnsi="Garamond" w:cs="Calibri"/>
          <w:color w:val="000000" w:themeColor="text1"/>
          <w:sz w:val="22"/>
          <w:szCs w:val="22"/>
        </w:rPr>
      </w:pPr>
      <w:r w:rsidRPr="00263267">
        <w:rPr>
          <w:rFonts w:ascii="Garamond" w:eastAsia="Garamond" w:hAnsi="Garamond" w:cs="Calibri"/>
          <w:color w:val="000000" w:themeColor="text1"/>
          <w:sz w:val="22"/>
          <w:szCs w:val="22"/>
        </w:rPr>
        <w:t xml:space="preserve">In the wake of the 2008 financial crisis, governments across Europe and elsewhere have been re-focusing their planning systems on the promotion of economic growth, expedited development, and market-led regulatory reform </w:t>
      </w:r>
      <w:r w:rsidRPr="00263267">
        <w:rPr>
          <w:rFonts w:ascii="Garamond" w:eastAsia="Garamond" w:hAnsi="Garamond" w:cs="Calibri"/>
          <w:color w:val="000000" w:themeColor="text1"/>
          <w:sz w:val="22"/>
          <w:szCs w:val="22"/>
        </w:rPr>
        <w:fldChar w:fldCharType="begin"/>
      </w:r>
      <w:r w:rsidRPr="00263267">
        <w:rPr>
          <w:rFonts w:ascii="Garamond" w:eastAsia="Garamond" w:hAnsi="Garamond" w:cs="Calibri"/>
          <w:color w:val="000000" w:themeColor="text1"/>
          <w:sz w:val="22"/>
          <w:szCs w:val="22"/>
        </w:rPr>
        <w:instrText xml:space="preserve"> ADDIN ZOTERO_ITEM CSL_CITATION {"citationID":"s5uS008a","properties":{"formattedCitation":"(Gerber et al., 2018)","plainCitation":"(Gerber et al., 2018)","noteIndex":0},"citationItems":[{"id":2757,"uris":["http://zotero.org/groups/2307100/items/KN6VJS2C"],"uri":["http://zotero.org/groups/2307100/items/KN6VJS2C"],"itemData":{"id":2757,"type":"book","ISBN":"1-315-51163-0","publisher":"Routledge","title":"Instruments of land policy: Dealing with scarcity of land","author":[{"family":"Gerber","given":"Jean-David"},{"family":"Hartmann","given":"Thomas"},{"family":"Hengstermann","given":"Andreas"}],"issued":{"date-parts":[["2018"]]}}}],"schema":"https://github.com/citation-style-language/schema/raw/master/csl-citation.json"} </w:instrText>
      </w:r>
      <w:r w:rsidRPr="00263267">
        <w:rPr>
          <w:rFonts w:ascii="Garamond" w:eastAsia="Garamond" w:hAnsi="Garamond" w:cs="Calibri"/>
          <w:color w:val="000000" w:themeColor="text1"/>
          <w:sz w:val="22"/>
          <w:szCs w:val="22"/>
        </w:rPr>
        <w:fldChar w:fldCharType="separate"/>
      </w:r>
      <w:r w:rsidRPr="00263267">
        <w:rPr>
          <w:rFonts w:ascii="Garamond" w:eastAsia="Garamond" w:hAnsi="Garamond" w:cs="Calibri"/>
          <w:noProof/>
          <w:color w:val="000000" w:themeColor="text1"/>
          <w:sz w:val="22"/>
          <w:szCs w:val="22"/>
        </w:rPr>
        <w:t>(Gerber et al., 2018)</w:t>
      </w:r>
      <w:r w:rsidRPr="00263267">
        <w:rPr>
          <w:rFonts w:ascii="Garamond" w:eastAsia="Garamond" w:hAnsi="Garamond" w:cs="Calibri"/>
          <w:color w:val="000000" w:themeColor="text1"/>
          <w:sz w:val="22"/>
          <w:szCs w:val="22"/>
        </w:rPr>
        <w:fldChar w:fldCharType="end"/>
      </w:r>
      <w:r w:rsidR="00640265" w:rsidRPr="00263267">
        <w:rPr>
          <w:rFonts w:ascii="Garamond" w:hAnsi="Garamond" w:cs="Calibri"/>
          <w:color w:val="000000" w:themeColor="text1"/>
          <w:sz w:val="22"/>
          <w:szCs w:val="22"/>
        </w:rPr>
        <w:t xml:space="preserve">.  In </w:t>
      </w:r>
      <w:r w:rsidR="00D919E3" w:rsidRPr="00263267">
        <w:rPr>
          <w:rFonts w:ascii="Garamond" w:hAnsi="Garamond" w:cs="Calibri"/>
          <w:color w:val="000000" w:themeColor="text1"/>
          <w:sz w:val="22"/>
          <w:szCs w:val="22"/>
        </w:rPr>
        <w:t>England</w:t>
      </w:r>
      <w:r w:rsidR="00640265" w:rsidRPr="00263267">
        <w:rPr>
          <w:rFonts w:ascii="Garamond" w:hAnsi="Garamond" w:cs="Calibri"/>
          <w:color w:val="000000" w:themeColor="text1"/>
          <w:sz w:val="22"/>
          <w:szCs w:val="22"/>
        </w:rPr>
        <w:t xml:space="preserve"> especially </w:t>
      </w:r>
      <w:r w:rsidR="00640265" w:rsidRPr="00263267">
        <w:rPr>
          <w:rFonts w:ascii="Garamond" w:eastAsia="Garamond" w:hAnsi="Garamond" w:cs="Calibri"/>
          <w:color w:val="000000" w:themeColor="text1"/>
          <w:sz w:val="22"/>
          <w:szCs w:val="22"/>
        </w:rPr>
        <w:t>a dominant</w:t>
      </w:r>
      <w:r w:rsidRPr="00263267">
        <w:rPr>
          <w:rFonts w:ascii="Garamond" w:eastAsia="Garamond" w:hAnsi="Garamond" w:cs="Calibri"/>
          <w:color w:val="000000" w:themeColor="text1"/>
          <w:sz w:val="22"/>
          <w:szCs w:val="22"/>
        </w:rPr>
        <w:t xml:space="preserve"> narrative </w:t>
      </w:r>
      <w:r w:rsidR="00994BB8" w:rsidRPr="00263267">
        <w:rPr>
          <w:rFonts w:ascii="Garamond" w:eastAsia="Garamond" w:hAnsi="Garamond" w:cs="Calibri"/>
          <w:color w:val="000000" w:themeColor="text1"/>
          <w:sz w:val="22"/>
          <w:szCs w:val="22"/>
        </w:rPr>
        <w:t>ha</w:t>
      </w:r>
      <w:r w:rsidR="00640265" w:rsidRPr="00263267">
        <w:rPr>
          <w:rFonts w:ascii="Garamond" w:eastAsia="Garamond" w:hAnsi="Garamond" w:cs="Calibri"/>
          <w:color w:val="000000" w:themeColor="text1"/>
          <w:sz w:val="22"/>
          <w:szCs w:val="22"/>
        </w:rPr>
        <w:t>s</w:t>
      </w:r>
      <w:r w:rsidR="00994BB8" w:rsidRPr="00263267">
        <w:rPr>
          <w:rFonts w:ascii="Garamond" w:eastAsia="Garamond" w:hAnsi="Garamond" w:cs="Calibri"/>
          <w:color w:val="000000" w:themeColor="text1"/>
          <w:sz w:val="22"/>
          <w:szCs w:val="22"/>
        </w:rPr>
        <w:t xml:space="preserve"> </w:t>
      </w:r>
      <w:r w:rsidR="00640265" w:rsidRPr="00263267">
        <w:rPr>
          <w:rFonts w:ascii="Garamond" w:eastAsia="Garamond" w:hAnsi="Garamond" w:cs="Calibri"/>
          <w:color w:val="000000" w:themeColor="text1"/>
          <w:sz w:val="22"/>
          <w:szCs w:val="22"/>
        </w:rPr>
        <w:t>emerged,</w:t>
      </w:r>
      <w:r w:rsidR="00994BB8" w:rsidRPr="00263267">
        <w:rPr>
          <w:rFonts w:ascii="Garamond" w:eastAsia="Garamond" w:hAnsi="Garamond" w:cs="Calibri"/>
          <w:color w:val="000000" w:themeColor="text1"/>
          <w:sz w:val="22"/>
          <w:szCs w:val="22"/>
        </w:rPr>
        <w:t xml:space="preserve"> </w:t>
      </w:r>
      <w:r w:rsidR="00640265" w:rsidRPr="00263267">
        <w:rPr>
          <w:rFonts w:ascii="Garamond" w:eastAsia="Garamond" w:hAnsi="Garamond" w:cs="Calibri"/>
          <w:color w:val="000000" w:themeColor="text1"/>
          <w:sz w:val="22"/>
          <w:szCs w:val="22"/>
        </w:rPr>
        <w:t xml:space="preserve">reinforced by neo-liberal government advisers and think-tanks </w:t>
      </w:r>
      <w:r w:rsidR="00640265" w:rsidRPr="00263267">
        <w:rPr>
          <w:rFonts w:ascii="Garamond" w:eastAsia="Garamond" w:hAnsi="Garamond" w:cs="Calibri"/>
          <w:color w:val="000000" w:themeColor="text1"/>
          <w:sz w:val="22"/>
          <w:szCs w:val="22"/>
        </w:rPr>
        <w:fldChar w:fldCharType="begin"/>
      </w:r>
      <w:r w:rsidR="00640265" w:rsidRPr="00263267">
        <w:rPr>
          <w:rFonts w:ascii="Garamond" w:eastAsia="Garamond" w:hAnsi="Garamond" w:cs="Calibri"/>
          <w:color w:val="000000" w:themeColor="text1"/>
          <w:sz w:val="22"/>
          <w:szCs w:val="22"/>
        </w:rPr>
        <w:instrText xml:space="preserve"> ADDIN ZOTERO_ITEM CSL_CITATION {"citationID":"GGqh2EwZ","properties":{"formattedCitation":"(Airey &amp; Doughty, 2020)","plainCitation":"(Airey &amp; Doughty, 2020)","dontUpdate":true,"noteIndex":0},"citationItems":[{"id":3092,"uris":["http://zotero.org/groups/2307100/items/IWT5ZB5G"],"uri":["http://zotero.org/groups/2307100/items/IWT5ZB5G"],"itemData":{"id":3092,"type":"article","publisher":"Policy Exchange: London","title":"Rethinking the Planning System for the 21st Century","author":[{"family":"Airey","given":"J"},{"family":"Doughty","given":"C"}],"issued":{"date-parts":[["2020"]]}}}],"schema":"https://github.com/citation-style-language/schema/raw/master/csl-citation.json"} </w:instrText>
      </w:r>
      <w:r w:rsidR="00640265" w:rsidRPr="00263267">
        <w:rPr>
          <w:rFonts w:ascii="Garamond" w:eastAsia="Garamond" w:hAnsi="Garamond" w:cs="Calibri"/>
          <w:color w:val="000000" w:themeColor="text1"/>
          <w:sz w:val="22"/>
          <w:szCs w:val="22"/>
        </w:rPr>
        <w:fldChar w:fldCharType="separate"/>
      </w:r>
      <w:r w:rsidR="00640265" w:rsidRPr="00263267">
        <w:rPr>
          <w:rFonts w:ascii="Garamond" w:eastAsia="Garamond" w:hAnsi="Garamond" w:cs="Calibri"/>
          <w:noProof/>
          <w:color w:val="000000" w:themeColor="text1"/>
          <w:sz w:val="22"/>
          <w:szCs w:val="22"/>
        </w:rPr>
        <w:t>(</w:t>
      </w:r>
      <w:r w:rsidR="00640265" w:rsidRPr="00263267">
        <w:rPr>
          <w:rFonts w:ascii="Garamond" w:eastAsia="Garamond" w:hAnsi="Garamond" w:cs="Calibri"/>
          <w:i/>
          <w:noProof/>
          <w:color w:val="000000" w:themeColor="text1"/>
          <w:sz w:val="22"/>
          <w:szCs w:val="22"/>
        </w:rPr>
        <w:t xml:space="preserve">cf. </w:t>
      </w:r>
      <w:r w:rsidR="00640265" w:rsidRPr="00263267">
        <w:rPr>
          <w:rFonts w:ascii="Garamond" w:eastAsia="Garamond" w:hAnsi="Garamond" w:cs="Calibri"/>
          <w:noProof/>
          <w:color w:val="000000" w:themeColor="text1"/>
          <w:sz w:val="22"/>
          <w:szCs w:val="22"/>
        </w:rPr>
        <w:t>Airey &amp; Doughty, 2020)</w:t>
      </w:r>
      <w:r w:rsidR="00640265" w:rsidRPr="00263267">
        <w:rPr>
          <w:rFonts w:ascii="Garamond" w:eastAsia="Garamond" w:hAnsi="Garamond" w:cs="Calibri"/>
          <w:color w:val="000000" w:themeColor="text1"/>
          <w:sz w:val="22"/>
          <w:szCs w:val="22"/>
        </w:rPr>
        <w:fldChar w:fldCharType="end"/>
      </w:r>
      <w:r w:rsidR="00EE7E10" w:rsidRPr="00263267">
        <w:rPr>
          <w:rFonts w:ascii="Garamond" w:eastAsia="Garamond" w:hAnsi="Garamond" w:cs="Calibri"/>
          <w:color w:val="000000" w:themeColor="text1"/>
          <w:sz w:val="22"/>
          <w:szCs w:val="22"/>
        </w:rPr>
        <w:t>,</w:t>
      </w:r>
      <w:r w:rsidR="00640265" w:rsidRPr="00263267">
        <w:rPr>
          <w:rFonts w:ascii="Garamond" w:hAnsi="Garamond"/>
          <w:sz w:val="22"/>
          <w:szCs w:val="22"/>
        </w:rPr>
        <w:t xml:space="preserve"> that </w:t>
      </w:r>
      <w:r w:rsidR="00211419">
        <w:rPr>
          <w:rFonts w:ascii="Garamond" w:hAnsi="Garamond"/>
          <w:sz w:val="22"/>
          <w:szCs w:val="22"/>
        </w:rPr>
        <w:t xml:space="preserve">views </w:t>
      </w:r>
      <w:r w:rsidR="00640265" w:rsidRPr="00263267">
        <w:rPr>
          <w:rFonts w:ascii="Garamond" w:hAnsi="Garamond"/>
          <w:sz w:val="22"/>
          <w:szCs w:val="22"/>
        </w:rPr>
        <w:t xml:space="preserve">overly restrictive planning regulation </w:t>
      </w:r>
      <w:r w:rsidR="00211419">
        <w:rPr>
          <w:rFonts w:ascii="Garamond" w:hAnsi="Garamond"/>
          <w:sz w:val="22"/>
          <w:szCs w:val="22"/>
        </w:rPr>
        <w:t>as a</w:t>
      </w:r>
      <w:r w:rsidR="00640265" w:rsidRPr="00263267">
        <w:rPr>
          <w:rFonts w:ascii="Garamond" w:hAnsi="Garamond"/>
          <w:sz w:val="22"/>
          <w:szCs w:val="22"/>
        </w:rPr>
        <w:t xml:space="preserve"> </w:t>
      </w:r>
      <w:r w:rsidR="00640265" w:rsidRPr="00263267">
        <w:rPr>
          <w:rFonts w:ascii="Garamond" w:eastAsia="Garamond" w:hAnsi="Garamond" w:cs="Calibri"/>
          <w:color w:val="000000" w:themeColor="text1"/>
          <w:sz w:val="22"/>
          <w:szCs w:val="22"/>
        </w:rPr>
        <w:t>limit</w:t>
      </w:r>
      <w:r w:rsidR="00211419">
        <w:rPr>
          <w:rFonts w:ascii="Garamond" w:eastAsia="Garamond" w:hAnsi="Garamond" w:cs="Calibri"/>
          <w:color w:val="000000" w:themeColor="text1"/>
          <w:sz w:val="22"/>
          <w:szCs w:val="22"/>
        </w:rPr>
        <w:t xml:space="preserve"> on</w:t>
      </w:r>
      <w:r w:rsidR="00640265" w:rsidRPr="00263267">
        <w:rPr>
          <w:rFonts w:ascii="Garamond" w:eastAsia="Garamond" w:hAnsi="Garamond" w:cs="Calibri"/>
          <w:color w:val="000000" w:themeColor="text1"/>
          <w:sz w:val="22"/>
          <w:szCs w:val="22"/>
        </w:rPr>
        <w:t xml:space="preserve"> new housing and infrastructure development and a brake on national </w:t>
      </w:r>
      <w:r w:rsidR="00EE7E10" w:rsidRPr="00263267">
        <w:rPr>
          <w:rFonts w:ascii="Garamond" w:eastAsia="Garamond" w:hAnsi="Garamond" w:cs="Calibri"/>
          <w:color w:val="000000" w:themeColor="text1"/>
          <w:sz w:val="22"/>
          <w:szCs w:val="22"/>
        </w:rPr>
        <w:t xml:space="preserve">and urban </w:t>
      </w:r>
      <w:r w:rsidR="00640265" w:rsidRPr="00263267">
        <w:rPr>
          <w:rFonts w:ascii="Garamond" w:eastAsia="Garamond" w:hAnsi="Garamond" w:cs="Calibri"/>
          <w:color w:val="000000" w:themeColor="text1"/>
          <w:sz w:val="22"/>
          <w:szCs w:val="22"/>
        </w:rPr>
        <w:t xml:space="preserve">competitiveness </w:t>
      </w:r>
      <w:r w:rsidR="00640265" w:rsidRPr="00263267">
        <w:rPr>
          <w:rFonts w:ascii="Garamond" w:eastAsia="Garamond" w:hAnsi="Garamond" w:cs="Calibri"/>
          <w:color w:val="000000" w:themeColor="text1"/>
          <w:sz w:val="22"/>
          <w:szCs w:val="22"/>
        </w:rPr>
        <w:fldChar w:fldCharType="begin"/>
      </w:r>
      <w:r w:rsidR="00640265" w:rsidRPr="00263267">
        <w:rPr>
          <w:rFonts w:ascii="Garamond" w:eastAsia="Garamond" w:hAnsi="Garamond" w:cs="Calibri"/>
          <w:color w:val="000000" w:themeColor="text1"/>
          <w:sz w:val="22"/>
          <w:szCs w:val="22"/>
        </w:rPr>
        <w:instrText xml:space="preserve"> ADDIN ZOTERO_ITEM CSL_CITATION {"citationID":"0XOHFKFn","properties":{"formattedCitation":"(Rodr\\uc0\\u237{}guez-Pose &amp; Storper, 2020)","plainCitation":"(Rodríguez-Pose &amp; Storper, 2020)","noteIndex":0},"citationItems":[{"id":3353,"uris":["http://zotero.org/groups/2307100/items/FCSS4QH4"],"uri":["http://zotero.org/groups/2307100/items/FCSS4QH4"],"itemData":{"id":3353,"type":"article-journal","container-title":"Urban Studies","issue":"2","page":"223-248","title":"Housing, urban growth and inequalities: The limits to deregulation and upzoning in reducing economic and spatial inequality","volume":"57","author":[{"family":"Rodríguez-Pose","given":"Andreas"},{"family":"Storper","given":"Michael"}],"issued":{"date-parts":[["2020"]]}}}],"schema":"https://github.com/citation-style-language/schema/raw/master/csl-citation.json"} </w:instrText>
      </w:r>
      <w:r w:rsidR="00640265" w:rsidRPr="00263267">
        <w:rPr>
          <w:rFonts w:ascii="Garamond" w:eastAsia="Garamond" w:hAnsi="Garamond" w:cs="Calibri"/>
          <w:color w:val="000000" w:themeColor="text1"/>
          <w:sz w:val="22"/>
          <w:szCs w:val="22"/>
        </w:rPr>
        <w:fldChar w:fldCharType="separate"/>
      </w:r>
      <w:r w:rsidR="00640265" w:rsidRPr="00263267">
        <w:rPr>
          <w:rFonts w:ascii="Garamond" w:hAnsi="Garamond" w:cs="Times New Roman"/>
          <w:color w:val="000000"/>
          <w:sz w:val="22"/>
          <w:szCs w:val="22"/>
          <w:lang w:val="en-US"/>
        </w:rPr>
        <w:t>(Rodríguez-Pose &amp; Storper, 2020)</w:t>
      </w:r>
      <w:r w:rsidR="00640265" w:rsidRPr="00263267">
        <w:rPr>
          <w:rFonts w:ascii="Garamond" w:eastAsia="Garamond" w:hAnsi="Garamond" w:cs="Calibri"/>
          <w:color w:val="000000" w:themeColor="text1"/>
          <w:sz w:val="22"/>
          <w:szCs w:val="22"/>
        </w:rPr>
        <w:fldChar w:fldCharType="end"/>
      </w:r>
      <w:r w:rsidR="00640265" w:rsidRPr="00263267">
        <w:rPr>
          <w:rFonts w:ascii="Garamond" w:eastAsia="Garamond" w:hAnsi="Garamond" w:cs="Calibri"/>
          <w:color w:val="000000" w:themeColor="text1"/>
          <w:sz w:val="22"/>
          <w:szCs w:val="22"/>
        </w:rPr>
        <w:t xml:space="preserve">.  </w:t>
      </w:r>
      <w:r w:rsidR="00D919E3" w:rsidRPr="00263267">
        <w:rPr>
          <w:rFonts w:ascii="Garamond" w:hAnsi="Garamond" w:cs="Calibri"/>
          <w:color w:val="000000" w:themeColor="text1"/>
          <w:sz w:val="22"/>
          <w:szCs w:val="22"/>
        </w:rPr>
        <w:t xml:space="preserve">Through reform, central government is </w:t>
      </w:r>
      <w:r w:rsidR="003E1D10">
        <w:rPr>
          <w:rFonts w:ascii="Garamond" w:hAnsi="Garamond" w:cs="Calibri"/>
          <w:color w:val="000000" w:themeColor="text1"/>
          <w:sz w:val="22"/>
          <w:szCs w:val="22"/>
        </w:rPr>
        <w:t xml:space="preserve">seeking </w:t>
      </w:r>
      <w:r w:rsidR="00D919E3" w:rsidRPr="00263267">
        <w:rPr>
          <w:rFonts w:ascii="Garamond" w:hAnsi="Garamond" w:cs="Calibri"/>
          <w:color w:val="000000" w:themeColor="text1"/>
          <w:sz w:val="22"/>
          <w:szCs w:val="22"/>
        </w:rPr>
        <w:t>to establish</w:t>
      </w:r>
      <w:r w:rsidR="00640265" w:rsidRPr="00263267">
        <w:rPr>
          <w:rFonts w:ascii="Garamond" w:hAnsi="Garamond" w:cs="Calibri"/>
          <w:color w:val="000000" w:themeColor="text1"/>
          <w:sz w:val="22"/>
          <w:szCs w:val="22"/>
        </w:rPr>
        <w:t xml:space="preserve"> new types of </w:t>
      </w:r>
      <w:r w:rsidR="0077493A">
        <w:rPr>
          <w:rFonts w:ascii="Garamond" w:hAnsi="Garamond" w:cs="Calibri"/>
          <w:color w:val="000000" w:themeColor="text1"/>
          <w:sz w:val="22"/>
          <w:szCs w:val="22"/>
        </w:rPr>
        <w:t xml:space="preserve">market-led </w:t>
      </w:r>
      <w:r w:rsidR="00640265" w:rsidRPr="00263267">
        <w:rPr>
          <w:rFonts w:ascii="Garamond" w:hAnsi="Garamond" w:cs="Calibri"/>
          <w:color w:val="000000" w:themeColor="text1"/>
          <w:sz w:val="22"/>
          <w:szCs w:val="22"/>
        </w:rPr>
        <w:t>state co-ordination</w:t>
      </w:r>
      <w:r w:rsidR="00B83510" w:rsidRPr="00263267">
        <w:rPr>
          <w:rFonts w:ascii="Garamond" w:hAnsi="Garamond" w:cs="Calibri"/>
          <w:color w:val="000000" w:themeColor="text1"/>
          <w:sz w:val="22"/>
          <w:szCs w:val="22"/>
        </w:rPr>
        <w:t>,</w:t>
      </w:r>
      <w:r w:rsidR="00D265E1" w:rsidRPr="00263267">
        <w:rPr>
          <w:rFonts w:ascii="Garamond" w:hAnsi="Garamond" w:cs="Calibri"/>
          <w:color w:val="000000" w:themeColor="text1"/>
          <w:sz w:val="22"/>
          <w:szCs w:val="22"/>
        </w:rPr>
        <w:t xml:space="preserve"> that in</w:t>
      </w:r>
      <w:r w:rsidR="00B83510" w:rsidRPr="00263267">
        <w:rPr>
          <w:rFonts w:ascii="Garamond" w:hAnsi="Garamond" w:cs="Calibri"/>
          <w:color w:val="000000" w:themeColor="text1"/>
          <w:sz w:val="22"/>
          <w:szCs w:val="22"/>
        </w:rPr>
        <w:t xml:space="preserve"> </w:t>
      </w:r>
      <w:r w:rsidR="00B83510" w:rsidRPr="00263267">
        <w:rPr>
          <w:rFonts w:ascii="Garamond" w:hAnsi="Garamond" w:cs="Calibri"/>
          <w:color w:val="000000" w:themeColor="text1"/>
          <w:sz w:val="22"/>
          <w:szCs w:val="22"/>
        </w:rPr>
        <w:fldChar w:fldCharType="begin"/>
      </w:r>
      <w:r w:rsidR="00B83510" w:rsidRPr="00263267">
        <w:rPr>
          <w:rFonts w:ascii="Garamond" w:hAnsi="Garamond" w:cs="Calibri"/>
          <w:color w:val="000000" w:themeColor="text1"/>
          <w:sz w:val="22"/>
          <w:szCs w:val="22"/>
        </w:rPr>
        <w:instrText xml:space="preserve"> ADDIN ZOTERO_ITEM CSL_CITATION {"citationID":"230OBCrX","properties":{"formattedCitation":"(Gal\\uc0\\u232{}s, 1998)","plainCitation":"(Galès, 1998)","dontUpdate":true,"noteIndex":0},"citationItems":[{"id":78,"uris":["http://zotero.org/groups/2307100/items/WVTN3H8W"],"uri":["http://zotero.org/groups/2307100/items/WVTN3H8W"],"itemData":{"id":78,"type":"article-journal","abstract":"In Europe today, the state is being challenged, and this is leading to renewed questioning of the linkages between social regulation and political regulation. Territories, or sub-national levels (particularly towns and cities), can constitute one level on which different types of regulation are enmeshed and structured, and where a mode of governance is structured. This paper reviews the uses of the concept of governance by those institutionalist or regulationist economists who address the issue of territory, and then proposes an analytical framework — a sociological conception of governance. La remise en cause de l’État en Europe amène à réinterroger l’articulation entre régulations sociales et régulations politiques. Les territoires, ou niveaux infranationaux (en particulier les villes) peuvent constituer l’un des niveaux d’enchevêtrement et de structuration de différents types de régulation, de structuration d’un mode de gouvernance. Ce papier passe en revue les utilisation du concept de gouvernance chez les économistes institutionnalistes ou régulationnistes qui prennent en compte le territoire, afin de proposer un cadre d’analyse, une conception sociologique de la gouvernance.","container-title":"International Journal of Urban and Regional Research","ISSN":"1468-2427","issue":"3","language":"en","page":"482-506","source":"Wiley Online Library","title":"Regulations and Governance in European Cities","volume":"22","author":[{"family":"Galès","given":"Patrick Le"}],"issued":{"date-parts":[["1998"]]}}}],"schema":"https://github.com/citation-style-language/schema/raw/master/csl-citation.json"} </w:instrText>
      </w:r>
      <w:r w:rsidR="00B83510" w:rsidRPr="00263267">
        <w:rPr>
          <w:rFonts w:ascii="Garamond" w:hAnsi="Garamond" w:cs="Calibri"/>
          <w:color w:val="000000" w:themeColor="text1"/>
          <w:sz w:val="22"/>
          <w:szCs w:val="22"/>
        </w:rPr>
        <w:fldChar w:fldCharType="separate"/>
      </w:r>
      <w:r w:rsidR="00B83510" w:rsidRPr="00263267">
        <w:rPr>
          <w:rFonts w:ascii="Garamond" w:hAnsi="Garamond" w:cs="Times New Roman"/>
          <w:color w:val="000000" w:themeColor="text1"/>
          <w:sz w:val="22"/>
          <w:szCs w:val="22"/>
          <w:lang w:val="en-US"/>
        </w:rPr>
        <w:t>Le Galès</w:t>
      </w:r>
      <w:r w:rsidR="00211419">
        <w:rPr>
          <w:rFonts w:ascii="Garamond" w:hAnsi="Garamond" w:cs="Times New Roman"/>
          <w:color w:val="000000" w:themeColor="text1"/>
          <w:sz w:val="22"/>
          <w:szCs w:val="22"/>
          <w:lang w:val="en-US"/>
        </w:rPr>
        <w:t>'</w:t>
      </w:r>
      <w:r w:rsidR="00B83510" w:rsidRPr="00263267">
        <w:rPr>
          <w:rFonts w:ascii="Garamond" w:hAnsi="Garamond" w:cs="Times New Roman"/>
          <w:color w:val="000000" w:themeColor="text1"/>
          <w:sz w:val="22"/>
          <w:szCs w:val="22"/>
          <w:lang w:val="en-US"/>
        </w:rPr>
        <w:t xml:space="preserve"> (1998)</w:t>
      </w:r>
      <w:r w:rsidR="00B83510" w:rsidRPr="00263267">
        <w:rPr>
          <w:rFonts w:ascii="Garamond" w:hAnsi="Garamond" w:cs="Calibri"/>
          <w:color w:val="000000" w:themeColor="text1"/>
          <w:sz w:val="22"/>
          <w:szCs w:val="22"/>
        </w:rPr>
        <w:fldChar w:fldCharType="end"/>
      </w:r>
      <w:r w:rsidR="00B83510" w:rsidRPr="00263267">
        <w:rPr>
          <w:rFonts w:ascii="Garamond" w:hAnsi="Garamond" w:cs="Calibri"/>
          <w:color w:val="000000" w:themeColor="text1"/>
          <w:sz w:val="22"/>
          <w:szCs w:val="22"/>
        </w:rPr>
        <w:t xml:space="preserve"> classic definition, </w:t>
      </w:r>
      <w:r w:rsidR="00640265" w:rsidRPr="00263267">
        <w:rPr>
          <w:rFonts w:ascii="Garamond" w:hAnsi="Garamond" w:cs="Calibri"/>
          <w:color w:val="000000" w:themeColor="text1"/>
          <w:sz w:val="22"/>
          <w:szCs w:val="22"/>
        </w:rPr>
        <w:t xml:space="preserve">mobilise and co-opt market processes, especially those of prices, values and transactions, in the wider policy objective of </w:t>
      </w:r>
      <w:r w:rsidR="00D919E3" w:rsidRPr="00263267">
        <w:rPr>
          <w:rFonts w:ascii="Garamond" w:hAnsi="Garamond" w:cs="Calibri"/>
          <w:color w:val="000000" w:themeColor="text1"/>
          <w:sz w:val="22"/>
          <w:szCs w:val="22"/>
        </w:rPr>
        <w:t>increased</w:t>
      </w:r>
      <w:r w:rsidR="00640265" w:rsidRPr="00263267">
        <w:rPr>
          <w:rFonts w:ascii="Garamond" w:hAnsi="Garamond" w:cs="Calibri"/>
          <w:color w:val="000000" w:themeColor="text1"/>
          <w:sz w:val="22"/>
          <w:szCs w:val="22"/>
        </w:rPr>
        <w:t xml:space="preserve"> delivery.</w:t>
      </w:r>
      <w:r w:rsidR="003874F6" w:rsidRPr="00263267">
        <w:rPr>
          <w:rFonts w:ascii="Garamond" w:hAnsi="Garamond" w:cs="Calibri"/>
          <w:color w:val="000000" w:themeColor="text1"/>
          <w:sz w:val="22"/>
          <w:szCs w:val="22"/>
        </w:rPr>
        <w:t xml:space="preserve">  </w:t>
      </w:r>
      <w:r w:rsidR="00C01114" w:rsidRPr="00263267">
        <w:rPr>
          <w:rFonts w:ascii="Garamond" w:hAnsi="Garamond" w:cs="Calibri"/>
          <w:color w:val="000000" w:themeColor="text1"/>
          <w:sz w:val="22"/>
          <w:szCs w:val="22"/>
        </w:rPr>
        <w:t xml:space="preserve">This has been achieved through a series of </w:t>
      </w:r>
      <w:r w:rsidR="00211419">
        <w:rPr>
          <w:rFonts w:ascii="Garamond" w:hAnsi="Garamond" w:cs="Calibri"/>
          <w:color w:val="000000" w:themeColor="text1"/>
          <w:sz w:val="22"/>
          <w:szCs w:val="22"/>
        </w:rPr>
        <w:t>regulatory changes</w:t>
      </w:r>
      <w:r w:rsidR="00211419" w:rsidRPr="00263267">
        <w:rPr>
          <w:rFonts w:ascii="Garamond" w:hAnsi="Garamond" w:cs="Calibri"/>
          <w:color w:val="000000" w:themeColor="text1"/>
          <w:sz w:val="22"/>
          <w:szCs w:val="22"/>
        </w:rPr>
        <w:t xml:space="preserve"> </w:t>
      </w:r>
      <w:r w:rsidR="00211419">
        <w:rPr>
          <w:rFonts w:ascii="Garamond" w:hAnsi="Garamond" w:cs="Calibri"/>
          <w:color w:val="000000" w:themeColor="text1"/>
          <w:sz w:val="22"/>
          <w:szCs w:val="22"/>
        </w:rPr>
        <w:t>over</w:t>
      </w:r>
      <w:r w:rsidR="00C01114" w:rsidRPr="00263267">
        <w:rPr>
          <w:rFonts w:ascii="Garamond" w:hAnsi="Garamond" w:cs="Calibri"/>
          <w:color w:val="000000" w:themeColor="text1"/>
          <w:sz w:val="22"/>
          <w:szCs w:val="22"/>
        </w:rPr>
        <w:t xml:space="preserve"> the 2010s, in which there </w:t>
      </w:r>
      <w:r w:rsidR="00D265E1" w:rsidRPr="00263267">
        <w:rPr>
          <w:rFonts w:ascii="Garamond" w:hAnsi="Garamond" w:cs="Calibri"/>
          <w:color w:val="000000" w:themeColor="text1"/>
          <w:sz w:val="22"/>
          <w:szCs w:val="22"/>
        </w:rPr>
        <w:t>w</w:t>
      </w:r>
      <w:r w:rsidR="00C01114" w:rsidRPr="00263267">
        <w:rPr>
          <w:rFonts w:ascii="Garamond" w:hAnsi="Garamond" w:cs="Calibri"/>
          <w:color w:val="000000" w:themeColor="text1"/>
          <w:sz w:val="22"/>
          <w:szCs w:val="22"/>
        </w:rPr>
        <w:t xml:space="preserve">as been a marked shift towards </w:t>
      </w:r>
      <w:r w:rsidR="00211419">
        <w:rPr>
          <w:rFonts w:ascii="Garamond" w:hAnsi="Garamond" w:cs="Calibri"/>
          <w:color w:val="000000" w:themeColor="text1"/>
          <w:sz w:val="22"/>
          <w:szCs w:val="22"/>
        </w:rPr>
        <w:t>target-based</w:t>
      </w:r>
      <w:r w:rsidR="00C01114" w:rsidRPr="00263267">
        <w:rPr>
          <w:rFonts w:ascii="Garamond" w:hAnsi="Garamond" w:cs="Calibri"/>
          <w:color w:val="000000" w:themeColor="text1"/>
          <w:sz w:val="22"/>
          <w:szCs w:val="22"/>
        </w:rPr>
        <w:t xml:space="preserve"> calculative governance practices and </w:t>
      </w:r>
      <w:r w:rsidR="00211419">
        <w:rPr>
          <w:rFonts w:ascii="Garamond" w:hAnsi="Garamond" w:cs="Calibri"/>
          <w:color w:val="000000" w:themeColor="text1"/>
          <w:sz w:val="22"/>
          <w:szCs w:val="22"/>
        </w:rPr>
        <w:t xml:space="preserve">incentives for local authorities and communities to expedite development and open up spaces and places for growth </w:t>
      </w:r>
      <w:r w:rsidR="003C746A" w:rsidRPr="00263267">
        <w:rPr>
          <w:rFonts w:ascii="Garamond" w:hAnsi="Garamond" w:cs="Calibri"/>
          <w:color w:val="000000" w:themeColor="text1"/>
          <w:sz w:val="22"/>
          <w:szCs w:val="22"/>
        </w:rPr>
        <w:fldChar w:fldCharType="begin"/>
      </w:r>
      <w:r w:rsidR="003E0E99">
        <w:rPr>
          <w:rFonts w:ascii="Garamond" w:hAnsi="Garamond" w:cs="Calibri"/>
          <w:color w:val="000000" w:themeColor="text1"/>
          <w:sz w:val="22"/>
          <w:szCs w:val="22"/>
        </w:rPr>
        <w:instrText xml:space="preserve"> ADDIN ZOTERO_ITEM CSL_CITATION {"citationID":"ZIYGc3EJ","properties":{"formattedCitation":"(Ferm &amp; Raco, 2020)","plainCitation":"(Ferm &amp; Raco, 2020)","noteIndex":0},"citationItems":[{"id":2981,"uris":["http://zotero.org/groups/2497795/items/J4ESRQ6N"],"uri":["http://zotero.org/groups/2497795/items/J4ESRQ6N"],"itemData":{"id":2981,"type":"article-journal","container-title":"Planning Theory &amp; Practice","DOI":"10.1080/14649357.2020.1754446","ISSN":"1464-9357, 1470-000X","journalAbbreviation":"Planning Theory &amp; Practice","language":"en","page":"1-18","source":"DOI.org (Crossref)","title":"Viability Planning, Value Capture and the Geographies of Market-Led Planning Reform in England","author":[{"family":"Ferm","given":"Jessica"},{"family":"Raco","given":"Mike"}],"issued":{"date-parts":[["2020",4,30]]}}}],"schema":"https://github.com/citation-style-language/schema/raw/master/csl-citation.json"} </w:instrText>
      </w:r>
      <w:r w:rsidR="003C746A" w:rsidRPr="00263267">
        <w:rPr>
          <w:rFonts w:ascii="Garamond" w:hAnsi="Garamond" w:cs="Calibri"/>
          <w:color w:val="000000" w:themeColor="text1"/>
          <w:sz w:val="22"/>
          <w:szCs w:val="22"/>
        </w:rPr>
        <w:fldChar w:fldCharType="separate"/>
      </w:r>
      <w:r w:rsidR="003E0E99">
        <w:rPr>
          <w:rFonts w:ascii="Garamond" w:hAnsi="Garamond" w:cs="Calibri"/>
          <w:noProof/>
          <w:color w:val="000000" w:themeColor="text1"/>
          <w:sz w:val="22"/>
          <w:szCs w:val="22"/>
        </w:rPr>
        <w:t>(Ferm &amp; Raco, 2020)</w:t>
      </w:r>
      <w:r w:rsidR="003C746A" w:rsidRPr="00263267">
        <w:rPr>
          <w:rFonts w:ascii="Garamond" w:hAnsi="Garamond" w:cs="Calibri"/>
          <w:color w:val="000000" w:themeColor="text1"/>
          <w:sz w:val="22"/>
          <w:szCs w:val="22"/>
        </w:rPr>
        <w:fldChar w:fldCharType="end"/>
      </w:r>
      <w:r w:rsidR="00C01114" w:rsidRPr="00263267">
        <w:rPr>
          <w:rFonts w:ascii="Garamond" w:hAnsi="Garamond" w:cs="Calibri"/>
          <w:color w:val="000000" w:themeColor="text1"/>
          <w:sz w:val="22"/>
          <w:szCs w:val="22"/>
        </w:rPr>
        <w:t>.</w:t>
      </w:r>
      <w:r w:rsidR="003874F6" w:rsidRPr="00263267">
        <w:rPr>
          <w:rFonts w:ascii="Garamond" w:hAnsi="Garamond" w:cs="Calibri"/>
          <w:color w:val="000000" w:themeColor="text1"/>
          <w:sz w:val="22"/>
          <w:szCs w:val="22"/>
        </w:rPr>
        <w:t xml:space="preserve"> </w:t>
      </w:r>
    </w:p>
    <w:p w14:paraId="23F3B900" w14:textId="77777777" w:rsidR="00640265" w:rsidRPr="00263267" w:rsidRDefault="00640265" w:rsidP="006D08D9">
      <w:pPr>
        <w:spacing w:line="276" w:lineRule="auto"/>
        <w:ind w:right="-52"/>
        <w:jc w:val="both"/>
        <w:rPr>
          <w:rFonts w:ascii="Garamond" w:hAnsi="Garamond" w:cs="Calibri"/>
          <w:color w:val="000000" w:themeColor="text1"/>
          <w:sz w:val="22"/>
          <w:szCs w:val="22"/>
        </w:rPr>
      </w:pPr>
    </w:p>
    <w:p w14:paraId="04B61A47" w14:textId="66B4AB2A" w:rsidR="00D3692A" w:rsidRPr="00263267" w:rsidRDefault="00010CDF" w:rsidP="006D08D9">
      <w:pPr>
        <w:spacing w:line="276" w:lineRule="auto"/>
        <w:ind w:right="-52"/>
        <w:jc w:val="both"/>
        <w:rPr>
          <w:rFonts w:ascii="Garamond" w:hAnsi="Garamond" w:cs="Calibri"/>
          <w:color w:val="000000" w:themeColor="text1"/>
          <w:sz w:val="22"/>
          <w:szCs w:val="22"/>
        </w:rPr>
      </w:pPr>
      <w:r w:rsidRPr="00263267">
        <w:rPr>
          <w:rFonts w:ascii="Garamond" w:hAnsi="Garamond" w:cs="Calibri"/>
          <w:color w:val="000000" w:themeColor="text1"/>
          <w:sz w:val="22"/>
          <w:szCs w:val="22"/>
        </w:rPr>
        <w:t xml:space="preserve">However, </w:t>
      </w:r>
      <w:r w:rsidR="00FC63D1" w:rsidRPr="00263267">
        <w:rPr>
          <w:rFonts w:ascii="Garamond" w:hAnsi="Garamond" w:cs="Calibri"/>
          <w:color w:val="000000" w:themeColor="text1"/>
          <w:sz w:val="22"/>
          <w:szCs w:val="22"/>
        </w:rPr>
        <w:t xml:space="preserve">as this chapter will argue, within broader discussions over </w:t>
      </w:r>
      <w:r w:rsidR="005D6B13">
        <w:rPr>
          <w:rFonts w:ascii="Garamond" w:hAnsi="Garamond" w:cs="Calibri"/>
          <w:color w:val="000000" w:themeColor="text1"/>
          <w:sz w:val="22"/>
          <w:szCs w:val="22"/>
        </w:rPr>
        <w:t>planning liberalisation</w:t>
      </w:r>
      <w:r w:rsidR="00FC63D1" w:rsidRPr="00263267">
        <w:rPr>
          <w:rFonts w:ascii="Garamond" w:hAnsi="Garamond" w:cs="Calibri"/>
          <w:color w:val="000000" w:themeColor="text1"/>
          <w:sz w:val="22"/>
          <w:szCs w:val="22"/>
        </w:rPr>
        <w:t xml:space="preserve"> </w:t>
      </w:r>
      <w:r w:rsidRPr="00263267">
        <w:rPr>
          <w:rFonts w:ascii="Garamond" w:hAnsi="Garamond" w:cs="Calibri"/>
          <w:color w:val="000000" w:themeColor="text1"/>
          <w:sz w:val="22"/>
          <w:szCs w:val="22"/>
        </w:rPr>
        <w:t xml:space="preserve">there has been a lack of focus on the key role of professional </w:t>
      </w:r>
      <w:r w:rsidRPr="00263267">
        <w:rPr>
          <w:rFonts w:ascii="Garamond" w:hAnsi="Garamond" w:cs="Calibri"/>
          <w:i/>
          <w:color w:val="000000" w:themeColor="text1"/>
          <w:sz w:val="22"/>
          <w:szCs w:val="22"/>
        </w:rPr>
        <w:t xml:space="preserve">intermediary organisations </w:t>
      </w:r>
      <w:r w:rsidRPr="00263267">
        <w:rPr>
          <w:rFonts w:ascii="Garamond" w:hAnsi="Garamond" w:cs="Calibri"/>
          <w:color w:val="000000" w:themeColor="text1"/>
          <w:sz w:val="22"/>
          <w:szCs w:val="22"/>
        </w:rPr>
        <w:t>[IOs]</w:t>
      </w:r>
      <w:r w:rsidR="005D6B13">
        <w:rPr>
          <w:rFonts w:ascii="Garamond" w:hAnsi="Garamond" w:cs="Calibri"/>
          <w:color w:val="000000" w:themeColor="text1"/>
          <w:sz w:val="22"/>
          <w:szCs w:val="22"/>
        </w:rPr>
        <w:t xml:space="preserve"> and professional knowledge practices</w:t>
      </w:r>
      <w:r w:rsidRPr="00263267">
        <w:rPr>
          <w:rFonts w:ascii="Garamond" w:hAnsi="Garamond" w:cs="Calibri"/>
          <w:color w:val="000000" w:themeColor="text1"/>
          <w:sz w:val="22"/>
          <w:szCs w:val="22"/>
        </w:rPr>
        <w:t xml:space="preserve"> in shaping both regulatory environments and the implementation of policies in specific contexts.  </w:t>
      </w:r>
      <w:r w:rsidRPr="00263267">
        <w:rPr>
          <w:rFonts w:ascii="Garamond" w:hAnsi="Garamond" w:cs="Calibri"/>
          <w:color w:val="000000" w:themeColor="text1"/>
          <w:sz w:val="22"/>
          <w:szCs w:val="22"/>
        </w:rPr>
        <w:fldChar w:fldCharType="begin"/>
      </w:r>
      <w:r w:rsidR="00270F18">
        <w:rPr>
          <w:rFonts w:ascii="Garamond" w:hAnsi="Garamond" w:cs="Calibri"/>
          <w:color w:val="000000" w:themeColor="text1"/>
          <w:sz w:val="22"/>
          <w:szCs w:val="22"/>
        </w:rPr>
        <w:instrText xml:space="preserve"> ADDIN ZOTERO_ITEM CSL_CITATION {"citationID":"45jMzPf5","properties":{"formattedCitation":"(Abbott et al., 2017)","plainCitation":"(Abbott et al., 2017)","dontUpdate":true,"noteIndex":0},"citationItems":[{"id":3054,"uris":["http://zotero.org/groups/2307100/items/KG556ZHD"],"uri":["http://zotero.org/groups/2307100/items/KG556ZHD"],"itemData":{"id":3054,"type":"article-journal","container-title":"The Annals of the American Academy of Political and Social Science","ISSN":"0002-7162","issue":"1","journalAbbreviation":"The Annals of the American Academy of Political and Social Science","note":"publisher: SAGE Publications Sage CA: Los Angeles, CA","page":"14-35","title":"Theorizing regulatory intermediaries: The RIT model","volume":"670","author":[{"family":"Abbott","given":"Kenneth W"},{"family":"Levi-Faur","given":"David"},{"family":"Snidal","given":"Duncan"}],"issued":{"date-parts":[["2017"]]}}}],"schema":"https://github.com/citation-style-language/schema/raw/master/csl-citation.json"} </w:instrText>
      </w:r>
      <w:r w:rsidRPr="00263267">
        <w:rPr>
          <w:rFonts w:ascii="Garamond" w:hAnsi="Garamond" w:cs="Calibri"/>
          <w:color w:val="000000" w:themeColor="text1"/>
          <w:sz w:val="22"/>
          <w:szCs w:val="22"/>
        </w:rPr>
        <w:fldChar w:fldCharType="separate"/>
      </w:r>
      <w:r w:rsidRPr="00263267">
        <w:rPr>
          <w:rFonts w:ascii="Garamond" w:hAnsi="Garamond" w:cs="Calibri"/>
          <w:noProof/>
          <w:color w:val="000000" w:themeColor="text1"/>
          <w:sz w:val="22"/>
          <w:szCs w:val="22"/>
        </w:rPr>
        <w:t>Abbott et al. (2017)</w:t>
      </w:r>
      <w:r w:rsidRPr="00263267">
        <w:rPr>
          <w:rFonts w:ascii="Garamond" w:hAnsi="Garamond" w:cs="Calibri"/>
          <w:color w:val="000000" w:themeColor="text1"/>
          <w:sz w:val="22"/>
          <w:szCs w:val="22"/>
        </w:rPr>
        <w:fldChar w:fldCharType="end"/>
      </w:r>
      <w:r w:rsidRPr="00263267">
        <w:rPr>
          <w:rFonts w:ascii="Garamond" w:hAnsi="Garamond" w:cs="Calibri"/>
          <w:color w:val="000000" w:themeColor="text1"/>
          <w:sz w:val="22"/>
          <w:szCs w:val="22"/>
        </w:rPr>
        <w:t xml:space="preserve"> </w:t>
      </w:r>
      <w:r w:rsidR="00FC63D1" w:rsidRPr="00263267">
        <w:rPr>
          <w:rFonts w:ascii="Garamond" w:hAnsi="Garamond" w:cs="Calibri"/>
          <w:color w:val="000000" w:themeColor="text1"/>
          <w:sz w:val="22"/>
          <w:szCs w:val="22"/>
        </w:rPr>
        <w:t>define intermediaries as</w:t>
      </w:r>
      <w:r w:rsidRPr="00263267">
        <w:rPr>
          <w:rFonts w:ascii="Garamond" w:hAnsi="Garamond" w:cs="Calibri"/>
          <w:color w:val="000000" w:themeColor="text1"/>
          <w:sz w:val="22"/>
          <w:szCs w:val="22"/>
        </w:rPr>
        <w:t xml:space="preserve"> ‘any actor that acts directly or indirectly in conjunction with a regulator to affect the behaviour of a target’ (p.19).  They can consist of private sector </w:t>
      </w:r>
      <w:r w:rsidR="009E1BEB" w:rsidRPr="00263267">
        <w:rPr>
          <w:rFonts w:ascii="Garamond" w:hAnsi="Garamond" w:cs="Calibri"/>
          <w:color w:val="000000" w:themeColor="text1"/>
          <w:sz w:val="22"/>
          <w:szCs w:val="22"/>
        </w:rPr>
        <w:t>firms</w:t>
      </w:r>
      <w:r w:rsidRPr="00263267">
        <w:rPr>
          <w:rFonts w:ascii="Garamond" w:hAnsi="Garamond" w:cs="Calibri"/>
          <w:color w:val="000000" w:themeColor="text1"/>
          <w:sz w:val="22"/>
          <w:szCs w:val="22"/>
        </w:rPr>
        <w:t xml:space="preserve">, </w:t>
      </w:r>
      <w:r w:rsidR="000D44C4" w:rsidRPr="00263267">
        <w:rPr>
          <w:rFonts w:ascii="Garamond" w:hAnsi="Garamond" w:cs="Calibri"/>
          <w:color w:val="000000" w:themeColor="text1"/>
          <w:sz w:val="22"/>
          <w:szCs w:val="22"/>
        </w:rPr>
        <w:t xml:space="preserve">professional </w:t>
      </w:r>
      <w:r w:rsidR="0077493A">
        <w:rPr>
          <w:rFonts w:ascii="Garamond" w:hAnsi="Garamond" w:cs="Calibri"/>
          <w:color w:val="000000" w:themeColor="text1"/>
          <w:sz w:val="22"/>
          <w:szCs w:val="22"/>
        </w:rPr>
        <w:t>representative organisations</w:t>
      </w:r>
      <w:r w:rsidR="000D44C4" w:rsidRPr="00263267">
        <w:rPr>
          <w:rFonts w:ascii="Garamond" w:hAnsi="Garamond" w:cs="Calibri"/>
          <w:color w:val="000000" w:themeColor="text1"/>
          <w:sz w:val="22"/>
          <w:szCs w:val="22"/>
        </w:rPr>
        <w:t xml:space="preserve">, </w:t>
      </w:r>
      <w:r w:rsidRPr="00263267">
        <w:rPr>
          <w:rFonts w:ascii="Garamond" w:hAnsi="Garamond" w:cs="Calibri"/>
          <w:color w:val="000000" w:themeColor="text1"/>
          <w:sz w:val="22"/>
          <w:szCs w:val="22"/>
        </w:rPr>
        <w:t xml:space="preserve">civil society groups or even state </w:t>
      </w:r>
      <w:r w:rsidR="009E1BEB" w:rsidRPr="00263267">
        <w:rPr>
          <w:rFonts w:ascii="Garamond" w:hAnsi="Garamond" w:cs="Calibri"/>
          <w:color w:val="000000" w:themeColor="text1"/>
          <w:sz w:val="22"/>
          <w:szCs w:val="22"/>
        </w:rPr>
        <w:t>agencies</w:t>
      </w:r>
      <w:r w:rsidRPr="00263267">
        <w:rPr>
          <w:rFonts w:ascii="Garamond" w:hAnsi="Garamond" w:cs="Calibri"/>
          <w:color w:val="000000" w:themeColor="text1"/>
          <w:sz w:val="22"/>
          <w:szCs w:val="22"/>
        </w:rPr>
        <w:t xml:space="preserve"> such as quangos and sector regulators</w:t>
      </w:r>
      <w:r w:rsidRPr="00263267">
        <w:rPr>
          <w:rFonts w:ascii="Garamond" w:hAnsi="Garamond"/>
          <w:color w:val="000000" w:themeColor="text1"/>
          <w:sz w:val="22"/>
          <w:szCs w:val="22"/>
        </w:rPr>
        <w:t>.</w:t>
      </w:r>
      <w:r w:rsidRPr="00263267">
        <w:rPr>
          <w:rFonts w:ascii="Garamond" w:hAnsi="Garamond" w:cs="Calibri"/>
          <w:color w:val="000000" w:themeColor="text1"/>
          <w:sz w:val="22"/>
          <w:szCs w:val="22"/>
        </w:rPr>
        <w:t xml:space="preserve"> A</w:t>
      </w:r>
      <w:r w:rsidRPr="00263267">
        <w:rPr>
          <w:rFonts w:ascii="Garamond" w:hAnsi="Garamond"/>
          <w:color w:val="000000" w:themeColor="text1"/>
          <w:sz w:val="22"/>
          <w:szCs w:val="22"/>
        </w:rPr>
        <w:t xml:space="preserve"> growing body of writing in regulation studies and political science has focused on the role of IOs, especially those operating in transnational environments </w:t>
      </w:r>
      <w:r w:rsidR="009E1BEB" w:rsidRPr="00263267">
        <w:rPr>
          <w:rFonts w:ascii="Garamond" w:hAnsi="Garamond"/>
          <w:color w:val="000000" w:themeColor="text1"/>
          <w:sz w:val="22"/>
          <w:szCs w:val="22"/>
        </w:rPr>
        <w:t>who play a central role in</w:t>
      </w:r>
      <w:r w:rsidRPr="00263267">
        <w:rPr>
          <w:rFonts w:ascii="Garamond" w:hAnsi="Garamond"/>
          <w:color w:val="000000" w:themeColor="text1"/>
          <w:sz w:val="22"/>
          <w:szCs w:val="22"/>
        </w:rPr>
        <w:t xml:space="preserve"> shap</w:t>
      </w:r>
      <w:r w:rsidR="009E1BEB" w:rsidRPr="00263267">
        <w:rPr>
          <w:rFonts w:ascii="Garamond" w:hAnsi="Garamond"/>
          <w:color w:val="000000" w:themeColor="text1"/>
          <w:sz w:val="22"/>
          <w:szCs w:val="22"/>
        </w:rPr>
        <w:t>ing</w:t>
      </w:r>
      <w:r w:rsidRPr="00263267">
        <w:rPr>
          <w:rFonts w:ascii="Garamond" w:hAnsi="Garamond"/>
          <w:color w:val="000000" w:themeColor="text1"/>
          <w:sz w:val="22"/>
          <w:szCs w:val="22"/>
        </w:rPr>
        <w:t xml:space="preserve"> corporate standards and accounting practices </w:t>
      </w:r>
      <w:r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{"citationID":"mP7jrAiD","properties":{"formattedCitation":"(van der Heijden, 2019)","plainCitation":"(van der Heijden, 2019)","noteIndex":0},"citationItems":[{"id":3060,"uris":["http://zotero.org/groups/2307100/items/68PCW5CM"],"uri":["http://zotero.org/groups/2307100/items/68PCW5CM"],"itemData":{"id":3060,"type":"article-journal","container-title":"Regulation &amp; Governance","ISSN":"1748-5983","journalAbbreviation":"Regulation &amp; Governance","note":"publisher: Wiley Online Library","title":"Agencies without borders: Explaining partner selection in the formation of transnational agreements between regulators","author":[{"family":"Heijden","given":"Machiel","non-dropping-particle":"van der"}],"issued":{"date-parts":[["2019"]]}}}],"schema":"https://github.com/citation-style-language/schema/raw/master/csl-citation.json"} </w:instrText>
      </w:r>
      <w:r w:rsidRPr="00263267">
        <w:rPr>
          <w:rFonts w:ascii="Garamond" w:hAnsi="Garamond"/>
          <w:color w:val="000000" w:themeColor="text1"/>
          <w:sz w:val="22"/>
          <w:szCs w:val="22"/>
        </w:rPr>
        <w:fldChar w:fldCharType="separate"/>
      </w:r>
      <w:r w:rsidRPr="00263267">
        <w:rPr>
          <w:rFonts w:ascii="Garamond" w:hAnsi="Garamond"/>
          <w:noProof/>
          <w:color w:val="000000" w:themeColor="text1"/>
          <w:sz w:val="22"/>
          <w:szCs w:val="22"/>
        </w:rPr>
        <w:t>(van der Heijden, 2019)</w:t>
      </w:r>
      <w:r w:rsidRPr="00263267">
        <w:rPr>
          <w:rFonts w:ascii="Garamond" w:hAnsi="Garamond"/>
          <w:color w:val="000000" w:themeColor="text1"/>
          <w:sz w:val="22"/>
          <w:szCs w:val="22"/>
        </w:rPr>
        <w:fldChar w:fldCharType="end"/>
      </w:r>
      <w:r w:rsidRPr="00263267">
        <w:rPr>
          <w:rFonts w:ascii="Garamond" w:hAnsi="Garamond"/>
          <w:color w:val="000000" w:themeColor="text1"/>
          <w:sz w:val="22"/>
          <w:szCs w:val="22"/>
        </w:rPr>
        <w:t>. Whil</w:t>
      </w:r>
      <w:r w:rsidR="00FC63D1" w:rsidRPr="00263267">
        <w:rPr>
          <w:rFonts w:ascii="Garamond" w:hAnsi="Garamond"/>
          <w:color w:val="000000" w:themeColor="text1"/>
          <w:sz w:val="22"/>
          <w:szCs w:val="22"/>
        </w:rPr>
        <w:t>e</w:t>
      </w:r>
      <w:r w:rsidRPr="00263267">
        <w:rPr>
          <w:rFonts w:ascii="Garamond" w:hAnsi="Garamond"/>
          <w:color w:val="000000" w:themeColor="text1"/>
          <w:sz w:val="22"/>
          <w:szCs w:val="22"/>
        </w:rPr>
        <w:t xml:space="preserve"> much of this work is abstract in character and detached from the complex, place-specific governance processes associated with planning, its focus on </w:t>
      </w:r>
      <w:r w:rsidR="00FC63D1" w:rsidRPr="00263267">
        <w:rPr>
          <w:rFonts w:ascii="Garamond" w:hAnsi="Garamond"/>
          <w:color w:val="000000" w:themeColor="text1"/>
          <w:sz w:val="22"/>
          <w:szCs w:val="22"/>
        </w:rPr>
        <w:t xml:space="preserve">the </w:t>
      </w:r>
      <w:r w:rsidRPr="00263267">
        <w:rPr>
          <w:rFonts w:ascii="Garamond" w:hAnsi="Garamond"/>
          <w:color w:val="000000" w:themeColor="text1"/>
          <w:sz w:val="22"/>
          <w:szCs w:val="22"/>
        </w:rPr>
        <w:t xml:space="preserve">breaking down </w:t>
      </w:r>
      <w:r w:rsidR="00FC63D1" w:rsidRPr="00263267">
        <w:rPr>
          <w:rFonts w:ascii="Garamond" w:hAnsi="Garamond"/>
          <w:color w:val="000000" w:themeColor="text1"/>
          <w:sz w:val="22"/>
          <w:szCs w:val="22"/>
        </w:rPr>
        <w:t>of</w:t>
      </w:r>
      <w:r w:rsidRPr="00263267">
        <w:rPr>
          <w:rFonts w:ascii="Garamond" w:hAnsi="Garamond"/>
          <w:color w:val="000000" w:themeColor="text1"/>
          <w:sz w:val="22"/>
          <w:szCs w:val="22"/>
        </w:rPr>
        <w:t xml:space="preserve"> </w:t>
      </w:r>
      <w:r w:rsidR="00994BB8" w:rsidRPr="00263267">
        <w:rPr>
          <w:rFonts w:ascii="Garamond" w:hAnsi="Garamond"/>
          <w:color w:val="000000" w:themeColor="text1"/>
          <w:sz w:val="22"/>
          <w:szCs w:val="22"/>
        </w:rPr>
        <w:t>traditional</w:t>
      </w:r>
      <w:r w:rsidR="00F06970">
        <w:rPr>
          <w:rFonts w:ascii="Garamond" w:hAnsi="Garamond"/>
          <w:color w:val="000000" w:themeColor="text1"/>
          <w:sz w:val="22"/>
          <w:szCs w:val="22"/>
        </w:rPr>
        <w:t xml:space="preserve"> liberal</w:t>
      </w:r>
      <w:r w:rsidR="00994BB8" w:rsidRPr="00263267">
        <w:rPr>
          <w:rFonts w:ascii="Garamond" w:hAnsi="Garamond"/>
          <w:color w:val="000000" w:themeColor="text1"/>
          <w:sz w:val="22"/>
          <w:szCs w:val="22"/>
        </w:rPr>
        <w:t xml:space="preserve"> </w:t>
      </w:r>
      <w:r w:rsidRPr="00263267">
        <w:rPr>
          <w:rFonts w:ascii="Garamond" w:hAnsi="Garamond"/>
          <w:color w:val="000000" w:themeColor="text1"/>
          <w:sz w:val="22"/>
          <w:szCs w:val="22"/>
        </w:rPr>
        <w:t xml:space="preserve">separations between </w:t>
      </w:r>
      <w:r w:rsidRPr="00263267">
        <w:rPr>
          <w:rFonts w:ascii="Garamond" w:hAnsi="Garamond"/>
          <w:i/>
          <w:color w:val="000000" w:themeColor="text1"/>
          <w:sz w:val="22"/>
          <w:szCs w:val="22"/>
        </w:rPr>
        <w:t>rule-makers</w:t>
      </w:r>
      <w:r w:rsidRPr="00263267">
        <w:rPr>
          <w:rFonts w:ascii="Garamond" w:hAnsi="Garamond"/>
          <w:color w:val="000000" w:themeColor="text1"/>
          <w:sz w:val="22"/>
          <w:szCs w:val="22"/>
        </w:rPr>
        <w:t xml:space="preserve"> and </w:t>
      </w:r>
      <w:r w:rsidRPr="00263267">
        <w:rPr>
          <w:rFonts w:ascii="Garamond" w:hAnsi="Garamond"/>
          <w:i/>
          <w:color w:val="000000" w:themeColor="text1"/>
          <w:sz w:val="22"/>
          <w:szCs w:val="22"/>
        </w:rPr>
        <w:t>rule-takers</w:t>
      </w:r>
      <w:r w:rsidR="00F06970">
        <w:rPr>
          <w:rFonts w:ascii="Garamond" w:hAnsi="Garamond"/>
          <w:i/>
          <w:color w:val="000000" w:themeColor="text1"/>
          <w:sz w:val="22"/>
          <w:szCs w:val="22"/>
        </w:rPr>
        <w:t xml:space="preserve"> </w:t>
      </w:r>
      <w:r w:rsidR="00F06970">
        <w:rPr>
          <w:rFonts w:ascii="Garamond" w:hAnsi="Garamond"/>
          <w:color w:val="000000" w:themeColor="text1"/>
          <w:sz w:val="22"/>
          <w:szCs w:val="22"/>
        </w:rPr>
        <w:t>(</w:t>
      </w:r>
      <w:r w:rsidR="00F06970">
        <w:rPr>
          <w:rFonts w:ascii="Garamond" w:hAnsi="Garamond"/>
          <w:i/>
          <w:color w:val="000000" w:themeColor="text1"/>
          <w:sz w:val="22"/>
          <w:szCs w:val="22"/>
        </w:rPr>
        <w:t xml:space="preserve">cf. </w:t>
      </w:r>
      <w:proofErr w:type="spellStart"/>
      <w:r w:rsidR="00F06970">
        <w:rPr>
          <w:rFonts w:ascii="Garamond" w:hAnsi="Garamond"/>
          <w:color w:val="000000" w:themeColor="text1"/>
          <w:sz w:val="22"/>
          <w:szCs w:val="22"/>
        </w:rPr>
        <w:t>Vogl</w:t>
      </w:r>
      <w:proofErr w:type="spellEnd"/>
      <w:r w:rsidR="00F06970">
        <w:rPr>
          <w:rFonts w:ascii="Garamond" w:hAnsi="Garamond"/>
          <w:color w:val="000000" w:themeColor="text1"/>
          <w:sz w:val="22"/>
          <w:szCs w:val="22"/>
        </w:rPr>
        <w:t>, 2017)</w:t>
      </w:r>
      <w:r w:rsidRPr="00263267">
        <w:rPr>
          <w:rFonts w:ascii="Garamond" w:hAnsi="Garamond"/>
          <w:color w:val="000000" w:themeColor="text1"/>
          <w:sz w:val="22"/>
          <w:szCs w:val="22"/>
        </w:rPr>
        <w:t xml:space="preserve">, points to areas for further analysis. </w:t>
      </w:r>
      <w:r w:rsidRPr="00263267">
        <w:rPr>
          <w:rFonts w:ascii="Garamond" w:hAnsi="Garamond" w:cs="Calibri"/>
          <w:color w:val="000000" w:themeColor="text1"/>
          <w:sz w:val="22"/>
          <w:szCs w:val="22"/>
        </w:rPr>
        <w:t xml:space="preserve">This is especially true for writings on market-led planning reforms in which the role of IOs is downplayed or simply ignored with </w:t>
      </w:r>
      <w:r w:rsidR="000D44C4" w:rsidRPr="00263267">
        <w:rPr>
          <w:rFonts w:ascii="Garamond" w:hAnsi="Garamond" w:cs="Calibri"/>
          <w:color w:val="000000" w:themeColor="text1"/>
          <w:sz w:val="22"/>
          <w:szCs w:val="22"/>
        </w:rPr>
        <w:t xml:space="preserve">a </w:t>
      </w:r>
      <w:r w:rsidRPr="00263267">
        <w:rPr>
          <w:rFonts w:ascii="Garamond" w:hAnsi="Garamond" w:cs="Calibri"/>
          <w:color w:val="000000" w:themeColor="text1"/>
          <w:sz w:val="22"/>
          <w:szCs w:val="22"/>
        </w:rPr>
        <w:t>tendency to focus on</w:t>
      </w:r>
      <w:r w:rsidR="003E1D10">
        <w:rPr>
          <w:rFonts w:ascii="Garamond" w:hAnsi="Garamond" w:cs="Calibri"/>
          <w:color w:val="000000" w:themeColor="text1"/>
          <w:sz w:val="22"/>
          <w:szCs w:val="22"/>
        </w:rPr>
        <w:t xml:space="preserve"> broader national and</w:t>
      </w:r>
      <w:r w:rsidRPr="00263267">
        <w:rPr>
          <w:rFonts w:ascii="Garamond" w:hAnsi="Garamond" w:cs="Calibri"/>
          <w:color w:val="000000" w:themeColor="text1"/>
          <w:sz w:val="22"/>
          <w:szCs w:val="22"/>
        </w:rPr>
        <w:t xml:space="preserve"> </w:t>
      </w:r>
      <w:r w:rsidR="001A7906" w:rsidRPr="00263267">
        <w:rPr>
          <w:rFonts w:ascii="Garamond" w:hAnsi="Garamond" w:cs="Calibri"/>
          <w:color w:val="000000" w:themeColor="text1"/>
          <w:sz w:val="22"/>
          <w:szCs w:val="22"/>
        </w:rPr>
        <w:t xml:space="preserve">policy </w:t>
      </w:r>
      <w:r w:rsidR="00F06970">
        <w:rPr>
          <w:rFonts w:ascii="Garamond" w:hAnsi="Garamond" w:cs="Calibri"/>
          <w:color w:val="000000" w:themeColor="text1"/>
          <w:sz w:val="22"/>
          <w:szCs w:val="22"/>
        </w:rPr>
        <w:t>‘narratives’</w:t>
      </w:r>
      <w:r w:rsidR="00F06970" w:rsidRPr="00263267">
        <w:rPr>
          <w:rFonts w:ascii="Garamond" w:hAnsi="Garamond" w:cs="Calibri"/>
          <w:color w:val="000000" w:themeColor="text1"/>
          <w:sz w:val="22"/>
          <w:szCs w:val="22"/>
        </w:rPr>
        <w:t xml:space="preserve"> </w:t>
      </w:r>
      <w:r w:rsidR="001A7906" w:rsidRPr="00263267">
        <w:rPr>
          <w:rFonts w:ascii="Garamond" w:hAnsi="Garamond" w:cs="Calibri"/>
          <w:color w:val="000000" w:themeColor="text1"/>
          <w:sz w:val="22"/>
          <w:szCs w:val="22"/>
        </w:rPr>
        <w:t>and</w:t>
      </w:r>
      <w:r w:rsidR="00F06970">
        <w:rPr>
          <w:rFonts w:ascii="Garamond" w:hAnsi="Garamond" w:cs="Calibri"/>
          <w:color w:val="000000" w:themeColor="text1"/>
          <w:sz w:val="22"/>
          <w:szCs w:val="22"/>
        </w:rPr>
        <w:t xml:space="preserve"> the ways in which they reflect and reproduce</w:t>
      </w:r>
      <w:r w:rsidR="001A7906" w:rsidRPr="00263267">
        <w:rPr>
          <w:rFonts w:ascii="Garamond" w:hAnsi="Garamond" w:cs="Calibri"/>
          <w:color w:val="000000" w:themeColor="text1"/>
          <w:sz w:val="22"/>
          <w:szCs w:val="22"/>
        </w:rPr>
        <w:t xml:space="preserve"> </w:t>
      </w:r>
      <w:r w:rsidR="00F06970">
        <w:rPr>
          <w:rFonts w:ascii="Garamond" w:hAnsi="Garamond" w:cs="Calibri"/>
          <w:color w:val="000000" w:themeColor="text1"/>
          <w:sz w:val="22"/>
          <w:szCs w:val="22"/>
        </w:rPr>
        <w:t>‘</w:t>
      </w:r>
      <w:r w:rsidR="00D919E3" w:rsidRPr="00263267">
        <w:rPr>
          <w:rFonts w:ascii="Garamond" w:hAnsi="Garamond" w:cs="Calibri"/>
          <w:color w:val="000000" w:themeColor="text1"/>
          <w:sz w:val="22"/>
          <w:szCs w:val="22"/>
        </w:rPr>
        <w:t>neo-liberal</w:t>
      </w:r>
      <w:r w:rsidR="00F06970">
        <w:rPr>
          <w:rFonts w:ascii="Garamond" w:hAnsi="Garamond" w:cs="Calibri"/>
          <w:color w:val="000000" w:themeColor="text1"/>
          <w:sz w:val="22"/>
          <w:szCs w:val="22"/>
        </w:rPr>
        <w:t>’</w:t>
      </w:r>
      <w:r w:rsidR="00D919E3" w:rsidRPr="00263267">
        <w:rPr>
          <w:rFonts w:ascii="Garamond" w:hAnsi="Garamond" w:cs="Calibri"/>
          <w:color w:val="000000" w:themeColor="text1"/>
          <w:sz w:val="22"/>
          <w:szCs w:val="22"/>
        </w:rPr>
        <w:t xml:space="preserve"> </w:t>
      </w:r>
      <w:r w:rsidR="00FC63D1" w:rsidRPr="00263267">
        <w:rPr>
          <w:rFonts w:ascii="Garamond" w:hAnsi="Garamond" w:cs="Calibri"/>
          <w:color w:val="000000" w:themeColor="text1"/>
          <w:sz w:val="22"/>
          <w:szCs w:val="22"/>
        </w:rPr>
        <w:t>logics</w:t>
      </w:r>
      <w:r w:rsidR="001A7906" w:rsidRPr="00263267">
        <w:rPr>
          <w:rFonts w:ascii="Garamond" w:hAnsi="Garamond" w:cs="Calibri"/>
          <w:color w:val="000000" w:themeColor="text1"/>
          <w:sz w:val="22"/>
          <w:szCs w:val="22"/>
        </w:rPr>
        <w:t xml:space="preserve"> </w:t>
      </w:r>
      <w:r w:rsidRPr="00263267">
        <w:rPr>
          <w:rFonts w:ascii="Garamond" w:hAnsi="Garamond" w:cs="Calibri"/>
          <w:color w:val="000000" w:themeColor="text1"/>
          <w:sz w:val="22"/>
          <w:szCs w:val="22"/>
        </w:rPr>
        <w:fldChar w:fldCharType="begin"/>
      </w:r>
      <w:r w:rsidR="00270F18">
        <w:rPr>
          <w:rFonts w:ascii="Garamond" w:hAnsi="Garamond" w:cs="Calibri"/>
          <w:color w:val="000000" w:themeColor="text1"/>
          <w:sz w:val="22"/>
          <w:szCs w:val="22"/>
        </w:rPr>
        <w:instrText xml:space="preserve"> ADDIN ZOTERO_ITEM CSL_CITATION {"citationID":"j47HDC97","properties":{"formattedCitation":"(Lord &amp; Tewdwr-Jones, 2014; Wacquant et al., 2014)","plainCitation":"(Lord &amp; Tewdwr-Jones, 2014; Wacquant et al., 2014)","noteIndex":0},"citationItems":[{"id":3170,"uris":["http://zotero.org/groups/2307100/items/F4V2RTJQ"],"uri":["http://zotero.org/groups/2307100/items/F4V2RTJQ"],"itemData":{"id":3170,"type":"article-journal","container-title":"European Planning Studies","ISSN":"0965-4313","issue":"2","journalAbbreviation":"European Planning Studies","note":"publisher: Routledge","page":"345-361","title":"Is Planning “Under Attack”? Chronicling the Deregulation of Urban and Environmental Planning in England","volume":"22","author":[{"family":"Lord","given":"Alex"},{"family":"Tewdwr-Jones","given":"Mark"}],"issued":{"date-parts":[["2014",2,1]]}}},{"id":3155,"uris":["http://zotero.org/groups/2307100/items/QC8K6ESR"],"uri":["http://zotero.org/groups/2307100/items/QC8K6ESR"],"itemData":{"id":3155,"type":"article-journal","container-title":"Environment and planning A","ISSN":"0308-518X","issue":"6","journalAbbreviation":"Environment and planning A","note":"publisher: SAGE Publications Sage UK: London, England","page":"1270-1280","title":"Territorial stigmatization in action","volume":"46","author":[{"family":"Wacquant","given":"Loïc"},{"family":"Slater","given":"Tom"},{"family":"Pereira","given":"Virgílio Borges"}],"issued":{"date-parts":[["2014"]]}}}],"schema":"https://github.com/citation-style-language/schema/raw/master/csl-citation.json"} </w:instrText>
      </w:r>
      <w:r w:rsidRPr="00263267">
        <w:rPr>
          <w:rFonts w:ascii="Garamond" w:hAnsi="Garamond" w:cs="Calibri"/>
          <w:color w:val="000000" w:themeColor="text1"/>
          <w:sz w:val="22"/>
          <w:szCs w:val="22"/>
        </w:rPr>
        <w:fldChar w:fldCharType="separate"/>
      </w:r>
      <w:r w:rsidRPr="00263267">
        <w:rPr>
          <w:rFonts w:ascii="Garamond" w:hAnsi="Garamond" w:cs="Calibri"/>
          <w:noProof/>
          <w:color w:val="000000" w:themeColor="text1"/>
          <w:sz w:val="22"/>
          <w:szCs w:val="22"/>
        </w:rPr>
        <w:t>(Lord &amp; Tewdwr-Jones, 2014; Wacquant et al., 2014)</w:t>
      </w:r>
      <w:r w:rsidRPr="00263267">
        <w:rPr>
          <w:rFonts w:ascii="Garamond" w:hAnsi="Garamond" w:cs="Calibri"/>
          <w:color w:val="000000" w:themeColor="text1"/>
          <w:sz w:val="22"/>
          <w:szCs w:val="22"/>
        </w:rPr>
        <w:fldChar w:fldCharType="end"/>
      </w:r>
      <w:r w:rsidRPr="00263267">
        <w:rPr>
          <w:rFonts w:ascii="Garamond" w:hAnsi="Garamond" w:cs="Calibri"/>
          <w:color w:val="000000" w:themeColor="text1"/>
          <w:sz w:val="22"/>
          <w:szCs w:val="22"/>
        </w:rPr>
        <w:t xml:space="preserve">.  </w:t>
      </w:r>
    </w:p>
    <w:p w14:paraId="32468CC8" w14:textId="77777777" w:rsidR="007E500A" w:rsidRPr="00263267" w:rsidRDefault="007E500A" w:rsidP="006D08D9">
      <w:pPr>
        <w:spacing w:line="276" w:lineRule="auto"/>
        <w:ind w:right="-52"/>
        <w:jc w:val="both"/>
        <w:rPr>
          <w:rFonts w:ascii="Garamond" w:hAnsi="Garamond" w:cs="Calibri"/>
          <w:color w:val="000000" w:themeColor="text1"/>
          <w:sz w:val="22"/>
          <w:szCs w:val="22"/>
        </w:rPr>
      </w:pPr>
    </w:p>
    <w:p w14:paraId="2B86975C" w14:textId="2C2A26D7" w:rsidR="00833D75" w:rsidRDefault="00155346" w:rsidP="006D08D9">
      <w:pPr>
        <w:spacing w:line="276" w:lineRule="auto"/>
        <w:ind w:right="-52"/>
        <w:jc w:val="both"/>
        <w:rPr>
          <w:rFonts w:ascii="Garamond" w:hAnsi="Garamond"/>
          <w:sz w:val="22"/>
          <w:szCs w:val="22"/>
        </w:rPr>
      </w:pPr>
      <w:r w:rsidRPr="00263267">
        <w:rPr>
          <w:rFonts w:ascii="Garamond" w:hAnsi="Garamond" w:cs="Calibri"/>
          <w:color w:val="000000" w:themeColor="text1"/>
          <w:sz w:val="22"/>
          <w:szCs w:val="22"/>
        </w:rPr>
        <w:t>In this chapter</w:t>
      </w:r>
      <w:r w:rsidR="00664A70" w:rsidRPr="00263267">
        <w:rPr>
          <w:rFonts w:ascii="Garamond" w:hAnsi="Garamond" w:cs="Calibri"/>
          <w:color w:val="000000" w:themeColor="text1"/>
          <w:sz w:val="22"/>
          <w:szCs w:val="22"/>
        </w:rPr>
        <w:t xml:space="preserve">, </w:t>
      </w:r>
      <w:r w:rsidR="001D6D40" w:rsidRPr="00263267">
        <w:rPr>
          <w:rFonts w:ascii="Garamond" w:hAnsi="Garamond" w:cs="Calibri"/>
          <w:color w:val="000000" w:themeColor="text1"/>
          <w:sz w:val="22"/>
          <w:szCs w:val="22"/>
        </w:rPr>
        <w:t>we</w:t>
      </w:r>
      <w:r w:rsidR="00994BB8" w:rsidRPr="00263267">
        <w:rPr>
          <w:rFonts w:ascii="Garamond" w:hAnsi="Garamond" w:cs="Calibri"/>
          <w:color w:val="000000" w:themeColor="text1"/>
          <w:sz w:val="22"/>
          <w:szCs w:val="22"/>
        </w:rPr>
        <w:t xml:space="preserve"> focus on t</w:t>
      </w:r>
      <w:r w:rsidR="00664A70" w:rsidRPr="00263267">
        <w:rPr>
          <w:rFonts w:ascii="Garamond" w:hAnsi="Garamond" w:cs="Calibri"/>
          <w:color w:val="000000" w:themeColor="text1"/>
          <w:sz w:val="22"/>
          <w:szCs w:val="22"/>
        </w:rPr>
        <w:t xml:space="preserve">wo professional </w:t>
      </w:r>
      <w:r w:rsidR="00FE5353" w:rsidRPr="00263267">
        <w:rPr>
          <w:rFonts w:ascii="Garamond" w:hAnsi="Garamond" w:cs="Calibri"/>
          <w:color w:val="000000" w:themeColor="text1"/>
          <w:sz w:val="22"/>
          <w:szCs w:val="22"/>
        </w:rPr>
        <w:t>IOs</w:t>
      </w:r>
      <w:r w:rsidR="00664A70" w:rsidRPr="00263267">
        <w:rPr>
          <w:rFonts w:ascii="Garamond" w:hAnsi="Garamond" w:cs="Calibri"/>
          <w:color w:val="000000" w:themeColor="text1"/>
          <w:sz w:val="22"/>
          <w:szCs w:val="22"/>
        </w:rPr>
        <w:t>, the Royal Institute of Chartered Surveyors [RICS] and the Royal Town Planning Institute [RTPI</w:t>
      </w:r>
      <w:r w:rsidR="00994BB8" w:rsidRPr="00263267">
        <w:rPr>
          <w:rFonts w:ascii="Garamond" w:hAnsi="Garamond" w:cs="Calibri"/>
          <w:color w:val="000000" w:themeColor="text1"/>
          <w:sz w:val="22"/>
          <w:szCs w:val="22"/>
        </w:rPr>
        <w:t xml:space="preserve">] </w:t>
      </w:r>
      <w:r w:rsidR="0077493A">
        <w:rPr>
          <w:rFonts w:ascii="Garamond" w:hAnsi="Garamond" w:cs="Calibri"/>
          <w:color w:val="000000" w:themeColor="text1"/>
          <w:sz w:val="22"/>
          <w:szCs w:val="22"/>
        </w:rPr>
        <w:t>that have played a significant role in English regulatory reform.  RICS has also developed a strong international influence on planning and development systems in multiple countries.  We</w:t>
      </w:r>
      <w:r w:rsidR="00994BB8" w:rsidRPr="00263267">
        <w:rPr>
          <w:rFonts w:ascii="Garamond" w:hAnsi="Garamond" w:cs="Calibri"/>
          <w:color w:val="000000" w:themeColor="text1"/>
          <w:sz w:val="22"/>
          <w:szCs w:val="22"/>
        </w:rPr>
        <w:t xml:space="preserve"> asses</w:t>
      </w:r>
      <w:r w:rsidR="000D44C4" w:rsidRPr="00263267">
        <w:rPr>
          <w:rFonts w:ascii="Garamond" w:hAnsi="Garamond" w:cs="Calibri"/>
          <w:color w:val="000000" w:themeColor="text1"/>
          <w:sz w:val="22"/>
          <w:szCs w:val="22"/>
        </w:rPr>
        <w:t>s</w:t>
      </w:r>
      <w:r w:rsidR="00664A70" w:rsidRPr="00263267">
        <w:rPr>
          <w:rFonts w:ascii="Garamond" w:hAnsi="Garamond" w:cs="Calibri"/>
          <w:color w:val="000000" w:themeColor="text1"/>
          <w:sz w:val="22"/>
          <w:szCs w:val="22"/>
        </w:rPr>
        <w:t xml:space="preserve"> their roles, outlooks and legitimation practices</w:t>
      </w:r>
      <w:r w:rsidR="0077493A">
        <w:rPr>
          <w:rFonts w:ascii="Garamond" w:hAnsi="Garamond" w:cs="Calibri"/>
          <w:color w:val="000000" w:themeColor="text1"/>
          <w:sz w:val="22"/>
          <w:szCs w:val="22"/>
        </w:rPr>
        <w:t xml:space="preserve"> and</w:t>
      </w:r>
      <w:r w:rsidR="008C0CE0" w:rsidRPr="00263267">
        <w:rPr>
          <w:rFonts w:ascii="Garamond" w:hAnsi="Garamond"/>
          <w:sz w:val="22"/>
          <w:szCs w:val="22"/>
        </w:rPr>
        <w:t xml:space="preserve"> show where</w:t>
      </w:r>
      <w:r w:rsidR="000D44C4" w:rsidRPr="00263267">
        <w:rPr>
          <w:rFonts w:ascii="Garamond" w:hAnsi="Garamond"/>
          <w:sz w:val="22"/>
          <w:szCs w:val="22"/>
        </w:rPr>
        <w:t xml:space="preserve">, </w:t>
      </w:r>
      <w:r w:rsidR="0000597A" w:rsidRPr="00263267">
        <w:rPr>
          <w:rFonts w:ascii="Garamond" w:hAnsi="Garamond"/>
          <w:sz w:val="22"/>
          <w:szCs w:val="22"/>
        </w:rPr>
        <w:t xml:space="preserve">how </w:t>
      </w:r>
      <w:r w:rsidR="000D44C4" w:rsidRPr="00263267">
        <w:rPr>
          <w:rFonts w:ascii="Garamond" w:hAnsi="Garamond"/>
          <w:sz w:val="22"/>
          <w:szCs w:val="22"/>
        </w:rPr>
        <w:t xml:space="preserve">and why </w:t>
      </w:r>
      <w:r w:rsidR="00994BB8" w:rsidRPr="00263267">
        <w:rPr>
          <w:rFonts w:ascii="Garamond" w:hAnsi="Garamond"/>
          <w:sz w:val="22"/>
          <w:szCs w:val="22"/>
        </w:rPr>
        <w:t>the</w:t>
      </w:r>
      <w:r w:rsidR="000D44C4" w:rsidRPr="00263267">
        <w:rPr>
          <w:rFonts w:ascii="Garamond" w:hAnsi="Garamond"/>
          <w:sz w:val="22"/>
          <w:szCs w:val="22"/>
        </w:rPr>
        <w:t xml:space="preserve"> two organisations</w:t>
      </w:r>
      <w:r w:rsidR="008C0CE0" w:rsidRPr="00263267">
        <w:rPr>
          <w:rFonts w:ascii="Garamond" w:hAnsi="Garamond"/>
          <w:sz w:val="22"/>
          <w:szCs w:val="22"/>
        </w:rPr>
        <w:t xml:space="preserve"> </w:t>
      </w:r>
      <w:r w:rsidR="00994BB8" w:rsidRPr="00263267">
        <w:rPr>
          <w:rFonts w:ascii="Garamond" w:hAnsi="Garamond"/>
          <w:sz w:val="22"/>
          <w:szCs w:val="22"/>
        </w:rPr>
        <w:t xml:space="preserve">have </w:t>
      </w:r>
      <w:r w:rsidR="008C0CE0" w:rsidRPr="00263267">
        <w:rPr>
          <w:rFonts w:ascii="Garamond" w:hAnsi="Garamond"/>
          <w:sz w:val="22"/>
          <w:szCs w:val="22"/>
        </w:rPr>
        <w:t>influence</w:t>
      </w:r>
      <w:r w:rsidR="00994BB8" w:rsidRPr="00263267">
        <w:rPr>
          <w:rFonts w:ascii="Garamond" w:hAnsi="Garamond"/>
          <w:sz w:val="22"/>
          <w:szCs w:val="22"/>
        </w:rPr>
        <w:t>d</w:t>
      </w:r>
      <w:r w:rsidR="008C0CE0" w:rsidRPr="00263267">
        <w:rPr>
          <w:rFonts w:ascii="Garamond" w:hAnsi="Garamond"/>
          <w:sz w:val="22"/>
          <w:szCs w:val="22"/>
        </w:rPr>
        <w:t xml:space="preserve"> planning reform </w:t>
      </w:r>
      <w:r w:rsidR="000D44C4" w:rsidRPr="00263267">
        <w:rPr>
          <w:rFonts w:ascii="Garamond" w:hAnsi="Garamond"/>
          <w:sz w:val="22"/>
          <w:szCs w:val="22"/>
        </w:rPr>
        <w:t>differen</w:t>
      </w:r>
      <w:r w:rsidR="00833D75">
        <w:rPr>
          <w:rFonts w:ascii="Garamond" w:hAnsi="Garamond"/>
          <w:sz w:val="22"/>
          <w:szCs w:val="22"/>
        </w:rPr>
        <w:t>tially</w:t>
      </w:r>
      <w:r w:rsidR="000D44C4" w:rsidRPr="00263267">
        <w:rPr>
          <w:rFonts w:ascii="Garamond" w:hAnsi="Garamond"/>
          <w:sz w:val="22"/>
          <w:szCs w:val="22"/>
        </w:rPr>
        <w:t xml:space="preserve">, </w:t>
      </w:r>
      <w:r w:rsidR="006B487B" w:rsidRPr="00263267">
        <w:rPr>
          <w:rFonts w:ascii="Garamond" w:hAnsi="Garamond"/>
          <w:sz w:val="22"/>
          <w:szCs w:val="22"/>
        </w:rPr>
        <w:t>and</w:t>
      </w:r>
      <w:r w:rsidR="008C0CE0" w:rsidRPr="00263267">
        <w:rPr>
          <w:rFonts w:ascii="Garamond" w:hAnsi="Garamond"/>
          <w:sz w:val="22"/>
          <w:szCs w:val="22"/>
        </w:rPr>
        <w:t xml:space="preserve"> </w:t>
      </w:r>
      <w:r w:rsidR="000D44C4" w:rsidRPr="00263267">
        <w:rPr>
          <w:rFonts w:ascii="Garamond" w:hAnsi="Garamond"/>
          <w:sz w:val="22"/>
          <w:szCs w:val="22"/>
        </w:rPr>
        <w:t xml:space="preserve">reveal </w:t>
      </w:r>
      <w:r w:rsidR="00D5045C" w:rsidRPr="00263267">
        <w:rPr>
          <w:rFonts w:ascii="Garamond" w:hAnsi="Garamond"/>
          <w:color w:val="000000" w:themeColor="text1"/>
          <w:sz w:val="22"/>
          <w:szCs w:val="22"/>
        </w:rPr>
        <w:t>the tensions and challenges they face in simultaneously managing the needs of diverse members</w:t>
      </w:r>
      <w:r w:rsidR="00994BB8" w:rsidRPr="00263267">
        <w:rPr>
          <w:rFonts w:ascii="Garamond" w:hAnsi="Garamond"/>
          <w:color w:val="000000" w:themeColor="text1"/>
          <w:sz w:val="22"/>
          <w:szCs w:val="22"/>
        </w:rPr>
        <w:t>,</w:t>
      </w:r>
      <w:r w:rsidR="006E07CD" w:rsidRPr="00263267">
        <w:rPr>
          <w:rFonts w:ascii="Garamond" w:hAnsi="Garamond"/>
          <w:color w:val="000000" w:themeColor="text1"/>
          <w:sz w:val="22"/>
          <w:szCs w:val="22"/>
        </w:rPr>
        <w:t xml:space="preserve"> whilst seeking to engage with</w:t>
      </w:r>
      <w:r w:rsidR="00833D75">
        <w:rPr>
          <w:rFonts w:ascii="Garamond" w:hAnsi="Garamond"/>
          <w:color w:val="000000" w:themeColor="text1"/>
          <w:sz w:val="22"/>
          <w:szCs w:val="22"/>
        </w:rPr>
        <w:t>,</w:t>
      </w:r>
      <w:r w:rsidR="006E07CD" w:rsidRPr="00263267">
        <w:rPr>
          <w:rFonts w:ascii="Garamond" w:hAnsi="Garamond"/>
          <w:color w:val="000000" w:themeColor="text1"/>
          <w:sz w:val="22"/>
          <w:szCs w:val="22"/>
        </w:rPr>
        <w:t xml:space="preserve"> and influence</w:t>
      </w:r>
      <w:r w:rsidR="00833D75">
        <w:rPr>
          <w:rFonts w:ascii="Garamond" w:hAnsi="Garamond"/>
          <w:color w:val="000000" w:themeColor="text1"/>
          <w:sz w:val="22"/>
          <w:szCs w:val="22"/>
        </w:rPr>
        <w:t>,</w:t>
      </w:r>
      <w:r w:rsidR="006E07CD" w:rsidRPr="00263267">
        <w:rPr>
          <w:rFonts w:ascii="Garamond" w:hAnsi="Garamond"/>
          <w:color w:val="000000" w:themeColor="text1"/>
          <w:sz w:val="22"/>
          <w:szCs w:val="22"/>
        </w:rPr>
        <w:t xml:space="preserve"> policy</w:t>
      </w:r>
      <w:r w:rsidR="00833D75">
        <w:rPr>
          <w:rFonts w:ascii="Garamond" w:hAnsi="Garamond"/>
          <w:color w:val="000000" w:themeColor="text1"/>
          <w:sz w:val="22"/>
          <w:szCs w:val="22"/>
        </w:rPr>
        <w:t>-making</w:t>
      </w:r>
      <w:r w:rsidR="006E07CD" w:rsidRPr="00263267">
        <w:rPr>
          <w:rFonts w:ascii="Garamond" w:hAnsi="Garamond"/>
          <w:color w:val="000000" w:themeColor="text1"/>
          <w:sz w:val="22"/>
          <w:szCs w:val="22"/>
        </w:rPr>
        <w:t xml:space="preserve"> and regulation.</w:t>
      </w:r>
      <w:r w:rsidR="00D5045C" w:rsidRPr="00263267">
        <w:rPr>
          <w:rFonts w:ascii="Garamond" w:hAnsi="Garamond"/>
          <w:color w:val="000000" w:themeColor="text1"/>
          <w:sz w:val="22"/>
          <w:szCs w:val="22"/>
        </w:rPr>
        <w:t xml:space="preserve"> </w:t>
      </w:r>
      <w:r w:rsidR="009E1BEB" w:rsidRPr="00263267">
        <w:rPr>
          <w:rFonts w:ascii="Garamond" w:hAnsi="Garamond"/>
          <w:color w:val="000000" w:themeColor="text1"/>
          <w:sz w:val="22"/>
          <w:szCs w:val="22"/>
        </w:rPr>
        <w:t>On a broader canvass, t</w:t>
      </w:r>
      <w:r w:rsidR="00994BB8" w:rsidRPr="00263267">
        <w:rPr>
          <w:rFonts w:ascii="Garamond" w:hAnsi="Garamond"/>
          <w:color w:val="000000" w:themeColor="text1"/>
          <w:sz w:val="22"/>
          <w:szCs w:val="22"/>
        </w:rPr>
        <w:t xml:space="preserve">he </w:t>
      </w:r>
      <w:r w:rsidR="005227A2" w:rsidRPr="00263267">
        <w:rPr>
          <w:rFonts w:ascii="Garamond" w:hAnsi="Garamond"/>
          <w:sz w:val="22"/>
          <w:szCs w:val="22"/>
        </w:rPr>
        <w:t>chapter argues that the analysis of planning regulation needs to move beyond state-led regulations and practices and focus</w:t>
      </w:r>
      <w:r w:rsidR="001F1BF7" w:rsidRPr="00263267">
        <w:rPr>
          <w:rFonts w:ascii="Garamond" w:hAnsi="Garamond"/>
          <w:sz w:val="22"/>
          <w:szCs w:val="22"/>
        </w:rPr>
        <w:t xml:space="preserve"> on more </w:t>
      </w:r>
      <w:r w:rsidR="001F1BF7" w:rsidRPr="00263267">
        <w:rPr>
          <w:rFonts w:ascii="Garamond" w:hAnsi="Garamond"/>
          <w:i/>
          <w:sz w:val="22"/>
          <w:szCs w:val="22"/>
        </w:rPr>
        <w:t>liquid forms</w:t>
      </w:r>
      <w:r w:rsidR="001F1BF7" w:rsidRPr="00263267">
        <w:rPr>
          <w:rFonts w:ascii="Garamond" w:hAnsi="Garamond"/>
          <w:sz w:val="22"/>
          <w:szCs w:val="22"/>
        </w:rPr>
        <w:t xml:space="preserve"> </w:t>
      </w:r>
      <w:r w:rsidR="0000597A" w:rsidRPr="00263267">
        <w:rPr>
          <w:rFonts w:ascii="Garamond" w:hAnsi="Garamond"/>
          <w:sz w:val="22"/>
          <w:szCs w:val="22"/>
        </w:rPr>
        <w:t xml:space="preserve">of </w:t>
      </w:r>
      <w:r w:rsidR="005227A2" w:rsidRPr="00263267">
        <w:rPr>
          <w:rFonts w:ascii="Garamond" w:hAnsi="Garamond"/>
          <w:sz w:val="22"/>
          <w:szCs w:val="22"/>
        </w:rPr>
        <w:t>regulatory authority</w:t>
      </w:r>
      <w:r w:rsidR="00994BB8" w:rsidRPr="00263267">
        <w:rPr>
          <w:rFonts w:ascii="Garamond" w:hAnsi="Garamond"/>
          <w:sz w:val="22"/>
          <w:szCs w:val="22"/>
        </w:rPr>
        <w:t xml:space="preserve"> </w:t>
      </w:r>
      <w:r w:rsidR="005227A2" w:rsidRPr="00263267">
        <w:rPr>
          <w:rFonts w:ascii="Garamond" w:hAnsi="Garamond"/>
          <w:sz w:val="22"/>
          <w:szCs w:val="22"/>
        </w:rPr>
        <w:t xml:space="preserve">grounded in </w:t>
      </w:r>
      <w:r w:rsidR="001A7906" w:rsidRPr="00263267">
        <w:rPr>
          <w:rFonts w:ascii="Garamond" w:hAnsi="Garamond"/>
          <w:sz w:val="22"/>
          <w:szCs w:val="22"/>
        </w:rPr>
        <w:t xml:space="preserve">both </w:t>
      </w:r>
      <w:r w:rsidR="005227A2" w:rsidRPr="00263267">
        <w:rPr>
          <w:rFonts w:ascii="Garamond" w:hAnsi="Garamond"/>
          <w:sz w:val="22"/>
          <w:szCs w:val="22"/>
        </w:rPr>
        <w:t xml:space="preserve">formal laws and the </w:t>
      </w:r>
      <w:r w:rsidR="005227A2" w:rsidRPr="00263267">
        <w:rPr>
          <w:rFonts w:ascii="Garamond" w:hAnsi="Garamond"/>
          <w:bCs/>
          <w:sz w:val="22"/>
          <w:szCs w:val="22"/>
        </w:rPr>
        <w:t>acceptance of</w:t>
      </w:r>
      <w:r w:rsidR="001A7906" w:rsidRPr="00263267">
        <w:rPr>
          <w:rFonts w:ascii="Garamond" w:hAnsi="Garamond"/>
          <w:bCs/>
          <w:sz w:val="22"/>
          <w:szCs w:val="22"/>
        </w:rPr>
        <w:t>,</w:t>
      </w:r>
      <w:r w:rsidR="005227A2" w:rsidRPr="00263267">
        <w:rPr>
          <w:rFonts w:ascii="Garamond" w:hAnsi="Garamond"/>
          <w:bCs/>
          <w:sz w:val="22"/>
          <w:szCs w:val="22"/>
        </w:rPr>
        <w:t xml:space="preserve"> </w:t>
      </w:r>
      <w:r w:rsidR="001A7906" w:rsidRPr="00263267">
        <w:rPr>
          <w:rFonts w:ascii="Garamond" w:hAnsi="Garamond"/>
          <w:bCs/>
          <w:sz w:val="22"/>
          <w:szCs w:val="22"/>
        </w:rPr>
        <w:t xml:space="preserve">and </w:t>
      </w:r>
      <w:r w:rsidR="005227A2" w:rsidRPr="00263267">
        <w:rPr>
          <w:rFonts w:ascii="Garamond" w:hAnsi="Garamond"/>
          <w:bCs/>
          <w:sz w:val="22"/>
          <w:szCs w:val="22"/>
        </w:rPr>
        <w:t>deference</w:t>
      </w:r>
      <w:r w:rsidR="005227A2" w:rsidRPr="00263267">
        <w:rPr>
          <w:rFonts w:ascii="Garamond" w:hAnsi="Garamond"/>
          <w:sz w:val="22"/>
          <w:szCs w:val="22"/>
        </w:rPr>
        <w:t xml:space="preserve"> to</w:t>
      </w:r>
      <w:r w:rsidR="001A7906" w:rsidRPr="00263267">
        <w:rPr>
          <w:rFonts w:ascii="Garamond" w:hAnsi="Garamond"/>
          <w:sz w:val="22"/>
          <w:szCs w:val="22"/>
        </w:rPr>
        <w:t>, the</w:t>
      </w:r>
      <w:r w:rsidR="005227A2" w:rsidRPr="00263267">
        <w:rPr>
          <w:rFonts w:ascii="Garamond" w:hAnsi="Garamond"/>
          <w:sz w:val="22"/>
          <w:szCs w:val="22"/>
        </w:rPr>
        <w:t xml:space="preserve"> rules </w:t>
      </w:r>
      <w:r w:rsidR="001A7906" w:rsidRPr="00263267">
        <w:rPr>
          <w:rFonts w:ascii="Garamond" w:hAnsi="Garamond"/>
          <w:sz w:val="22"/>
          <w:szCs w:val="22"/>
        </w:rPr>
        <w:t xml:space="preserve">set by </w:t>
      </w:r>
      <w:r w:rsidR="005227A2" w:rsidRPr="00263267">
        <w:rPr>
          <w:rFonts w:ascii="Garamond" w:hAnsi="Garamond"/>
          <w:sz w:val="22"/>
          <w:szCs w:val="22"/>
        </w:rPr>
        <w:t>multiple regulatory agencies</w:t>
      </w:r>
      <w:r w:rsidR="00994BB8" w:rsidRPr="00263267">
        <w:rPr>
          <w:rFonts w:ascii="Garamond" w:hAnsi="Garamond"/>
          <w:sz w:val="22"/>
          <w:szCs w:val="22"/>
        </w:rPr>
        <w:t xml:space="preserve"> </w:t>
      </w:r>
      <w:r w:rsidR="00994BB8" w:rsidRPr="00263267">
        <w:rPr>
          <w:rFonts w:ascii="Garamond" w:hAnsi="Garamond"/>
          <w:sz w:val="22"/>
          <w:szCs w:val="22"/>
        </w:rPr>
        <w:fldChar w:fldCharType="begin"/>
      </w:r>
      <w:r w:rsidR="00994BB8" w:rsidRPr="00263267">
        <w:rPr>
          <w:rFonts w:ascii="Garamond" w:hAnsi="Garamond"/>
          <w:sz w:val="22"/>
          <w:szCs w:val="22"/>
        </w:rPr>
        <w:instrText xml:space="preserve"> ADDIN ZOTERO_ITEM CSL_CITATION {"citationID":"s9QaBmdS","properties":{"formattedCitation":"(Black, 2017; Krisch, 2017)","plainCitation":"(Black, 2017; Krisch, 2017)","noteIndex":0},"citationItems":[{"id":1039,"uris":["http://zotero.org/groups/2307100/items/GQ3NXK93"],"uri":["http://zotero.org/groups/2307100/items/GQ3NXK93"],"itemData":{"id":1039,"type":"article-journal","container-title":"International Theory","ISSN":"1752-9719","issue":"2","journalAbbreviation":"International Theory","page":"286-310","title":"‘Says who?’ Liquid authority and interpretive control in transnational regulatory regimes","volume":"9","author":[{"family":"Black","given":"Julia"}],"issued":{"date-parts":[["2017"]]}}},{"id":1903,"uris":["http://zotero.org/groups/2307100/items/WZL4LQRJ"],"uri":["http://zotero.org/groups/2307100/items/WZL4LQRJ"],"itemData":{"id":1903,"type":"article-journal","container-title":"International Theory","ISSN":"1752-9719","issue":"2","journalAbbreviation":"International Theory","page":"237-260","title":"Liquid authority in global governance","volume":"9","author":[{"family":"Krisch","given":"Nico"}],"issued":{"date-parts":[["2017"]]}}}],"schema":"https://github.com/citation-style-language/schema/raw/master/csl-citation.json"} </w:instrText>
      </w:r>
      <w:r w:rsidR="00994BB8" w:rsidRPr="00263267">
        <w:rPr>
          <w:rFonts w:ascii="Garamond" w:hAnsi="Garamond"/>
          <w:sz w:val="22"/>
          <w:szCs w:val="22"/>
        </w:rPr>
        <w:fldChar w:fldCharType="separate"/>
      </w:r>
      <w:r w:rsidR="00994BB8" w:rsidRPr="00263267">
        <w:rPr>
          <w:rFonts w:ascii="Garamond" w:hAnsi="Garamond"/>
          <w:noProof/>
          <w:sz w:val="22"/>
          <w:szCs w:val="22"/>
        </w:rPr>
        <w:t>(Black, 2017; Krisch, 2017)</w:t>
      </w:r>
      <w:r w:rsidR="00994BB8" w:rsidRPr="00263267">
        <w:rPr>
          <w:rFonts w:ascii="Garamond" w:hAnsi="Garamond"/>
          <w:sz w:val="22"/>
          <w:szCs w:val="22"/>
        </w:rPr>
        <w:fldChar w:fldCharType="end"/>
      </w:r>
      <w:r w:rsidR="005227A2" w:rsidRPr="00263267">
        <w:rPr>
          <w:rFonts w:ascii="Garamond" w:hAnsi="Garamond"/>
          <w:sz w:val="22"/>
          <w:szCs w:val="22"/>
        </w:rPr>
        <w:t xml:space="preserve">.  </w:t>
      </w:r>
      <w:r w:rsidR="00D97495">
        <w:rPr>
          <w:rFonts w:ascii="Garamond" w:hAnsi="Garamond"/>
          <w:sz w:val="22"/>
          <w:szCs w:val="22"/>
        </w:rPr>
        <w:t xml:space="preserve">An emphasis on liquidity highlights the co-evolution of regulations and the processes in and through which multiple forms of knowledge and influence are brought to bear on both the formation of </w:t>
      </w:r>
      <w:r w:rsidR="00922CDB">
        <w:rPr>
          <w:rFonts w:ascii="Garamond" w:hAnsi="Garamond"/>
          <w:sz w:val="22"/>
          <w:szCs w:val="22"/>
        </w:rPr>
        <w:t>temporary regulatory fixes</w:t>
      </w:r>
      <w:r w:rsidR="00D97495">
        <w:rPr>
          <w:rFonts w:ascii="Garamond" w:hAnsi="Garamond"/>
          <w:sz w:val="22"/>
          <w:szCs w:val="22"/>
        </w:rPr>
        <w:t xml:space="preserve"> </w:t>
      </w:r>
      <w:r w:rsidR="00922CDB">
        <w:rPr>
          <w:rFonts w:ascii="Garamond" w:hAnsi="Garamond"/>
          <w:sz w:val="22"/>
          <w:szCs w:val="22"/>
        </w:rPr>
        <w:t xml:space="preserve">(in the shape of rules and statutory policies) </w:t>
      </w:r>
      <w:r w:rsidR="00D97495">
        <w:rPr>
          <w:rFonts w:ascii="Garamond" w:hAnsi="Garamond"/>
          <w:sz w:val="22"/>
          <w:szCs w:val="22"/>
        </w:rPr>
        <w:t>and their broader legitimation and power in influencing actors and organ</w:t>
      </w:r>
      <w:r w:rsidR="00656271">
        <w:rPr>
          <w:rFonts w:ascii="Garamond" w:hAnsi="Garamond"/>
          <w:sz w:val="22"/>
          <w:szCs w:val="22"/>
        </w:rPr>
        <w:t>i</w:t>
      </w:r>
      <w:r w:rsidR="00D97495">
        <w:rPr>
          <w:rFonts w:ascii="Garamond" w:hAnsi="Garamond"/>
          <w:sz w:val="22"/>
          <w:szCs w:val="22"/>
        </w:rPr>
        <w:t xml:space="preserve">sations. </w:t>
      </w:r>
      <w:r w:rsidR="00656271">
        <w:rPr>
          <w:rFonts w:ascii="Garamond" w:hAnsi="Garamond"/>
          <w:sz w:val="22"/>
          <w:szCs w:val="22"/>
        </w:rPr>
        <w:t xml:space="preserve">It also calls for greater attention to be paid to the ways in which professional knowledge is converted into regulatory demands and influences and the role that IOs play in mediating these processes.  As will be shown in </w:t>
      </w:r>
      <w:r w:rsidR="003E1D10">
        <w:rPr>
          <w:rFonts w:ascii="Garamond" w:hAnsi="Garamond"/>
          <w:sz w:val="22"/>
          <w:szCs w:val="22"/>
        </w:rPr>
        <w:t xml:space="preserve">the </w:t>
      </w:r>
      <w:r w:rsidR="00656271">
        <w:rPr>
          <w:rFonts w:ascii="Garamond" w:hAnsi="Garamond"/>
          <w:sz w:val="22"/>
          <w:szCs w:val="22"/>
        </w:rPr>
        <w:t xml:space="preserve">discussion of RICS and RTPI, </w:t>
      </w:r>
      <w:r w:rsidR="001F1CE5">
        <w:rPr>
          <w:rFonts w:ascii="Garamond" w:hAnsi="Garamond"/>
          <w:sz w:val="22"/>
          <w:szCs w:val="22"/>
        </w:rPr>
        <w:t xml:space="preserve">IOs seek to gain influence </w:t>
      </w:r>
      <w:r w:rsidR="00270F18">
        <w:rPr>
          <w:rFonts w:ascii="Garamond" w:hAnsi="Garamond"/>
          <w:sz w:val="22"/>
          <w:szCs w:val="22"/>
        </w:rPr>
        <w:t xml:space="preserve">and build their wider legitimacy as professional </w:t>
      </w:r>
      <w:r w:rsidR="00270F18">
        <w:rPr>
          <w:rFonts w:ascii="Garamond" w:hAnsi="Garamond"/>
          <w:sz w:val="22"/>
          <w:szCs w:val="22"/>
        </w:rPr>
        <w:lastRenderedPageBreak/>
        <w:t xml:space="preserve">organisations in multiple ways and forge alliances and assemble </w:t>
      </w:r>
      <w:r w:rsidR="003E1D10">
        <w:rPr>
          <w:rFonts w:ascii="Garamond" w:hAnsi="Garamond"/>
          <w:sz w:val="22"/>
          <w:szCs w:val="22"/>
        </w:rPr>
        <w:t>diverse</w:t>
      </w:r>
      <w:r w:rsidR="00270F18">
        <w:rPr>
          <w:rFonts w:ascii="Garamond" w:hAnsi="Garamond"/>
          <w:sz w:val="22"/>
          <w:szCs w:val="22"/>
        </w:rPr>
        <w:t xml:space="preserve"> forces in carrying out their political work </w:t>
      </w:r>
      <w:r w:rsidR="00270F18">
        <w:rPr>
          <w:rFonts w:ascii="Garamond" w:hAnsi="Garamond"/>
          <w:sz w:val="22"/>
          <w:szCs w:val="22"/>
        </w:rPr>
        <w:fldChar w:fldCharType="begin"/>
      </w:r>
      <w:r w:rsidR="00270F18">
        <w:rPr>
          <w:rFonts w:ascii="Garamond" w:hAnsi="Garamond"/>
          <w:sz w:val="22"/>
          <w:szCs w:val="22"/>
        </w:rPr>
        <w:instrText xml:space="preserve"> ADDIN ZOTERO_ITEM CSL_CITATION {"citationID":"ydk9EhuO","properties":{"formattedCitation":"(Newman &amp; Clarke, 2018)","plainCitation":"(Newman &amp; Clarke, 2018)","noteIndex":0},"citationItems":[{"id":3152,"uris":["http://zotero.org/groups/2307100/items/IPL68SSW"],"uri":["http://zotero.org/groups/2307100/items/IPL68SSW"],"itemData":{"id":3152,"type":"article-journal","abstract":"In this article, we explore the implications of contemporary populist challenges to established forms of expertise in the UK, USA and elsewhere. Drawing on a Foucauldian conception of knowledge and power as always articulated, we argue for a conjunctural approach to understanding the ways in which formations of expertise become stabilized and de-stabilized, vulnerable to challenge and contestation. We trace the role of economic expertise in defining the limits of political and policy \"realism\" before and after the crash of 2007-8. We then consider the rise of nationalist-populist political mobilizations which challenged existing \"expertise\" in the name of popular wisdom. In the context of de-stabilized forms of expertise, we ask about emergent attempts at reconfiguring knowledge, power and politics in different ways.","container-title":"Innovation: The European Journal of Social Science Research: Expertise and the Moral Economy of Austerity","DOI":"10.1080/13511610.2017.1396887","ISSN":"1351-1610","issue":"1","language":"eng","page":"40-54","title":"The instabilities of expertise: remaking knowledge, power and politics in unsettled times","volume":"31","author":[{"family":"Newman","given":"Janet"},{"family":"Clarke","given":"John"}],"issued":{"date-parts":[["2018"]]}}}],"schema":"https://github.com/citation-style-language/schema/raw/master/csl-citation.json"} </w:instrText>
      </w:r>
      <w:r w:rsidR="00270F18">
        <w:rPr>
          <w:rFonts w:ascii="Garamond" w:hAnsi="Garamond"/>
          <w:sz w:val="22"/>
          <w:szCs w:val="22"/>
        </w:rPr>
        <w:fldChar w:fldCharType="separate"/>
      </w:r>
      <w:r w:rsidR="00270F18">
        <w:rPr>
          <w:rFonts w:ascii="Garamond" w:hAnsi="Garamond"/>
          <w:noProof/>
          <w:sz w:val="22"/>
          <w:szCs w:val="22"/>
        </w:rPr>
        <w:t>(Newman &amp; Clarke, 2018)</w:t>
      </w:r>
      <w:r w:rsidR="00270F18">
        <w:rPr>
          <w:rFonts w:ascii="Garamond" w:hAnsi="Garamond"/>
          <w:sz w:val="22"/>
          <w:szCs w:val="22"/>
        </w:rPr>
        <w:fldChar w:fldCharType="end"/>
      </w:r>
      <w:r w:rsidR="00270F18">
        <w:rPr>
          <w:rFonts w:ascii="Garamond" w:hAnsi="Garamond"/>
          <w:sz w:val="22"/>
          <w:szCs w:val="22"/>
        </w:rPr>
        <w:t>.</w:t>
      </w:r>
    </w:p>
    <w:p w14:paraId="1B4B9FF2" w14:textId="77777777" w:rsidR="00833D75" w:rsidRDefault="00833D75" w:rsidP="006D08D9">
      <w:pPr>
        <w:spacing w:line="276" w:lineRule="auto"/>
        <w:ind w:right="-52"/>
        <w:jc w:val="both"/>
        <w:rPr>
          <w:rFonts w:ascii="Garamond" w:hAnsi="Garamond" w:cs="Calibri"/>
          <w:color w:val="000000" w:themeColor="text1"/>
          <w:sz w:val="22"/>
          <w:szCs w:val="22"/>
        </w:rPr>
      </w:pPr>
    </w:p>
    <w:p w14:paraId="5F59FBDF" w14:textId="36A74953" w:rsidR="005227A2" w:rsidRPr="00263267" w:rsidRDefault="001A7906" w:rsidP="006D08D9">
      <w:pPr>
        <w:spacing w:line="276" w:lineRule="auto"/>
        <w:ind w:right="-52"/>
        <w:jc w:val="both"/>
        <w:rPr>
          <w:rFonts w:ascii="Garamond" w:hAnsi="Garamond"/>
          <w:sz w:val="22"/>
          <w:szCs w:val="22"/>
        </w:rPr>
      </w:pPr>
      <w:r w:rsidRPr="00263267">
        <w:rPr>
          <w:rFonts w:ascii="Garamond" w:hAnsi="Garamond" w:cs="Calibri"/>
          <w:color w:val="000000" w:themeColor="text1"/>
          <w:sz w:val="22"/>
          <w:szCs w:val="22"/>
        </w:rPr>
        <w:t xml:space="preserve">The </w:t>
      </w:r>
      <w:r w:rsidR="005836CE" w:rsidRPr="00263267">
        <w:rPr>
          <w:rFonts w:ascii="Garamond" w:hAnsi="Garamond" w:cs="Calibri"/>
          <w:color w:val="000000" w:themeColor="text1"/>
          <w:sz w:val="22"/>
          <w:szCs w:val="22"/>
        </w:rPr>
        <w:t>case studies highlight how</w:t>
      </w:r>
      <w:r w:rsidR="00FB3210" w:rsidRPr="00263267">
        <w:rPr>
          <w:rFonts w:ascii="Garamond" w:hAnsi="Garamond" w:cs="Calibri"/>
          <w:color w:val="000000" w:themeColor="text1"/>
          <w:sz w:val="22"/>
          <w:szCs w:val="22"/>
        </w:rPr>
        <w:t xml:space="preserve"> </w:t>
      </w:r>
      <w:r w:rsidR="005836CE" w:rsidRPr="00263267">
        <w:rPr>
          <w:rFonts w:ascii="Garamond" w:hAnsi="Garamond" w:cs="Calibri"/>
          <w:color w:val="000000" w:themeColor="text1"/>
          <w:sz w:val="22"/>
          <w:szCs w:val="22"/>
        </w:rPr>
        <w:t xml:space="preserve">professional IOs </w:t>
      </w:r>
      <w:r w:rsidRPr="00263267">
        <w:rPr>
          <w:rFonts w:ascii="Garamond" w:hAnsi="Garamond" w:cs="Calibri"/>
          <w:color w:val="000000" w:themeColor="text1"/>
          <w:sz w:val="22"/>
          <w:szCs w:val="22"/>
        </w:rPr>
        <w:t xml:space="preserve">differ markedly from characterisations of traditional ‘business associations’ </w:t>
      </w:r>
      <w:r w:rsidRPr="00263267">
        <w:rPr>
          <w:rFonts w:ascii="Garamond" w:hAnsi="Garamond" w:cs="Calibri"/>
          <w:color w:val="000000" w:themeColor="text1"/>
          <w:sz w:val="22"/>
          <w:szCs w:val="22"/>
        </w:rPr>
        <w:fldChar w:fldCharType="begin"/>
      </w:r>
      <w:r w:rsidR="00270F18">
        <w:rPr>
          <w:rFonts w:ascii="Garamond" w:hAnsi="Garamond" w:cs="Calibri"/>
          <w:color w:val="000000" w:themeColor="text1"/>
          <w:sz w:val="22"/>
          <w:szCs w:val="22"/>
        </w:rPr>
        <w:instrText xml:space="preserve"> ADDIN ZOTERO_ITEM CSL_CITATION {"citationID":"oyKvV8c5","properties":{"formattedCitation":"(Valler et al., 2004)","plainCitation":"(Valler et al., 2004)","noteIndex":0},"citationItems":[{"id":2944,"uris":["http://zotero.org/groups/2307100/items/QU64H7J8"],"uri":["http://zotero.org/groups/2307100/items/QU64H7J8"],"itemData":{"id":2944,"type":"article-journal","container-title":"Progress in planning","ISSN":"0305-9006","issue":"2","journalAbbreviation":"Progress in planning","note":"publisher: Elsevier","page":"75-135","title":"Business representation and the UK regions: mapping institutional change","volume":"61","author":[{"family":"Valler","given":"David"},{"family":"Wood","given":"Andrew"},{"family":"Atkinson","given":"Ian"},{"family":"Betteley","given":"David"},{"family":"Phelps","given":"Nick"},{"family":"Raco","given":"Mike"},{"family":"Shirlow","given":"Pete"}],"issued":{"date-parts":[["2004"]]}}}],"schema":"https://github.com/citation-style-language/schema/raw/master/csl-citation.json"} </w:instrText>
      </w:r>
      <w:r w:rsidRPr="00263267">
        <w:rPr>
          <w:rFonts w:ascii="Garamond" w:hAnsi="Garamond" w:cs="Calibri"/>
          <w:color w:val="000000" w:themeColor="text1"/>
          <w:sz w:val="22"/>
          <w:szCs w:val="22"/>
        </w:rPr>
        <w:fldChar w:fldCharType="separate"/>
      </w:r>
      <w:r w:rsidRPr="00263267">
        <w:rPr>
          <w:rFonts w:ascii="Garamond" w:hAnsi="Garamond" w:cs="Calibri"/>
          <w:noProof/>
          <w:color w:val="000000" w:themeColor="text1"/>
          <w:sz w:val="22"/>
          <w:szCs w:val="22"/>
        </w:rPr>
        <w:t>(Valler et al., 2004)</w:t>
      </w:r>
      <w:r w:rsidRPr="00263267">
        <w:rPr>
          <w:rFonts w:ascii="Garamond" w:hAnsi="Garamond" w:cs="Calibri"/>
          <w:color w:val="000000" w:themeColor="text1"/>
          <w:sz w:val="22"/>
          <w:szCs w:val="22"/>
        </w:rPr>
        <w:fldChar w:fldCharType="end"/>
      </w:r>
      <w:r w:rsidRPr="00263267">
        <w:rPr>
          <w:rFonts w:ascii="Garamond" w:hAnsi="Garamond" w:cs="Calibri"/>
          <w:color w:val="000000" w:themeColor="text1"/>
          <w:sz w:val="22"/>
          <w:szCs w:val="22"/>
        </w:rPr>
        <w:t xml:space="preserve"> or of structurally-privileged elite interests or ‘lobbyists’ pushing for less regulation and more market, as found in more critical writings on contemporary planning and urban policy </w:t>
      </w:r>
      <w:r w:rsidRPr="00263267">
        <w:rPr>
          <w:rFonts w:ascii="Garamond" w:hAnsi="Garamond" w:cs="Calibri"/>
          <w:color w:val="000000" w:themeColor="text1"/>
          <w:sz w:val="22"/>
          <w:szCs w:val="22"/>
        </w:rPr>
        <w:fldChar w:fldCharType="begin"/>
      </w:r>
      <w:r w:rsidR="00270F18">
        <w:rPr>
          <w:rFonts w:ascii="Garamond" w:hAnsi="Garamond" w:cs="Calibri"/>
          <w:color w:val="000000" w:themeColor="text1"/>
          <w:sz w:val="22"/>
          <w:szCs w:val="22"/>
        </w:rPr>
        <w:instrText xml:space="preserve"> ADDIN ZOTERO_ITEM CSL_CITATION {"citationID":"OQGNby2g","properties":{"formattedCitation":"(Colenutt, 2020; Madden &amp; Marcuse, 2016)","plainCitation":"(Colenutt, 2020; Madden &amp; Marcuse, 2016)","noteIndex":0},"citationItems":[{"id":2926,"uris":["http://zotero.org/groups/2307100/items/4PLML3MW"],"uri":["http://zotero.org/groups/2307100/items/4PLML3MW"],"itemData":{"id":2926,"type":"book","ISBN":"1-4473-5023-5","publisher":"Policy Press","title":"The Property Lobby: The Hidden Reality Behind the Housing Crisis","author":[{"family":"Colenutt","given":"Bob"}],"issued":{"date-parts":[["2020"]]}}},{"id":460,"uris":["http://zotero.org/groups/2307100/items/PXXI5K8Y"],"uri":["http://zotero.org/groups/2307100/items/PXXI5K8Y"],"itemData":{"id":460,"type":"book","abstract":"In every major city in the world there is a housing crisis. How did this happen and what can we do about it?  Everyone needs and deserves housing. But today our homes are being transformed into commodities, making the inequalities of the city ever more acute. Pro fit has become more important than social need. The poor are forced to pay more for worse housing. Communities are faced with the violence of displacement and gentri fication. And the bene fits of decent housing are only available for those who can a fford it.  In Defense of Housing is the de finitive statement on this crisis from leading urban planner Peter Marcuse and sociologist David Madden. They look at the causes and consequences of the housing problem and detail the need for progressive alternatives. The housing crisis cannot be solved by minor policy shifts, they argue. Rather, the housing crisis has deep political and economic roots--and therefore requires a radical response.","ISBN":"978-1-78478-354-9","language":"en","note":"Google-Books-ID: 6PXLsgEACAAJ","number-of-pages":"230","publisher":"Verso","source":"Google Books","title":"In Defense of Housing: The Politics of Crisis","title-short":"In Defense of Housing","author":[{"family":"Madden","given":"David J."},{"family":"Marcuse","given":"Peter"}],"issued":{"date-parts":[["2016"]]}}}],"schema":"https://github.com/citation-style-language/schema/raw/master/csl-citation.json"} </w:instrText>
      </w:r>
      <w:r w:rsidRPr="00263267">
        <w:rPr>
          <w:rFonts w:ascii="Garamond" w:hAnsi="Garamond" w:cs="Calibri"/>
          <w:color w:val="000000" w:themeColor="text1"/>
          <w:sz w:val="22"/>
          <w:szCs w:val="22"/>
        </w:rPr>
        <w:fldChar w:fldCharType="separate"/>
      </w:r>
      <w:r w:rsidRPr="00263267">
        <w:rPr>
          <w:rFonts w:ascii="Garamond" w:hAnsi="Garamond" w:cs="Calibri"/>
          <w:noProof/>
          <w:color w:val="000000" w:themeColor="text1"/>
          <w:sz w:val="22"/>
          <w:szCs w:val="22"/>
        </w:rPr>
        <w:t>(Colenutt, 2020; Madden &amp; Marcuse, 2016)</w:t>
      </w:r>
      <w:r w:rsidRPr="00263267">
        <w:rPr>
          <w:rFonts w:ascii="Garamond" w:hAnsi="Garamond" w:cs="Calibri"/>
          <w:color w:val="000000" w:themeColor="text1"/>
          <w:sz w:val="22"/>
          <w:szCs w:val="22"/>
        </w:rPr>
        <w:fldChar w:fldCharType="end"/>
      </w:r>
      <w:r w:rsidRPr="00263267">
        <w:rPr>
          <w:rFonts w:ascii="Garamond" w:hAnsi="Garamond" w:cs="Calibri"/>
          <w:color w:val="000000" w:themeColor="text1"/>
          <w:sz w:val="22"/>
          <w:szCs w:val="22"/>
        </w:rPr>
        <w:t xml:space="preserve">. </w:t>
      </w:r>
      <w:r w:rsidR="0077493A">
        <w:rPr>
          <w:rFonts w:ascii="Garamond" w:hAnsi="Garamond"/>
          <w:color w:val="000000" w:themeColor="text1"/>
          <w:sz w:val="22"/>
          <w:szCs w:val="22"/>
        </w:rPr>
        <w:t>Under certain conditions some types of IO play a more or less influential role</w:t>
      </w:r>
      <w:r w:rsidR="0077493A">
        <w:rPr>
          <w:rFonts w:ascii="Garamond" w:hAnsi="Garamond" w:cs="Calibri"/>
          <w:color w:val="000000" w:themeColor="text1"/>
          <w:sz w:val="22"/>
          <w:szCs w:val="22"/>
        </w:rPr>
        <w:t xml:space="preserve"> and the discussion </w:t>
      </w:r>
      <w:r w:rsidR="007E500A" w:rsidRPr="00263267">
        <w:rPr>
          <w:rFonts w:ascii="Garamond" w:hAnsi="Garamond"/>
          <w:sz w:val="22"/>
          <w:szCs w:val="22"/>
        </w:rPr>
        <w:t>highlight</w:t>
      </w:r>
      <w:r w:rsidR="0077493A">
        <w:rPr>
          <w:rFonts w:ascii="Garamond" w:hAnsi="Garamond"/>
          <w:sz w:val="22"/>
          <w:szCs w:val="22"/>
        </w:rPr>
        <w:t>s</w:t>
      </w:r>
      <w:r w:rsidR="007E500A" w:rsidRPr="00263267">
        <w:rPr>
          <w:rFonts w:ascii="Garamond" w:hAnsi="Garamond"/>
          <w:sz w:val="22"/>
          <w:szCs w:val="22"/>
        </w:rPr>
        <w:t xml:space="preserve"> </w:t>
      </w:r>
      <w:r w:rsidR="00FB0D08">
        <w:rPr>
          <w:rFonts w:ascii="Garamond" w:hAnsi="Garamond"/>
          <w:sz w:val="22"/>
          <w:szCs w:val="22"/>
        </w:rPr>
        <w:t>how working in environments of greater liquidity makes them</w:t>
      </w:r>
      <w:r w:rsidR="00FE5353" w:rsidRPr="00263267">
        <w:rPr>
          <w:rFonts w:ascii="Garamond" w:hAnsi="Garamond"/>
          <w:color w:val="000000" w:themeColor="text1"/>
          <w:sz w:val="22"/>
          <w:szCs w:val="22"/>
        </w:rPr>
        <w:t xml:space="preserve"> vulnerable to wider changes in policy environments</w:t>
      </w:r>
      <w:r w:rsidRPr="00263267">
        <w:rPr>
          <w:rFonts w:ascii="Garamond" w:hAnsi="Garamond"/>
          <w:color w:val="000000" w:themeColor="text1"/>
          <w:sz w:val="22"/>
          <w:szCs w:val="22"/>
        </w:rPr>
        <w:t xml:space="preserve"> and</w:t>
      </w:r>
      <w:r w:rsidR="00D919E3" w:rsidRPr="00263267">
        <w:rPr>
          <w:rFonts w:ascii="Garamond" w:hAnsi="Garamond"/>
          <w:color w:val="000000" w:themeColor="text1"/>
          <w:sz w:val="22"/>
          <w:szCs w:val="22"/>
        </w:rPr>
        <w:t xml:space="preserve"> in </w:t>
      </w:r>
      <w:r w:rsidR="0077493A">
        <w:rPr>
          <w:rFonts w:ascii="Garamond" w:hAnsi="Garamond"/>
          <w:color w:val="000000" w:themeColor="text1"/>
          <w:sz w:val="22"/>
          <w:szCs w:val="22"/>
        </w:rPr>
        <w:t xml:space="preserve">a </w:t>
      </w:r>
      <w:r w:rsidR="00D919E3" w:rsidRPr="00263267">
        <w:rPr>
          <w:rFonts w:ascii="Garamond" w:hAnsi="Garamond"/>
          <w:color w:val="000000" w:themeColor="text1"/>
          <w:sz w:val="22"/>
          <w:szCs w:val="22"/>
        </w:rPr>
        <w:t xml:space="preserve">state of </w:t>
      </w:r>
      <w:r w:rsidR="005836CE" w:rsidRPr="00263267">
        <w:rPr>
          <w:rFonts w:ascii="Garamond" w:hAnsi="Garamond"/>
          <w:color w:val="000000" w:themeColor="text1"/>
          <w:sz w:val="22"/>
          <w:szCs w:val="22"/>
        </w:rPr>
        <w:t xml:space="preserve">constant </w:t>
      </w:r>
      <w:r w:rsidR="00FE5353" w:rsidRPr="00263267">
        <w:rPr>
          <w:rFonts w:ascii="Garamond" w:hAnsi="Garamond"/>
          <w:color w:val="000000" w:themeColor="text1"/>
          <w:sz w:val="22"/>
          <w:szCs w:val="22"/>
        </w:rPr>
        <w:t>precari</w:t>
      </w:r>
      <w:r w:rsidR="00D919E3" w:rsidRPr="00263267">
        <w:rPr>
          <w:rFonts w:ascii="Garamond" w:hAnsi="Garamond"/>
          <w:color w:val="000000" w:themeColor="text1"/>
          <w:sz w:val="22"/>
          <w:szCs w:val="22"/>
        </w:rPr>
        <w:t>ty</w:t>
      </w:r>
      <w:r w:rsidR="00FE5353" w:rsidRPr="00263267">
        <w:rPr>
          <w:rFonts w:ascii="Garamond" w:hAnsi="Garamond"/>
          <w:color w:val="000000" w:themeColor="text1"/>
          <w:sz w:val="22"/>
          <w:szCs w:val="22"/>
        </w:rPr>
        <w:t xml:space="preserve"> and </w:t>
      </w:r>
      <w:r w:rsidR="00D919E3" w:rsidRPr="00263267">
        <w:rPr>
          <w:rFonts w:ascii="Garamond" w:hAnsi="Garamond"/>
          <w:color w:val="000000" w:themeColor="text1"/>
          <w:sz w:val="22"/>
          <w:szCs w:val="22"/>
        </w:rPr>
        <w:t>i</w:t>
      </w:r>
      <w:r w:rsidR="00FE5353" w:rsidRPr="00263267">
        <w:rPr>
          <w:rFonts w:ascii="Garamond" w:hAnsi="Garamond"/>
          <w:color w:val="000000" w:themeColor="text1"/>
          <w:sz w:val="22"/>
          <w:szCs w:val="22"/>
        </w:rPr>
        <w:t>nstab</w:t>
      </w:r>
      <w:r w:rsidR="00D919E3" w:rsidRPr="00263267">
        <w:rPr>
          <w:rFonts w:ascii="Garamond" w:hAnsi="Garamond"/>
          <w:color w:val="000000" w:themeColor="text1"/>
          <w:sz w:val="22"/>
          <w:szCs w:val="22"/>
        </w:rPr>
        <w:t>ility</w:t>
      </w:r>
      <w:r w:rsidR="00FE5353" w:rsidRPr="00263267">
        <w:rPr>
          <w:rFonts w:ascii="Garamond" w:hAnsi="Garamond"/>
          <w:color w:val="000000" w:themeColor="text1"/>
          <w:sz w:val="22"/>
          <w:szCs w:val="22"/>
        </w:rPr>
        <w:t xml:space="preserve">. </w:t>
      </w:r>
      <w:r w:rsidR="00FB0D08">
        <w:rPr>
          <w:rFonts w:ascii="Garamond" w:hAnsi="Garamond"/>
          <w:color w:val="000000" w:themeColor="text1"/>
          <w:sz w:val="22"/>
          <w:szCs w:val="22"/>
        </w:rPr>
        <w:t>We show that d</w:t>
      </w:r>
      <w:r w:rsidR="001F1BF7" w:rsidRPr="00263267">
        <w:rPr>
          <w:rFonts w:ascii="Garamond" w:hAnsi="Garamond"/>
          <w:color w:val="000000" w:themeColor="text1"/>
          <w:sz w:val="22"/>
          <w:szCs w:val="22"/>
        </w:rPr>
        <w:t xml:space="preserve">elivery-led reforms </w:t>
      </w:r>
      <w:r w:rsidR="000D44C4" w:rsidRPr="00263267">
        <w:rPr>
          <w:rFonts w:ascii="Garamond" w:hAnsi="Garamond"/>
          <w:color w:val="000000" w:themeColor="text1"/>
          <w:sz w:val="22"/>
          <w:szCs w:val="22"/>
        </w:rPr>
        <w:t xml:space="preserve">in </w:t>
      </w:r>
      <w:r w:rsidR="00FB0D08">
        <w:rPr>
          <w:rFonts w:ascii="Garamond" w:hAnsi="Garamond"/>
          <w:color w:val="000000" w:themeColor="text1"/>
          <w:sz w:val="22"/>
          <w:szCs w:val="22"/>
        </w:rPr>
        <w:t xml:space="preserve">the English </w:t>
      </w:r>
      <w:r w:rsidR="000D44C4" w:rsidRPr="00263267">
        <w:rPr>
          <w:rFonts w:ascii="Garamond" w:hAnsi="Garamond"/>
          <w:color w:val="000000" w:themeColor="text1"/>
          <w:sz w:val="22"/>
          <w:szCs w:val="22"/>
        </w:rPr>
        <w:t>planning</w:t>
      </w:r>
      <w:r w:rsidR="00FB0D08">
        <w:rPr>
          <w:rFonts w:ascii="Garamond" w:hAnsi="Garamond"/>
          <w:color w:val="000000" w:themeColor="text1"/>
          <w:sz w:val="22"/>
          <w:szCs w:val="22"/>
        </w:rPr>
        <w:t xml:space="preserve"> system</w:t>
      </w:r>
      <w:r w:rsidR="000D44C4" w:rsidRPr="00263267">
        <w:rPr>
          <w:rFonts w:ascii="Garamond" w:hAnsi="Garamond"/>
          <w:color w:val="000000" w:themeColor="text1"/>
          <w:sz w:val="22"/>
          <w:szCs w:val="22"/>
        </w:rPr>
        <w:t xml:space="preserve"> </w:t>
      </w:r>
      <w:r w:rsidR="001F1BF7" w:rsidRPr="00263267">
        <w:rPr>
          <w:rFonts w:ascii="Garamond" w:hAnsi="Garamond"/>
          <w:color w:val="000000" w:themeColor="text1"/>
          <w:sz w:val="22"/>
          <w:szCs w:val="22"/>
        </w:rPr>
        <w:t xml:space="preserve">have </w:t>
      </w:r>
      <w:r w:rsidR="001F1BF7" w:rsidRPr="00263267">
        <w:rPr>
          <w:rFonts w:ascii="Garamond" w:hAnsi="Garamond"/>
          <w:sz w:val="22"/>
          <w:szCs w:val="22"/>
        </w:rPr>
        <w:t>given greater priority to those with more market-oriented knowledge (</w:t>
      </w:r>
      <w:r w:rsidR="00D919E3" w:rsidRPr="00263267">
        <w:rPr>
          <w:rFonts w:ascii="Garamond" w:hAnsi="Garamond"/>
          <w:sz w:val="22"/>
          <w:szCs w:val="22"/>
        </w:rPr>
        <w:t xml:space="preserve">such as </w:t>
      </w:r>
      <w:r w:rsidR="001F1BF7" w:rsidRPr="00263267">
        <w:rPr>
          <w:rFonts w:ascii="Garamond" w:hAnsi="Garamond"/>
          <w:sz w:val="22"/>
          <w:szCs w:val="22"/>
        </w:rPr>
        <w:t xml:space="preserve">RICS) and </w:t>
      </w:r>
      <w:r w:rsidR="000D44C4" w:rsidRPr="00263267">
        <w:rPr>
          <w:rFonts w:ascii="Garamond" w:hAnsi="Garamond"/>
          <w:sz w:val="22"/>
          <w:szCs w:val="22"/>
        </w:rPr>
        <w:t>marginalised</w:t>
      </w:r>
      <w:r w:rsidR="001F1BF7" w:rsidRPr="00263267">
        <w:rPr>
          <w:rFonts w:ascii="Garamond" w:hAnsi="Garamond"/>
          <w:sz w:val="22"/>
          <w:szCs w:val="22"/>
        </w:rPr>
        <w:t xml:space="preserve"> more critical voices</w:t>
      </w:r>
      <w:r w:rsidR="000D44C4" w:rsidRPr="00263267">
        <w:rPr>
          <w:rFonts w:ascii="Garamond" w:hAnsi="Garamond"/>
          <w:sz w:val="22"/>
          <w:szCs w:val="22"/>
        </w:rPr>
        <w:t xml:space="preserve"> that have called</w:t>
      </w:r>
      <w:r w:rsidR="001F1BF7" w:rsidRPr="00263267">
        <w:rPr>
          <w:rFonts w:ascii="Garamond" w:hAnsi="Garamond"/>
          <w:sz w:val="22"/>
          <w:szCs w:val="22"/>
        </w:rPr>
        <w:t xml:space="preserve"> for increased public sector </w:t>
      </w:r>
      <w:r w:rsidRPr="00263267">
        <w:rPr>
          <w:rFonts w:ascii="Garamond" w:hAnsi="Garamond"/>
          <w:sz w:val="22"/>
          <w:szCs w:val="22"/>
        </w:rPr>
        <w:t>spending</w:t>
      </w:r>
      <w:r w:rsidR="001F1BF7" w:rsidRPr="00263267">
        <w:rPr>
          <w:rFonts w:ascii="Garamond" w:hAnsi="Garamond"/>
          <w:sz w:val="22"/>
          <w:szCs w:val="22"/>
        </w:rPr>
        <w:t xml:space="preserve"> and strengthened planning regulations (</w:t>
      </w:r>
      <w:r w:rsidR="00D919E3" w:rsidRPr="00263267">
        <w:rPr>
          <w:rFonts w:ascii="Garamond" w:hAnsi="Garamond"/>
          <w:sz w:val="22"/>
          <w:szCs w:val="22"/>
        </w:rPr>
        <w:t xml:space="preserve">exemplified by </w:t>
      </w:r>
      <w:r w:rsidR="001F1BF7" w:rsidRPr="00263267">
        <w:rPr>
          <w:rFonts w:ascii="Garamond" w:hAnsi="Garamond"/>
          <w:sz w:val="22"/>
          <w:szCs w:val="22"/>
        </w:rPr>
        <w:t>RTPI).</w:t>
      </w:r>
      <w:r w:rsidR="00FE5353" w:rsidRPr="00263267">
        <w:rPr>
          <w:rFonts w:ascii="Garamond" w:hAnsi="Garamond" w:cs="Calibri"/>
          <w:color w:val="000000" w:themeColor="text1"/>
          <w:sz w:val="22"/>
          <w:szCs w:val="22"/>
        </w:rPr>
        <w:t xml:space="preserve">  </w:t>
      </w:r>
      <w:r w:rsidR="001F1BF7" w:rsidRPr="00263267">
        <w:rPr>
          <w:rFonts w:ascii="Garamond" w:hAnsi="Garamond"/>
          <w:sz w:val="22"/>
          <w:szCs w:val="22"/>
        </w:rPr>
        <w:t xml:space="preserve">We begin with a discussion of the literature on IOs and planning regulation and reform, before moving on to </w:t>
      </w:r>
      <w:r w:rsidR="007E500A" w:rsidRPr="00263267">
        <w:rPr>
          <w:rFonts w:ascii="Garamond" w:hAnsi="Garamond"/>
          <w:sz w:val="22"/>
          <w:szCs w:val="22"/>
        </w:rPr>
        <w:t>the cases</w:t>
      </w:r>
      <w:r w:rsidR="001F1BF7" w:rsidRPr="00263267">
        <w:rPr>
          <w:rFonts w:ascii="Garamond" w:hAnsi="Garamond"/>
          <w:sz w:val="22"/>
          <w:szCs w:val="22"/>
        </w:rPr>
        <w:t xml:space="preserve">.  </w:t>
      </w:r>
      <w:r w:rsidR="00025043" w:rsidRPr="00263267">
        <w:rPr>
          <w:rFonts w:ascii="Garamond" w:hAnsi="Garamond"/>
          <w:sz w:val="22"/>
          <w:szCs w:val="22"/>
        </w:rPr>
        <w:t xml:space="preserve">We </w:t>
      </w:r>
      <w:r w:rsidR="00664A70" w:rsidRPr="00263267">
        <w:rPr>
          <w:rFonts w:ascii="Garamond" w:hAnsi="Garamond"/>
          <w:sz w:val="22"/>
          <w:szCs w:val="22"/>
        </w:rPr>
        <w:t xml:space="preserve">conclude with a </w:t>
      </w:r>
      <w:r w:rsidR="005227A2" w:rsidRPr="00263267">
        <w:rPr>
          <w:rFonts w:ascii="Garamond" w:hAnsi="Garamond"/>
          <w:sz w:val="22"/>
          <w:szCs w:val="22"/>
        </w:rPr>
        <w:t xml:space="preserve">call for </w:t>
      </w:r>
      <w:r w:rsidR="00A43C35" w:rsidRPr="00263267">
        <w:rPr>
          <w:rFonts w:ascii="Garamond" w:hAnsi="Garamond"/>
          <w:sz w:val="22"/>
          <w:szCs w:val="22"/>
        </w:rPr>
        <w:t xml:space="preserve">more focus on </w:t>
      </w:r>
      <w:r w:rsidR="007E500A" w:rsidRPr="00263267">
        <w:rPr>
          <w:rFonts w:ascii="Garamond" w:hAnsi="Garamond"/>
          <w:sz w:val="22"/>
          <w:szCs w:val="22"/>
        </w:rPr>
        <w:t>IOs and the liquidity of regulatory reform in planning systems</w:t>
      </w:r>
      <w:r w:rsidR="00A43C35" w:rsidRPr="00263267">
        <w:rPr>
          <w:rFonts w:ascii="Garamond" w:hAnsi="Garamond"/>
          <w:sz w:val="22"/>
          <w:szCs w:val="22"/>
        </w:rPr>
        <w:t xml:space="preserve">.  </w:t>
      </w:r>
    </w:p>
    <w:p w14:paraId="192C6EFB" w14:textId="58AA647B" w:rsidR="00FA0797" w:rsidRPr="00263267" w:rsidRDefault="00FA0797" w:rsidP="006D08D9">
      <w:pPr>
        <w:spacing w:line="276" w:lineRule="auto"/>
        <w:jc w:val="both"/>
        <w:rPr>
          <w:rFonts w:ascii="Garamond" w:hAnsi="Garamond"/>
          <w:sz w:val="22"/>
          <w:szCs w:val="22"/>
        </w:rPr>
      </w:pPr>
    </w:p>
    <w:p w14:paraId="1BDD9F99" w14:textId="0A0D6761" w:rsidR="00FA0797" w:rsidRPr="00263267" w:rsidRDefault="001253B9" w:rsidP="006D08D9">
      <w:pPr>
        <w:spacing w:line="276" w:lineRule="auto"/>
        <w:jc w:val="both"/>
        <w:rPr>
          <w:rFonts w:ascii="Garamond" w:hAnsi="Garamond"/>
          <w:b/>
          <w:sz w:val="22"/>
          <w:szCs w:val="22"/>
        </w:rPr>
      </w:pPr>
      <w:r w:rsidRPr="00263267">
        <w:rPr>
          <w:rFonts w:ascii="Garamond" w:hAnsi="Garamond"/>
          <w:b/>
          <w:sz w:val="22"/>
          <w:szCs w:val="22"/>
        </w:rPr>
        <w:t xml:space="preserve">Planning Reform </w:t>
      </w:r>
      <w:r w:rsidR="00EB0548" w:rsidRPr="00263267">
        <w:rPr>
          <w:rFonts w:ascii="Garamond" w:hAnsi="Garamond"/>
          <w:b/>
          <w:sz w:val="22"/>
          <w:szCs w:val="22"/>
        </w:rPr>
        <w:t>and t</w:t>
      </w:r>
      <w:r w:rsidR="00A07871" w:rsidRPr="00263267">
        <w:rPr>
          <w:rFonts w:ascii="Garamond" w:hAnsi="Garamond"/>
          <w:b/>
          <w:sz w:val="22"/>
          <w:szCs w:val="22"/>
        </w:rPr>
        <w:t>he R</w:t>
      </w:r>
      <w:r w:rsidRPr="00263267">
        <w:rPr>
          <w:rFonts w:ascii="Garamond" w:hAnsi="Garamond"/>
          <w:b/>
          <w:sz w:val="22"/>
          <w:szCs w:val="22"/>
        </w:rPr>
        <w:t>ole</w:t>
      </w:r>
      <w:r w:rsidR="00A07871" w:rsidRPr="00263267">
        <w:rPr>
          <w:rFonts w:ascii="Garamond" w:hAnsi="Garamond"/>
          <w:b/>
          <w:sz w:val="22"/>
          <w:szCs w:val="22"/>
        </w:rPr>
        <w:t xml:space="preserve"> of </w:t>
      </w:r>
      <w:r w:rsidR="00446AA3" w:rsidRPr="00263267">
        <w:rPr>
          <w:rFonts w:ascii="Garamond" w:hAnsi="Garamond"/>
          <w:b/>
          <w:sz w:val="22"/>
          <w:szCs w:val="22"/>
        </w:rPr>
        <w:t>Intermediary Organisations</w:t>
      </w:r>
    </w:p>
    <w:p w14:paraId="3C1F2241" w14:textId="1538E6B1" w:rsidR="008C6022" w:rsidRPr="002D6617" w:rsidRDefault="006B562D" w:rsidP="006D08D9">
      <w:pPr>
        <w:spacing w:line="276" w:lineRule="auto"/>
        <w:ind w:right="-52"/>
        <w:jc w:val="both"/>
        <w:rPr>
          <w:rFonts w:ascii="Garamond" w:hAnsi="Garamond"/>
          <w:bCs/>
          <w:color w:val="000000" w:themeColor="text1"/>
          <w:sz w:val="22"/>
          <w:szCs w:val="22"/>
        </w:rPr>
      </w:pPr>
      <w:r w:rsidRPr="00263267">
        <w:rPr>
          <w:rFonts w:ascii="Garamond" w:eastAsia="Garamond" w:hAnsi="Garamond" w:cs="Calibri"/>
          <w:color w:val="000000" w:themeColor="text1"/>
          <w:sz w:val="22"/>
          <w:szCs w:val="22"/>
        </w:rPr>
        <w:t xml:space="preserve">Since the </w:t>
      </w:r>
      <w:r w:rsidR="00DC5F2F">
        <w:rPr>
          <w:rFonts w:ascii="Garamond" w:eastAsia="Garamond" w:hAnsi="Garamond" w:cs="Calibri"/>
          <w:color w:val="000000" w:themeColor="text1"/>
          <w:sz w:val="22"/>
          <w:szCs w:val="22"/>
        </w:rPr>
        <w:t>financial crisis of</w:t>
      </w:r>
      <w:r w:rsidRPr="00263267">
        <w:rPr>
          <w:rFonts w:ascii="Garamond" w:eastAsia="Garamond" w:hAnsi="Garamond" w:cs="Calibri"/>
          <w:color w:val="000000" w:themeColor="text1"/>
          <w:sz w:val="22"/>
          <w:szCs w:val="22"/>
        </w:rPr>
        <w:t xml:space="preserve"> </w:t>
      </w:r>
      <w:r w:rsidR="00DC5F2F">
        <w:rPr>
          <w:rFonts w:ascii="Garamond" w:eastAsia="Garamond" w:hAnsi="Garamond" w:cs="Calibri"/>
          <w:color w:val="000000" w:themeColor="text1"/>
          <w:sz w:val="22"/>
          <w:szCs w:val="22"/>
        </w:rPr>
        <w:t xml:space="preserve">2008 reforms to </w:t>
      </w:r>
      <w:r w:rsidRPr="00263267">
        <w:rPr>
          <w:rFonts w:ascii="Garamond" w:eastAsia="Garamond" w:hAnsi="Garamond" w:cs="Calibri"/>
          <w:color w:val="000000" w:themeColor="text1"/>
          <w:sz w:val="22"/>
          <w:szCs w:val="22"/>
        </w:rPr>
        <w:t xml:space="preserve">the planning system in </w:t>
      </w:r>
      <w:r w:rsidR="00D919E3" w:rsidRPr="00263267">
        <w:rPr>
          <w:rFonts w:ascii="Garamond" w:eastAsia="Garamond" w:hAnsi="Garamond" w:cs="Calibri"/>
          <w:color w:val="000000" w:themeColor="text1"/>
          <w:sz w:val="22"/>
          <w:szCs w:val="22"/>
        </w:rPr>
        <w:t>England</w:t>
      </w:r>
      <w:r w:rsidR="00DC5F2F">
        <w:rPr>
          <w:rFonts w:ascii="Garamond" w:eastAsia="Garamond" w:hAnsi="Garamond" w:cs="Calibri"/>
          <w:color w:val="000000" w:themeColor="text1"/>
          <w:sz w:val="22"/>
          <w:szCs w:val="22"/>
        </w:rPr>
        <w:t>, as elsewhere,</w:t>
      </w:r>
      <w:r w:rsidRPr="00263267">
        <w:rPr>
          <w:rFonts w:ascii="Garamond" w:eastAsia="Garamond" w:hAnsi="Garamond" w:cs="Calibri"/>
          <w:color w:val="000000" w:themeColor="text1"/>
          <w:sz w:val="22"/>
          <w:szCs w:val="22"/>
        </w:rPr>
        <w:t xml:space="preserve"> ha</w:t>
      </w:r>
      <w:r w:rsidR="00DC5F2F">
        <w:rPr>
          <w:rFonts w:ascii="Garamond" w:eastAsia="Garamond" w:hAnsi="Garamond" w:cs="Calibri"/>
          <w:color w:val="000000" w:themeColor="text1"/>
          <w:sz w:val="22"/>
          <w:szCs w:val="22"/>
        </w:rPr>
        <w:t>ve</w:t>
      </w:r>
      <w:r w:rsidRPr="00263267">
        <w:rPr>
          <w:rFonts w:ascii="Garamond" w:eastAsia="Garamond" w:hAnsi="Garamond" w:cs="Calibri"/>
          <w:color w:val="000000" w:themeColor="text1"/>
          <w:sz w:val="22"/>
          <w:szCs w:val="22"/>
        </w:rPr>
        <w:t xml:space="preserve"> become increasingly driven by </w:t>
      </w:r>
      <w:r w:rsidR="006E07CD" w:rsidRPr="00263267">
        <w:rPr>
          <w:rFonts w:ascii="Garamond" w:eastAsia="Garamond" w:hAnsi="Garamond" w:cs="Calibri"/>
          <w:color w:val="000000" w:themeColor="text1"/>
          <w:sz w:val="22"/>
          <w:szCs w:val="22"/>
        </w:rPr>
        <w:t>a growth</w:t>
      </w:r>
      <w:r w:rsidRPr="00263267">
        <w:rPr>
          <w:rFonts w:ascii="Garamond" w:eastAsia="Garamond" w:hAnsi="Garamond" w:cs="Calibri"/>
          <w:color w:val="000000" w:themeColor="text1"/>
          <w:sz w:val="22"/>
          <w:szCs w:val="22"/>
        </w:rPr>
        <w:t>-centred approach</w:t>
      </w:r>
      <w:r w:rsidR="003800E5">
        <w:rPr>
          <w:rFonts w:ascii="Garamond" w:eastAsia="Garamond" w:hAnsi="Garamond" w:cs="Calibri"/>
          <w:color w:val="000000" w:themeColor="text1"/>
          <w:sz w:val="22"/>
          <w:szCs w:val="22"/>
        </w:rPr>
        <w:t xml:space="preserve"> </w:t>
      </w:r>
      <w:r w:rsidR="003800E5">
        <w:rPr>
          <w:rFonts w:ascii="Garamond" w:eastAsia="Garamond" w:hAnsi="Garamond" w:cs="Calibri"/>
          <w:color w:val="000000" w:themeColor="text1"/>
          <w:sz w:val="22"/>
          <w:szCs w:val="22"/>
        </w:rPr>
        <w:fldChar w:fldCharType="begin"/>
      </w:r>
      <w:r w:rsidR="003800E5">
        <w:rPr>
          <w:rFonts w:ascii="Garamond" w:eastAsia="Garamond" w:hAnsi="Garamond" w:cs="Calibri"/>
          <w:color w:val="000000" w:themeColor="text1"/>
          <w:sz w:val="22"/>
          <w:szCs w:val="22"/>
        </w:rPr>
        <w:instrText xml:space="preserve"> ADDIN ZOTERO_ITEM CSL_CITATION {"citationID":"6xWqRe0f","properties":{"formattedCitation":"(Ferm &amp; Tomaney, 2018)","plainCitation":"(Ferm &amp; Tomaney, 2018)","noteIndex":0},"citationItems":[{"id":3879,"uris":["http://zotero.org/groups/2307100/items/UK7C88QP"],"uri":["http://zotero.org/groups/2307100/items/UK7C88QP"],"itemData":{"id":3879,"type":"chapter","ISBN":"0-8153-8483-1","publisher":"Routledge","title":"Conclusion: Beyond Reflective, Deliberative Practice","author":[{"family":"Ferm","given":""},{"family":"Tomaney","given":"John"}],"issued":{"date-parts":[["2018"]]}}}],"schema":"https://github.com/citation-style-language/schema/raw/master/csl-citation.json"} </w:instrText>
      </w:r>
      <w:r w:rsidR="003800E5">
        <w:rPr>
          <w:rFonts w:ascii="Garamond" w:eastAsia="Garamond" w:hAnsi="Garamond" w:cs="Calibri"/>
          <w:color w:val="000000" w:themeColor="text1"/>
          <w:sz w:val="22"/>
          <w:szCs w:val="22"/>
        </w:rPr>
        <w:fldChar w:fldCharType="separate"/>
      </w:r>
      <w:r w:rsidR="003800E5">
        <w:rPr>
          <w:rFonts w:ascii="Garamond" w:eastAsia="Garamond" w:hAnsi="Garamond" w:cs="Calibri"/>
          <w:noProof/>
          <w:color w:val="000000" w:themeColor="text1"/>
          <w:sz w:val="22"/>
          <w:szCs w:val="22"/>
        </w:rPr>
        <w:t>(Ferm &amp; Tomaney, 2018)</w:t>
      </w:r>
      <w:r w:rsidR="003800E5">
        <w:rPr>
          <w:rFonts w:ascii="Garamond" w:eastAsia="Garamond" w:hAnsi="Garamond" w:cs="Calibri"/>
          <w:color w:val="000000" w:themeColor="text1"/>
          <w:sz w:val="22"/>
          <w:szCs w:val="22"/>
        </w:rPr>
        <w:fldChar w:fldCharType="end"/>
      </w:r>
      <w:r w:rsidR="003E17E9">
        <w:rPr>
          <w:rFonts w:ascii="Garamond" w:eastAsia="Garamond" w:hAnsi="Garamond" w:cs="Calibri"/>
          <w:color w:val="000000" w:themeColor="text1"/>
          <w:sz w:val="22"/>
          <w:szCs w:val="22"/>
        </w:rPr>
        <w:t>.</w:t>
      </w:r>
      <w:r w:rsidRPr="00263267">
        <w:rPr>
          <w:rFonts w:ascii="Garamond" w:eastAsia="Garamond" w:hAnsi="Garamond" w:cs="Calibri"/>
          <w:color w:val="000000" w:themeColor="text1"/>
          <w:sz w:val="22"/>
          <w:szCs w:val="22"/>
        </w:rPr>
        <w:t xml:space="preserve"> </w:t>
      </w:r>
      <w:r w:rsidR="002D6617" w:rsidRPr="00263267">
        <w:rPr>
          <w:rFonts w:ascii="Garamond" w:hAnsi="Garamond"/>
          <w:bCs/>
          <w:color w:val="000000" w:themeColor="text1"/>
          <w:sz w:val="22"/>
          <w:szCs w:val="22"/>
        </w:rPr>
        <w:t>The rationale for</w:t>
      </w:r>
      <w:r w:rsidR="00E713C7">
        <w:rPr>
          <w:rFonts w:ascii="Garamond" w:hAnsi="Garamond"/>
          <w:bCs/>
          <w:color w:val="000000" w:themeColor="text1"/>
          <w:sz w:val="22"/>
          <w:szCs w:val="22"/>
        </w:rPr>
        <w:t xml:space="preserve"> </w:t>
      </w:r>
      <w:r w:rsidR="002D6617">
        <w:rPr>
          <w:rFonts w:ascii="Garamond" w:hAnsi="Garamond"/>
          <w:bCs/>
          <w:color w:val="000000" w:themeColor="text1"/>
          <w:sz w:val="22"/>
          <w:szCs w:val="22"/>
        </w:rPr>
        <w:t>change is</w:t>
      </w:r>
      <w:r w:rsidR="002D6617" w:rsidRPr="00263267">
        <w:rPr>
          <w:rFonts w:ascii="Garamond" w:hAnsi="Garamond"/>
          <w:bCs/>
          <w:color w:val="000000" w:themeColor="text1"/>
          <w:sz w:val="22"/>
          <w:szCs w:val="22"/>
        </w:rPr>
        <w:t xml:space="preserve"> to boost housing supply and promote infrastructure development stalled by the</w:t>
      </w:r>
      <w:r w:rsidR="002D6617">
        <w:rPr>
          <w:rFonts w:ascii="Garamond" w:hAnsi="Garamond"/>
          <w:bCs/>
          <w:color w:val="000000" w:themeColor="text1"/>
          <w:sz w:val="22"/>
          <w:szCs w:val="22"/>
        </w:rPr>
        <w:t xml:space="preserve"> imagined</w:t>
      </w:r>
      <w:r w:rsidR="002D6617" w:rsidRPr="00263267">
        <w:rPr>
          <w:rFonts w:ascii="Garamond" w:hAnsi="Garamond"/>
          <w:bCs/>
          <w:color w:val="000000" w:themeColor="text1"/>
          <w:sz w:val="22"/>
          <w:szCs w:val="22"/>
        </w:rPr>
        <w:t xml:space="preserve"> ‘burden</w:t>
      </w:r>
      <w:r w:rsidR="002D6617">
        <w:rPr>
          <w:rFonts w:ascii="Garamond" w:hAnsi="Garamond"/>
          <w:bCs/>
          <w:color w:val="000000" w:themeColor="text1"/>
          <w:sz w:val="22"/>
          <w:szCs w:val="22"/>
        </w:rPr>
        <w:t>s</w:t>
      </w:r>
      <w:r w:rsidR="002D6617" w:rsidRPr="00263267">
        <w:rPr>
          <w:rFonts w:ascii="Garamond" w:hAnsi="Garamond"/>
          <w:bCs/>
          <w:color w:val="000000" w:themeColor="text1"/>
          <w:sz w:val="22"/>
          <w:szCs w:val="22"/>
        </w:rPr>
        <w:t xml:space="preserve">’ of </w:t>
      </w:r>
      <w:r w:rsidR="00E713C7">
        <w:rPr>
          <w:rFonts w:ascii="Garamond" w:hAnsi="Garamond"/>
          <w:bCs/>
          <w:color w:val="000000" w:themeColor="text1"/>
          <w:sz w:val="22"/>
          <w:szCs w:val="22"/>
        </w:rPr>
        <w:t>regulatory</w:t>
      </w:r>
      <w:r w:rsidR="002D6617" w:rsidRPr="00263267">
        <w:rPr>
          <w:rFonts w:ascii="Garamond" w:hAnsi="Garamond"/>
          <w:bCs/>
          <w:color w:val="000000" w:themeColor="text1"/>
          <w:sz w:val="22"/>
          <w:szCs w:val="22"/>
        </w:rPr>
        <w:t xml:space="preserve"> obligations </w:t>
      </w:r>
      <w:r w:rsidR="002D6617" w:rsidRPr="00263267">
        <w:rPr>
          <w:rFonts w:ascii="Garamond" w:hAnsi="Garamond"/>
          <w:bCs/>
          <w:color w:val="000000" w:themeColor="text1"/>
          <w:sz w:val="22"/>
          <w:szCs w:val="22"/>
        </w:rPr>
        <w:fldChar w:fldCharType="begin"/>
      </w:r>
      <w:r w:rsidR="002D6617" w:rsidRPr="00263267">
        <w:rPr>
          <w:rFonts w:ascii="Garamond" w:hAnsi="Garamond"/>
          <w:bCs/>
          <w:color w:val="000000" w:themeColor="text1"/>
          <w:sz w:val="22"/>
          <w:szCs w:val="22"/>
        </w:rPr>
        <w:instrText xml:space="preserve"> ADDIN ZOTERO_ITEM CSL_CITATION {"citationID":"Udta7bVl","properties":{"formattedCitation":"(McAllister, 2019)","plainCitation":"(McAllister, 2019)","noteIndex":0},"citationItems":[{"id":875,"uris":["http://zotero.org/groups/2307100/items/2V77WFGA"],"uri":["http://zotero.org/groups/2307100/items/2V77WFGA"],"itemData":{"id":875,"type":"article-journal","abstract":"Given their importance in the formation and implementation of planning policies in the UK, this paper focuses on the use of development-viability tests to determine how land value uplifts could be distributed between landowners and the community. Following a discussion of planning obligations as a quasibetterment tax that can both capture and create land values, alternative approaches to operationalising benchmark land value (BLV) are evaluated. The effects of different approaches to BLV on potential land value capture are simulated to identify and compare implied betterment tax rates and to estimate viable affordable-housing proportions. It is concluded that different approaches to BLV have a range of strengths and weaknesses. The susceptibility of viability models to error and bias renders planning processes based on them vulnerable to opportunistic behaviour and prone to miscalculation.","container-title":"Town Planning Review","DOI":"10.3828/tpr.2019.28","ISSN":"0041-0020","issue":"4","journalAbbreviation":"Town Planning Review","page":"429-451","source":"online.liverpooluniversitypress.co.uk (Atypon)","title":"The taxing problems of land value capture, planning obligations and viability tests: some reasonable models?","title-short":"The taxing problems of land value capture, planning obligations and viability tests","volume":"90","author":[{"family":"McAllister","given":"Pat"}],"issued":{"date-parts":[["2019",6,1]]}}}],"schema":"https://github.com/citation-style-language/schema/raw/master/csl-citation.json"} </w:instrText>
      </w:r>
      <w:r w:rsidR="002D6617" w:rsidRPr="00263267">
        <w:rPr>
          <w:rFonts w:ascii="Garamond" w:hAnsi="Garamond"/>
          <w:bCs/>
          <w:color w:val="000000" w:themeColor="text1"/>
          <w:sz w:val="22"/>
          <w:szCs w:val="22"/>
        </w:rPr>
        <w:fldChar w:fldCharType="separate"/>
      </w:r>
      <w:r w:rsidR="002D6617" w:rsidRPr="00263267">
        <w:rPr>
          <w:rFonts w:ascii="Garamond" w:hAnsi="Garamond"/>
          <w:bCs/>
          <w:noProof/>
          <w:color w:val="000000" w:themeColor="text1"/>
          <w:sz w:val="22"/>
          <w:szCs w:val="22"/>
        </w:rPr>
        <w:t>(McAllister, 2019)</w:t>
      </w:r>
      <w:r w:rsidR="002D6617" w:rsidRPr="00263267">
        <w:rPr>
          <w:rFonts w:ascii="Garamond" w:hAnsi="Garamond"/>
          <w:bCs/>
          <w:color w:val="000000" w:themeColor="text1"/>
          <w:sz w:val="22"/>
          <w:szCs w:val="22"/>
        </w:rPr>
        <w:fldChar w:fldCharType="end"/>
      </w:r>
      <w:r w:rsidR="002D6617" w:rsidRPr="00263267">
        <w:rPr>
          <w:rFonts w:ascii="Garamond" w:hAnsi="Garamond"/>
          <w:bCs/>
          <w:color w:val="000000" w:themeColor="text1"/>
          <w:sz w:val="22"/>
          <w:szCs w:val="22"/>
        </w:rPr>
        <w:t xml:space="preserve">.  </w:t>
      </w:r>
      <w:r w:rsidR="002D6617" w:rsidRPr="00B9259C">
        <w:rPr>
          <w:rFonts w:ascii="Garamond" w:hAnsi="Garamond" w:cs="Times New Roman"/>
          <w:color w:val="000000" w:themeColor="text1"/>
          <w:sz w:val="22"/>
          <w:szCs w:val="22"/>
        </w:rPr>
        <w:t xml:space="preserve">Traditions of area-based initiatives and community-focused </w:t>
      </w:r>
      <w:r w:rsidR="00E713C7">
        <w:rPr>
          <w:rFonts w:ascii="Garamond" w:hAnsi="Garamond" w:cs="Times New Roman"/>
          <w:color w:val="000000" w:themeColor="text1"/>
          <w:sz w:val="22"/>
          <w:szCs w:val="22"/>
        </w:rPr>
        <w:t xml:space="preserve">urban </w:t>
      </w:r>
      <w:r w:rsidR="002D6617" w:rsidRPr="00B9259C">
        <w:rPr>
          <w:rFonts w:ascii="Garamond" w:hAnsi="Garamond" w:cs="Times New Roman"/>
          <w:color w:val="000000" w:themeColor="text1"/>
          <w:sz w:val="22"/>
          <w:szCs w:val="22"/>
        </w:rPr>
        <w:t xml:space="preserve">planning have given way to an intensification and re-tooling of </w:t>
      </w:r>
      <w:r w:rsidR="002D6617" w:rsidRPr="00B9259C">
        <w:rPr>
          <w:rFonts w:ascii="Garamond" w:hAnsi="Garamond" w:cs="Times New Roman"/>
          <w:i/>
          <w:color w:val="000000" w:themeColor="text1"/>
          <w:sz w:val="22"/>
          <w:szCs w:val="22"/>
        </w:rPr>
        <w:t xml:space="preserve">market-led </w:t>
      </w:r>
      <w:r w:rsidR="002D6617" w:rsidRPr="00B9259C">
        <w:rPr>
          <w:rFonts w:ascii="Garamond" w:hAnsi="Garamond" w:cs="Times New Roman"/>
          <w:color w:val="000000" w:themeColor="text1"/>
          <w:sz w:val="22"/>
          <w:szCs w:val="22"/>
        </w:rPr>
        <w:t xml:space="preserve">arrangements.  </w:t>
      </w:r>
      <w:r w:rsidR="003E17E9" w:rsidRPr="002D6617">
        <w:rPr>
          <w:rFonts w:ascii="Garamond" w:eastAsia="Garamond" w:hAnsi="Garamond" w:cs="Calibri"/>
          <w:color w:val="000000" w:themeColor="text1"/>
          <w:sz w:val="22"/>
          <w:szCs w:val="22"/>
        </w:rPr>
        <w:t>New regulatory fi</w:t>
      </w:r>
      <w:r w:rsidR="003E17E9" w:rsidRPr="000242AC">
        <w:rPr>
          <w:rFonts w:ascii="Garamond" w:eastAsia="Garamond" w:hAnsi="Garamond" w:cs="Calibri"/>
          <w:color w:val="000000" w:themeColor="text1"/>
          <w:sz w:val="22"/>
          <w:szCs w:val="22"/>
        </w:rPr>
        <w:t>xes have been introduc</w:t>
      </w:r>
      <w:r w:rsidR="003E17E9" w:rsidRPr="00F32941">
        <w:rPr>
          <w:rFonts w:ascii="Garamond" w:eastAsia="Garamond" w:hAnsi="Garamond" w:cs="Calibri"/>
          <w:color w:val="000000" w:themeColor="text1"/>
          <w:sz w:val="22"/>
          <w:szCs w:val="22"/>
        </w:rPr>
        <w:t>ed</w:t>
      </w:r>
      <w:r w:rsidR="003E17E9">
        <w:rPr>
          <w:rFonts w:ascii="Garamond" w:eastAsia="Garamond" w:hAnsi="Garamond" w:cs="Calibri"/>
          <w:color w:val="000000" w:themeColor="text1"/>
          <w:sz w:val="22"/>
          <w:szCs w:val="22"/>
        </w:rPr>
        <w:t xml:space="preserve"> that seek</w:t>
      </w:r>
      <w:r w:rsidRPr="00263267">
        <w:rPr>
          <w:rFonts w:ascii="Garamond" w:eastAsia="Garamond" w:hAnsi="Garamond" w:cs="Calibri"/>
          <w:color w:val="000000" w:themeColor="text1"/>
          <w:sz w:val="22"/>
          <w:szCs w:val="22"/>
        </w:rPr>
        <w:t xml:space="preserve"> to </w:t>
      </w:r>
      <w:r w:rsidR="00D5136B">
        <w:rPr>
          <w:rFonts w:ascii="Garamond" w:eastAsia="Garamond" w:hAnsi="Garamond" w:cs="Calibri"/>
          <w:color w:val="000000" w:themeColor="text1"/>
          <w:sz w:val="22"/>
          <w:szCs w:val="22"/>
        </w:rPr>
        <w:t xml:space="preserve">both </w:t>
      </w:r>
      <w:r w:rsidRPr="00263267">
        <w:rPr>
          <w:rFonts w:ascii="Garamond" w:eastAsia="Garamond" w:hAnsi="Garamond" w:cs="Calibri"/>
          <w:color w:val="000000" w:themeColor="text1"/>
          <w:sz w:val="22"/>
          <w:szCs w:val="22"/>
        </w:rPr>
        <w:t xml:space="preserve">free-up and empower private sector actors </w:t>
      </w:r>
      <w:r w:rsidR="00D5136B">
        <w:rPr>
          <w:rFonts w:ascii="Garamond" w:eastAsia="Garamond" w:hAnsi="Garamond" w:cs="Calibri"/>
          <w:color w:val="000000" w:themeColor="text1"/>
          <w:sz w:val="22"/>
          <w:szCs w:val="22"/>
        </w:rPr>
        <w:t xml:space="preserve">and create financial incentives </w:t>
      </w:r>
      <w:r w:rsidR="003E17E9">
        <w:rPr>
          <w:rFonts w:ascii="Garamond" w:eastAsia="Garamond" w:hAnsi="Garamond" w:cs="Calibri"/>
          <w:color w:val="000000" w:themeColor="text1"/>
          <w:sz w:val="22"/>
          <w:szCs w:val="22"/>
        </w:rPr>
        <w:t xml:space="preserve">for local planning agencies and communities to encourage </w:t>
      </w:r>
      <w:r w:rsidR="002D6617">
        <w:rPr>
          <w:rFonts w:ascii="Garamond" w:eastAsia="Garamond" w:hAnsi="Garamond" w:cs="Calibri"/>
          <w:color w:val="000000" w:themeColor="text1"/>
          <w:sz w:val="22"/>
          <w:szCs w:val="22"/>
        </w:rPr>
        <w:t>new</w:t>
      </w:r>
      <w:r w:rsidR="003E17E9">
        <w:rPr>
          <w:rFonts w:ascii="Garamond" w:eastAsia="Garamond" w:hAnsi="Garamond" w:cs="Calibri"/>
          <w:color w:val="000000" w:themeColor="text1"/>
          <w:sz w:val="22"/>
          <w:szCs w:val="22"/>
        </w:rPr>
        <w:t xml:space="preserve"> development, rather than opposing it</w:t>
      </w:r>
      <w:r w:rsidRPr="00263267">
        <w:rPr>
          <w:rFonts w:ascii="Garamond" w:eastAsia="Garamond" w:hAnsi="Garamond" w:cs="Calibri"/>
          <w:color w:val="000000" w:themeColor="text1"/>
          <w:sz w:val="22"/>
          <w:szCs w:val="22"/>
        </w:rPr>
        <w:t xml:space="preserve">. </w:t>
      </w:r>
      <w:r w:rsidR="00B83510" w:rsidRPr="00263267">
        <w:rPr>
          <w:rFonts w:ascii="Garamond" w:hAnsi="Garamond"/>
          <w:bCs/>
          <w:color w:val="000000" w:themeColor="text1"/>
          <w:sz w:val="22"/>
          <w:szCs w:val="22"/>
        </w:rPr>
        <w:t>The</w:t>
      </w:r>
      <w:r w:rsidR="003E17E9">
        <w:rPr>
          <w:rFonts w:ascii="Garamond" w:hAnsi="Garamond"/>
          <w:bCs/>
          <w:color w:val="000000" w:themeColor="text1"/>
          <w:sz w:val="22"/>
          <w:szCs w:val="22"/>
        </w:rPr>
        <w:t xml:space="preserve"> principal regulatory mechanism introduced to expedite these reforms</w:t>
      </w:r>
      <w:r w:rsidR="00B83510" w:rsidRPr="00263267">
        <w:rPr>
          <w:rFonts w:ascii="Garamond" w:hAnsi="Garamond"/>
          <w:bCs/>
          <w:color w:val="000000" w:themeColor="text1"/>
          <w:sz w:val="22"/>
          <w:szCs w:val="22"/>
        </w:rPr>
        <w:t xml:space="preserve"> </w:t>
      </w:r>
      <w:r w:rsidR="00581D51" w:rsidRPr="00263267">
        <w:rPr>
          <w:rFonts w:ascii="Garamond" w:hAnsi="Garamond"/>
          <w:bCs/>
          <w:color w:val="000000" w:themeColor="text1"/>
          <w:sz w:val="22"/>
          <w:szCs w:val="22"/>
        </w:rPr>
        <w:t>ha</w:t>
      </w:r>
      <w:r w:rsidR="00B83510" w:rsidRPr="00263267">
        <w:rPr>
          <w:rFonts w:ascii="Garamond" w:hAnsi="Garamond"/>
          <w:bCs/>
          <w:color w:val="000000" w:themeColor="text1"/>
          <w:sz w:val="22"/>
          <w:szCs w:val="22"/>
        </w:rPr>
        <w:t>s been</w:t>
      </w:r>
      <w:r w:rsidR="00581D51" w:rsidRPr="00263267">
        <w:rPr>
          <w:rFonts w:ascii="Garamond" w:hAnsi="Garamond"/>
          <w:bCs/>
          <w:color w:val="000000" w:themeColor="text1"/>
          <w:sz w:val="22"/>
          <w:szCs w:val="22"/>
        </w:rPr>
        <w:t xml:space="preserve"> an expansion of</w:t>
      </w:r>
      <w:r w:rsidR="002D6617">
        <w:rPr>
          <w:rFonts w:ascii="Garamond" w:hAnsi="Garamond"/>
          <w:bCs/>
          <w:color w:val="000000" w:themeColor="text1"/>
          <w:sz w:val="22"/>
          <w:szCs w:val="22"/>
        </w:rPr>
        <w:t xml:space="preserve"> target-driven</w:t>
      </w:r>
      <w:r w:rsidR="00581D51" w:rsidRPr="00263267">
        <w:rPr>
          <w:rFonts w:ascii="Garamond" w:hAnsi="Garamond"/>
          <w:bCs/>
          <w:color w:val="000000" w:themeColor="text1"/>
          <w:sz w:val="22"/>
          <w:szCs w:val="22"/>
        </w:rPr>
        <w:t xml:space="preserve"> </w:t>
      </w:r>
      <w:r w:rsidR="00581D51" w:rsidRPr="00263267">
        <w:rPr>
          <w:rFonts w:ascii="Garamond" w:hAnsi="Garamond"/>
          <w:bCs/>
          <w:i/>
          <w:color w:val="000000" w:themeColor="text1"/>
          <w:sz w:val="22"/>
          <w:szCs w:val="22"/>
        </w:rPr>
        <w:t>financial viability criteria</w:t>
      </w:r>
      <w:r w:rsidR="00581D51" w:rsidRPr="00263267">
        <w:rPr>
          <w:rFonts w:ascii="Garamond" w:hAnsi="Garamond"/>
          <w:bCs/>
          <w:color w:val="000000" w:themeColor="text1"/>
          <w:sz w:val="22"/>
          <w:szCs w:val="22"/>
        </w:rPr>
        <w:t xml:space="preserve"> </w:t>
      </w:r>
      <w:r w:rsidR="00581D51" w:rsidRPr="00263267">
        <w:rPr>
          <w:rFonts w:ascii="Garamond" w:hAnsi="Garamond"/>
          <w:bCs/>
          <w:i/>
          <w:color w:val="000000" w:themeColor="text1"/>
          <w:sz w:val="22"/>
          <w:szCs w:val="22"/>
        </w:rPr>
        <w:t>and quantitative metrics</w:t>
      </w:r>
      <w:r w:rsidR="00581D51" w:rsidRPr="00263267">
        <w:rPr>
          <w:rFonts w:ascii="Garamond" w:hAnsi="Garamond"/>
          <w:bCs/>
          <w:color w:val="000000" w:themeColor="text1"/>
          <w:sz w:val="22"/>
          <w:szCs w:val="22"/>
        </w:rPr>
        <w:t xml:space="preserve"> </w:t>
      </w:r>
      <w:r w:rsidR="00B83510" w:rsidRPr="00263267">
        <w:rPr>
          <w:rFonts w:ascii="Garamond" w:hAnsi="Garamond"/>
          <w:bCs/>
          <w:color w:val="000000" w:themeColor="text1"/>
          <w:sz w:val="22"/>
          <w:szCs w:val="22"/>
        </w:rPr>
        <w:t xml:space="preserve">and a growing focus on </w:t>
      </w:r>
      <w:r w:rsidR="00F32941">
        <w:rPr>
          <w:rFonts w:ascii="Garamond" w:hAnsi="Garamond"/>
          <w:bCs/>
          <w:color w:val="000000" w:themeColor="text1"/>
          <w:sz w:val="22"/>
          <w:szCs w:val="22"/>
        </w:rPr>
        <w:t xml:space="preserve">the </w:t>
      </w:r>
      <w:r w:rsidR="00AD5618">
        <w:rPr>
          <w:rFonts w:ascii="Garamond" w:hAnsi="Garamond"/>
          <w:bCs/>
          <w:color w:val="000000" w:themeColor="text1"/>
          <w:sz w:val="22"/>
          <w:szCs w:val="22"/>
        </w:rPr>
        <w:t>conversion</w:t>
      </w:r>
      <w:r w:rsidR="00F32941">
        <w:rPr>
          <w:rFonts w:ascii="Garamond" w:hAnsi="Garamond"/>
          <w:bCs/>
          <w:color w:val="000000" w:themeColor="text1"/>
          <w:sz w:val="22"/>
          <w:szCs w:val="22"/>
        </w:rPr>
        <w:t xml:space="preserve"> of places </w:t>
      </w:r>
      <w:r w:rsidR="00AD5618">
        <w:rPr>
          <w:rFonts w:ascii="Garamond" w:hAnsi="Garamond"/>
          <w:bCs/>
          <w:color w:val="000000" w:themeColor="text1"/>
          <w:sz w:val="22"/>
          <w:szCs w:val="22"/>
        </w:rPr>
        <w:t>into spaces for economic growth and development</w:t>
      </w:r>
      <w:r w:rsidR="00581D51" w:rsidRPr="00263267">
        <w:rPr>
          <w:rFonts w:ascii="Garamond" w:hAnsi="Garamond"/>
          <w:bCs/>
          <w:color w:val="000000" w:themeColor="text1"/>
          <w:sz w:val="22"/>
          <w:szCs w:val="22"/>
        </w:rPr>
        <w:t xml:space="preserve">.  </w:t>
      </w:r>
      <w:r w:rsidR="00B83510" w:rsidRPr="00263267">
        <w:rPr>
          <w:rFonts w:ascii="Garamond" w:hAnsi="Garamond"/>
          <w:bCs/>
          <w:color w:val="000000" w:themeColor="text1"/>
          <w:sz w:val="22"/>
          <w:szCs w:val="22"/>
        </w:rPr>
        <w:t>T</w:t>
      </w:r>
      <w:r w:rsidR="00A85344" w:rsidRPr="00263267">
        <w:rPr>
          <w:rFonts w:ascii="Garamond" w:hAnsi="Garamond"/>
          <w:bCs/>
          <w:color w:val="000000" w:themeColor="text1"/>
          <w:sz w:val="22"/>
          <w:szCs w:val="22"/>
        </w:rPr>
        <w:t xml:space="preserve">he most significant </w:t>
      </w:r>
      <w:r w:rsidR="00F32941">
        <w:rPr>
          <w:rFonts w:ascii="Garamond" w:hAnsi="Garamond"/>
          <w:bCs/>
          <w:color w:val="000000" w:themeColor="text1"/>
          <w:sz w:val="22"/>
          <w:szCs w:val="22"/>
        </w:rPr>
        <w:t xml:space="preserve">statutory </w:t>
      </w:r>
      <w:r w:rsidR="00A85344" w:rsidRPr="00263267">
        <w:rPr>
          <w:rFonts w:ascii="Garamond" w:hAnsi="Garamond"/>
          <w:bCs/>
          <w:color w:val="000000" w:themeColor="text1"/>
          <w:sz w:val="22"/>
          <w:szCs w:val="22"/>
        </w:rPr>
        <w:t xml:space="preserve">intervention </w:t>
      </w:r>
      <w:r w:rsidR="00616B26" w:rsidRPr="00263267">
        <w:rPr>
          <w:rFonts w:ascii="Garamond" w:hAnsi="Garamond"/>
          <w:bCs/>
          <w:color w:val="000000" w:themeColor="text1"/>
          <w:sz w:val="22"/>
          <w:szCs w:val="22"/>
        </w:rPr>
        <w:t>was</w:t>
      </w:r>
      <w:r w:rsidR="00581D51" w:rsidRPr="00263267">
        <w:rPr>
          <w:rFonts w:ascii="Garamond" w:hAnsi="Garamond"/>
          <w:bCs/>
          <w:color w:val="000000" w:themeColor="text1"/>
          <w:sz w:val="22"/>
          <w:szCs w:val="22"/>
        </w:rPr>
        <w:t xml:space="preserve"> </w:t>
      </w:r>
      <w:r w:rsidR="008C6022" w:rsidRPr="00263267">
        <w:rPr>
          <w:rFonts w:ascii="Garamond" w:hAnsi="Garamond"/>
          <w:bCs/>
          <w:color w:val="000000" w:themeColor="text1"/>
          <w:sz w:val="22"/>
          <w:szCs w:val="22"/>
        </w:rPr>
        <w:t>the</w:t>
      </w:r>
      <w:r w:rsidR="00581D51" w:rsidRPr="00263267">
        <w:rPr>
          <w:rFonts w:ascii="Garamond" w:hAnsi="Garamond"/>
          <w:bCs/>
          <w:color w:val="000000" w:themeColor="text1"/>
          <w:sz w:val="22"/>
          <w:szCs w:val="22"/>
        </w:rPr>
        <w:t xml:space="preserve"> introduction of </w:t>
      </w:r>
      <w:r w:rsidR="00F32941">
        <w:rPr>
          <w:rFonts w:ascii="Garamond" w:hAnsi="Garamond"/>
          <w:bCs/>
          <w:color w:val="000000" w:themeColor="text1"/>
          <w:sz w:val="22"/>
          <w:szCs w:val="22"/>
        </w:rPr>
        <w:t>a</w:t>
      </w:r>
      <w:r w:rsidR="008C6022" w:rsidRPr="00263267">
        <w:rPr>
          <w:rFonts w:ascii="Garamond" w:hAnsi="Garamond"/>
          <w:bCs/>
          <w:color w:val="000000" w:themeColor="text1"/>
          <w:sz w:val="22"/>
          <w:szCs w:val="22"/>
        </w:rPr>
        <w:t xml:space="preserve"> </w:t>
      </w:r>
      <w:r w:rsidR="00581D51" w:rsidRPr="00263267">
        <w:rPr>
          <w:rFonts w:ascii="Garamond" w:hAnsi="Garamond"/>
          <w:bCs/>
          <w:i/>
          <w:color w:val="000000" w:themeColor="text1"/>
          <w:sz w:val="22"/>
          <w:szCs w:val="22"/>
        </w:rPr>
        <w:t>National Planning Policy Framewor</w:t>
      </w:r>
      <w:r w:rsidR="008C6022" w:rsidRPr="00263267">
        <w:rPr>
          <w:rFonts w:ascii="Garamond" w:hAnsi="Garamond"/>
          <w:bCs/>
          <w:i/>
          <w:color w:val="000000" w:themeColor="text1"/>
          <w:sz w:val="22"/>
          <w:szCs w:val="22"/>
        </w:rPr>
        <w:t xml:space="preserve">k </w:t>
      </w:r>
      <w:r w:rsidR="00581D51" w:rsidRPr="00263267">
        <w:rPr>
          <w:rFonts w:ascii="Garamond" w:hAnsi="Garamond"/>
          <w:bCs/>
          <w:color w:val="000000" w:themeColor="text1"/>
          <w:sz w:val="22"/>
          <w:szCs w:val="22"/>
        </w:rPr>
        <w:t>[NPPF]</w:t>
      </w:r>
      <w:r w:rsidR="00F32941">
        <w:rPr>
          <w:rFonts w:ascii="Garamond" w:hAnsi="Garamond"/>
          <w:bCs/>
          <w:color w:val="000000" w:themeColor="text1"/>
          <w:sz w:val="22"/>
          <w:szCs w:val="22"/>
        </w:rPr>
        <w:t xml:space="preserve"> in 2012</w:t>
      </w:r>
      <w:r w:rsidR="00581D51" w:rsidRPr="00263267">
        <w:rPr>
          <w:rFonts w:ascii="Garamond" w:hAnsi="Garamond"/>
          <w:bCs/>
          <w:color w:val="000000" w:themeColor="text1"/>
          <w:sz w:val="22"/>
          <w:szCs w:val="22"/>
        </w:rPr>
        <w:t xml:space="preserve"> that formalised and rolled-out</w:t>
      </w:r>
      <w:r w:rsidR="008C6022" w:rsidRPr="00263267">
        <w:rPr>
          <w:rFonts w:ascii="Garamond" w:hAnsi="Garamond"/>
          <w:bCs/>
          <w:color w:val="000000" w:themeColor="text1"/>
          <w:sz w:val="22"/>
          <w:szCs w:val="22"/>
        </w:rPr>
        <w:t xml:space="preserve"> this approach</w:t>
      </w:r>
      <w:r w:rsidR="00581D51" w:rsidRPr="00263267">
        <w:rPr>
          <w:rFonts w:ascii="Garamond" w:hAnsi="Garamond"/>
          <w:bCs/>
          <w:color w:val="000000" w:themeColor="text1"/>
          <w:sz w:val="22"/>
          <w:szCs w:val="22"/>
        </w:rPr>
        <w:t xml:space="preserve"> across England. </w:t>
      </w:r>
      <w:r w:rsidR="00581D51" w:rsidRPr="00263267">
        <w:rPr>
          <w:rFonts w:ascii="Garamond" w:hAnsi="Garamond"/>
          <w:color w:val="000000" w:themeColor="text1"/>
          <w:sz w:val="22"/>
          <w:szCs w:val="22"/>
        </w:rPr>
        <w:t xml:space="preserve">For the first time, central </w:t>
      </w:r>
      <w:r w:rsidR="006D6F38">
        <w:rPr>
          <w:rFonts w:ascii="Garamond" w:hAnsi="Garamond"/>
          <w:color w:val="000000" w:themeColor="text1"/>
          <w:sz w:val="22"/>
          <w:szCs w:val="22"/>
        </w:rPr>
        <w:t>g</w:t>
      </w:r>
      <w:r w:rsidR="00581D51" w:rsidRPr="00263267">
        <w:rPr>
          <w:rFonts w:ascii="Garamond" w:hAnsi="Garamond"/>
          <w:color w:val="000000" w:themeColor="text1"/>
          <w:sz w:val="22"/>
          <w:szCs w:val="22"/>
        </w:rPr>
        <w:t xml:space="preserve">overnment identified </w:t>
      </w:r>
      <w:r w:rsidR="00F32941">
        <w:rPr>
          <w:rFonts w:ascii="Garamond" w:hAnsi="Garamond"/>
          <w:color w:val="000000" w:themeColor="text1"/>
          <w:sz w:val="22"/>
          <w:szCs w:val="22"/>
        </w:rPr>
        <w:t>private sector profits and returns</w:t>
      </w:r>
      <w:r w:rsidR="00F32941" w:rsidRPr="00263267">
        <w:rPr>
          <w:rFonts w:ascii="Garamond" w:hAnsi="Garamond"/>
          <w:color w:val="000000" w:themeColor="text1"/>
          <w:sz w:val="22"/>
          <w:szCs w:val="22"/>
        </w:rPr>
        <w:t xml:space="preserve"> </w:t>
      </w:r>
      <w:r w:rsidR="00581D51" w:rsidRPr="00263267">
        <w:rPr>
          <w:rFonts w:ascii="Garamond" w:hAnsi="Garamond"/>
          <w:color w:val="000000" w:themeColor="text1"/>
          <w:sz w:val="22"/>
          <w:szCs w:val="22"/>
        </w:rPr>
        <w:t xml:space="preserve">as a ‘planning concern’, </w:t>
      </w:r>
      <w:r w:rsidR="00F32941">
        <w:rPr>
          <w:rFonts w:ascii="Garamond" w:hAnsi="Garamond"/>
          <w:color w:val="000000" w:themeColor="text1"/>
          <w:sz w:val="22"/>
          <w:szCs w:val="22"/>
        </w:rPr>
        <w:t xml:space="preserve">and </w:t>
      </w:r>
      <w:r w:rsidR="00581D51" w:rsidRPr="00263267">
        <w:rPr>
          <w:rFonts w:ascii="Garamond" w:hAnsi="Garamond"/>
          <w:color w:val="000000" w:themeColor="text1"/>
          <w:sz w:val="22"/>
          <w:szCs w:val="22"/>
        </w:rPr>
        <w:t>requir</w:t>
      </w:r>
      <w:r w:rsidR="00F32941">
        <w:rPr>
          <w:rFonts w:ascii="Garamond" w:hAnsi="Garamond"/>
          <w:color w:val="000000" w:themeColor="text1"/>
          <w:sz w:val="22"/>
          <w:szCs w:val="22"/>
        </w:rPr>
        <w:t>ed</w:t>
      </w:r>
      <w:r w:rsidR="00581D51" w:rsidRPr="00263267">
        <w:rPr>
          <w:rFonts w:ascii="Garamond" w:hAnsi="Garamond"/>
          <w:color w:val="000000" w:themeColor="text1"/>
          <w:sz w:val="22"/>
          <w:szCs w:val="22"/>
        </w:rPr>
        <w:t xml:space="preserve"> planners</w:t>
      </w:r>
      <w:r w:rsidR="00F32941">
        <w:rPr>
          <w:rFonts w:ascii="Garamond" w:hAnsi="Garamond"/>
          <w:color w:val="000000" w:themeColor="text1"/>
          <w:sz w:val="22"/>
          <w:szCs w:val="22"/>
        </w:rPr>
        <w:t xml:space="preserve"> and place communities</w:t>
      </w:r>
      <w:r w:rsidR="00581D51" w:rsidRPr="00263267">
        <w:rPr>
          <w:rFonts w:ascii="Garamond" w:hAnsi="Garamond"/>
          <w:color w:val="000000" w:themeColor="text1"/>
          <w:sz w:val="22"/>
          <w:szCs w:val="22"/>
        </w:rPr>
        <w:t xml:space="preserve"> to be ‘mindful</w:t>
      </w:r>
      <w:r w:rsidR="00F32941">
        <w:rPr>
          <w:rFonts w:ascii="Garamond" w:hAnsi="Garamond"/>
          <w:color w:val="000000" w:themeColor="text1"/>
          <w:sz w:val="22"/>
          <w:szCs w:val="22"/>
        </w:rPr>
        <w:t>’</w:t>
      </w:r>
      <w:r w:rsidR="00581D51" w:rsidRPr="00263267">
        <w:rPr>
          <w:rFonts w:ascii="Garamond" w:hAnsi="Garamond"/>
          <w:color w:val="000000" w:themeColor="text1"/>
          <w:sz w:val="22"/>
          <w:szCs w:val="22"/>
        </w:rPr>
        <w:t xml:space="preserve"> of </w:t>
      </w:r>
      <w:r w:rsidR="00F32941">
        <w:rPr>
          <w:rFonts w:ascii="Garamond" w:hAnsi="Garamond"/>
          <w:color w:val="000000" w:themeColor="text1"/>
          <w:sz w:val="22"/>
          <w:szCs w:val="22"/>
        </w:rPr>
        <w:t>‘</w:t>
      </w:r>
      <w:r w:rsidR="00581D51" w:rsidRPr="00263267">
        <w:rPr>
          <w:rFonts w:ascii="Garamond" w:hAnsi="Garamond"/>
          <w:color w:val="000000" w:themeColor="text1"/>
          <w:sz w:val="22"/>
          <w:szCs w:val="22"/>
        </w:rPr>
        <w:t>market realism’.  Subsequent</w:t>
      </w:r>
      <w:r w:rsidR="00F32941">
        <w:rPr>
          <w:rFonts w:ascii="Garamond" w:hAnsi="Garamond"/>
          <w:color w:val="000000" w:themeColor="text1"/>
          <w:sz w:val="22"/>
          <w:szCs w:val="22"/>
        </w:rPr>
        <w:t xml:space="preserve"> reforms were published </w:t>
      </w:r>
      <w:r w:rsidR="00581D51" w:rsidRPr="00263267">
        <w:rPr>
          <w:rFonts w:ascii="Garamond" w:hAnsi="Garamond"/>
          <w:color w:val="000000" w:themeColor="text1"/>
          <w:sz w:val="22"/>
          <w:szCs w:val="22"/>
        </w:rPr>
        <w:fldChar w:fldCharType="begin"/>
      </w:r>
      <w:r w:rsidR="003E0E99">
        <w:rPr>
          <w:rFonts w:ascii="Garamond" w:hAnsi="Garamond"/>
          <w:color w:val="000000" w:themeColor="text1"/>
          <w:sz w:val="22"/>
          <w:szCs w:val="22"/>
        </w:rPr>
        <w:instrText xml:space="preserve"> ADDIN ZOTERO_ITEM CSL_CITATION {"citationID":"hHg6sH7O","properties":{"formattedCitation":"(MHCLG, 2018)","plainCitation":"(MHCLG, 2018)","dontUpdate":true,"noteIndex":0},"citationItems":[{"id":3052,"uris":["http://zotero.org/groups/2307100/items/374VPEHV"],"uri":["http://zotero.org/groups/2307100/items/374VPEHV"],"itemData":{"id":3052,"type":"article","publisher":"HMSO: London","title":"What next for planning in England? The National Planning Policy Framework","author":[{"family":"MHCLG","given":""}],"issued":{"date-parts":[["2018"]]}}}],"schema":"https://github.com/citation-style-language/schema/raw/master/csl-citation.json"} </w:instrText>
      </w:r>
      <w:r w:rsidR="00581D51" w:rsidRPr="00263267">
        <w:rPr>
          <w:rFonts w:ascii="Garamond" w:hAnsi="Garamond"/>
          <w:color w:val="000000" w:themeColor="text1"/>
          <w:sz w:val="22"/>
          <w:szCs w:val="22"/>
        </w:rPr>
        <w:fldChar w:fldCharType="separate"/>
      </w:r>
      <w:r w:rsidR="00581D51" w:rsidRPr="00263267">
        <w:rPr>
          <w:rFonts w:ascii="Garamond" w:hAnsi="Garamond"/>
          <w:noProof/>
          <w:color w:val="000000" w:themeColor="text1"/>
          <w:sz w:val="22"/>
          <w:szCs w:val="22"/>
        </w:rPr>
        <w:t>(</w:t>
      </w:r>
      <w:r w:rsidR="00B63B93">
        <w:rPr>
          <w:rFonts w:ascii="Garamond" w:hAnsi="Garamond"/>
          <w:i/>
          <w:noProof/>
          <w:color w:val="000000" w:themeColor="text1"/>
          <w:sz w:val="22"/>
          <w:szCs w:val="22"/>
        </w:rPr>
        <w:t xml:space="preserve">cf. </w:t>
      </w:r>
      <w:r w:rsidR="00581D51" w:rsidRPr="00263267">
        <w:rPr>
          <w:rFonts w:ascii="Garamond" w:hAnsi="Garamond"/>
          <w:noProof/>
          <w:color w:val="000000" w:themeColor="text1"/>
          <w:sz w:val="22"/>
          <w:szCs w:val="22"/>
        </w:rPr>
        <w:t>MHCLG, 2018)</w:t>
      </w:r>
      <w:r w:rsidR="00581D51" w:rsidRPr="00263267">
        <w:rPr>
          <w:rFonts w:ascii="Garamond" w:hAnsi="Garamond"/>
          <w:color w:val="000000" w:themeColor="text1"/>
          <w:sz w:val="22"/>
          <w:szCs w:val="22"/>
        </w:rPr>
        <w:fldChar w:fldCharType="end"/>
      </w:r>
      <w:r w:rsidR="00581D51" w:rsidRPr="00263267">
        <w:rPr>
          <w:rFonts w:ascii="Garamond" w:hAnsi="Garamond"/>
          <w:color w:val="000000" w:themeColor="text1"/>
          <w:sz w:val="22"/>
          <w:szCs w:val="22"/>
        </w:rPr>
        <w:t>,</w:t>
      </w:r>
      <w:r w:rsidR="00F32941">
        <w:rPr>
          <w:rFonts w:ascii="Garamond" w:hAnsi="Garamond"/>
          <w:color w:val="000000" w:themeColor="text1"/>
          <w:sz w:val="22"/>
          <w:szCs w:val="22"/>
        </w:rPr>
        <w:t xml:space="preserve"> that</w:t>
      </w:r>
      <w:r w:rsidR="00616B26" w:rsidRPr="00263267">
        <w:rPr>
          <w:rFonts w:ascii="Garamond" w:hAnsi="Garamond"/>
          <w:color w:val="000000" w:themeColor="text1"/>
          <w:sz w:val="22"/>
          <w:szCs w:val="22"/>
        </w:rPr>
        <w:t xml:space="preserve"> </w:t>
      </w:r>
      <w:r w:rsidR="00581D51" w:rsidRPr="00263267">
        <w:rPr>
          <w:rFonts w:ascii="Garamond" w:hAnsi="Garamond"/>
          <w:color w:val="000000" w:themeColor="text1"/>
          <w:sz w:val="22"/>
          <w:szCs w:val="22"/>
        </w:rPr>
        <w:t>emphasised the importance of planning authorities</w:t>
      </w:r>
      <w:r w:rsidR="00616B26" w:rsidRPr="00263267">
        <w:rPr>
          <w:rFonts w:ascii="Garamond" w:hAnsi="Garamond"/>
          <w:color w:val="000000" w:themeColor="text1"/>
          <w:sz w:val="22"/>
          <w:szCs w:val="22"/>
        </w:rPr>
        <w:t xml:space="preserve"> taking into account – in policy making and planning decisions –</w:t>
      </w:r>
      <w:r w:rsidR="003E1D10">
        <w:rPr>
          <w:rFonts w:ascii="Garamond" w:hAnsi="Garamond"/>
          <w:color w:val="000000" w:themeColor="text1"/>
          <w:sz w:val="22"/>
          <w:szCs w:val="22"/>
        </w:rPr>
        <w:t xml:space="preserve"> </w:t>
      </w:r>
      <w:r w:rsidR="00616B26" w:rsidRPr="00263267">
        <w:rPr>
          <w:rFonts w:ascii="Garamond" w:hAnsi="Garamond"/>
          <w:color w:val="000000" w:themeColor="text1"/>
          <w:sz w:val="22"/>
          <w:szCs w:val="22"/>
        </w:rPr>
        <w:t xml:space="preserve">the need for </w:t>
      </w:r>
      <w:r w:rsidR="00581D51" w:rsidRPr="00263267">
        <w:rPr>
          <w:rFonts w:ascii="Garamond" w:hAnsi="Garamond"/>
          <w:color w:val="000000" w:themeColor="text1"/>
          <w:sz w:val="22"/>
          <w:szCs w:val="22"/>
        </w:rPr>
        <w:t xml:space="preserve">private developers and landowners </w:t>
      </w:r>
      <w:r w:rsidR="00616B26" w:rsidRPr="00263267">
        <w:rPr>
          <w:rFonts w:ascii="Garamond" w:hAnsi="Garamond"/>
          <w:color w:val="000000" w:themeColor="text1"/>
          <w:sz w:val="22"/>
          <w:szCs w:val="22"/>
        </w:rPr>
        <w:t>to</w:t>
      </w:r>
      <w:r w:rsidR="00581D51" w:rsidRPr="00263267">
        <w:rPr>
          <w:rFonts w:ascii="Garamond" w:hAnsi="Garamond"/>
          <w:color w:val="000000" w:themeColor="text1"/>
          <w:sz w:val="22"/>
          <w:szCs w:val="22"/>
        </w:rPr>
        <w:t xml:space="preserve"> make ‘reasonable’ profits </w:t>
      </w:r>
      <w:r w:rsidR="008C6022" w:rsidRPr="00263267">
        <w:rPr>
          <w:rFonts w:ascii="Garamond" w:hAnsi="Garamond"/>
          <w:color w:val="000000" w:themeColor="text1"/>
          <w:sz w:val="22"/>
          <w:szCs w:val="22"/>
        </w:rPr>
        <w:t>and generate</w:t>
      </w:r>
      <w:r w:rsidR="00581D51" w:rsidRPr="00263267">
        <w:rPr>
          <w:rFonts w:ascii="Garamond" w:hAnsi="Garamond"/>
          <w:color w:val="000000" w:themeColor="text1"/>
          <w:sz w:val="22"/>
          <w:szCs w:val="22"/>
        </w:rPr>
        <w:t xml:space="preserve"> planning gains for </w:t>
      </w:r>
      <w:r w:rsidR="00616B26" w:rsidRPr="00263267">
        <w:rPr>
          <w:rFonts w:ascii="Garamond" w:hAnsi="Garamond"/>
          <w:color w:val="000000" w:themeColor="text1"/>
          <w:sz w:val="22"/>
          <w:szCs w:val="22"/>
        </w:rPr>
        <w:t xml:space="preserve">both </w:t>
      </w:r>
      <w:r w:rsidR="00581D51" w:rsidRPr="00263267">
        <w:rPr>
          <w:rFonts w:ascii="Garamond" w:hAnsi="Garamond"/>
          <w:color w:val="000000" w:themeColor="text1"/>
          <w:sz w:val="22"/>
          <w:szCs w:val="22"/>
        </w:rPr>
        <w:t>social an</w:t>
      </w:r>
      <w:r w:rsidR="008C6022" w:rsidRPr="00263267">
        <w:rPr>
          <w:rFonts w:ascii="Garamond" w:hAnsi="Garamond"/>
          <w:color w:val="000000" w:themeColor="text1"/>
          <w:sz w:val="22"/>
          <w:szCs w:val="22"/>
        </w:rPr>
        <w:t>d</w:t>
      </w:r>
      <w:r w:rsidR="00581D51" w:rsidRPr="00263267">
        <w:rPr>
          <w:rFonts w:ascii="Garamond" w:hAnsi="Garamond"/>
          <w:color w:val="000000" w:themeColor="text1"/>
          <w:sz w:val="22"/>
          <w:szCs w:val="22"/>
        </w:rPr>
        <w:t xml:space="preserve"> </w:t>
      </w:r>
      <w:r w:rsidR="00616B26" w:rsidRPr="00263267">
        <w:rPr>
          <w:rFonts w:ascii="Garamond" w:hAnsi="Garamond"/>
          <w:color w:val="000000" w:themeColor="text1"/>
          <w:sz w:val="22"/>
          <w:szCs w:val="22"/>
        </w:rPr>
        <w:t xml:space="preserve">physical </w:t>
      </w:r>
      <w:r w:rsidR="00581D51" w:rsidRPr="00263267">
        <w:rPr>
          <w:rFonts w:ascii="Garamond" w:hAnsi="Garamond"/>
          <w:color w:val="000000" w:themeColor="text1"/>
          <w:sz w:val="22"/>
          <w:szCs w:val="22"/>
        </w:rPr>
        <w:t>infrastructure</w:t>
      </w:r>
      <w:r w:rsidR="00F32941">
        <w:rPr>
          <w:rFonts w:ascii="Garamond" w:hAnsi="Garamond"/>
          <w:color w:val="000000" w:themeColor="text1"/>
          <w:sz w:val="22"/>
          <w:szCs w:val="22"/>
        </w:rPr>
        <w:t xml:space="preserve"> </w:t>
      </w:r>
      <w:r w:rsidR="00581D51"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{"citationID":"JbXd3exq","properties":{"formattedCitation":"(Bradley, 2020)","plainCitation":"(Bradley, 2020)","noteIndex":0},"citationItems":[{"id":3160,"uris":["http://zotero.org/groups/2307100/items/TC7VRUCY"],"uri":["http://zotero.org/groups/2307100/items/TC7VRUCY"],"itemData":{"id":3160,"type":"article-journal","abstract":"The aim of this article is to identify the calculative practices that turn urban development planning into the supply-side of land financialisation. My focus is on the statutory planning of housing supply and the accounting procedures, or market devices, that normalise the practices of land speculation in the earliest stage of the urban development process. I provide an analysis of the accountancy regime used by planning authorities in England to evidence a 5-year supply of housing land. Drawing on the work of Michel Callon on market framing, I assess the activities of economic agents in performing or ?formatting? this supply, its boundaries, externalities and rules of operation. I evidence the effect of this formatting in normalising the treatment of land as a financial asset and in orienting the statutory regulation of land supply to the provision of opportunities for the capture of increased ground rent at a cost to the delivery of new homes.","container-title":"Urban Studies","DOI":"10.1177/0042098020907278","ISSN":"0042-0980","journalAbbreviation":"Urban Studies","note":"publisher: SAGE Publications Ltd","page":"0042098020907278","title":"The financialisation of housing land supply in England","author":[{"family":"Bradley","given":"Quintin"}],"issued":{"date-parts":[["2020",3,10]]}}}],"schema":"https://github.com/citation-style-language/schema/raw/master/csl-citation.json"} </w:instrText>
      </w:r>
      <w:r w:rsidR="00581D51" w:rsidRPr="00263267">
        <w:rPr>
          <w:rFonts w:ascii="Garamond" w:hAnsi="Garamond"/>
          <w:color w:val="000000" w:themeColor="text1"/>
          <w:sz w:val="22"/>
          <w:szCs w:val="22"/>
        </w:rPr>
        <w:fldChar w:fldCharType="separate"/>
      </w:r>
      <w:r w:rsidR="00581D51" w:rsidRPr="00263267">
        <w:rPr>
          <w:rFonts w:ascii="Garamond" w:hAnsi="Garamond"/>
          <w:noProof/>
          <w:color w:val="000000" w:themeColor="text1"/>
          <w:sz w:val="22"/>
          <w:szCs w:val="22"/>
        </w:rPr>
        <w:t>(Bradley, 2020)</w:t>
      </w:r>
      <w:r w:rsidR="00581D51" w:rsidRPr="00263267">
        <w:rPr>
          <w:rFonts w:ascii="Garamond" w:hAnsi="Garamond"/>
          <w:color w:val="000000" w:themeColor="text1"/>
          <w:sz w:val="22"/>
          <w:szCs w:val="22"/>
        </w:rPr>
        <w:fldChar w:fldCharType="end"/>
      </w:r>
      <w:r w:rsidR="00581D51" w:rsidRPr="00263267">
        <w:rPr>
          <w:rFonts w:ascii="Garamond" w:hAnsi="Garamond"/>
          <w:color w:val="000000" w:themeColor="text1"/>
          <w:sz w:val="22"/>
          <w:szCs w:val="22"/>
        </w:rPr>
        <w:t xml:space="preserve">.  </w:t>
      </w:r>
    </w:p>
    <w:p w14:paraId="5C28F6B9" w14:textId="77777777" w:rsidR="008C6022" w:rsidRPr="00263267" w:rsidRDefault="008C6022" w:rsidP="006D08D9">
      <w:pPr>
        <w:spacing w:line="276" w:lineRule="auto"/>
        <w:ind w:right="-52"/>
        <w:jc w:val="both"/>
        <w:rPr>
          <w:rFonts w:ascii="Garamond" w:hAnsi="Garamond" w:cs="Calibri"/>
          <w:color w:val="000000" w:themeColor="text1"/>
          <w:sz w:val="22"/>
          <w:szCs w:val="22"/>
        </w:rPr>
      </w:pPr>
    </w:p>
    <w:p w14:paraId="787C1F26" w14:textId="69F5FA39" w:rsidR="00E631EA" w:rsidRPr="00263267" w:rsidRDefault="008C6022" w:rsidP="006D08D9">
      <w:pPr>
        <w:spacing w:line="276" w:lineRule="auto"/>
        <w:ind w:right="-52"/>
        <w:jc w:val="both"/>
        <w:rPr>
          <w:rFonts w:ascii="Garamond" w:hAnsi="Garamond" w:cs="Calibri"/>
          <w:color w:val="000000" w:themeColor="text1"/>
          <w:sz w:val="22"/>
          <w:szCs w:val="22"/>
        </w:rPr>
      </w:pPr>
      <w:r w:rsidRPr="00263267">
        <w:rPr>
          <w:rFonts w:ascii="Garamond" w:hAnsi="Garamond" w:cs="Calibri"/>
          <w:color w:val="000000" w:themeColor="text1"/>
          <w:sz w:val="22"/>
          <w:szCs w:val="22"/>
        </w:rPr>
        <w:t xml:space="preserve">The growing reliance of planning policy on market </w:t>
      </w:r>
      <w:r w:rsidR="00A85344" w:rsidRPr="00263267">
        <w:rPr>
          <w:rFonts w:ascii="Garamond" w:hAnsi="Garamond" w:cs="Calibri"/>
          <w:color w:val="000000" w:themeColor="text1"/>
          <w:sz w:val="22"/>
          <w:szCs w:val="22"/>
        </w:rPr>
        <w:t xml:space="preserve">knowledge and </w:t>
      </w:r>
      <w:r w:rsidR="00934D00" w:rsidRPr="00263267">
        <w:rPr>
          <w:rFonts w:ascii="Garamond" w:hAnsi="Garamond" w:cs="Calibri"/>
          <w:color w:val="000000" w:themeColor="text1"/>
          <w:sz w:val="22"/>
          <w:szCs w:val="22"/>
        </w:rPr>
        <w:t>valuation-based</w:t>
      </w:r>
      <w:r w:rsidR="00A85344" w:rsidRPr="00263267">
        <w:rPr>
          <w:rFonts w:ascii="Garamond" w:hAnsi="Garamond" w:cs="Calibri"/>
          <w:color w:val="000000" w:themeColor="text1"/>
          <w:sz w:val="22"/>
          <w:szCs w:val="22"/>
        </w:rPr>
        <w:t xml:space="preserve"> delivery mechanisms put</w:t>
      </w:r>
      <w:r w:rsidR="00E631EA" w:rsidRPr="00263267">
        <w:rPr>
          <w:rFonts w:ascii="Garamond" w:hAnsi="Garamond" w:cs="Calibri"/>
          <w:color w:val="000000" w:themeColor="text1"/>
          <w:sz w:val="22"/>
          <w:szCs w:val="22"/>
        </w:rPr>
        <w:t>s</w:t>
      </w:r>
      <w:r w:rsidRPr="00263267">
        <w:rPr>
          <w:rFonts w:ascii="Garamond" w:hAnsi="Garamond" w:cs="Calibri"/>
          <w:color w:val="000000" w:themeColor="text1"/>
          <w:sz w:val="22"/>
          <w:szCs w:val="22"/>
        </w:rPr>
        <w:t xml:space="preserve"> professional actors</w:t>
      </w:r>
      <w:r w:rsidR="00A85344" w:rsidRPr="00263267">
        <w:rPr>
          <w:rFonts w:ascii="Garamond" w:hAnsi="Garamond" w:cs="Calibri"/>
          <w:color w:val="000000" w:themeColor="text1"/>
          <w:sz w:val="22"/>
          <w:szCs w:val="22"/>
        </w:rPr>
        <w:t>, and their representative organisations, in a</w:t>
      </w:r>
      <w:r w:rsidR="00E631EA" w:rsidRPr="00263267">
        <w:rPr>
          <w:rFonts w:ascii="Garamond" w:hAnsi="Garamond" w:cs="Calibri"/>
          <w:color w:val="000000" w:themeColor="text1"/>
          <w:sz w:val="22"/>
          <w:szCs w:val="22"/>
        </w:rPr>
        <w:t>n influential</w:t>
      </w:r>
      <w:r w:rsidRPr="00263267">
        <w:rPr>
          <w:rFonts w:ascii="Garamond" w:hAnsi="Garamond" w:cs="Calibri"/>
          <w:color w:val="000000" w:themeColor="text1"/>
          <w:sz w:val="22"/>
          <w:szCs w:val="22"/>
        </w:rPr>
        <w:t xml:space="preserve"> </w:t>
      </w:r>
      <w:r w:rsidRPr="00263267">
        <w:rPr>
          <w:rFonts w:ascii="Garamond" w:hAnsi="Garamond" w:cs="Calibri"/>
          <w:i/>
          <w:color w:val="000000" w:themeColor="text1"/>
          <w:sz w:val="22"/>
          <w:szCs w:val="22"/>
        </w:rPr>
        <w:t>intermediar</w:t>
      </w:r>
      <w:r w:rsidR="00A85344" w:rsidRPr="00263267">
        <w:rPr>
          <w:rFonts w:ascii="Garamond" w:hAnsi="Garamond" w:cs="Calibri"/>
          <w:i/>
          <w:color w:val="000000" w:themeColor="text1"/>
          <w:sz w:val="22"/>
          <w:szCs w:val="22"/>
        </w:rPr>
        <w:t>y role</w:t>
      </w:r>
      <w:r w:rsidR="00A80874" w:rsidRPr="00263267">
        <w:rPr>
          <w:rFonts w:ascii="Garamond" w:hAnsi="Garamond" w:cs="Calibri"/>
          <w:iCs/>
          <w:color w:val="000000" w:themeColor="text1"/>
          <w:sz w:val="22"/>
          <w:szCs w:val="22"/>
        </w:rPr>
        <w:t xml:space="preserve">, albeit </w:t>
      </w:r>
      <w:r w:rsidR="00804E67">
        <w:rPr>
          <w:rFonts w:ascii="Garamond" w:hAnsi="Garamond" w:cs="Calibri"/>
          <w:iCs/>
          <w:color w:val="000000" w:themeColor="text1"/>
          <w:sz w:val="22"/>
          <w:szCs w:val="22"/>
        </w:rPr>
        <w:t xml:space="preserve">one </w:t>
      </w:r>
      <w:r w:rsidR="00A80874" w:rsidRPr="00263267">
        <w:rPr>
          <w:rFonts w:ascii="Garamond" w:hAnsi="Garamond" w:cs="Calibri"/>
          <w:iCs/>
          <w:color w:val="000000" w:themeColor="text1"/>
          <w:sz w:val="22"/>
          <w:szCs w:val="22"/>
        </w:rPr>
        <w:t>shaped by the specific configurations of knowledge and expertise that they possess</w:t>
      </w:r>
      <w:r w:rsidR="00A85344" w:rsidRPr="00263267">
        <w:rPr>
          <w:rFonts w:ascii="Garamond" w:hAnsi="Garamond" w:cs="Calibri"/>
          <w:color w:val="000000" w:themeColor="text1"/>
          <w:sz w:val="22"/>
          <w:szCs w:val="22"/>
        </w:rPr>
        <w:t>.</w:t>
      </w:r>
      <w:r w:rsidR="00E631EA" w:rsidRPr="00263267">
        <w:rPr>
          <w:rFonts w:ascii="Garamond" w:hAnsi="Garamond" w:cs="Calibri"/>
          <w:color w:val="000000" w:themeColor="text1"/>
          <w:sz w:val="22"/>
          <w:szCs w:val="22"/>
        </w:rPr>
        <w:t xml:space="preserve">  Reforms have been underpinned by a ‘deficit model’ of knowledge in which government actors</w:t>
      </w:r>
      <w:r w:rsidR="00505A71" w:rsidRPr="00263267">
        <w:rPr>
          <w:rFonts w:ascii="Garamond" w:hAnsi="Garamond" w:cs="Calibri"/>
          <w:color w:val="000000" w:themeColor="text1"/>
          <w:sz w:val="22"/>
          <w:szCs w:val="22"/>
        </w:rPr>
        <w:t xml:space="preserve"> (</w:t>
      </w:r>
      <w:r w:rsidR="00E631EA" w:rsidRPr="00263267">
        <w:rPr>
          <w:rFonts w:ascii="Garamond" w:hAnsi="Garamond" w:cs="Calibri"/>
          <w:color w:val="000000" w:themeColor="text1"/>
          <w:sz w:val="22"/>
          <w:szCs w:val="22"/>
        </w:rPr>
        <w:t>including planners</w:t>
      </w:r>
      <w:r w:rsidR="00505A71" w:rsidRPr="00263267">
        <w:rPr>
          <w:rFonts w:ascii="Garamond" w:hAnsi="Garamond" w:cs="Calibri"/>
          <w:color w:val="000000" w:themeColor="text1"/>
          <w:sz w:val="22"/>
          <w:szCs w:val="22"/>
        </w:rPr>
        <w:t>)</w:t>
      </w:r>
      <w:r w:rsidR="00E631EA" w:rsidRPr="00263267">
        <w:rPr>
          <w:rFonts w:ascii="Garamond" w:hAnsi="Garamond" w:cs="Calibri"/>
          <w:color w:val="000000" w:themeColor="text1"/>
          <w:sz w:val="22"/>
          <w:szCs w:val="22"/>
        </w:rPr>
        <w:t xml:space="preserve"> and civil society publics, are seen to lack the necessary expertise to deliver and manage the shift towards market-driven policy and its more technical and calculative components </w:t>
      </w:r>
      <w:r w:rsidR="00E631EA" w:rsidRPr="00263267">
        <w:rPr>
          <w:rFonts w:ascii="Garamond" w:hAnsi="Garamond" w:cs="Calibri"/>
          <w:color w:val="000000" w:themeColor="text1"/>
          <w:sz w:val="22"/>
          <w:szCs w:val="22"/>
        </w:rPr>
        <w:fldChar w:fldCharType="begin"/>
      </w:r>
      <w:r w:rsidR="00270F18">
        <w:rPr>
          <w:rFonts w:ascii="Garamond" w:hAnsi="Garamond" w:cs="Calibri"/>
          <w:color w:val="000000" w:themeColor="text1"/>
          <w:sz w:val="22"/>
          <w:szCs w:val="22"/>
        </w:rPr>
        <w:instrText xml:space="preserve"> ADDIN ZOTERO_ITEM CSL_CITATION {"citationID":"CGmNlbE7","properties":{"formattedCitation":"(Bucchi, 2009)","plainCitation":"(Bucchi, 2009)","noteIndex":0},"citationItems":[{"id":3083,"uris":["http://zotero.org/groups/2307100/items/YKG8CUJM"],"uri":["http://zotero.org/groups/2307100/items/YKG8CUJM"],"itemData":{"id":3083,"type":"book","ISBN":"0-387-89522-1","publisher":"Springer Science &amp; Business Media","title":"Beyond technocracy: Science, politics and citizens","author":[{"family":"Bucchi","given":"Massimiano"}],"issued":{"date-parts":[["2009"]]}}}],"schema":"https://github.com/citation-style-language/schema/raw/master/csl-citation.json"} </w:instrText>
      </w:r>
      <w:r w:rsidR="00E631EA" w:rsidRPr="00263267">
        <w:rPr>
          <w:rFonts w:ascii="Garamond" w:hAnsi="Garamond" w:cs="Calibri"/>
          <w:color w:val="000000" w:themeColor="text1"/>
          <w:sz w:val="22"/>
          <w:szCs w:val="22"/>
        </w:rPr>
        <w:fldChar w:fldCharType="separate"/>
      </w:r>
      <w:r w:rsidR="00E631EA" w:rsidRPr="00263267">
        <w:rPr>
          <w:rFonts w:ascii="Garamond" w:hAnsi="Garamond" w:cs="Calibri"/>
          <w:noProof/>
          <w:color w:val="000000" w:themeColor="text1"/>
          <w:sz w:val="22"/>
          <w:szCs w:val="22"/>
        </w:rPr>
        <w:t>(Bucchi, 2009)</w:t>
      </w:r>
      <w:r w:rsidR="00E631EA" w:rsidRPr="00263267">
        <w:rPr>
          <w:rFonts w:ascii="Garamond" w:hAnsi="Garamond" w:cs="Calibri"/>
          <w:color w:val="000000" w:themeColor="text1"/>
          <w:sz w:val="22"/>
          <w:szCs w:val="22"/>
        </w:rPr>
        <w:fldChar w:fldCharType="end"/>
      </w:r>
      <w:r w:rsidR="00E631EA" w:rsidRPr="00263267">
        <w:rPr>
          <w:rFonts w:ascii="Garamond" w:hAnsi="Garamond" w:cs="Calibri"/>
          <w:color w:val="000000" w:themeColor="text1"/>
          <w:sz w:val="22"/>
          <w:szCs w:val="22"/>
        </w:rPr>
        <w:t>.  This in turn has opened</w:t>
      </w:r>
      <w:r w:rsidR="00D8755F">
        <w:rPr>
          <w:rFonts w:ascii="Garamond" w:hAnsi="Garamond" w:cs="Calibri"/>
          <w:color w:val="000000" w:themeColor="text1"/>
          <w:sz w:val="22"/>
          <w:szCs w:val="22"/>
        </w:rPr>
        <w:t>-up</w:t>
      </w:r>
      <w:r w:rsidR="007A2D69">
        <w:rPr>
          <w:rFonts w:ascii="Garamond" w:hAnsi="Garamond" w:cs="Calibri"/>
          <w:color w:val="000000" w:themeColor="text1"/>
          <w:sz w:val="22"/>
          <w:szCs w:val="22"/>
        </w:rPr>
        <w:t xml:space="preserve"> what Newman and Clarke (2018) call</w:t>
      </w:r>
      <w:r w:rsidR="00D8755F">
        <w:rPr>
          <w:rFonts w:ascii="Garamond" w:hAnsi="Garamond" w:cs="Calibri"/>
          <w:color w:val="000000" w:themeColor="text1"/>
          <w:sz w:val="22"/>
          <w:szCs w:val="22"/>
        </w:rPr>
        <w:t xml:space="preserve"> </w:t>
      </w:r>
      <w:r w:rsidR="007A2D69">
        <w:rPr>
          <w:rFonts w:ascii="Garamond" w:hAnsi="Garamond" w:cs="Calibri"/>
          <w:color w:val="000000" w:themeColor="text1"/>
          <w:sz w:val="22"/>
          <w:szCs w:val="22"/>
        </w:rPr>
        <w:t>‘</w:t>
      </w:r>
      <w:r w:rsidR="00E631EA" w:rsidRPr="00263267">
        <w:rPr>
          <w:rFonts w:ascii="Garamond" w:hAnsi="Garamond" w:cs="Calibri"/>
          <w:color w:val="000000" w:themeColor="text1"/>
          <w:sz w:val="22"/>
          <w:szCs w:val="22"/>
        </w:rPr>
        <w:t xml:space="preserve">new </w:t>
      </w:r>
      <w:r w:rsidR="007A2D69">
        <w:rPr>
          <w:rFonts w:ascii="Garamond" w:hAnsi="Garamond" w:cs="Calibri"/>
          <w:color w:val="000000" w:themeColor="text1"/>
          <w:sz w:val="22"/>
          <w:szCs w:val="22"/>
        </w:rPr>
        <w:t>conjunctures’ in which</w:t>
      </w:r>
      <w:r w:rsidR="007A2D69" w:rsidRPr="00263267">
        <w:rPr>
          <w:rFonts w:ascii="Garamond" w:hAnsi="Garamond" w:cs="Calibri"/>
          <w:color w:val="000000" w:themeColor="text1"/>
          <w:sz w:val="22"/>
          <w:szCs w:val="22"/>
        </w:rPr>
        <w:t xml:space="preserve"> </w:t>
      </w:r>
      <w:r w:rsidR="007A2D69">
        <w:rPr>
          <w:rFonts w:ascii="Garamond" w:hAnsi="Garamond" w:cs="Calibri"/>
          <w:color w:val="000000" w:themeColor="text1"/>
          <w:sz w:val="22"/>
          <w:szCs w:val="22"/>
        </w:rPr>
        <w:t xml:space="preserve">there is a regulatory demand </w:t>
      </w:r>
      <w:r w:rsidR="00E631EA" w:rsidRPr="00263267">
        <w:rPr>
          <w:rFonts w:ascii="Garamond" w:hAnsi="Garamond" w:cs="Calibri"/>
          <w:color w:val="000000" w:themeColor="text1"/>
          <w:sz w:val="22"/>
          <w:szCs w:val="22"/>
        </w:rPr>
        <w:t xml:space="preserve">for the incorporation of professional </w:t>
      </w:r>
      <w:r w:rsidR="007A2D69">
        <w:rPr>
          <w:rFonts w:ascii="Garamond" w:hAnsi="Garamond" w:cs="Calibri"/>
          <w:color w:val="000000" w:themeColor="text1"/>
          <w:sz w:val="22"/>
          <w:szCs w:val="22"/>
        </w:rPr>
        <w:t xml:space="preserve">built environment </w:t>
      </w:r>
      <w:r w:rsidR="00E631EA" w:rsidRPr="00263267">
        <w:rPr>
          <w:rFonts w:ascii="Garamond" w:hAnsi="Garamond" w:cs="Calibri"/>
          <w:color w:val="000000" w:themeColor="text1"/>
          <w:sz w:val="22"/>
          <w:szCs w:val="22"/>
        </w:rPr>
        <w:t xml:space="preserve">IOs </w:t>
      </w:r>
      <w:r w:rsidR="007A2D69">
        <w:rPr>
          <w:rFonts w:ascii="Garamond" w:hAnsi="Garamond" w:cs="Calibri"/>
          <w:color w:val="000000" w:themeColor="text1"/>
          <w:sz w:val="22"/>
          <w:szCs w:val="22"/>
        </w:rPr>
        <w:t xml:space="preserve">and the knowledge-practices they can provide </w:t>
      </w:r>
      <w:r w:rsidR="00E631EA" w:rsidRPr="00263267">
        <w:rPr>
          <w:rFonts w:ascii="Garamond" w:hAnsi="Garamond" w:cs="Calibri"/>
          <w:color w:val="000000" w:themeColor="text1"/>
          <w:sz w:val="22"/>
          <w:szCs w:val="22"/>
        </w:rPr>
        <w:t xml:space="preserve">at little or no direct cost to the state </w:t>
      </w:r>
      <w:r w:rsidR="00E631EA" w:rsidRPr="00263267">
        <w:rPr>
          <w:rFonts w:ascii="Garamond" w:eastAsia="Garamond" w:hAnsi="Garamond" w:cs="Calibri"/>
          <w:color w:val="000000" w:themeColor="text1"/>
          <w:sz w:val="22"/>
          <w:szCs w:val="22"/>
        </w:rPr>
        <w:fldChar w:fldCharType="begin"/>
      </w:r>
      <w:r w:rsidR="00270F18">
        <w:rPr>
          <w:rFonts w:ascii="Garamond" w:eastAsia="Garamond" w:hAnsi="Garamond" w:cs="Calibri"/>
          <w:color w:val="000000" w:themeColor="text1"/>
          <w:sz w:val="22"/>
          <w:szCs w:val="22"/>
        </w:rPr>
        <w:instrText xml:space="preserve"> ADDIN ZOTERO_ITEM CSL_CITATION {"citationID":"lmt4RHb3","properties":{"formattedCitation":"(Djelic &amp; Sahlin-Andersson, 2006)","plainCitation":"(Djelic &amp; Sahlin-Andersson, 2006)","dontUpdate":true,"noteIndex":0},"citationItems":[{"id":2932,"uris":["http://zotero.org/groups/2307100/items/5MBV8NEI"],"uri":["http://zotero.org/groups/2307100/items/5MBV8NEI"],"itemData":{"id":2932,"type":"book","ISBN":"1-139-45802-7","publisher":"Cambridge University Press","title":"Transnational governance: Institutional dynamics of regulation","author":[{"family":"Djelic","given":"Marie-Laure"},{"family":"Sahlin-Andersson","given":"Kerstin"}],"issued":{"date-parts":[["2006"]]}}}],"schema":"https://github.com/citation-style-language/schema/raw/master/csl-citation.json"} </w:instrText>
      </w:r>
      <w:r w:rsidR="00E631EA" w:rsidRPr="00263267">
        <w:rPr>
          <w:rFonts w:ascii="Garamond" w:eastAsia="Garamond" w:hAnsi="Garamond" w:cs="Calibri"/>
          <w:color w:val="000000" w:themeColor="text1"/>
          <w:sz w:val="22"/>
          <w:szCs w:val="22"/>
        </w:rPr>
        <w:fldChar w:fldCharType="separate"/>
      </w:r>
      <w:r w:rsidR="00E631EA" w:rsidRPr="00263267">
        <w:rPr>
          <w:rFonts w:ascii="Garamond" w:eastAsia="Garamond" w:hAnsi="Garamond" w:cs="Calibri"/>
          <w:noProof/>
          <w:color w:val="000000" w:themeColor="text1"/>
          <w:sz w:val="22"/>
          <w:szCs w:val="22"/>
        </w:rPr>
        <w:t>(Djelic &amp; Sahlin-Andersson, 2006)</w:t>
      </w:r>
      <w:r w:rsidR="00E631EA" w:rsidRPr="00263267">
        <w:rPr>
          <w:rFonts w:ascii="Garamond" w:eastAsia="Garamond" w:hAnsi="Garamond" w:cs="Calibri"/>
          <w:color w:val="000000" w:themeColor="text1"/>
          <w:sz w:val="22"/>
          <w:szCs w:val="22"/>
        </w:rPr>
        <w:fldChar w:fldCharType="end"/>
      </w:r>
      <w:r w:rsidR="00E631EA" w:rsidRPr="00263267">
        <w:rPr>
          <w:rFonts w:ascii="Garamond" w:eastAsia="Garamond" w:hAnsi="Garamond" w:cs="Calibri"/>
          <w:color w:val="000000" w:themeColor="text1"/>
          <w:sz w:val="22"/>
          <w:szCs w:val="22"/>
        </w:rPr>
        <w:t>.</w:t>
      </w:r>
      <w:r w:rsidR="00E631EA" w:rsidRPr="00263267">
        <w:rPr>
          <w:rFonts w:ascii="Garamond" w:hAnsi="Garamond" w:cs="Calibri"/>
          <w:sz w:val="22"/>
          <w:szCs w:val="22"/>
        </w:rPr>
        <w:t xml:space="preserve">  IOs </w:t>
      </w:r>
      <w:r w:rsidR="007A2D69">
        <w:rPr>
          <w:rFonts w:ascii="Garamond" w:hAnsi="Garamond" w:cs="Calibri"/>
          <w:sz w:val="22"/>
          <w:szCs w:val="22"/>
        </w:rPr>
        <w:t xml:space="preserve">can, for instance, </w:t>
      </w:r>
      <w:r w:rsidR="00E631EA" w:rsidRPr="00263267">
        <w:rPr>
          <w:rFonts w:ascii="Garamond" w:hAnsi="Garamond" w:cs="Calibri"/>
          <w:sz w:val="22"/>
          <w:szCs w:val="22"/>
        </w:rPr>
        <w:t>play a supporting role in both the development and implementation of market-led regulations</w:t>
      </w:r>
      <w:r w:rsidR="00E631EA" w:rsidRPr="00263267">
        <w:rPr>
          <w:rFonts w:ascii="Garamond" w:hAnsi="Garamond" w:cs="Calibri"/>
          <w:color w:val="000000" w:themeColor="text1"/>
          <w:sz w:val="22"/>
          <w:szCs w:val="22"/>
        </w:rPr>
        <w:t xml:space="preserve"> and the ways </w:t>
      </w:r>
      <w:r w:rsidR="00804E67">
        <w:rPr>
          <w:rFonts w:ascii="Garamond" w:hAnsi="Garamond" w:cs="Calibri"/>
          <w:color w:val="000000" w:themeColor="text1"/>
          <w:sz w:val="22"/>
          <w:szCs w:val="22"/>
        </w:rPr>
        <w:t xml:space="preserve">policy-makers and market actors </w:t>
      </w:r>
      <w:r w:rsidR="00E631EA" w:rsidRPr="00263267">
        <w:rPr>
          <w:rFonts w:ascii="Garamond" w:hAnsi="Garamond" w:cs="Calibri"/>
          <w:color w:val="000000" w:themeColor="text1"/>
          <w:sz w:val="22"/>
          <w:szCs w:val="22"/>
        </w:rPr>
        <w:t>‘interpret or clarify regulatory rules’ in diverse contexts ‘and then elaborate and adapt them for the circumstances of particular industries’ (Abbott et al, 2017: p.22).</w:t>
      </w:r>
    </w:p>
    <w:p w14:paraId="45D19D3F" w14:textId="158A4258" w:rsidR="00E631EA" w:rsidRPr="00263267" w:rsidRDefault="00E631EA" w:rsidP="006D08D9">
      <w:pPr>
        <w:spacing w:line="276" w:lineRule="auto"/>
        <w:ind w:right="-52"/>
        <w:jc w:val="both"/>
        <w:rPr>
          <w:rFonts w:ascii="Garamond" w:hAnsi="Garamond" w:cs="Calibri"/>
          <w:color w:val="000000" w:themeColor="text1"/>
          <w:sz w:val="22"/>
          <w:szCs w:val="22"/>
        </w:rPr>
      </w:pPr>
    </w:p>
    <w:p w14:paraId="57EDD7CC" w14:textId="0C28EC6E" w:rsidR="00E631EA" w:rsidRPr="00263267" w:rsidRDefault="00E631EA" w:rsidP="006D08D9">
      <w:pPr>
        <w:spacing w:line="276" w:lineRule="auto"/>
        <w:ind w:right="-52"/>
        <w:jc w:val="both"/>
        <w:rPr>
          <w:rFonts w:ascii="Garamond" w:hAnsi="Garamond" w:cs="Calibri"/>
          <w:color w:val="000000" w:themeColor="text1"/>
          <w:sz w:val="22"/>
          <w:szCs w:val="22"/>
        </w:rPr>
      </w:pPr>
      <w:r w:rsidRPr="00263267">
        <w:rPr>
          <w:rFonts w:ascii="Garamond" w:hAnsi="Garamond" w:cs="Calibri"/>
          <w:sz w:val="22"/>
          <w:szCs w:val="22"/>
        </w:rPr>
        <w:lastRenderedPageBreak/>
        <w:t>The significance of</w:t>
      </w:r>
      <w:r w:rsidR="00A02F88" w:rsidRPr="00263267">
        <w:rPr>
          <w:rFonts w:ascii="Garamond" w:hAnsi="Garamond" w:cs="Calibri"/>
          <w:sz w:val="22"/>
          <w:szCs w:val="22"/>
        </w:rPr>
        <w:t xml:space="preserve"> </w:t>
      </w:r>
      <w:r w:rsidRPr="00263267">
        <w:rPr>
          <w:rFonts w:ascii="Garamond" w:hAnsi="Garamond" w:cs="Calibri"/>
          <w:sz w:val="22"/>
          <w:szCs w:val="22"/>
        </w:rPr>
        <w:t>IOs is institutionalised</w:t>
      </w:r>
      <w:r w:rsidR="00B15054">
        <w:rPr>
          <w:rFonts w:ascii="Garamond" w:hAnsi="Garamond" w:cs="Calibri"/>
          <w:sz w:val="22"/>
          <w:szCs w:val="22"/>
        </w:rPr>
        <w:t xml:space="preserve"> to differing degrees</w:t>
      </w:r>
      <w:r w:rsidRPr="00263267">
        <w:rPr>
          <w:rFonts w:ascii="Garamond" w:hAnsi="Garamond" w:cs="Calibri"/>
          <w:sz w:val="22"/>
          <w:szCs w:val="22"/>
        </w:rPr>
        <w:t xml:space="preserve"> through the creation of </w:t>
      </w:r>
      <w:r w:rsidRPr="00263267">
        <w:rPr>
          <w:rFonts w:ascii="Garamond" w:hAnsi="Garamond" w:cs="Calibri"/>
          <w:i/>
          <w:sz w:val="22"/>
          <w:szCs w:val="22"/>
        </w:rPr>
        <w:t>professional codes of practice</w:t>
      </w:r>
      <w:r w:rsidRPr="00263267">
        <w:rPr>
          <w:rFonts w:ascii="Garamond" w:hAnsi="Garamond" w:cs="Calibri"/>
          <w:sz w:val="22"/>
          <w:szCs w:val="22"/>
        </w:rPr>
        <w:t xml:space="preserve"> that members are required to follow but are formally ‘independent from the state to the extent that the state does not interfere’ </w:t>
      </w:r>
      <w:r w:rsidRPr="00263267">
        <w:rPr>
          <w:rFonts w:ascii="Garamond" w:hAnsi="Garamond" w:cs="Calibri"/>
          <w:sz w:val="22"/>
          <w:szCs w:val="22"/>
        </w:rPr>
        <w:fldChar w:fldCharType="begin"/>
      </w:r>
      <w:r w:rsidRPr="00263267">
        <w:rPr>
          <w:rFonts w:ascii="Garamond" w:hAnsi="Garamond" w:cs="Calibri"/>
          <w:sz w:val="22"/>
          <w:szCs w:val="22"/>
        </w:rPr>
        <w:instrText xml:space="preserve"> ADDIN ZOTERO_ITEM CSL_CITATION {"citationID":"0tv6d6Yd","properties":{"formattedCitation":"(Michaels &amp; Jansen, 2006)","plainCitation":"(Michaels &amp; Jansen, 2006)","dontUpdate":true,"noteIndex":0},"citationItems":[{"id":2694,"uris":["http://zotero.org/groups/2307100/items/5ZKRYRF3"],"uri":["http://zotero.org/groups/2307100/items/5ZKRYRF3"],"itemData":{"id":2694,"type":"article-journal","container-title":"American Journal Of Comparative Law","ISSN":"0002-919X","issue":"4","language":"English","page":"843-890","title":"Private law beyond the state? Europeanization, globalization, privatization","volume":"54","author":[{"family":"Michaels","given":"R"},{"family":"Jansen","given":"N"}],"issued":{"date-parts":[["2006"]]}}}],"schema":"https://github.com/citation-style-language/schema/raw/master/csl-citation.json"} </w:instrText>
      </w:r>
      <w:r w:rsidRPr="00263267">
        <w:rPr>
          <w:rFonts w:ascii="Garamond" w:hAnsi="Garamond" w:cs="Calibri"/>
          <w:sz w:val="22"/>
          <w:szCs w:val="22"/>
        </w:rPr>
        <w:fldChar w:fldCharType="separate"/>
      </w:r>
      <w:r w:rsidRPr="00263267">
        <w:rPr>
          <w:rFonts w:ascii="Garamond" w:hAnsi="Garamond" w:cs="Calibri"/>
          <w:noProof/>
          <w:sz w:val="22"/>
          <w:szCs w:val="22"/>
        </w:rPr>
        <w:t xml:space="preserve">(Michaels &amp; Jansen, 2006: </w:t>
      </w:r>
      <w:r w:rsidRPr="00263267">
        <w:rPr>
          <w:rFonts w:ascii="Garamond" w:hAnsi="Garamond" w:cs="Calibri"/>
          <w:sz w:val="22"/>
          <w:szCs w:val="22"/>
        </w:rPr>
        <w:t>p.868</w:t>
      </w:r>
      <w:r w:rsidRPr="00263267">
        <w:rPr>
          <w:rFonts w:ascii="Garamond" w:hAnsi="Garamond" w:cs="Calibri"/>
          <w:noProof/>
          <w:sz w:val="22"/>
          <w:szCs w:val="22"/>
        </w:rPr>
        <w:t>)</w:t>
      </w:r>
      <w:r w:rsidRPr="00263267">
        <w:rPr>
          <w:rFonts w:ascii="Garamond" w:hAnsi="Garamond" w:cs="Calibri"/>
          <w:sz w:val="22"/>
          <w:szCs w:val="22"/>
        </w:rPr>
        <w:fldChar w:fldCharType="end"/>
      </w:r>
      <w:r w:rsidRPr="00263267">
        <w:rPr>
          <w:rFonts w:ascii="Garamond" w:hAnsi="Garamond" w:cs="Calibri"/>
          <w:sz w:val="22"/>
          <w:szCs w:val="22"/>
        </w:rPr>
        <w:t>.  In drawing up codes and associated policy guidelines IO</w:t>
      </w:r>
      <w:r w:rsidR="00A02F88" w:rsidRPr="00263267">
        <w:rPr>
          <w:rFonts w:ascii="Garamond" w:hAnsi="Garamond" w:cs="Calibri"/>
          <w:sz w:val="22"/>
          <w:szCs w:val="22"/>
        </w:rPr>
        <w:t>s</w:t>
      </w:r>
      <w:r w:rsidRPr="00263267">
        <w:rPr>
          <w:rFonts w:ascii="Garamond" w:hAnsi="Garamond" w:cs="Calibri"/>
          <w:sz w:val="22"/>
          <w:szCs w:val="22"/>
        </w:rPr>
        <w:t xml:space="preserve"> can become indirect rule-makers and gatekeepers of regulatory authority in key policy fields ‘driven in part by governments’ lack of requisite technical expertise, financial resources, or flexibility to deal expeditiously with ever more complex and urgent regulatory tasks’ </w:t>
      </w:r>
      <w:r w:rsidRPr="00263267">
        <w:rPr>
          <w:rFonts w:ascii="Garamond" w:hAnsi="Garamond" w:cs="Calibri"/>
          <w:sz w:val="22"/>
          <w:szCs w:val="22"/>
        </w:rPr>
        <w:fldChar w:fldCharType="begin"/>
      </w:r>
      <w:r w:rsidR="00B83510" w:rsidRPr="00263267">
        <w:rPr>
          <w:rFonts w:ascii="Garamond" w:hAnsi="Garamond" w:cs="Calibri"/>
          <w:sz w:val="22"/>
          <w:szCs w:val="22"/>
        </w:rPr>
        <w:instrText xml:space="preserve"> ADDIN ZOTERO_ITEM CSL_CITATION {"citationID":"jeuPFpXN","properties":{"formattedCitation":"(B\\uc0\\u252{}the &amp; Mattli, 2013)","plainCitation":"(Büthe &amp; Mattli, 2013)","dontUpdate":true,"noteIndex":0},"citationItems":[{"id":1907,"uris":["http://zotero.org/groups/2307100/items/S2KTZQMU"],"uri":["http://zotero.org/groups/2307100/items/S2KTZQMU"],"itemData":{"id":1907,"type":"book","ISBN":"0-691-15797-9","publisher":"Princeton University Press","title":"The new global rulers: The privatization of regulation in the world economy","author":[{"family":"Büthe","given":"Tim"},{"family":"Mattli","given":"Walter"}],"issued":{"date-parts":[["2013"]]}}}],"schema":"https://github.com/citation-style-language/schema/raw/master/csl-citation.json"} </w:instrText>
      </w:r>
      <w:r w:rsidRPr="00263267">
        <w:rPr>
          <w:rFonts w:ascii="Garamond" w:hAnsi="Garamond" w:cs="Calibri"/>
          <w:sz w:val="22"/>
          <w:szCs w:val="22"/>
        </w:rPr>
        <w:fldChar w:fldCharType="separate"/>
      </w:r>
      <w:r w:rsidRPr="00263267">
        <w:rPr>
          <w:rFonts w:ascii="Garamond" w:hAnsi="Garamond" w:cs="Times New Roman"/>
          <w:sz w:val="22"/>
          <w:szCs w:val="22"/>
          <w:lang w:val="en-US"/>
        </w:rPr>
        <w:t>(Büthe &amp; Mattli, 2013</w:t>
      </w:r>
      <w:r w:rsidR="006E07CD" w:rsidRPr="00263267">
        <w:rPr>
          <w:rFonts w:ascii="Garamond" w:hAnsi="Garamond" w:cs="Times New Roman"/>
          <w:sz w:val="22"/>
          <w:szCs w:val="22"/>
          <w:lang w:val="en-US"/>
        </w:rPr>
        <w:t>: p.5</w:t>
      </w:r>
      <w:r w:rsidRPr="00263267">
        <w:rPr>
          <w:rFonts w:ascii="Garamond" w:hAnsi="Garamond" w:cs="Times New Roman"/>
          <w:sz w:val="22"/>
          <w:szCs w:val="22"/>
          <w:lang w:val="en-US"/>
        </w:rPr>
        <w:t>)</w:t>
      </w:r>
      <w:r w:rsidRPr="00263267">
        <w:rPr>
          <w:rFonts w:ascii="Garamond" w:hAnsi="Garamond" w:cs="Calibri"/>
          <w:sz w:val="22"/>
          <w:szCs w:val="22"/>
        </w:rPr>
        <w:fldChar w:fldCharType="end"/>
      </w:r>
      <w:r w:rsidRPr="00263267">
        <w:rPr>
          <w:rFonts w:ascii="Garamond" w:hAnsi="Garamond" w:cs="Calibri"/>
          <w:sz w:val="22"/>
          <w:szCs w:val="22"/>
        </w:rPr>
        <w:t xml:space="preserve">. </w:t>
      </w:r>
      <w:r w:rsidRPr="00263267">
        <w:rPr>
          <w:rFonts w:ascii="Garamond" w:hAnsi="Garamond" w:cs="Calibri"/>
          <w:color w:val="000000" w:themeColor="text1"/>
          <w:sz w:val="22"/>
          <w:szCs w:val="22"/>
        </w:rPr>
        <w:t xml:space="preserve">In some instances IOs act as ‘trusted facilitators’ and are given legitimacy and authority by state organisations as guarantors of independence and ‘public values’ </w:t>
      </w:r>
      <w:r w:rsidRPr="00263267">
        <w:rPr>
          <w:rFonts w:ascii="Garamond" w:hAnsi="Garamond" w:cs="Calibri"/>
          <w:color w:val="000000" w:themeColor="text1"/>
          <w:sz w:val="22"/>
          <w:szCs w:val="22"/>
        </w:rPr>
        <w:fldChar w:fldCharType="begin"/>
      </w:r>
      <w:r w:rsidR="00270F18">
        <w:rPr>
          <w:rFonts w:ascii="Garamond" w:hAnsi="Garamond" w:cs="Calibri"/>
          <w:color w:val="000000" w:themeColor="text1"/>
          <w:sz w:val="22"/>
          <w:szCs w:val="22"/>
        </w:rPr>
        <w:instrText xml:space="preserve"> ADDIN ZOTERO_ITEM CSL_CITATION {"citationID":"idNrgY2j","properties":{"formattedCitation":"(Owen, 2019)","plainCitation":"(Owen, 2019)","noteIndex":0},"citationItems":[{"id":3056,"uris":["http://zotero.org/groups/2307100/items/6KUPYLDU"],"uri":["http://zotero.org/groups/2307100/items/6KUPYLDU"],"itemData":{"id":3056,"type":"article-journal","container-title":"Regulation &amp; Governance","ISSN":"1748-5983","journalAbbreviation":"Regulation &amp; Governance","note":"publisher: Wiley Online Library","title":"Private facilitators of public regulation: A study of the environmental consulting industry","author":[{"family":"Owen","given":"Dave"}],"issued":{"date-parts":[["2019"]]}}}],"schema":"https://github.com/citation-style-language/schema/raw/master/csl-citation.json"} </w:instrText>
      </w:r>
      <w:r w:rsidRPr="00263267">
        <w:rPr>
          <w:rFonts w:ascii="Garamond" w:hAnsi="Garamond" w:cs="Calibri"/>
          <w:color w:val="000000" w:themeColor="text1"/>
          <w:sz w:val="22"/>
          <w:szCs w:val="22"/>
        </w:rPr>
        <w:fldChar w:fldCharType="separate"/>
      </w:r>
      <w:r w:rsidRPr="00263267">
        <w:rPr>
          <w:rFonts w:ascii="Garamond" w:hAnsi="Garamond" w:cs="Calibri"/>
          <w:noProof/>
          <w:color w:val="000000" w:themeColor="text1"/>
          <w:sz w:val="22"/>
          <w:szCs w:val="22"/>
        </w:rPr>
        <w:t>(Owen, 2019)</w:t>
      </w:r>
      <w:r w:rsidRPr="00263267">
        <w:rPr>
          <w:rFonts w:ascii="Garamond" w:hAnsi="Garamond" w:cs="Calibri"/>
          <w:color w:val="000000" w:themeColor="text1"/>
          <w:sz w:val="22"/>
          <w:szCs w:val="22"/>
        </w:rPr>
        <w:fldChar w:fldCharType="end"/>
      </w:r>
      <w:r w:rsidRPr="00263267">
        <w:rPr>
          <w:rFonts w:ascii="Garamond" w:hAnsi="Garamond" w:cs="Calibri"/>
          <w:color w:val="000000" w:themeColor="text1"/>
          <w:sz w:val="22"/>
          <w:szCs w:val="22"/>
        </w:rPr>
        <w:t>, especially in dealing with</w:t>
      </w:r>
      <w:r w:rsidRPr="00263267">
        <w:rPr>
          <w:rFonts w:ascii="Garamond" w:hAnsi="Garamond" w:cs="Calibri"/>
          <w:sz w:val="22"/>
          <w:szCs w:val="22"/>
        </w:rPr>
        <w:t xml:space="preserve"> politically controversial interventions or the implementation of technically complex policies and programmes</w:t>
      </w:r>
      <w:r w:rsidRPr="00263267">
        <w:rPr>
          <w:rFonts w:ascii="Garamond" w:hAnsi="Garamond" w:cs="Calibri"/>
          <w:color w:val="000000" w:themeColor="text1"/>
          <w:sz w:val="22"/>
          <w:szCs w:val="22"/>
        </w:rPr>
        <w:t xml:space="preserve">.  </w:t>
      </w:r>
      <w:r w:rsidRPr="00263267">
        <w:rPr>
          <w:rFonts w:ascii="Garamond" w:hAnsi="Garamond" w:cs="Calibri"/>
          <w:sz w:val="22"/>
          <w:szCs w:val="22"/>
        </w:rPr>
        <w:t xml:space="preserve">Such gatekeeping roles are underpinned by the power of accreditation and its removal that, in turn, gives IOs the </w:t>
      </w:r>
      <w:r w:rsidR="00B15054">
        <w:rPr>
          <w:rFonts w:ascii="Garamond" w:hAnsi="Garamond" w:cs="Calibri"/>
          <w:sz w:val="22"/>
          <w:szCs w:val="22"/>
        </w:rPr>
        <w:t>authority</w:t>
      </w:r>
      <w:r w:rsidR="00B15054" w:rsidRPr="00263267">
        <w:rPr>
          <w:rFonts w:ascii="Garamond" w:hAnsi="Garamond" w:cs="Calibri"/>
          <w:sz w:val="22"/>
          <w:szCs w:val="22"/>
        </w:rPr>
        <w:t xml:space="preserve"> </w:t>
      </w:r>
      <w:r w:rsidRPr="00263267">
        <w:rPr>
          <w:rFonts w:ascii="Garamond" w:hAnsi="Garamond" w:cs="Calibri"/>
          <w:sz w:val="22"/>
          <w:szCs w:val="22"/>
        </w:rPr>
        <w:t>to exclude members from practice if they fail to conform with public and/or professional guidelines</w:t>
      </w:r>
      <w:r w:rsidR="002B4816" w:rsidRPr="00263267">
        <w:rPr>
          <w:rFonts w:ascii="Garamond" w:hAnsi="Garamond" w:cs="Calibri"/>
          <w:sz w:val="22"/>
          <w:szCs w:val="22"/>
        </w:rPr>
        <w:t xml:space="preserve"> </w:t>
      </w:r>
      <w:r w:rsidR="002B4816" w:rsidRPr="00263267">
        <w:rPr>
          <w:rFonts w:ascii="Garamond" w:hAnsi="Garamond" w:cs="Calibri"/>
          <w:sz w:val="22"/>
          <w:szCs w:val="22"/>
        </w:rPr>
        <w:fldChar w:fldCharType="begin"/>
      </w:r>
      <w:r w:rsidR="002B4816" w:rsidRPr="00263267">
        <w:rPr>
          <w:rFonts w:ascii="Garamond" w:hAnsi="Garamond" w:cs="Calibri"/>
          <w:sz w:val="22"/>
          <w:szCs w:val="22"/>
        </w:rPr>
        <w:instrText xml:space="preserve"> ADDIN ZOTERO_ITEM CSL_CITATION {"citationID":"IevSUxUZ","properties":{"formattedCitation":"(Riles, 2018)","plainCitation":"(Riles, 2018)","noteIndex":0},"citationItems":[{"id":839,"uris":["http://zotero.org/groups/2307100/items/Q3BLFQPI"],"uri":["http://zotero.org/groups/2307100/items/Q3BLFQPI"],"itemData":{"id":839,"type":"book","abstract":"Government bailouts; negative interest rates and markets that do not behave as economic models tell us they should; new populist and nationalist movements that target central banks and central bankers as a source of popular malaise; new regional organizations and geopolitical alignments laying claim to authority over the global economy; households, consumers, and workers facing increasingly intolerable levels of inequality: These dramatic conditions seem to cry out for new ways of understanding the purposes, roles, and challenges of central banks and financial governance more generally. Financial Citizenship reveals that the conflicts about who gets to decide how central banks do all these things, and about whether central banks are acting in everyone’s interest when they do them, are in large part the product of a culture clash between experts and the various global publics that have a stake in what central banks do.Experts—central bankers, regulators, market insiders, and their academic supporters—are a special community, a cultural group apart from many of the communities that make up the public at large. When the gulf between the culture of those who govern and the cultures of the governed becomes unmanageable, the result is a legitimacy crisis. This book is a call to action for all of us—experts and publics alike—to address this legitimacy crisis head on, for our economies and our democracies.","ISBN":"978-1-5017-3274-4","language":"en","note":"Google-Books-ID: BjJbDwAAQBAJ","number-of-pages":"117","publisher":"Cornell University Press","source":"Google Books","title":"Financial Citizenship: Experts, Publics, and the Politics of Central Banking","title-short":"Financial Citizenship","author":[{"family":"Riles","given":"Annelise"}],"issued":{"date-parts":[["2018",7,15]]}}}],"schema":"https://github.com/citation-style-language/schema/raw/master/csl-citation.json"} </w:instrText>
      </w:r>
      <w:r w:rsidR="002B4816" w:rsidRPr="00263267">
        <w:rPr>
          <w:rFonts w:ascii="Garamond" w:hAnsi="Garamond" w:cs="Calibri"/>
          <w:sz w:val="22"/>
          <w:szCs w:val="22"/>
        </w:rPr>
        <w:fldChar w:fldCharType="separate"/>
      </w:r>
      <w:r w:rsidR="002B4816" w:rsidRPr="00263267">
        <w:rPr>
          <w:rFonts w:ascii="Garamond" w:hAnsi="Garamond" w:cs="Calibri"/>
          <w:noProof/>
          <w:sz w:val="22"/>
          <w:szCs w:val="22"/>
        </w:rPr>
        <w:t>(Riles, 2018)</w:t>
      </w:r>
      <w:r w:rsidR="002B4816" w:rsidRPr="00263267">
        <w:rPr>
          <w:rFonts w:ascii="Garamond" w:hAnsi="Garamond" w:cs="Calibri"/>
          <w:sz w:val="22"/>
          <w:szCs w:val="22"/>
        </w:rPr>
        <w:fldChar w:fldCharType="end"/>
      </w:r>
      <w:r w:rsidRPr="00263267">
        <w:rPr>
          <w:rFonts w:ascii="Garamond" w:hAnsi="Garamond" w:cs="Calibri"/>
          <w:sz w:val="22"/>
          <w:szCs w:val="22"/>
        </w:rPr>
        <w:t xml:space="preserve">.  And as </w:t>
      </w:r>
      <w:proofErr w:type="spellStart"/>
      <w:r w:rsidRPr="00263267">
        <w:rPr>
          <w:rFonts w:ascii="Garamond" w:hAnsi="Garamond" w:cs="Calibri"/>
          <w:sz w:val="22"/>
          <w:szCs w:val="22"/>
        </w:rPr>
        <w:t>Pistor</w:t>
      </w:r>
      <w:proofErr w:type="spellEnd"/>
      <w:r w:rsidRPr="00263267">
        <w:rPr>
          <w:rFonts w:ascii="Garamond" w:hAnsi="Garamond" w:cs="Calibri"/>
          <w:sz w:val="22"/>
          <w:szCs w:val="22"/>
        </w:rPr>
        <w:t xml:space="preserve"> (2019) notes</w:t>
      </w:r>
      <w:r w:rsidR="00A02F88" w:rsidRPr="00263267">
        <w:rPr>
          <w:rFonts w:ascii="Garamond" w:hAnsi="Garamond" w:cs="Calibri"/>
          <w:sz w:val="22"/>
          <w:szCs w:val="22"/>
        </w:rPr>
        <w:t>,</w:t>
      </w:r>
      <w:r w:rsidRPr="00263267">
        <w:rPr>
          <w:rFonts w:ascii="Garamond" w:hAnsi="Garamond" w:cs="Calibri"/>
          <w:sz w:val="22"/>
          <w:szCs w:val="22"/>
        </w:rPr>
        <w:t xml:space="preserve"> professional conduct, at multiple levels, is often policed by IOs so that authority for regulatory compliance and decision-making ‘lies in the hands of private parties, not the state’ (p.213).  If individual members are seen to be conducting themselves in ways that stray from the legitimate practices accepted by communities of actors, then they can be excluded from practice for failing to comply with mutually-agreed professional </w:t>
      </w:r>
      <w:r w:rsidR="006E07CD" w:rsidRPr="00263267">
        <w:rPr>
          <w:rFonts w:ascii="Garamond" w:hAnsi="Garamond" w:cs="Calibri"/>
          <w:sz w:val="22"/>
          <w:szCs w:val="22"/>
        </w:rPr>
        <w:t>norms, codes and practices</w:t>
      </w:r>
      <w:r w:rsidRPr="00263267">
        <w:rPr>
          <w:rFonts w:ascii="Garamond" w:hAnsi="Garamond" w:cs="Calibri"/>
          <w:sz w:val="22"/>
          <w:szCs w:val="22"/>
        </w:rPr>
        <w:t xml:space="preserve">, </w:t>
      </w:r>
      <w:r w:rsidRPr="00B9259C">
        <w:rPr>
          <w:rFonts w:ascii="Garamond" w:hAnsi="Garamond" w:cs="Calibri"/>
          <w:i/>
          <w:sz w:val="22"/>
          <w:szCs w:val="22"/>
        </w:rPr>
        <w:t>rather than</w:t>
      </w:r>
      <w:r w:rsidRPr="00263267">
        <w:rPr>
          <w:rFonts w:ascii="Garamond" w:hAnsi="Garamond" w:cs="Calibri"/>
          <w:sz w:val="22"/>
          <w:szCs w:val="22"/>
        </w:rPr>
        <w:t xml:space="preserve"> those set down by state regulators. </w:t>
      </w:r>
    </w:p>
    <w:p w14:paraId="6418FE95" w14:textId="77777777" w:rsidR="00E631EA" w:rsidRPr="00263267" w:rsidRDefault="00E631EA" w:rsidP="006D08D9">
      <w:pPr>
        <w:spacing w:line="276" w:lineRule="auto"/>
        <w:ind w:right="-52"/>
        <w:jc w:val="both"/>
        <w:rPr>
          <w:rFonts w:ascii="Garamond" w:hAnsi="Garamond" w:cs="Calibri"/>
          <w:i/>
          <w:color w:val="000000" w:themeColor="text1"/>
          <w:sz w:val="22"/>
          <w:szCs w:val="22"/>
        </w:rPr>
      </w:pPr>
    </w:p>
    <w:p w14:paraId="423EE872" w14:textId="51AD8871" w:rsidR="00E00890" w:rsidRDefault="009F5B4A" w:rsidP="006D08D9">
      <w:pPr>
        <w:spacing w:line="276" w:lineRule="auto"/>
        <w:ind w:right="-52"/>
        <w:jc w:val="both"/>
        <w:rPr>
          <w:rFonts w:ascii="Garamond" w:hAnsi="Garamond" w:cs="Calibri"/>
          <w:color w:val="000000" w:themeColor="text1"/>
          <w:sz w:val="22"/>
          <w:szCs w:val="22"/>
        </w:rPr>
      </w:pPr>
      <w:r w:rsidRPr="00263267">
        <w:rPr>
          <w:rFonts w:ascii="Garamond" w:hAnsi="Garamond" w:cs="Calibri"/>
          <w:color w:val="000000" w:themeColor="text1"/>
          <w:sz w:val="22"/>
          <w:szCs w:val="22"/>
        </w:rPr>
        <w:t>The role of IOs in shaping policy also</w:t>
      </w:r>
      <w:r w:rsidR="008C6022" w:rsidRPr="00263267">
        <w:rPr>
          <w:rFonts w:ascii="Garamond" w:hAnsi="Garamond" w:cs="Calibri"/>
          <w:color w:val="000000" w:themeColor="text1"/>
          <w:sz w:val="22"/>
          <w:szCs w:val="22"/>
        </w:rPr>
        <w:t xml:space="preserve"> raises broader questions over how best to conceptualise decision-making processes and regulatory systems.</w:t>
      </w:r>
      <w:r w:rsidR="0000013D" w:rsidRPr="00263267">
        <w:rPr>
          <w:rFonts w:ascii="Garamond" w:hAnsi="Garamond" w:cs="Calibri"/>
          <w:sz w:val="22"/>
          <w:szCs w:val="22"/>
        </w:rPr>
        <w:t xml:space="preserve"> As Black (2017) argues, </w:t>
      </w:r>
      <w:r w:rsidR="000E6E93">
        <w:rPr>
          <w:rFonts w:ascii="Garamond" w:hAnsi="Garamond" w:cs="Calibri"/>
          <w:sz w:val="22"/>
          <w:szCs w:val="22"/>
        </w:rPr>
        <w:t xml:space="preserve">with the rise of global corporations, information technologies, and cross-national legal codes and </w:t>
      </w:r>
      <w:r w:rsidR="00315A34">
        <w:rPr>
          <w:rFonts w:ascii="Garamond" w:hAnsi="Garamond" w:cs="Calibri"/>
          <w:sz w:val="22"/>
          <w:szCs w:val="22"/>
        </w:rPr>
        <w:t>frameworks, there has been</w:t>
      </w:r>
      <w:r w:rsidR="0000013D" w:rsidRPr="00263267">
        <w:rPr>
          <w:rFonts w:ascii="Garamond" w:hAnsi="Garamond" w:cs="Calibri"/>
          <w:sz w:val="22"/>
          <w:szCs w:val="22"/>
        </w:rPr>
        <w:t xml:space="preserve"> a wider shift towards</w:t>
      </w:r>
      <w:r w:rsidR="0000013D" w:rsidRPr="00263267">
        <w:rPr>
          <w:rFonts w:ascii="Garamond" w:eastAsia="Garamond" w:hAnsi="Garamond" w:cs="Calibri"/>
          <w:color w:val="000000" w:themeColor="text1"/>
          <w:sz w:val="22"/>
          <w:szCs w:val="22"/>
        </w:rPr>
        <w:t xml:space="preserve"> more </w:t>
      </w:r>
      <w:r w:rsidR="0000013D" w:rsidRPr="00263267">
        <w:rPr>
          <w:rFonts w:ascii="Garamond" w:eastAsia="Garamond" w:hAnsi="Garamond" w:cs="Calibri"/>
          <w:i/>
          <w:color w:val="000000" w:themeColor="text1"/>
          <w:sz w:val="22"/>
          <w:szCs w:val="22"/>
        </w:rPr>
        <w:t>liquid and complex forms of regulatory production</w:t>
      </w:r>
      <w:r w:rsidR="0000013D" w:rsidRPr="00263267">
        <w:rPr>
          <w:rFonts w:ascii="Garamond" w:eastAsia="Garamond" w:hAnsi="Garamond" w:cs="Calibri"/>
          <w:color w:val="000000" w:themeColor="text1"/>
          <w:sz w:val="22"/>
          <w:szCs w:val="22"/>
        </w:rPr>
        <w:t xml:space="preserve"> tha</w:t>
      </w:r>
      <w:r w:rsidRPr="00263267">
        <w:rPr>
          <w:rFonts w:ascii="Garamond" w:eastAsia="Garamond" w:hAnsi="Garamond" w:cs="Calibri"/>
          <w:color w:val="000000" w:themeColor="text1"/>
          <w:sz w:val="22"/>
          <w:szCs w:val="22"/>
        </w:rPr>
        <w:t>n</w:t>
      </w:r>
      <w:r w:rsidR="0000013D" w:rsidRPr="00263267">
        <w:rPr>
          <w:rFonts w:ascii="Garamond" w:eastAsia="Garamond" w:hAnsi="Garamond" w:cs="Calibri"/>
          <w:color w:val="000000" w:themeColor="text1"/>
          <w:sz w:val="22"/>
          <w:szCs w:val="22"/>
        </w:rPr>
        <w:t xml:space="preserve"> found in more traditional hierarchical understandings of policy-making </w:t>
      </w:r>
      <w:r w:rsidR="001B6F6A">
        <w:rPr>
          <w:rFonts w:ascii="Garamond" w:eastAsia="Garamond" w:hAnsi="Garamond" w:cs="Calibri"/>
          <w:color w:val="000000" w:themeColor="text1"/>
          <w:sz w:val="22"/>
          <w:szCs w:val="22"/>
        </w:rPr>
        <w:t>and their</w:t>
      </w:r>
      <w:r w:rsidR="00315A34">
        <w:rPr>
          <w:rFonts w:ascii="Garamond" w:eastAsia="Garamond" w:hAnsi="Garamond" w:cs="Calibri"/>
          <w:color w:val="000000" w:themeColor="text1"/>
          <w:sz w:val="22"/>
          <w:szCs w:val="22"/>
        </w:rPr>
        <w:t xml:space="preserve"> </w:t>
      </w:r>
      <w:r w:rsidR="00B15054">
        <w:rPr>
          <w:rFonts w:ascii="Garamond" w:eastAsia="Garamond" w:hAnsi="Garamond" w:cs="Calibri"/>
          <w:color w:val="000000" w:themeColor="text1"/>
          <w:sz w:val="22"/>
          <w:szCs w:val="22"/>
        </w:rPr>
        <w:t xml:space="preserve">formal, </w:t>
      </w:r>
      <w:r w:rsidR="00315A34">
        <w:rPr>
          <w:rFonts w:ascii="Garamond" w:eastAsia="Garamond" w:hAnsi="Garamond" w:cs="Calibri"/>
          <w:color w:val="000000" w:themeColor="text1"/>
          <w:sz w:val="22"/>
          <w:szCs w:val="22"/>
        </w:rPr>
        <w:t>territorially-organised</w:t>
      </w:r>
      <w:r w:rsidR="0000013D" w:rsidRPr="00263267">
        <w:rPr>
          <w:rFonts w:ascii="Garamond" w:eastAsia="Garamond" w:hAnsi="Garamond" w:cs="Calibri"/>
          <w:color w:val="000000" w:themeColor="text1"/>
          <w:sz w:val="22"/>
          <w:szCs w:val="22"/>
        </w:rPr>
        <w:t xml:space="preserve"> rules and procedures.</w:t>
      </w:r>
      <w:r w:rsidR="00A06AD4" w:rsidRPr="00A06AD4">
        <w:rPr>
          <w:rFonts w:ascii="Garamond" w:hAnsi="Garamond" w:cs="Calibri"/>
          <w:color w:val="000000" w:themeColor="text1"/>
          <w:sz w:val="22"/>
          <w:szCs w:val="22"/>
        </w:rPr>
        <w:t xml:space="preserve"> </w:t>
      </w:r>
      <w:r w:rsidR="00A06AD4">
        <w:rPr>
          <w:rFonts w:ascii="Garamond" w:hAnsi="Garamond" w:cs="Calibri"/>
          <w:color w:val="000000" w:themeColor="text1"/>
          <w:sz w:val="22"/>
          <w:szCs w:val="22"/>
        </w:rPr>
        <w:t xml:space="preserve">Whilst historically regulatory development and compliance has always relied on </w:t>
      </w:r>
      <w:r w:rsidR="00275EA0">
        <w:rPr>
          <w:rFonts w:ascii="Garamond" w:hAnsi="Garamond" w:cs="Calibri"/>
          <w:color w:val="000000" w:themeColor="text1"/>
          <w:sz w:val="22"/>
          <w:szCs w:val="22"/>
        </w:rPr>
        <w:t>types of</w:t>
      </w:r>
      <w:r w:rsidR="00A06AD4">
        <w:rPr>
          <w:rFonts w:ascii="Garamond" w:hAnsi="Garamond" w:cs="Calibri"/>
          <w:color w:val="000000" w:themeColor="text1"/>
          <w:sz w:val="22"/>
          <w:szCs w:val="22"/>
        </w:rPr>
        <w:t xml:space="preserve"> co-production, </w:t>
      </w:r>
      <w:proofErr w:type="gramStart"/>
      <w:r w:rsidR="00A06AD4">
        <w:rPr>
          <w:rFonts w:ascii="Garamond" w:hAnsi="Garamond" w:cs="Calibri"/>
          <w:color w:val="000000" w:themeColor="text1"/>
          <w:sz w:val="22"/>
          <w:szCs w:val="22"/>
        </w:rPr>
        <w:t>Black  argues</w:t>
      </w:r>
      <w:proofErr w:type="gramEnd"/>
      <w:r w:rsidR="00A06AD4">
        <w:rPr>
          <w:rFonts w:ascii="Garamond" w:hAnsi="Garamond" w:cs="Calibri"/>
          <w:color w:val="000000" w:themeColor="text1"/>
          <w:sz w:val="22"/>
          <w:szCs w:val="22"/>
        </w:rPr>
        <w:t xml:space="preserve"> that the degree of liquidity has increased markedly as regulatory environments have become more complex and relational.   International private law codes and </w:t>
      </w:r>
      <w:r w:rsidR="00275EA0">
        <w:rPr>
          <w:rFonts w:ascii="Garamond" w:hAnsi="Garamond" w:cs="Calibri"/>
          <w:color w:val="000000" w:themeColor="text1"/>
          <w:sz w:val="22"/>
          <w:szCs w:val="22"/>
        </w:rPr>
        <w:t>norms</w:t>
      </w:r>
      <w:r w:rsidR="00A06AD4">
        <w:rPr>
          <w:rFonts w:ascii="Garamond" w:hAnsi="Garamond" w:cs="Calibri"/>
          <w:color w:val="000000" w:themeColor="text1"/>
          <w:sz w:val="22"/>
          <w:szCs w:val="22"/>
        </w:rPr>
        <w:t xml:space="preserve"> of professional conduct</w:t>
      </w:r>
      <w:r w:rsidR="0076797A">
        <w:rPr>
          <w:rFonts w:ascii="Garamond" w:hAnsi="Garamond" w:cs="Calibri"/>
          <w:color w:val="000000" w:themeColor="text1"/>
          <w:sz w:val="22"/>
          <w:szCs w:val="22"/>
        </w:rPr>
        <w:t xml:space="preserve"> now</w:t>
      </w:r>
      <w:r w:rsidR="00A06AD4">
        <w:rPr>
          <w:rFonts w:ascii="Garamond" w:hAnsi="Garamond" w:cs="Calibri"/>
          <w:color w:val="000000" w:themeColor="text1"/>
          <w:sz w:val="22"/>
          <w:szCs w:val="22"/>
        </w:rPr>
        <w:t xml:space="preserve"> play a growing role in shaping how regulations a</w:t>
      </w:r>
      <w:r w:rsidR="00B96D62">
        <w:rPr>
          <w:rFonts w:ascii="Garamond" w:hAnsi="Garamond" w:cs="Calibri"/>
          <w:color w:val="000000" w:themeColor="text1"/>
          <w:sz w:val="22"/>
          <w:szCs w:val="22"/>
        </w:rPr>
        <w:t>re</w:t>
      </w:r>
      <w:r w:rsidR="00A06AD4">
        <w:rPr>
          <w:rFonts w:ascii="Garamond" w:hAnsi="Garamond" w:cs="Calibri"/>
          <w:color w:val="000000" w:themeColor="text1"/>
          <w:sz w:val="22"/>
          <w:szCs w:val="22"/>
        </w:rPr>
        <w:t xml:space="preserve"> developed at multiple scales</w:t>
      </w:r>
      <w:r w:rsidR="00275EA0">
        <w:rPr>
          <w:rFonts w:ascii="Garamond" w:hAnsi="Garamond" w:cs="Calibri"/>
          <w:color w:val="000000" w:themeColor="text1"/>
          <w:sz w:val="22"/>
          <w:szCs w:val="22"/>
        </w:rPr>
        <w:t>, adding further layers of complexity</w:t>
      </w:r>
      <w:r w:rsidR="003E0E99">
        <w:rPr>
          <w:rFonts w:ascii="Garamond" w:hAnsi="Garamond" w:cs="Calibri"/>
          <w:color w:val="000000" w:themeColor="text1"/>
          <w:sz w:val="22"/>
          <w:szCs w:val="22"/>
        </w:rPr>
        <w:t xml:space="preserve"> and liquidity</w:t>
      </w:r>
      <w:r w:rsidR="00275EA0">
        <w:rPr>
          <w:rFonts w:ascii="Garamond" w:hAnsi="Garamond" w:cs="Calibri"/>
          <w:color w:val="000000" w:themeColor="text1"/>
          <w:sz w:val="22"/>
          <w:szCs w:val="22"/>
        </w:rPr>
        <w:t xml:space="preserve"> </w:t>
      </w:r>
      <w:r w:rsidR="00275EA0">
        <w:rPr>
          <w:rFonts w:ascii="Garamond" w:hAnsi="Garamond" w:cs="Calibri"/>
          <w:color w:val="000000" w:themeColor="text1"/>
          <w:sz w:val="22"/>
          <w:szCs w:val="22"/>
        </w:rPr>
        <w:fldChar w:fldCharType="begin"/>
      </w:r>
      <w:r w:rsidR="00275EA0">
        <w:rPr>
          <w:rFonts w:ascii="Garamond" w:hAnsi="Garamond" w:cs="Calibri"/>
          <w:color w:val="000000" w:themeColor="text1"/>
          <w:sz w:val="22"/>
          <w:szCs w:val="22"/>
        </w:rPr>
        <w:instrText xml:space="preserve"> ADDIN ZOTERO_ITEM CSL_CITATION {"citationID":"98nIU4JI","properties":{"formattedCitation":"(Michaels &amp; Jansen, 2006)","plainCitation":"(Michaels &amp; Jansen, 2006)","noteIndex":0},"citationItems":[{"id":2694,"uris":["http://zotero.org/groups/2307100/items/5ZKRYRF3"],"uri":["http://zotero.org/groups/2307100/items/5ZKRYRF3"],"itemData":{"id":2694,"type":"article-journal","container-title":"American Journal Of Comparative Law","ISSN":"0002-919X","issue":"4","language":"English","page":"843-890","title":"Private law beyond the state? Europeanization, globalization, privatization","volume":"54","author":[{"family":"Michaels","given":"R"},{"family":"Jansen","given":"N"}],"issued":{"date-parts":[["2006"]]}}}],"schema":"https://github.com/citation-style-language/schema/raw/master/csl-citation.json"} </w:instrText>
      </w:r>
      <w:r w:rsidR="00275EA0">
        <w:rPr>
          <w:rFonts w:ascii="Garamond" w:hAnsi="Garamond" w:cs="Calibri"/>
          <w:color w:val="000000" w:themeColor="text1"/>
          <w:sz w:val="22"/>
          <w:szCs w:val="22"/>
        </w:rPr>
        <w:fldChar w:fldCharType="separate"/>
      </w:r>
      <w:r w:rsidR="00275EA0">
        <w:rPr>
          <w:rFonts w:ascii="Garamond" w:hAnsi="Garamond" w:cs="Calibri"/>
          <w:noProof/>
          <w:color w:val="000000" w:themeColor="text1"/>
          <w:sz w:val="22"/>
          <w:szCs w:val="22"/>
        </w:rPr>
        <w:t>(Michaels &amp; Jansen, 2006)</w:t>
      </w:r>
      <w:r w:rsidR="00275EA0">
        <w:rPr>
          <w:rFonts w:ascii="Garamond" w:hAnsi="Garamond" w:cs="Calibri"/>
          <w:color w:val="000000" w:themeColor="text1"/>
          <w:sz w:val="22"/>
          <w:szCs w:val="22"/>
        </w:rPr>
        <w:fldChar w:fldCharType="end"/>
      </w:r>
      <w:r w:rsidR="00275EA0">
        <w:rPr>
          <w:rFonts w:ascii="Garamond" w:hAnsi="Garamond" w:cs="Calibri"/>
          <w:color w:val="000000" w:themeColor="text1"/>
          <w:sz w:val="22"/>
          <w:szCs w:val="22"/>
        </w:rPr>
        <w:t>.</w:t>
      </w:r>
      <w:r w:rsidR="0076797A">
        <w:rPr>
          <w:rFonts w:ascii="Garamond" w:hAnsi="Garamond" w:cs="Calibri"/>
          <w:color w:val="000000" w:themeColor="text1"/>
          <w:sz w:val="22"/>
          <w:szCs w:val="22"/>
        </w:rPr>
        <w:t xml:space="preserve">  As states ‘roll-back’ their direct activities in many countries, under the guise of neo-liberal reforms, governance has also become more indirect and based on the creation of </w:t>
      </w:r>
      <w:r w:rsidR="003E0E99">
        <w:rPr>
          <w:rFonts w:ascii="Garamond" w:hAnsi="Garamond" w:cs="Calibri"/>
          <w:color w:val="000000" w:themeColor="text1"/>
          <w:sz w:val="22"/>
          <w:szCs w:val="22"/>
        </w:rPr>
        <w:t>new</w:t>
      </w:r>
      <w:r w:rsidR="0076797A">
        <w:rPr>
          <w:rFonts w:ascii="Garamond" w:hAnsi="Garamond" w:cs="Calibri"/>
          <w:color w:val="000000" w:themeColor="text1"/>
          <w:sz w:val="22"/>
          <w:szCs w:val="22"/>
        </w:rPr>
        <w:t xml:space="preserve"> regulatory agencies to fill the governance gaps left behind </w:t>
      </w:r>
      <w:r w:rsidR="0076797A">
        <w:rPr>
          <w:rFonts w:ascii="Garamond" w:hAnsi="Garamond" w:cs="Calibri"/>
          <w:color w:val="000000" w:themeColor="text1"/>
          <w:sz w:val="22"/>
          <w:szCs w:val="22"/>
        </w:rPr>
        <w:fldChar w:fldCharType="begin"/>
      </w:r>
      <w:r w:rsidR="0076797A">
        <w:rPr>
          <w:rFonts w:ascii="Garamond" w:hAnsi="Garamond" w:cs="Calibri"/>
          <w:color w:val="000000" w:themeColor="text1"/>
          <w:sz w:val="22"/>
          <w:szCs w:val="22"/>
        </w:rPr>
        <w:instrText xml:space="preserve"> ADDIN ZOTERO_ITEM CSL_CITATION {"citationID":"xrl1VFSe","properties":{"formattedCitation":"(Levi-Faur, 2016)","plainCitation":"(Levi-Faur, 2016)","noteIndex":0},"citationItems":[{"id":3280,"uris":["http://zotero.org/groups/2307100/items/SMBB5FXC"],"uri":["http://zotero.org/groups/2307100/items/SMBB5FXC"],"itemData":{"id":3280,"type":"article-journal","abstract":"This article analyzes the rise and diffusion of the new order of regulatory capitalism. It offers an analytical and historical analysis of relations between capitalism and regulation and suggests that change in the governance of capitalist economy is best captured by reference to (1) a new division of labor between state and society (e.g., privatization), (2) an increase in delegation, (3) proliferation of new technologies of regulation, (4) formalization of interinstitutional and intrainstitutional arrangements of regulation, and (5) growth in the influence of experts in general, and of international networks of experts in particular. Regulation, though not necessarily directly by the state, seems to be on the increase despite efforts to redraw the boundaries between state and society.","container-title":"The Annals of the American Academy of Political and Social Science","DOI":"10.1177/0002716204272371","ISSN":"1552-3349","issue":"1","language":"eng","note":"publisher-place: Thousand Oaks, CA\npublisher: Thousand Oaks, CA: SAGE Publications","page":"12-32","title":"The Global Diffusion of Regulatory Capitalism","volume":"598","author":[{"family":"Levi-Faur","given":"David"}],"issued":{"date-parts":[["2016"]]}}}],"schema":"https://github.com/citation-style-language/schema/raw/master/csl-citation.json"} </w:instrText>
      </w:r>
      <w:r w:rsidR="0076797A">
        <w:rPr>
          <w:rFonts w:ascii="Garamond" w:hAnsi="Garamond" w:cs="Calibri"/>
          <w:color w:val="000000" w:themeColor="text1"/>
          <w:sz w:val="22"/>
          <w:szCs w:val="22"/>
        </w:rPr>
        <w:fldChar w:fldCharType="separate"/>
      </w:r>
      <w:r w:rsidR="0076797A">
        <w:rPr>
          <w:rFonts w:ascii="Garamond" w:hAnsi="Garamond" w:cs="Calibri"/>
          <w:noProof/>
          <w:color w:val="000000" w:themeColor="text1"/>
          <w:sz w:val="22"/>
          <w:szCs w:val="22"/>
        </w:rPr>
        <w:t>(Levi-Faur, 2016)</w:t>
      </w:r>
      <w:r w:rsidR="0076797A">
        <w:rPr>
          <w:rFonts w:ascii="Garamond" w:hAnsi="Garamond" w:cs="Calibri"/>
          <w:color w:val="000000" w:themeColor="text1"/>
          <w:sz w:val="22"/>
          <w:szCs w:val="22"/>
        </w:rPr>
        <w:fldChar w:fldCharType="end"/>
      </w:r>
      <w:r w:rsidR="0076797A">
        <w:rPr>
          <w:rFonts w:ascii="Garamond" w:hAnsi="Garamond" w:cs="Calibri"/>
          <w:color w:val="000000" w:themeColor="text1"/>
          <w:sz w:val="22"/>
          <w:szCs w:val="22"/>
        </w:rPr>
        <w:t xml:space="preserve">.  A new </w:t>
      </w:r>
      <w:r w:rsidR="003E1D10">
        <w:rPr>
          <w:rFonts w:ascii="Garamond" w:hAnsi="Garamond" w:cs="Calibri"/>
          <w:color w:val="000000" w:themeColor="text1"/>
          <w:sz w:val="22"/>
          <w:szCs w:val="22"/>
        </w:rPr>
        <w:t xml:space="preserve">international </w:t>
      </w:r>
      <w:r w:rsidR="0076797A">
        <w:rPr>
          <w:rFonts w:ascii="Garamond" w:hAnsi="Garamond" w:cs="Calibri"/>
          <w:color w:val="000000" w:themeColor="text1"/>
          <w:sz w:val="22"/>
          <w:szCs w:val="22"/>
        </w:rPr>
        <w:t xml:space="preserve">class of private companies has emerged that specialises in providing governance and regulatory services to states </w:t>
      </w:r>
      <w:r w:rsidR="003E0E99">
        <w:rPr>
          <w:rFonts w:ascii="Garamond" w:hAnsi="Garamond" w:cs="Calibri"/>
          <w:color w:val="000000" w:themeColor="text1"/>
          <w:sz w:val="22"/>
          <w:szCs w:val="22"/>
        </w:rPr>
        <w:fldChar w:fldCharType="begin"/>
      </w:r>
      <w:r w:rsidR="003E0E99">
        <w:rPr>
          <w:rFonts w:ascii="Garamond" w:hAnsi="Garamond" w:cs="Calibri"/>
          <w:color w:val="000000" w:themeColor="text1"/>
          <w:sz w:val="22"/>
          <w:szCs w:val="22"/>
        </w:rPr>
        <w:instrText xml:space="preserve"> ADDIN ZOTERO_ITEM CSL_CITATION {"citationID":"9Rggg5Rg","properties":{"formattedCitation":"(Braithwaite, 2008)","plainCitation":"(Braithwaite, 2008)","noteIndex":0},"citationItems":[{"id":3889,"uris":["http://zotero.org/groups/2307100/items/Y9L26SC3"],"uri":["http://zotero.org/groups/2307100/items/Y9L26SC3"],"itemData":{"id":3889,"type":"book","ISBN":"1-84844-126-6","publisher":"Edward Elgar Publishing","title":"Regulatory capitalism: How it works, ideas for making it work better","author":[{"family":"Braithwaite","given":"John"}],"issued":{"date-parts":[["2008"]]}}}],"schema":"https://github.com/citation-style-language/schema/raw/master/csl-citation.json"} </w:instrText>
      </w:r>
      <w:r w:rsidR="003E0E99">
        <w:rPr>
          <w:rFonts w:ascii="Garamond" w:hAnsi="Garamond" w:cs="Calibri"/>
          <w:color w:val="000000" w:themeColor="text1"/>
          <w:sz w:val="22"/>
          <w:szCs w:val="22"/>
        </w:rPr>
        <w:fldChar w:fldCharType="separate"/>
      </w:r>
      <w:r w:rsidR="003E0E99">
        <w:rPr>
          <w:rFonts w:ascii="Garamond" w:hAnsi="Garamond" w:cs="Calibri"/>
          <w:noProof/>
          <w:color w:val="000000" w:themeColor="text1"/>
          <w:sz w:val="22"/>
          <w:szCs w:val="22"/>
        </w:rPr>
        <w:t>(Braithwaite, 2008)</w:t>
      </w:r>
      <w:r w:rsidR="003E0E99">
        <w:rPr>
          <w:rFonts w:ascii="Garamond" w:hAnsi="Garamond" w:cs="Calibri"/>
          <w:color w:val="000000" w:themeColor="text1"/>
          <w:sz w:val="22"/>
          <w:szCs w:val="22"/>
        </w:rPr>
        <w:fldChar w:fldCharType="end"/>
      </w:r>
      <w:r w:rsidR="003E1D10">
        <w:rPr>
          <w:rFonts w:ascii="Garamond" w:hAnsi="Garamond" w:cs="Calibri"/>
          <w:color w:val="000000" w:themeColor="text1"/>
          <w:sz w:val="22"/>
          <w:szCs w:val="22"/>
        </w:rPr>
        <w:t>.</w:t>
      </w:r>
      <w:r w:rsidR="0076797A">
        <w:rPr>
          <w:rFonts w:ascii="Garamond" w:hAnsi="Garamond" w:cs="Calibri"/>
          <w:color w:val="000000" w:themeColor="text1"/>
          <w:sz w:val="22"/>
          <w:szCs w:val="22"/>
        </w:rPr>
        <w:t xml:space="preserve"> </w:t>
      </w:r>
      <w:r w:rsidR="00275EA0">
        <w:rPr>
          <w:rFonts w:ascii="Garamond" w:hAnsi="Garamond" w:cs="Calibri"/>
          <w:color w:val="000000" w:themeColor="text1"/>
          <w:sz w:val="22"/>
          <w:szCs w:val="22"/>
        </w:rPr>
        <w:t>In addition</w:t>
      </w:r>
      <w:r w:rsidR="003E1D10">
        <w:rPr>
          <w:rFonts w:ascii="Garamond" w:hAnsi="Garamond" w:cs="Calibri"/>
          <w:color w:val="000000" w:themeColor="text1"/>
          <w:sz w:val="22"/>
          <w:szCs w:val="22"/>
        </w:rPr>
        <w:t>,</w:t>
      </w:r>
      <w:r w:rsidR="00275EA0">
        <w:rPr>
          <w:rFonts w:ascii="Garamond" w:hAnsi="Garamond" w:cs="Calibri"/>
          <w:color w:val="000000" w:themeColor="text1"/>
          <w:sz w:val="22"/>
          <w:szCs w:val="22"/>
        </w:rPr>
        <w:t xml:space="preserve"> states have become active players in private markets and their investment funds and real estate development firms make decisions based on geopolitical </w:t>
      </w:r>
      <w:r w:rsidR="0076797A">
        <w:rPr>
          <w:rFonts w:ascii="Garamond" w:hAnsi="Garamond" w:cs="Calibri"/>
          <w:color w:val="000000" w:themeColor="text1"/>
          <w:sz w:val="22"/>
          <w:szCs w:val="22"/>
        </w:rPr>
        <w:t xml:space="preserve">as well as market </w:t>
      </w:r>
      <w:r w:rsidR="00275EA0">
        <w:rPr>
          <w:rFonts w:ascii="Garamond" w:hAnsi="Garamond" w:cs="Calibri"/>
          <w:color w:val="000000" w:themeColor="text1"/>
          <w:sz w:val="22"/>
          <w:szCs w:val="22"/>
        </w:rPr>
        <w:t>imperatives</w:t>
      </w:r>
      <w:r w:rsidR="0076797A">
        <w:rPr>
          <w:rFonts w:ascii="Garamond" w:hAnsi="Garamond" w:cs="Calibri"/>
          <w:color w:val="000000" w:themeColor="text1"/>
          <w:sz w:val="22"/>
          <w:szCs w:val="22"/>
        </w:rPr>
        <w:t xml:space="preserve">.  They </w:t>
      </w:r>
      <w:r w:rsidR="00275EA0">
        <w:rPr>
          <w:rFonts w:ascii="Garamond" w:hAnsi="Garamond" w:cs="Calibri"/>
          <w:color w:val="000000" w:themeColor="text1"/>
          <w:sz w:val="22"/>
          <w:szCs w:val="22"/>
        </w:rPr>
        <w:t>draw on regulations and rules established in source countries</w:t>
      </w:r>
      <w:r w:rsidR="0076797A">
        <w:rPr>
          <w:rFonts w:ascii="Garamond" w:hAnsi="Garamond" w:cs="Calibri"/>
          <w:color w:val="000000" w:themeColor="text1"/>
          <w:sz w:val="22"/>
          <w:szCs w:val="22"/>
        </w:rPr>
        <w:t>,</w:t>
      </w:r>
      <w:r w:rsidR="00EC045B">
        <w:rPr>
          <w:rFonts w:ascii="Garamond" w:hAnsi="Garamond" w:cs="Calibri"/>
          <w:color w:val="000000" w:themeColor="text1"/>
          <w:sz w:val="22"/>
          <w:szCs w:val="22"/>
        </w:rPr>
        <w:t xml:space="preserve"> such as China or the Middle Eastern Gulf States,</w:t>
      </w:r>
      <w:r w:rsidR="0076797A">
        <w:rPr>
          <w:rFonts w:ascii="Garamond" w:hAnsi="Garamond" w:cs="Calibri"/>
          <w:color w:val="000000" w:themeColor="text1"/>
          <w:sz w:val="22"/>
          <w:szCs w:val="22"/>
        </w:rPr>
        <w:t xml:space="preserve"> adding further geographical liquidity and networks of responsibilities and power relations</w:t>
      </w:r>
      <w:r w:rsidR="00275EA0">
        <w:rPr>
          <w:rFonts w:ascii="Garamond" w:hAnsi="Garamond" w:cs="Calibri"/>
          <w:color w:val="000000" w:themeColor="text1"/>
          <w:sz w:val="22"/>
          <w:szCs w:val="22"/>
        </w:rPr>
        <w:t xml:space="preserve"> </w:t>
      </w:r>
      <w:r w:rsidR="003E0E99">
        <w:rPr>
          <w:rFonts w:ascii="Garamond" w:hAnsi="Garamond" w:cs="Calibri"/>
          <w:color w:val="000000" w:themeColor="text1"/>
          <w:sz w:val="22"/>
          <w:szCs w:val="22"/>
        </w:rPr>
        <w:t xml:space="preserve">to markets </w:t>
      </w:r>
      <w:r w:rsidR="00275EA0">
        <w:rPr>
          <w:rFonts w:ascii="Garamond" w:hAnsi="Garamond" w:cs="Calibri"/>
          <w:color w:val="000000" w:themeColor="text1"/>
          <w:sz w:val="22"/>
          <w:szCs w:val="22"/>
        </w:rPr>
        <w:fldChar w:fldCharType="begin"/>
      </w:r>
      <w:r w:rsidR="00275EA0">
        <w:rPr>
          <w:rFonts w:ascii="Garamond" w:hAnsi="Garamond" w:cs="Calibri"/>
          <w:color w:val="000000" w:themeColor="text1"/>
          <w:sz w:val="22"/>
          <w:szCs w:val="22"/>
        </w:rPr>
        <w:instrText xml:space="preserve"> ADDIN ZOTERO_ITEM CSL_CITATION {"citationID":"764KCVQ6","properties":{"formattedCitation":"(Hall, 2018; Raco et al., 2020)","plainCitation":"(Hall, 2018; Raco et al., 2020)","noteIndex":0},"citationItems":[{"id":2882,"uris":["http://zotero.org/groups/2307100/items/8SCAXWL3"],"uri":["http://zotero.org/groups/2307100/items/8SCAXWL3"],"itemData":{"id":2882,"type":"article-journal","container-title":"Economic geography","ISSN":"0013-0095","issue":"3","journalAbbreviation":"Economic geography","note":"publisher: Taylor &amp; Francis","page":"259-278","title":"Regulating the geographies of market making: offshore renminbi markets in London’s international financial district","volume":"94","author":[{"family":"Hall","given":"Sarah"}],"issued":{"date-parts":[["2018"]]}}},{"id":3881,"uris":["http://zotero.org/groups/2307100/items/W9GQXKIR"],"uri":["http://zotero.org/groups/2307100/items/W9GQXKIR"],"itemData":{"id":3881,"type":"article-journal","container-title":"Territory, Politics, Governance","ISSN":"2162-2671","journalAbbreviation":"Territory, Politics, Governance","note":"publisher: Routledge","page":"1-23","title":"Relational regulation and Chinese real estate investment in London: moving beyond the territorial trap","author":[{"family":"Raco","given":"Mike"},{"family":"Sun","given":"Yixiang"},{"family":"Brill","given":"Frances"}],"issued":{"date-parts":[["2020"]]}}}],"schema":"https://github.com/citation-style-language/schema/raw/master/csl-citation.json"} </w:instrText>
      </w:r>
      <w:r w:rsidR="00275EA0">
        <w:rPr>
          <w:rFonts w:ascii="Garamond" w:hAnsi="Garamond" w:cs="Calibri"/>
          <w:color w:val="000000" w:themeColor="text1"/>
          <w:sz w:val="22"/>
          <w:szCs w:val="22"/>
        </w:rPr>
        <w:fldChar w:fldCharType="separate"/>
      </w:r>
      <w:r w:rsidR="00275EA0">
        <w:rPr>
          <w:rFonts w:ascii="Garamond" w:hAnsi="Garamond" w:cs="Calibri"/>
          <w:noProof/>
          <w:color w:val="000000" w:themeColor="text1"/>
          <w:sz w:val="22"/>
          <w:szCs w:val="22"/>
        </w:rPr>
        <w:t>(Hall, 2018; Raco et al., 2020)</w:t>
      </w:r>
      <w:r w:rsidR="00275EA0">
        <w:rPr>
          <w:rFonts w:ascii="Garamond" w:hAnsi="Garamond" w:cs="Calibri"/>
          <w:color w:val="000000" w:themeColor="text1"/>
          <w:sz w:val="22"/>
          <w:szCs w:val="22"/>
        </w:rPr>
        <w:fldChar w:fldCharType="end"/>
      </w:r>
      <w:r w:rsidR="00275EA0">
        <w:rPr>
          <w:rFonts w:ascii="Garamond" w:hAnsi="Garamond" w:cs="Calibri"/>
          <w:color w:val="000000" w:themeColor="text1"/>
          <w:sz w:val="22"/>
          <w:szCs w:val="22"/>
        </w:rPr>
        <w:t>.</w:t>
      </w:r>
    </w:p>
    <w:p w14:paraId="240F5FDE" w14:textId="7CDD8E27" w:rsidR="0076797A" w:rsidRDefault="0076797A" w:rsidP="006D08D9">
      <w:pPr>
        <w:spacing w:line="276" w:lineRule="auto"/>
        <w:ind w:right="-52"/>
        <w:jc w:val="both"/>
        <w:rPr>
          <w:rFonts w:ascii="Garamond" w:hAnsi="Garamond" w:cs="Calibri"/>
          <w:color w:val="000000" w:themeColor="text1"/>
          <w:sz w:val="22"/>
          <w:szCs w:val="22"/>
        </w:rPr>
      </w:pPr>
    </w:p>
    <w:p w14:paraId="633724A5" w14:textId="433A2098" w:rsidR="0055537E" w:rsidRDefault="0076797A" w:rsidP="006D08D9">
      <w:pPr>
        <w:spacing w:line="276" w:lineRule="auto"/>
        <w:ind w:right="-52"/>
        <w:jc w:val="both"/>
        <w:rPr>
          <w:rFonts w:ascii="Garamond" w:hAnsi="Garamond" w:cs="Calibri"/>
          <w:color w:val="000000" w:themeColor="text1"/>
          <w:sz w:val="22"/>
          <w:szCs w:val="22"/>
        </w:rPr>
      </w:pPr>
      <w:r>
        <w:rPr>
          <w:rFonts w:ascii="Garamond" w:hAnsi="Garamond" w:cs="Calibri"/>
          <w:color w:val="000000" w:themeColor="text1"/>
          <w:sz w:val="22"/>
          <w:szCs w:val="22"/>
        </w:rPr>
        <w:t>Within such contexts, the position</w:t>
      </w:r>
      <w:r w:rsidR="00EC045B">
        <w:rPr>
          <w:rFonts w:ascii="Garamond" w:hAnsi="Garamond" w:cs="Calibri"/>
          <w:color w:val="000000" w:themeColor="text1"/>
          <w:sz w:val="22"/>
          <w:szCs w:val="22"/>
        </w:rPr>
        <w:t xml:space="preserve"> of professional IOs in influencing the development and implementation of regulations</w:t>
      </w:r>
      <w:r w:rsidR="003E1D10">
        <w:rPr>
          <w:rFonts w:ascii="Garamond" w:hAnsi="Garamond" w:cs="Calibri"/>
          <w:color w:val="000000" w:themeColor="text1"/>
          <w:sz w:val="22"/>
          <w:szCs w:val="22"/>
        </w:rPr>
        <w:t xml:space="preserve"> and the fixes that occur in specific policy fields</w:t>
      </w:r>
      <w:r w:rsidR="00EC045B">
        <w:rPr>
          <w:rFonts w:ascii="Garamond" w:hAnsi="Garamond" w:cs="Calibri"/>
          <w:color w:val="000000" w:themeColor="text1"/>
          <w:sz w:val="22"/>
          <w:szCs w:val="22"/>
        </w:rPr>
        <w:t xml:space="preserve"> is also subject to growing liquidity.  They have to adopt tactics and strategies in order to generate a degree of authority and legitimacy both with professional members and</w:t>
      </w:r>
      <w:r w:rsidR="008E7AA5">
        <w:rPr>
          <w:rFonts w:ascii="Garamond" w:hAnsi="Garamond" w:cs="Calibri"/>
          <w:color w:val="000000" w:themeColor="text1"/>
          <w:sz w:val="22"/>
          <w:szCs w:val="22"/>
        </w:rPr>
        <w:t xml:space="preserve"> within</w:t>
      </w:r>
      <w:r w:rsidR="00EC045B">
        <w:rPr>
          <w:rFonts w:ascii="Garamond" w:hAnsi="Garamond" w:cs="Calibri"/>
          <w:color w:val="000000" w:themeColor="text1"/>
          <w:sz w:val="22"/>
          <w:szCs w:val="22"/>
        </w:rPr>
        <w:t xml:space="preserve"> policy-mak</w:t>
      </w:r>
      <w:r w:rsidR="008E7AA5">
        <w:rPr>
          <w:rFonts w:ascii="Garamond" w:hAnsi="Garamond" w:cs="Calibri"/>
          <w:color w:val="000000" w:themeColor="text1"/>
          <w:sz w:val="22"/>
          <w:szCs w:val="22"/>
        </w:rPr>
        <w:t>ing</w:t>
      </w:r>
      <w:r w:rsidR="00EC045B">
        <w:rPr>
          <w:rFonts w:ascii="Garamond" w:hAnsi="Garamond" w:cs="Calibri"/>
          <w:color w:val="000000" w:themeColor="text1"/>
          <w:sz w:val="22"/>
          <w:szCs w:val="22"/>
        </w:rPr>
        <w:t xml:space="preserve"> and regulator</w:t>
      </w:r>
      <w:r w:rsidR="008E7AA5">
        <w:rPr>
          <w:rFonts w:ascii="Garamond" w:hAnsi="Garamond" w:cs="Calibri"/>
          <w:color w:val="000000" w:themeColor="text1"/>
          <w:sz w:val="22"/>
          <w:szCs w:val="22"/>
        </w:rPr>
        <w:t xml:space="preserve">y </w:t>
      </w:r>
      <w:r w:rsidR="003E1D10">
        <w:rPr>
          <w:rFonts w:ascii="Garamond" w:hAnsi="Garamond" w:cs="Calibri"/>
          <w:color w:val="000000" w:themeColor="text1"/>
          <w:sz w:val="22"/>
          <w:szCs w:val="22"/>
        </w:rPr>
        <w:t>networks</w:t>
      </w:r>
      <w:r w:rsidR="00EC045B">
        <w:rPr>
          <w:rFonts w:ascii="Garamond" w:hAnsi="Garamond" w:cs="Calibri"/>
          <w:color w:val="000000" w:themeColor="text1"/>
          <w:sz w:val="22"/>
          <w:szCs w:val="22"/>
        </w:rPr>
        <w:t>. Black (2017) identifie</w:t>
      </w:r>
      <w:r w:rsidR="00457309">
        <w:rPr>
          <w:rFonts w:ascii="Garamond" w:hAnsi="Garamond" w:cs="Calibri"/>
          <w:color w:val="000000" w:themeColor="text1"/>
          <w:sz w:val="22"/>
          <w:szCs w:val="22"/>
        </w:rPr>
        <w:t>s</w:t>
      </w:r>
      <w:r w:rsidR="00EC045B">
        <w:rPr>
          <w:rFonts w:ascii="Garamond" w:hAnsi="Garamond" w:cs="Calibri"/>
          <w:color w:val="000000" w:themeColor="text1"/>
          <w:sz w:val="22"/>
          <w:szCs w:val="22"/>
        </w:rPr>
        <w:t xml:space="preserve"> four ways in which IOs increasingly operate to generate influence, whilst supporting members: (</w:t>
      </w:r>
      <w:proofErr w:type="spellStart"/>
      <w:r w:rsidR="00EC045B">
        <w:rPr>
          <w:rFonts w:ascii="Garamond" w:hAnsi="Garamond" w:cs="Calibri"/>
          <w:color w:val="000000" w:themeColor="text1"/>
          <w:sz w:val="22"/>
          <w:szCs w:val="22"/>
        </w:rPr>
        <w:t>i</w:t>
      </w:r>
      <w:proofErr w:type="spellEnd"/>
      <w:r w:rsidR="00EC045B">
        <w:rPr>
          <w:rFonts w:ascii="Garamond" w:hAnsi="Garamond" w:cs="Calibri"/>
          <w:color w:val="000000" w:themeColor="text1"/>
          <w:sz w:val="22"/>
          <w:szCs w:val="22"/>
        </w:rPr>
        <w:t>) building and enhancing their ‘social credibility’ or legitimating their activities by recourse to high-quality professional norms and standards; (ii) identifying areas of pragmatic self-interest to attract members and encourage them to play an active role; (iii) appeal</w:t>
      </w:r>
      <w:r w:rsidR="003E1D10">
        <w:rPr>
          <w:rFonts w:ascii="Garamond" w:hAnsi="Garamond" w:cs="Calibri"/>
          <w:color w:val="000000" w:themeColor="text1"/>
          <w:sz w:val="22"/>
          <w:szCs w:val="22"/>
        </w:rPr>
        <w:t>ing</w:t>
      </w:r>
      <w:r w:rsidR="00EC045B">
        <w:rPr>
          <w:rFonts w:ascii="Garamond" w:hAnsi="Garamond" w:cs="Calibri"/>
          <w:color w:val="000000" w:themeColor="text1"/>
          <w:sz w:val="22"/>
          <w:szCs w:val="22"/>
        </w:rPr>
        <w:t xml:space="preserve"> for morally or normatively based forms of legitimacy in which they promote notions of ‘justice’ and ‘fairness’ as the basis for influence; and (iv) </w:t>
      </w:r>
      <w:r w:rsidR="003E1D10">
        <w:rPr>
          <w:rFonts w:ascii="Garamond" w:hAnsi="Garamond" w:cs="Calibri"/>
          <w:color w:val="000000" w:themeColor="text1"/>
          <w:sz w:val="22"/>
          <w:szCs w:val="22"/>
        </w:rPr>
        <w:t>drawing on a narrative</w:t>
      </w:r>
      <w:r w:rsidR="009F2511">
        <w:rPr>
          <w:rFonts w:ascii="Garamond" w:hAnsi="Garamond" w:cs="Calibri"/>
          <w:color w:val="000000" w:themeColor="text1"/>
          <w:sz w:val="22"/>
          <w:szCs w:val="22"/>
        </w:rPr>
        <w:t xml:space="preserve"> of </w:t>
      </w:r>
      <w:r w:rsidR="003E1D10">
        <w:rPr>
          <w:rFonts w:ascii="Garamond" w:hAnsi="Garamond" w:cs="Calibri"/>
          <w:color w:val="000000" w:themeColor="text1"/>
          <w:sz w:val="22"/>
          <w:szCs w:val="22"/>
        </w:rPr>
        <w:t>‘</w:t>
      </w:r>
      <w:r w:rsidR="009F2511">
        <w:rPr>
          <w:rFonts w:ascii="Garamond" w:hAnsi="Garamond" w:cs="Calibri"/>
          <w:color w:val="000000" w:themeColor="text1"/>
          <w:sz w:val="22"/>
          <w:szCs w:val="22"/>
        </w:rPr>
        <w:t>cognitive inevitability</w:t>
      </w:r>
      <w:r w:rsidR="003E1D10">
        <w:rPr>
          <w:rFonts w:ascii="Garamond" w:hAnsi="Garamond" w:cs="Calibri"/>
          <w:color w:val="000000" w:themeColor="text1"/>
          <w:sz w:val="22"/>
          <w:szCs w:val="22"/>
        </w:rPr>
        <w:t>’</w:t>
      </w:r>
      <w:r w:rsidR="009F2511">
        <w:rPr>
          <w:rFonts w:ascii="Garamond" w:hAnsi="Garamond" w:cs="Calibri"/>
          <w:color w:val="000000" w:themeColor="text1"/>
          <w:sz w:val="22"/>
          <w:szCs w:val="22"/>
        </w:rPr>
        <w:t xml:space="preserve"> in which it is claimed that the professional knowledge and skills that they represent are a necessary component in the drawing up of regulations and rules.  The extent to which a particular IO draws on these forms of legitimation varies from context to context as is the subject of empirical investigation.</w:t>
      </w:r>
      <w:r w:rsidR="00110234">
        <w:rPr>
          <w:rFonts w:ascii="Garamond" w:hAnsi="Garamond" w:cs="Calibri"/>
          <w:color w:val="000000" w:themeColor="text1"/>
          <w:sz w:val="22"/>
          <w:szCs w:val="22"/>
        </w:rPr>
        <w:t xml:space="preserve">  </w:t>
      </w:r>
    </w:p>
    <w:p w14:paraId="07BB44B5" w14:textId="77777777" w:rsidR="0055537E" w:rsidRDefault="0055537E" w:rsidP="006D08D9">
      <w:pPr>
        <w:spacing w:line="276" w:lineRule="auto"/>
        <w:ind w:right="-52"/>
        <w:jc w:val="both"/>
        <w:rPr>
          <w:rFonts w:ascii="Garamond" w:hAnsi="Garamond" w:cs="Calibri"/>
          <w:color w:val="000000" w:themeColor="text1"/>
          <w:sz w:val="22"/>
          <w:szCs w:val="22"/>
        </w:rPr>
      </w:pPr>
    </w:p>
    <w:p w14:paraId="77180604" w14:textId="43C58DB0" w:rsidR="008C6022" w:rsidRPr="00263267" w:rsidRDefault="00110234" w:rsidP="006D08D9">
      <w:pPr>
        <w:spacing w:line="276" w:lineRule="auto"/>
        <w:ind w:right="-52"/>
        <w:jc w:val="both"/>
        <w:rPr>
          <w:rFonts w:ascii="Garamond" w:hAnsi="Garamond" w:cs="Calibri"/>
          <w:color w:val="000000" w:themeColor="text1"/>
          <w:sz w:val="22"/>
          <w:szCs w:val="22"/>
        </w:rPr>
      </w:pPr>
      <w:r>
        <w:rPr>
          <w:rFonts w:ascii="Garamond" w:hAnsi="Garamond" w:cs="Calibri"/>
          <w:color w:val="000000" w:themeColor="text1"/>
          <w:sz w:val="22"/>
          <w:szCs w:val="22"/>
        </w:rPr>
        <w:t xml:space="preserve">The growing liquidity of regulatory processes </w:t>
      </w:r>
      <w:r w:rsidR="003E1D10">
        <w:rPr>
          <w:rFonts w:ascii="Garamond" w:hAnsi="Garamond" w:cs="Calibri"/>
          <w:color w:val="000000" w:themeColor="text1"/>
          <w:sz w:val="22"/>
          <w:szCs w:val="22"/>
        </w:rPr>
        <w:t>means that the position of IOs</w:t>
      </w:r>
      <w:r w:rsidR="00E8575B">
        <w:rPr>
          <w:rFonts w:ascii="Garamond" w:hAnsi="Garamond" w:cs="Calibri"/>
          <w:color w:val="000000" w:themeColor="text1"/>
          <w:sz w:val="22"/>
          <w:szCs w:val="22"/>
        </w:rPr>
        <w:t xml:space="preserve"> are always contingent and temporary arrangements subject to challenge and </w:t>
      </w:r>
      <w:r w:rsidR="0055537E">
        <w:rPr>
          <w:rFonts w:ascii="Garamond" w:hAnsi="Garamond" w:cs="Calibri"/>
          <w:color w:val="000000" w:themeColor="text1"/>
          <w:sz w:val="22"/>
          <w:szCs w:val="22"/>
        </w:rPr>
        <w:t>contestation</w:t>
      </w:r>
      <w:r w:rsidR="003E1D10">
        <w:rPr>
          <w:rFonts w:ascii="Garamond" w:hAnsi="Garamond" w:cs="Calibri"/>
          <w:color w:val="000000" w:themeColor="text1"/>
          <w:sz w:val="22"/>
          <w:szCs w:val="22"/>
        </w:rPr>
        <w:t xml:space="preserve"> (Newman and Clarke, 2018)</w:t>
      </w:r>
      <w:r w:rsidR="0055537E">
        <w:rPr>
          <w:rFonts w:ascii="Garamond" w:hAnsi="Garamond" w:cs="Calibri"/>
          <w:color w:val="000000" w:themeColor="text1"/>
          <w:sz w:val="22"/>
          <w:szCs w:val="22"/>
        </w:rPr>
        <w:t xml:space="preserve">.  </w:t>
      </w:r>
      <w:r w:rsidR="00610890" w:rsidRPr="00263267">
        <w:rPr>
          <w:rFonts w:ascii="Garamond" w:hAnsi="Garamond" w:cs="Calibri"/>
          <w:sz w:val="22"/>
          <w:szCs w:val="22"/>
        </w:rPr>
        <w:t>Professional experts, including those in the planning and real estate sectors, acquire their legitimacy and authority through a permanent process of negotiation and legitimacy-building with state authorities, governments, citizens and other civil society bodies, in a constantly shifting regulatory environment</w:t>
      </w:r>
      <w:r w:rsidR="00A54C47" w:rsidRPr="00263267">
        <w:rPr>
          <w:rFonts w:ascii="Garamond" w:hAnsi="Garamond" w:cs="Calibri"/>
          <w:sz w:val="22"/>
          <w:szCs w:val="22"/>
        </w:rPr>
        <w:t xml:space="preserve"> (Robin, 2018)</w:t>
      </w:r>
      <w:r w:rsidR="00610890" w:rsidRPr="00263267">
        <w:rPr>
          <w:rFonts w:ascii="Garamond" w:hAnsi="Garamond" w:cs="Calibri"/>
          <w:sz w:val="22"/>
          <w:szCs w:val="22"/>
        </w:rPr>
        <w:t>.</w:t>
      </w:r>
      <w:r w:rsidR="0000013D" w:rsidRPr="00263267">
        <w:rPr>
          <w:rFonts w:ascii="Garamond" w:hAnsi="Garamond" w:cs="Calibri"/>
          <w:color w:val="000000" w:themeColor="text1"/>
          <w:sz w:val="22"/>
          <w:szCs w:val="22"/>
        </w:rPr>
        <w:t xml:space="preserve"> </w:t>
      </w:r>
      <w:r w:rsidR="003E1D10">
        <w:rPr>
          <w:rFonts w:ascii="Garamond" w:eastAsia="Garamond" w:hAnsi="Garamond" w:cs="Calibri"/>
          <w:color w:val="000000" w:themeColor="text1"/>
          <w:sz w:val="22"/>
          <w:szCs w:val="22"/>
        </w:rPr>
        <w:t xml:space="preserve">Their </w:t>
      </w:r>
      <w:r w:rsidR="0000013D" w:rsidRPr="00263267">
        <w:rPr>
          <w:rFonts w:ascii="Garamond" w:eastAsia="Garamond" w:hAnsi="Garamond" w:cs="Calibri"/>
          <w:color w:val="000000" w:themeColor="text1"/>
          <w:sz w:val="22"/>
          <w:szCs w:val="22"/>
        </w:rPr>
        <w:t xml:space="preserve">authority </w:t>
      </w:r>
      <w:r w:rsidR="003E1D10">
        <w:rPr>
          <w:rFonts w:ascii="Garamond" w:eastAsia="Garamond" w:hAnsi="Garamond" w:cs="Calibri"/>
          <w:color w:val="000000" w:themeColor="text1"/>
          <w:sz w:val="22"/>
          <w:szCs w:val="22"/>
        </w:rPr>
        <w:t xml:space="preserve">is </w:t>
      </w:r>
      <w:r w:rsidR="0000013D" w:rsidRPr="00263267">
        <w:rPr>
          <w:rFonts w:ascii="Garamond" w:eastAsia="Garamond" w:hAnsi="Garamond" w:cs="Calibri"/>
          <w:color w:val="000000" w:themeColor="text1"/>
          <w:sz w:val="22"/>
          <w:szCs w:val="22"/>
        </w:rPr>
        <w:t xml:space="preserve">shaped by reflexive forms of place-based performativity, negotiation, and practice, mediated by a range of organisations and representative bodies.  Rather than thinking about regulation </w:t>
      </w:r>
      <w:r w:rsidR="007775DA" w:rsidRPr="00263267">
        <w:rPr>
          <w:rFonts w:ascii="Garamond" w:eastAsia="Garamond" w:hAnsi="Garamond" w:cs="Calibri"/>
          <w:color w:val="000000" w:themeColor="text1"/>
          <w:sz w:val="22"/>
          <w:szCs w:val="22"/>
        </w:rPr>
        <w:t xml:space="preserve">therefore </w:t>
      </w:r>
      <w:r w:rsidR="0000013D" w:rsidRPr="00263267">
        <w:rPr>
          <w:rFonts w:ascii="Garamond" w:eastAsia="Garamond" w:hAnsi="Garamond" w:cs="Calibri"/>
          <w:color w:val="000000" w:themeColor="text1"/>
          <w:sz w:val="22"/>
          <w:szCs w:val="22"/>
        </w:rPr>
        <w:t>as a set of binding</w:t>
      </w:r>
      <w:r w:rsidR="007775DA" w:rsidRPr="00263267">
        <w:rPr>
          <w:rFonts w:ascii="Garamond" w:eastAsia="Garamond" w:hAnsi="Garamond" w:cs="Calibri"/>
          <w:color w:val="000000" w:themeColor="text1"/>
          <w:sz w:val="22"/>
          <w:szCs w:val="22"/>
        </w:rPr>
        <w:t>, hierarchical</w:t>
      </w:r>
      <w:r w:rsidR="0000013D" w:rsidRPr="00263267">
        <w:rPr>
          <w:rFonts w:ascii="Garamond" w:eastAsia="Garamond" w:hAnsi="Garamond" w:cs="Calibri"/>
          <w:color w:val="000000" w:themeColor="text1"/>
          <w:sz w:val="22"/>
          <w:szCs w:val="22"/>
        </w:rPr>
        <w:t xml:space="preserve"> formal rules, more liquid approaches ‘make it easier to conceive of authority in degrees, rather than in absolutes, and it shifts our view to sources of recognition that are not based on formal legal empowerment’ </w:t>
      </w:r>
      <w:r w:rsidR="0000013D" w:rsidRPr="00263267">
        <w:rPr>
          <w:rFonts w:ascii="Garamond" w:eastAsia="Garamond" w:hAnsi="Garamond" w:cs="Calibri"/>
          <w:color w:val="000000" w:themeColor="text1"/>
          <w:sz w:val="22"/>
          <w:szCs w:val="22"/>
        </w:rPr>
        <w:fldChar w:fldCharType="begin"/>
      </w:r>
      <w:r w:rsidR="0000013D" w:rsidRPr="00263267">
        <w:rPr>
          <w:rFonts w:ascii="Garamond" w:eastAsia="Garamond" w:hAnsi="Garamond" w:cs="Calibri"/>
          <w:color w:val="000000" w:themeColor="text1"/>
          <w:sz w:val="22"/>
          <w:szCs w:val="22"/>
        </w:rPr>
        <w:instrText xml:space="preserve"> ADDIN ZOTERO_ITEM CSL_CITATION {"citationID":"jbaoMEOX","properties":{"formattedCitation":"(Krisch, 2017)","plainCitation":"(Krisch, 2017)","dontUpdate":true,"noteIndex":0},"citationItems":[{"id":1903,"uris":["http://zotero.org/groups/2307100/items/WZL4LQRJ"],"uri":["http://zotero.org/groups/2307100/items/WZL4LQRJ"],"itemData":{"id":1903,"type":"article-journal","container-title":"International Theory","ISSN":"1752-9719","issue":"2","journalAbbreviation":"International Theory","page":"237-260","title":"Liquid authority in global governance","volume":"9","author":[{"family":"Krisch","given":"Nico"}],"issued":{"date-parts":[["2017"]]}}}],"schema":"https://github.com/citation-style-language/schema/raw/master/csl-citation.json"} </w:instrText>
      </w:r>
      <w:r w:rsidR="0000013D" w:rsidRPr="00263267">
        <w:rPr>
          <w:rFonts w:ascii="Garamond" w:eastAsia="Garamond" w:hAnsi="Garamond" w:cs="Calibri"/>
          <w:color w:val="000000" w:themeColor="text1"/>
          <w:sz w:val="22"/>
          <w:szCs w:val="22"/>
        </w:rPr>
        <w:fldChar w:fldCharType="separate"/>
      </w:r>
      <w:r w:rsidR="0000013D" w:rsidRPr="00263267">
        <w:rPr>
          <w:rFonts w:ascii="Garamond" w:eastAsia="Garamond" w:hAnsi="Garamond" w:cs="Calibri"/>
          <w:noProof/>
          <w:color w:val="000000" w:themeColor="text1"/>
          <w:sz w:val="22"/>
          <w:szCs w:val="22"/>
        </w:rPr>
        <w:t>(Krisch, 2017: p.242)</w:t>
      </w:r>
      <w:r w:rsidR="0000013D" w:rsidRPr="00263267">
        <w:rPr>
          <w:rFonts w:ascii="Garamond" w:eastAsia="Garamond" w:hAnsi="Garamond" w:cs="Calibri"/>
          <w:color w:val="000000" w:themeColor="text1"/>
          <w:sz w:val="22"/>
          <w:szCs w:val="22"/>
        </w:rPr>
        <w:fldChar w:fldCharType="end"/>
      </w:r>
      <w:r w:rsidR="0000013D" w:rsidRPr="00263267">
        <w:rPr>
          <w:rFonts w:ascii="Garamond" w:hAnsi="Garamond" w:cs="Calibri"/>
          <w:sz w:val="22"/>
          <w:szCs w:val="22"/>
        </w:rPr>
        <w:t xml:space="preserve">. </w:t>
      </w:r>
      <w:r w:rsidR="003E1D10">
        <w:rPr>
          <w:rFonts w:ascii="Garamond" w:hAnsi="Garamond" w:cs="Calibri"/>
          <w:sz w:val="22"/>
          <w:szCs w:val="22"/>
        </w:rPr>
        <w:t>They</w:t>
      </w:r>
      <w:r w:rsidR="0000013D" w:rsidRPr="00263267">
        <w:rPr>
          <w:rFonts w:ascii="Garamond" w:hAnsi="Garamond" w:cs="Calibri"/>
          <w:sz w:val="22"/>
          <w:szCs w:val="22"/>
        </w:rPr>
        <w:t xml:space="preserve"> draw attention to what </w:t>
      </w:r>
      <w:proofErr w:type="spellStart"/>
      <w:r w:rsidR="0000013D" w:rsidRPr="00263267">
        <w:rPr>
          <w:rFonts w:ascii="Garamond" w:hAnsi="Garamond" w:cs="Calibri"/>
          <w:sz w:val="22"/>
          <w:szCs w:val="22"/>
        </w:rPr>
        <w:t>Vogl</w:t>
      </w:r>
      <w:proofErr w:type="spellEnd"/>
      <w:r w:rsidR="0000013D" w:rsidRPr="00263267">
        <w:rPr>
          <w:rFonts w:ascii="Garamond" w:hAnsi="Garamond" w:cs="Calibri"/>
          <w:sz w:val="22"/>
          <w:szCs w:val="22"/>
        </w:rPr>
        <w:t xml:space="preserve"> (2017) </w:t>
      </w:r>
      <w:r w:rsidR="0000013D" w:rsidRPr="00263267">
        <w:rPr>
          <w:rFonts w:ascii="Garamond" w:hAnsi="Garamond"/>
          <w:sz w:val="22"/>
          <w:szCs w:val="22"/>
        </w:rPr>
        <w:t>terms the growing ‘zones of indeterminacy’ within regulatory systems in which the boundaries between regulators and the regulated are becoming increasingly porous</w:t>
      </w:r>
      <w:r w:rsidR="0000013D" w:rsidRPr="00263267">
        <w:rPr>
          <w:rFonts w:ascii="Garamond" w:hAnsi="Garamond" w:cs="Calibri"/>
          <w:sz w:val="22"/>
          <w:szCs w:val="22"/>
        </w:rPr>
        <w:t xml:space="preserve"> and recursive. </w:t>
      </w:r>
    </w:p>
    <w:p w14:paraId="03A4F761" w14:textId="4484C4C0" w:rsidR="006955C1" w:rsidRPr="00263267" w:rsidRDefault="00225011" w:rsidP="006D08D9">
      <w:pPr>
        <w:pStyle w:val="Body"/>
        <w:spacing w:line="276" w:lineRule="auto"/>
        <w:jc w:val="both"/>
        <w:rPr>
          <w:rFonts w:ascii="Garamond" w:hAnsi="Garamond" w:cs="Calibri"/>
          <w:sz w:val="22"/>
          <w:szCs w:val="22"/>
        </w:rPr>
      </w:pPr>
      <w:r w:rsidRPr="00263267">
        <w:rPr>
          <w:rFonts w:ascii="Garamond" w:hAnsi="Garamond" w:cs="Calibri"/>
          <w:color w:val="000000" w:themeColor="text1"/>
          <w:sz w:val="22"/>
          <w:szCs w:val="22"/>
        </w:rPr>
        <w:t>It is in this wider context that t</w:t>
      </w:r>
      <w:r w:rsidR="006955C1" w:rsidRPr="00263267">
        <w:rPr>
          <w:rFonts w:ascii="Garamond" w:hAnsi="Garamond" w:cs="Calibri"/>
          <w:color w:val="000000" w:themeColor="text1"/>
          <w:sz w:val="22"/>
          <w:szCs w:val="22"/>
        </w:rPr>
        <w:t xml:space="preserve">he chapter now turns to a comparison of two of the most significant IOs in the planning and built environment sectors, RICS and the RTPI.  </w:t>
      </w:r>
      <w:r w:rsidR="001253B9" w:rsidRPr="00263267">
        <w:rPr>
          <w:rFonts w:ascii="Garamond" w:hAnsi="Garamond"/>
          <w:color w:val="000000" w:themeColor="text1"/>
          <w:sz w:val="22"/>
          <w:szCs w:val="22"/>
        </w:rPr>
        <w:t xml:space="preserve">It draws on a research project that has involved over 60 interviews with public and private actors covering the sector, including national and regional policy makers, investors, developers, civil society groups and multiple professional IOs. </w:t>
      </w:r>
      <w:r w:rsidR="00E86248" w:rsidRPr="00263267">
        <w:rPr>
          <w:rFonts w:ascii="Garamond" w:hAnsi="Garamond" w:cs="Calibri"/>
          <w:color w:val="000000" w:themeColor="text1"/>
          <w:sz w:val="22"/>
          <w:szCs w:val="22"/>
        </w:rPr>
        <w:t xml:space="preserve">Both organisations deploy a range of </w:t>
      </w:r>
      <w:r w:rsidR="005E1D7F">
        <w:rPr>
          <w:rFonts w:ascii="Garamond" w:hAnsi="Garamond" w:cs="Calibri"/>
          <w:color w:val="000000" w:themeColor="text1"/>
          <w:sz w:val="22"/>
          <w:szCs w:val="22"/>
        </w:rPr>
        <w:t xml:space="preserve">legitimacy </w:t>
      </w:r>
      <w:r w:rsidR="00E86248" w:rsidRPr="00263267">
        <w:rPr>
          <w:rFonts w:ascii="Garamond" w:hAnsi="Garamond" w:cs="Calibri"/>
          <w:color w:val="000000" w:themeColor="text1"/>
          <w:sz w:val="22"/>
          <w:szCs w:val="22"/>
        </w:rPr>
        <w:t>tactics and strategies</w:t>
      </w:r>
      <w:r w:rsidR="005E1D7F">
        <w:rPr>
          <w:rFonts w:ascii="Garamond" w:hAnsi="Garamond" w:cs="Calibri"/>
          <w:color w:val="000000" w:themeColor="text1"/>
          <w:sz w:val="22"/>
          <w:szCs w:val="22"/>
        </w:rPr>
        <w:t xml:space="preserve"> through which they seek</w:t>
      </w:r>
      <w:r w:rsidR="00E86248" w:rsidRPr="00263267">
        <w:rPr>
          <w:rFonts w:ascii="Garamond" w:hAnsi="Garamond" w:cs="Calibri"/>
          <w:color w:val="000000" w:themeColor="text1"/>
          <w:sz w:val="22"/>
          <w:szCs w:val="22"/>
        </w:rPr>
        <w:t xml:space="preserve"> to influence the regulation of planning and development</w:t>
      </w:r>
      <w:r w:rsidR="005E1D7F">
        <w:rPr>
          <w:rFonts w:ascii="Garamond" w:hAnsi="Garamond" w:cs="Calibri"/>
          <w:color w:val="000000" w:themeColor="text1"/>
          <w:sz w:val="22"/>
          <w:szCs w:val="22"/>
        </w:rPr>
        <w:t xml:space="preserve"> and develop their broader social and political credibility</w:t>
      </w:r>
      <w:r w:rsidR="003E1D10">
        <w:rPr>
          <w:rFonts w:ascii="Garamond" w:hAnsi="Garamond" w:cs="Calibri"/>
          <w:color w:val="000000" w:themeColor="text1"/>
          <w:sz w:val="22"/>
          <w:szCs w:val="22"/>
        </w:rPr>
        <w:t xml:space="preserve"> (</w:t>
      </w:r>
      <w:r w:rsidR="003E1D10">
        <w:rPr>
          <w:rFonts w:ascii="Garamond" w:hAnsi="Garamond" w:cs="Calibri"/>
          <w:i/>
          <w:color w:val="000000" w:themeColor="text1"/>
          <w:sz w:val="22"/>
          <w:szCs w:val="22"/>
        </w:rPr>
        <w:t xml:space="preserve">cf. </w:t>
      </w:r>
      <w:r w:rsidR="003E1D10">
        <w:rPr>
          <w:rFonts w:ascii="Garamond" w:hAnsi="Garamond" w:cs="Calibri"/>
          <w:color w:val="000000" w:themeColor="text1"/>
          <w:sz w:val="22"/>
          <w:szCs w:val="22"/>
        </w:rPr>
        <w:t>Black, 2017)</w:t>
      </w:r>
      <w:r w:rsidR="005E1D7F">
        <w:rPr>
          <w:rFonts w:ascii="Garamond" w:hAnsi="Garamond" w:cs="Calibri"/>
          <w:color w:val="000000" w:themeColor="text1"/>
          <w:sz w:val="22"/>
          <w:szCs w:val="22"/>
        </w:rPr>
        <w:t>.</w:t>
      </w:r>
      <w:r w:rsidR="001253B9" w:rsidRPr="00263267">
        <w:rPr>
          <w:rFonts w:ascii="Garamond" w:hAnsi="Garamond" w:cs="Calibri"/>
          <w:color w:val="000000" w:themeColor="text1"/>
          <w:sz w:val="22"/>
          <w:szCs w:val="22"/>
        </w:rPr>
        <w:t xml:space="preserve"> </w:t>
      </w:r>
      <w:r w:rsidR="004B39C4" w:rsidRPr="00263267">
        <w:rPr>
          <w:rFonts w:ascii="Garamond" w:hAnsi="Garamond" w:cs="Calibri"/>
          <w:color w:val="000000" w:themeColor="text1"/>
          <w:sz w:val="22"/>
          <w:szCs w:val="22"/>
        </w:rPr>
        <w:t xml:space="preserve"> </w:t>
      </w:r>
      <w:r w:rsidR="005E1D7F">
        <w:rPr>
          <w:rFonts w:ascii="Garamond" w:hAnsi="Garamond" w:cs="Calibri"/>
          <w:color w:val="000000" w:themeColor="text1"/>
          <w:sz w:val="22"/>
          <w:szCs w:val="22"/>
        </w:rPr>
        <w:t>There are</w:t>
      </w:r>
      <w:r w:rsidR="004B39C4" w:rsidRPr="00263267">
        <w:rPr>
          <w:rFonts w:ascii="Garamond" w:hAnsi="Garamond" w:cs="Calibri"/>
          <w:color w:val="000000" w:themeColor="text1"/>
          <w:sz w:val="22"/>
          <w:szCs w:val="22"/>
        </w:rPr>
        <w:t xml:space="preserve"> two principal activities: regulating the </w:t>
      </w:r>
      <w:r w:rsidR="004B39C4" w:rsidRPr="00263267">
        <w:rPr>
          <w:rFonts w:ascii="Garamond" w:hAnsi="Garamond" w:cs="Calibri"/>
          <w:i/>
          <w:color w:val="000000" w:themeColor="text1"/>
          <w:sz w:val="22"/>
          <w:szCs w:val="22"/>
        </w:rPr>
        <w:t>technical-professional</w:t>
      </w:r>
      <w:r w:rsidR="004B39C4" w:rsidRPr="00263267">
        <w:rPr>
          <w:rFonts w:ascii="Garamond" w:hAnsi="Garamond" w:cs="Calibri"/>
          <w:color w:val="000000" w:themeColor="text1"/>
          <w:sz w:val="22"/>
          <w:szCs w:val="22"/>
        </w:rPr>
        <w:t xml:space="preserve"> conduct of members who are tasked with implementing planning regulations under market conditions; and </w:t>
      </w:r>
      <w:r w:rsidR="004B39C4" w:rsidRPr="00263267">
        <w:rPr>
          <w:rFonts w:ascii="Garamond" w:hAnsi="Garamond" w:cs="Calibri"/>
          <w:i/>
          <w:color w:val="000000" w:themeColor="text1"/>
          <w:sz w:val="22"/>
          <w:szCs w:val="22"/>
        </w:rPr>
        <w:t xml:space="preserve">generating knowledge and seeking to influence </w:t>
      </w:r>
      <w:r w:rsidR="00D2208E" w:rsidRPr="00263267">
        <w:rPr>
          <w:rFonts w:ascii="Garamond" w:hAnsi="Garamond" w:cs="Calibri"/>
          <w:color w:val="000000" w:themeColor="text1"/>
          <w:sz w:val="22"/>
          <w:szCs w:val="22"/>
        </w:rPr>
        <w:t>policy-making processes</w:t>
      </w:r>
      <w:r w:rsidR="004B39C4" w:rsidRPr="00263267">
        <w:rPr>
          <w:rFonts w:ascii="Garamond" w:hAnsi="Garamond" w:cs="Calibri"/>
          <w:color w:val="000000" w:themeColor="text1"/>
          <w:sz w:val="22"/>
          <w:szCs w:val="22"/>
        </w:rPr>
        <w:t xml:space="preserve">. </w:t>
      </w:r>
      <w:r w:rsidR="005E1D7F">
        <w:rPr>
          <w:rFonts w:ascii="Garamond" w:hAnsi="Garamond" w:cs="Calibri"/>
          <w:color w:val="000000" w:themeColor="text1"/>
          <w:sz w:val="22"/>
          <w:szCs w:val="22"/>
        </w:rPr>
        <w:t>We show that a</w:t>
      </w:r>
      <w:r w:rsidR="004B39C4" w:rsidRPr="00263267">
        <w:rPr>
          <w:rFonts w:ascii="Garamond" w:hAnsi="Garamond" w:cs="Calibri"/>
          <w:color w:val="000000" w:themeColor="text1"/>
          <w:sz w:val="22"/>
          <w:szCs w:val="22"/>
        </w:rPr>
        <w:t>s political agendas and approaches towards planning as a whole have become more delivery</w:t>
      </w:r>
      <w:r w:rsidR="003E1D10">
        <w:rPr>
          <w:rFonts w:ascii="Garamond" w:hAnsi="Garamond" w:cs="Calibri"/>
          <w:color w:val="000000" w:themeColor="text1"/>
          <w:sz w:val="22"/>
          <w:szCs w:val="22"/>
        </w:rPr>
        <w:t xml:space="preserve"> and market</w:t>
      </w:r>
      <w:r w:rsidR="004B39C4" w:rsidRPr="00263267">
        <w:rPr>
          <w:rFonts w:ascii="Garamond" w:hAnsi="Garamond" w:cs="Calibri"/>
          <w:color w:val="000000" w:themeColor="text1"/>
          <w:sz w:val="22"/>
          <w:szCs w:val="22"/>
        </w:rPr>
        <w:t xml:space="preserve">-focused, influence has shifted towards those </w:t>
      </w:r>
      <w:r w:rsidR="00EF3F00" w:rsidRPr="00263267">
        <w:rPr>
          <w:rFonts w:ascii="Garamond" w:hAnsi="Garamond" w:cs="Calibri"/>
          <w:color w:val="000000" w:themeColor="text1"/>
          <w:sz w:val="22"/>
          <w:szCs w:val="22"/>
        </w:rPr>
        <w:t>IOs</w:t>
      </w:r>
      <w:r w:rsidR="0065593D" w:rsidRPr="00263267">
        <w:rPr>
          <w:rFonts w:ascii="Garamond" w:hAnsi="Garamond" w:cs="Calibri"/>
          <w:color w:val="000000" w:themeColor="text1"/>
          <w:sz w:val="22"/>
          <w:szCs w:val="22"/>
        </w:rPr>
        <w:t xml:space="preserve"> that</w:t>
      </w:r>
      <w:r w:rsidR="004B39C4" w:rsidRPr="00263267">
        <w:rPr>
          <w:rFonts w:ascii="Garamond" w:hAnsi="Garamond" w:cs="Calibri"/>
          <w:color w:val="000000" w:themeColor="text1"/>
          <w:sz w:val="22"/>
          <w:szCs w:val="22"/>
        </w:rPr>
        <w:t xml:space="preserve"> shape</w:t>
      </w:r>
      <w:r w:rsidR="003318B7" w:rsidRPr="00263267">
        <w:rPr>
          <w:rFonts w:ascii="Garamond" w:hAnsi="Garamond" w:cs="Calibri"/>
          <w:color w:val="000000" w:themeColor="text1"/>
          <w:sz w:val="22"/>
          <w:szCs w:val="22"/>
        </w:rPr>
        <w:t xml:space="preserve"> professional</w:t>
      </w:r>
      <w:r w:rsidR="004B39C4" w:rsidRPr="00263267">
        <w:rPr>
          <w:rFonts w:ascii="Garamond" w:hAnsi="Garamond" w:cs="Calibri"/>
          <w:color w:val="000000" w:themeColor="text1"/>
          <w:sz w:val="22"/>
          <w:szCs w:val="22"/>
        </w:rPr>
        <w:t xml:space="preserve"> conduct and implementation</w:t>
      </w:r>
      <w:r w:rsidR="00092967" w:rsidRPr="00263267">
        <w:rPr>
          <w:rFonts w:ascii="Garamond" w:hAnsi="Garamond" w:cs="Calibri"/>
          <w:color w:val="000000" w:themeColor="text1"/>
          <w:sz w:val="22"/>
          <w:szCs w:val="22"/>
        </w:rPr>
        <w:t>, rather than those that seek to shift policy thinking</w:t>
      </w:r>
      <w:r w:rsidR="004B39C4" w:rsidRPr="00263267">
        <w:rPr>
          <w:rFonts w:ascii="Garamond" w:hAnsi="Garamond" w:cs="Calibri"/>
          <w:color w:val="000000" w:themeColor="text1"/>
          <w:sz w:val="22"/>
          <w:szCs w:val="22"/>
        </w:rPr>
        <w:t>.</w:t>
      </w:r>
      <w:r w:rsidR="00092967" w:rsidRPr="00263267">
        <w:rPr>
          <w:rFonts w:ascii="Garamond" w:hAnsi="Garamond" w:cs="Calibri"/>
          <w:color w:val="000000" w:themeColor="text1"/>
          <w:sz w:val="22"/>
          <w:szCs w:val="22"/>
        </w:rPr>
        <w:t xml:space="preserve">  This has put RICS in a particularly influential position as it specialises in the production of valuation techniques and practices.</w:t>
      </w:r>
      <w:r w:rsidR="005E1D7F">
        <w:rPr>
          <w:rFonts w:ascii="Garamond" w:hAnsi="Garamond" w:cs="Calibri"/>
          <w:color w:val="000000" w:themeColor="text1"/>
          <w:sz w:val="22"/>
          <w:szCs w:val="22"/>
        </w:rPr>
        <w:t xml:space="preserve">  It is able to present itself as a pragmatic agency, mobilising the technical skills of members into the wider project of helping to deliver successful planning reform.</w:t>
      </w:r>
      <w:r w:rsidR="00092967" w:rsidRPr="00263267">
        <w:rPr>
          <w:rFonts w:ascii="Garamond" w:hAnsi="Garamond" w:cs="Calibri"/>
          <w:color w:val="000000" w:themeColor="text1"/>
          <w:sz w:val="22"/>
          <w:szCs w:val="22"/>
        </w:rPr>
        <w:t xml:space="preserve">  However, this influence comes at cost, with the organisation acting as a</w:t>
      </w:r>
      <w:r w:rsidR="005E1D7F">
        <w:rPr>
          <w:rFonts w:ascii="Garamond" w:hAnsi="Garamond" w:cs="Calibri"/>
          <w:color w:val="000000" w:themeColor="text1"/>
          <w:sz w:val="22"/>
          <w:szCs w:val="22"/>
        </w:rPr>
        <w:t xml:space="preserve"> political</w:t>
      </w:r>
      <w:r w:rsidR="00092967" w:rsidRPr="00263267">
        <w:rPr>
          <w:rFonts w:ascii="Garamond" w:hAnsi="Garamond" w:cs="Calibri"/>
          <w:color w:val="000000" w:themeColor="text1"/>
          <w:sz w:val="22"/>
          <w:szCs w:val="22"/>
        </w:rPr>
        <w:t xml:space="preserve"> buffer for the tensions within planning policy</w:t>
      </w:r>
      <w:r w:rsidR="00E86248" w:rsidRPr="00263267">
        <w:rPr>
          <w:rFonts w:ascii="Garamond" w:hAnsi="Garamond" w:cs="Calibri"/>
          <w:color w:val="000000" w:themeColor="text1"/>
          <w:sz w:val="22"/>
          <w:szCs w:val="22"/>
        </w:rPr>
        <w:t xml:space="preserve"> </w:t>
      </w:r>
      <w:r w:rsidR="00092967" w:rsidRPr="00263267">
        <w:rPr>
          <w:rFonts w:ascii="Garamond" w:hAnsi="Garamond" w:cs="Calibri"/>
          <w:color w:val="000000" w:themeColor="text1"/>
          <w:sz w:val="22"/>
          <w:szCs w:val="22"/>
        </w:rPr>
        <w:t>and</w:t>
      </w:r>
      <w:r w:rsidR="00AF6B17" w:rsidRPr="00263267">
        <w:rPr>
          <w:rFonts w:ascii="Garamond" w:hAnsi="Garamond" w:cs="Calibri"/>
          <w:color w:val="000000" w:themeColor="text1"/>
          <w:sz w:val="22"/>
          <w:szCs w:val="22"/>
        </w:rPr>
        <w:t xml:space="preserve"> the implications for wider understandings of government and the political process.</w:t>
      </w:r>
      <w:r w:rsidR="005E1D7F">
        <w:rPr>
          <w:rFonts w:ascii="Garamond" w:hAnsi="Garamond" w:cs="Calibri"/>
          <w:color w:val="000000" w:themeColor="text1"/>
          <w:sz w:val="22"/>
          <w:szCs w:val="22"/>
        </w:rPr>
        <w:t xml:space="preserve">  </w:t>
      </w:r>
      <w:r w:rsidR="003E1D10">
        <w:rPr>
          <w:rFonts w:ascii="Garamond" w:hAnsi="Garamond" w:cs="Calibri"/>
          <w:color w:val="000000" w:themeColor="text1"/>
          <w:sz w:val="22"/>
          <w:szCs w:val="22"/>
        </w:rPr>
        <w:t>I</w:t>
      </w:r>
      <w:r w:rsidR="005E1D7F">
        <w:rPr>
          <w:rFonts w:ascii="Garamond" w:hAnsi="Garamond" w:cs="Calibri"/>
          <w:color w:val="000000" w:themeColor="text1"/>
          <w:sz w:val="22"/>
          <w:szCs w:val="22"/>
        </w:rPr>
        <w:t xml:space="preserve">ts social credibility and </w:t>
      </w:r>
      <w:r w:rsidR="0055537E">
        <w:rPr>
          <w:rFonts w:ascii="Garamond" w:hAnsi="Garamond" w:cs="Calibri"/>
          <w:color w:val="000000" w:themeColor="text1"/>
          <w:sz w:val="22"/>
          <w:szCs w:val="22"/>
        </w:rPr>
        <w:t>professional</w:t>
      </w:r>
      <w:r w:rsidR="005E1D7F">
        <w:rPr>
          <w:rFonts w:ascii="Garamond" w:hAnsi="Garamond" w:cs="Calibri"/>
          <w:color w:val="000000" w:themeColor="text1"/>
          <w:sz w:val="22"/>
          <w:szCs w:val="22"/>
        </w:rPr>
        <w:t xml:space="preserve"> appeal to members</w:t>
      </w:r>
      <w:r w:rsidR="003E1D10">
        <w:rPr>
          <w:rFonts w:ascii="Garamond" w:hAnsi="Garamond" w:cs="Calibri"/>
          <w:color w:val="000000" w:themeColor="text1"/>
          <w:sz w:val="22"/>
          <w:szCs w:val="22"/>
        </w:rPr>
        <w:t xml:space="preserve"> can be threatened if it is seen as being too close to government agencies</w:t>
      </w:r>
      <w:r w:rsidR="005E1D7F">
        <w:rPr>
          <w:rFonts w:ascii="Garamond" w:hAnsi="Garamond" w:cs="Calibri"/>
          <w:color w:val="000000" w:themeColor="text1"/>
          <w:sz w:val="22"/>
          <w:szCs w:val="22"/>
        </w:rPr>
        <w:t>.</w:t>
      </w:r>
      <w:r w:rsidR="00E400ED">
        <w:rPr>
          <w:rFonts w:ascii="Garamond" w:hAnsi="Garamond" w:cs="Calibri"/>
          <w:color w:val="000000" w:themeColor="text1"/>
          <w:sz w:val="22"/>
          <w:szCs w:val="22"/>
        </w:rPr>
        <w:t xml:space="preserve">  The section starts with an overview of the core priorities</w:t>
      </w:r>
      <w:r w:rsidR="0055537E">
        <w:rPr>
          <w:rFonts w:ascii="Garamond" w:hAnsi="Garamond" w:cs="Calibri"/>
          <w:color w:val="000000" w:themeColor="text1"/>
          <w:sz w:val="22"/>
          <w:szCs w:val="22"/>
        </w:rPr>
        <w:t xml:space="preserve"> and structures of both IOs</w:t>
      </w:r>
      <w:r w:rsidR="00E400ED">
        <w:rPr>
          <w:rFonts w:ascii="Garamond" w:hAnsi="Garamond" w:cs="Calibri"/>
          <w:color w:val="000000" w:themeColor="text1"/>
          <w:sz w:val="22"/>
          <w:szCs w:val="22"/>
        </w:rPr>
        <w:t xml:space="preserve"> before moving to their roles in the implementation of core policy reforms and debates over the future of planning regulation.</w:t>
      </w:r>
    </w:p>
    <w:p w14:paraId="17EEE5AD" w14:textId="42EDDE96" w:rsidR="00325974" w:rsidRPr="00263267" w:rsidRDefault="00325974" w:rsidP="006D08D9">
      <w:pPr>
        <w:spacing w:line="276" w:lineRule="auto"/>
        <w:ind w:right="-52"/>
        <w:jc w:val="both"/>
        <w:rPr>
          <w:rFonts w:ascii="Garamond" w:eastAsia="Garamond" w:hAnsi="Garamond" w:cs="Calibri"/>
          <w:color w:val="000000" w:themeColor="text1"/>
          <w:sz w:val="22"/>
          <w:szCs w:val="22"/>
        </w:rPr>
      </w:pPr>
    </w:p>
    <w:p w14:paraId="3A80F7EF" w14:textId="4C26441D" w:rsidR="00325974" w:rsidRPr="00263267" w:rsidRDefault="0055537E" w:rsidP="006D08D9">
      <w:pPr>
        <w:spacing w:line="276" w:lineRule="auto"/>
        <w:ind w:right="-52"/>
        <w:jc w:val="both"/>
        <w:rPr>
          <w:rFonts w:ascii="Garamond" w:eastAsia="Garamond" w:hAnsi="Garamond" w:cs="Calibri"/>
          <w:b/>
          <w:color w:val="000000" w:themeColor="text1"/>
          <w:sz w:val="22"/>
          <w:szCs w:val="22"/>
        </w:rPr>
      </w:pPr>
      <w:r>
        <w:rPr>
          <w:rFonts w:ascii="Garamond" w:eastAsia="Garamond" w:hAnsi="Garamond" w:cs="Calibri"/>
          <w:b/>
          <w:color w:val="000000" w:themeColor="text1"/>
          <w:sz w:val="22"/>
          <w:szCs w:val="22"/>
        </w:rPr>
        <w:t xml:space="preserve">The </w:t>
      </w:r>
      <w:r w:rsidR="00325974" w:rsidRPr="00263267">
        <w:rPr>
          <w:rFonts w:ascii="Garamond" w:eastAsia="Garamond" w:hAnsi="Garamond" w:cs="Calibri"/>
          <w:b/>
          <w:color w:val="000000" w:themeColor="text1"/>
          <w:sz w:val="22"/>
          <w:szCs w:val="22"/>
        </w:rPr>
        <w:t>R</w:t>
      </w:r>
      <w:r>
        <w:rPr>
          <w:rFonts w:ascii="Garamond" w:eastAsia="Garamond" w:hAnsi="Garamond" w:cs="Calibri"/>
          <w:b/>
          <w:color w:val="000000" w:themeColor="text1"/>
          <w:sz w:val="22"/>
          <w:szCs w:val="22"/>
        </w:rPr>
        <w:t xml:space="preserve">oyal </w:t>
      </w:r>
      <w:r w:rsidR="00325974" w:rsidRPr="00263267">
        <w:rPr>
          <w:rFonts w:ascii="Garamond" w:eastAsia="Garamond" w:hAnsi="Garamond" w:cs="Calibri"/>
          <w:b/>
          <w:color w:val="000000" w:themeColor="text1"/>
          <w:sz w:val="22"/>
          <w:szCs w:val="22"/>
        </w:rPr>
        <w:t>I</w:t>
      </w:r>
      <w:r>
        <w:rPr>
          <w:rFonts w:ascii="Garamond" w:eastAsia="Garamond" w:hAnsi="Garamond" w:cs="Calibri"/>
          <w:b/>
          <w:color w:val="000000" w:themeColor="text1"/>
          <w:sz w:val="22"/>
          <w:szCs w:val="22"/>
        </w:rPr>
        <w:t xml:space="preserve">nstitute of </w:t>
      </w:r>
      <w:r w:rsidR="00325974" w:rsidRPr="00263267">
        <w:rPr>
          <w:rFonts w:ascii="Garamond" w:eastAsia="Garamond" w:hAnsi="Garamond" w:cs="Calibri"/>
          <w:b/>
          <w:color w:val="000000" w:themeColor="text1"/>
          <w:sz w:val="22"/>
          <w:szCs w:val="22"/>
        </w:rPr>
        <w:t>C</w:t>
      </w:r>
      <w:r>
        <w:rPr>
          <w:rFonts w:ascii="Garamond" w:eastAsia="Garamond" w:hAnsi="Garamond" w:cs="Calibri"/>
          <w:b/>
          <w:color w:val="000000" w:themeColor="text1"/>
          <w:sz w:val="22"/>
          <w:szCs w:val="22"/>
        </w:rPr>
        <w:t xml:space="preserve">hartered </w:t>
      </w:r>
      <w:r w:rsidR="00325974" w:rsidRPr="00263267">
        <w:rPr>
          <w:rFonts w:ascii="Garamond" w:eastAsia="Garamond" w:hAnsi="Garamond" w:cs="Calibri"/>
          <w:b/>
          <w:color w:val="000000" w:themeColor="text1"/>
          <w:sz w:val="22"/>
          <w:szCs w:val="22"/>
        </w:rPr>
        <w:t>S</w:t>
      </w:r>
      <w:r>
        <w:rPr>
          <w:rFonts w:ascii="Garamond" w:eastAsia="Garamond" w:hAnsi="Garamond" w:cs="Calibri"/>
          <w:b/>
          <w:color w:val="000000" w:themeColor="text1"/>
          <w:sz w:val="22"/>
          <w:szCs w:val="22"/>
        </w:rPr>
        <w:t>urveyors</w:t>
      </w:r>
      <w:r w:rsidR="00325974" w:rsidRPr="00263267">
        <w:rPr>
          <w:rFonts w:ascii="Garamond" w:eastAsia="Garamond" w:hAnsi="Garamond" w:cs="Calibri"/>
          <w:b/>
          <w:color w:val="000000" w:themeColor="text1"/>
          <w:sz w:val="22"/>
          <w:szCs w:val="22"/>
        </w:rPr>
        <w:t xml:space="preserve"> and </w:t>
      </w:r>
      <w:r>
        <w:rPr>
          <w:rFonts w:ascii="Garamond" w:eastAsia="Garamond" w:hAnsi="Garamond" w:cs="Calibri"/>
          <w:b/>
          <w:color w:val="000000" w:themeColor="text1"/>
          <w:sz w:val="22"/>
          <w:szCs w:val="22"/>
        </w:rPr>
        <w:t xml:space="preserve">the </w:t>
      </w:r>
      <w:r w:rsidR="00325974" w:rsidRPr="00263267">
        <w:rPr>
          <w:rFonts w:ascii="Garamond" w:eastAsia="Garamond" w:hAnsi="Garamond" w:cs="Calibri"/>
          <w:b/>
          <w:color w:val="000000" w:themeColor="text1"/>
          <w:sz w:val="22"/>
          <w:szCs w:val="22"/>
        </w:rPr>
        <w:t>R</w:t>
      </w:r>
      <w:r>
        <w:rPr>
          <w:rFonts w:ascii="Garamond" w:eastAsia="Garamond" w:hAnsi="Garamond" w:cs="Calibri"/>
          <w:b/>
          <w:color w:val="000000" w:themeColor="text1"/>
          <w:sz w:val="22"/>
          <w:szCs w:val="22"/>
        </w:rPr>
        <w:t xml:space="preserve">oyal </w:t>
      </w:r>
      <w:r w:rsidR="00325974" w:rsidRPr="00263267">
        <w:rPr>
          <w:rFonts w:ascii="Garamond" w:eastAsia="Garamond" w:hAnsi="Garamond" w:cs="Calibri"/>
          <w:b/>
          <w:color w:val="000000" w:themeColor="text1"/>
          <w:sz w:val="22"/>
          <w:szCs w:val="22"/>
        </w:rPr>
        <w:t>T</w:t>
      </w:r>
      <w:r>
        <w:rPr>
          <w:rFonts w:ascii="Garamond" w:eastAsia="Garamond" w:hAnsi="Garamond" w:cs="Calibri"/>
          <w:b/>
          <w:color w:val="000000" w:themeColor="text1"/>
          <w:sz w:val="22"/>
          <w:szCs w:val="22"/>
        </w:rPr>
        <w:t xml:space="preserve">own </w:t>
      </w:r>
      <w:r w:rsidR="00325974" w:rsidRPr="00263267">
        <w:rPr>
          <w:rFonts w:ascii="Garamond" w:eastAsia="Garamond" w:hAnsi="Garamond" w:cs="Calibri"/>
          <w:b/>
          <w:color w:val="000000" w:themeColor="text1"/>
          <w:sz w:val="22"/>
          <w:szCs w:val="22"/>
        </w:rPr>
        <w:t>P</w:t>
      </w:r>
      <w:r>
        <w:rPr>
          <w:rFonts w:ascii="Garamond" w:eastAsia="Garamond" w:hAnsi="Garamond" w:cs="Calibri"/>
          <w:b/>
          <w:color w:val="000000" w:themeColor="text1"/>
          <w:sz w:val="22"/>
          <w:szCs w:val="22"/>
        </w:rPr>
        <w:t xml:space="preserve">lanning </w:t>
      </w:r>
      <w:r w:rsidR="00325974" w:rsidRPr="00263267">
        <w:rPr>
          <w:rFonts w:ascii="Garamond" w:eastAsia="Garamond" w:hAnsi="Garamond" w:cs="Calibri"/>
          <w:b/>
          <w:color w:val="000000" w:themeColor="text1"/>
          <w:sz w:val="22"/>
          <w:szCs w:val="22"/>
        </w:rPr>
        <w:t>I</w:t>
      </w:r>
      <w:r>
        <w:rPr>
          <w:rFonts w:ascii="Garamond" w:eastAsia="Garamond" w:hAnsi="Garamond" w:cs="Calibri"/>
          <w:b/>
          <w:color w:val="000000" w:themeColor="text1"/>
          <w:sz w:val="22"/>
          <w:szCs w:val="22"/>
        </w:rPr>
        <w:t>nstitute</w:t>
      </w:r>
      <w:r w:rsidR="001D6D40" w:rsidRPr="00263267">
        <w:rPr>
          <w:rFonts w:ascii="Garamond" w:eastAsia="Garamond" w:hAnsi="Garamond" w:cs="Calibri"/>
          <w:b/>
          <w:color w:val="000000" w:themeColor="text1"/>
          <w:sz w:val="22"/>
          <w:szCs w:val="22"/>
        </w:rPr>
        <w:t xml:space="preserve"> as Intermediary Organisations</w:t>
      </w:r>
    </w:p>
    <w:p w14:paraId="671BAF2A" w14:textId="2C1BCA62" w:rsidR="00816DB9" w:rsidRPr="00263267" w:rsidRDefault="00816DB9" w:rsidP="006D08D9">
      <w:pPr>
        <w:spacing w:line="276" w:lineRule="auto"/>
        <w:ind w:right="-52"/>
        <w:jc w:val="both"/>
        <w:rPr>
          <w:rFonts w:ascii="Garamond" w:eastAsia="Garamond" w:hAnsi="Garamond" w:cs="Calibri"/>
          <w:b/>
          <w:color w:val="000000" w:themeColor="text1"/>
          <w:sz w:val="22"/>
          <w:szCs w:val="22"/>
        </w:rPr>
      </w:pPr>
    </w:p>
    <w:p w14:paraId="412FC933" w14:textId="63D67C86" w:rsidR="00816DB9" w:rsidRPr="00263267" w:rsidRDefault="00816DB9" w:rsidP="006D08D9">
      <w:pPr>
        <w:spacing w:line="276" w:lineRule="auto"/>
        <w:ind w:right="-52"/>
        <w:jc w:val="both"/>
        <w:rPr>
          <w:rFonts w:ascii="Garamond" w:eastAsia="Garamond" w:hAnsi="Garamond" w:cs="Calibri"/>
          <w:i/>
          <w:color w:val="000000" w:themeColor="text1"/>
          <w:sz w:val="22"/>
          <w:szCs w:val="22"/>
        </w:rPr>
      </w:pPr>
      <w:r w:rsidRPr="00263267">
        <w:rPr>
          <w:rFonts w:ascii="Garamond" w:eastAsia="Garamond" w:hAnsi="Garamond" w:cs="Calibri"/>
          <w:i/>
          <w:color w:val="000000" w:themeColor="text1"/>
          <w:sz w:val="22"/>
          <w:szCs w:val="22"/>
        </w:rPr>
        <w:t>Core Priorities and Structures</w:t>
      </w:r>
    </w:p>
    <w:p w14:paraId="1C13C57E" w14:textId="7D807AB4" w:rsidR="00AB4005" w:rsidRPr="00263267" w:rsidRDefault="00326008" w:rsidP="006D08D9">
      <w:pPr>
        <w:spacing w:line="276" w:lineRule="auto"/>
        <w:jc w:val="both"/>
        <w:rPr>
          <w:rFonts w:ascii="Garamond" w:hAnsi="Garamond"/>
          <w:color w:val="000000" w:themeColor="text1"/>
          <w:sz w:val="22"/>
          <w:szCs w:val="22"/>
        </w:rPr>
      </w:pPr>
      <w:r w:rsidRPr="00263267">
        <w:rPr>
          <w:rFonts w:ascii="Garamond" w:eastAsia="Garamond" w:hAnsi="Garamond" w:cs="Calibri"/>
          <w:color w:val="000000" w:themeColor="text1"/>
          <w:sz w:val="22"/>
          <w:szCs w:val="22"/>
        </w:rPr>
        <w:t xml:space="preserve">The core </w:t>
      </w:r>
      <w:r w:rsidR="00A70FCF" w:rsidRPr="00263267">
        <w:rPr>
          <w:rFonts w:ascii="Garamond" w:eastAsia="Garamond" w:hAnsi="Garamond" w:cs="Calibri"/>
          <w:color w:val="000000" w:themeColor="text1"/>
          <w:sz w:val="22"/>
          <w:szCs w:val="22"/>
        </w:rPr>
        <w:t>priorities and structures of authority and accountability</w:t>
      </w:r>
      <w:r w:rsidRPr="00263267">
        <w:rPr>
          <w:rFonts w:ascii="Garamond" w:eastAsia="Garamond" w:hAnsi="Garamond" w:cs="Calibri"/>
          <w:color w:val="000000" w:themeColor="text1"/>
          <w:sz w:val="22"/>
          <w:szCs w:val="22"/>
        </w:rPr>
        <w:t xml:space="preserve"> of both organisations are set out in Figure </w:t>
      </w:r>
      <w:r w:rsidR="00A70FCF" w:rsidRPr="00263267">
        <w:rPr>
          <w:rFonts w:ascii="Garamond" w:eastAsia="Garamond" w:hAnsi="Garamond" w:cs="Calibri"/>
          <w:color w:val="000000" w:themeColor="text1"/>
          <w:sz w:val="22"/>
          <w:szCs w:val="22"/>
        </w:rPr>
        <w:t>1</w:t>
      </w:r>
      <w:r w:rsidR="00AB4005" w:rsidRPr="00263267">
        <w:rPr>
          <w:rFonts w:ascii="Garamond" w:eastAsia="Garamond" w:hAnsi="Garamond" w:cs="Calibri"/>
          <w:color w:val="000000" w:themeColor="text1"/>
          <w:sz w:val="22"/>
          <w:szCs w:val="22"/>
        </w:rPr>
        <w:t>.</w:t>
      </w:r>
      <w:r w:rsidRPr="00263267">
        <w:rPr>
          <w:rFonts w:ascii="Garamond" w:eastAsia="Garamond" w:hAnsi="Garamond" w:cs="Calibri"/>
          <w:color w:val="000000" w:themeColor="text1"/>
          <w:sz w:val="22"/>
          <w:szCs w:val="22"/>
        </w:rPr>
        <w:t xml:space="preserve"> </w:t>
      </w:r>
      <w:r w:rsidR="003B4EEF" w:rsidRPr="00263267">
        <w:rPr>
          <w:rFonts w:ascii="Garamond" w:eastAsia="Garamond" w:hAnsi="Garamond" w:cs="Calibri"/>
          <w:color w:val="000000" w:themeColor="text1"/>
          <w:sz w:val="22"/>
          <w:szCs w:val="22"/>
        </w:rPr>
        <w:t xml:space="preserve">There are some marked similarities.  Both confer </w:t>
      </w:r>
      <w:r w:rsidR="00FF3820" w:rsidRPr="00263267">
        <w:rPr>
          <w:rFonts w:ascii="Garamond" w:eastAsia="Garamond" w:hAnsi="Garamond" w:cs="Calibri"/>
          <w:color w:val="000000" w:themeColor="text1"/>
          <w:sz w:val="22"/>
          <w:szCs w:val="22"/>
        </w:rPr>
        <w:t>m</w:t>
      </w:r>
      <w:r w:rsidR="00A70FCF" w:rsidRPr="00263267">
        <w:rPr>
          <w:rFonts w:ascii="Garamond" w:eastAsia="Times New Roman" w:hAnsi="Garamond" w:cs="Arial"/>
          <w:color w:val="000000" w:themeColor="text1"/>
          <w:sz w:val="22"/>
          <w:szCs w:val="22"/>
          <w:shd w:val="clear" w:color="auto" w:fill="FFFFFF"/>
        </w:rPr>
        <w:t>embership</w:t>
      </w:r>
      <w:r w:rsidR="00AB4005" w:rsidRPr="00263267">
        <w:rPr>
          <w:rFonts w:ascii="Garamond" w:eastAsia="Times New Roman" w:hAnsi="Garamond" w:cs="Arial"/>
          <w:color w:val="000000" w:themeColor="text1"/>
          <w:sz w:val="22"/>
          <w:szCs w:val="22"/>
          <w:shd w:val="clear" w:color="auto" w:fill="FFFFFF"/>
        </w:rPr>
        <w:t xml:space="preserve"> </w:t>
      </w:r>
      <w:r w:rsidR="00A70FCF" w:rsidRPr="00263267">
        <w:rPr>
          <w:rFonts w:ascii="Garamond" w:eastAsia="Times New Roman" w:hAnsi="Garamond" w:cs="Arial"/>
          <w:color w:val="000000" w:themeColor="text1"/>
          <w:sz w:val="22"/>
          <w:szCs w:val="22"/>
          <w:shd w:val="clear" w:color="auto" w:fill="FFFFFF"/>
        </w:rPr>
        <w:t>on</w:t>
      </w:r>
      <w:r w:rsidR="00AB4005" w:rsidRPr="00263267">
        <w:rPr>
          <w:rFonts w:ascii="Garamond" w:eastAsia="Times New Roman" w:hAnsi="Garamond" w:cs="Arial"/>
          <w:color w:val="000000" w:themeColor="text1"/>
          <w:sz w:val="22"/>
          <w:szCs w:val="22"/>
          <w:shd w:val="clear" w:color="auto" w:fill="FFFFFF"/>
        </w:rPr>
        <w:t xml:space="preserve"> individual</w:t>
      </w:r>
      <w:r w:rsidR="00A70FCF" w:rsidRPr="00263267">
        <w:rPr>
          <w:rFonts w:ascii="Garamond" w:eastAsia="Times New Roman" w:hAnsi="Garamond" w:cs="Arial"/>
          <w:color w:val="000000" w:themeColor="text1"/>
          <w:sz w:val="22"/>
          <w:szCs w:val="22"/>
          <w:shd w:val="clear" w:color="auto" w:fill="FFFFFF"/>
        </w:rPr>
        <w:t>s</w:t>
      </w:r>
      <w:r w:rsidR="006E07CD" w:rsidRPr="00263267">
        <w:rPr>
          <w:rFonts w:ascii="Garamond" w:eastAsia="Times New Roman" w:hAnsi="Garamond" w:cs="Arial"/>
          <w:color w:val="000000" w:themeColor="text1"/>
          <w:sz w:val="22"/>
          <w:szCs w:val="22"/>
          <w:shd w:val="clear" w:color="auto" w:fill="FFFFFF"/>
        </w:rPr>
        <w:t>, rather than institutions,</w:t>
      </w:r>
      <w:r w:rsidR="00AB4005" w:rsidRPr="00263267">
        <w:rPr>
          <w:rFonts w:ascii="Garamond" w:eastAsia="Times New Roman" w:hAnsi="Garamond" w:cs="Arial"/>
          <w:color w:val="000000" w:themeColor="text1"/>
          <w:sz w:val="22"/>
          <w:szCs w:val="22"/>
          <w:shd w:val="clear" w:color="auto" w:fill="FFFFFF"/>
        </w:rPr>
        <w:t xml:space="preserve"> meaning that they simultaneously represent market actors, public planners, and those working in civil society groups, making it difficult to characterise them as one type of intermediary. </w:t>
      </w:r>
      <w:r w:rsidR="002E4851">
        <w:rPr>
          <w:rFonts w:ascii="Garamond" w:eastAsia="Times New Roman" w:hAnsi="Garamond" w:cs="Arial"/>
          <w:color w:val="000000" w:themeColor="text1"/>
          <w:sz w:val="22"/>
          <w:szCs w:val="22"/>
          <w:shd w:val="clear" w:color="auto" w:fill="FFFFFF"/>
        </w:rPr>
        <w:t xml:space="preserve">This means that memberships are relatively diverse and wide and include </w:t>
      </w:r>
      <w:r w:rsidR="00AB4005" w:rsidRPr="00B9259C">
        <w:rPr>
          <w:rFonts w:ascii="Garamond" w:eastAsia="Times New Roman" w:hAnsi="Garamond" w:cs="Times New Roman"/>
          <w:color w:val="000000" w:themeColor="text1"/>
          <w:sz w:val="22"/>
          <w:szCs w:val="22"/>
        </w:rPr>
        <w:t>big developers small, sole practitioners</w:t>
      </w:r>
      <w:r w:rsidR="00D05BFB">
        <w:rPr>
          <w:rFonts w:ascii="Garamond" w:eastAsia="Times New Roman" w:hAnsi="Garamond" w:cs="Times New Roman"/>
          <w:color w:val="000000" w:themeColor="text1"/>
          <w:sz w:val="22"/>
          <w:szCs w:val="22"/>
        </w:rPr>
        <w:t xml:space="preserve"> and</w:t>
      </w:r>
      <w:r w:rsidR="00AB4005" w:rsidRPr="00B9259C">
        <w:rPr>
          <w:rFonts w:ascii="Garamond" w:eastAsia="Times New Roman" w:hAnsi="Garamond" w:cs="Times New Roman"/>
          <w:color w:val="000000" w:themeColor="text1"/>
          <w:sz w:val="22"/>
          <w:szCs w:val="22"/>
        </w:rPr>
        <w:t xml:space="preserve"> SMEs, </w:t>
      </w:r>
      <w:r w:rsidR="00D05BFB">
        <w:rPr>
          <w:rFonts w:ascii="Garamond" w:eastAsia="Times New Roman" w:hAnsi="Garamond" w:cs="Times New Roman"/>
          <w:color w:val="000000" w:themeColor="text1"/>
          <w:sz w:val="22"/>
          <w:szCs w:val="22"/>
        </w:rPr>
        <w:t>and others</w:t>
      </w:r>
      <w:r w:rsidR="00AB4005" w:rsidRPr="00B9259C">
        <w:rPr>
          <w:rFonts w:ascii="Garamond" w:eastAsia="Times New Roman" w:hAnsi="Garamond" w:cs="Times New Roman"/>
          <w:color w:val="000000" w:themeColor="text1"/>
          <w:sz w:val="22"/>
          <w:szCs w:val="22"/>
        </w:rPr>
        <w:t xml:space="preserve"> who work within the public sector</w:t>
      </w:r>
      <w:r w:rsidR="002E4851">
        <w:rPr>
          <w:rFonts w:ascii="Garamond" w:eastAsia="Times New Roman" w:hAnsi="Garamond" w:cs="Times New Roman"/>
          <w:i/>
          <w:color w:val="000000" w:themeColor="text1"/>
          <w:sz w:val="22"/>
          <w:szCs w:val="22"/>
        </w:rPr>
        <w:t>.</w:t>
      </w:r>
      <w:r w:rsidR="00AB4005" w:rsidRPr="00263267">
        <w:rPr>
          <w:rFonts w:ascii="Garamond" w:eastAsia="Times New Roman" w:hAnsi="Garamond" w:cs="Times New Roman"/>
          <w:i/>
          <w:color w:val="000000" w:themeColor="text1"/>
          <w:sz w:val="22"/>
          <w:szCs w:val="22"/>
        </w:rPr>
        <w:t xml:space="preserve"> </w:t>
      </w:r>
      <w:r w:rsidR="00AB4005" w:rsidRPr="00263267">
        <w:rPr>
          <w:rFonts w:ascii="Garamond" w:eastAsia="Times New Roman" w:hAnsi="Garamond" w:cs="Times New Roman"/>
          <w:color w:val="000000" w:themeColor="text1"/>
          <w:sz w:val="22"/>
          <w:szCs w:val="22"/>
        </w:rPr>
        <w:t xml:space="preserve">  </w:t>
      </w:r>
      <w:r w:rsidR="00AB4005" w:rsidRPr="00263267">
        <w:rPr>
          <w:rFonts w:ascii="Garamond" w:hAnsi="Garamond"/>
          <w:color w:val="000000" w:themeColor="text1"/>
          <w:sz w:val="22"/>
          <w:szCs w:val="22"/>
        </w:rPr>
        <w:t xml:space="preserve">RTPI </w:t>
      </w:r>
      <w:r w:rsidR="00610890" w:rsidRPr="00263267">
        <w:rPr>
          <w:rFonts w:ascii="Garamond" w:hAnsi="Garamond"/>
          <w:color w:val="000000" w:themeColor="text1"/>
          <w:sz w:val="22"/>
          <w:szCs w:val="22"/>
        </w:rPr>
        <w:t>have</w:t>
      </w:r>
      <w:r w:rsidR="00AB4005" w:rsidRPr="00263267">
        <w:rPr>
          <w:rFonts w:ascii="Garamond" w:hAnsi="Garamond"/>
          <w:color w:val="000000" w:themeColor="text1"/>
          <w:sz w:val="22"/>
          <w:szCs w:val="22"/>
        </w:rPr>
        <w:t xml:space="preserve"> a stronger UK-focus</w:t>
      </w:r>
      <w:r w:rsidR="00610890" w:rsidRPr="00263267">
        <w:rPr>
          <w:rFonts w:ascii="Garamond" w:hAnsi="Garamond"/>
          <w:color w:val="000000" w:themeColor="text1"/>
          <w:sz w:val="22"/>
          <w:szCs w:val="22"/>
        </w:rPr>
        <w:t xml:space="preserve"> and are less internationally-oriented</w:t>
      </w:r>
      <w:r w:rsidR="001E6F1D">
        <w:rPr>
          <w:rFonts w:ascii="Garamond" w:hAnsi="Garamond"/>
          <w:color w:val="000000" w:themeColor="text1"/>
          <w:sz w:val="22"/>
          <w:szCs w:val="22"/>
        </w:rPr>
        <w:t xml:space="preserve"> than RICS</w:t>
      </w:r>
      <w:r w:rsidR="00AB4005" w:rsidRPr="00263267">
        <w:rPr>
          <w:rFonts w:ascii="Garamond" w:hAnsi="Garamond"/>
          <w:color w:val="000000" w:themeColor="text1"/>
          <w:sz w:val="22"/>
          <w:szCs w:val="22"/>
        </w:rPr>
        <w:t>.</w:t>
      </w:r>
      <w:r w:rsidR="006F7AC6" w:rsidRPr="00263267">
        <w:rPr>
          <w:rFonts w:ascii="Garamond" w:hAnsi="Garamond"/>
          <w:color w:val="000000" w:themeColor="text1"/>
          <w:sz w:val="22"/>
          <w:szCs w:val="22"/>
        </w:rPr>
        <w:t xml:space="preserve">  </w:t>
      </w:r>
      <w:r w:rsidR="002E4851">
        <w:rPr>
          <w:rFonts w:ascii="Garamond" w:hAnsi="Garamond"/>
          <w:color w:val="000000" w:themeColor="text1"/>
          <w:sz w:val="22"/>
          <w:szCs w:val="22"/>
        </w:rPr>
        <w:t xml:space="preserve">It strives </w:t>
      </w:r>
      <w:r w:rsidR="002E4851" w:rsidRPr="002E4851">
        <w:rPr>
          <w:rFonts w:ascii="Garamond" w:hAnsi="Garamond"/>
          <w:color w:val="000000" w:themeColor="text1"/>
          <w:sz w:val="22"/>
          <w:szCs w:val="22"/>
        </w:rPr>
        <w:t>to</w:t>
      </w:r>
      <w:r w:rsidR="006F7AC6" w:rsidRPr="002E4851">
        <w:rPr>
          <w:rFonts w:ascii="Garamond" w:hAnsi="Garamond"/>
          <w:color w:val="000000" w:themeColor="text1"/>
          <w:sz w:val="22"/>
          <w:szCs w:val="22"/>
        </w:rPr>
        <w:t xml:space="preserve"> </w:t>
      </w:r>
      <w:r w:rsidR="006F7AC6" w:rsidRPr="00B9259C">
        <w:rPr>
          <w:rFonts w:ascii="Garamond" w:hAnsi="Garamond"/>
          <w:color w:val="000000" w:themeColor="text1"/>
          <w:sz w:val="22"/>
          <w:szCs w:val="22"/>
        </w:rPr>
        <w:t>represent the planning profession</w:t>
      </w:r>
      <w:r w:rsidR="002E4851" w:rsidRPr="00B9259C">
        <w:rPr>
          <w:rFonts w:ascii="Garamond" w:hAnsi="Garamond"/>
          <w:color w:val="000000" w:themeColor="text1"/>
          <w:sz w:val="22"/>
          <w:szCs w:val="22"/>
        </w:rPr>
        <w:t xml:space="preserve"> as a whole rather than planners </w:t>
      </w:r>
      <w:r w:rsidR="002E4851" w:rsidRPr="002E4851">
        <w:rPr>
          <w:rFonts w:ascii="Garamond" w:hAnsi="Garamond"/>
          <w:i/>
          <w:color w:val="000000" w:themeColor="text1"/>
          <w:sz w:val="22"/>
          <w:szCs w:val="22"/>
        </w:rPr>
        <w:t>per se</w:t>
      </w:r>
      <w:r w:rsidR="006F7AC6" w:rsidRPr="00B9259C">
        <w:rPr>
          <w:rFonts w:ascii="Garamond" w:hAnsi="Garamond"/>
          <w:i/>
          <w:color w:val="000000" w:themeColor="text1"/>
          <w:sz w:val="22"/>
          <w:szCs w:val="22"/>
        </w:rPr>
        <w:t>.</w:t>
      </w:r>
      <w:r w:rsidR="00AB4005" w:rsidRPr="00263267">
        <w:rPr>
          <w:rFonts w:ascii="Garamond" w:eastAsia="Times New Roman" w:hAnsi="Garamond" w:cs="Arial"/>
          <w:i/>
          <w:color w:val="000000" w:themeColor="text1"/>
          <w:sz w:val="22"/>
          <w:szCs w:val="22"/>
          <w:shd w:val="clear" w:color="auto" w:fill="FFFFFF"/>
        </w:rPr>
        <w:t xml:space="preserve"> </w:t>
      </w:r>
      <w:r w:rsidR="00AB4005" w:rsidRPr="00263267">
        <w:rPr>
          <w:rFonts w:ascii="Garamond" w:eastAsia="Times New Roman" w:hAnsi="Garamond" w:cs="Arial"/>
          <w:color w:val="000000" w:themeColor="text1"/>
          <w:sz w:val="22"/>
          <w:szCs w:val="22"/>
          <w:shd w:val="clear" w:color="auto" w:fill="FFFFFF"/>
        </w:rPr>
        <w:t xml:space="preserve"> Charter status legally-mandate</w:t>
      </w:r>
      <w:r w:rsidR="00464070" w:rsidRPr="00263267">
        <w:rPr>
          <w:rFonts w:ascii="Garamond" w:eastAsia="Times New Roman" w:hAnsi="Garamond" w:cs="Arial"/>
          <w:color w:val="000000" w:themeColor="text1"/>
          <w:sz w:val="22"/>
          <w:szCs w:val="22"/>
          <w:shd w:val="clear" w:color="auto" w:fill="FFFFFF"/>
        </w:rPr>
        <w:t>s both</w:t>
      </w:r>
      <w:r w:rsidR="006F7AC6" w:rsidRPr="00263267">
        <w:rPr>
          <w:rFonts w:ascii="Garamond" w:eastAsia="Times New Roman" w:hAnsi="Garamond" w:cs="Arial"/>
          <w:color w:val="000000" w:themeColor="text1"/>
          <w:sz w:val="22"/>
          <w:szCs w:val="22"/>
          <w:shd w:val="clear" w:color="auto" w:fill="FFFFFF"/>
        </w:rPr>
        <w:t xml:space="preserve"> </w:t>
      </w:r>
      <w:r w:rsidR="00AB4005" w:rsidRPr="00263267">
        <w:rPr>
          <w:rFonts w:ascii="Garamond" w:eastAsia="Times New Roman" w:hAnsi="Garamond" w:cs="Arial"/>
          <w:color w:val="000000" w:themeColor="text1"/>
          <w:sz w:val="22"/>
          <w:szCs w:val="22"/>
          <w:shd w:val="clear" w:color="auto" w:fill="FFFFFF"/>
        </w:rPr>
        <w:t xml:space="preserve">to operate in the ‘public interest’, that is to try to ensure that regulatory changes work towards a ‘common good’ and </w:t>
      </w:r>
      <w:r w:rsidR="00464070" w:rsidRPr="00263267">
        <w:rPr>
          <w:rFonts w:ascii="Garamond" w:eastAsia="Times New Roman" w:hAnsi="Garamond" w:cs="Arial"/>
          <w:color w:val="000000" w:themeColor="text1"/>
          <w:sz w:val="22"/>
          <w:szCs w:val="22"/>
          <w:shd w:val="clear" w:color="auto" w:fill="FFFFFF"/>
        </w:rPr>
        <w:t>are</w:t>
      </w:r>
      <w:r w:rsidR="00AB4005" w:rsidRPr="00263267">
        <w:rPr>
          <w:rFonts w:ascii="Garamond" w:eastAsia="Times New Roman" w:hAnsi="Garamond" w:cs="Arial"/>
          <w:color w:val="000000" w:themeColor="text1"/>
          <w:sz w:val="22"/>
          <w:szCs w:val="22"/>
          <w:shd w:val="clear" w:color="auto" w:fill="FFFFFF"/>
        </w:rPr>
        <w:t xml:space="preserve"> implemented effectively and in a highly regulated manner</w:t>
      </w:r>
      <w:r w:rsidR="00AF6B17" w:rsidRPr="00263267">
        <w:rPr>
          <w:rFonts w:ascii="Garamond" w:eastAsia="Times New Roman" w:hAnsi="Garamond" w:cs="Arial"/>
          <w:color w:val="000000" w:themeColor="text1"/>
          <w:sz w:val="22"/>
          <w:szCs w:val="22"/>
          <w:shd w:val="clear" w:color="auto" w:fill="FFFFFF"/>
        </w:rPr>
        <w:t xml:space="preserve"> </w:t>
      </w:r>
      <w:r w:rsidR="00AF6B17" w:rsidRPr="00263267">
        <w:rPr>
          <w:rFonts w:ascii="Garamond" w:eastAsia="Times New Roman" w:hAnsi="Garamond" w:cs="Arial"/>
          <w:color w:val="000000" w:themeColor="text1"/>
          <w:sz w:val="22"/>
          <w:szCs w:val="22"/>
          <w:shd w:val="clear" w:color="auto" w:fill="FFFFFF"/>
        </w:rPr>
        <w:fldChar w:fldCharType="begin"/>
      </w:r>
      <w:r w:rsidR="00270F18">
        <w:rPr>
          <w:rFonts w:ascii="Garamond" w:eastAsia="Times New Roman" w:hAnsi="Garamond" w:cs="Arial"/>
          <w:color w:val="000000" w:themeColor="text1"/>
          <w:sz w:val="22"/>
          <w:szCs w:val="22"/>
          <w:shd w:val="clear" w:color="auto" w:fill="FFFFFF"/>
        </w:rPr>
        <w:instrText xml:space="preserve"> ADDIN ZOTERO_ITEM CSL_CITATION {"citationID":"3SEZr33R","properties":{"formattedCitation":"(The Privy Council, 2019)","plainCitation":"(The Privy Council, 2019)","noteIndex":0},"citationItems":[{"id":3142,"uris":["http://zotero.org/groups/2307100/items/HFAYZYSK"],"uri":["http://zotero.org/groups/2307100/items/HFAYZYSK"],"itemData":{"id":3142,"type":"article","title":"Royal Charters","URL":"https://privycouncil.independent.gov.uk/royal-charters/","author":[{"family":"The Privy Council","given":""}],"issued":{"date-parts":[["2019"]]}}}],"schema":"https://github.com/citation-style-language/schema/raw/master/csl-citation.json"} </w:instrText>
      </w:r>
      <w:r w:rsidR="00AF6B17" w:rsidRPr="00263267">
        <w:rPr>
          <w:rFonts w:ascii="Garamond" w:eastAsia="Times New Roman" w:hAnsi="Garamond" w:cs="Arial"/>
          <w:color w:val="000000" w:themeColor="text1"/>
          <w:sz w:val="22"/>
          <w:szCs w:val="22"/>
          <w:shd w:val="clear" w:color="auto" w:fill="FFFFFF"/>
        </w:rPr>
        <w:fldChar w:fldCharType="separate"/>
      </w:r>
      <w:r w:rsidR="00AF6B17" w:rsidRPr="00263267">
        <w:rPr>
          <w:rFonts w:ascii="Garamond" w:eastAsia="Times New Roman" w:hAnsi="Garamond" w:cs="Arial"/>
          <w:noProof/>
          <w:color w:val="000000" w:themeColor="text1"/>
          <w:sz w:val="22"/>
          <w:szCs w:val="22"/>
          <w:shd w:val="clear" w:color="auto" w:fill="FFFFFF"/>
        </w:rPr>
        <w:t>(The Privy Council, 2019)</w:t>
      </w:r>
      <w:r w:rsidR="00AF6B17" w:rsidRPr="00263267">
        <w:rPr>
          <w:rFonts w:ascii="Garamond" w:eastAsia="Times New Roman" w:hAnsi="Garamond" w:cs="Arial"/>
          <w:color w:val="000000" w:themeColor="text1"/>
          <w:sz w:val="22"/>
          <w:szCs w:val="22"/>
          <w:shd w:val="clear" w:color="auto" w:fill="FFFFFF"/>
        </w:rPr>
        <w:fldChar w:fldCharType="end"/>
      </w:r>
      <w:r w:rsidR="00AB4005" w:rsidRPr="00263267">
        <w:rPr>
          <w:rFonts w:ascii="Garamond" w:eastAsia="Times New Roman" w:hAnsi="Garamond" w:cs="Arial"/>
          <w:color w:val="000000" w:themeColor="text1"/>
          <w:sz w:val="22"/>
          <w:szCs w:val="22"/>
          <w:shd w:val="clear" w:color="auto" w:fill="FFFFFF"/>
        </w:rPr>
        <w:t xml:space="preserve">.  </w:t>
      </w:r>
      <w:r w:rsidR="00610890" w:rsidRPr="00263267">
        <w:rPr>
          <w:rFonts w:ascii="Garamond" w:eastAsia="Times New Roman" w:hAnsi="Garamond" w:cs="Arial"/>
          <w:color w:val="000000" w:themeColor="text1"/>
          <w:sz w:val="22"/>
          <w:szCs w:val="22"/>
          <w:shd w:val="clear" w:color="auto" w:fill="FFFFFF"/>
        </w:rPr>
        <w:t xml:space="preserve">Maintaining this status by eliding public interests with government policy, is a </w:t>
      </w:r>
      <w:r w:rsidR="00610890" w:rsidRPr="00263267">
        <w:rPr>
          <w:rFonts w:ascii="Garamond" w:eastAsia="Times New Roman" w:hAnsi="Garamond" w:cs="Arial"/>
          <w:color w:val="000000" w:themeColor="text1"/>
          <w:sz w:val="22"/>
          <w:szCs w:val="22"/>
          <w:shd w:val="clear" w:color="auto" w:fill="FFFFFF"/>
        </w:rPr>
        <w:lastRenderedPageBreak/>
        <w:t>core priority and challenge for both.</w:t>
      </w:r>
      <w:r w:rsidR="001E6F1D">
        <w:rPr>
          <w:rFonts w:ascii="Garamond" w:eastAsia="Times New Roman" w:hAnsi="Garamond" w:cs="Arial"/>
          <w:color w:val="000000" w:themeColor="text1"/>
          <w:sz w:val="22"/>
          <w:szCs w:val="22"/>
          <w:shd w:val="clear" w:color="auto" w:fill="FFFFFF"/>
        </w:rPr>
        <w:t xml:space="preserve">  RICS, in contrast, </w:t>
      </w:r>
      <w:r w:rsidR="001E6F1D" w:rsidRPr="00263267">
        <w:rPr>
          <w:rFonts w:ascii="Garamond" w:eastAsia="Times New Roman" w:hAnsi="Garamond" w:cs="Times New Roman"/>
          <w:color w:val="000000" w:themeColor="text1"/>
          <w:sz w:val="22"/>
          <w:szCs w:val="22"/>
        </w:rPr>
        <w:t>has a strong international membership working across more technical built environment profession</w:t>
      </w:r>
      <w:r w:rsidR="001E6F1D">
        <w:rPr>
          <w:rFonts w:ascii="Garamond" w:eastAsia="Times New Roman" w:hAnsi="Garamond" w:cs="Times New Roman"/>
          <w:color w:val="000000" w:themeColor="text1"/>
          <w:sz w:val="22"/>
          <w:szCs w:val="22"/>
        </w:rPr>
        <w:t>s</w:t>
      </w:r>
      <w:r w:rsidR="001E6F1D" w:rsidRPr="00263267">
        <w:rPr>
          <w:rFonts w:ascii="Garamond" w:eastAsia="Times New Roman" w:hAnsi="Garamond" w:cs="Times New Roman"/>
          <w:color w:val="000000" w:themeColor="text1"/>
          <w:sz w:val="22"/>
          <w:szCs w:val="22"/>
        </w:rPr>
        <w:t>, such as surveying, construction, and accounting.</w:t>
      </w:r>
    </w:p>
    <w:p w14:paraId="303C9453" w14:textId="3E15EDCB" w:rsidR="00326008" w:rsidRPr="00263267" w:rsidRDefault="00326008" w:rsidP="006D08D9">
      <w:pPr>
        <w:spacing w:line="276" w:lineRule="auto"/>
        <w:ind w:right="-52"/>
        <w:jc w:val="both"/>
        <w:rPr>
          <w:rFonts w:ascii="Garamond" w:eastAsia="Garamond" w:hAnsi="Garamond" w:cs="Calibri"/>
          <w:color w:val="000000" w:themeColor="text1"/>
          <w:sz w:val="22"/>
          <w:szCs w:val="22"/>
        </w:rPr>
      </w:pPr>
    </w:p>
    <w:p w14:paraId="4FD92550" w14:textId="0F7860DE" w:rsidR="00326008" w:rsidRPr="00263267" w:rsidRDefault="00AB4005" w:rsidP="006D08D9">
      <w:pPr>
        <w:spacing w:line="276" w:lineRule="auto"/>
        <w:ind w:right="-52"/>
        <w:jc w:val="both"/>
        <w:rPr>
          <w:rFonts w:ascii="Garamond" w:eastAsia="Garamond" w:hAnsi="Garamond" w:cs="Calibri"/>
          <w:i/>
          <w:color w:val="000000" w:themeColor="text1"/>
          <w:sz w:val="22"/>
          <w:szCs w:val="22"/>
        </w:rPr>
      </w:pPr>
      <w:r w:rsidRPr="00263267">
        <w:rPr>
          <w:rFonts w:ascii="Garamond" w:eastAsia="Garamond" w:hAnsi="Garamond" w:cs="Calibri"/>
          <w:i/>
          <w:color w:val="000000" w:themeColor="text1"/>
          <w:sz w:val="22"/>
          <w:szCs w:val="22"/>
        </w:rPr>
        <w:t>Figure 1: Core Characteristics of RICS and RTPI</w:t>
      </w:r>
    </w:p>
    <w:tbl>
      <w:tblPr>
        <w:tblStyle w:val="TableGrid"/>
        <w:tblW w:w="0" w:type="auto"/>
        <w:tblLook w:val="04A0" w:firstRow="1" w:lastRow="0" w:firstColumn="1" w:lastColumn="0" w:noHBand="0" w:noVBand="1"/>
      </w:tblPr>
      <w:tblGrid>
        <w:gridCol w:w="2405"/>
        <w:gridCol w:w="3260"/>
        <w:gridCol w:w="3345"/>
      </w:tblGrid>
      <w:tr w:rsidR="00326008" w:rsidRPr="00263267" w14:paraId="3524A23C" w14:textId="77777777" w:rsidTr="00326008">
        <w:tc>
          <w:tcPr>
            <w:tcW w:w="2405" w:type="dxa"/>
          </w:tcPr>
          <w:p w14:paraId="7143D87A" w14:textId="77777777" w:rsidR="00326008" w:rsidRPr="00263267" w:rsidRDefault="00326008" w:rsidP="006D08D9">
            <w:pPr>
              <w:spacing w:line="276" w:lineRule="auto"/>
              <w:ind w:right="-52"/>
              <w:jc w:val="both"/>
              <w:rPr>
                <w:rFonts w:ascii="Garamond" w:eastAsia="Garamond" w:hAnsi="Garamond" w:cs="Calibri"/>
                <w:color w:val="000000" w:themeColor="text1"/>
              </w:rPr>
            </w:pPr>
          </w:p>
        </w:tc>
        <w:tc>
          <w:tcPr>
            <w:tcW w:w="3260" w:type="dxa"/>
          </w:tcPr>
          <w:p w14:paraId="52D4B97B" w14:textId="69231D93"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RICS</w:t>
            </w:r>
          </w:p>
        </w:tc>
        <w:tc>
          <w:tcPr>
            <w:tcW w:w="3345" w:type="dxa"/>
          </w:tcPr>
          <w:p w14:paraId="45DC7295" w14:textId="6C2D3F37"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RTPI</w:t>
            </w:r>
          </w:p>
        </w:tc>
      </w:tr>
      <w:tr w:rsidR="00326008" w:rsidRPr="00263267" w14:paraId="036C69B9" w14:textId="77777777" w:rsidTr="00326008">
        <w:tc>
          <w:tcPr>
            <w:tcW w:w="2405" w:type="dxa"/>
          </w:tcPr>
          <w:p w14:paraId="5970A50C" w14:textId="35B76FCA"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Founded</w:t>
            </w:r>
          </w:p>
        </w:tc>
        <w:tc>
          <w:tcPr>
            <w:tcW w:w="3260" w:type="dxa"/>
          </w:tcPr>
          <w:p w14:paraId="5178A19D" w14:textId="11F334BD"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1868 (granted Royal Charter 1881)</w:t>
            </w:r>
          </w:p>
        </w:tc>
        <w:tc>
          <w:tcPr>
            <w:tcW w:w="3345" w:type="dxa"/>
          </w:tcPr>
          <w:p w14:paraId="1BDCDF3A" w14:textId="5E6F7FE7"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1914 (granted Royal Charter 1959)</w:t>
            </w:r>
          </w:p>
        </w:tc>
      </w:tr>
      <w:tr w:rsidR="00326008" w:rsidRPr="00263267" w14:paraId="213C5170" w14:textId="77777777" w:rsidTr="00326008">
        <w:tc>
          <w:tcPr>
            <w:tcW w:w="2405" w:type="dxa"/>
          </w:tcPr>
          <w:p w14:paraId="712093C7" w14:textId="4FACD097"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Core priorities</w:t>
            </w:r>
          </w:p>
        </w:tc>
        <w:tc>
          <w:tcPr>
            <w:tcW w:w="3260" w:type="dxa"/>
          </w:tcPr>
          <w:p w14:paraId="09D234A1" w14:textId="256CB7F6"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hAnsi="Garamond"/>
                <w:color w:val="000000" w:themeColor="text1"/>
              </w:rPr>
              <w:t>Aim to ‘secure the advancement and facilitate the acquisition of that knowledge which constitutes the profession of a Surveyor…and to maintain and promote the usefulness of the profession for the public advantage in the UK and in any part of the world’</w:t>
            </w:r>
          </w:p>
        </w:tc>
        <w:tc>
          <w:tcPr>
            <w:tcW w:w="3345" w:type="dxa"/>
          </w:tcPr>
          <w:p w14:paraId="49C38505" w14:textId="1A4DFE63" w:rsidR="00326008" w:rsidRPr="00263267" w:rsidRDefault="008711CE" w:rsidP="006D08D9">
            <w:pPr>
              <w:spacing w:line="276" w:lineRule="auto"/>
              <w:ind w:right="-52"/>
              <w:jc w:val="both"/>
              <w:rPr>
                <w:rFonts w:ascii="Garamond" w:hAnsi="Garamond"/>
                <w:color w:val="000000" w:themeColor="text1"/>
              </w:rPr>
            </w:pPr>
            <w:r w:rsidRPr="00263267">
              <w:rPr>
                <w:rFonts w:ascii="Garamond" w:hAnsi="Garamond"/>
                <w:color w:val="000000" w:themeColor="text1"/>
              </w:rPr>
              <w:t>4</w:t>
            </w:r>
            <w:r w:rsidR="00326008" w:rsidRPr="00263267">
              <w:rPr>
                <w:rFonts w:ascii="Garamond" w:hAnsi="Garamond"/>
                <w:color w:val="000000" w:themeColor="text1"/>
              </w:rPr>
              <w:t xml:space="preserve"> ‘pillars’ of activity: promoting the value and membership of professionalism; supporting planning services; raising the profile of planning; and promoting equality, diversity and inclusivity.</w:t>
            </w:r>
            <w:r w:rsidR="00326008" w:rsidRPr="00263267">
              <w:rPr>
                <w:rFonts w:ascii="Garamond" w:hAnsi="Garamond"/>
                <w:i/>
                <w:color w:val="000000" w:themeColor="text1"/>
              </w:rPr>
              <w:t xml:space="preserve"> </w:t>
            </w:r>
          </w:p>
          <w:p w14:paraId="6039B75D" w14:textId="77777777" w:rsidR="00326008" w:rsidRPr="00263267" w:rsidRDefault="00326008" w:rsidP="006D08D9">
            <w:pPr>
              <w:spacing w:line="276" w:lineRule="auto"/>
              <w:ind w:right="-52"/>
              <w:jc w:val="both"/>
              <w:rPr>
                <w:rFonts w:ascii="Garamond" w:eastAsia="Garamond" w:hAnsi="Garamond" w:cs="Calibri"/>
                <w:color w:val="000000" w:themeColor="text1"/>
              </w:rPr>
            </w:pPr>
          </w:p>
        </w:tc>
      </w:tr>
      <w:tr w:rsidR="00326008" w:rsidRPr="00263267" w14:paraId="5394916C" w14:textId="77777777" w:rsidTr="00326008">
        <w:tc>
          <w:tcPr>
            <w:tcW w:w="2405" w:type="dxa"/>
          </w:tcPr>
          <w:p w14:paraId="220D09AF" w14:textId="73F68D99"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Structure</w:t>
            </w:r>
          </w:p>
        </w:tc>
        <w:tc>
          <w:tcPr>
            <w:tcW w:w="3260" w:type="dxa"/>
          </w:tcPr>
          <w:p w14:paraId="693949CD" w14:textId="6E291903"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hAnsi="Garamond"/>
                <w:color w:val="000000" w:themeColor="text1"/>
              </w:rPr>
              <w:t>Governing Council and 12 Committees and Sub-Committees under its direction;</w:t>
            </w:r>
            <w:r w:rsidRPr="00263267">
              <w:rPr>
                <w:rFonts w:ascii="Garamond" w:eastAsia="Garamond" w:hAnsi="Garamond" w:cs="Calibri"/>
                <w:color w:val="000000" w:themeColor="text1"/>
              </w:rPr>
              <w:t xml:space="preserve"> Strong international presence and membership for ‘a global profession’</w:t>
            </w:r>
          </w:p>
        </w:tc>
        <w:tc>
          <w:tcPr>
            <w:tcW w:w="3345" w:type="dxa"/>
          </w:tcPr>
          <w:p w14:paraId="55D12566" w14:textId="5371D947"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hAnsi="Garamond"/>
                <w:color w:val="000000" w:themeColor="text1"/>
              </w:rPr>
              <w:t xml:space="preserve">5 </w:t>
            </w:r>
            <w:r w:rsidR="00AB4005" w:rsidRPr="00263267">
              <w:rPr>
                <w:rFonts w:ascii="Garamond" w:hAnsi="Garamond"/>
                <w:color w:val="000000" w:themeColor="text1"/>
              </w:rPr>
              <w:t>C</w:t>
            </w:r>
            <w:r w:rsidRPr="00263267">
              <w:rPr>
                <w:rFonts w:ascii="Garamond" w:hAnsi="Garamond"/>
                <w:color w:val="000000" w:themeColor="text1"/>
              </w:rPr>
              <w:t xml:space="preserve">ore Committees: Education and Lifelong Learning; International; Membership and Ethics; Policy Practice and Research Committee; and National Regions Panel and charity </w:t>
            </w:r>
            <w:r w:rsidRPr="00263267">
              <w:rPr>
                <w:rFonts w:ascii="Garamond" w:hAnsi="Garamond"/>
                <w:i/>
                <w:color w:val="000000" w:themeColor="text1"/>
              </w:rPr>
              <w:t xml:space="preserve">Planning Aid </w:t>
            </w:r>
          </w:p>
        </w:tc>
      </w:tr>
      <w:tr w:rsidR="00326008" w:rsidRPr="00263267" w14:paraId="30866C7B" w14:textId="77777777" w:rsidTr="00326008">
        <w:tc>
          <w:tcPr>
            <w:tcW w:w="2405" w:type="dxa"/>
          </w:tcPr>
          <w:p w14:paraId="059BAE23" w14:textId="5F134757"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Income/Funds (2018/19)</w:t>
            </w:r>
          </w:p>
        </w:tc>
        <w:tc>
          <w:tcPr>
            <w:tcW w:w="3260" w:type="dxa"/>
          </w:tcPr>
          <w:p w14:paraId="40741648" w14:textId="11777266"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hAnsi="Garamond"/>
                <w:color w:val="000000" w:themeColor="text1"/>
              </w:rPr>
              <w:t xml:space="preserve">£91.3million </w:t>
            </w:r>
          </w:p>
        </w:tc>
        <w:tc>
          <w:tcPr>
            <w:tcW w:w="3345" w:type="dxa"/>
          </w:tcPr>
          <w:p w14:paraId="4087B062" w14:textId="0C28E1B6"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hAnsi="Garamond"/>
                <w:color w:val="000000" w:themeColor="text1"/>
              </w:rPr>
              <w:t xml:space="preserve">£9.2million </w:t>
            </w:r>
          </w:p>
        </w:tc>
      </w:tr>
      <w:tr w:rsidR="00326008" w:rsidRPr="00263267" w14:paraId="5CE8601E" w14:textId="77777777" w:rsidTr="00326008">
        <w:tc>
          <w:tcPr>
            <w:tcW w:w="2405" w:type="dxa"/>
          </w:tcPr>
          <w:p w14:paraId="2FFC6C19" w14:textId="5B9A7B2F"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 xml:space="preserve">Approximate Membership </w:t>
            </w:r>
          </w:p>
        </w:tc>
        <w:tc>
          <w:tcPr>
            <w:tcW w:w="3260" w:type="dxa"/>
          </w:tcPr>
          <w:p w14:paraId="01CBC484" w14:textId="29393F8D"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125,000 (2018)</w:t>
            </w:r>
          </w:p>
        </w:tc>
        <w:tc>
          <w:tcPr>
            <w:tcW w:w="3345" w:type="dxa"/>
          </w:tcPr>
          <w:p w14:paraId="013EAFBC" w14:textId="004B70E9" w:rsidR="00326008" w:rsidRPr="00263267" w:rsidRDefault="00326008" w:rsidP="006D08D9">
            <w:pPr>
              <w:spacing w:line="276" w:lineRule="auto"/>
              <w:ind w:right="-52"/>
              <w:jc w:val="both"/>
              <w:rPr>
                <w:rFonts w:ascii="Garamond" w:eastAsia="Garamond" w:hAnsi="Garamond" w:cs="Calibri"/>
                <w:color w:val="000000" w:themeColor="text1"/>
              </w:rPr>
            </w:pPr>
            <w:r w:rsidRPr="00263267">
              <w:rPr>
                <w:rFonts w:ascii="Garamond" w:eastAsia="Garamond" w:hAnsi="Garamond" w:cs="Calibri"/>
                <w:color w:val="000000" w:themeColor="text1"/>
              </w:rPr>
              <w:t>25,000 (2019)</w:t>
            </w:r>
          </w:p>
        </w:tc>
      </w:tr>
    </w:tbl>
    <w:p w14:paraId="3F77BE36" w14:textId="7F2CE370" w:rsidR="00326008" w:rsidRPr="00263267" w:rsidRDefault="00326008" w:rsidP="006D08D9">
      <w:pPr>
        <w:spacing w:line="276" w:lineRule="auto"/>
        <w:ind w:right="-52"/>
        <w:jc w:val="both"/>
        <w:rPr>
          <w:rFonts w:ascii="Garamond" w:hAnsi="Garamond"/>
          <w:noProof/>
          <w:color w:val="000000" w:themeColor="text1"/>
          <w:sz w:val="22"/>
          <w:szCs w:val="22"/>
        </w:rPr>
      </w:pPr>
      <w:r w:rsidRPr="00263267">
        <w:rPr>
          <w:rFonts w:ascii="Garamond" w:eastAsia="Garamond" w:hAnsi="Garamond" w:cs="Calibri"/>
          <w:color w:val="000000" w:themeColor="text1"/>
          <w:sz w:val="22"/>
          <w:szCs w:val="22"/>
        </w:rPr>
        <w:t xml:space="preserve">Sources: </w:t>
      </w:r>
      <w:r w:rsidRPr="00263267">
        <w:rPr>
          <w:rFonts w:ascii="Garamond" w:hAnsi="Garamond"/>
          <w:noProof/>
          <w:color w:val="000000" w:themeColor="text1"/>
          <w:sz w:val="22"/>
          <w:szCs w:val="22"/>
        </w:rPr>
        <w:t xml:space="preserve">RICS, 2019a; </w:t>
      </w:r>
      <w:r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{"citationID":"yU8JPfnP","properties":{"formattedCitation":"(RICS, 2020)","plainCitation":"(RICS, 2020)","dontUpdate":true,"noteIndex":0},"citationItems":[{"id":2935,"uris":["http://zotero.org/groups/2307100/items/9CYLJU4M"],"uri":["http://zotero.org/groups/2307100/items/9CYLJU4M"],"itemData":{"id":2935,"type":"article","publisher":"Royal Institute of Chartered Surveyors: London","title":"Royal Charter - Royal Institute of Chartered Surveyors","author":[{"family":"RICS","given":""}],"issued":{"date-parts":[["2020"]]}}}],"schema":"https://github.com/citation-style-language/schema/raw/master/csl-citation.json"} </w:instrText>
      </w:r>
      <w:r w:rsidRPr="00263267">
        <w:rPr>
          <w:rFonts w:ascii="Garamond" w:hAnsi="Garamond"/>
          <w:color w:val="000000" w:themeColor="text1"/>
          <w:sz w:val="22"/>
          <w:szCs w:val="22"/>
        </w:rPr>
        <w:fldChar w:fldCharType="separate"/>
      </w:r>
      <w:r w:rsidRPr="00263267">
        <w:rPr>
          <w:rFonts w:ascii="Garamond" w:hAnsi="Garamond"/>
          <w:color w:val="000000" w:themeColor="text1"/>
          <w:sz w:val="22"/>
          <w:szCs w:val="22"/>
        </w:rPr>
        <w:t>RICS, 2020</w:t>
      </w:r>
      <w:r w:rsidRPr="00263267">
        <w:rPr>
          <w:rFonts w:ascii="Garamond" w:hAnsi="Garamond"/>
          <w:color w:val="000000" w:themeColor="text1"/>
          <w:sz w:val="22"/>
          <w:szCs w:val="22"/>
        </w:rPr>
        <w:fldChar w:fldCharType="end"/>
      </w:r>
      <w:r w:rsidRPr="00263267">
        <w:rPr>
          <w:rFonts w:ascii="Garamond" w:hAnsi="Garamond"/>
          <w:color w:val="000000" w:themeColor="text1"/>
          <w:sz w:val="22"/>
          <w:szCs w:val="22"/>
        </w:rPr>
        <w:t xml:space="preserve">; </w:t>
      </w:r>
      <w:r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{"citationID":"xUeucHD6","properties":{"formattedCitation":"(RTPI, 2019)","plainCitation":"(RTPI, 2019)","dontUpdate":true,"noteIndex":0},"citationItems":[{"id":3063,"uris":["http://zotero.org/groups/2307100/items/WNR5HMBP"],"uri":["http://zotero.org/groups/2307100/items/WNR5HMBP"],"itemData":{"id":3063,"type":"article","publisher":"RTPI: London","title":"Annual Report and Accounts 2018-2019","author":[{"family":"RTPI","given":""}],"issued":{"date-parts":[["2019"]]}}}],"schema":"https://github.com/citation-style-language/schema/raw/master/csl-citation.json"} </w:instrText>
      </w:r>
      <w:r w:rsidRPr="00263267">
        <w:rPr>
          <w:rFonts w:ascii="Garamond" w:hAnsi="Garamond"/>
          <w:color w:val="000000" w:themeColor="text1"/>
          <w:sz w:val="22"/>
          <w:szCs w:val="22"/>
        </w:rPr>
        <w:fldChar w:fldCharType="separate"/>
      </w:r>
      <w:r w:rsidRPr="00263267">
        <w:rPr>
          <w:rFonts w:ascii="Garamond" w:hAnsi="Garamond"/>
          <w:noProof/>
          <w:color w:val="000000" w:themeColor="text1"/>
          <w:sz w:val="22"/>
          <w:szCs w:val="22"/>
        </w:rPr>
        <w:t>RTPI, 2019</w:t>
      </w:r>
      <w:r w:rsidRPr="00263267">
        <w:rPr>
          <w:rFonts w:ascii="Garamond" w:hAnsi="Garamond"/>
          <w:color w:val="000000" w:themeColor="text1"/>
          <w:sz w:val="22"/>
          <w:szCs w:val="22"/>
        </w:rPr>
        <w:fldChar w:fldCharType="end"/>
      </w:r>
      <w:r w:rsidRPr="00263267">
        <w:rPr>
          <w:rFonts w:ascii="Garamond" w:hAnsi="Garamond"/>
          <w:color w:val="000000" w:themeColor="text1"/>
          <w:sz w:val="22"/>
          <w:szCs w:val="22"/>
        </w:rPr>
        <w:t xml:space="preserve">; </w:t>
      </w:r>
      <w:r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{"citationID":"xK5jXqIq","properties":{"formattedCitation":"(RTPI, 2020b)","plainCitation":"(RTPI, 2020b)","dontUpdate":true,"noteIndex":0},"citationItems":[{"id":3143,"uris":["http://zotero.org/groups/2307100/items/ALW9NW39"],"uri":["http://zotero.org/groups/2307100/items/ALW9NW39"],"itemData":{"id":3143,"type":"article","publisher":"RTPI: London","title":"RTPI Corporate Strategy 2020-2030","author":[{"family":"RTPI","given":""}],"issued":{"date-parts":[["2020"]]}}}],"schema":"https://github.com/citation-style-language/schema/raw/master/csl-citation.json"} </w:instrText>
      </w:r>
      <w:r w:rsidRPr="00263267">
        <w:rPr>
          <w:rFonts w:ascii="Garamond" w:hAnsi="Garamond"/>
          <w:color w:val="000000" w:themeColor="text1"/>
          <w:sz w:val="22"/>
          <w:szCs w:val="22"/>
        </w:rPr>
        <w:fldChar w:fldCharType="separate"/>
      </w:r>
      <w:r w:rsidRPr="00263267">
        <w:rPr>
          <w:rFonts w:ascii="Garamond" w:hAnsi="Garamond"/>
          <w:noProof/>
          <w:color w:val="000000" w:themeColor="text1"/>
          <w:sz w:val="22"/>
          <w:szCs w:val="22"/>
        </w:rPr>
        <w:t>RTPI, 2020b</w:t>
      </w:r>
      <w:r w:rsidRPr="00263267">
        <w:rPr>
          <w:rFonts w:ascii="Garamond" w:hAnsi="Garamond"/>
          <w:color w:val="000000" w:themeColor="text1"/>
          <w:sz w:val="22"/>
          <w:szCs w:val="22"/>
        </w:rPr>
        <w:fldChar w:fldCharType="end"/>
      </w:r>
    </w:p>
    <w:p w14:paraId="5686157A" w14:textId="77777777" w:rsidR="00AB4005" w:rsidRPr="00263267" w:rsidRDefault="00AB4005" w:rsidP="006D08D9">
      <w:pPr>
        <w:spacing w:line="276" w:lineRule="auto"/>
        <w:jc w:val="both"/>
        <w:rPr>
          <w:rFonts w:ascii="Garamond" w:hAnsi="Garamond"/>
          <w:color w:val="000000" w:themeColor="text1"/>
          <w:sz w:val="22"/>
          <w:szCs w:val="22"/>
        </w:rPr>
      </w:pPr>
    </w:p>
    <w:p w14:paraId="1B1353A0" w14:textId="02C35AF0" w:rsidR="009B41AA" w:rsidRPr="00263267" w:rsidRDefault="006F7AC6" w:rsidP="006D08D9">
      <w:pPr>
        <w:spacing w:line="276" w:lineRule="auto"/>
        <w:jc w:val="both"/>
        <w:rPr>
          <w:rFonts w:ascii="Garamond" w:eastAsia="Times New Roman" w:hAnsi="Garamond" w:cs="Arial"/>
          <w:color w:val="000000" w:themeColor="text1"/>
          <w:sz w:val="22"/>
          <w:szCs w:val="22"/>
          <w:shd w:val="clear" w:color="auto" w:fill="FFFFFF"/>
        </w:rPr>
      </w:pPr>
      <w:r w:rsidRPr="00263267">
        <w:rPr>
          <w:rFonts w:ascii="Garamond" w:hAnsi="Garamond"/>
          <w:color w:val="000000" w:themeColor="text1"/>
          <w:sz w:val="22"/>
          <w:szCs w:val="22"/>
        </w:rPr>
        <w:t xml:space="preserve">There are also similarities in </w:t>
      </w:r>
      <w:r w:rsidR="00FF3820" w:rsidRPr="00263267">
        <w:rPr>
          <w:rFonts w:ascii="Garamond" w:hAnsi="Garamond"/>
          <w:color w:val="000000" w:themeColor="text1"/>
          <w:sz w:val="22"/>
          <w:szCs w:val="22"/>
        </w:rPr>
        <w:t>the attempt by both organisations</w:t>
      </w:r>
      <w:r w:rsidRPr="00263267">
        <w:rPr>
          <w:rFonts w:ascii="Garamond" w:hAnsi="Garamond"/>
          <w:color w:val="000000" w:themeColor="text1"/>
          <w:sz w:val="22"/>
          <w:szCs w:val="22"/>
        </w:rPr>
        <w:t xml:space="preserve"> to </w:t>
      </w:r>
      <w:r w:rsidR="00610890" w:rsidRPr="00263267">
        <w:rPr>
          <w:rFonts w:ascii="Garamond" w:hAnsi="Garamond"/>
          <w:color w:val="000000" w:themeColor="text1"/>
          <w:sz w:val="22"/>
          <w:szCs w:val="22"/>
        </w:rPr>
        <w:t xml:space="preserve">establish themselves </w:t>
      </w:r>
      <w:r w:rsidRPr="00263267">
        <w:rPr>
          <w:rFonts w:ascii="Garamond" w:hAnsi="Garamond"/>
          <w:color w:val="000000" w:themeColor="text1"/>
          <w:sz w:val="22"/>
          <w:szCs w:val="22"/>
        </w:rPr>
        <w:t xml:space="preserve">as </w:t>
      </w:r>
      <w:r w:rsidR="00FF3820" w:rsidRPr="00263267">
        <w:rPr>
          <w:rFonts w:ascii="Garamond" w:hAnsi="Garamond"/>
          <w:color w:val="000000" w:themeColor="text1"/>
          <w:sz w:val="22"/>
          <w:szCs w:val="22"/>
        </w:rPr>
        <w:t>‘</w:t>
      </w:r>
      <w:r w:rsidRPr="00263267">
        <w:rPr>
          <w:rFonts w:ascii="Garamond" w:hAnsi="Garamond"/>
          <w:color w:val="000000" w:themeColor="text1"/>
          <w:sz w:val="22"/>
          <w:szCs w:val="22"/>
        </w:rPr>
        <w:t>learned societies</w:t>
      </w:r>
      <w:r w:rsidR="00FF3820" w:rsidRPr="00263267">
        <w:rPr>
          <w:rFonts w:ascii="Garamond" w:hAnsi="Garamond"/>
          <w:color w:val="000000" w:themeColor="text1"/>
          <w:sz w:val="22"/>
          <w:szCs w:val="22"/>
        </w:rPr>
        <w:t>’</w:t>
      </w:r>
      <w:r w:rsidRPr="00263267">
        <w:rPr>
          <w:rFonts w:ascii="Garamond" w:hAnsi="Garamond"/>
          <w:color w:val="000000" w:themeColor="text1"/>
          <w:sz w:val="22"/>
          <w:szCs w:val="22"/>
        </w:rPr>
        <w:t xml:space="preserve">, </w:t>
      </w:r>
      <w:r w:rsidR="00FF3820" w:rsidRPr="00263267">
        <w:rPr>
          <w:rFonts w:ascii="Garamond" w:hAnsi="Garamond"/>
          <w:color w:val="000000" w:themeColor="text1"/>
          <w:sz w:val="22"/>
          <w:szCs w:val="22"/>
        </w:rPr>
        <w:t>or in the words of one</w:t>
      </w:r>
      <w:r w:rsidRPr="00263267">
        <w:rPr>
          <w:rFonts w:ascii="Garamond" w:hAnsi="Garamond"/>
          <w:color w:val="000000" w:themeColor="text1"/>
          <w:sz w:val="22"/>
          <w:szCs w:val="22"/>
        </w:rPr>
        <w:t xml:space="preserve"> RTPI officer ‘</w:t>
      </w:r>
      <w:r w:rsidRPr="00263267">
        <w:rPr>
          <w:rFonts w:ascii="Garamond" w:hAnsi="Garamond"/>
          <w:i/>
          <w:color w:val="000000" w:themeColor="text1"/>
          <w:sz w:val="22"/>
          <w:szCs w:val="22"/>
        </w:rPr>
        <w:t xml:space="preserve">using our expertise and research </w:t>
      </w:r>
      <w:r w:rsidR="00FF3820" w:rsidRPr="00263267">
        <w:rPr>
          <w:rFonts w:ascii="Garamond" w:hAnsi="Garamond"/>
          <w:i/>
          <w:color w:val="000000" w:themeColor="text1"/>
          <w:sz w:val="22"/>
          <w:szCs w:val="22"/>
        </w:rPr>
        <w:t>[to]</w:t>
      </w:r>
      <w:r w:rsidRPr="00263267">
        <w:rPr>
          <w:rFonts w:ascii="Garamond" w:hAnsi="Garamond"/>
          <w:i/>
          <w:color w:val="000000" w:themeColor="text1"/>
          <w:sz w:val="22"/>
          <w:szCs w:val="22"/>
        </w:rPr>
        <w:t xml:space="preserve"> bring evidence and thought leadership to shape planning policies and thinking, putting the profession at the heart of society’s big debates</w:t>
      </w:r>
      <w:r w:rsidRPr="00263267">
        <w:rPr>
          <w:rFonts w:ascii="Garamond" w:hAnsi="Garamond"/>
          <w:color w:val="000000" w:themeColor="text1"/>
          <w:sz w:val="22"/>
          <w:szCs w:val="22"/>
        </w:rPr>
        <w:t xml:space="preserve">’ </w:t>
      </w:r>
      <w:r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{"citationID":"WRy7BTmo","properties":{"formattedCitation":"(Kenny, 2019)","plainCitation":"(Kenny, 2019)","dontUpdate":true,"noteIndex":0},"citationItems":[{"id":3048,"uris":["http://zotero.org/groups/2307100/items/GG8WTE2H"],"uri":["http://zotero.org/groups/2307100/items/GG8WTE2H"],"itemData":{"id":3048,"type":"article","publisher":"Royal Town Planning Institute, London","title":"An Agenda for Planning Research","author":[{"family":"Kenny","given":"Tom"}],"issued":{"date-parts":[["2019"]]}}}],"schema":"https://github.com/citation-style-language/schema/raw/master/csl-citation.json"} </w:instrText>
      </w:r>
      <w:r w:rsidRPr="00263267">
        <w:rPr>
          <w:rFonts w:ascii="Garamond" w:hAnsi="Garamond"/>
          <w:color w:val="000000" w:themeColor="text1"/>
          <w:sz w:val="22"/>
          <w:szCs w:val="22"/>
        </w:rPr>
        <w:fldChar w:fldCharType="separate"/>
      </w:r>
      <w:r w:rsidRPr="00263267">
        <w:rPr>
          <w:rFonts w:ascii="Garamond" w:hAnsi="Garamond"/>
          <w:noProof/>
          <w:color w:val="000000" w:themeColor="text1"/>
          <w:sz w:val="22"/>
          <w:szCs w:val="22"/>
        </w:rPr>
        <w:t>(Kenny, 2019: p.2)</w:t>
      </w:r>
      <w:r w:rsidRPr="00263267">
        <w:rPr>
          <w:rFonts w:ascii="Garamond" w:hAnsi="Garamond"/>
          <w:color w:val="000000" w:themeColor="text1"/>
          <w:sz w:val="22"/>
          <w:szCs w:val="22"/>
        </w:rPr>
        <w:fldChar w:fldCharType="end"/>
      </w:r>
      <w:r w:rsidRPr="00263267">
        <w:rPr>
          <w:rFonts w:ascii="Garamond" w:hAnsi="Garamond"/>
          <w:color w:val="000000" w:themeColor="text1"/>
          <w:sz w:val="22"/>
          <w:szCs w:val="22"/>
        </w:rPr>
        <w:t xml:space="preserve">.  RICS </w:t>
      </w:r>
      <w:r w:rsidR="001C3D7B">
        <w:rPr>
          <w:rFonts w:ascii="Garamond" w:hAnsi="Garamond"/>
          <w:color w:val="000000" w:themeColor="text1"/>
          <w:sz w:val="22"/>
          <w:szCs w:val="22"/>
        </w:rPr>
        <w:t>similarly</w:t>
      </w:r>
      <w:r w:rsidR="001C3D7B" w:rsidRPr="00263267">
        <w:rPr>
          <w:rFonts w:ascii="Garamond" w:hAnsi="Garamond"/>
          <w:color w:val="000000" w:themeColor="text1"/>
          <w:sz w:val="22"/>
          <w:szCs w:val="22"/>
        </w:rPr>
        <w:t xml:space="preserve"> </w:t>
      </w:r>
      <w:r w:rsidRPr="00263267">
        <w:rPr>
          <w:rFonts w:ascii="Garamond" w:hAnsi="Garamond"/>
          <w:color w:val="000000" w:themeColor="text1"/>
          <w:sz w:val="22"/>
          <w:szCs w:val="22"/>
        </w:rPr>
        <w:t xml:space="preserve">portrays itself as a thought leader, but </w:t>
      </w:r>
      <w:r w:rsidR="00610890" w:rsidRPr="00263267">
        <w:rPr>
          <w:rFonts w:ascii="Garamond" w:hAnsi="Garamond"/>
          <w:color w:val="000000" w:themeColor="text1"/>
          <w:sz w:val="22"/>
          <w:szCs w:val="22"/>
        </w:rPr>
        <w:t xml:space="preserve">often </w:t>
      </w:r>
      <w:r w:rsidRPr="00263267">
        <w:rPr>
          <w:rFonts w:ascii="Garamond" w:hAnsi="Garamond"/>
          <w:color w:val="000000" w:themeColor="text1"/>
          <w:sz w:val="22"/>
          <w:szCs w:val="22"/>
        </w:rPr>
        <w:t>commissions research of a much narrower and more technical nature. Like RTPI, their work includes independent studies by academics developing knowledge on topics that are of topical ‘concern’ to members</w:t>
      </w:r>
      <w:r w:rsidR="00995FE0" w:rsidRPr="00263267">
        <w:rPr>
          <w:rStyle w:val="EndnoteReference"/>
          <w:rFonts w:ascii="Garamond" w:hAnsi="Garamond"/>
          <w:color w:val="000000" w:themeColor="text1"/>
          <w:sz w:val="22"/>
          <w:szCs w:val="22"/>
        </w:rPr>
        <w:endnoteReference w:id="1"/>
      </w:r>
      <w:r w:rsidR="00995FE0" w:rsidRPr="00263267">
        <w:rPr>
          <w:rFonts w:ascii="Garamond" w:hAnsi="Garamond"/>
          <w:sz w:val="22"/>
          <w:szCs w:val="22"/>
        </w:rPr>
        <w:t>.</w:t>
      </w:r>
      <w:r w:rsidRPr="00263267">
        <w:rPr>
          <w:rFonts w:ascii="Garamond" w:hAnsi="Garamond"/>
          <w:color w:val="000000" w:themeColor="text1"/>
          <w:sz w:val="22"/>
          <w:szCs w:val="22"/>
        </w:rPr>
        <w:t xml:space="preserve">  </w:t>
      </w:r>
      <w:r w:rsidR="002214CF" w:rsidRPr="00263267">
        <w:rPr>
          <w:rFonts w:ascii="Garamond" w:hAnsi="Garamond"/>
          <w:color w:val="000000" w:themeColor="text1"/>
          <w:sz w:val="22"/>
          <w:szCs w:val="22"/>
        </w:rPr>
        <w:t xml:space="preserve">The independence of such research </w:t>
      </w:r>
      <w:r w:rsidR="002E4851">
        <w:rPr>
          <w:rFonts w:ascii="Garamond" w:hAnsi="Garamond"/>
          <w:color w:val="000000" w:themeColor="text1"/>
          <w:sz w:val="22"/>
          <w:szCs w:val="22"/>
        </w:rPr>
        <w:t xml:space="preserve">serves to boost their political and social legitimacy but </w:t>
      </w:r>
      <w:r w:rsidR="002214CF" w:rsidRPr="00263267">
        <w:rPr>
          <w:rFonts w:ascii="Garamond" w:hAnsi="Garamond"/>
          <w:color w:val="000000" w:themeColor="text1"/>
          <w:sz w:val="22"/>
          <w:szCs w:val="22"/>
        </w:rPr>
        <w:t>can create</w:t>
      </w:r>
      <w:r w:rsidR="004F28C0">
        <w:rPr>
          <w:rFonts w:ascii="Garamond" w:hAnsi="Garamond"/>
          <w:color w:val="000000" w:themeColor="text1"/>
          <w:sz w:val="22"/>
          <w:szCs w:val="22"/>
        </w:rPr>
        <w:t xml:space="preserve"> internal</w:t>
      </w:r>
      <w:r w:rsidR="002214CF" w:rsidRPr="00263267">
        <w:rPr>
          <w:rFonts w:ascii="Garamond" w:hAnsi="Garamond"/>
          <w:color w:val="000000" w:themeColor="text1"/>
          <w:sz w:val="22"/>
          <w:szCs w:val="22"/>
        </w:rPr>
        <w:t xml:space="preserve"> tensions</w:t>
      </w:r>
      <w:r w:rsidR="004F28C0">
        <w:rPr>
          <w:rFonts w:ascii="Garamond" w:hAnsi="Garamond"/>
          <w:color w:val="000000" w:themeColor="text1"/>
          <w:sz w:val="22"/>
          <w:szCs w:val="22"/>
        </w:rPr>
        <w:t>, as</w:t>
      </w:r>
      <w:r w:rsidR="002214CF" w:rsidRPr="00263267">
        <w:rPr>
          <w:rFonts w:ascii="Garamond" w:eastAsia="Times New Roman" w:hAnsi="Garamond" w:cs="Arial"/>
          <w:color w:val="000000" w:themeColor="text1"/>
          <w:sz w:val="22"/>
          <w:szCs w:val="22"/>
          <w:shd w:val="clear" w:color="auto" w:fill="FFFFFF"/>
        </w:rPr>
        <w:t xml:space="preserve"> findings</w:t>
      </w:r>
      <w:r w:rsidR="002214CF" w:rsidRPr="00263267">
        <w:rPr>
          <w:rFonts w:ascii="Garamond" w:hAnsi="Garamond"/>
          <w:color w:val="000000" w:themeColor="text1"/>
          <w:sz w:val="22"/>
          <w:szCs w:val="22"/>
        </w:rPr>
        <w:t xml:space="preserve"> may be critical of members</w:t>
      </w:r>
      <w:r w:rsidR="004F28C0">
        <w:rPr>
          <w:rFonts w:ascii="Garamond" w:hAnsi="Garamond"/>
          <w:color w:val="000000" w:themeColor="text1"/>
          <w:sz w:val="22"/>
          <w:szCs w:val="22"/>
        </w:rPr>
        <w:t>’ practices</w:t>
      </w:r>
      <w:r w:rsidR="002214CF" w:rsidRPr="00263267">
        <w:rPr>
          <w:rFonts w:ascii="Garamond" w:hAnsi="Garamond"/>
          <w:color w:val="000000" w:themeColor="text1"/>
          <w:sz w:val="22"/>
          <w:szCs w:val="22"/>
        </w:rPr>
        <w:t xml:space="preserve"> such as</w:t>
      </w:r>
      <w:r w:rsidR="001C3D7B">
        <w:rPr>
          <w:rFonts w:ascii="Garamond" w:hAnsi="Garamond"/>
          <w:color w:val="000000" w:themeColor="text1"/>
          <w:sz w:val="22"/>
          <w:szCs w:val="22"/>
        </w:rPr>
        <w:t xml:space="preserve"> recent work that challenges the activities of</w:t>
      </w:r>
      <w:r w:rsidR="002214CF" w:rsidRPr="00263267">
        <w:rPr>
          <w:rFonts w:ascii="Garamond" w:hAnsi="Garamond"/>
          <w:color w:val="000000" w:themeColor="text1"/>
          <w:sz w:val="22"/>
          <w:szCs w:val="22"/>
        </w:rPr>
        <w:t xml:space="preserve"> property developers, real estate professionals, </w:t>
      </w:r>
      <w:r w:rsidR="001C3D7B">
        <w:rPr>
          <w:rFonts w:ascii="Garamond" w:hAnsi="Garamond"/>
          <w:color w:val="000000" w:themeColor="text1"/>
          <w:sz w:val="22"/>
          <w:szCs w:val="22"/>
        </w:rPr>
        <w:t>and</w:t>
      </w:r>
      <w:r w:rsidR="001C3D7B" w:rsidRPr="00263267">
        <w:rPr>
          <w:rFonts w:ascii="Garamond" w:hAnsi="Garamond"/>
          <w:color w:val="000000" w:themeColor="text1"/>
          <w:sz w:val="22"/>
          <w:szCs w:val="22"/>
        </w:rPr>
        <w:t xml:space="preserve"> </w:t>
      </w:r>
      <w:r w:rsidR="002214CF" w:rsidRPr="00263267">
        <w:rPr>
          <w:rFonts w:ascii="Garamond" w:hAnsi="Garamond"/>
          <w:color w:val="000000" w:themeColor="text1"/>
          <w:sz w:val="22"/>
          <w:szCs w:val="22"/>
        </w:rPr>
        <w:t xml:space="preserve">voluntary and government organisations.  </w:t>
      </w:r>
      <w:r w:rsidRPr="00263267">
        <w:rPr>
          <w:rFonts w:ascii="Garamond" w:hAnsi="Garamond"/>
          <w:color w:val="000000" w:themeColor="text1"/>
          <w:sz w:val="22"/>
          <w:szCs w:val="22"/>
        </w:rPr>
        <w:t>Alongside commissioning research</w:t>
      </w:r>
      <w:r w:rsidR="00C0134E" w:rsidRPr="00263267">
        <w:rPr>
          <w:rFonts w:ascii="Garamond" w:hAnsi="Garamond"/>
          <w:color w:val="000000" w:themeColor="text1"/>
          <w:sz w:val="22"/>
          <w:szCs w:val="22"/>
        </w:rPr>
        <w:t>,</w:t>
      </w:r>
      <w:r w:rsidRPr="00263267">
        <w:rPr>
          <w:rFonts w:ascii="Garamond" w:hAnsi="Garamond"/>
          <w:color w:val="000000" w:themeColor="text1"/>
          <w:sz w:val="22"/>
          <w:szCs w:val="22"/>
        </w:rPr>
        <w:t xml:space="preserve"> both IOs are </w:t>
      </w:r>
      <w:r w:rsidR="002214CF" w:rsidRPr="00263267">
        <w:rPr>
          <w:rFonts w:ascii="Garamond" w:hAnsi="Garamond"/>
          <w:color w:val="000000" w:themeColor="text1"/>
          <w:sz w:val="22"/>
          <w:szCs w:val="22"/>
        </w:rPr>
        <w:t xml:space="preserve">also </w:t>
      </w:r>
      <w:r w:rsidRPr="00263267">
        <w:rPr>
          <w:rFonts w:ascii="Garamond" w:hAnsi="Garamond"/>
          <w:color w:val="000000" w:themeColor="text1"/>
          <w:sz w:val="22"/>
          <w:szCs w:val="22"/>
        </w:rPr>
        <w:t>seen as important conduits</w:t>
      </w:r>
      <w:r w:rsidR="004F28C0">
        <w:rPr>
          <w:rFonts w:ascii="Garamond" w:hAnsi="Garamond"/>
          <w:color w:val="000000" w:themeColor="text1"/>
          <w:sz w:val="22"/>
          <w:szCs w:val="22"/>
        </w:rPr>
        <w:t>, or cognitive</w:t>
      </w:r>
      <w:r w:rsidR="00AE485C">
        <w:rPr>
          <w:rFonts w:ascii="Garamond" w:hAnsi="Garamond"/>
          <w:color w:val="000000" w:themeColor="text1"/>
          <w:sz w:val="22"/>
          <w:szCs w:val="22"/>
        </w:rPr>
        <w:t>ly important actors (</w:t>
      </w:r>
      <w:r w:rsidR="00AE485C">
        <w:rPr>
          <w:rFonts w:ascii="Garamond" w:hAnsi="Garamond"/>
          <w:i/>
          <w:color w:val="000000" w:themeColor="text1"/>
          <w:sz w:val="22"/>
          <w:szCs w:val="22"/>
        </w:rPr>
        <w:t xml:space="preserve">cf. </w:t>
      </w:r>
      <w:r w:rsidR="00AE485C">
        <w:rPr>
          <w:rFonts w:ascii="Garamond" w:hAnsi="Garamond"/>
          <w:color w:val="000000" w:themeColor="text1"/>
          <w:sz w:val="22"/>
          <w:szCs w:val="22"/>
        </w:rPr>
        <w:t>Black, 2017)</w:t>
      </w:r>
      <w:r w:rsidR="004F28C0">
        <w:rPr>
          <w:rFonts w:ascii="Garamond" w:hAnsi="Garamond"/>
          <w:color w:val="000000" w:themeColor="text1"/>
          <w:sz w:val="22"/>
          <w:szCs w:val="22"/>
        </w:rPr>
        <w:t>,</w:t>
      </w:r>
      <w:r w:rsidRPr="00263267">
        <w:rPr>
          <w:rFonts w:ascii="Garamond" w:hAnsi="Garamond"/>
          <w:color w:val="000000" w:themeColor="text1"/>
          <w:sz w:val="22"/>
          <w:szCs w:val="22"/>
        </w:rPr>
        <w:t xml:space="preserve"> </w:t>
      </w:r>
      <w:r w:rsidR="003E1D10">
        <w:rPr>
          <w:rFonts w:ascii="Garamond" w:hAnsi="Garamond"/>
          <w:color w:val="000000" w:themeColor="text1"/>
          <w:sz w:val="22"/>
          <w:szCs w:val="22"/>
        </w:rPr>
        <w:t>through which</w:t>
      </w:r>
      <w:r w:rsidRPr="00263267">
        <w:rPr>
          <w:rFonts w:ascii="Garamond" w:hAnsi="Garamond"/>
          <w:color w:val="000000" w:themeColor="text1"/>
          <w:sz w:val="22"/>
          <w:szCs w:val="22"/>
        </w:rPr>
        <w:t xml:space="preserve"> </w:t>
      </w:r>
      <w:r w:rsidR="002214CF" w:rsidRPr="00263267">
        <w:rPr>
          <w:rFonts w:ascii="Garamond" w:hAnsi="Garamond"/>
          <w:color w:val="000000" w:themeColor="text1"/>
          <w:sz w:val="22"/>
          <w:szCs w:val="22"/>
        </w:rPr>
        <w:t>members’</w:t>
      </w:r>
      <w:r w:rsidRPr="00263267">
        <w:rPr>
          <w:rFonts w:ascii="Garamond" w:hAnsi="Garamond"/>
          <w:color w:val="000000" w:themeColor="text1"/>
          <w:sz w:val="22"/>
          <w:szCs w:val="22"/>
        </w:rPr>
        <w:t xml:space="preserve"> knowledge</w:t>
      </w:r>
      <w:r w:rsidR="004F28C0">
        <w:rPr>
          <w:rFonts w:ascii="Garamond" w:hAnsi="Garamond"/>
          <w:color w:val="000000" w:themeColor="text1"/>
          <w:sz w:val="22"/>
          <w:szCs w:val="22"/>
        </w:rPr>
        <w:t xml:space="preserve"> </w:t>
      </w:r>
      <w:r w:rsidR="003E1D10">
        <w:rPr>
          <w:rFonts w:ascii="Garamond" w:hAnsi="Garamond"/>
          <w:color w:val="000000" w:themeColor="text1"/>
          <w:sz w:val="22"/>
          <w:szCs w:val="22"/>
        </w:rPr>
        <w:t>can</w:t>
      </w:r>
      <w:r w:rsidR="004F28C0">
        <w:rPr>
          <w:rFonts w:ascii="Garamond" w:hAnsi="Garamond"/>
          <w:color w:val="000000" w:themeColor="text1"/>
          <w:sz w:val="22"/>
          <w:szCs w:val="22"/>
        </w:rPr>
        <w:t xml:space="preserve"> be filtered </w:t>
      </w:r>
      <w:r w:rsidR="003E1D10">
        <w:rPr>
          <w:rFonts w:ascii="Garamond" w:hAnsi="Garamond"/>
          <w:color w:val="000000" w:themeColor="text1"/>
          <w:sz w:val="22"/>
          <w:szCs w:val="22"/>
        </w:rPr>
        <w:t xml:space="preserve">directly </w:t>
      </w:r>
      <w:r w:rsidR="004F28C0">
        <w:rPr>
          <w:rFonts w:ascii="Garamond" w:hAnsi="Garamond"/>
          <w:color w:val="000000" w:themeColor="text1"/>
          <w:sz w:val="22"/>
          <w:szCs w:val="22"/>
        </w:rPr>
        <w:t>into regulation-making processes.</w:t>
      </w:r>
      <w:r w:rsidRPr="00263267">
        <w:rPr>
          <w:rFonts w:ascii="Garamond" w:hAnsi="Garamond"/>
          <w:color w:val="000000" w:themeColor="text1"/>
          <w:sz w:val="22"/>
          <w:szCs w:val="22"/>
        </w:rPr>
        <w:t xml:space="preserve"> </w:t>
      </w:r>
      <w:r w:rsidR="004F28C0">
        <w:rPr>
          <w:rFonts w:ascii="Garamond" w:hAnsi="Garamond"/>
          <w:color w:val="000000" w:themeColor="text1"/>
          <w:sz w:val="22"/>
          <w:szCs w:val="22"/>
        </w:rPr>
        <w:t xml:space="preserve"> R</w:t>
      </w:r>
      <w:r w:rsidRPr="00263267">
        <w:rPr>
          <w:rFonts w:ascii="Garamond" w:hAnsi="Garamond"/>
          <w:color w:val="000000" w:themeColor="text1"/>
          <w:sz w:val="22"/>
          <w:szCs w:val="22"/>
        </w:rPr>
        <w:t xml:space="preserve">epresentatives sit on advisory groups for national and international bodies advising on the reform of planning and housing legislation.  </w:t>
      </w:r>
    </w:p>
    <w:p w14:paraId="7E7F4BA7" w14:textId="77777777" w:rsidR="006F7AC6" w:rsidRPr="00263267" w:rsidRDefault="006F7AC6" w:rsidP="006D08D9">
      <w:pPr>
        <w:spacing w:line="276" w:lineRule="auto"/>
        <w:jc w:val="both"/>
        <w:rPr>
          <w:rFonts w:ascii="Garamond" w:hAnsi="Garamond"/>
          <w:color w:val="000000" w:themeColor="text1"/>
          <w:sz w:val="22"/>
          <w:szCs w:val="22"/>
        </w:rPr>
      </w:pPr>
    </w:p>
    <w:p w14:paraId="7EF7BA96" w14:textId="266C74F2" w:rsidR="00610890" w:rsidRPr="00263267" w:rsidRDefault="00C0134E" w:rsidP="006D08D9">
      <w:pPr>
        <w:spacing w:line="276" w:lineRule="auto"/>
        <w:jc w:val="both"/>
        <w:rPr>
          <w:rFonts w:ascii="Garamond" w:hAnsi="Garamond" w:cs="Calibri"/>
          <w:color w:val="000000" w:themeColor="text1"/>
          <w:sz w:val="22"/>
          <w:szCs w:val="22"/>
        </w:rPr>
      </w:pPr>
      <w:r w:rsidRPr="00263267">
        <w:rPr>
          <w:rFonts w:ascii="Garamond" w:hAnsi="Garamond"/>
          <w:color w:val="000000" w:themeColor="text1"/>
          <w:sz w:val="22"/>
          <w:szCs w:val="22"/>
        </w:rPr>
        <w:t xml:space="preserve">However, with the expansion of market-driven planning reform, </w:t>
      </w:r>
      <w:r w:rsidR="00DF0AEC" w:rsidRPr="00263267">
        <w:rPr>
          <w:rFonts w:ascii="Garamond" w:hAnsi="Garamond"/>
          <w:color w:val="000000" w:themeColor="text1"/>
          <w:sz w:val="22"/>
          <w:szCs w:val="22"/>
        </w:rPr>
        <w:t xml:space="preserve">structural differences in the positionality of the organisations are </w:t>
      </w:r>
      <w:r w:rsidR="00610890" w:rsidRPr="00263267">
        <w:rPr>
          <w:rFonts w:ascii="Garamond" w:hAnsi="Garamond"/>
          <w:color w:val="000000" w:themeColor="text1"/>
          <w:sz w:val="22"/>
          <w:szCs w:val="22"/>
        </w:rPr>
        <w:t>growing</w:t>
      </w:r>
      <w:r w:rsidR="00DF0AEC" w:rsidRPr="00263267">
        <w:rPr>
          <w:rFonts w:ascii="Garamond" w:hAnsi="Garamond"/>
          <w:color w:val="000000" w:themeColor="text1"/>
          <w:sz w:val="22"/>
          <w:szCs w:val="22"/>
        </w:rPr>
        <w:t>.</w:t>
      </w:r>
      <w:r w:rsidR="00727D0C" w:rsidRPr="00263267">
        <w:rPr>
          <w:rFonts w:ascii="Garamond" w:eastAsia="Garamond" w:hAnsi="Garamond" w:cs="Calibri"/>
          <w:color w:val="000000" w:themeColor="text1"/>
          <w:sz w:val="22"/>
          <w:szCs w:val="22"/>
        </w:rPr>
        <w:t xml:space="preserve"> RTPI’s activities </w:t>
      </w:r>
      <w:r w:rsidR="00610890" w:rsidRPr="00263267">
        <w:rPr>
          <w:rFonts w:ascii="Garamond" w:eastAsia="Garamond" w:hAnsi="Garamond" w:cs="Calibri"/>
          <w:color w:val="000000" w:themeColor="text1"/>
          <w:sz w:val="22"/>
          <w:szCs w:val="22"/>
        </w:rPr>
        <w:t xml:space="preserve">focus principally on </w:t>
      </w:r>
      <w:r w:rsidR="00727D0C" w:rsidRPr="00263267">
        <w:rPr>
          <w:rFonts w:ascii="Garamond" w:eastAsia="Garamond" w:hAnsi="Garamond" w:cs="Calibri"/>
          <w:color w:val="000000" w:themeColor="text1"/>
          <w:sz w:val="22"/>
          <w:szCs w:val="22"/>
        </w:rPr>
        <w:t xml:space="preserve">shaping the </w:t>
      </w:r>
      <w:r w:rsidR="00727D0C" w:rsidRPr="00263267">
        <w:rPr>
          <w:rFonts w:ascii="Garamond" w:eastAsia="Garamond" w:hAnsi="Garamond" w:cs="Calibri"/>
          <w:i/>
          <w:color w:val="000000" w:themeColor="text1"/>
          <w:sz w:val="22"/>
          <w:szCs w:val="22"/>
        </w:rPr>
        <w:t>qualitative political environments</w:t>
      </w:r>
      <w:r w:rsidR="00610890" w:rsidRPr="00263267">
        <w:rPr>
          <w:rFonts w:ascii="Garamond" w:eastAsia="Garamond" w:hAnsi="Garamond" w:cs="Calibri"/>
          <w:i/>
          <w:color w:val="000000" w:themeColor="text1"/>
          <w:sz w:val="22"/>
          <w:szCs w:val="22"/>
        </w:rPr>
        <w:t xml:space="preserve"> </w:t>
      </w:r>
      <w:r w:rsidR="00610890" w:rsidRPr="00263267">
        <w:rPr>
          <w:rFonts w:ascii="Garamond" w:eastAsia="Garamond" w:hAnsi="Garamond" w:cs="Calibri"/>
          <w:color w:val="000000" w:themeColor="text1"/>
          <w:sz w:val="22"/>
          <w:szCs w:val="22"/>
        </w:rPr>
        <w:t>within which regulations are developed</w:t>
      </w:r>
      <w:r w:rsidR="00727D0C" w:rsidRPr="00263267">
        <w:rPr>
          <w:rFonts w:ascii="Garamond" w:eastAsia="Garamond" w:hAnsi="Garamond" w:cs="Calibri"/>
          <w:color w:val="000000" w:themeColor="text1"/>
          <w:sz w:val="22"/>
          <w:szCs w:val="22"/>
        </w:rPr>
        <w:t xml:space="preserve">, as reflected in their </w:t>
      </w:r>
      <w:r w:rsidR="00610890" w:rsidRPr="00263267">
        <w:rPr>
          <w:rFonts w:ascii="Garamond" w:eastAsia="Garamond" w:hAnsi="Garamond" w:cs="Calibri"/>
          <w:color w:val="000000" w:themeColor="text1"/>
          <w:sz w:val="22"/>
          <w:szCs w:val="22"/>
        </w:rPr>
        <w:t>Core Committees and overall structure</w:t>
      </w:r>
      <w:r w:rsidR="002D741A">
        <w:rPr>
          <w:rFonts w:ascii="Garamond" w:eastAsia="Garamond" w:hAnsi="Garamond" w:cs="Calibri"/>
          <w:color w:val="000000" w:themeColor="text1"/>
          <w:sz w:val="22"/>
          <w:szCs w:val="22"/>
        </w:rPr>
        <w:t xml:space="preserve"> outlined in Figure 1</w:t>
      </w:r>
      <w:r w:rsidR="00727D0C" w:rsidRPr="00263267">
        <w:rPr>
          <w:rFonts w:ascii="Garamond" w:eastAsia="Garamond" w:hAnsi="Garamond" w:cs="Calibri"/>
          <w:color w:val="000000" w:themeColor="text1"/>
          <w:sz w:val="22"/>
          <w:szCs w:val="22"/>
        </w:rPr>
        <w:t>.</w:t>
      </w:r>
      <w:r w:rsidR="00DF0AEC" w:rsidRPr="00263267">
        <w:rPr>
          <w:rFonts w:ascii="Garamond" w:eastAsia="Garamond" w:hAnsi="Garamond" w:cs="Calibri"/>
          <w:color w:val="000000" w:themeColor="text1"/>
          <w:sz w:val="22"/>
          <w:szCs w:val="22"/>
        </w:rPr>
        <w:t xml:space="preserve"> </w:t>
      </w:r>
      <w:r w:rsidR="00610890" w:rsidRPr="00263267">
        <w:rPr>
          <w:rFonts w:ascii="Garamond" w:hAnsi="Garamond"/>
          <w:color w:val="000000" w:themeColor="text1"/>
          <w:sz w:val="22"/>
          <w:szCs w:val="22"/>
        </w:rPr>
        <w:t>Their interventions</w:t>
      </w:r>
      <w:r w:rsidR="00DB26EE" w:rsidRPr="00263267">
        <w:rPr>
          <w:rFonts w:ascii="Garamond" w:hAnsi="Garamond"/>
          <w:color w:val="000000" w:themeColor="text1"/>
          <w:sz w:val="22"/>
          <w:szCs w:val="22"/>
        </w:rPr>
        <w:t xml:space="preserve"> draw on a series of ideological</w:t>
      </w:r>
      <w:r w:rsidR="00DF0AEC" w:rsidRPr="00263267">
        <w:rPr>
          <w:rFonts w:ascii="Garamond" w:hAnsi="Garamond"/>
          <w:color w:val="000000" w:themeColor="text1"/>
          <w:sz w:val="22"/>
          <w:szCs w:val="22"/>
        </w:rPr>
        <w:t xml:space="preserve"> and political</w:t>
      </w:r>
      <w:r w:rsidR="00DB26EE" w:rsidRPr="00263267">
        <w:rPr>
          <w:rFonts w:ascii="Garamond" w:hAnsi="Garamond"/>
          <w:color w:val="000000" w:themeColor="text1"/>
          <w:sz w:val="22"/>
          <w:szCs w:val="22"/>
        </w:rPr>
        <w:t xml:space="preserve"> positions that outline a positive role for planning as a form of regulatory practice</w:t>
      </w:r>
      <w:r w:rsidR="00DF0AEC" w:rsidRPr="00263267">
        <w:rPr>
          <w:rFonts w:ascii="Garamond" w:hAnsi="Garamond"/>
          <w:color w:val="000000" w:themeColor="text1"/>
          <w:sz w:val="22"/>
          <w:szCs w:val="22"/>
        </w:rPr>
        <w:t xml:space="preserve"> and draw repeatedly </w:t>
      </w:r>
      <w:r w:rsidR="00610890" w:rsidRPr="00263267">
        <w:rPr>
          <w:rFonts w:ascii="Garamond" w:hAnsi="Garamond"/>
          <w:color w:val="000000" w:themeColor="text1"/>
          <w:sz w:val="22"/>
          <w:szCs w:val="22"/>
        </w:rPr>
        <w:t xml:space="preserve">on the </w:t>
      </w:r>
      <w:r w:rsidR="00DB26EE" w:rsidRPr="00263267">
        <w:rPr>
          <w:rFonts w:ascii="Garamond" w:hAnsi="Garamond"/>
          <w:color w:val="000000" w:themeColor="text1"/>
          <w:sz w:val="22"/>
          <w:szCs w:val="22"/>
        </w:rPr>
        <w:t>language of</w:t>
      </w:r>
      <w:r w:rsidR="00DF0AEC" w:rsidRPr="00263267">
        <w:rPr>
          <w:rFonts w:ascii="Garamond" w:hAnsi="Garamond"/>
          <w:color w:val="000000" w:themeColor="text1"/>
          <w:sz w:val="22"/>
          <w:szCs w:val="22"/>
        </w:rPr>
        <w:t xml:space="preserve"> an earlier era of more </w:t>
      </w:r>
      <w:r w:rsidR="00610890" w:rsidRPr="00263267">
        <w:rPr>
          <w:rFonts w:ascii="Garamond" w:hAnsi="Garamond"/>
          <w:color w:val="000000" w:themeColor="text1"/>
          <w:sz w:val="22"/>
          <w:szCs w:val="22"/>
        </w:rPr>
        <w:t>‘</w:t>
      </w:r>
      <w:r w:rsidR="00DF0AEC" w:rsidRPr="00263267">
        <w:rPr>
          <w:rFonts w:ascii="Garamond" w:hAnsi="Garamond"/>
          <w:color w:val="000000" w:themeColor="text1"/>
          <w:sz w:val="22"/>
          <w:szCs w:val="22"/>
        </w:rPr>
        <w:t>collaborative planning</w:t>
      </w:r>
      <w:r w:rsidR="00610890" w:rsidRPr="00263267">
        <w:rPr>
          <w:rFonts w:ascii="Garamond" w:hAnsi="Garamond"/>
          <w:color w:val="000000" w:themeColor="text1"/>
          <w:sz w:val="22"/>
          <w:szCs w:val="22"/>
        </w:rPr>
        <w:t>’</w:t>
      </w:r>
      <w:r w:rsidR="00DF0AEC" w:rsidRPr="00263267">
        <w:rPr>
          <w:rFonts w:ascii="Garamond" w:hAnsi="Garamond"/>
          <w:color w:val="000000" w:themeColor="text1"/>
          <w:sz w:val="22"/>
          <w:szCs w:val="22"/>
        </w:rPr>
        <w:t xml:space="preserve">, </w:t>
      </w:r>
      <w:r w:rsidR="00610890" w:rsidRPr="00263267">
        <w:rPr>
          <w:rFonts w:ascii="Garamond" w:hAnsi="Garamond"/>
          <w:color w:val="000000" w:themeColor="text1"/>
          <w:sz w:val="22"/>
          <w:szCs w:val="22"/>
        </w:rPr>
        <w:t>‘</w:t>
      </w:r>
      <w:r w:rsidR="00DB26EE" w:rsidRPr="00263267">
        <w:rPr>
          <w:rFonts w:ascii="Garamond" w:hAnsi="Garamond"/>
          <w:color w:val="000000" w:themeColor="text1"/>
          <w:sz w:val="22"/>
          <w:szCs w:val="22"/>
        </w:rPr>
        <w:t>sustainable communit</w:t>
      </w:r>
      <w:r w:rsidR="00DF0AEC" w:rsidRPr="00263267">
        <w:rPr>
          <w:rFonts w:ascii="Garamond" w:hAnsi="Garamond"/>
          <w:color w:val="000000" w:themeColor="text1"/>
          <w:sz w:val="22"/>
          <w:szCs w:val="22"/>
        </w:rPr>
        <w:t>y-building</w:t>
      </w:r>
      <w:r w:rsidR="00610890" w:rsidRPr="00263267">
        <w:rPr>
          <w:rFonts w:ascii="Garamond" w:hAnsi="Garamond"/>
          <w:color w:val="000000" w:themeColor="text1"/>
          <w:sz w:val="22"/>
          <w:szCs w:val="22"/>
        </w:rPr>
        <w:t>’</w:t>
      </w:r>
      <w:r w:rsidR="00DF0AEC" w:rsidRPr="00263267">
        <w:rPr>
          <w:rFonts w:ascii="Garamond" w:hAnsi="Garamond"/>
          <w:color w:val="000000" w:themeColor="text1"/>
          <w:sz w:val="22"/>
          <w:szCs w:val="22"/>
        </w:rPr>
        <w:t>, and planning expertise. W</w:t>
      </w:r>
      <w:r w:rsidR="00DB26EE" w:rsidRPr="00263267">
        <w:rPr>
          <w:rFonts w:ascii="Garamond" w:hAnsi="Garamond"/>
          <w:color w:val="000000" w:themeColor="text1"/>
          <w:sz w:val="22"/>
          <w:szCs w:val="22"/>
        </w:rPr>
        <w:t>hilst</w:t>
      </w:r>
      <w:r w:rsidR="00DF0AEC" w:rsidRPr="00263267">
        <w:rPr>
          <w:rFonts w:ascii="Garamond" w:hAnsi="Garamond"/>
          <w:color w:val="000000" w:themeColor="text1"/>
          <w:sz w:val="22"/>
          <w:szCs w:val="22"/>
        </w:rPr>
        <w:t xml:space="preserve"> such discourses are</w:t>
      </w:r>
      <w:r w:rsidR="00DB26EE" w:rsidRPr="00263267">
        <w:rPr>
          <w:rFonts w:ascii="Garamond" w:hAnsi="Garamond"/>
          <w:color w:val="000000" w:themeColor="text1"/>
          <w:sz w:val="22"/>
          <w:szCs w:val="22"/>
        </w:rPr>
        <w:t xml:space="preserve"> still significant</w:t>
      </w:r>
      <w:r w:rsidR="00DF0AEC" w:rsidRPr="00263267">
        <w:rPr>
          <w:rFonts w:ascii="Garamond" w:hAnsi="Garamond"/>
          <w:color w:val="000000" w:themeColor="text1"/>
          <w:sz w:val="22"/>
          <w:szCs w:val="22"/>
        </w:rPr>
        <w:t xml:space="preserve"> in government statements</w:t>
      </w:r>
      <w:r w:rsidR="00DB26EE" w:rsidRPr="00263267">
        <w:rPr>
          <w:rFonts w:ascii="Garamond" w:hAnsi="Garamond"/>
          <w:color w:val="000000" w:themeColor="text1"/>
          <w:sz w:val="22"/>
          <w:szCs w:val="22"/>
        </w:rPr>
        <w:t>,</w:t>
      </w:r>
      <w:r w:rsidR="00DF0AEC" w:rsidRPr="00263267">
        <w:rPr>
          <w:rFonts w:ascii="Garamond" w:hAnsi="Garamond"/>
          <w:color w:val="000000" w:themeColor="text1"/>
          <w:sz w:val="22"/>
          <w:szCs w:val="22"/>
        </w:rPr>
        <w:t xml:space="preserve"> they</w:t>
      </w:r>
      <w:r w:rsidR="00DB26EE" w:rsidRPr="00263267">
        <w:rPr>
          <w:rFonts w:ascii="Garamond" w:hAnsi="Garamond"/>
          <w:color w:val="000000" w:themeColor="text1"/>
          <w:sz w:val="22"/>
          <w:szCs w:val="22"/>
        </w:rPr>
        <w:t xml:space="preserve"> have been re-interpreted </w:t>
      </w:r>
      <w:r w:rsidR="00DF0AEC" w:rsidRPr="00263267">
        <w:rPr>
          <w:rFonts w:ascii="Garamond" w:hAnsi="Garamond"/>
          <w:color w:val="000000" w:themeColor="text1"/>
          <w:sz w:val="22"/>
          <w:szCs w:val="22"/>
        </w:rPr>
        <w:t xml:space="preserve">through a more </w:t>
      </w:r>
      <w:r w:rsidR="002D741A">
        <w:rPr>
          <w:rFonts w:ascii="Garamond" w:hAnsi="Garamond"/>
          <w:color w:val="000000" w:themeColor="text1"/>
          <w:sz w:val="22"/>
          <w:szCs w:val="22"/>
        </w:rPr>
        <w:t>market-oriented</w:t>
      </w:r>
      <w:r w:rsidR="00DF0AEC" w:rsidRPr="00263267">
        <w:rPr>
          <w:rFonts w:ascii="Garamond" w:hAnsi="Garamond"/>
          <w:color w:val="000000" w:themeColor="text1"/>
          <w:sz w:val="22"/>
          <w:szCs w:val="22"/>
        </w:rPr>
        <w:t xml:space="preserve"> lens</w:t>
      </w:r>
      <w:r w:rsidR="00610890" w:rsidRPr="00263267">
        <w:rPr>
          <w:rFonts w:ascii="Garamond" w:hAnsi="Garamond"/>
          <w:color w:val="000000" w:themeColor="text1"/>
          <w:sz w:val="22"/>
          <w:szCs w:val="22"/>
        </w:rPr>
        <w:t>,</w:t>
      </w:r>
      <w:r w:rsidR="00DF0AEC" w:rsidRPr="00263267">
        <w:rPr>
          <w:rFonts w:ascii="Garamond" w:hAnsi="Garamond"/>
          <w:color w:val="000000" w:themeColor="text1"/>
          <w:sz w:val="22"/>
          <w:szCs w:val="22"/>
        </w:rPr>
        <w:t xml:space="preserve"> </w:t>
      </w:r>
      <w:r w:rsidR="00DB26EE" w:rsidRPr="00263267">
        <w:rPr>
          <w:rFonts w:ascii="Garamond" w:hAnsi="Garamond"/>
          <w:color w:val="000000" w:themeColor="text1"/>
          <w:sz w:val="22"/>
          <w:szCs w:val="22"/>
        </w:rPr>
        <w:t xml:space="preserve">as being primarily </w:t>
      </w:r>
      <w:r w:rsidR="002D741A">
        <w:rPr>
          <w:rFonts w:ascii="Garamond" w:hAnsi="Garamond"/>
          <w:color w:val="000000" w:themeColor="text1"/>
          <w:sz w:val="22"/>
          <w:szCs w:val="22"/>
        </w:rPr>
        <w:t xml:space="preserve">concerned with </w:t>
      </w:r>
      <w:r w:rsidR="00DB26EE" w:rsidRPr="00263267">
        <w:rPr>
          <w:rFonts w:ascii="Garamond" w:hAnsi="Garamond"/>
          <w:color w:val="000000" w:themeColor="text1"/>
          <w:sz w:val="22"/>
          <w:szCs w:val="22"/>
        </w:rPr>
        <w:t xml:space="preserve">what planning </w:t>
      </w:r>
      <w:r w:rsidR="00DF0AEC" w:rsidRPr="00263267">
        <w:rPr>
          <w:rFonts w:ascii="Garamond" w:hAnsi="Garamond"/>
          <w:color w:val="000000" w:themeColor="text1"/>
          <w:sz w:val="22"/>
          <w:szCs w:val="22"/>
        </w:rPr>
        <w:t>should</w:t>
      </w:r>
      <w:r w:rsidR="00DB26EE" w:rsidRPr="00263267">
        <w:rPr>
          <w:rFonts w:ascii="Garamond" w:hAnsi="Garamond"/>
          <w:color w:val="000000" w:themeColor="text1"/>
          <w:sz w:val="22"/>
          <w:szCs w:val="22"/>
        </w:rPr>
        <w:t xml:space="preserve"> do to deliver growth</w:t>
      </w:r>
      <w:r w:rsidR="00DF0AEC" w:rsidRPr="00263267">
        <w:rPr>
          <w:rFonts w:ascii="Garamond" w:hAnsi="Garamond"/>
          <w:color w:val="000000" w:themeColor="text1"/>
          <w:sz w:val="22"/>
          <w:szCs w:val="22"/>
        </w:rPr>
        <w:t xml:space="preserve"> as the basis for enhanced market sustainability</w:t>
      </w:r>
      <w:r w:rsidR="00DB26EE" w:rsidRPr="00263267">
        <w:rPr>
          <w:rFonts w:ascii="Garamond" w:hAnsi="Garamond"/>
          <w:color w:val="000000" w:themeColor="text1"/>
          <w:sz w:val="22"/>
          <w:szCs w:val="22"/>
        </w:rPr>
        <w:t xml:space="preserve">.  </w:t>
      </w:r>
      <w:r w:rsidR="00727D0C" w:rsidRPr="00263267">
        <w:rPr>
          <w:rFonts w:ascii="Garamond" w:hAnsi="Garamond"/>
          <w:color w:val="000000" w:themeColor="text1"/>
          <w:sz w:val="22"/>
          <w:szCs w:val="22"/>
        </w:rPr>
        <w:t>Thought leadership</w:t>
      </w:r>
      <w:r w:rsidR="00061EA3">
        <w:rPr>
          <w:rFonts w:ascii="Garamond" w:hAnsi="Garamond"/>
          <w:color w:val="000000" w:themeColor="text1"/>
          <w:sz w:val="22"/>
          <w:szCs w:val="22"/>
        </w:rPr>
        <w:t xml:space="preserve"> on more ideological and philosophical debates over the foundational roles of public planning has been difficult to sustain in an increasingly hostile </w:t>
      </w:r>
      <w:r w:rsidR="00061EA3">
        <w:rPr>
          <w:rFonts w:ascii="Garamond" w:hAnsi="Garamond"/>
          <w:color w:val="000000" w:themeColor="text1"/>
          <w:sz w:val="22"/>
          <w:szCs w:val="22"/>
        </w:rPr>
        <w:lastRenderedPageBreak/>
        <w:t>political context</w:t>
      </w:r>
      <w:r w:rsidR="00727D0C" w:rsidRPr="00263267">
        <w:rPr>
          <w:rFonts w:ascii="Garamond" w:hAnsi="Garamond"/>
          <w:color w:val="000000" w:themeColor="text1"/>
          <w:sz w:val="22"/>
          <w:szCs w:val="22"/>
        </w:rPr>
        <w:t xml:space="preserve">. </w:t>
      </w:r>
      <w:r w:rsidR="00727D0C" w:rsidRPr="00263267">
        <w:rPr>
          <w:rFonts w:ascii="Garamond" w:hAnsi="Garamond" w:cs="Calibri"/>
          <w:color w:val="000000" w:themeColor="text1"/>
          <w:sz w:val="22"/>
          <w:szCs w:val="22"/>
        </w:rPr>
        <w:t xml:space="preserve"> </w:t>
      </w:r>
      <w:r w:rsidR="00953ECF">
        <w:rPr>
          <w:rFonts w:ascii="Garamond" w:hAnsi="Garamond" w:cs="Calibri"/>
          <w:color w:val="000000" w:themeColor="text1"/>
          <w:sz w:val="22"/>
          <w:szCs w:val="22"/>
        </w:rPr>
        <w:t xml:space="preserve">In the next section we turn to the role of both organisations in the restructuring of the English government’s </w:t>
      </w:r>
      <w:r w:rsidR="00953ECF" w:rsidRPr="00B9259C">
        <w:rPr>
          <w:rFonts w:ascii="Garamond" w:hAnsi="Garamond" w:cs="Calibri"/>
          <w:i/>
          <w:color w:val="000000" w:themeColor="text1"/>
          <w:sz w:val="22"/>
          <w:szCs w:val="22"/>
        </w:rPr>
        <w:t>National Planning Policy Framework</w:t>
      </w:r>
      <w:r w:rsidR="00621545">
        <w:rPr>
          <w:rFonts w:ascii="Garamond" w:hAnsi="Garamond" w:cs="Calibri"/>
          <w:color w:val="000000" w:themeColor="text1"/>
          <w:sz w:val="22"/>
          <w:szCs w:val="22"/>
        </w:rPr>
        <w:t xml:space="preserve"> [NPPF]</w:t>
      </w:r>
      <w:r w:rsidR="00953ECF">
        <w:rPr>
          <w:rFonts w:ascii="Garamond" w:hAnsi="Garamond" w:cs="Calibri"/>
          <w:color w:val="000000" w:themeColor="text1"/>
          <w:sz w:val="22"/>
          <w:szCs w:val="22"/>
        </w:rPr>
        <w:t>, a document that now underpins the regulation of the planning system.</w:t>
      </w:r>
    </w:p>
    <w:p w14:paraId="13CF1373" w14:textId="3F62DC3A" w:rsidR="00610890" w:rsidRPr="00263267" w:rsidRDefault="00610890" w:rsidP="006D08D9">
      <w:pPr>
        <w:spacing w:line="276" w:lineRule="auto"/>
        <w:jc w:val="both"/>
        <w:rPr>
          <w:rFonts w:ascii="Garamond" w:hAnsi="Garamond" w:cs="Calibri"/>
          <w:color w:val="000000" w:themeColor="text1"/>
          <w:sz w:val="22"/>
          <w:szCs w:val="22"/>
        </w:rPr>
      </w:pPr>
    </w:p>
    <w:p w14:paraId="4EA76E71" w14:textId="77777777" w:rsidR="00995FE0" w:rsidRPr="00263267" w:rsidRDefault="00995FE0" w:rsidP="006D08D9">
      <w:pPr>
        <w:spacing w:line="276" w:lineRule="auto"/>
        <w:jc w:val="both"/>
        <w:rPr>
          <w:rFonts w:ascii="Garamond" w:hAnsi="Garamond" w:cs="Calibri"/>
          <w:color w:val="000000" w:themeColor="text1"/>
          <w:sz w:val="22"/>
          <w:szCs w:val="22"/>
        </w:rPr>
      </w:pPr>
    </w:p>
    <w:p w14:paraId="1EBCBFAF" w14:textId="6072605A" w:rsidR="00816DB9" w:rsidRPr="00263267" w:rsidRDefault="00816DB9" w:rsidP="006D08D9">
      <w:pPr>
        <w:spacing w:line="276" w:lineRule="auto"/>
        <w:jc w:val="both"/>
        <w:rPr>
          <w:rFonts w:ascii="Garamond" w:hAnsi="Garamond" w:cs="Calibri"/>
          <w:i/>
          <w:color w:val="000000" w:themeColor="text1"/>
          <w:sz w:val="22"/>
          <w:szCs w:val="22"/>
        </w:rPr>
      </w:pPr>
      <w:r w:rsidRPr="00263267">
        <w:rPr>
          <w:rFonts w:ascii="Garamond" w:hAnsi="Garamond" w:cs="Calibri"/>
          <w:i/>
          <w:color w:val="000000" w:themeColor="text1"/>
          <w:sz w:val="22"/>
          <w:szCs w:val="22"/>
        </w:rPr>
        <w:t>The National Planning Policy Framework and Shifting Forms of Influence</w:t>
      </w:r>
    </w:p>
    <w:p w14:paraId="3E42DD9D" w14:textId="55F6BFD8" w:rsidR="00BF49B1" w:rsidRPr="00263267" w:rsidRDefault="006E07CD" w:rsidP="006D08D9">
      <w:pPr>
        <w:spacing w:line="276" w:lineRule="auto"/>
        <w:jc w:val="both"/>
        <w:rPr>
          <w:rFonts w:ascii="Garamond" w:eastAsia="Garamond" w:hAnsi="Garamond" w:cs="Calibri"/>
          <w:color w:val="000000" w:themeColor="text1"/>
          <w:sz w:val="22"/>
          <w:szCs w:val="22"/>
        </w:rPr>
      </w:pPr>
      <w:r w:rsidRPr="00263267">
        <w:rPr>
          <w:rFonts w:ascii="Garamond" w:hAnsi="Garamond" w:cs="Calibri"/>
          <w:color w:val="000000" w:themeColor="text1"/>
          <w:sz w:val="22"/>
          <w:szCs w:val="22"/>
        </w:rPr>
        <w:t xml:space="preserve">For the RTPI, its most significant recent achievements relate to </w:t>
      </w:r>
      <w:r w:rsidR="003E1D10">
        <w:rPr>
          <w:rFonts w:ascii="Garamond" w:hAnsi="Garamond" w:cs="Calibri"/>
          <w:color w:val="000000" w:themeColor="text1"/>
          <w:sz w:val="22"/>
          <w:szCs w:val="22"/>
        </w:rPr>
        <w:t xml:space="preserve">its </w:t>
      </w:r>
      <w:r w:rsidR="00953ECF">
        <w:rPr>
          <w:rFonts w:ascii="Garamond" w:hAnsi="Garamond" w:cs="Calibri"/>
          <w:color w:val="000000" w:themeColor="text1"/>
          <w:sz w:val="22"/>
          <w:szCs w:val="22"/>
        </w:rPr>
        <w:t>influence on revisions to</w:t>
      </w:r>
      <w:r w:rsidR="00953ECF">
        <w:rPr>
          <w:rFonts w:ascii="Garamond" w:hAnsi="Garamond"/>
          <w:color w:val="000000" w:themeColor="text1"/>
          <w:sz w:val="22"/>
          <w:szCs w:val="22"/>
        </w:rPr>
        <w:t xml:space="preserve"> the N</w:t>
      </w:r>
      <w:r w:rsidR="003E1D10">
        <w:rPr>
          <w:rFonts w:ascii="Garamond" w:hAnsi="Garamond"/>
          <w:color w:val="000000" w:themeColor="text1"/>
          <w:sz w:val="22"/>
          <w:szCs w:val="22"/>
        </w:rPr>
        <w:t xml:space="preserve">ational </w:t>
      </w:r>
      <w:r w:rsidR="00953ECF">
        <w:rPr>
          <w:rFonts w:ascii="Garamond" w:hAnsi="Garamond"/>
          <w:color w:val="000000" w:themeColor="text1"/>
          <w:sz w:val="22"/>
          <w:szCs w:val="22"/>
        </w:rPr>
        <w:t>P</w:t>
      </w:r>
      <w:r w:rsidR="003E1D10">
        <w:rPr>
          <w:rFonts w:ascii="Garamond" w:hAnsi="Garamond"/>
          <w:color w:val="000000" w:themeColor="text1"/>
          <w:sz w:val="22"/>
          <w:szCs w:val="22"/>
        </w:rPr>
        <w:t xml:space="preserve">lanning </w:t>
      </w:r>
      <w:r w:rsidR="00953ECF">
        <w:rPr>
          <w:rFonts w:ascii="Garamond" w:hAnsi="Garamond"/>
          <w:color w:val="000000" w:themeColor="text1"/>
          <w:sz w:val="22"/>
          <w:szCs w:val="22"/>
        </w:rPr>
        <w:t>P</w:t>
      </w:r>
      <w:r w:rsidR="003E1D10">
        <w:rPr>
          <w:rFonts w:ascii="Garamond" w:hAnsi="Garamond"/>
          <w:color w:val="000000" w:themeColor="text1"/>
          <w:sz w:val="22"/>
          <w:szCs w:val="22"/>
        </w:rPr>
        <w:t xml:space="preserve">olicy </w:t>
      </w:r>
      <w:r w:rsidR="00953ECF">
        <w:rPr>
          <w:rFonts w:ascii="Garamond" w:hAnsi="Garamond"/>
          <w:color w:val="000000" w:themeColor="text1"/>
          <w:sz w:val="22"/>
          <w:szCs w:val="22"/>
        </w:rPr>
        <w:t>F</w:t>
      </w:r>
      <w:r w:rsidR="003E1D10">
        <w:rPr>
          <w:rFonts w:ascii="Garamond" w:hAnsi="Garamond"/>
          <w:color w:val="000000" w:themeColor="text1"/>
          <w:sz w:val="22"/>
          <w:szCs w:val="22"/>
        </w:rPr>
        <w:t>ramework</w:t>
      </w:r>
      <w:r w:rsidR="00727D0C" w:rsidRPr="00263267">
        <w:rPr>
          <w:rFonts w:ascii="Garamond" w:hAnsi="Garamond"/>
          <w:color w:val="000000" w:themeColor="text1"/>
          <w:sz w:val="22"/>
          <w:szCs w:val="22"/>
        </w:rPr>
        <w:t xml:space="preserve"> </w:t>
      </w:r>
      <w:r w:rsidR="00953ECF">
        <w:rPr>
          <w:rFonts w:ascii="Garamond" w:hAnsi="Garamond"/>
          <w:color w:val="000000" w:themeColor="text1"/>
          <w:sz w:val="22"/>
          <w:szCs w:val="22"/>
        </w:rPr>
        <w:t>in</w:t>
      </w:r>
      <w:r w:rsidR="00727D0C" w:rsidRPr="00263267">
        <w:rPr>
          <w:rFonts w:ascii="Garamond" w:hAnsi="Garamond"/>
          <w:color w:val="000000" w:themeColor="text1"/>
          <w:sz w:val="22"/>
          <w:szCs w:val="22"/>
        </w:rPr>
        <w:t xml:space="preserve"> 2018 </w:t>
      </w:r>
      <w:r w:rsidR="00727D0C"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{"citationID":"GpsbkHjd","properties":{"formattedCitation":"(MHCLG, 2018)","plainCitation":"(MHCLG, 2018)","noteIndex":0},"citationItems":[{"id":3052,"uris":["http://zotero.org/groups/2307100/items/374VPEHV"],"uri":["http://zotero.org/groups/2307100/items/374VPEHV"],"itemData":{"id":3052,"type":"article","publisher":"HMSO: London","title":"What next for planning in England? The National Planning Policy Framework","author":[{"family":"MHCLG","given":""}],"issued":{"date-parts":[["2018"]]}}}],"schema":"https://github.com/citation-style-language/schema/raw/master/csl-citation.json"} </w:instrText>
      </w:r>
      <w:r w:rsidR="00727D0C" w:rsidRPr="00263267">
        <w:rPr>
          <w:rFonts w:ascii="Garamond" w:hAnsi="Garamond"/>
          <w:color w:val="000000" w:themeColor="text1"/>
          <w:sz w:val="22"/>
          <w:szCs w:val="22"/>
        </w:rPr>
        <w:fldChar w:fldCharType="separate"/>
      </w:r>
      <w:r w:rsidR="00727D0C" w:rsidRPr="00263267">
        <w:rPr>
          <w:rFonts w:ascii="Garamond" w:hAnsi="Garamond"/>
          <w:noProof/>
          <w:color w:val="000000" w:themeColor="text1"/>
          <w:sz w:val="22"/>
          <w:szCs w:val="22"/>
        </w:rPr>
        <w:t>(MHCLG, 2018)</w:t>
      </w:r>
      <w:r w:rsidR="00727D0C" w:rsidRPr="00263267">
        <w:rPr>
          <w:rFonts w:ascii="Garamond" w:hAnsi="Garamond"/>
          <w:color w:val="000000" w:themeColor="text1"/>
          <w:sz w:val="22"/>
          <w:szCs w:val="22"/>
        </w:rPr>
        <w:fldChar w:fldCharType="end"/>
      </w:r>
      <w:r w:rsidR="00727D0C" w:rsidRPr="00263267">
        <w:rPr>
          <w:rFonts w:ascii="Garamond" w:hAnsi="Garamond"/>
          <w:color w:val="000000" w:themeColor="text1"/>
          <w:sz w:val="22"/>
          <w:szCs w:val="22"/>
        </w:rPr>
        <w:t xml:space="preserve"> that, it claims, represented </w:t>
      </w:r>
      <w:r w:rsidRPr="00263267">
        <w:rPr>
          <w:rFonts w:ascii="Garamond" w:hAnsi="Garamond"/>
          <w:color w:val="000000" w:themeColor="text1"/>
          <w:sz w:val="22"/>
          <w:szCs w:val="22"/>
        </w:rPr>
        <w:t>a</w:t>
      </w:r>
      <w:r w:rsidR="00727D0C" w:rsidRPr="00263267">
        <w:rPr>
          <w:rFonts w:ascii="Garamond" w:hAnsi="Garamond"/>
          <w:color w:val="000000" w:themeColor="text1"/>
          <w:sz w:val="22"/>
          <w:szCs w:val="22"/>
        </w:rPr>
        <w:t xml:space="preserve"> softening of the </w:t>
      </w:r>
      <w:r w:rsidR="00953ECF">
        <w:rPr>
          <w:rFonts w:ascii="Garamond" w:hAnsi="Garamond"/>
          <w:color w:val="000000" w:themeColor="text1"/>
          <w:sz w:val="22"/>
          <w:szCs w:val="22"/>
        </w:rPr>
        <w:t xml:space="preserve">original </w:t>
      </w:r>
      <w:r w:rsidRPr="00263267">
        <w:rPr>
          <w:rFonts w:ascii="Garamond" w:hAnsi="Garamond"/>
          <w:color w:val="000000" w:themeColor="text1"/>
          <w:sz w:val="22"/>
          <w:szCs w:val="22"/>
        </w:rPr>
        <w:t xml:space="preserve">2012 </w:t>
      </w:r>
      <w:r w:rsidR="003E1D10">
        <w:rPr>
          <w:rFonts w:ascii="Garamond" w:hAnsi="Garamond"/>
          <w:color w:val="000000" w:themeColor="text1"/>
          <w:sz w:val="22"/>
          <w:szCs w:val="22"/>
        </w:rPr>
        <w:t>legislation</w:t>
      </w:r>
      <w:r w:rsidR="00953ECF">
        <w:rPr>
          <w:rFonts w:ascii="Garamond" w:hAnsi="Garamond"/>
          <w:color w:val="000000" w:themeColor="text1"/>
          <w:sz w:val="22"/>
          <w:szCs w:val="22"/>
        </w:rPr>
        <w:t>.  Areas of influence extended to</w:t>
      </w:r>
      <w:r w:rsidR="00727D0C" w:rsidRPr="00263267">
        <w:rPr>
          <w:rFonts w:ascii="Garamond" w:hAnsi="Garamond"/>
          <w:color w:val="000000" w:themeColor="text1"/>
          <w:sz w:val="22"/>
          <w:szCs w:val="22"/>
        </w:rPr>
        <w:t xml:space="preserve"> the requirement </w:t>
      </w:r>
      <w:r w:rsidR="00DF0AEC" w:rsidRPr="00263267">
        <w:rPr>
          <w:rFonts w:ascii="Garamond" w:hAnsi="Garamond"/>
          <w:color w:val="000000" w:themeColor="text1"/>
          <w:sz w:val="22"/>
          <w:szCs w:val="22"/>
        </w:rPr>
        <w:t>for</w:t>
      </w:r>
      <w:r w:rsidR="00727D0C" w:rsidRPr="00263267">
        <w:rPr>
          <w:rFonts w:ascii="Garamond" w:hAnsi="Garamond"/>
          <w:color w:val="000000" w:themeColor="text1"/>
          <w:sz w:val="22"/>
          <w:szCs w:val="22"/>
        </w:rPr>
        <w:t xml:space="preserve"> local organisations to be more accountable and transparent in their viability negotiations and </w:t>
      </w:r>
      <w:r w:rsidR="003E1D10">
        <w:rPr>
          <w:rFonts w:ascii="Garamond" w:hAnsi="Garamond"/>
          <w:color w:val="000000" w:themeColor="text1"/>
          <w:sz w:val="22"/>
          <w:szCs w:val="22"/>
        </w:rPr>
        <w:t>insertion of a new</w:t>
      </w:r>
      <w:r w:rsidR="00727D0C" w:rsidRPr="00263267">
        <w:rPr>
          <w:rFonts w:ascii="Garamond" w:hAnsi="Garamond"/>
          <w:color w:val="000000" w:themeColor="text1"/>
          <w:sz w:val="22"/>
          <w:szCs w:val="22"/>
        </w:rPr>
        <w:t xml:space="preserve"> statutory ‘duty’ to cooperate</w:t>
      </w:r>
      <w:r w:rsidR="00995FE0" w:rsidRPr="00263267">
        <w:rPr>
          <w:rStyle w:val="EndnoteReference"/>
          <w:rFonts w:ascii="Garamond" w:hAnsi="Garamond"/>
          <w:color w:val="000000" w:themeColor="text1"/>
          <w:sz w:val="22"/>
          <w:szCs w:val="22"/>
        </w:rPr>
        <w:endnoteReference w:id="2"/>
      </w:r>
      <w:r w:rsidR="00727D0C" w:rsidRPr="00263267">
        <w:rPr>
          <w:rFonts w:ascii="Garamond" w:hAnsi="Garamond"/>
          <w:color w:val="000000" w:themeColor="text1"/>
          <w:sz w:val="22"/>
          <w:szCs w:val="22"/>
        </w:rPr>
        <w:t xml:space="preserve">. </w:t>
      </w:r>
      <w:r w:rsidR="00621545">
        <w:rPr>
          <w:rFonts w:ascii="Garamond" w:hAnsi="Garamond"/>
          <w:color w:val="000000" w:themeColor="text1"/>
          <w:sz w:val="22"/>
          <w:szCs w:val="22"/>
        </w:rPr>
        <w:t>The revised</w:t>
      </w:r>
      <w:r w:rsidR="00727D0C" w:rsidRPr="00263267">
        <w:rPr>
          <w:rFonts w:ascii="Garamond" w:hAnsi="Garamond"/>
          <w:color w:val="000000" w:themeColor="text1"/>
          <w:sz w:val="22"/>
          <w:szCs w:val="22"/>
        </w:rPr>
        <w:t xml:space="preserve"> Framework was launched by then Prime Minister Theresa May at an RTPI event in London, conferring a degree of legitimacy and showing members and others that it had </w:t>
      </w:r>
      <w:r w:rsidR="00621545">
        <w:rPr>
          <w:rFonts w:ascii="Garamond" w:hAnsi="Garamond"/>
          <w:color w:val="000000" w:themeColor="text1"/>
          <w:sz w:val="22"/>
          <w:szCs w:val="22"/>
        </w:rPr>
        <w:t xml:space="preserve">had a </w:t>
      </w:r>
      <w:r w:rsidR="00727D0C" w:rsidRPr="00263267">
        <w:rPr>
          <w:rFonts w:ascii="Garamond" w:hAnsi="Garamond"/>
          <w:color w:val="000000" w:themeColor="text1"/>
          <w:sz w:val="22"/>
          <w:szCs w:val="22"/>
        </w:rPr>
        <w:t xml:space="preserve">substantial influence on government on behalf of the ‘planning profession’. However, as one interviewee </w:t>
      </w:r>
      <w:r w:rsidR="008D7D0C" w:rsidRPr="00263267">
        <w:rPr>
          <w:rFonts w:ascii="Garamond" w:hAnsi="Garamond"/>
          <w:color w:val="000000" w:themeColor="text1"/>
          <w:sz w:val="22"/>
          <w:szCs w:val="22"/>
        </w:rPr>
        <w:t>comment</w:t>
      </w:r>
      <w:r w:rsidR="00727D0C" w:rsidRPr="00263267">
        <w:rPr>
          <w:rFonts w:ascii="Garamond" w:hAnsi="Garamond"/>
          <w:color w:val="000000" w:themeColor="text1"/>
          <w:sz w:val="22"/>
          <w:szCs w:val="22"/>
        </w:rPr>
        <w:t>ed</w:t>
      </w:r>
      <w:r w:rsidR="00BF6094" w:rsidRPr="00263267">
        <w:rPr>
          <w:rFonts w:ascii="Garamond" w:hAnsi="Garamond"/>
          <w:color w:val="000000" w:themeColor="text1"/>
          <w:sz w:val="22"/>
          <w:szCs w:val="22"/>
        </w:rPr>
        <w:t>,</w:t>
      </w:r>
      <w:r w:rsidR="00727D0C" w:rsidRPr="00263267">
        <w:rPr>
          <w:rFonts w:ascii="Garamond" w:hAnsi="Garamond"/>
          <w:color w:val="000000" w:themeColor="text1"/>
          <w:sz w:val="22"/>
          <w:szCs w:val="22"/>
        </w:rPr>
        <w:t xml:space="preserve"> representations </w:t>
      </w:r>
      <w:r w:rsidR="00D174D8" w:rsidRPr="00263267">
        <w:rPr>
          <w:rFonts w:ascii="Garamond" w:hAnsi="Garamond"/>
          <w:color w:val="000000" w:themeColor="text1"/>
          <w:sz w:val="22"/>
          <w:szCs w:val="22"/>
        </w:rPr>
        <w:t xml:space="preserve">involving </w:t>
      </w:r>
      <w:r w:rsidR="00BF6094" w:rsidRPr="00263267">
        <w:rPr>
          <w:rFonts w:ascii="Garamond" w:hAnsi="Garamond"/>
          <w:color w:val="000000" w:themeColor="text1"/>
          <w:sz w:val="22"/>
          <w:szCs w:val="22"/>
        </w:rPr>
        <w:t xml:space="preserve">the </w:t>
      </w:r>
      <w:r w:rsidR="00727D0C" w:rsidRPr="00263267">
        <w:rPr>
          <w:rFonts w:ascii="Garamond" w:hAnsi="Garamond"/>
          <w:color w:val="000000" w:themeColor="text1"/>
          <w:sz w:val="22"/>
          <w:szCs w:val="22"/>
        </w:rPr>
        <w:t xml:space="preserve">NPPF </w:t>
      </w:r>
      <w:r w:rsidR="00DF0AEC" w:rsidRPr="00263267">
        <w:rPr>
          <w:rFonts w:ascii="Garamond" w:hAnsi="Garamond"/>
          <w:color w:val="000000" w:themeColor="text1"/>
          <w:sz w:val="22"/>
          <w:szCs w:val="22"/>
        </w:rPr>
        <w:t>were especially challenging</w:t>
      </w:r>
      <w:r w:rsidR="00727D0C" w:rsidRPr="00263267">
        <w:rPr>
          <w:rFonts w:ascii="Garamond" w:hAnsi="Garamond"/>
          <w:color w:val="000000" w:themeColor="text1"/>
          <w:sz w:val="22"/>
          <w:szCs w:val="22"/>
        </w:rPr>
        <w:t xml:space="preserve"> </w:t>
      </w:r>
      <w:r w:rsidR="00DF0AEC" w:rsidRPr="00263267">
        <w:rPr>
          <w:rFonts w:ascii="Garamond" w:hAnsi="Garamond"/>
          <w:color w:val="000000" w:themeColor="text1"/>
          <w:sz w:val="22"/>
          <w:szCs w:val="22"/>
        </w:rPr>
        <w:t xml:space="preserve">as the organisation sought to steer a line so that it did </w:t>
      </w:r>
      <w:r w:rsidR="00727D0C" w:rsidRPr="00263267">
        <w:rPr>
          <w:rFonts w:ascii="Garamond" w:hAnsi="Garamond"/>
          <w:color w:val="000000" w:themeColor="text1"/>
          <w:sz w:val="22"/>
          <w:szCs w:val="22"/>
        </w:rPr>
        <w:t>“</w:t>
      </w:r>
      <w:r w:rsidR="00727D0C" w:rsidRPr="00263267">
        <w:rPr>
          <w:rFonts w:ascii="Garamond" w:hAnsi="Garamond"/>
          <w:i/>
          <w:color w:val="000000" w:themeColor="text1"/>
          <w:sz w:val="22"/>
          <w:szCs w:val="22"/>
        </w:rPr>
        <w:t>not upset the membership but is trying to influence government</w:t>
      </w:r>
      <w:r w:rsidR="00727D0C" w:rsidRPr="00263267">
        <w:rPr>
          <w:rFonts w:ascii="Garamond" w:hAnsi="Garamond"/>
          <w:color w:val="000000" w:themeColor="text1"/>
          <w:sz w:val="22"/>
          <w:szCs w:val="22"/>
        </w:rPr>
        <w:t>”</w:t>
      </w:r>
      <w:r w:rsidR="00DF0AEC" w:rsidRPr="00263267">
        <w:rPr>
          <w:rFonts w:ascii="Garamond" w:hAnsi="Garamond"/>
          <w:color w:val="000000" w:themeColor="text1"/>
          <w:sz w:val="22"/>
          <w:szCs w:val="22"/>
        </w:rPr>
        <w:t>.</w:t>
      </w:r>
      <w:r w:rsidR="00727D0C" w:rsidRPr="00263267">
        <w:rPr>
          <w:rFonts w:ascii="Garamond" w:hAnsi="Garamond"/>
          <w:color w:val="000000" w:themeColor="text1"/>
          <w:sz w:val="22"/>
          <w:szCs w:val="22"/>
        </w:rPr>
        <w:t xml:space="preserve"> </w:t>
      </w:r>
      <w:r w:rsidR="00DF0AEC" w:rsidRPr="00263267">
        <w:rPr>
          <w:rFonts w:ascii="Garamond" w:hAnsi="Garamond"/>
          <w:color w:val="000000" w:themeColor="text1"/>
          <w:sz w:val="22"/>
          <w:szCs w:val="22"/>
        </w:rPr>
        <w:t>This</w:t>
      </w:r>
      <w:r w:rsidR="00727D0C" w:rsidRPr="00263267">
        <w:rPr>
          <w:rFonts w:ascii="Garamond" w:hAnsi="Garamond"/>
          <w:color w:val="000000" w:themeColor="text1"/>
          <w:sz w:val="22"/>
          <w:szCs w:val="22"/>
        </w:rPr>
        <w:t xml:space="preserve"> balance </w:t>
      </w:r>
      <w:r w:rsidR="00DF0AEC" w:rsidRPr="00263267">
        <w:rPr>
          <w:rFonts w:ascii="Garamond" w:hAnsi="Garamond"/>
          <w:color w:val="000000" w:themeColor="text1"/>
          <w:sz w:val="22"/>
          <w:szCs w:val="22"/>
        </w:rPr>
        <w:t xml:space="preserve">has become </w:t>
      </w:r>
      <w:r w:rsidR="00727D0C" w:rsidRPr="00263267">
        <w:rPr>
          <w:rFonts w:ascii="Garamond" w:hAnsi="Garamond"/>
          <w:color w:val="000000" w:themeColor="text1"/>
          <w:sz w:val="22"/>
          <w:szCs w:val="22"/>
        </w:rPr>
        <w:t xml:space="preserve">increasingly difficult to strike as central government </w:t>
      </w:r>
      <w:r w:rsidR="00D174D8" w:rsidRPr="00263267">
        <w:rPr>
          <w:rFonts w:ascii="Garamond" w:hAnsi="Garamond"/>
          <w:color w:val="000000" w:themeColor="text1"/>
          <w:sz w:val="22"/>
          <w:szCs w:val="22"/>
        </w:rPr>
        <w:t>has become fiercely</w:t>
      </w:r>
      <w:r w:rsidR="00727D0C" w:rsidRPr="00263267">
        <w:rPr>
          <w:rFonts w:ascii="Garamond" w:hAnsi="Garamond"/>
          <w:color w:val="000000" w:themeColor="text1"/>
          <w:sz w:val="22"/>
          <w:szCs w:val="22"/>
        </w:rPr>
        <w:t xml:space="preserve"> critical </w:t>
      </w:r>
      <w:r w:rsidR="00BF6094" w:rsidRPr="00263267">
        <w:rPr>
          <w:rFonts w:ascii="Garamond" w:hAnsi="Garamond"/>
          <w:color w:val="000000" w:themeColor="text1"/>
          <w:sz w:val="22"/>
          <w:szCs w:val="22"/>
        </w:rPr>
        <w:t xml:space="preserve">of </w:t>
      </w:r>
      <w:r w:rsidR="00727D0C" w:rsidRPr="00263267">
        <w:rPr>
          <w:rFonts w:ascii="Garamond" w:hAnsi="Garamond"/>
          <w:color w:val="000000" w:themeColor="text1"/>
          <w:sz w:val="22"/>
          <w:szCs w:val="22"/>
        </w:rPr>
        <w:t>some of the founding principles of the planning system</w:t>
      </w:r>
      <w:r w:rsidR="00BF6094" w:rsidRPr="00263267">
        <w:rPr>
          <w:rFonts w:ascii="Garamond" w:hAnsi="Garamond"/>
          <w:color w:val="000000" w:themeColor="text1"/>
          <w:sz w:val="22"/>
          <w:szCs w:val="22"/>
        </w:rPr>
        <w:t>,</w:t>
      </w:r>
      <w:r w:rsidR="00727D0C" w:rsidRPr="00263267">
        <w:rPr>
          <w:rFonts w:ascii="Garamond" w:hAnsi="Garamond"/>
          <w:color w:val="000000" w:themeColor="text1"/>
          <w:sz w:val="22"/>
          <w:szCs w:val="22"/>
        </w:rPr>
        <w:t xml:space="preserve"> </w:t>
      </w:r>
      <w:r w:rsidR="00DF0AEC" w:rsidRPr="00263267">
        <w:rPr>
          <w:rFonts w:ascii="Garamond" w:hAnsi="Garamond"/>
          <w:color w:val="000000" w:themeColor="text1"/>
          <w:sz w:val="22"/>
          <w:szCs w:val="22"/>
        </w:rPr>
        <w:t>promot</w:t>
      </w:r>
      <w:r w:rsidR="00BF6094" w:rsidRPr="00263267">
        <w:rPr>
          <w:rFonts w:ascii="Garamond" w:hAnsi="Garamond"/>
          <w:color w:val="000000" w:themeColor="text1"/>
          <w:sz w:val="22"/>
          <w:szCs w:val="22"/>
        </w:rPr>
        <w:t>ing</w:t>
      </w:r>
      <w:r w:rsidR="00DF0AEC" w:rsidRPr="00263267">
        <w:rPr>
          <w:rFonts w:ascii="Garamond" w:hAnsi="Garamond"/>
          <w:color w:val="000000" w:themeColor="text1"/>
          <w:sz w:val="22"/>
          <w:szCs w:val="22"/>
        </w:rPr>
        <w:t xml:space="preserve"> it is an </w:t>
      </w:r>
      <w:r w:rsidR="00727D0C" w:rsidRPr="00263267">
        <w:rPr>
          <w:rFonts w:ascii="Garamond" w:hAnsi="Garamond"/>
          <w:color w:val="000000" w:themeColor="text1"/>
          <w:sz w:val="22"/>
          <w:szCs w:val="22"/>
        </w:rPr>
        <w:t>‘</w:t>
      </w:r>
      <w:r w:rsidR="00DF0AEC" w:rsidRPr="00263267">
        <w:rPr>
          <w:rFonts w:ascii="Garamond" w:hAnsi="Garamond"/>
          <w:color w:val="000000" w:themeColor="text1"/>
          <w:sz w:val="22"/>
          <w:szCs w:val="22"/>
        </w:rPr>
        <w:t xml:space="preserve">unnecessary </w:t>
      </w:r>
      <w:r w:rsidR="00727D0C" w:rsidRPr="00263267">
        <w:rPr>
          <w:rFonts w:ascii="Garamond" w:hAnsi="Garamond"/>
          <w:color w:val="000000" w:themeColor="text1"/>
          <w:sz w:val="22"/>
          <w:szCs w:val="22"/>
        </w:rPr>
        <w:t>brake’ on development</w:t>
      </w:r>
      <w:r w:rsidR="00DF0AEC" w:rsidRPr="00263267">
        <w:rPr>
          <w:rFonts w:ascii="Garamond" w:hAnsi="Garamond"/>
          <w:color w:val="000000" w:themeColor="text1"/>
          <w:sz w:val="22"/>
          <w:szCs w:val="22"/>
        </w:rPr>
        <w:t xml:space="preserve"> and urban, regional and national competitiveness</w:t>
      </w:r>
      <w:r w:rsidR="00727D0C" w:rsidRPr="00263267">
        <w:rPr>
          <w:rFonts w:ascii="Garamond" w:hAnsi="Garamond"/>
          <w:color w:val="000000" w:themeColor="text1"/>
          <w:sz w:val="22"/>
          <w:szCs w:val="22"/>
        </w:rPr>
        <w:t xml:space="preserve">. </w:t>
      </w:r>
    </w:p>
    <w:p w14:paraId="2B6E1F23" w14:textId="3EB8F3F4" w:rsidR="000D07BB" w:rsidRPr="00263267" w:rsidRDefault="000D07BB" w:rsidP="006D08D9">
      <w:pPr>
        <w:spacing w:line="276" w:lineRule="auto"/>
        <w:jc w:val="both"/>
        <w:rPr>
          <w:rFonts w:ascii="Garamond" w:hAnsi="Garamond"/>
          <w:color w:val="000000" w:themeColor="text1"/>
          <w:sz w:val="22"/>
          <w:szCs w:val="22"/>
        </w:rPr>
      </w:pPr>
    </w:p>
    <w:p w14:paraId="71A20BDE" w14:textId="5B4B5E63" w:rsidR="00DB26EE" w:rsidRPr="00263267" w:rsidRDefault="00BF49B1" w:rsidP="006D08D9">
      <w:pPr>
        <w:spacing w:line="276" w:lineRule="auto"/>
        <w:ind w:right="-52"/>
        <w:jc w:val="both"/>
        <w:rPr>
          <w:rFonts w:ascii="Garamond" w:hAnsi="Garamond"/>
          <w:color w:val="000000" w:themeColor="text1"/>
          <w:sz w:val="22"/>
          <w:szCs w:val="22"/>
        </w:rPr>
      </w:pPr>
      <w:r w:rsidRPr="00263267">
        <w:rPr>
          <w:rFonts w:ascii="Garamond" w:hAnsi="Garamond"/>
          <w:color w:val="000000" w:themeColor="text1"/>
          <w:sz w:val="22"/>
          <w:szCs w:val="22"/>
        </w:rPr>
        <w:t>Conversely, t</w:t>
      </w:r>
      <w:r w:rsidR="006036E4" w:rsidRPr="00263267">
        <w:rPr>
          <w:rFonts w:ascii="Garamond" w:hAnsi="Garamond"/>
          <w:color w:val="000000" w:themeColor="text1"/>
          <w:sz w:val="22"/>
          <w:szCs w:val="22"/>
        </w:rPr>
        <w:t xml:space="preserve">he shift to more valuation-driven, calculative planning in the NPPF </w:t>
      </w:r>
      <w:r w:rsidR="00727D0C" w:rsidRPr="00263267">
        <w:rPr>
          <w:rFonts w:ascii="Garamond" w:hAnsi="Garamond"/>
          <w:color w:val="000000" w:themeColor="text1"/>
          <w:sz w:val="22"/>
          <w:szCs w:val="22"/>
        </w:rPr>
        <w:t xml:space="preserve">since 2012 </w:t>
      </w:r>
      <w:r w:rsidR="00114236" w:rsidRPr="00263267">
        <w:rPr>
          <w:rFonts w:ascii="Garamond" w:hAnsi="Garamond"/>
          <w:color w:val="000000" w:themeColor="text1"/>
          <w:sz w:val="22"/>
          <w:szCs w:val="22"/>
        </w:rPr>
        <w:t xml:space="preserve">has </w:t>
      </w:r>
      <w:r w:rsidR="006036E4" w:rsidRPr="00263267">
        <w:rPr>
          <w:rFonts w:ascii="Garamond" w:hAnsi="Garamond"/>
          <w:color w:val="000000" w:themeColor="text1"/>
          <w:sz w:val="22"/>
          <w:szCs w:val="22"/>
        </w:rPr>
        <w:t>put RICS in a key intermediary position</w:t>
      </w:r>
      <w:r w:rsidR="00DF0AEC" w:rsidRPr="00263267">
        <w:rPr>
          <w:rFonts w:ascii="Garamond" w:hAnsi="Garamond"/>
          <w:color w:val="000000" w:themeColor="text1"/>
          <w:sz w:val="22"/>
          <w:szCs w:val="22"/>
        </w:rPr>
        <w:t xml:space="preserve"> in helping to </w:t>
      </w:r>
      <w:r w:rsidR="00DF0AEC" w:rsidRPr="00263267">
        <w:rPr>
          <w:rFonts w:ascii="Garamond" w:eastAsia="Garamond" w:hAnsi="Garamond" w:cs="Calibri"/>
          <w:color w:val="000000" w:themeColor="text1"/>
          <w:sz w:val="22"/>
          <w:szCs w:val="22"/>
        </w:rPr>
        <w:t xml:space="preserve">establish </w:t>
      </w:r>
      <w:r w:rsidR="00DF0AEC" w:rsidRPr="00263267">
        <w:rPr>
          <w:rFonts w:ascii="Garamond" w:eastAsia="Garamond" w:hAnsi="Garamond" w:cs="Calibri"/>
          <w:i/>
          <w:color w:val="000000" w:themeColor="text1"/>
          <w:sz w:val="22"/>
          <w:szCs w:val="22"/>
        </w:rPr>
        <w:t xml:space="preserve">quantitative professional-technical </w:t>
      </w:r>
      <w:r w:rsidR="00DF0AEC" w:rsidRPr="00263267">
        <w:rPr>
          <w:rFonts w:ascii="Garamond" w:eastAsia="Garamond" w:hAnsi="Garamond" w:cs="Calibri"/>
          <w:color w:val="000000" w:themeColor="text1"/>
          <w:sz w:val="22"/>
          <w:szCs w:val="22"/>
        </w:rPr>
        <w:t xml:space="preserve">viability metrics for regulators, whilst also normalising and legitimating its professional standards. </w:t>
      </w:r>
      <w:r w:rsidR="00AF71EB" w:rsidRPr="00263267">
        <w:rPr>
          <w:rFonts w:ascii="Garamond" w:hAnsi="Garamond"/>
          <w:color w:val="000000" w:themeColor="text1"/>
          <w:sz w:val="22"/>
          <w:szCs w:val="22"/>
        </w:rPr>
        <w:t>RICS</w:t>
      </w:r>
      <w:r w:rsidR="00046065" w:rsidRPr="00263267">
        <w:rPr>
          <w:rFonts w:ascii="Garamond" w:hAnsi="Garamond"/>
          <w:color w:val="000000" w:themeColor="text1"/>
          <w:sz w:val="22"/>
          <w:szCs w:val="22"/>
        </w:rPr>
        <w:t xml:space="preserve"> present</w:t>
      </w:r>
      <w:r w:rsidR="00DF0AEC" w:rsidRPr="00263267">
        <w:rPr>
          <w:rFonts w:ascii="Garamond" w:hAnsi="Garamond"/>
          <w:color w:val="000000" w:themeColor="text1"/>
          <w:sz w:val="22"/>
          <w:szCs w:val="22"/>
        </w:rPr>
        <w:t>s</w:t>
      </w:r>
      <w:r w:rsidR="00046065" w:rsidRPr="00263267">
        <w:rPr>
          <w:rFonts w:ascii="Garamond" w:hAnsi="Garamond"/>
          <w:color w:val="000000" w:themeColor="text1"/>
          <w:sz w:val="22"/>
          <w:szCs w:val="22"/>
        </w:rPr>
        <w:t xml:space="preserve"> itself to government agencies and private sector developers and investors as a legitimate global regulatory actor, whose principal role is to promote the ‘</w:t>
      </w:r>
      <w:r w:rsidR="00046065" w:rsidRPr="00263267">
        <w:rPr>
          <w:rFonts w:ascii="Garamond" w:hAnsi="Garamond"/>
          <w:i/>
          <w:color w:val="000000" w:themeColor="text1"/>
          <w:sz w:val="22"/>
          <w:szCs w:val="22"/>
        </w:rPr>
        <w:t>maintenance of professional standards…the monitoring of compliance, the investigation of complaints, compensation of loss and redress</w:t>
      </w:r>
      <w:r w:rsidR="00046065" w:rsidRPr="00263267">
        <w:rPr>
          <w:rFonts w:ascii="Garamond" w:hAnsi="Garamond"/>
          <w:color w:val="000000" w:themeColor="text1"/>
          <w:sz w:val="22"/>
          <w:szCs w:val="22"/>
        </w:rPr>
        <w:t>’ (paragraph 4).  ‘</w:t>
      </w:r>
      <w:r w:rsidR="00046065" w:rsidRPr="00263267">
        <w:rPr>
          <w:rFonts w:ascii="Garamond" w:hAnsi="Garamond"/>
          <w:i/>
          <w:color w:val="000000" w:themeColor="text1"/>
          <w:sz w:val="22"/>
          <w:szCs w:val="22"/>
        </w:rPr>
        <w:t>RICS not only embraces such standards by requiring RICS members to follow them, but also proactively supports their continued development and adoption by others around the world</w:t>
      </w:r>
      <w:r w:rsidR="00046065" w:rsidRPr="00263267">
        <w:rPr>
          <w:rFonts w:ascii="Garamond" w:hAnsi="Garamond"/>
          <w:color w:val="000000" w:themeColor="text1"/>
          <w:sz w:val="22"/>
          <w:szCs w:val="22"/>
        </w:rPr>
        <w:t>’ (p.2)</w:t>
      </w:r>
      <w:r w:rsidR="00A52B42">
        <w:rPr>
          <w:rFonts w:ascii="Garamond" w:hAnsi="Garamond"/>
          <w:color w:val="000000" w:themeColor="text1"/>
          <w:sz w:val="22"/>
          <w:szCs w:val="22"/>
        </w:rPr>
        <w:t>.</w:t>
      </w:r>
      <w:r w:rsidR="00046065" w:rsidRPr="00263267">
        <w:rPr>
          <w:rFonts w:ascii="Garamond" w:hAnsi="Garamond"/>
          <w:color w:val="000000" w:themeColor="text1"/>
          <w:sz w:val="22"/>
          <w:szCs w:val="22"/>
        </w:rPr>
        <w:t xml:space="preserve">  Members are mandated to follow the </w:t>
      </w:r>
      <w:r w:rsidR="00046065" w:rsidRPr="00263267">
        <w:rPr>
          <w:rFonts w:ascii="Garamond" w:hAnsi="Garamond"/>
          <w:i/>
          <w:color w:val="000000" w:themeColor="text1"/>
          <w:sz w:val="22"/>
          <w:szCs w:val="22"/>
        </w:rPr>
        <w:t>Ethical Codes of Conduct</w:t>
      </w:r>
      <w:r w:rsidR="00046065" w:rsidRPr="00263267">
        <w:rPr>
          <w:rFonts w:ascii="Garamond" w:hAnsi="Garamond"/>
          <w:color w:val="000000" w:themeColor="text1"/>
          <w:sz w:val="22"/>
          <w:szCs w:val="22"/>
        </w:rPr>
        <w:t xml:space="preserve"> underpinned by ‘a well-established system of regulation and where necessary, enforcement’ </w:t>
      </w:r>
      <w:r w:rsidR="00AF71EB"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{"citationID":"jTo0aEPP","properties":{"formattedCitation":"(RICS, 2016)","plainCitation":"(RICS, 2016)","dontUpdate":true,"noteIndex":0},"citationItems":[{"id":2937,"uris":["http://zotero.org/groups/2307100/items/78GT2GZH"],"uri":["http://zotero.org/groups/2307100/items/78GT2GZH"],"itemData":{"id":2937,"type":"article","publisher":"Royal Institute of Chartered Surveyors: London","title":"Ethical Code of Conduct","author":[{"family":"RICS","given":""}],"issued":{"date-parts":[["2016"]]}}}],"schema":"https://github.com/citation-style-language/schema/raw/master/csl-citation.json"} </w:instrText>
      </w:r>
      <w:r w:rsidR="00AF71EB" w:rsidRPr="00263267">
        <w:rPr>
          <w:rFonts w:ascii="Garamond" w:hAnsi="Garamond"/>
          <w:color w:val="000000" w:themeColor="text1"/>
          <w:sz w:val="22"/>
          <w:szCs w:val="22"/>
        </w:rPr>
        <w:fldChar w:fldCharType="separate"/>
      </w:r>
      <w:r w:rsidR="00AF71EB" w:rsidRPr="00263267">
        <w:rPr>
          <w:rFonts w:ascii="Garamond" w:hAnsi="Garamond"/>
          <w:noProof/>
          <w:color w:val="000000" w:themeColor="text1"/>
          <w:sz w:val="22"/>
          <w:szCs w:val="22"/>
        </w:rPr>
        <w:t>(RICS, 2016</w:t>
      </w:r>
      <w:r w:rsidR="00AF71EB" w:rsidRPr="00263267">
        <w:rPr>
          <w:rFonts w:ascii="Garamond" w:hAnsi="Garamond"/>
          <w:color w:val="000000" w:themeColor="text1"/>
          <w:sz w:val="22"/>
          <w:szCs w:val="22"/>
        </w:rPr>
        <w:fldChar w:fldCharType="end"/>
      </w:r>
      <w:r w:rsidR="00AF71EB" w:rsidRPr="00263267">
        <w:rPr>
          <w:rFonts w:ascii="Garamond" w:hAnsi="Garamond"/>
          <w:color w:val="000000" w:themeColor="text1"/>
          <w:sz w:val="22"/>
          <w:szCs w:val="22"/>
        </w:rPr>
        <w:t xml:space="preserve">: </w:t>
      </w:r>
      <w:r w:rsidR="00046065" w:rsidRPr="00263267">
        <w:rPr>
          <w:rFonts w:ascii="Garamond" w:hAnsi="Garamond"/>
          <w:color w:val="000000" w:themeColor="text1"/>
          <w:sz w:val="22"/>
          <w:szCs w:val="22"/>
        </w:rPr>
        <w:t xml:space="preserve">p.3).  </w:t>
      </w:r>
      <w:r w:rsidR="00DB26EE" w:rsidRPr="00263267">
        <w:rPr>
          <w:rFonts w:ascii="Garamond" w:hAnsi="Garamond"/>
          <w:color w:val="000000" w:themeColor="text1"/>
          <w:sz w:val="22"/>
          <w:szCs w:val="22"/>
        </w:rPr>
        <w:t>In order to back this up</w:t>
      </w:r>
      <w:r w:rsidR="00BF65BD" w:rsidRPr="00263267">
        <w:rPr>
          <w:rFonts w:ascii="Garamond" w:hAnsi="Garamond"/>
          <w:color w:val="000000" w:themeColor="text1"/>
          <w:sz w:val="22"/>
          <w:szCs w:val="22"/>
        </w:rPr>
        <w:t>,</w:t>
      </w:r>
      <w:r w:rsidR="00DB26EE" w:rsidRPr="00263267">
        <w:rPr>
          <w:rFonts w:ascii="Garamond" w:hAnsi="Garamond"/>
          <w:color w:val="000000" w:themeColor="text1"/>
          <w:sz w:val="22"/>
          <w:szCs w:val="22"/>
        </w:rPr>
        <w:t xml:space="preserve"> RICS have quasi-judicial procedures for dealing with </w:t>
      </w:r>
      <w:r w:rsidR="00BF65BD" w:rsidRPr="00263267">
        <w:rPr>
          <w:rFonts w:ascii="Garamond" w:hAnsi="Garamond"/>
          <w:color w:val="000000" w:themeColor="text1"/>
          <w:sz w:val="22"/>
          <w:szCs w:val="22"/>
        </w:rPr>
        <w:t>misconduct</w:t>
      </w:r>
      <w:r w:rsidR="00DB26EE" w:rsidRPr="00263267">
        <w:rPr>
          <w:rFonts w:ascii="Garamond" w:hAnsi="Garamond"/>
          <w:color w:val="000000" w:themeColor="text1"/>
          <w:sz w:val="22"/>
          <w:szCs w:val="22"/>
        </w:rPr>
        <w:t xml:space="preserve">, with independent </w:t>
      </w:r>
      <w:r w:rsidR="00751BA0" w:rsidRPr="00263267">
        <w:rPr>
          <w:rFonts w:ascii="Garamond" w:hAnsi="Garamond"/>
          <w:color w:val="000000" w:themeColor="text1"/>
          <w:sz w:val="22"/>
          <w:szCs w:val="22"/>
        </w:rPr>
        <w:t>tribunal</w:t>
      </w:r>
      <w:r w:rsidR="00DB26EE" w:rsidRPr="00263267">
        <w:rPr>
          <w:rFonts w:ascii="Garamond" w:hAnsi="Garamond"/>
          <w:color w:val="000000" w:themeColor="text1"/>
          <w:sz w:val="22"/>
          <w:szCs w:val="22"/>
        </w:rPr>
        <w:t>s</w:t>
      </w:r>
      <w:r w:rsidR="00BF3284" w:rsidRPr="00263267">
        <w:rPr>
          <w:rFonts w:ascii="Garamond" w:hAnsi="Garamond"/>
          <w:color w:val="000000" w:themeColor="text1"/>
          <w:sz w:val="22"/>
          <w:szCs w:val="22"/>
        </w:rPr>
        <w:t xml:space="preserve"> empowered to strike off members and exclude them from the market opportunities opened up by regulatory refor</w:t>
      </w:r>
      <w:r w:rsidR="00995FE0" w:rsidRPr="00263267">
        <w:rPr>
          <w:rFonts w:ascii="Garamond" w:hAnsi="Garamond"/>
          <w:color w:val="000000" w:themeColor="text1"/>
          <w:sz w:val="22"/>
          <w:szCs w:val="22"/>
        </w:rPr>
        <w:t>m</w:t>
      </w:r>
      <w:r w:rsidR="00995FE0" w:rsidRPr="00263267">
        <w:rPr>
          <w:rStyle w:val="EndnoteReference"/>
          <w:rFonts w:ascii="Garamond" w:hAnsi="Garamond"/>
          <w:color w:val="000000" w:themeColor="text1"/>
          <w:sz w:val="22"/>
          <w:szCs w:val="22"/>
        </w:rPr>
        <w:endnoteReference w:id="3"/>
      </w:r>
      <w:r w:rsidR="00995FE0" w:rsidRPr="00263267">
        <w:rPr>
          <w:rFonts w:ascii="Garamond" w:hAnsi="Garamond"/>
          <w:color w:val="000000" w:themeColor="text1"/>
          <w:sz w:val="22"/>
          <w:szCs w:val="22"/>
        </w:rPr>
        <w:t>.</w:t>
      </w:r>
      <w:r w:rsidR="00BF3284" w:rsidRPr="00263267">
        <w:rPr>
          <w:rFonts w:ascii="Garamond" w:hAnsi="Garamond"/>
          <w:color w:val="000000" w:themeColor="text1"/>
          <w:sz w:val="22"/>
          <w:szCs w:val="22"/>
        </w:rPr>
        <w:t xml:space="preserve">  Its policies are set out in</w:t>
      </w:r>
      <w:r w:rsidR="00BF65BD" w:rsidRPr="00263267">
        <w:rPr>
          <w:rFonts w:ascii="Garamond" w:hAnsi="Garamond"/>
          <w:color w:val="000000" w:themeColor="text1"/>
          <w:sz w:val="22"/>
          <w:szCs w:val="22"/>
        </w:rPr>
        <w:t xml:space="preserve"> its</w:t>
      </w:r>
      <w:r w:rsidR="00BF3284" w:rsidRPr="00263267">
        <w:rPr>
          <w:rFonts w:ascii="Garamond" w:hAnsi="Garamond"/>
          <w:color w:val="000000" w:themeColor="text1"/>
          <w:sz w:val="22"/>
          <w:szCs w:val="22"/>
        </w:rPr>
        <w:t xml:space="preserve"> </w:t>
      </w:r>
      <w:r w:rsidR="00BF3284" w:rsidRPr="00263267">
        <w:rPr>
          <w:rFonts w:ascii="Garamond" w:hAnsi="Garamond"/>
          <w:i/>
          <w:iCs/>
          <w:color w:val="000000" w:themeColor="text1"/>
          <w:sz w:val="22"/>
          <w:szCs w:val="22"/>
        </w:rPr>
        <w:t xml:space="preserve">Valuation- Global Standards </w:t>
      </w:r>
      <w:r w:rsidR="00BF3284" w:rsidRPr="00263267">
        <w:rPr>
          <w:rFonts w:ascii="Garamond" w:hAnsi="Garamond"/>
          <w:iCs/>
          <w:color w:val="000000" w:themeColor="text1"/>
          <w:sz w:val="22"/>
          <w:szCs w:val="22"/>
        </w:rPr>
        <w:t>statement that aims to</w:t>
      </w:r>
      <w:r w:rsidR="00BF3284" w:rsidRPr="00263267">
        <w:rPr>
          <w:rFonts w:ascii="Garamond" w:hAnsi="Garamond"/>
          <w:color w:val="000000" w:themeColor="text1"/>
          <w:sz w:val="22"/>
          <w:szCs w:val="22"/>
        </w:rPr>
        <w:t>: ‘</w:t>
      </w:r>
      <w:r w:rsidR="00BF3284" w:rsidRPr="00263267">
        <w:rPr>
          <w:rFonts w:ascii="Garamond" w:hAnsi="Garamond"/>
          <w:i/>
          <w:color w:val="000000" w:themeColor="text1"/>
          <w:sz w:val="22"/>
          <w:szCs w:val="22"/>
        </w:rPr>
        <w:t xml:space="preserve">successfully </w:t>
      </w:r>
      <w:proofErr w:type="spellStart"/>
      <w:r w:rsidR="00BF3284" w:rsidRPr="00263267">
        <w:rPr>
          <w:rFonts w:ascii="Garamond" w:hAnsi="Garamond"/>
          <w:i/>
          <w:color w:val="000000" w:themeColor="text1"/>
          <w:sz w:val="22"/>
          <w:szCs w:val="22"/>
        </w:rPr>
        <w:t>combin</w:t>
      </w:r>
      <w:proofErr w:type="spellEnd"/>
      <w:r w:rsidR="00BF3284" w:rsidRPr="00263267">
        <w:rPr>
          <w:rFonts w:ascii="Garamond" w:hAnsi="Garamond"/>
          <w:i/>
          <w:color w:val="000000" w:themeColor="text1"/>
          <w:sz w:val="22"/>
          <w:szCs w:val="22"/>
        </w:rPr>
        <w:t>[e] professional, technical and performance standards in order to deliver high quality valuation advice that meets the expectations and requirements of clients; of governments, regulatory bodies and other standard-setters; and of the public</w:t>
      </w:r>
      <w:r w:rsidR="00BF3284" w:rsidRPr="00263267">
        <w:rPr>
          <w:rFonts w:ascii="Garamond" w:hAnsi="Garamond"/>
          <w:color w:val="000000" w:themeColor="text1"/>
          <w:sz w:val="22"/>
          <w:szCs w:val="22"/>
        </w:rPr>
        <w:t xml:space="preserve">’ </w:t>
      </w:r>
      <w:r w:rsidR="00BF3284" w:rsidRPr="00263267">
        <w:rPr>
          <w:rFonts w:ascii="Garamond" w:hAnsi="Garamond"/>
          <w:color w:val="000000" w:themeColor="text1"/>
          <w:sz w:val="22"/>
          <w:szCs w:val="22"/>
        </w:rPr>
        <w:fldChar w:fldCharType="begin"/>
      </w:r>
      <w:r w:rsidR="00BF3284" w:rsidRPr="00263267">
        <w:rPr>
          <w:rFonts w:ascii="Garamond" w:hAnsi="Garamond"/>
          <w:color w:val="000000" w:themeColor="text1"/>
          <w:sz w:val="22"/>
          <w:szCs w:val="22"/>
        </w:rPr>
        <w:instrText xml:space="preserve"> ADDIN ZOTERO_TEMP </w:instrText>
      </w:r>
      <w:r w:rsidR="00BF3284" w:rsidRPr="00263267">
        <w:rPr>
          <w:rFonts w:ascii="Garamond" w:hAnsi="Garamond"/>
          <w:color w:val="000000" w:themeColor="text1"/>
          <w:sz w:val="22"/>
          <w:szCs w:val="22"/>
        </w:rPr>
        <w:fldChar w:fldCharType="separate"/>
      </w:r>
      <w:r w:rsidR="00BF3284" w:rsidRPr="00263267">
        <w:rPr>
          <w:rFonts w:ascii="Garamond" w:hAnsi="Garamond"/>
          <w:noProof/>
          <w:color w:val="000000" w:themeColor="text1"/>
          <w:sz w:val="22"/>
          <w:szCs w:val="22"/>
        </w:rPr>
        <w:t>(RICS, 2017</w:t>
      </w:r>
      <w:r w:rsidR="00BF3284" w:rsidRPr="00263267">
        <w:rPr>
          <w:rFonts w:ascii="Garamond" w:hAnsi="Garamond"/>
          <w:color w:val="000000" w:themeColor="text1"/>
          <w:sz w:val="22"/>
          <w:szCs w:val="22"/>
        </w:rPr>
        <w:fldChar w:fldCharType="end"/>
      </w:r>
      <w:r w:rsidR="00BF3284" w:rsidRPr="00263267">
        <w:rPr>
          <w:rFonts w:ascii="Garamond" w:hAnsi="Garamond"/>
          <w:color w:val="000000" w:themeColor="text1"/>
          <w:sz w:val="22"/>
          <w:szCs w:val="22"/>
        </w:rPr>
        <w:t xml:space="preserve">: P.3).  The rules it sets on valuation, in turn, are referenced back to a core document, known as the </w:t>
      </w:r>
      <w:r w:rsidR="00BF3284" w:rsidRPr="00263267">
        <w:rPr>
          <w:rFonts w:ascii="Garamond" w:hAnsi="Garamond"/>
          <w:i/>
          <w:iCs/>
          <w:color w:val="000000" w:themeColor="text1"/>
          <w:sz w:val="22"/>
          <w:szCs w:val="22"/>
        </w:rPr>
        <w:t>Red Book</w:t>
      </w:r>
      <w:r w:rsidR="00BF3284" w:rsidRPr="00263267">
        <w:rPr>
          <w:rFonts w:ascii="Garamond" w:hAnsi="Garamond"/>
          <w:color w:val="000000" w:themeColor="text1"/>
          <w:sz w:val="22"/>
          <w:szCs w:val="22"/>
        </w:rPr>
        <w:t xml:space="preserve">, </w:t>
      </w:r>
      <w:r w:rsidR="00BF65BD" w:rsidRPr="00263267">
        <w:rPr>
          <w:rFonts w:ascii="Garamond" w:hAnsi="Garamond"/>
          <w:color w:val="000000" w:themeColor="text1"/>
          <w:sz w:val="22"/>
          <w:szCs w:val="22"/>
        </w:rPr>
        <w:t xml:space="preserve">which </w:t>
      </w:r>
      <w:r w:rsidR="00BF3284" w:rsidRPr="00263267">
        <w:rPr>
          <w:rFonts w:ascii="Garamond" w:hAnsi="Garamond"/>
          <w:color w:val="000000" w:themeColor="text1"/>
          <w:sz w:val="22"/>
          <w:szCs w:val="22"/>
        </w:rPr>
        <w:t xml:space="preserve">acts as a standard-setting code book that directly influence judgments and outcomes in the English </w:t>
      </w:r>
      <w:r w:rsidR="001A19D8" w:rsidRPr="00263267">
        <w:rPr>
          <w:rFonts w:ascii="Garamond" w:hAnsi="Garamond"/>
          <w:color w:val="000000" w:themeColor="text1"/>
          <w:sz w:val="22"/>
          <w:szCs w:val="22"/>
        </w:rPr>
        <w:t xml:space="preserve">planning </w:t>
      </w:r>
      <w:r w:rsidR="00BF3284" w:rsidRPr="00263267">
        <w:rPr>
          <w:rFonts w:ascii="Garamond" w:hAnsi="Garamond"/>
          <w:color w:val="000000" w:themeColor="text1"/>
          <w:sz w:val="22"/>
          <w:szCs w:val="22"/>
        </w:rPr>
        <w:t>system (</w:t>
      </w:r>
      <w:proofErr w:type="spellStart"/>
      <w:r w:rsidR="00BF3284" w:rsidRPr="00263267">
        <w:rPr>
          <w:rFonts w:ascii="Garamond" w:hAnsi="Garamond"/>
          <w:color w:val="000000" w:themeColor="text1"/>
          <w:sz w:val="22"/>
          <w:szCs w:val="22"/>
        </w:rPr>
        <w:t>Colenutt</w:t>
      </w:r>
      <w:proofErr w:type="spellEnd"/>
      <w:r w:rsidR="00BF3284" w:rsidRPr="00263267">
        <w:rPr>
          <w:rFonts w:ascii="Garamond" w:hAnsi="Garamond"/>
          <w:color w:val="000000" w:themeColor="text1"/>
          <w:sz w:val="22"/>
          <w:szCs w:val="22"/>
        </w:rPr>
        <w:t>, 2020).</w:t>
      </w:r>
    </w:p>
    <w:p w14:paraId="66572BFF" w14:textId="77777777" w:rsidR="00DB26EE" w:rsidRPr="00263267" w:rsidRDefault="00DB26EE" w:rsidP="006D08D9">
      <w:pPr>
        <w:spacing w:line="276" w:lineRule="auto"/>
        <w:ind w:right="-52"/>
        <w:jc w:val="both"/>
        <w:rPr>
          <w:rFonts w:ascii="Garamond" w:hAnsi="Garamond"/>
          <w:color w:val="000000" w:themeColor="text1"/>
          <w:sz w:val="22"/>
          <w:szCs w:val="22"/>
        </w:rPr>
      </w:pPr>
    </w:p>
    <w:p w14:paraId="2A728CD0" w14:textId="0B9E3925" w:rsidR="00751BA0" w:rsidRPr="00263267" w:rsidRDefault="00D92F8D" w:rsidP="006D08D9">
      <w:pPr>
        <w:spacing w:line="276" w:lineRule="auto"/>
        <w:ind w:right="-52"/>
        <w:jc w:val="both"/>
        <w:rPr>
          <w:rFonts w:ascii="Garamond" w:hAnsi="Garamond"/>
          <w:color w:val="000000" w:themeColor="text1"/>
          <w:sz w:val="22"/>
          <w:szCs w:val="22"/>
        </w:rPr>
      </w:pPr>
      <w:r w:rsidRPr="00263267">
        <w:rPr>
          <w:rFonts w:ascii="Garamond" w:hAnsi="Garamond"/>
          <w:color w:val="000000" w:themeColor="text1"/>
          <w:sz w:val="22"/>
          <w:szCs w:val="22"/>
        </w:rPr>
        <w:t xml:space="preserve">More specifically, </w:t>
      </w:r>
      <w:r w:rsidR="00BF3284" w:rsidRPr="00263267">
        <w:rPr>
          <w:rFonts w:ascii="Garamond" w:hAnsi="Garamond"/>
          <w:color w:val="000000" w:themeColor="text1"/>
          <w:sz w:val="22"/>
          <w:szCs w:val="22"/>
        </w:rPr>
        <w:t>alongside the introduction of the NPPF</w:t>
      </w:r>
      <w:r w:rsidR="006036E4" w:rsidRPr="00263267">
        <w:rPr>
          <w:rFonts w:ascii="Garamond" w:hAnsi="Garamond"/>
          <w:color w:val="000000" w:themeColor="text1"/>
          <w:sz w:val="22"/>
          <w:szCs w:val="22"/>
        </w:rPr>
        <w:t xml:space="preserve"> </w:t>
      </w:r>
      <w:r w:rsidR="00751BA0" w:rsidRPr="00263267">
        <w:rPr>
          <w:rFonts w:ascii="Garamond" w:hAnsi="Garamond"/>
          <w:color w:val="000000" w:themeColor="text1"/>
          <w:sz w:val="22"/>
          <w:szCs w:val="22"/>
        </w:rPr>
        <w:t>in 2012</w:t>
      </w:r>
      <w:r w:rsidR="00BF65BD" w:rsidRPr="00263267">
        <w:rPr>
          <w:rFonts w:ascii="Garamond" w:hAnsi="Garamond"/>
          <w:color w:val="000000" w:themeColor="text1"/>
          <w:sz w:val="22"/>
          <w:szCs w:val="22"/>
        </w:rPr>
        <w:t>, RICS</w:t>
      </w:r>
      <w:r w:rsidR="00114236" w:rsidRPr="00263267">
        <w:rPr>
          <w:rFonts w:ascii="Garamond" w:hAnsi="Garamond"/>
          <w:color w:val="000000" w:themeColor="text1"/>
          <w:sz w:val="22"/>
          <w:szCs w:val="22"/>
        </w:rPr>
        <w:t xml:space="preserve"> </w:t>
      </w:r>
      <w:r w:rsidR="006036E4" w:rsidRPr="00263267">
        <w:rPr>
          <w:rFonts w:ascii="Garamond" w:hAnsi="Garamond"/>
          <w:color w:val="000000" w:themeColor="text1"/>
          <w:sz w:val="22"/>
          <w:szCs w:val="22"/>
        </w:rPr>
        <w:t xml:space="preserve">published a dedicated </w:t>
      </w:r>
      <w:r w:rsidR="006036E4" w:rsidRPr="00263267">
        <w:rPr>
          <w:rFonts w:ascii="Garamond" w:hAnsi="Garamond"/>
          <w:i/>
          <w:color w:val="000000" w:themeColor="text1"/>
          <w:sz w:val="22"/>
          <w:szCs w:val="22"/>
        </w:rPr>
        <w:t>Guidance Note</w:t>
      </w:r>
      <w:r w:rsidR="006036E4" w:rsidRPr="00263267">
        <w:rPr>
          <w:rFonts w:ascii="Garamond" w:hAnsi="Garamond"/>
          <w:color w:val="000000" w:themeColor="text1"/>
          <w:sz w:val="22"/>
          <w:szCs w:val="22"/>
        </w:rPr>
        <w:t xml:space="preserve"> on </w:t>
      </w:r>
      <w:r w:rsidR="006036E4" w:rsidRPr="00263267">
        <w:rPr>
          <w:rFonts w:ascii="Garamond" w:hAnsi="Garamond"/>
          <w:i/>
          <w:color w:val="000000" w:themeColor="text1"/>
          <w:sz w:val="22"/>
          <w:szCs w:val="22"/>
        </w:rPr>
        <w:t>Financial Viability in Planning</w:t>
      </w:r>
      <w:r w:rsidRPr="00263267">
        <w:rPr>
          <w:rFonts w:ascii="Garamond" w:hAnsi="Garamond"/>
          <w:color w:val="000000" w:themeColor="text1"/>
          <w:sz w:val="22"/>
          <w:szCs w:val="22"/>
        </w:rPr>
        <w:t xml:space="preserve"> </w:t>
      </w:r>
      <w:r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{"citationID":"mI19gIGp","properties":{"formattedCitation":"(RICS, 2012)","plainCitation":"(RICS, 2012)","noteIndex":0},"citationItems":[{"id":3258,"uris":["http://zotero.org/groups/2307100/items/2KH8BVH7"],"uri":["http://zotero.org/groups/2307100/items/2KH8BVH7"],"itemData":{"id":3258,"type":"article","publisher":"Royal Institute of Chartered Surveyors: London","title":"Finance Viability Guidance Note","author":[{"family":"RICS","given":""}],"issued":{"date-parts":[["2012"]]}}}],"schema":"https://github.com/citation-style-language/schema/raw/master/csl-citation.json"} </w:instrText>
      </w:r>
      <w:r w:rsidRPr="00263267">
        <w:rPr>
          <w:rFonts w:ascii="Garamond" w:hAnsi="Garamond"/>
          <w:color w:val="000000" w:themeColor="text1"/>
          <w:sz w:val="22"/>
          <w:szCs w:val="22"/>
        </w:rPr>
        <w:fldChar w:fldCharType="separate"/>
      </w:r>
      <w:r w:rsidRPr="00263267">
        <w:rPr>
          <w:rFonts w:ascii="Garamond" w:hAnsi="Garamond"/>
          <w:noProof/>
          <w:color w:val="000000" w:themeColor="text1"/>
          <w:sz w:val="22"/>
          <w:szCs w:val="22"/>
        </w:rPr>
        <w:t>(RICS, 2012)</w:t>
      </w:r>
      <w:r w:rsidRPr="00263267">
        <w:rPr>
          <w:rFonts w:ascii="Garamond" w:hAnsi="Garamond"/>
          <w:color w:val="000000" w:themeColor="text1"/>
          <w:sz w:val="22"/>
          <w:szCs w:val="22"/>
        </w:rPr>
        <w:fldChar w:fldCharType="end"/>
      </w:r>
      <w:r w:rsidR="006036E4" w:rsidRPr="00263267">
        <w:rPr>
          <w:rFonts w:ascii="Garamond" w:hAnsi="Garamond"/>
          <w:color w:val="000000" w:themeColor="text1"/>
          <w:sz w:val="22"/>
          <w:szCs w:val="22"/>
        </w:rPr>
        <w:t xml:space="preserve"> that was ostensibly designed to establish ‘best practice’ across the sector and set out a ‘</w:t>
      </w:r>
      <w:r w:rsidR="006036E4" w:rsidRPr="00263267">
        <w:rPr>
          <w:rFonts w:ascii="Garamond" w:hAnsi="Garamond"/>
          <w:i/>
          <w:color w:val="000000" w:themeColor="text1"/>
          <w:sz w:val="22"/>
          <w:szCs w:val="22"/>
        </w:rPr>
        <w:t>definitive and objective methodology framework and set of principles that can be applied mainly to development management</w:t>
      </w:r>
      <w:r w:rsidR="006036E4" w:rsidRPr="00263267">
        <w:rPr>
          <w:rFonts w:ascii="Garamond" w:hAnsi="Garamond"/>
          <w:color w:val="000000" w:themeColor="text1"/>
          <w:sz w:val="22"/>
          <w:szCs w:val="22"/>
        </w:rPr>
        <w:t>’ (p.4). The Note represented an attempt to co-produce and support the implementation of policy reform. Whilst it is not a formal, legal document, it makes clear to members that failure to conform has serious consequences for those implementing viability valuations: ‘</w:t>
      </w:r>
      <w:r w:rsidR="006036E4" w:rsidRPr="00263267">
        <w:rPr>
          <w:rFonts w:ascii="Garamond" w:hAnsi="Garamond"/>
          <w:i/>
          <w:color w:val="000000" w:themeColor="text1"/>
          <w:sz w:val="22"/>
          <w:szCs w:val="22"/>
        </w:rPr>
        <w:t>when an allegation of professional negligence is made against a surveyor, a court or tribunal may take account of the contents of any relevant guidance notes published by RICS in deciding whether or not the member had acted with reasonable competence</w:t>
      </w:r>
      <w:r w:rsidR="006036E4" w:rsidRPr="00263267">
        <w:rPr>
          <w:rFonts w:ascii="Garamond" w:hAnsi="Garamond"/>
          <w:color w:val="000000" w:themeColor="text1"/>
          <w:sz w:val="22"/>
          <w:szCs w:val="22"/>
        </w:rPr>
        <w:t>’ (p.1).  Compliance, it is claimed, provides a partial defence in any subsequent legal cases, along with potential expulsion from RICS as it is ‘</w:t>
      </w:r>
      <w:r w:rsidR="006036E4" w:rsidRPr="00263267">
        <w:rPr>
          <w:rFonts w:ascii="Garamond" w:hAnsi="Garamond"/>
          <w:i/>
          <w:color w:val="000000" w:themeColor="text1"/>
          <w:sz w:val="22"/>
          <w:szCs w:val="22"/>
        </w:rPr>
        <w:t>fundamentally grounded in the statutory and regulatory planning regime as it should operate in England</w:t>
      </w:r>
      <w:r w:rsidR="006036E4" w:rsidRPr="00263267">
        <w:rPr>
          <w:rFonts w:ascii="Garamond" w:hAnsi="Garamond"/>
          <w:color w:val="000000" w:themeColor="text1"/>
          <w:sz w:val="22"/>
          <w:szCs w:val="22"/>
        </w:rPr>
        <w:t xml:space="preserve">’ (p.3). The Note also reinforces the organisation’s wider claims towards ‘objectivity’ by helping </w:t>
      </w:r>
      <w:r w:rsidR="006036E4" w:rsidRPr="00263267">
        <w:rPr>
          <w:rFonts w:ascii="Garamond" w:hAnsi="Garamond"/>
          <w:color w:val="000000" w:themeColor="text1"/>
          <w:sz w:val="22"/>
          <w:szCs w:val="22"/>
        </w:rPr>
        <w:lastRenderedPageBreak/>
        <w:t xml:space="preserve">governments at all levels to implement policy in the wider public interest. </w:t>
      </w:r>
      <w:r w:rsidR="00C978E0" w:rsidRPr="00263267">
        <w:rPr>
          <w:rFonts w:ascii="Garamond" w:hAnsi="Garamond"/>
          <w:color w:val="000000" w:themeColor="text1"/>
          <w:sz w:val="22"/>
          <w:szCs w:val="22"/>
        </w:rPr>
        <w:t xml:space="preserve">In this way, </w:t>
      </w:r>
      <w:r w:rsidR="001A19D8" w:rsidRPr="00263267">
        <w:rPr>
          <w:rFonts w:ascii="Garamond" w:hAnsi="Garamond"/>
          <w:color w:val="000000" w:themeColor="text1"/>
          <w:sz w:val="22"/>
          <w:szCs w:val="22"/>
        </w:rPr>
        <w:t>RICS</w:t>
      </w:r>
      <w:r w:rsidR="00C978E0" w:rsidRPr="00263267">
        <w:rPr>
          <w:rFonts w:ascii="Garamond" w:hAnsi="Garamond"/>
          <w:color w:val="000000" w:themeColor="text1"/>
          <w:sz w:val="22"/>
          <w:szCs w:val="22"/>
        </w:rPr>
        <w:t xml:space="preserve"> defines itself as a vehicle for the implementation of the ‘public interest’, defined uncritically as public policy. </w:t>
      </w:r>
    </w:p>
    <w:p w14:paraId="5C775A57" w14:textId="77777777" w:rsidR="00751BA0" w:rsidRPr="00263267" w:rsidRDefault="00751BA0" w:rsidP="006D08D9">
      <w:pPr>
        <w:spacing w:line="276" w:lineRule="auto"/>
        <w:ind w:right="-52"/>
        <w:jc w:val="both"/>
        <w:rPr>
          <w:rFonts w:ascii="Garamond" w:hAnsi="Garamond"/>
          <w:color w:val="000000" w:themeColor="text1"/>
          <w:sz w:val="22"/>
          <w:szCs w:val="22"/>
        </w:rPr>
      </w:pPr>
    </w:p>
    <w:p w14:paraId="6FBF5D5F" w14:textId="181B1E1B" w:rsidR="00C55AFC" w:rsidRPr="00263267" w:rsidRDefault="00C978E0" w:rsidP="006D08D9">
      <w:pPr>
        <w:spacing w:line="276" w:lineRule="auto"/>
        <w:ind w:right="-52"/>
        <w:jc w:val="both"/>
        <w:rPr>
          <w:rFonts w:ascii="Garamond" w:hAnsi="Garamond"/>
          <w:color w:val="000000" w:themeColor="text1"/>
          <w:sz w:val="22"/>
          <w:szCs w:val="22"/>
        </w:rPr>
      </w:pPr>
      <w:r w:rsidRPr="00263267">
        <w:rPr>
          <w:rFonts w:ascii="Garamond" w:hAnsi="Garamond"/>
          <w:color w:val="000000" w:themeColor="text1"/>
          <w:sz w:val="22"/>
          <w:szCs w:val="22"/>
        </w:rPr>
        <w:t>The role of RICS members is to help deliver such policies, the outcomes and priorities of which are not for them or their members to question. As the organisation’s Chair makes clear, ‘</w:t>
      </w:r>
      <w:r w:rsidRPr="00263267">
        <w:rPr>
          <w:rFonts w:ascii="Garamond" w:hAnsi="Garamond"/>
          <w:i/>
          <w:color w:val="000000" w:themeColor="text1"/>
          <w:sz w:val="22"/>
          <w:szCs w:val="22"/>
        </w:rPr>
        <w:t>transparency, consistency and the avoidance of conflicts of interest have never been more important. Nor has technical expertise and practical ability ever been more in demand</w:t>
      </w:r>
      <w:r w:rsidRPr="00263267">
        <w:rPr>
          <w:rFonts w:ascii="Garamond" w:hAnsi="Garamond"/>
          <w:color w:val="000000" w:themeColor="text1"/>
          <w:sz w:val="22"/>
          <w:szCs w:val="22"/>
        </w:rPr>
        <w:t xml:space="preserve">’ </w:t>
      </w:r>
      <w:r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{"citationID":"GxafXW87","properties":{"formattedCitation":"(RICS, 2019)","plainCitation":"(RICS, 2019)","dontUpdate":true,"noteIndex":0},"citationItems":[{"id":2938,"uris":["http://zotero.org/groups/2307100/items/E62CLBCG"],"uri":["http://zotero.org/groups/2307100/items/E62CLBCG"],"itemData":{"id":2938,"type":"article","publisher":"Royal Institute of Chartered Surveyors: London","title":"RICS Valuation Global Standards - Global Red Book","author":[{"family":"RICS","given":""}],"issued":{"date-parts":[["2019"]]}}}],"schema":"https://github.com/citation-style-language/schema/raw/master/csl-citation.json"} </w:instrText>
      </w:r>
      <w:r w:rsidRPr="00263267">
        <w:rPr>
          <w:rFonts w:ascii="Garamond" w:hAnsi="Garamond"/>
          <w:color w:val="000000" w:themeColor="text1"/>
          <w:sz w:val="22"/>
          <w:szCs w:val="22"/>
        </w:rPr>
        <w:fldChar w:fldCharType="separate"/>
      </w:r>
      <w:r w:rsidRPr="00263267">
        <w:rPr>
          <w:rFonts w:ascii="Garamond" w:hAnsi="Garamond"/>
          <w:noProof/>
          <w:color w:val="000000" w:themeColor="text1"/>
          <w:sz w:val="22"/>
          <w:szCs w:val="22"/>
        </w:rPr>
        <w:t>(RICS, 2019: p.1)</w:t>
      </w:r>
      <w:r w:rsidRPr="00263267">
        <w:rPr>
          <w:rFonts w:ascii="Garamond" w:hAnsi="Garamond"/>
          <w:color w:val="000000" w:themeColor="text1"/>
          <w:sz w:val="22"/>
          <w:szCs w:val="22"/>
        </w:rPr>
        <w:fldChar w:fldCharType="end"/>
      </w:r>
      <w:r w:rsidRPr="00263267">
        <w:rPr>
          <w:rFonts w:ascii="Garamond" w:hAnsi="Garamond"/>
          <w:color w:val="000000" w:themeColor="text1"/>
          <w:sz w:val="22"/>
          <w:szCs w:val="22"/>
        </w:rPr>
        <w:t>.  Broader political concerns over questions of equity are put to one side, or given meaning only through the correct</w:t>
      </w:r>
      <w:r w:rsidR="001A19D8" w:rsidRPr="00263267">
        <w:rPr>
          <w:rFonts w:ascii="Garamond" w:hAnsi="Garamond"/>
          <w:color w:val="000000" w:themeColor="text1"/>
          <w:sz w:val="22"/>
          <w:szCs w:val="22"/>
        </w:rPr>
        <w:t>,</w:t>
      </w:r>
      <w:r w:rsidRPr="00263267">
        <w:rPr>
          <w:rFonts w:ascii="Garamond" w:hAnsi="Garamond"/>
          <w:color w:val="000000" w:themeColor="text1"/>
          <w:sz w:val="22"/>
          <w:szCs w:val="22"/>
        </w:rPr>
        <w:t xml:space="preserve"> pragmatic</w:t>
      </w:r>
      <w:r w:rsidR="001A19D8" w:rsidRPr="00263267">
        <w:rPr>
          <w:rFonts w:ascii="Garamond" w:hAnsi="Garamond"/>
          <w:color w:val="000000" w:themeColor="text1"/>
          <w:sz w:val="22"/>
          <w:szCs w:val="22"/>
        </w:rPr>
        <w:t>,</w:t>
      </w:r>
      <w:r w:rsidRPr="00263267">
        <w:rPr>
          <w:rFonts w:ascii="Garamond" w:hAnsi="Garamond"/>
          <w:color w:val="000000" w:themeColor="text1"/>
          <w:sz w:val="22"/>
          <w:szCs w:val="22"/>
        </w:rPr>
        <w:t xml:space="preserve"> application of policy. </w:t>
      </w:r>
      <w:r w:rsidR="006036E4" w:rsidRPr="00263267">
        <w:rPr>
          <w:rFonts w:ascii="Garamond" w:hAnsi="Garamond"/>
          <w:color w:val="000000" w:themeColor="text1"/>
          <w:sz w:val="22"/>
          <w:szCs w:val="22"/>
        </w:rPr>
        <w:t>For instance, it makes clear that the effective delivery of viability-led plans requires a ‘</w:t>
      </w:r>
      <w:r w:rsidR="006036E4" w:rsidRPr="00263267">
        <w:rPr>
          <w:rFonts w:ascii="Garamond" w:hAnsi="Garamond"/>
          <w:i/>
          <w:color w:val="000000" w:themeColor="text1"/>
          <w:sz w:val="22"/>
          <w:szCs w:val="22"/>
        </w:rPr>
        <w:t>shared understanding…by all those involved</w:t>
      </w:r>
      <w:r w:rsidR="006036E4" w:rsidRPr="00263267">
        <w:rPr>
          <w:rFonts w:ascii="Garamond" w:hAnsi="Garamond"/>
          <w:color w:val="000000" w:themeColor="text1"/>
          <w:sz w:val="22"/>
          <w:szCs w:val="22"/>
        </w:rPr>
        <w:t>’ that will ‘</w:t>
      </w:r>
      <w:r w:rsidR="006036E4" w:rsidRPr="00263267">
        <w:rPr>
          <w:rFonts w:ascii="Garamond" w:hAnsi="Garamond"/>
          <w:i/>
          <w:color w:val="000000" w:themeColor="text1"/>
          <w:sz w:val="22"/>
          <w:szCs w:val="22"/>
        </w:rPr>
        <w:t>achieve consistency in both approach and assessment</w:t>
      </w:r>
      <w:r w:rsidR="006036E4" w:rsidRPr="00263267">
        <w:rPr>
          <w:rFonts w:ascii="Garamond" w:hAnsi="Garamond"/>
          <w:color w:val="000000" w:themeColor="text1"/>
          <w:sz w:val="22"/>
          <w:szCs w:val="22"/>
        </w:rPr>
        <w:t>’ (p.2)</w:t>
      </w:r>
      <w:r w:rsidR="00114236" w:rsidRPr="00263267">
        <w:rPr>
          <w:rFonts w:ascii="Garamond" w:hAnsi="Garamond"/>
          <w:color w:val="000000" w:themeColor="text1"/>
          <w:sz w:val="22"/>
          <w:szCs w:val="22"/>
        </w:rPr>
        <w:t xml:space="preserve"> and that its</w:t>
      </w:r>
      <w:r w:rsidR="006036E4" w:rsidRPr="00263267">
        <w:rPr>
          <w:rFonts w:ascii="Garamond" w:hAnsi="Garamond"/>
          <w:color w:val="000000" w:themeColor="text1"/>
          <w:sz w:val="22"/>
          <w:szCs w:val="22"/>
        </w:rPr>
        <w:t xml:space="preserve"> influence will ‘</w:t>
      </w:r>
      <w:r w:rsidR="006036E4" w:rsidRPr="00263267">
        <w:rPr>
          <w:rFonts w:ascii="Garamond" w:hAnsi="Garamond"/>
          <w:i/>
          <w:color w:val="000000" w:themeColor="text1"/>
          <w:sz w:val="22"/>
          <w:szCs w:val="22"/>
        </w:rPr>
        <w:t>enable all participants in the planning process to have a more objective and transparent basis for understanding and evaluating financial viability in a planning context</w:t>
      </w:r>
      <w:r w:rsidR="006036E4" w:rsidRPr="00263267">
        <w:rPr>
          <w:rFonts w:ascii="Garamond" w:hAnsi="Garamond"/>
          <w:color w:val="000000" w:themeColor="text1"/>
          <w:sz w:val="22"/>
          <w:szCs w:val="22"/>
        </w:rPr>
        <w:t xml:space="preserve">’ (p.2).  </w:t>
      </w:r>
      <w:r w:rsidR="00114236" w:rsidRPr="00263267">
        <w:rPr>
          <w:rFonts w:ascii="Garamond" w:hAnsi="Garamond"/>
          <w:color w:val="000000" w:themeColor="text1"/>
          <w:sz w:val="22"/>
          <w:szCs w:val="22"/>
        </w:rPr>
        <w:t>The knowledge base and capacities of members are presented as being an asset in the effective implementation of policy for regulators, whilst also opening up bounded and exclusive market opportunities for members.</w:t>
      </w:r>
      <w:r w:rsidR="00FE188D" w:rsidRPr="00263267">
        <w:rPr>
          <w:rFonts w:ascii="Garamond" w:hAnsi="Garamond"/>
          <w:color w:val="000000" w:themeColor="text1"/>
          <w:sz w:val="22"/>
          <w:szCs w:val="22"/>
        </w:rPr>
        <w:t xml:space="preserve">  The most notable example is the inclusion of </w:t>
      </w:r>
      <w:r w:rsidR="00C55AFC" w:rsidRPr="00263267">
        <w:rPr>
          <w:rFonts w:ascii="Garamond" w:hAnsi="Garamond"/>
          <w:color w:val="000000" w:themeColor="text1"/>
          <w:sz w:val="22"/>
          <w:szCs w:val="22"/>
        </w:rPr>
        <w:t>quantitative evidence to support applications</w:t>
      </w:r>
      <w:r w:rsidR="00FE188D" w:rsidRPr="00263267">
        <w:rPr>
          <w:rFonts w:ascii="Garamond" w:hAnsi="Garamond"/>
          <w:color w:val="000000" w:themeColor="text1"/>
          <w:sz w:val="22"/>
          <w:szCs w:val="22"/>
        </w:rPr>
        <w:t>,</w:t>
      </w:r>
      <w:r w:rsidR="00C55AFC" w:rsidRPr="00263267">
        <w:rPr>
          <w:rFonts w:ascii="Garamond" w:hAnsi="Garamond"/>
          <w:color w:val="000000" w:themeColor="text1"/>
          <w:sz w:val="22"/>
          <w:szCs w:val="22"/>
        </w:rPr>
        <w:t xml:space="preserve"> so that as RICS has long argued, local decisions should be taken ‘</w:t>
      </w:r>
      <w:r w:rsidR="00C55AFC" w:rsidRPr="00263267">
        <w:rPr>
          <w:rFonts w:ascii="Garamond" w:eastAsia="Times New Roman" w:hAnsi="Garamond" w:cs="Times New Roman"/>
          <w:sz w:val="22"/>
          <w:szCs w:val="22"/>
          <w:lang w:eastAsia="en-GB"/>
        </w:rPr>
        <w:t xml:space="preserve">having regard to all the circumstances in the case, including whether the plan and the viability evidence underpinning it is up to date, and any change in site circumstances since the plan was brought into force’ (p.16). </w:t>
      </w:r>
      <w:r w:rsidR="00C55AFC" w:rsidRPr="00263267">
        <w:rPr>
          <w:rFonts w:ascii="Garamond" w:hAnsi="Garamond"/>
          <w:color w:val="000000" w:themeColor="text1"/>
          <w:sz w:val="22"/>
          <w:szCs w:val="22"/>
        </w:rPr>
        <w:t xml:space="preserve">These changes </w:t>
      </w:r>
      <w:r w:rsidR="00FE188D" w:rsidRPr="00263267">
        <w:rPr>
          <w:rFonts w:ascii="Garamond" w:hAnsi="Garamond"/>
          <w:color w:val="000000" w:themeColor="text1"/>
          <w:sz w:val="22"/>
          <w:szCs w:val="22"/>
        </w:rPr>
        <w:t xml:space="preserve">became formalised </w:t>
      </w:r>
      <w:r w:rsidR="00C55AFC" w:rsidRPr="00263267">
        <w:rPr>
          <w:rFonts w:ascii="Garamond" w:hAnsi="Garamond"/>
          <w:color w:val="000000" w:themeColor="text1"/>
          <w:sz w:val="22"/>
          <w:szCs w:val="22"/>
        </w:rPr>
        <w:t>through</w:t>
      </w:r>
      <w:r w:rsidR="00FE188D" w:rsidRPr="00263267">
        <w:rPr>
          <w:rFonts w:ascii="Garamond" w:hAnsi="Garamond"/>
          <w:color w:val="000000" w:themeColor="text1"/>
          <w:sz w:val="22"/>
          <w:szCs w:val="22"/>
        </w:rPr>
        <w:t xml:space="preserve"> negotiations over appropriate metrics for viability calculations. </w:t>
      </w:r>
    </w:p>
    <w:p w14:paraId="18C31F19" w14:textId="42D7C114" w:rsidR="006D166E" w:rsidRPr="00263267" w:rsidRDefault="006D166E" w:rsidP="006D08D9">
      <w:pPr>
        <w:spacing w:line="276" w:lineRule="auto"/>
        <w:ind w:right="-52"/>
        <w:jc w:val="both"/>
        <w:rPr>
          <w:rFonts w:ascii="Garamond" w:hAnsi="Garamond" w:cs="Calibri"/>
          <w:color w:val="000000" w:themeColor="text1"/>
          <w:sz w:val="22"/>
          <w:szCs w:val="22"/>
        </w:rPr>
      </w:pPr>
    </w:p>
    <w:p w14:paraId="6A16E518" w14:textId="3BB5E034" w:rsidR="000C4702" w:rsidRPr="00263267" w:rsidRDefault="000C4702" w:rsidP="006D08D9">
      <w:pPr>
        <w:spacing w:line="276" w:lineRule="auto"/>
        <w:ind w:right="-52"/>
        <w:jc w:val="both"/>
        <w:rPr>
          <w:rFonts w:ascii="Garamond" w:hAnsi="Garamond"/>
          <w:color w:val="000000" w:themeColor="text1"/>
          <w:sz w:val="22"/>
          <w:szCs w:val="22"/>
        </w:rPr>
      </w:pPr>
      <w:r w:rsidRPr="00263267">
        <w:rPr>
          <w:rFonts w:ascii="Garamond" w:hAnsi="Garamond"/>
          <w:color w:val="000000" w:themeColor="text1"/>
          <w:sz w:val="22"/>
          <w:szCs w:val="22"/>
        </w:rPr>
        <w:t xml:space="preserve">RICS’ approach has </w:t>
      </w:r>
      <w:r w:rsidR="00A60051" w:rsidRPr="00263267">
        <w:rPr>
          <w:rFonts w:ascii="Garamond" w:hAnsi="Garamond"/>
          <w:color w:val="000000" w:themeColor="text1"/>
          <w:sz w:val="22"/>
          <w:szCs w:val="22"/>
        </w:rPr>
        <w:t xml:space="preserve">also created difficulties and </w:t>
      </w:r>
      <w:r w:rsidRPr="00263267">
        <w:rPr>
          <w:rFonts w:ascii="Garamond" w:hAnsi="Garamond"/>
          <w:color w:val="000000" w:themeColor="text1"/>
          <w:sz w:val="22"/>
          <w:szCs w:val="22"/>
        </w:rPr>
        <w:t>put</w:t>
      </w:r>
      <w:r w:rsidR="00A60051" w:rsidRPr="00263267">
        <w:rPr>
          <w:rFonts w:ascii="Garamond" w:hAnsi="Garamond"/>
          <w:color w:val="000000" w:themeColor="text1"/>
          <w:sz w:val="22"/>
          <w:szCs w:val="22"/>
        </w:rPr>
        <w:t xml:space="preserve"> the organisation</w:t>
      </w:r>
      <w:r w:rsidRPr="00263267">
        <w:rPr>
          <w:rFonts w:ascii="Garamond" w:hAnsi="Garamond"/>
          <w:color w:val="000000" w:themeColor="text1"/>
          <w:sz w:val="22"/>
          <w:szCs w:val="22"/>
        </w:rPr>
        <w:t xml:space="preserve"> in an ambivalent position as both an indirect regulator and a direct participant in </w:t>
      </w:r>
      <w:r w:rsidR="00BF65BD" w:rsidRPr="00263267">
        <w:rPr>
          <w:rFonts w:ascii="Garamond" w:hAnsi="Garamond"/>
          <w:color w:val="000000" w:themeColor="text1"/>
          <w:sz w:val="22"/>
          <w:szCs w:val="22"/>
        </w:rPr>
        <w:t>politically charged</w:t>
      </w:r>
      <w:r w:rsidR="00A60051" w:rsidRPr="00263267">
        <w:rPr>
          <w:rFonts w:ascii="Garamond" w:hAnsi="Garamond"/>
          <w:color w:val="000000" w:themeColor="text1"/>
          <w:sz w:val="22"/>
          <w:szCs w:val="22"/>
        </w:rPr>
        <w:t xml:space="preserve">, </w:t>
      </w:r>
      <w:r w:rsidR="00BF65BD" w:rsidRPr="00263267">
        <w:rPr>
          <w:rFonts w:ascii="Garamond" w:hAnsi="Garamond"/>
          <w:color w:val="000000" w:themeColor="text1"/>
          <w:sz w:val="22"/>
          <w:szCs w:val="22"/>
        </w:rPr>
        <w:t>locally oriented</w:t>
      </w:r>
      <w:r w:rsidR="00A60051" w:rsidRPr="00263267">
        <w:rPr>
          <w:rFonts w:ascii="Garamond" w:hAnsi="Garamond"/>
          <w:color w:val="000000" w:themeColor="text1"/>
          <w:sz w:val="22"/>
          <w:szCs w:val="22"/>
        </w:rPr>
        <w:t xml:space="preserve"> </w:t>
      </w:r>
      <w:r w:rsidRPr="00263267">
        <w:rPr>
          <w:rFonts w:ascii="Garamond" w:hAnsi="Garamond"/>
          <w:color w:val="000000" w:themeColor="text1"/>
          <w:sz w:val="22"/>
          <w:szCs w:val="22"/>
        </w:rPr>
        <w:t>planning negotiations</w:t>
      </w:r>
      <w:r w:rsidR="00A60051" w:rsidRPr="00263267">
        <w:rPr>
          <w:rFonts w:ascii="Garamond" w:hAnsi="Garamond"/>
          <w:color w:val="000000" w:themeColor="text1"/>
          <w:sz w:val="22"/>
          <w:szCs w:val="22"/>
        </w:rPr>
        <w:t xml:space="preserve"> and debates over place development</w:t>
      </w:r>
      <w:r w:rsidRPr="00263267">
        <w:rPr>
          <w:rFonts w:ascii="Garamond" w:hAnsi="Garamond"/>
          <w:color w:val="000000" w:themeColor="text1"/>
          <w:sz w:val="22"/>
          <w:szCs w:val="22"/>
        </w:rPr>
        <w:t xml:space="preserve">. </w:t>
      </w:r>
      <w:r w:rsidR="001A19D8" w:rsidRPr="00263267">
        <w:rPr>
          <w:rFonts w:ascii="Garamond" w:hAnsi="Garamond"/>
          <w:color w:val="000000" w:themeColor="text1"/>
          <w:sz w:val="22"/>
          <w:szCs w:val="22"/>
        </w:rPr>
        <w:t xml:space="preserve">RICS’ frameworks have been partially co-opted by the </w:t>
      </w:r>
      <w:r w:rsidR="006024FA">
        <w:rPr>
          <w:rFonts w:ascii="Garamond" w:hAnsi="Garamond"/>
          <w:color w:val="000000" w:themeColor="text1"/>
          <w:sz w:val="22"/>
          <w:szCs w:val="22"/>
        </w:rPr>
        <w:t>UK government and the wider state system</w:t>
      </w:r>
      <w:r w:rsidR="001A19D8" w:rsidRPr="00263267">
        <w:rPr>
          <w:rFonts w:ascii="Garamond" w:hAnsi="Garamond"/>
          <w:color w:val="000000" w:themeColor="text1"/>
          <w:sz w:val="22"/>
          <w:szCs w:val="22"/>
        </w:rPr>
        <w:t xml:space="preserve"> but</w:t>
      </w:r>
      <w:r w:rsidR="006024FA">
        <w:rPr>
          <w:rFonts w:ascii="Garamond" w:hAnsi="Garamond"/>
          <w:color w:val="000000" w:themeColor="text1"/>
          <w:sz w:val="22"/>
          <w:szCs w:val="22"/>
        </w:rPr>
        <w:t>,</w:t>
      </w:r>
      <w:r w:rsidR="001A19D8" w:rsidRPr="00263267">
        <w:rPr>
          <w:rFonts w:ascii="Garamond" w:hAnsi="Garamond"/>
          <w:color w:val="000000" w:themeColor="text1"/>
          <w:sz w:val="22"/>
          <w:szCs w:val="22"/>
        </w:rPr>
        <w:t xml:space="preserve"> as an intermediary</w:t>
      </w:r>
      <w:r w:rsidR="006024FA">
        <w:rPr>
          <w:rFonts w:ascii="Garamond" w:hAnsi="Garamond"/>
          <w:color w:val="000000" w:themeColor="text1"/>
          <w:sz w:val="22"/>
          <w:szCs w:val="22"/>
        </w:rPr>
        <w:t>,</w:t>
      </w:r>
      <w:r w:rsidR="001A19D8" w:rsidRPr="00263267">
        <w:rPr>
          <w:rFonts w:ascii="Garamond" w:hAnsi="Garamond"/>
          <w:color w:val="000000" w:themeColor="text1"/>
          <w:sz w:val="22"/>
          <w:szCs w:val="22"/>
        </w:rPr>
        <w:t xml:space="preserve"> it has</w:t>
      </w:r>
      <w:r w:rsidR="006024FA">
        <w:rPr>
          <w:rFonts w:ascii="Garamond" w:hAnsi="Garamond"/>
          <w:color w:val="000000" w:themeColor="text1"/>
          <w:sz w:val="22"/>
          <w:szCs w:val="22"/>
        </w:rPr>
        <w:t xml:space="preserve"> often</w:t>
      </w:r>
      <w:r w:rsidR="001A19D8" w:rsidRPr="00263267">
        <w:rPr>
          <w:rFonts w:ascii="Garamond" w:hAnsi="Garamond"/>
          <w:color w:val="000000" w:themeColor="text1"/>
          <w:sz w:val="22"/>
          <w:szCs w:val="22"/>
        </w:rPr>
        <w:t xml:space="preserve"> been left with responsibility for justifying broader regulatory reforms and their application. </w:t>
      </w:r>
      <w:r w:rsidR="006024FA">
        <w:rPr>
          <w:rFonts w:ascii="Garamond" w:hAnsi="Garamond"/>
          <w:color w:val="000000" w:themeColor="text1"/>
          <w:sz w:val="22"/>
          <w:szCs w:val="22"/>
        </w:rPr>
        <w:t>It has</w:t>
      </w:r>
      <w:r w:rsidR="00A60051" w:rsidRPr="00263267">
        <w:rPr>
          <w:rFonts w:ascii="Garamond" w:hAnsi="Garamond"/>
          <w:color w:val="000000" w:themeColor="text1"/>
          <w:sz w:val="22"/>
          <w:szCs w:val="22"/>
        </w:rPr>
        <w:t xml:space="preserve"> been</w:t>
      </w:r>
      <w:r w:rsidRPr="00263267">
        <w:rPr>
          <w:rFonts w:ascii="Garamond" w:hAnsi="Garamond"/>
          <w:color w:val="000000" w:themeColor="text1"/>
          <w:sz w:val="22"/>
          <w:szCs w:val="22"/>
        </w:rPr>
        <w:t xml:space="preserve"> exposed to potentially damaging political criticisms, with </w:t>
      </w:r>
      <w:r w:rsidR="00A60051" w:rsidRPr="00263267">
        <w:rPr>
          <w:rFonts w:ascii="Garamond" w:hAnsi="Garamond"/>
          <w:color w:val="000000" w:themeColor="text1"/>
          <w:sz w:val="22"/>
          <w:szCs w:val="22"/>
        </w:rPr>
        <w:t xml:space="preserve">challenges to </w:t>
      </w:r>
      <w:r w:rsidR="006024FA">
        <w:rPr>
          <w:rFonts w:ascii="Garamond" w:hAnsi="Garamond"/>
          <w:color w:val="000000" w:themeColor="text1"/>
          <w:sz w:val="22"/>
          <w:szCs w:val="22"/>
        </w:rPr>
        <w:t>its</w:t>
      </w:r>
      <w:r w:rsidRPr="00263267">
        <w:rPr>
          <w:rFonts w:ascii="Garamond" w:hAnsi="Garamond"/>
          <w:color w:val="000000" w:themeColor="text1"/>
          <w:sz w:val="22"/>
          <w:szCs w:val="22"/>
        </w:rPr>
        <w:t xml:space="preserve"> professional-technical legitimacy</w:t>
      </w:r>
      <w:r w:rsidR="00A60051" w:rsidRPr="00263267">
        <w:rPr>
          <w:rFonts w:ascii="Garamond" w:hAnsi="Garamond"/>
          <w:color w:val="000000" w:themeColor="text1"/>
          <w:sz w:val="22"/>
          <w:szCs w:val="22"/>
        </w:rPr>
        <w:t xml:space="preserve"> and authority</w:t>
      </w:r>
      <w:r w:rsidRPr="00263267">
        <w:rPr>
          <w:rFonts w:ascii="Garamond" w:hAnsi="Garamond"/>
          <w:color w:val="000000" w:themeColor="text1"/>
          <w:sz w:val="22"/>
          <w:szCs w:val="22"/>
        </w:rPr>
        <w:t xml:space="preserve">.  </w:t>
      </w:r>
      <w:r w:rsidR="00816DB9" w:rsidRPr="00263267">
        <w:rPr>
          <w:rFonts w:ascii="Garamond" w:hAnsi="Garamond"/>
          <w:color w:val="000000" w:themeColor="text1"/>
          <w:sz w:val="22"/>
          <w:szCs w:val="22"/>
        </w:rPr>
        <w:t xml:space="preserve">Interviewees claimed that </w:t>
      </w:r>
      <w:r w:rsidR="006024FA">
        <w:rPr>
          <w:rFonts w:ascii="Garamond" w:hAnsi="Garamond"/>
          <w:color w:val="000000" w:themeColor="text1"/>
          <w:sz w:val="22"/>
          <w:szCs w:val="22"/>
        </w:rPr>
        <w:t>critical academics and practitioners</w:t>
      </w:r>
      <w:r w:rsidR="00816DB9" w:rsidRPr="00263267">
        <w:rPr>
          <w:rFonts w:ascii="Garamond" w:hAnsi="Garamond"/>
          <w:color w:val="000000" w:themeColor="text1"/>
          <w:sz w:val="22"/>
          <w:szCs w:val="22"/>
        </w:rPr>
        <w:t xml:space="preserve"> confused their roles and responsibilities and criticised them for being influential and</w:t>
      </w:r>
      <w:r w:rsidR="006024FA">
        <w:rPr>
          <w:rFonts w:ascii="Garamond" w:hAnsi="Garamond"/>
          <w:color w:val="000000" w:themeColor="text1"/>
          <w:sz w:val="22"/>
          <w:szCs w:val="22"/>
        </w:rPr>
        <w:t xml:space="preserve"> </w:t>
      </w:r>
      <w:r w:rsidR="00816DB9" w:rsidRPr="00263267">
        <w:rPr>
          <w:rFonts w:ascii="Garamond" w:hAnsi="Garamond"/>
          <w:color w:val="000000" w:themeColor="text1"/>
          <w:sz w:val="22"/>
          <w:szCs w:val="22"/>
        </w:rPr>
        <w:t xml:space="preserve">too close to the real estate sector. </w:t>
      </w:r>
      <w:r w:rsidRPr="00263267">
        <w:rPr>
          <w:rFonts w:ascii="Garamond" w:hAnsi="Garamond"/>
          <w:color w:val="000000" w:themeColor="text1"/>
          <w:sz w:val="22"/>
          <w:szCs w:val="22"/>
        </w:rPr>
        <w:t>The Planning Inspectorate, some local authorities, and civil society groups have become especially critical</w:t>
      </w:r>
      <w:r w:rsidR="001A19D8" w:rsidRPr="00263267">
        <w:rPr>
          <w:rFonts w:ascii="Garamond" w:hAnsi="Garamond"/>
          <w:color w:val="000000" w:themeColor="text1"/>
          <w:sz w:val="22"/>
          <w:szCs w:val="22"/>
        </w:rPr>
        <w:t>,</w:t>
      </w:r>
      <w:r w:rsidRPr="00263267">
        <w:rPr>
          <w:rFonts w:ascii="Garamond" w:hAnsi="Garamond"/>
          <w:color w:val="000000" w:themeColor="text1"/>
          <w:sz w:val="22"/>
          <w:szCs w:val="22"/>
        </w:rPr>
        <w:t xml:space="preserve"> seeing the RICS viability guidelines as </w:t>
      </w:r>
      <w:r w:rsidR="00BF65BD" w:rsidRPr="00263267">
        <w:rPr>
          <w:rFonts w:ascii="Garamond" w:hAnsi="Garamond"/>
          <w:color w:val="000000" w:themeColor="text1"/>
          <w:sz w:val="22"/>
          <w:szCs w:val="22"/>
        </w:rPr>
        <w:t>overly generous</w:t>
      </w:r>
      <w:r w:rsidRPr="00263267">
        <w:rPr>
          <w:rFonts w:ascii="Garamond" w:hAnsi="Garamond"/>
          <w:color w:val="000000" w:themeColor="text1"/>
          <w:sz w:val="22"/>
          <w:szCs w:val="22"/>
        </w:rPr>
        <w:t xml:space="preserve"> to developers and investors and therefore an important part of a wider ‘property lobby’</w:t>
      </w:r>
      <w:r w:rsidR="008F172B" w:rsidRPr="00263267">
        <w:rPr>
          <w:rFonts w:ascii="Garamond" w:hAnsi="Garamond"/>
          <w:color w:val="000000" w:themeColor="text1"/>
          <w:sz w:val="22"/>
          <w:szCs w:val="22"/>
        </w:rPr>
        <w:t xml:space="preserve"> (</w:t>
      </w:r>
      <w:proofErr w:type="spellStart"/>
      <w:r w:rsidR="008F172B" w:rsidRPr="00263267">
        <w:rPr>
          <w:rFonts w:ascii="Garamond" w:hAnsi="Garamond"/>
          <w:color w:val="000000" w:themeColor="text1"/>
          <w:sz w:val="22"/>
          <w:szCs w:val="22"/>
        </w:rPr>
        <w:t>Colenutt</w:t>
      </w:r>
      <w:proofErr w:type="spellEnd"/>
      <w:r w:rsidR="008F172B" w:rsidRPr="00263267">
        <w:rPr>
          <w:rFonts w:ascii="Garamond" w:hAnsi="Garamond"/>
          <w:color w:val="000000" w:themeColor="text1"/>
          <w:sz w:val="22"/>
          <w:szCs w:val="22"/>
        </w:rPr>
        <w:t>, 2020)</w:t>
      </w:r>
      <w:r w:rsidRPr="00263267">
        <w:rPr>
          <w:rFonts w:ascii="Garamond" w:hAnsi="Garamond"/>
          <w:color w:val="000000" w:themeColor="text1"/>
          <w:sz w:val="22"/>
          <w:szCs w:val="22"/>
        </w:rPr>
        <w:t xml:space="preserve">.  </w:t>
      </w:r>
      <w:r w:rsidR="00A60051" w:rsidRPr="00263267">
        <w:rPr>
          <w:rFonts w:ascii="Garamond" w:hAnsi="Garamond"/>
          <w:color w:val="000000" w:themeColor="text1"/>
          <w:sz w:val="22"/>
          <w:szCs w:val="22"/>
        </w:rPr>
        <w:t xml:space="preserve">Legal challenges have been made to its valuation codes, as though </w:t>
      </w:r>
      <w:r w:rsidR="006024FA">
        <w:rPr>
          <w:rFonts w:ascii="Garamond" w:hAnsi="Garamond"/>
          <w:color w:val="000000" w:themeColor="text1"/>
          <w:sz w:val="22"/>
          <w:szCs w:val="22"/>
        </w:rPr>
        <w:t>the codes themselves</w:t>
      </w:r>
      <w:r w:rsidR="006024FA" w:rsidRPr="00263267">
        <w:rPr>
          <w:rFonts w:ascii="Garamond" w:hAnsi="Garamond"/>
          <w:color w:val="000000" w:themeColor="text1"/>
          <w:sz w:val="22"/>
          <w:szCs w:val="22"/>
        </w:rPr>
        <w:t xml:space="preserve"> </w:t>
      </w:r>
      <w:r w:rsidR="00A60051" w:rsidRPr="00263267">
        <w:rPr>
          <w:rFonts w:ascii="Garamond" w:hAnsi="Garamond"/>
          <w:color w:val="000000" w:themeColor="text1"/>
          <w:sz w:val="22"/>
          <w:szCs w:val="22"/>
        </w:rPr>
        <w:t>are representative of government regulation, rather than</w:t>
      </w:r>
      <w:r w:rsidR="006024FA">
        <w:rPr>
          <w:rFonts w:ascii="Garamond" w:hAnsi="Garamond"/>
          <w:color w:val="000000" w:themeColor="text1"/>
          <w:sz w:val="22"/>
          <w:szCs w:val="22"/>
        </w:rPr>
        <w:t xml:space="preserve"> acting only as</w:t>
      </w:r>
      <w:r w:rsidR="00A60051" w:rsidRPr="00263267">
        <w:rPr>
          <w:rFonts w:ascii="Garamond" w:hAnsi="Garamond"/>
          <w:color w:val="000000" w:themeColor="text1"/>
          <w:sz w:val="22"/>
          <w:szCs w:val="22"/>
        </w:rPr>
        <w:t xml:space="preserve"> independent guidelines</w:t>
      </w:r>
      <w:r w:rsidR="006024FA">
        <w:rPr>
          <w:rFonts w:ascii="Garamond" w:hAnsi="Garamond"/>
          <w:color w:val="000000" w:themeColor="text1"/>
          <w:sz w:val="22"/>
          <w:szCs w:val="22"/>
        </w:rPr>
        <w:t xml:space="preserve"> for good practice</w:t>
      </w:r>
      <w:r w:rsidR="00A60051" w:rsidRPr="00263267">
        <w:rPr>
          <w:rFonts w:ascii="Garamond" w:hAnsi="Garamond"/>
          <w:color w:val="000000" w:themeColor="text1"/>
          <w:sz w:val="22"/>
          <w:szCs w:val="22"/>
        </w:rPr>
        <w:t xml:space="preserve">. </w:t>
      </w:r>
      <w:r w:rsidRPr="00263267">
        <w:rPr>
          <w:rFonts w:ascii="Garamond" w:hAnsi="Garamond"/>
          <w:color w:val="000000" w:themeColor="text1"/>
          <w:sz w:val="22"/>
          <w:szCs w:val="22"/>
        </w:rPr>
        <w:t>In two landmark cases, one in Islington, London and another in Reading,</w:t>
      </w:r>
      <w:r w:rsidR="006024FA">
        <w:rPr>
          <w:rFonts w:ascii="Garamond" w:hAnsi="Garamond"/>
          <w:color w:val="000000" w:themeColor="text1"/>
          <w:sz w:val="22"/>
          <w:szCs w:val="22"/>
        </w:rPr>
        <w:t xml:space="preserve"> in the South East of England,</w:t>
      </w:r>
      <w:r w:rsidRPr="00263267">
        <w:rPr>
          <w:rFonts w:ascii="Garamond" w:hAnsi="Garamond"/>
          <w:color w:val="000000" w:themeColor="text1"/>
          <w:sz w:val="22"/>
          <w:szCs w:val="22"/>
        </w:rPr>
        <w:t xml:space="preserve"> RICS</w:t>
      </w:r>
      <w:r w:rsidR="006024FA">
        <w:rPr>
          <w:rFonts w:ascii="Garamond" w:hAnsi="Garamond"/>
          <w:color w:val="000000" w:themeColor="text1"/>
          <w:sz w:val="22"/>
          <w:szCs w:val="22"/>
        </w:rPr>
        <w:t>’</w:t>
      </w:r>
      <w:r w:rsidRPr="00263267">
        <w:rPr>
          <w:rFonts w:ascii="Garamond" w:hAnsi="Garamond"/>
          <w:color w:val="000000" w:themeColor="text1"/>
          <w:sz w:val="22"/>
          <w:szCs w:val="22"/>
        </w:rPr>
        <w:t xml:space="preserve"> </w:t>
      </w:r>
      <w:r w:rsidR="001A19D8" w:rsidRPr="00B9259C">
        <w:rPr>
          <w:rFonts w:ascii="Garamond" w:hAnsi="Garamond"/>
          <w:i/>
          <w:color w:val="000000" w:themeColor="text1"/>
          <w:sz w:val="22"/>
          <w:szCs w:val="22"/>
        </w:rPr>
        <w:t>Guidance Note 2012</w:t>
      </w:r>
      <w:r w:rsidRPr="00263267">
        <w:rPr>
          <w:rFonts w:ascii="Garamond" w:hAnsi="Garamond"/>
          <w:color w:val="000000" w:themeColor="text1"/>
          <w:sz w:val="22"/>
          <w:szCs w:val="22"/>
        </w:rPr>
        <w:t xml:space="preserve"> </w:t>
      </w:r>
      <w:r w:rsidR="006024FA">
        <w:rPr>
          <w:rFonts w:ascii="Garamond" w:hAnsi="Garamond"/>
          <w:color w:val="000000" w:themeColor="text1"/>
          <w:sz w:val="22"/>
          <w:szCs w:val="22"/>
        </w:rPr>
        <w:t xml:space="preserve">on valuation and planning reform </w:t>
      </w:r>
      <w:r w:rsidRPr="00263267">
        <w:rPr>
          <w:rFonts w:ascii="Garamond" w:hAnsi="Garamond"/>
          <w:color w:val="000000" w:themeColor="text1"/>
          <w:sz w:val="22"/>
          <w:szCs w:val="22"/>
        </w:rPr>
        <w:t>w</w:t>
      </w:r>
      <w:r w:rsidR="001A19D8" w:rsidRPr="00263267">
        <w:rPr>
          <w:rFonts w:ascii="Garamond" w:hAnsi="Garamond"/>
          <w:color w:val="000000" w:themeColor="text1"/>
          <w:sz w:val="22"/>
          <w:szCs w:val="22"/>
        </w:rPr>
        <w:t>as</w:t>
      </w:r>
      <w:r w:rsidRPr="00263267">
        <w:rPr>
          <w:rFonts w:ascii="Garamond" w:hAnsi="Garamond"/>
          <w:color w:val="000000" w:themeColor="text1"/>
          <w:sz w:val="22"/>
          <w:szCs w:val="22"/>
        </w:rPr>
        <w:t xml:space="preserve"> criticised by judicial authorities, for being too favourable to landowners and for failing to stipulate reasonable amounts of affordable housing to meet local needs </w:t>
      </w:r>
      <w:r w:rsidRPr="00263267">
        <w:rPr>
          <w:rFonts w:ascii="Garamond" w:hAnsi="Garamond"/>
          <w:color w:val="000000" w:themeColor="text1"/>
          <w:sz w:val="22"/>
          <w:szCs w:val="22"/>
        </w:rPr>
        <w:fldChar w:fldCharType="begin"/>
      </w:r>
      <w:r w:rsidR="00270F18">
        <w:rPr>
          <w:rFonts w:ascii="Garamond" w:hAnsi="Garamond"/>
          <w:color w:val="000000" w:themeColor="text1"/>
          <w:sz w:val="22"/>
          <w:szCs w:val="22"/>
        </w:rPr>
        <w:instrText xml:space="preserve"> ADDIN ZOTERO_ITEM CSL_CITATION {"citationID":"wTnxbAMT","properties":{"formattedCitation":"(Crosby, 2019; Mulhall, 2016)","plainCitation":"(Crosby, 2019; Mulhall, 2016)","noteIndex":0},"citationItems":[{"id":872,"uris":["http://zotero.org/groups/2307100/items/UMTR63AG"],"uri":["http://zotero.org/groups/2307100/items/UMTR63AG"],"itemData":{"id":872,"type":"article-journal","abstract":"This paper constructs a hypothetical case study based around the benchmark land value assessments within the landmark Parkhurst Road, London, case decided in the High Court in April 2018. It attempts to illustrate how developers were gaming the system and how the 2014 Planning Practice Guidance aided them to do that. The discussion centres on the extent to which new 2018 National Planning Guidance has addressed the identified flaws and what additional changes might be needed to that guidance to solve any outstanding problems.","container-title":"Town Planning Review","ISSN":"0041-0020","issue":"4","journalAbbreviation":"Town Planning Review","page":"407-428","source":"online.liverpooluniversitypress.co.uk (Atypon)","title":"Development viability assessment and the provision of affordable housing: a game of ‘pass the parcel’?","title-short":"Development viability assessment and the provision of affordable housing","volume":"90","author":[{"family":"Crosby","given":"Neil"}],"issued":{"date-parts":[["2019",6,1]]}}},{"id":3115,"uris":["http://zotero.org/groups/2307100/items/3A7YENHB"],"uri":["http://zotero.org/groups/2307100/items/3A7YENHB"],"itemData":{"id":3115,"type":"article","publisher":"RICS Land Journal, March-April, RICS: London","title":"Home Truths","author":[{"family":"Mulhall","given":"Tony"}],"issued":{"date-parts":[["2016"]]}}}],"schema":"https://github.com/citation-style-language/schema/raw/master/csl-citation.json"} </w:instrText>
      </w:r>
      <w:r w:rsidRPr="00263267">
        <w:rPr>
          <w:rFonts w:ascii="Garamond" w:hAnsi="Garamond"/>
          <w:color w:val="000000" w:themeColor="text1"/>
          <w:sz w:val="22"/>
          <w:szCs w:val="22"/>
        </w:rPr>
        <w:fldChar w:fldCharType="separate"/>
      </w:r>
      <w:r w:rsidRPr="00263267">
        <w:rPr>
          <w:rFonts w:ascii="Garamond" w:hAnsi="Garamond"/>
          <w:noProof/>
          <w:color w:val="000000" w:themeColor="text1"/>
          <w:sz w:val="22"/>
          <w:szCs w:val="22"/>
        </w:rPr>
        <w:t>(Crosby, 2019; Mulhall, 2016)</w:t>
      </w:r>
      <w:r w:rsidRPr="00263267">
        <w:rPr>
          <w:rFonts w:ascii="Garamond" w:hAnsi="Garamond"/>
          <w:color w:val="000000" w:themeColor="text1"/>
          <w:sz w:val="22"/>
          <w:szCs w:val="22"/>
        </w:rPr>
        <w:fldChar w:fldCharType="end"/>
      </w:r>
      <w:r w:rsidRPr="00263267">
        <w:rPr>
          <w:rFonts w:ascii="Garamond" w:hAnsi="Garamond"/>
          <w:color w:val="000000" w:themeColor="text1"/>
          <w:sz w:val="22"/>
          <w:szCs w:val="22"/>
        </w:rPr>
        <w:t xml:space="preserve">.  In its judgement on the Islington case, the </w:t>
      </w:r>
      <w:r w:rsidR="00A60051" w:rsidRPr="00263267">
        <w:rPr>
          <w:rFonts w:ascii="Garamond" w:hAnsi="Garamond" w:cs="TimesNewRomanPSMT"/>
          <w:sz w:val="22"/>
          <w:szCs w:val="22"/>
        </w:rPr>
        <w:fldChar w:fldCharType="begin"/>
      </w:r>
      <w:r w:rsidR="00270F18">
        <w:rPr>
          <w:rFonts w:ascii="Garamond" w:hAnsi="Garamond" w:cs="TimesNewRomanPSMT"/>
          <w:sz w:val="22"/>
          <w:szCs w:val="22"/>
        </w:rPr>
        <w:instrText xml:space="preserve"> ADDIN ZOTERO_ITEM CSL_CITATION {"citationID":"NLx6mPxR","properties":{"formattedCitation":"(High Court, 2018)","plainCitation":"(High Court, 2018)","dontUpdate":true,"noteIndex":0},"citationItems":[{"id":3180,"uris":["http://zotero.org/groups/2307100/items/6AZAFM3Y"],"uri":["http://zotero.org/groups/2307100/items/6AZAFM3Y"],"itemData":{"id":3180,"type":"article","publisher":"High Court of Justice: London","title":"Case Between: Parkhurst Road Limited - and - Secretary of State for Communities and Local Government and The Council of the London Borough of Islington No: CO/3528/2017","author":[{"family":"High Court","given":""}],"issued":{"date-parts":[["2018"]]}}}],"schema":"https://github.com/citation-style-language/schema/raw/master/csl-citation.json"} </w:instrText>
      </w:r>
      <w:r w:rsidR="00A60051" w:rsidRPr="00263267">
        <w:rPr>
          <w:rFonts w:ascii="Garamond" w:hAnsi="Garamond" w:cs="TimesNewRomanPSMT"/>
          <w:sz w:val="22"/>
          <w:szCs w:val="22"/>
        </w:rPr>
        <w:fldChar w:fldCharType="separate"/>
      </w:r>
      <w:r w:rsidR="00A60051" w:rsidRPr="00263267">
        <w:rPr>
          <w:rFonts w:ascii="Garamond" w:hAnsi="Garamond" w:cs="TimesNewRomanPSMT"/>
          <w:noProof/>
          <w:sz w:val="22"/>
          <w:szCs w:val="22"/>
        </w:rPr>
        <w:t>High Court (2018)</w:t>
      </w:r>
      <w:r w:rsidR="00A60051" w:rsidRPr="00263267">
        <w:rPr>
          <w:rFonts w:ascii="Garamond" w:hAnsi="Garamond" w:cs="TimesNewRomanPSMT"/>
          <w:sz w:val="22"/>
          <w:szCs w:val="22"/>
        </w:rPr>
        <w:fldChar w:fldCharType="end"/>
      </w:r>
      <w:r w:rsidRPr="00263267">
        <w:rPr>
          <w:rFonts w:ascii="Garamond" w:hAnsi="Garamond"/>
          <w:color w:val="000000" w:themeColor="text1"/>
          <w:sz w:val="22"/>
          <w:szCs w:val="22"/>
        </w:rPr>
        <w:t xml:space="preserve"> made clear</w:t>
      </w:r>
      <w:r w:rsidR="00A60051" w:rsidRPr="00263267">
        <w:rPr>
          <w:rFonts w:ascii="Garamond" w:hAnsi="Garamond"/>
          <w:color w:val="000000" w:themeColor="text1"/>
          <w:sz w:val="22"/>
          <w:szCs w:val="22"/>
        </w:rPr>
        <w:t xml:space="preserve"> for instance</w:t>
      </w:r>
      <w:r w:rsidRPr="00263267">
        <w:rPr>
          <w:rFonts w:ascii="Garamond" w:hAnsi="Garamond"/>
          <w:color w:val="000000" w:themeColor="text1"/>
          <w:sz w:val="22"/>
          <w:szCs w:val="22"/>
        </w:rPr>
        <w:t xml:space="preserve"> that </w:t>
      </w:r>
      <w:r w:rsidR="00BF65BD" w:rsidRPr="00263267">
        <w:rPr>
          <w:rFonts w:ascii="Garamond" w:hAnsi="Garamond"/>
          <w:color w:val="000000" w:themeColor="text1"/>
          <w:sz w:val="22"/>
          <w:szCs w:val="22"/>
        </w:rPr>
        <w:t xml:space="preserve">the  Note </w:t>
      </w:r>
      <w:r w:rsidRPr="00263267">
        <w:rPr>
          <w:rFonts w:ascii="Garamond" w:hAnsi="Garamond"/>
          <w:color w:val="000000" w:themeColor="text1"/>
          <w:sz w:val="22"/>
          <w:szCs w:val="22"/>
        </w:rPr>
        <w:t>was an essential frame of reference ‘</w:t>
      </w:r>
      <w:r w:rsidRPr="00263267">
        <w:rPr>
          <w:rFonts w:ascii="Garamond" w:hAnsi="Garamond" w:cs="TimesNewRomanPSMT"/>
          <w:i/>
          <w:sz w:val="22"/>
          <w:szCs w:val="22"/>
        </w:rPr>
        <w:t>because it has been relied upon in certain planning policy documents</w:t>
      </w:r>
      <w:r w:rsidRPr="00263267">
        <w:rPr>
          <w:rFonts w:ascii="Garamond" w:hAnsi="Garamond" w:cs="TimesNewRomanPSMT"/>
          <w:sz w:val="22"/>
          <w:szCs w:val="22"/>
        </w:rPr>
        <w:t xml:space="preserve">’ </w:t>
      </w:r>
      <w:r w:rsidR="00A60051" w:rsidRPr="00263267">
        <w:rPr>
          <w:rFonts w:ascii="Garamond" w:hAnsi="Garamond" w:cs="TimesNewRomanPSMT"/>
          <w:sz w:val="22"/>
          <w:szCs w:val="22"/>
        </w:rPr>
        <w:t xml:space="preserve">(p.14) </w:t>
      </w:r>
      <w:r w:rsidRPr="00263267">
        <w:rPr>
          <w:rFonts w:ascii="Garamond" w:hAnsi="Garamond" w:cs="TimesNewRomanPSMT"/>
          <w:sz w:val="22"/>
          <w:szCs w:val="22"/>
        </w:rPr>
        <w:t xml:space="preserve">relating to the case.  </w:t>
      </w:r>
      <w:r w:rsidR="00816DB9" w:rsidRPr="00263267">
        <w:rPr>
          <w:rFonts w:ascii="Garamond" w:hAnsi="Garamond" w:cs="TimesNewRomanPSMT"/>
          <w:sz w:val="22"/>
          <w:szCs w:val="22"/>
        </w:rPr>
        <w:t>The Court</w:t>
      </w:r>
      <w:r w:rsidRPr="00263267">
        <w:rPr>
          <w:rFonts w:ascii="Garamond" w:hAnsi="Garamond" w:cs="TimesNewRomanPSMT"/>
          <w:sz w:val="22"/>
          <w:szCs w:val="22"/>
        </w:rPr>
        <w:t xml:space="preserve"> criticised ambiguities and called for ‘</w:t>
      </w:r>
      <w:r w:rsidRPr="00263267">
        <w:rPr>
          <w:rFonts w:ascii="Garamond" w:hAnsi="Garamond" w:cs="TimesNewRomanPSMT"/>
          <w:i/>
          <w:sz w:val="22"/>
          <w:szCs w:val="22"/>
        </w:rPr>
        <w:t>an opportune moment…for the RICS to consider revisiting the 2012 Guidance Note, perhaps in conjunction with MHCLG and the RTPI, in order to address any misunderstandings about market valuation concepts and techniques, the "circularity" issue and any other problems encountered in practice over the last 6 years</w:t>
      </w:r>
      <w:r w:rsidRPr="00263267">
        <w:rPr>
          <w:rFonts w:ascii="Garamond" w:hAnsi="Garamond" w:cs="TimesNewRomanPSMT"/>
          <w:sz w:val="22"/>
          <w:szCs w:val="22"/>
        </w:rPr>
        <w:t>’ (p.36).  Rather than addressing concerns directly to central government regulators</w:t>
      </w:r>
      <w:r w:rsidR="00816DB9" w:rsidRPr="00263267">
        <w:rPr>
          <w:rFonts w:ascii="Garamond" w:hAnsi="Garamond" w:cs="TimesNewRomanPSMT"/>
          <w:sz w:val="22"/>
          <w:szCs w:val="22"/>
        </w:rPr>
        <w:t>,</w:t>
      </w:r>
      <w:r w:rsidRPr="00263267">
        <w:rPr>
          <w:rFonts w:ascii="Garamond" w:hAnsi="Garamond" w:cs="TimesNewRomanPSMT"/>
          <w:sz w:val="22"/>
          <w:szCs w:val="22"/>
        </w:rPr>
        <w:t xml:space="preserve"> RICS was asked to act as the co-ordinator of </w:t>
      </w:r>
      <w:r w:rsidR="00A60051" w:rsidRPr="00263267">
        <w:rPr>
          <w:rFonts w:ascii="Garamond" w:hAnsi="Garamond" w:cs="TimesNewRomanPSMT"/>
          <w:sz w:val="22"/>
          <w:szCs w:val="22"/>
        </w:rPr>
        <w:t>meaningful regulation</w:t>
      </w:r>
      <w:r w:rsidRPr="00263267">
        <w:rPr>
          <w:rFonts w:ascii="Garamond" w:hAnsi="Garamond" w:cs="TimesNewRomanPSMT"/>
          <w:sz w:val="22"/>
          <w:szCs w:val="22"/>
        </w:rPr>
        <w:t>. In response</w:t>
      </w:r>
      <w:r w:rsidR="000F310E">
        <w:rPr>
          <w:rFonts w:ascii="Garamond" w:hAnsi="Garamond" w:cs="TimesNewRomanPSMT"/>
          <w:sz w:val="22"/>
          <w:szCs w:val="22"/>
        </w:rPr>
        <w:t>,</w:t>
      </w:r>
      <w:r w:rsidRPr="00263267">
        <w:rPr>
          <w:rFonts w:ascii="Garamond" w:hAnsi="Garamond" w:cs="TimesNewRomanPSMT"/>
          <w:sz w:val="22"/>
          <w:szCs w:val="22"/>
        </w:rPr>
        <w:t xml:space="preserve"> RICS has launched an on-going consultation over how </w:t>
      </w:r>
      <w:r w:rsidRPr="00263267">
        <w:rPr>
          <w:rFonts w:ascii="Garamond" w:hAnsi="Garamond" w:cs="TimesNewRomanPSMT"/>
          <w:i/>
          <w:sz w:val="22"/>
          <w:szCs w:val="22"/>
        </w:rPr>
        <w:t xml:space="preserve">it </w:t>
      </w:r>
      <w:r w:rsidRPr="00263267">
        <w:rPr>
          <w:rFonts w:ascii="Garamond" w:hAnsi="Garamond" w:cs="TimesNewRomanPSMT"/>
          <w:sz w:val="22"/>
          <w:szCs w:val="22"/>
        </w:rPr>
        <w:t xml:space="preserve">should amend its own </w:t>
      </w:r>
      <w:r w:rsidR="00A60051" w:rsidRPr="00263267">
        <w:rPr>
          <w:rFonts w:ascii="Garamond" w:hAnsi="Garamond" w:cs="TimesNewRomanPSMT"/>
          <w:sz w:val="22"/>
          <w:szCs w:val="22"/>
        </w:rPr>
        <w:t>guidance</w:t>
      </w:r>
      <w:r w:rsidR="000F310E">
        <w:rPr>
          <w:rFonts w:ascii="Garamond" w:hAnsi="Garamond" w:cs="TimesNewRomanPSMT"/>
          <w:sz w:val="22"/>
          <w:szCs w:val="22"/>
        </w:rPr>
        <w:t xml:space="preserve"> and shape the future implementation of planning policies</w:t>
      </w:r>
      <w:r w:rsidR="008B0AAF">
        <w:rPr>
          <w:rFonts w:ascii="Garamond" w:hAnsi="Garamond" w:cs="TimesNewRomanPSMT"/>
          <w:sz w:val="22"/>
          <w:szCs w:val="22"/>
        </w:rPr>
        <w:t>, exemplifying the liquidity of its position.</w:t>
      </w:r>
    </w:p>
    <w:p w14:paraId="7242D1E4" w14:textId="748643E5" w:rsidR="000C4702" w:rsidRPr="00263267" w:rsidRDefault="000C4702" w:rsidP="006D08D9">
      <w:pPr>
        <w:spacing w:line="276" w:lineRule="auto"/>
        <w:ind w:right="-52"/>
        <w:jc w:val="both"/>
        <w:rPr>
          <w:rFonts w:ascii="Garamond" w:hAnsi="Garamond" w:cs="Calibri"/>
          <w:color w:val="000000" w:themeColor="text1"/>
          <w:sz w:val="22"/>
          <w:szCs w:val="22"/>
        </w:rPr>
      </w:pPr>
    </w:p>
    <w:p w14:paraId="5DE79835" w14:textId="42E8E842" w:rsidR="00816DB9" w:rsidRPr="00263267" w:rsidRDefault="00816DB9" w:rsidP="006D08D9">
      <w:pPr>
        <w:spacing w:line="276" w:lineRule="auto"/>
        <w:ind w:right="-52"/>
        <w:jc w:val="both"/>
        <w:rPr>
          <w:rFonts w:ascii="Garamond" w:hAnsi="Garamond" w:cs="Calibri"/>
          <w:i/>
          <w:color w:val="000000" w:themeColor="text1"/>
          <w:sz w:val="22"/>
          <w:szCs w:val="22"/>
        </w:rPr>
      </w:pPr>
      <w:r w:rsidRPr="00263267">
        <w:rPr>
          <w:rFonts w:ascii="Garamond" w:hAnsi="Garamond" w:cs="Calibri"/>
          <w:i/>
          <w:color w:val="000000" w:themeColor="text1"/>
          <w:sz w:val="22"/>
          <w:szCs w:val="22"/>
        </w:rPr>
        <w:t>Planning for the Future and Further Reform</w:t>
      </w:r>
    </w:p>
    <w:p w14:paraId="10410574" w14:textId="6C48A4BA" w:rsidR="00CD58D3" w:rsidRPr="00263267" w:rsidRDefault="009B41AA" w:rsidP="006D08D9">
      <w:pPr>
        <w:spacing w:line="276" w:lineRule="auto"/>
        <w:ind w:right="-52"/>
        <w:jc w:val="both"/>
        <w:rPr>
          <w:rFonts w:ascii="Garamond" w:eastAsia="Times New Roman" w:hAnsi="Garamond" w:cs="Times New Roman"/>
          <w:sz w:val="22"/>
          <w:szCs w:val="22"/>
        </w:rPr>
      </w:pPr>
      <w:r w:rsidRPr="00263267">
        <w:rPr>
          <w:rFonts w:ascii="Garamond" w:hAnsi="Garamond"/>
          <w:color w:val="000000" w:themeColor="text1"/>
          <w:sz w:val="22"/>
          <w:szCs w:val="22"/>
        </w:rPr>
        <w:t>At</w:t>
      </w:r>
      <w:r w:rsidR="00CD58D3" w:rsidRPr="00263267">
        <w:rPr>
          <w:rFonts w:ascii="Garamond" w:hAnsi="Garamond"/>
          <w:color w:val="000000" w:themeColor="text1"/>
          <w:sz w:val="22"/>
          <w:szCs w:val="22"/>
        </w:rPr>
        <w:t xml:space="preserve"> the time of writing, both organisations are facing new challenges as central government adopts an even more transformative approach to the regulation of the planning system across England.  Its </w:t>
      </w:r>
      <w:r w:rsidR="00CD58D3" w:rsidRPr="00263267">
        <w:rPr>
          <w:rFonts w:ascii="Garamond" w:hAnsi="Garamond"/>
          <w:i/>
          <w:color w:val="000000" w:themeColor="text1"/>
          <w:sz w:val="22"/>
          <w:szCs w:val="22"/>
        </w:rPr>
        <w:t xml:space="preserve">Planning for the Future </w:t>
      </w:r>
      <w:r w:rsidR="00CD58D3" w:rsidRPr="00263267">
        <w:rPr>
          <w:rFonts w:ascii="Garamond" w:hAnsi="Garamond"/>
          <w:color w:val="000000" w:themeColor="text1"/>
          <w:sz w:val="22"/>
          <w:szCs w:val="22"/>
        </w:rPr>
        <w:t>White paper</w:t>
      </w:r>
      <w:r w:rsidR="00BF65BD" w:rsidRPr="00263267">
        <w:rPr>
          <w:rFonts w:ascii="Garamond" w:hAnsi="Garamond"/>
          <w:color w:val="000000" w:themeColor="text1"/>
          <w:sz w:val="22"/>
          <w:szCs w:val="22"/>
        </w:rPr>
        <w:t>,</w:t>
      </w:r>
      <w:r w:rsidR="00CD58D3" w:rsidRPr="00263267">
        <w:rPr>
          <w:rFonts w:ascii="Garamond" w:hAnsi="Garamond"/>
          <w:color w:val="000000" w:themeColor="text1"/>
          <w:sz w:val="22"/>
          <w:szCs w:val="22"/>
        </w:rPr>
        <w:t xml:space="preserve"> </w:t>
      </w:r>
      <w:r w:rsidR="00A60051" w:rsidRPr="00263267">
        <w:rPr>
          <w:rFonts w:ascii="Garamond" w:hAnsi="Garamond"/>
          <w:color w:val="000000" w:themeColor="text1"/>
          <w:sz w:val="22"/>
          <w:szCs w:val="22"/>
        </w:rPr>
        <w:t xml:space="preserve">published </w:t>
      </w:r>
      <w:r w:rsidR="00CD58D3" w:rsidRPr="00263267">
        <w:rPr>
          <w:rFonts w:ascii="Garamond" w:hAnsi="Garamond"/>
          <w:color w:val="000000" w:themeColor="text1"/>
          <w:sz w:val="22"/>
          <w:szCs w:val="22"/>
        </w:rPr>
        <w:t xml:space="preserve">in </w:t>
      </w:r>
      <w:r w:rsidR="00A60051" w:rsidRPr="00263267">
        <w:rPr>
          <w:rFonts w:ascii="Garamond" w:hAnsi="Garamond"/>
          <w:color w:val="000000" w:themeColor="text1"/>
          <w:sz w:val="22"/>
          <w:szCs w:val="22"/>
        </w:rPr>
        <w:t>August</w:t>
      </w:r>
      <w:r w:rsidR="00CD58D3" w:rsidRPr="00263267">
        <w:rPr>
          <w:rFonts w:ascii="Garamond" w:hAnsi="Garamond"/>
          <w:color w:val="000000" w:themeColor="text1"/>
          <w:sz w:val="22"/>
          <w:szCs w:val="22"/>
        </w:rPr>
        <w:t xml:space="preserve"> 2020</w:t>
      </w:r>
      <w:r w:rsidR="00BF65BD" w:rsidRPr="00263267">
        <w:rPr>
          <w:rFonts w:ascii="Garamond" w:hAnsi="Garamond"/>
          <w:color w:val="000000" w:themeColor="text1"/>
          <w:sz w:val="22"/>
          <w:szCs w:val="22"/>
        </w:rPr>
        <w:t>,</w:t>
      </w:r>
      <w:r w:rsidR="00CD58D3" w:rsidRPr="00263267">
        <w:rPr>
          <w:rFonts w:ascii="Garamond" w:hAnsi="Garamond"/>
          <w:color w:val="000000" w:themeColor="text1"/>
          <w:sz w:val="22"/>
          <w:szCs w:val="22"/>
        </w:rPr>
        <w:t xml:space="preserve"> places additional emphasis on measurements of</w:t>
      </w:r>
      <w:r w:rsidR="000F310E">
        <w:rPr>
          <w:rFonts w:ascii="Garamond" w:hAnsi="Garamond"/>
          <w:color w:val="000000" w:themeColor="text1"/>
          <w:sz w:val="22"/>
          <w:szCs w:val="22"/>
        </w:rPr>
        <w:t xml:space="preserve"> quantitative, economic </w:t>
      </w:r>
      <w:r w:rsidR="00CD58D3" w:rsidRPr="00263267">
        <w:rPr>
          <w:rFonts w:ascii="Garamond" w:hAnsi="Garamond"/>
          <w:color w:val="000000" w:themeColor="text1"/>
          <w:sz w:val="22"/>
          <w:szCs w:val="22"/>
        </w:rPr>
        <w:t>‘value’</w:t>
      </w:r>
      <w:r w:rsidR="00CD58D3" w:rsidRPr="00263267">
        <w:rPr>
          <w:rFonts w:ascii="Garamond" w:eastAsia="Times New Roman" w:hAnsi="Garamond" w:cs="Times New Roman"/>
          <w:sz w:val="22"/>
          <w:szCs w:val="22"/>
        </w:rPr>
        <w:t xml:space="preserve"> and whilst it does not refer to RICS directly, the type of professional knowledge and </w:t>
      </w:r>
      <w:r w:rsidR="00CD58D3" w:rsidRPr="00263267">
        <w:rPr>
          <w:rFonts w:ascii="Garamond" w:eastAsia="Times New Roman" w:hAnsi="Garamond" w:cs="Times New Roman"/>
          <w:sz w:val="22"/>
          <w:szCs w:val="22"/>
        </w:rPr>
        <w:lastRenderedPageBreak/>
        <w:t>metrics that the organisation possesses are central to the reforms</w:t>
      </w:r>
      <w:r w:rsidR="000F310E">
        <w:rPr>
          <w:rFonts w:ascii="Garamond" w:eastAsia="Times New Roman" w:hAnsi="Garamond" w:cs="Times New Roman"/>
          <w:sz w:val="22"/>
          <w:szCs w:val="22"/>
        </w:rPr>
        <w:t>.</w:t>
      </w:r>
      <w:r w:rsidR="00CD58D3" w:rsidRPr="00263267">
        <w:rPr>
          <w:rFonts w:ascii="Garamond" w:eastAsia="Times New Roman" w:hAnsi="Garamond" w:cs="Times New Roman"/>
          <w:sz w:val="22"/>
          <w:szCs w:val="22"/>
        </w:rPr>
        <w:t xml:space="preserve"> </w:t>
      </w:r>
      <w:r w:rsidR="000F310E">
        <w:rPr>
          <w:rFonts w:ascii="Garamond" w:eastAsia="Times New Roman" w:hAnsi="Garamond" w:cs="Times New Roman"/>
          <w:sz w:val="22"/>
          <w:szCs w:val="22"/>
        </w:rPr>
        <w:t>F</w:t>
      </w:r>
      <w:r w:rsidR="00CD58D3" w:rsidRPr="00263267">
        <w:rPr>
          <w:rFonts w:ascii="Garamond" w:eastAsia="Times New Roman" w:hAnsi="Garamond" w:cs="Times New Roman"/>
          <w:sz w:val="22"/>
          <w:szCs w:val="22"/>
        </w:rPr>
        <w:t>or example</w:t>
      </w:r>
      <w:r w:rsidR="000F310E">
        <w:rPr>
          <w:rFonts w:ascii="Garamond" w:eastAsia="Times New Roman" w:hAnsi="Garamond" w:cs="Times New Roman"/>
          <w:sz w:val="22"/>
          <w:szCs w:val="22"/>
        </w:rPr>
        <w:t>,</w:t>
      </w:r>
      <w:r w:rsidR="00CD58D3" w:rsidRPr="00263267">
        <w:rPr>
          <w:rFonts w:ascii="Garamond" w:eastAsia="Times New Roman" w:hAnsi="Garamond" w:cs="Times New Roman"/>
          <w:sz w:val="22"/>
          <w:szCs w:val="22"/>
        </w:rPr>
        <w:t xml:space="preserve"> in</w:t>
      </w:r>
      <w:r w:rsidR="000F310E">
        <w:rPr>
          <w:rFonts w:ascii="Garamond" w:eastAsia="Times New Roman" w:hAnsi="Garamond" w:cs="Times New Roman"/>
          <w:sz w:val="22"/>
          <w:szCs w:val="22"/>
        </w:rPr>
        <w:t xml:space="preserve"> some</w:t>
      </w:r>
      <w:r w:rsidR="00CD58D3" w:rsidRPr="00263267">
        <w:rPr>
          <w:rFonts w:ascii="Garamond" w:eastAsia="Times New Roman" w:hAnsi="Garamond" w:cs="Times New Roman"/>
          <w:sz w:val="22"/>
          <w:szCs w:val="22"/>
        </w:rPr>
        <w:t xml:space="preserve"> sections</w:t>
      </w:r>
      <w:r w:rsidR="000F310E">
        <w:rPr>
          <w:rFonts w:ascii="Garamond" w:eastAsia="Times New Roman" w:hAnsi="Garamond" w:cs="Times New Roman"/>
          <w:sz w:val="22"/>
          <w:szCs w:val="22"/>
        </w:rPr>
        <w:t xml:space="preserve"> the new proposals claim that</w:t>
      </w:r>
      <w:r w:rsidR="00CD58D3" w:rsidRPr="00263267">
        <w:rPr>
          <w:rFonts w:ascii="Garamond" w:eastAsia="Times New Roman" w:hAnsi="Garamond" w:cs="Times New Roman"/>
          <w:sz w:val="22"/>
          <w:szCs w:val="22"/>
        </w:rPr>
        <w:t>:</w:t>
      </w:r>
    </w:p>
    <w:p w14:paraId="6A6CB2E3" w14:textId="77777777" w:rsidR="00CD58D3" w:rsidRPr="00263267" w:rsidRDefault="00CD58D3" w:rsidP="006D08D9">
      <w:pPr>
        <w:spacing w:line="276" w:lineRule="auto"/>
        <w:ind w:right="-52"/>
        <w:jc w:val="both"/>
        <w:rPr>
          <w:rFonts w:ascii="Garamond" w:eastAsia="Times New Roman" w:hAnsi="Garamond" w:cs="Times New Roman"/>
          <w:sz w:val="22"/>
          <w:szCs w:val="22"/>
        </w:rPr>
      </w:pPr>
    </w:p>
    <w:p w14:paraId="0DBA2D93" w14:textId="518C7475" w:rsidR="00CD58D3" w:rsidRPr="00263267" w:rsidRDefault="00CD58D3" w:rsidP="006D08D9">
      <w:pPr>
        <w:spacing w:line="276" w:lineRule="auto"/>
        <w:ind w:right="-52"/>
        <w:jc w:val="both"/>
        <w:rPr>
          <w:rFonts w:ascii="Garamond" w:eastAsia="Times New Roman" w:hAnsi="Garamond" w:cs="Times New Roman"/>
          <w:sz w:val="22"/>
          <w:szCs w:val="22"/>
        </w:rPr>
      </w:pPr>
      <w:r w:rsidRPr="00263267">
        <w:rPr>
          <w:rFonts w:ascii="Garamond" w:eastAsia="Times New Roman" w:hAnsi="Garamond" w:cs="Times New Roman"/>
          <w:sz w:val="22"/>
          <w:szCs w:val="22"/>
        </w:rPr>
        <w:t>‘</w:t>
      </w:r>
      <w:r w:rsidRPr="00263267">
        <w:rPr>
          <w:rFonts w:ascii="Garamond" w:eastAsia="Times New Roman" w:hAnsi="Garamond" w:cs="Times New Roman"/>
          <w:i/>
          <w:sz w:val="22"/>
          <w:szCs w:val="22"/>
        </w:rPr>
        <w:t>The value captured will depend on a range of factors including the development value, the existing use value of the land, and the relevant tax structure – for instance, whether capital gains tax applies to the land sale. Increasing value capture could be an important source of infrastructure funding but would need to be balanced against risks to development viability</w:t>
      </w:r>
      <w:r w:rsidRPr="00263267">
        <w:rPr>
          <w:rFonts w:ascii="Garamond" w:eastAsia="Times New Roman" w:hAnsi="Garamond" w:cs="Times New Roman"/>
          <w:sz w:val="22"/>
          <w:szCs w:val="22"/>
        </w:rPr>
        <w:t xml:space="preserve">’ </w:t>
      </w:r>
      <w:r w:rsidRPr="00263267">
        <w:rPr>
          <w:rFonts w:ascii="Garamond" w:eastAsia="Times New Roman" w:hAnsi="Garamond" w:cs="Times New Roman"/>
          <w:sz w:val="22"/>
          <w:szCs w:val="22"/>
        </w:rPr>
        <w:fldChar w:fldCharType="begin"/>
      </w:r>
      <w:r w:rsidR="00270F18">
        <w:rPr>
          <w:rFonts w:ascii="Garamond" w:eastAsia="Times New Roman" w:hAnsi="Garamond" w:cs="Times New Roman"/>
          <w:sz w:val="22"/>
          <w:szCs w:val="22"/>
        </w:rPr>
        <w:instrText xml:space="preserve"> ADDIN ZOTERO_ITEM CSL_CITATION {"citationID":"1tpcTcYg","properties":{"formattedCitation":"(MHCLG, 2020)","plainCitation":"(MHCLG, 2020)","dontUpdate":true,"noteIndex":0},"citationItems":[{"id":3195,"uris":["http://zotero.org/groups/2307100/items/B9YPFYP2"],"uri":["http://zotero.org/groups/2307100/items/B9YPFYP2"],"itemData":{"id":3195,"type":"article","publisher":"HMSO: London","title":"Planning for the Future","author":[{"family":"MHCLG","given":""}],"issued":{"date-parts":[["2020"]]}}}],"schema":"https://github.com/citation-style-language/schema/raw/master/csl-citation.json"} </w:instrText>
      </w:r>
      <w:r w:rsidRPr="00263267">
        <w:rPr>
          <w:rFonts w:ascii="Garamond" w:eastAsia="Times New Roman" w:hAnsi="Garamond" w:cs="Times New Roman"/>
          <w:sz w:val="22"/>
          <w:szCs w:val="22"/>
        </w:rPr>
        <w:fldChar w:fldCharType="separate"/>
      </w:r>
      <w:r w:rsidRPr="00263267">
        <w:rPr>
          <w:rFonts w:ascii="Garamond" w:eastAsia="Times New Roman" w:hAnsi="Garamond" w:cs="Times New Roman"/>
          <w:noProof/>
          <w:sz w:val="22"/>
          <w:szCs w:val="22"/>
        </w:rPr>
        <w:t>(MHCLG, 2020: p.61)</w:t>
      </w:r>
      <w:r w:rsidRPr="00263267">
        <w:rPr>
          <w:rFonts w:ascii="Garamond" w:eastAsia="Times New Roman" w:hAnsi="Garamond" w:cs="Times New Roman"/>
          <w:sz w:val="22"/>
          <w:szCs w:val="22"/>
        </w:rPr>
        <w:fldChar w:fldCharType="end"/>
      </w:r>
      <w:r w:rsidRPr="00263267">
        <w:rPr>
          <w:rFonts w:ascii="Garamond" w:eastAsia="Times New Roman" w:hAnsi="Garamond" w:cs="Times New Roman"/>
          <w:sz w:val="22"/>
          <w:szCs w:val="22"/>
        </w:rPr>
        <w:t xml:space="preserve">. </w:t>
      </w:r>
    </w:p>
    <w:p w14:paraId="50232D7C" w14:textId="77777777" w:rsidR="00CD58D3" w:rsidRPr="00263267" w:rsidRDefault="00CD58D3" w:rsidP="006D08D9">
      <w:pPr>
        <w:spacing w:line="276" w:lineRule="auto"/>
        <w:ind w:right="-52"/>
        <w:jc w:val="both"/>
        <w:rPr>
          <w:rFonts w:ascii="Garamond" w:hAnsi="Garamond"/>
          <w:color w:val="000000" w:themeColor="text1"/>
          <w:sz w:val="22"/>
          <w:szCs w:val="22"/>
        </w:rPr>
      </w:pPr>
    </w:p>
    <w:p w14:paraId="5BF7DEA2" w14:textId="41620E54" w:rsidR="005C09BD" w:rsidRPr="00263267" w:rsidRDefault="005C09BD" w:rsidP="006D08D9">
      <w:pPr>
        <w:spacing w:line="276" w:lineRule="auto"/>
        <w:jc w:val="both"/>
        <w:rPr>
          <w:rFonts w:ascii="Garamond" w:eastAsia="Times New Roman" w:hAnsi="Garamond" w:cs="Times New Roman"/>
          <w:color w:val="000000" w:themeColor="text1"/>
          <w:sz w:val="22"/>
          <w:szCs w:val="22"/>
        </w:rPr>
      </w:pPr>
      <w:r w:rsidRPr="00263267">
        <w:rPr>
          <w:rFonts w:ascii="Garamond" w:hAnsi="Garamond"/>
          <w:color w:val="000000" w:themeColor="text1"/>
          <w:sz w:val="22"/>
          <w:szCs w:val="22"/>
        </w:rPr>
        <w:t xml:space="preserve">There are proposals for new forms of zoning that will be based on the writing of planning codes to shape what </w:t>
      </w:r>
      <w:r w:rsidR="00DA06F9" w:rsidRPr="00263267">
        <w:rPr>
          <w:rFonts w:ascii="Garamond" w:hAnsi="Garamond"/>
          <w:color w:val="000000" w:themeColor="text1"/>
          <w:sz w:val="22"/>
          <w:szCs w:val="22"/>
        </w:rPr>
        <w:t xml:space="preserve">and where </w:t>
      </w:r>
      <w:r w:rsidRPr="00263267">
        <w:rPr>
          <w:rFonts w:ascii="Garamond" w:hAnsi="Garamond"/>
          <w:color w:val="000000" w:themeColor="text1"/>
          <w:sz w:val="22"/>
          <w:szCs w:val="22"/>
        </w:rPr>
        <w:t xml:space="preserve">development is permitted.  For IOs, such reforms represent a threat to the wider existence of a </w:t>
      </w:r>
      <w:r w:rsidR="000F310E">
        <w:rPr>
          <w:rFonts w:ascii="Garamond" w:hAnsi="Garamond"/>
          <w:color w:val="000000" w:themeColor="text1"/>
          <w:sz w:val="22"/>
          <w:szCs w:val="22"/>
        </w:rPr>
        <w:t xml:space="preserve">publicly-oriented, rights-based </w:t>
      </w:r>
      <w:r w:rsidRPr="00263267">
        <w:rPr>
          <w:rFonts w:ascii="Garamond" w:hAnsi="Garamond"/>
          <w:color w:val="000000" w:themeColor="text1"/>
          <w:sz w:val="22"/>
          <w:szCs w:val="22"/>
        </w:rPr>
        <w:t>planning system (with severe repercussions for some members), whilst also opening up opportunities to apply their professional knowledge directly into future planning deliberations (to the benefit of others).</w:t>
      </w:r>
    </w:p>
    <w:p w14:paraId="51490193" w14:textId="77777777" w:rsidR="005C09BD" w:rsidRPr="00263267" w:rsidRDefault="005C09BD" w:rsidP="006D08D9">
      <w:pPr>
        <w:spacing w:line="276" w:lineRule="auto"/>
        <w:ind w:right="-52"/>
        <w:jc w:val="both"/>
        <w:rPr>
          <w:rFonts w:ascii="Garamond" w:hAnsi="Garamond"/>
          <w:color w:val="000000" w:themeColor="text1"/>
          <w:sz w:val="22"/>
          <w:szCs w:val="22"/>
        </w:rPr>
      </w:pPr>
    </w:p>
    <w:p w14:paraId="6C801240" w14:textId="0DF5F7F5" w:rsidR="00727D0C" w:rsidRPr="00263267" w:rsidRDefault="009B41AA" w:rsidP="006D08D9">
      <w:pPr>
        <w:spacing w:line="276" w:lineRule="auto"/>
        <w:ind w:right="-52"/>
        <w:jc w:val="both"/>
        <w:rPr>
          <w:rFonts w:ascii="Garamond" w:hAnsi="Garamond" w:cs="Calibri"/>
          <w:color w:val="000000" w:themeColor="text1"/>
          <w:sz w:val="22"/>
          <w:szCs w:val="22"/>
        </w:rPr>
      </w:pPr>
      <w:r w:rsidRPr="00263267">
        <w:rPr>
          <w:rFonts w:ascii="Garamond" w:hAnsi="Garamond"/>
          <w:color w:val="000000" w:themeColor="text1"/>
          <w:sz w:val="22"/>
          <w:szCs w:val="22"/>
        </w:rPr>
        <w:t>RTPI’s</w:t>
      </w:r>
      <w:r w:rsidR="00727D0C" w:rsidRPr="00263267">
        <w:rPr>
          <w:rFonts w:ascii="Garamond" w:hAnsi="Garamond"/>
          <w:color w:val="000000" w:themeColor="text1"/>
          <w:sz w:val="22"/>
          <w:szCs w:val="22"/>
        </w:rPr>
        <w:t xml:space="preserve"> response to </w:t>
      </w:r>
      <w:r w:rsidRPr="00263267">
        <w:rPr>
          <w:rFonts w:ascii="Garamond" w:hAnsi="Garamond"/>
          <w:color w:val="000000" w:themeColor="text1"/>
          <w:sz w:val="22"/>
          <w:szCs w:val="22"/>
        </w:rPr>
        <w:t>the</w:t>
      </w:r>
      <w:r w:rsidR="00727D0C" w:rsidRPr="00263267">
        <w:rPr>
          <w:rFonts w:ascii="Garamond" w:hAnsi="Garamond"/>
          <w:color w:val="000000" w:themeColor="text1"/>
          <w:sz w:val="22"/>
          <w:szCs w:val="22"/>
        </w:rPr>
        <w:t xml:space="preserve"> proposals</w:t>
      </w:r>
      <w:r w:rsidRPr="00263267">
        <w:rPr>
          <w:rFonts w:ascii="Garamond" w:hAnsi="Garamond"/>
          <w:color w:val="000000" w:themeColor="text1"/>
          <w:sz w:val="22"/>
          <w:szCs w:val="22"/>
        </w:rPr>
        <w:t xml:space="preserve"> </w:t>
      </w:r>
      <w:r w:rsidR="00837177" w:rsidRPr="00263267">
        <w:rPr>
          <w:rFonts w:ascii="Garamond" w:hAnsi="Garamond"/>
          <w:color w:val="000000" w:themeColor="text1"/>
          <w:sz w:val="22"/>
          <w:szCs w:val="22"/>
        </w:rPr>
        <w:t xml:space="preserve">have been generally </w:t>
      </w:r>
      <w:r w:rsidR="00727D0C" w:rsidRPr="00263267">
        <w:rPr>
          <w:rFonts w:ascii="Garamond" w:hAnsi="Garamond"/>
          <w:color w:val="000000" w:themeColor="text1"/>
          <w:sz w:val="22"/>
          <w:szCs w:val="22"/>
        </w:rPr>
        <w:t xml:space="preserve">cautious </w:t>
      </w:r>
      <w:r w:rsidR="00837177" w:rsidRPr="00263267">
        <w:rPr>
          <w:rFonts w:ascii="Garamond" w:hAnsi="Garamond"/>
          <w:color w:val="000000" w:themeColor="text1"/>
          <w:sz w:val="22"/>
          <w:szCs w:val="22"/>
        </w:rPr>
        <w:t>with an initial claim to</w:t>
      </w:r>
      <w:r w:rsidR="00727D0C" w:rsidRPr="00263267">
        <w:rPr>
          <w:rFonts w:ascii="Garamond" w:hAnsi="Garamond"/>
          <w:color w:val="000000" w:themeColor="text1"/>
          <w:sz w:val="22"/>
          <w:szCs w:val="22"/>
        </w:rPr>
        <w:t xml:space="preserve"> ‘</w:t>
      </w:r>
      <w:r w:rsidR="00727D0C" w:rsidRPr="00263267">
        <w:rPr>
          <w:rFonts w:ascii="Garamond" w:eastAsia="Times New Roman" w:hAnsi="Garamond" w:cs="Times New Roman"/>
          <w:i/>
          <w:color w:val="000000" w:themeColor="text1"/>
          <w:sz w:val="22"/>
          <w:szCs w:val="22"/>
        </w:rPr>
        <w:t xml:space="preserve">welcome many of the proposals and support the vision of a resilient, well-resourced system ready to deliver nationally and for </w:t>
      </w:r>
      <w:proofErr w:type="gramStart"/>
      <w:r w:rsidR="00727D0C" w:rsidRPr="00263267">
        <w:rPr>
          <w:rFonts w:ascii="Garamond" w:eastAsia="Times New Roman" w:hAnsi="Garamond" w:cs="Times New Roman"/>
          <w:i/>
          <w:color w:val="000000" w:themeColor="text1"/>
          <w:sz w:val="22"/>
          <w:szCs w:val="22"/>
        </w:rPr>
        <w:t>communities</w:t>
      </w:r>
      <w:r w:rsidR="00727D0C" w:rsidRPr="00263267">
        <w:rPr>
          <w:rFonts w:ascii="Garamond" w:eastAsia="Times New Roman" w:hAnsi="Garamond" w:cs="Times New Roman"/>
          <w:color w:val="000000" w:themeColor="text1"/>
          <w:sz w:val="22"/>
          <w:szCs w:val="22"/>
        </w:rPr>
        <w:t>’</w:t>
      </w:r>
      <w:proofErr w:type="gramEnd"/>
      <w:r w:rsidR="00837177" w:rsidRPr="00263267">
        <w:rPr>
          <w:rFonts w:ascii="Garamond" w:eastAsia="Times New Roman" w:hAnsi="Garamond" w:cs="Times New Roman"/>
          <w:color w:val="000000" w:themeColor="text1"/>
          <w:sz w:val="22"/>
          <w:szCs w:val="22"/>
        </w:rPr>
        <w:t xml:space="preserve">.  It has </w:t>
      </w:r>
      <w:r w:rsidR="00727D0C" w:rsidRPr="00263267">
        <w:rPr>
          <w:rFonts w:ascii="Garamond" w:eastAsia="Times New Roman" w:hAnsi="Garamond" w:cs="Times New Roman"/>
          <w:color w:val="000000" w:themeColor="text1"/>
          <w:sz w:val="22"/>
          <w:szCs w:val="22"/>
        </w:rPr>
        <w:t>limit</w:t>
      </w:r>
      <w:r w:rsidR="00837177" w:rsidRPr="00263267">
        <w:rPr>
          <w:rFonts w:ascii="Garamond" w:eastAsia="Times New Roman" w:hAnsi="Garamond" w:cs="Times New Roman"/>
          <w:color w:val="000000" w:themeColor="text1"/>
          <w:sz w:val="22"/>
          <w:szCs w:val="22"/>
        </w:rPr>
        <w:t>ed</w:t>
      </w:r>
      <w:r w:rsidR="00727D0C" w:rsidRPr="00263267">
        <w:rPr>
          <w:rFonts w:ascii="Garamond" w:eastAsia="Times New Roman" w:hAnsi="Garamond" w:cs="Times New Roman"/>
          <w:color w:val="000000" w:themeColor="text1"/>
          <w:sz w:val="22"/>
          <w:szCs w:val="22"/>
        </w:rPr>
        <w:t xml:space="preserve"> its criticisms to ‘concerns’ that ‘</w:t>
      </w:r>
      <w:r w:rsidR="00727D0C" w:rsidRPr="00263267">
        <w:rPr>
          <w:rFonts w:ascii="Garamond" w:eastAsia="Times New Roman" w:hAnsi="Garamond" w:cs="Times New Roman"/>
          <w:i/>
          <w:color w:val="000000" w:themeColor="text1"/>
          <w:sz w:val="22"/>
          <w:szCs w:val="22"/>
        </w:rPr>
        <w:t>some of the proposed reforms are influenced by an incorrect diagnosis of the problems, and accordingly will not help deliver the government’s objectives</w:t>
      </w:r>
      <w:r w:rsidR="00727D0C" w:rsidRPr="00263267">
        <w:rPr>
          <w:rFonts w:ascii="Garamond" w:eastAsia="Times New Roman" w:hAnsi="Garamond" w:cs="Times New Roman"/>
          <w:color w:val="000000" w:themeColor="text1"/>
          <w:sz w:val="22"/>
          <w:szCs w:val="22"/>
        </w:rPr>
        <w:t xml:space="preserve">’ </w:t>
      </w:r>
      <w:r w:rsidR="00727D0C" w:rsidRPr="00263267">
        <w:rPr>
          <w:rFonts w:ascii="Garamond" w:eastAsia="Times New Roman" w:hAnsi="Garamond" w:cs="Times New Roman"/>
          <w:color w:val="000000" w:themeColor="text1"/>
          <w:sz w:val="22"/>
          <w:szCs w:val="22"/>
        </w:rPr>
        <w:fldChar w:fldCharType="begin"/>
      </w:r>
      <w:r w:rsidR="00270F18">
        <w:rPr>
          <w:rFonts w:ascii="Garamond" w:eastAsia="Times New Roman" w:hAnsi="Garamond" w:cs="Times New Roman"/>
          <w:color w:val="000000" w:themeColor="text1"/>
          <w:sz w:val="22"/>
          <w:szCs w:val="22"/>
        </w:rPr>
        <w:instrText xml:space="preserve"> ADDIN ZOTERO_ITEM CSL_CITATION {"citationID":"uv9QO0Uc","properties":{"formattedCitation":"(RTPI, 2020a)","plainCitation":"(RTPI, 2020a)","dontUpdate":true,"noteIndex":0},"citationItems":[{"id":3050,"uris":["http://zotero.org/groups/2307100/items/GMYR28CU"],"uri":["http://zotero.org/groups/2307100/items/GMYR28CU"],"itemData":{"id":3050,"type":"article","publisher":"RTPI: London","title":"Priorities for Planning Reform in England","author":[{"family":"RTPI","given":""}],"issued":{"date-parts":[["2020"]]}}}],"schema":"https://github.com/citation-style-language/schema/raw/master/csl-citation.json"} </w:instrText>
      </w:r>
      <w:r w:rsidR="00727D0C" w:rsidRPr="00263267">
        <w:rPr>
          <w:rFonts w:ascii="Garamond" w:eastAsia="Times New Roman" w:hAnsi="Garamond" w:cs="Times New Roman"/>
          <w:color w:val="000000" w:themeColor="text1"/>
          <w:sz w:val="22"/>
          <w:szCs w:val="22"/>
        </w:rPr>
        <w:fldChar w:fldCharType="separate"/>
      </w:r>
      <w:r w:rsidR="00727D0C" w:rsidRPr="00263267">
        <w:rPr>
          <w:rFonts w:ascii="Garamond" w:eastAsia="Times New Roman" w:hAnsi="Garamond" w:cs="Times New Roman"/>
          <w:noProof/>
          <w:color w:val="000000" w:themeColor="text1"/>
          <w:sz w:val="22"/>
          <w:szCs w:val="22"/>
        </w:rPr>
        <w:t>(RTPI, 2020a: p.4)</w:t>
      </w:r>
      <w:r w:rsidR="00727D0C" w:rsidRPr="00263267">
        <w:rPr>
          <w:rFonts w:ascii="Garamond" w:eastAsia="Times New Roman" w:hAnsi="Garamond" w:cs="Times New Roman"/>
          <w:color w:val="000000" w:themeColor="text1"/>
          <w:sz w:val="22"/>
          <w:szCs w:val="22"/>
        </w:rPr>
        <w:fldChar w:fldCharType="end"/>
      </w:r>
      <w:r w:rsidR="00727D0C" w:rsidRPr="00263267">
        <w:rPr>
          <w:rFonts w:ascii="Garamond" w:eastAsia="Times New Roman" w:hAnsi="Garamond" w:cs="Times New Roman"/>
          <w:color w:val="000000" w:themeColor="text1"/>
          <w:sz w:val="22"/>
          <w:szCs w:val="22"/>
        </w:rPr>
        <w:t xml:space="preserve">. </w:t>
      </w:r>
      <w:r w:rsidR="00837177" w:rsidRPr="00263267">
        <w:rPr>
          <w:rFonts w:ascii="Garamond" w:hAnsi="Garamond"/>
          <w:color w:val="000000" w:themeColor="text1"/>
          <w:sz w:val="22"/>
          <w:szCs w:val="22"/>
        </w:rPr>
        <w:t xml:space="preserve">The placatory tone is taken further in </w:t>
      </w:r>
      <w:r w:rsidR="00727D0C" w:rsidRPr="00263267">
        <w:rPr>
          <w:rFonts w:ascii="Garamond" w:hAnsi="Garamond"/>
          <w:color w:val="000000" w:themeColor="text1"/>
          <w:sz w:val="22"/>
          <w:szCs w:val="22"/>
        </w:rPr>
        <w:t>highlighting that ‘</w:t>
      </w:r>
      <w:r w:rsidR="00727D0C" w:rsidRPr="00263267">
        <w:rPr>
          <w:rFonts w:ascii="Garamond" w:eastAsia="Times New Roman" w:hAnsi="Garamond" w:cs="Times New Roman"/>
          <w:i/>
          <w:color w:val="000000" w:themeColor="text1"/>
          <w:sz w:val="22"/>
          <w:szCs w:val="22"/>
        </w:rPr>
        <w:t>we observe that…government recognises the need for a properly-resourced and improved planning system</w:t>
      </w:r>
      <w:r w:rsidR="00727D0C" w:rsidRPr="00263267">
        <w:rPr>
          <w:rFonts w:ascii="Garamond" w:eastAsia="Times New Roman" w:hAnsi="Garamond" w:cs="Times New Roman"/>
          <w:color w:val="000000" w:themeColor="text1"/>
          <w:sz w:val="22"/>
          <w:szCs w:val="22"/>
        </w:rPr>
        <w:t>’ while conceding that</w:t>
      </w:r>
      <w:r w:rsidR="00727D0C" w:rsidRPr="00263267">
        <w:rPr>
          <w:rFonts w:ascii="Garamond" w:eastAsia="Times New Roman" w:hAnsi="Garamond" w:cs="Times New Roman"/>
          <w:i/>
          <w:color w:val="000000" w:themeColor="text1"/>
          <w:sz w:val="22"/>
          <w:szCs w:val="22"/>
        </w:rPr>
        <w:t xml:space="preserve"> </w:t>
      </w:r>
      <w:r w:rsidR="00727D0C" w:rsidRPr="00263267">
        <w:rPr>
          <w:rFonts w:ascii="Garamond" w:eastAsia="Times New Roman" w:hAnsi="Garamond" w:cs="Times New Roman"/>
          <w:color w:val="000000" w:themeColor="text1"/>
          <w:sz w:val="22"/>
          <w:szCs w:val="22"/>
        </w:rPr>
        <w:t>‘</w:t>
      </w:r>
      <w:r w:rsidR="00727D0C" w:rsidRPr="00263267">
        <w:rPr>
          <w:rFonts w:ascii="Garamond" w:eastAsia="Times New Roman" w:hAnsi="Garamond" w:cs="Times New Roman"/>
          <w:i/>
          <w:color w:val="000000" w:themeColor="text1"/>
          <w:sz w:val="22"/>
          <w:szCs w:val="22"/>
        </w:rPr>
        <w:t>it can also portray planning as a regulatory barrier to delivery</w:t>
      </w:r>
      <w:r w:rsidR="00727D0C" w:rsidRPr="00263267">
        <w:rPr>
          <w:rFonts w:ascii="Garamond" w:eastAsia="Times New Roman" w:hAnsi="Garamond" w:cs="Times New Roman"/>
          <w:color w:val="000000" w:themeColor="text1"/>
          <w:sz w:val="22"/>
          <w:szCs w:val="22"/>
        </w:rPr>
        <w:t>’ (p.4)</w:t>
      </w:r>
      <w:r w:rsidR="00727D0C" w:rsidRPr="00263267">
        <w:rPr>
          <w:rFonts w:ascii="Garamond" w:eastAsia="Times New Roman" w:hAnsi="Garamond" w:cs="Times New Roman"/>
          <w:i/>
          <w:color w:val="000000" w:themeColor="text1"/>
          <w:sz w:val="22"/>
          <w:szCs w:val="22"/>
        </w:rPr>
        <w:t xml:space="preserve">.  </w:t>
      </w:r>
      <w:r w:rsidR="00727D0C" w:rsidRPr="00263267">
        <w:rPr>
          <w:rFonts w:ascii="Garamond" w:eastAsia="Times New Roman" w:hAnsi="Garamond" w:cs="Times New Roman"/>
          <w:color w:val="000000" w:themeColor="text1"/>
          <w:sz w:val="22"/>
          <w:szCs w:val="22"/>
        </w:rPr>
        <w:t>In order to counter this</w:t>
      </w:r>
      <w:r w:rsidR="00837177" w:rsidRPr="00263267">
        <w:rPr>
          <w:rFonts w:ascii="Garamond" w:eastAsia="Times New Roman" w:hAnsi="Garamond" w:cs="Times New Roman"/>
          <w:color w:val="000000" w:themeColor="text1"/>
          <w:sz w:val="22"/>
          <w:szCs w:val="22"/>
        </w:rPr>
        <w:t xml:space="preserve"> perception</w:t>
      </w:r>
      <w:r w:rsidR="00727D0C" w:rsidRPr="00263267">
        <w:rPr>
          <w:rFonts w:ascii="Garamond" w:eastAsia="Times New Roman" w:hAnsi="Garamond" w:cs="Times New Roman"/>
          <w:color w:val="000000" w:themeColor="text1"/>
          <w:sz w:val="22"/>
          <w:szCs w:val="22"/>
        </w:rPr>
        <w:t xml:space="preserve">, the RTPI has tried to initiate a series of </w:t>
      </w:r>
      <w:r w:rsidR="00837177" w:rsidRPr="00263267">
        <w:rPr>
          <w:rFonts w:ascii="Garamond" w:eastAsia="Times New Roman" w:hAnsi="Garamond" w:cs="Times New Roman"/>
          <w:color w:val="000000" w:themeColor="text1"/>
          <w:sz w:val="22"/>
          <w:szCs w:val="22"/>
        </w:rPr>
        <w:t xml:space="preserve">‘thought leadership’ </w:t>
      </w:r>
      <w:r w:rsidR="00727D0C" w:rsidRPr="00263267">
        <w:rPr>
          <w:rFonts w:ascii="Garamond" w:eastAsia="Times New Roman" w:hAnsi="Garamond" w:cs="Times New Roman"/>
          <w:color w:val="000000" w:themeColor="text1"/>
          <w:sz w:val="22"/>
          <w:szCs w:val="22"/>
        </w:rPr>
        <w:t>responses and ‘</w:t>
      </w:r>
      <w:r w:rsidR="00727D0C" w:rsidRPr="00263267">
        <w:rPr>
          <w:rFonts w:ascii="Garamond" w:eastAsia="Times New Roman" w:hAnsi="Garamond" w:cs="Times New Roman"/>
          <w:i/>
          <w:color w:val="000000" w:themeColor="text1"/>
          <w:sz w:val="22"/>
          <w:szCs w:val="22"/>
        </w:rPr>
        <w:t>provide evidence that demonstrates the risks of market failure from uncontrolled development, and recommendations for how better planning can be part of the solution to both our housing crisis and the government’s wider objectives</w:t>
      </w:r>
      <w:r w:rsidR="00727D0C" w:rsidRPr="00263267">
        <w:rPr>
          <w:rFonts w:ascii="Garamond" w:eastAsia="Times New Roman" w:hAnsi="Garamond" w:cs="Times New Roman"/>
          <w:color w:val="000000" w:themeColor="text1"/>
          <w:sz w:val="22"/>
          <w:szCs w:val="22"/>
        </w:rPr>
        <w:t xml:space="preserve">’ (p.4).  However, it is increasingly difficult to equate such concerns with the aggressive language of central government towards the planning system </w:t>
      </w:r>
      <w:r w:rsidR="000F310E">
        <w:rPr>
          <w:rFonts w:ascii="Garamond" w:eastAsia="Times New Roman" w:hAnsi="Garamond" w:cs="Times New Roman"/>
          <w:color w:val="000000" w:themeColor="text1"/>
          <w:sz w:val="22"/>
          <w:szCs w:val="22"/>
        </w:rPr>
        <w:t xml:space="preserve">and its view on it </w:t>
      </w:r>
      <w:r w:rsidRPr="00263267">
        <w:rPr>
          <w:rFonts w:ascii="Garamond" w:eastAsia="Times New Roman" w:hAnsi="Garamond" w:cs="Times New Roman"/>
          <w:color w:val="000000" w:themeColor="text1"/>
          <w:sz w:val="22"/>
          <w:szCs w:val="22"/>
        </w:rPr>
        <w:t>as a brake on development</w:t>
      </w:r>
      <w:r w:rsidR="000F310E">
        <w:rPr>
          <w:rFonts w:ascii="Garamond" w:eastAsia="Times New Roman" w:hAnsi="Garamond" w:cs="Times New Roman"/>
          <w:color w:val="000000" w:themeColor="text1"/>
          <w:sz w:val="22"/>
          <w:szCs w:val="22"/>
        </w:rPr>
        <w:t xml:space="preserve"> that must be tackled and reformed.</w:t>
      </w:r>
      <w:r w:rsidRPr="00263267">
        <w:rPr>
          <w:rFonts w:ascii="Garamond" w:eastAsia="Times New Roman" w:hAnsi="Garamond" w:cs="Times New Roman"/>
          <w:color w:val="000000" w:themeColor="text1"/>
          <w:sz w:val="22"/>
          <w:szCs w:val="22"/>
        </w:rPr>
        <w:t xml:space="preserve"> </w:t>
      </w:r>
      <w:r w:rsidR="000F310E">
        <w:rPr>
          <w:rFonts w:ascii="Garamond" w:eastAsia="Times New Roman" w:hAnsi="Garamond" w:cs="Times New Roman"/>
          <w:color w:val="000000" w:themeColor="text1"/>
          <w:sz w:val="22"/>
          <w:szCs w:val="22"/>
        </w:rPr>
        <w:t xml:space="preserve">The RTPI is implicitly seen as one of the defenders of the existing system, or part of a wider constellation of elites </w:t>
      </w:r>
      <w:r w:rsidR="000F310E" w:rsidRPr="000F310E">
        <w:rPr>
          <w:rFonts w:ascii="Garamond" w:eastAsia="Times New Roman" w:hAnsi="Garamond" w:cs="Times New Roman"/>
          <w:color w:val="000000" w:themeColor="text1"/>
          <w:sz w:val="22"/>
          <w:szCs w:val="22"/>
        </w:rPr>
        <w:t>(</w:t>
      </w:r>
      <w:r w:rsidR="000F310E">
        <w:rPr>
          <w:rFonts w:ascii="Garamond" w:eastAsia="Times New Roman" w:hAnsi="Garamond" w:cs="Times New Roman"/>
          <w:i/>
          <w:color w:val="000000" w:themeColor="text1"/>
          <w:sz w:val="22"/>
          <w:szCs w:val="22"/>
        </w:rPr>
        <w:t>cf</w:t>
      </w:r>
      <w:r w:rsidR="000F310E" w:rsidRPr="00B9259C">
        <w:rPr>
          <w:rFonts w:ascii="Garamond" w:eastAsia="Times New Roman" w:hAnsi="Garamond" w:cs="Times New Roman"/>
          <w:color w:val="000000" w:themeColor="text1"/>
          <w:sz w:val="22"/>
          <w:szCs w:val="22"/>
        </w:rPr>
        <w:t>.</w:t>
      </w:r>
      <w:r w:rsidR="000F310E">
        <w:rPr>
          <w:rFonts w:ascii="Garamond" w:eastAsia="Times New Roman" w:hAnsi="Garamond" w:cs="Times New Roman"/>
          <w:i/>
          <w:color w:val="000000" w:themeColor="text1"/>
          <w:sz w:val="22"/>
          <w:szCs w:val="22"/>
        </w:rPr>
        <w:t xml:space="preserve"> </w:t>
      </w:r>
      <w:r w:rsidR="000F310E">
        <w:rPr>
          <w:rFonts w:ascii="Garamond" w:eastAsia="Times New Roman" w:hAnsi="Garamond" w:cs="Times New Roman"/>
          <w:color w:val="000000" w:themeColor="text1"/>
          <w:sz w:val="22"/>
          <w:szCs w:val="22"/>
        </w:rPr>
        <w:t>Newman and Clarke, 2018)</w:t>
      </w:r>
      <w:r w:rsidRPr="00263267">
        <w:rPr>
          <w:rFonts w:ascii="Garamond" w:eastAsia="Times New Roman" w:hAnsi="Garamond" w:cs="Times New Roman"/>
          <w:color w:val="000000" w:themeColor="text1"/>
          <w:sz w:val="22"/>
          <w:szCs w:val="22"/>
        </w:rPr>
        <w:t xml:space="preserve"> </w:t>
      </w:r>
      <w:r w:rsidR="000F310E">
        <w:rPr>
          <w:rFonts w:ascii="Garamond" w:eastAsia="Times New Roman" w:hAnsi="Garamond" w:cs="Times New Roman"/>
          <w:color w:val="000000" w:themeColor="text1"/>
          <w:sz w:val="22"/>
          <w:szCs w:val="22"/>
        </w:rPr>
        <w:t xml:space="preserve">whose approaches run </w:t>
      </w:r>
      <w:r w:rsidRPr="00263267">
        <w:rPr>
          <w:rFonts w:ascii="Garamond" w:eastAsia="Times New Roman" w:hAnsi="Garamond" w:cs="Times New Roman"/>
          <w:color w:val="000000" w:themeColor="text1"/>
          <w:sz w:val="22"/>
          <w:szCs w:val="22"/>
        </w:rPr>
        <w:t xml:space="preserve">counter to the core objective of </w:t>
      </w:r>
      <w:r w:rsidR="000F310E">
        <w:rPr>
          <w:rFonts w:ascii="Garamond" w:eastAsia="Times New Roman" w:hAnsi="Garamond" w:cs="Times New Roman"/>
          <w:color w:val="000000" w:themeColor="text1"/>
          <w:sz w:val="22"/>
          <w:szCs w:val="22"/>
        </w:rPr>
        <w:t>market-led regulatory reform</w:t>
      </w:r>
      <w:r w:rsidRPr="00263267">
        <w:rPr>
          <w:rFonts w:ascii="Garamond" w:eastAsia="Times New Roman" w:hAnsi="Garamond" w:cs="Times New Roman"/>
          <w:color w:val="000000" w:themeColor="text1"/>
          <w:sz w:val="22"/>
          <w:szCs w:val="22"/>
        </w:rPr>
        <w:t>,</w:t>
      </w:r>
      <w:r w:rsidR="000F310E">
        <w:rPr>
          <w:rFonts w:ascii="Garamond" w:eastAsia="Times New Roman" w:hAnsi="Garamond" w:cs="Times New Roman"/>
          <w:color w:val="000000" w:themeColor="text1"/>
          <w:sz w:val="22"/>
          <w:szCs w:val="22"/>
        </w:rPr>
        <w:t xml:space="preserve"> that is</w:t>
      </w:r>
      <w:r w:rsidRPr="00263267">
        <w:rPr>
          <w:rFonts w:ascii="Garamond" w:eastAsia="Times New Roman" w:hAnsi="Garamond" w:cs="Times New Roman"/>
          <w:color w:val="000000" w:themeColor="text1"/>
          <w:sz w:val="22"/>
          <w:szCs w:val="22"/>
        </w:rPr>
        <w:t xml:space="preserve"> to generate new development and housing</w:t>
      </w:r>
      <w:r w:rsidR="000F310E">
        <w:rPr>
          <w:rFonts w:ascii="Garamond" w:eastAsia="Times New Roman" w:hAnsi="Garamond" w:cs="Times New Roman"/>
          <w:color w:val="000000" w:themeColor="text1"/>
          <w:sz w:val="22"/>
          <w:szCs w:val="22"/>
        </w:rPr>
        <w:t xml:space="preserve"> through </w:t>
      </w:r>
      <w:proofErr w:type="gramStart"/>
      <w:r w:rsidR="000F310E">
        <w:rPr>
          <w:rFonts w:ascii="Garamond" w:eastAsia="Times New Roman" w:hAnsi="Garamond" w:cs="Times New Roman"/>
          <w:color w:val="000000" w:themeColor="text1"/>
          <w:sz w:val="22"/>
          <w:szCs w:val="22"/>
        </w:rPr>
        <w:t xml:space="preserve">the </w:t>
      </w:r>
      <w:r w:rsidR="00727D0C" w:rsidRPr="00263267">
        <w:rPr>
          <w:rFonts w:ascii="Garamond" w:eastAsia="Times New Roman" w:hAnsi="Garamond" w:cs="Times New Roman"/>
          <w:color w:val="000000" w:themeColor="text1"/>
          <w:sz w:val="22"/>
          <w:szCs w:val="22"/>
        </w:rPr>
        <w:t xml:space="preserve"> free</w:t>
      </w:r>
      <w:r w:rsidR="000F310E">
        <w:rPr>
          <w:rFonts w:ascii="Garamond" w:eastAsia="Times New Roman" w:hAnsi="Garamond" w:cs="Times New Roman"/>
          <w:color w:val="000000" w:themeColor="text1"/>
          <w:sz w:val="22"/>
          <w:szCs w:val="22"/>
        </w:rPr>
        <w:t>ing</w:t>
      </w:r>
      <w:proofErr w:type="gramEnd"/>
      <w:r w:rsidR="000F310E">
        <w:rPr>
          <w:rFonts w:ascii="Garamond" w:eastAsia="Times New Roman" w:hAnsi="Garamond" w:cs="Times New Roman"/>
          <w:color w:val="000000" w:themeColor="text1"/>
          <w:sz w:val="22"/>
          <w:szCs w:val="22"/>
        </w:rPr>
        <w:t xml:space="preserve"> up</w:t>
      </w:r>
      <w:r w:rsidR="00727D0C" w:rsidRPr="00263267">
        <w:rPr>
          <w:rFonts w:ascii="Garamond" w:eastAsia="Times New Roman" w:hAnsi="Garamond" w:cs="Times New Roman"/>
          <w:color w:val="000000" w:themeColor="text1"/>
          <w:sz w:val="22"/>
          <w:szCs w:val="22"/>
        </w:rPr>
        <w:t xml:space="preserve"> private sector actors from ‘restrictive’ regulatory demands.</w:t>
      </w:r>
    </w:p>
    <w:p w14:paraId="74C6BCA7" w14:textId="77777777" w:rsidR="00727D0C" w:rsidRPr="00263267" w:rsidRDefault="00727D0C" w:rsidP="006D08D9">
      <w:pPr>
        <w:spacing w:line="276" w:lineRule="auto"/>
        <w:ind w:right="-52"/>
        <w:jc w:val="both"/>
        <w:rPr>
          <w:rFonts w:ascii="Garamond" w:hAnsi="Garamond" w:cs="Calibri"/>
          <w:color w:val="000000" w:themeColor="text1"/>
          <w:sz w:val="22"/>
          <w:szCs w:val="22"/>
        </w:rPr>
      </w:pPr>
    </w:p>
    <w:p w14:paraId="4096F4A4" w14:textId="05A2D4FB" w:rsidR="000C4702" w:rsidRPr="00263267" w:rsidRDefault="006D166E" w:rsidP="006D08D9">
      <w:pPr>
        <w:spacing w:line="276" w:lineRule="auto"/>
        <w:ind w:right="-52"/>
        <w:jc w:val="both"/>
        <w:rPr>
          <w:rFonts w:ascii="Garamond" w:hAnsi="Garamond"/>
          <w:color w:val="000000" w:themeColor="text1"/>
          <w:sz w:val="22"/>
          <w:szCs w:val="22"/>
        </w:rPr>
      </w:pPr>
      <w:r w:rsidRPr="00263267">
        <w:rPr>
          <w:rFonts w:ascii="Garamond" w:hAnsi="Garamond"/>
          <w:color w:val="000000" w:themeColor="text1"/>
          <w:sz w:val="22"/>
          <w:szCs w:val="22"/>
        </w:rPr>
        <w:t>RICS</w:t>
      </w:r>
      <w:r w:rsidR="000C4702" w:rsidRPr="00263267">
        <w:rPr>
          <w:rFonts w:ascii="Garamond" w:hAnsi="Garamond"/>
          <w:color w:val="000000" w:themeColor="text1"/>
          <w:sz w:val="22"/>
          <w:szCs w:val="22"/>
        </w:rPr>
        <w:t>’ response</w:t>
      </w:r>
      <w:r w:rsidR="000F310E">
        <w:rPr>
          <w:rFonts w:ascii="Garamond" w:hAnsi="Garamond"/>
          <w:color w:val="000000" w:themeColor="text1"/>
          <w:sz w:val="22"/>
          <w:szCs w:val="22"/>
        </w:rPr>
        <w:t>, conversely,</w:t>
      </w:r>
      <w:r w:rsidR="000C4702" w:rsidRPr="00263267">
        <w:rPr>
          <w:rFonts w:ascii="Garamond" w:hAnsi="Garamond"/>
          <w:color w:val="000000" w:themeColor="text1"/>
          <w:sz w:val="22"/>
          <w:szCs w:val="22"/>
        </w:rPr>
        <w:t xml:space="preserve"> has been to highlight how it can </w:t>
      </w:r>
      <w:r w:rsidR="00837177" w:rsidRPr="00263267">
        <w:rPr>
          <w:rFonts w:ascii="Garamond" w:hAnsi="Garamond"/>
          <w:color w:val="000000" w:themeColor="text1"/>
          <w:sz w:val="22"/>
          <w:szCs w:val="22"/>
        </w:rPr>
        <w:t xml:space="preserve">continue to play a regulatory role in </w:t>
      </w:r>
      <w:r w:rsidR="000C4702" w:rsidRPr="00263267">
        <w:rPr>
          <w:rFonts w:ascii="Garamond" w:hAnsi="Garamond"/>
          <w:color w:val="000000" w:themeColor="text1"/>
          <w:sz w:val="22"/>
          <w:szCs w:val="22"/>
        </w:rPr>
        <w:t>co-produc</w:t>
      </w:r>
      <w:r w:rsidR="00837177" w:rsidRPr="00263267">
        <w:rPr>
          <w:rFonts w:ascii="Garamond" w:hAnsi="Garamond"/>
          <w:color w:val="000000" w:themeColor="text1"/>
          <w:sz w:val="22"/>
          <w:szCs w:val="22"/>
        </w:rPr>
        <w:t>ing</w:t>
      </w:r>
      <w:r w:rsidR="000C4702" w:rsidRPr="00263267">
        <w:rPr>
          <w:rFonts w:ascii="Garamond" w:hAnsi="Garamond"/>
          <w:color w:val="000000" w:themeColor="text1"/>
          <w:sz w:val="22"/>
          <w:szCs w:val="22"/>
        </w:rPr>
        <w:t xml:space="preserve"> the more calculative elements of the proposals in relation to value capture and claims that:</w:t>
      </w:r>
    </w:p>
    <w:p w14:paraId="0085B3EC" w14:textId="77777777" w:rsidR="007B4C18" w:rsidRPr="00263267" w:rsidRDefault="007B4C18" w:rsidP="006D08D9">
      <w:pPr>
        <w:spacing w:line="276" w:lineRule="auto"/>
        <w:ind w:right="-52"/>
        <w:jc w:val="both"/>
        <w:rPr>
          <w:rFonts w:ascii="Garamond" w:hAnsi="Garamond"/>
          <w:color w:val="000000" w:themeColor="text1"/>
          <w:sz w:val="22"/>
          <w:szCs w:val="22"/>
        </w:rPr>
      </w:pPr>
    </w:p>
    <w:p w14:paraId="1227B231" w14:textId="30361ED0" w:rsidR="000C4702" w:rsidRPr="00263267" w:rsidRDefault="000C4702" w:rsidP="006D08D9">
      <w:pPr>
        <w:spacing w:line="276" w:lineRule="auto"/>
        <w:ind w:right="-52"/>
        <w:jc w:val="both"/>
        <w:rPr>
          <w:rFonts w:ascii="Garamond" w:eastAsia="Times New Roman" w:hAnsi="Garamond" w:cs="Times New Roman"/>
          <w:color w:val="000000" w:themeColor="text1"/>
          <w:sz w:val="22"/>
          <w:szCs w:val="22"/>
        </w:rPr>
      </w:pPr>
      <w:r w:rsidRPr="00263267">
        <w:rPr>
          <w:rFonts w:ascii="Garamond" w:eastAsia="Times New Roman" w:hAnsi="Garamond" w:cs="Arial"/>
          <w:color w:val="000000" w:themeColor="text1"/>
          <w:sz w:val="22"/>
          <w:szCs w:val="22"/>
          <w:shd w:val="clear" w:color="auto" w:fill="FFFFFF"/>
        </w:rPr>
        <w:t>‘</w:t>
      </w:r>
      <w:r w:rsidRPr="00263267">
        <w:rPr>
          <w:rFonts w:ascii="Garamond" w:eastAsia="Times New Roman" w:hAnsi="Garamond" w:cs="Arial"/>
          <w:i/>
          <w:color w:val="000000" w:themeColor="text1"/>
          <w:sz w:val="22"/>
          <w:szCs w:val="22"/>
          <w:shd w:val="clear" w:color="auto" w:fill="FFFFFF"/>
        </w:rPr>
        <w:t xml:space="preserve">RICS has been engaged with </w:t>
      </w:r>
      <w:r w:rsidR="000F310E">
        <w:rPr>
          <w:rFonts w:ascii="Garamond" w:eastAsia="Times New Roman" w:hAnsi="Garamond" w:cs="Arial"/>
          <w:i/>
          <w:color w:val="000000" w:themeColor="text1"/>
          <w:sz w:val="22"/>
          <w:szCs w:val="22"/>
          <w:shd w:val="clear" w:color="auto" w:fill="FFFFFF"/>
        </w:rPr>
        <w:t>[the Ministry/government]</w:t>
      </w:r>
      <w:r w:rsidR="000F310E" w:rsidRPr="00263267">
        <w:rPr>
          <w:rFonts w:ascii="Garamond" w:eastAsia="Times New Roman" w:hAnsi="Garamond" w:cs="Arial"/>
          <w:i/>
          <w:color w:val="000000" w:themeColor="text1"/>
          <w:sz w:val="22"/>
          <w:szCs w:val="22"/>
          <w:shd w:val="clear" w:color="auto" w:fill="FFFFFF"/>
        </w:rPr>
        <w:t xml:space="preserve"> </w:t>
      </w:r>
      <w:r w:rsidRPr="00263267">
        <w:rPr>
          <w:rFonts w:ascii="Garamond" w:eastAsia="Times New Roman" w:hAnsi="Garamond" w:cs="Arial"/>
          <w:i/>
          <w:color w:val="000000" w:themeColor="text1"/>
          <w:sz w:val="22"/>
          <w:szCs w:val="22"/>
          <w:shd w:val="clear" w:color="auto" w:fill="FFFFFF"/>
        </w:rPr>
        <w:t>in producing professional guidance to apply government’s current polices and practice advice. We will now review the completion of this work in the context of the timing of the new reforms and any transition periods Research has already been completed on ‘Land value capture’ and will be released shortly which will contribute to government’s understanding of potential policy initiatives</w:t>
      </w:r>
      <w:r w:rsidRPr="00263267">
        <w:rPr>
          <w:rFonts w:ascii="Garamond" w:eastAsia="Times New Roman" w:hAnsi="Garamond" w:cs="Arial"/>
          <w:color w:val="000000" w:themeColor="text1"/>
          <w:sz w:val="22"/>
          <w:szCs w:val="22"/>
          <w:shd w:val="clear" w:color="auto" w:fill="FFFFFF"/>
        </w:rPr>
        <w:t xml:space="preserve">’ </w:t>
      </w:r>
      <w:r w:rsidRPr="00263267">
        <w:rPr>
          <w:rFonts w:ascii="Garamond" w:eastAsia="Times New Roman" w:hAnsi="Garamond" w:cs="Arial"/>
          <w:color w:val="000000" w:themeColor="text1"/>
          <w:sz w:val="22"/>
          <w:szCs w:val="22"/>
          <w:shd w:val="clear" w:color="auto" w:fill="FFFFFF"/>
        </w:rPr>
        <w:fldChar w:fldCharType="begin"/>
      </w:r>
      <w:r w:rsidR="00270F18">
        <w:rPr>
          <w:rFonts w:ascii="Garamond" w:eastAsia="Times New Roman" w:hAnsi="Garamond" w:cs="Arial"/>
          <w:color w:val="000000" w:themeColor="text1"/>
          <w:sz w:val="22"/>
          <w:szCs w:val="22"/>
          <w:shd w:val="clear" w:color="auto" w:fill="FFFFFF"/>
        </w:rPr>
        <w:instrText xml:space="preserve"> ADDIN ZOTERO_ITEM CSL_CITATION {"citationID":"yYwGPtV4","properties":{"formattedCitation":"(RICS, 2020c)","plainCitation":"(RICS, 2020c)","dontUpdate":true,"noteIndex":0},"citationItems":[{"id":3334,"uris":["http://zotero.org/groups/2307100/items/EA75836I"],"uri":["http://zotero.org/groups/2307100/items/EA75836I"],"itemData":{"id":3334,"type":"article","title":"‘Tear it down and start again’ - Prime Minister on the planning system.","URL":"https://www.rics.org/uk/news-insight/latest-news/news-opinion/tear-it-down-and-start-again---prime-minister-on-the-planning-system/","author":[{"family":"RICS","given":""}],"issued":{"date-parts":[["2020"]]}}}],"schema":"https://github.com/citation-style-language/schema/raw/master/csl-citation.json"} </w:instrText>
      </w:r>
      <w:r w:rsidRPr="00263267">
        <w:rPr>
          <w:rFonts w:ascii="Garamond" w:eastAsia="Times New Roman" w:hAnsi="Garamond" w:cs="Arial"/>
          <w:color w:val="000000" w:themeColor="text1"/>
          <w:sz w:val="22"/>
          <w:szCs w:val="22"/>
          <w:shd w:val="clear" w:color="auto" w:fill="FFFFFF"/>
        </w:rPr>
        <w:fldChar w:fldCharType="separate"/>
      </w:r>
      <w:r w:rsidRPr="00263267">
        <w:rPr>
          <w:rFonts w:ascii="Garamond" w:eastAsia="Times New Roman" w:hAnsi="Garamond" w:cs="Arial"/>
          <w:noProof/>
          <w:color w:val="000000" w:themeColor="text1"/>
          <w:sz w:val="22"/>
          <w:szCs w:val="22"/>
          <w:shd w:val="clear" w:color="auto" w:fill="FFFFFF"/>
        </w:rPr>
        <w:t>(RICS, 2020c: p.1)</w:t>
      </w:r>
      <w:r w:rsidRPr="00263267">
        <w:rPr>
          <w:rFonts w:ascii="Garamond" w:eastAsia="Times New Roman" w:hAnsi="Garamond" w:cs="Arial"/>
          <w:color w:val="000000" w:themeColor="text1"/>
          <w:sz w:val="22"/>
          <w:szCs w:val="22"/>
          <w:shd w:val="clear" w:color="auto" w:fill="FFFFFF"/>
        </w:rPr>
        <w:fldChar w:fldCharType="end"/>
      </w:r>
      <w:r w:rsidRPr="00263267">
        <w:rPr>
          <w:rFonts w:ascii="Garamond" w:eastAsia="Times New Roman" w:hAnsi="Garamond" w:cs="Arial"/>
          <w:color w:val="000000" w:themeColor="text1"/>
          <w:sz w:val="22"/>
          <w:szCs w:val="22"/>
          <w:shd w:val="clear" w:color="auto" w:fill="FFFFFF"/>
        </w:rPr>
        <w:t>.</w:t>
      </w:r>
      <w:r w:rsidRPr="00263267">
        <w:rPr>
          <w:rFonts w:ascii="Garamond" w:eastAsia="Times New Roman" w:hAnsi="Garamond" w:cs="Times New Roman"/>
          <w:color w:val="000000" w:themeColor="text1"/>
          <w:sz w:val="22"/>
          <w:szCs w:val="22"/>
        </w:rPr>
        <w:t xml:space="preserve"> </w:t>
      </w:r>
    </w:p>
    <w:p w14:paraId="0D1A7989" w14:textId="77777777" w:rsidR="000C4702" w:rsidRPr="00263267" w:rsidRDefault="000C4702" w:rsidP="006D08D9">
      <w:pPr>
        <w:spacing w:line="276" w:lineRule="auto"/>
        <w:ind w:right="-52"/>
        <w:jc w:val="both"/>
        <w:rPr>
          <w:rFonts w:ascii="Garamond" w:hAnsi="Garamond"/>
          <w:color w:val="000000" w:themeColor="text1"/>
          <w:sz w:val="22"/>
          <w:szCs w:val="22"/>
        </w:rPr>
      </w:pPr>
    </w:p>
    <w:p w14:paraId="108CBBEE" w14:textId="5A91AED7" w:rsidR="006D166E" w:rsidRPr="00263267" w:rsidRDefault="00837177" w:rsidP="006D08D9">
      <w:pPr>
        <w:spacing w:line="276" w:lineRule="auto"/>
        <w:ind w:right="-52"/>
        <w:jc w:val="both"/>
        <w:rPr>
          <w:rFonts w:ascii="Garamond" w:hAnsi="Garamond"/>
          <w:color w:val="000000" w:themeColor="text1"/>
          <w:sz w:val="22"/>
          <w:szCs w:val="22"/>
        </w:rPr>
      </w:pPr>
      <w:r w:rsidRPr="00263267">
        <w:rPr>
          <w:rFonts w:ascii="Garamond" w:hAnsi="Garamond"/>
          <w:color w:val="000000" w:themeColor="text1"/>
          <w:sz w:val="22"/>
          <w:szCs w:val="22"/>
        </w:rPr>
        <w:t>In an extension of its existing approach</w:t>
      </w:r>
      <w:r w:rsidR="000F310E">
        <w:rPr>
          <w:rFonts w:ascii="Garamond" w:hAnsi="Garamond"/>
          <w:color w:val="000000" w:themeColor="text1"/>
          <w:sz w:val="22"/>
          <w:szCs w:val="22"/>
        </w:rPr>
        <w:t>,</w:t>
      </w:r>
      <w:r w:rsidRPr="00263267">
        <w:rPr>
          <w:rFonts w:ascii="Garamond" w:hAnsi="Garamond"/>
          <w:color w:val="000000" w:themeColor="text1"/>
          <w:sz w:val="22"/>
          <w:szCs w:val="22"/>
        </w:rPr>
        <w:t xml:space="preserve"> i</w:t>
      </w:r>
      <w:r w:rsidR="00BF65BD" w:rsidRPr="00263267">
        <w:rPr>
          <w:rFonts w:ascii="Garamond" w:hAnsi="Garamond"/>
          <w:color w:val="000000" w:themeColor="text1"/>
          <w:sz w:val="22"/>
          <w:szCs w:val="22"/>
        </w:rPr>
        <w:t>t</w:t>
      </w:r>
      <w:r w:rsidRPr="00263267">
        <w:rPr>
          <w:rFonts w:ascii="Garamond" w:hAnsi="Garamond"/>
          <w:color w:val="000000" w:themeColor="text1"/>
          <w:sz w:val="22"/>
          <w:szCs w:val="22"/>
        </w:rPr>
        <w:t xml:space="preserve"> seeks</w:t>
      </w:r>
      <w:r w:rsidR="000C4702" w:rsidRPr="00263267">
        <w:rPr>
          <w:rFonts w:ascii="Garamond" w:hAnsi="Garamond"/>
          <w:color w:val="000000" w:themeColor="text1"/>
          <w:sz w:val="22"/>
          <w:szCs w:val="22"/>
        </w:rPr>
        <w:t xml:space="preserve"> </w:t>
      </w:r>
      <w:r w:rsidRPr="00263267">
        <w:rPr>
          <w:rFonts w:ascii="Garamond" w:hAnsi="Garamond"/>
          <w:color w:val="000000" w:themeColor="text1"/>
          <w:sz w:val="22"/>
          <w:szCs w:val="22"/>
        </w:rPr>
        <w:t>to support</w:t>
      </w:r>
      <w:r w:rsidR="006D166E" w:rsidRPr="00263267">
        <w:rPr>
          <w:rFonts w:ascii="Garamond" w:hAnsi="Garamond"/>
          <w:color w:val="000000" w:themeColor="text1"/>
          <w:sz w:val="22"/>
          <w:szCs w:val="22"/>
        </w:rPr>
        <w:t xml:space="preserve"> members and wider publics to </w:t>
      </w:r>
      <w:r w:rsidR="006D166E" w:rsidRPr="00263267">
        <w:rPr>
          <w:rFonts w:ascii="Garamond" w:hAnsi="Garamond"/>
          <w:i/>
          <w:color w:val="000000" w:themeColor="text1"/>
          <w:sz w:val="22"/>
          <w:szCs w:val="22"/>
        </w:rPr>
        <w:t xml:space="preserve">apply </w:t>
      </w:r>
      <w:r w:rsidR="006D166E" w:rsidRPr="00263267">
        <w:rPr>
          <w:rFonts w:ascii="Garamond" w:hAnsi="Garamond"/>
          <w:color w:val="000000" w:themeColor="text1"/>
          <w:sz w:val="22"/>
          <w:szCs w:val="22"/>
        </w:rPr>
        <w:t xml:space="preserve">government policy, rather than overturn it or challenge its core aspects.  Vertical relations of power and decision-making are </w:t>
      </w:r>
      <w:r w:rsidRPr="00263267">
        <w:rPr>
          <w:rFonts w:ascii="Garamond" w:hAnsi="Garamond"/>
          <w:color w:val="000000" w:themeColor="text1"/>
          <w:sz w:val="22"/>
          <w:szCs w:val="22"/>
        </w:rPr>
        <w:t xml:space="preserve">presented as </w:t>
      </w:r>
      <w:r w:rsidR="006D166E" w:rsidRPr="00263267">
        <w:rPr>
          <w:rFonts w:ascii="Garamond" w:hAnsi="Garamond"/>
          <w:color w:val="000000" w:themeColor="text1"/>
          <w:sz w:val="22"/>
          <w:szCs w:val="22"/>
        </w:rPr>
        <w:t xml:space="preserve">a ‘given’ and debates become focused on horizontal modes of delivery and local management/organisation.  </w:t>
      </w:r>
      <w:r w:rsidR="00816DB9" w:rsidRPr="00263267">
        <w:rPr>
          <w:rFonts w:ascii="Garamond" w:hAnsi="Garamond"/>
          <w:color w:val="000000" w:themeColor="text1"/>
          <w:sz w:val="22"/>
          <w:szCs w:val="22"/>
        </w:rPr>
        <w:t>Bu</w:t>
      </w:r>
      <w:r w:rsidR="006D166E" w:rsidRPr="00263267">
        <w:rPr>
          <w:rFonts w:ascii="Garamond" w:hAnsi="Garamond"/>
          <w:color w:val="000000" w:themeColor="text1"/>
          <w:sz w:val="22"/>
          <w:szCs w:val="22"/>
        </w:rPr>
        <w:t>t</w:t>
      </w:r>
      <w:r w:rsidR="00816DB9" w:rsidRPr="00263267">
        <w:rPr>
          <w:rFonts w:ascii="Garamond" w:hAnsi="Garamond"/>
          <w:color w:val="000000" w:themeColor="text1"/>
          <w:sz w:val="22"/>
          <w:szCs w:val="22"/>
        </w:rPr>
        <w:t xml:space="preserve"> at</w:t>
      </w:r>
      <w:r w:rsidR="006D166E" w:rsidRPr="00263267">
        <w:rPr>
          <w:rFonts w:ascii="Garamond" w:hAnsi="Garamond"/>
          <w:color w:val="000000" w:themeColor="text1"/>
          <w:sz w:val="22"/>
          <w:szCs w:val="22"/>
        </w:rPr>
        <w:t xml:space="preserve"> the same time, it is </w:t>
      </w:r>
      <w:r w:rsidR="000F310E">
        <w:rPr>
          <w:rFonts w:ascii="Garamond" w:hAnsi="Garamond"/>
          <w:color w:val="000000" w:themeColor="text1"/>
          <w:sz w:val="22"/>
          <w:szCs w:val="22"/>
        </w:rPr>
        <w:t xml:space="preserve">implicitly </w:t>
      </w:r>
      <w:r w:rsidR="006D166E" w:rsidRPr="00263267">
        <w:rPr>
          <w:rFonts w:ascii="Garamond" w:hAnsi="Garamond"/>
          <w:color w:val="000000" w:themeColor="text1"/>
          <w:sz w:val="22"/>
          <w:szCs w:val="22"/>
        </w:rPr>
        <w:t xml:space="preserve">admitted that </w:t>
      </w:r>
      <w:r w:rsidR="000F310E" w:rsidRPr="00B9259C">
        <w:rPr>
          <w:rFonts w:ascii="Garamond" w:hAnsi="Garamond"/>
          <w:color w:val="000000" w:themeColor="text1"/>
          <w:sz w:val="22"/>
          <w:szCs w:val="22"/>
        </w:rPr>
        <w:t>the organisation’s</w:t>
      </w:r>
      <w:r w:rsidR="006D166E" w:rsidRPr="00B9259C">
        <w:rPr>
          <w:rFonts w:ascii="Garamond" w:hAnsi="Garamond"/>
          <w:color w:val="000000" w:themeColor="text1"/>
          <w:sz w:val="22"/>
          <w:szCs w:val="22"/>
        </w:rPr>
        <w:t xml:space="preserve"> </w:t>
      </w:r>
      <w:r w:rsidR="000F310E">
        <w:rPr>
          <w:rFonts w:ascii="Garamond" w:hAnsi="Garamond"/>
          <w:color w:val="000000" w:themeColor="text1"/>
          <w:sz w:val="22"/>
          <w:szCs w:val="22"/>
        </w:rPr>
        <w:t xml:space="preserve">future professional </w:t>
      </w:r>
      <w:r w:rsidR="006D166E" w:rsidRPr="00B9259C">
        <w:rPr>
          <w:rFonts w:ascii="Garamond" w:hAnsi="Garamond"/>
          <w:color w:val="000000" w:themeColor="text1"/>
          <w:sz w:val="22"/>
          <w:szCs w:val="22"/>
        </w:rPr>
        <w:t>guidance would have no power at all, if it didn’t comply with government policy</w:t>
      </w:r>
      <w:r w:rsidR="006D166E" w:rsidRPr="00263267">
        <w:rPr>
          <w:rFonts w:ascii="Garamond" w:hAnsi="Garamond"/>
          <w:color w:val="000000" w:themeColor="text1"/>
          <w:sz w:val="22"/>
          <w:szCs w:val="22"/>
        </w:rPr>
        <w:t xml:space="preserve">, indicating a degree of mutual inter-dependence that limits the scope of criticism and the application of </w:t>
      </w:r>
      <w:r w:rsidR="00BF65BD" w:rsidRPr="00263267">
        <w:rPr>
          <w:rFonts w:ascii="Garamond" w:hAnsi="Garamond"/>
          <w:color w:val="000000" w:themeColor="text1"/>
          <w:sz w:val="22"/>
          <w:szCs w:val="22"/>
        </w:rPr>
        <w:t>professionally mediated</w:t>
      </w:r>
      <w:r w:rsidR="006D166E" w:rsidRPr="00263267">
        <w:rPr>
          <w:rFonts w:ascii="Garamond" w:hAnsi="Garamond"/>
          <w:color w:val="000000" w:themeColor="text1"/>
          <w:sz w:val="22"/>
          <w:szCs w:val="22"/>
        </w:rPr>
        <w:t xml:space="preserve"> forms of flexibility.</w:t>
      </w:r>
      <w:r w:rsidR="006D166E" w:rsidRPr="00263267">
        <w:rPr>
          <w:rFonts w:ascii="Garamond" w:hAnsi="Garamond"/>
          <w:i/>
          <w:color w:val="000000" w:themeColor="text1"/>
          <w:sz w:val="22"/>
          <w:szCs w:val="22"/>
        </w:rPr>
        <w:t xml:space="preserve"> </w:t>
      </w:r>
      <w:r w:rsidR="006D166E" w:rsidRPr="00263267">
        <w:rPr>
          <w:rFonts w:ascii="Garamond" w:hAnsi="Garamond"/>
          <w:color w:val="000000" w:themeColor="text1"/>
          <w:sz w:val="22"/>
          <w:szCs w:val="22"/>
        </w:rPr>
        <w:t>The role of an intermediary is therefore more complex than wanting to be seen as an ‘insider’ in policy-making circles, but involves a complex and liquid positionality in which authority is generated as much by being seen to be independent both horizontally amongst members and vertically by policy-makers.</w:t>
      </w:r>
    </w:p>
    <w:p w14:paraId="50935B50" w14:textId="77777777" w:rsidR="006D166E" w:rsidRPr="00263267" w:rsidRDefault="006D166E" w:rsidP="006D08D9">
      <w:pPr>
        <w:spacing w:line="276" w:lineRule="auto"/>
        <w:ind w:right="-52"/>
        <w:jc w:val="both"/>
        <w:rPr>
          <w:rFonts w:ascii="Garamond" w:hAnsi="Garamond"/>
          <w:color w:val="000000" w:themeColor="text1"/>
          <w:sz w:val="22"/>
          <w:szCs w:val="22"/>
        </w:rPr>
      </w:pPr>
    </w:p>
    <w:p w14:paraId="3F0C72B9" w14:textId="4D8EC9E5" w:rsidR="00573A03" w:rsidRPr="00263267" w:rsidRDefault="00044B05" w:rsidP="006D08D9">
      <w:pPr>
        <w:spacing w:line="276" w:lineRule="auto"/>
        <w:jc w:val="both"/>
        <w:rPr>
          <w:rFonts w:ascii="Garamond" w:hAnsi="Garamond"/>
          <w:b/>
          <w:sz w:val="22"/>
          <w:szCs w:val="22"/>
        </w:rPr>
      </w:pPr>
      <w:r w:rsidRPr="00263267">
        <w:rPr>
          <w:rFonts w:ascii="Garamond" w:hAnsi="Garamond"/>
          <w:b/>
          <w:sz w:val="22"/>
          <w:szCs w:val="22"/>
        </w:rPr>
        <w:lastRenderedPageBreak/>
        <w:t>Conclusions</w:t>
      </w:r>
    </w:p>
    <w:p w14:paraId="45985548" w14:textId="1FF7C588" w:rsidR="0099154E" w:rsidRPr="00263267" w:rsidRDefault="003532D3" w:rsidP="006D08D9">
      <w:pPr>
        <w:spacing w:line="276" w:lineRule="auto"/>
        <w:jc w:val="both"/>
        <w:rPr>
          <w:rFonts w:ascii="Garamond" w:eastAsia="Times New Roman" w:hAnsi="Garamond" w:cs="Times New Roman"/>
          <w:color w:val="000000" w:themeColor="text1"/>
          <w:sz w:val="22"/>
          <w:szCs w:val="22"/>
        </w:rPr>
      </w:pPr>
      <w:r w:rsidRPr="00263267">
        <w:rPr>
          <w:rFonts w:ascii="Garamond" w:eastAsia="Times New Roman" w:hAnsi="Garamond" w:cs="Times New Roman"/>
          <w:color w:val="000000" w:themeColor="text1"/>
          <w:sz w:val="22"/>
          <w:szCs w:val="22"/>
        </w:rPr>
        <w:t xml:space="preserve">The chapter has used the examples of RICS and </w:t>
      </w:r>
      <w:r w:rsidR="00BF65BD" w:rsidRPr="00263267">
        <w:rPr>
          <w:rFonts w:ascii="Garamond" w:eastAsia="Times New Roman" w:hAnsi="Garamond" w:cs="Times New Roman"/>
          <w:color w:val="000000" w:themeColor="text1"/>
          <w:sz w:val="22"/>
          <w:szCs w:val="22"/>
        </w:rPr>
        <w:t xml:space="preserve">RTPI </w:t>
      </w:r>
      <w:r w:rsidRPr="00263267">
        <w:rPr>
          <w:rFonts w:ascii="Garamond" w:eastAsia="Times New Roman" w:hAnsi="Garamond" w:cs="Times New Roman"/>
          <w:color w:val="000000" w:themeColor="text1"/>
          <w:sz w:val="22"/>
          <w:szCs w:val="22"/>
        </w:rPr>
        <w:t xml:space="preserve">to document, describe and analyse the role of professional IOs in the governance and regulation of contemporary built environments.  It has argued that much of the literature on urban governance and </w:t>
      </w:r>
      <w:r w:rsidR="00541802" w:rsidRPr="00263267">
        <w:rPr>
          <w:rFonts w:ascii="Garamond" w:eastAsia="Times New Roman" w:hAnsi="Garamond" w:cs="Times New Roman"/>
          <w:color w:val="000000" w:themeColor="text1"/>
          <w:sz w:val="22"/>
          <w:szCs w:val="22"/>
        </w:rPr>
        <w:t xml:space="preserve">on the regulation </w:t>
      </w:r>
      <w:r w:rsidRPr="00263267">
        <w:rPr>
          <w:rFonts w:ascii="Garamond" w:eastAsia="Times New Roman" w:hAnsi="Garamond" w:cs="Times New Roman"/>
          <w:color w:val="000000" w:themeColor="text1"/>
          <w:sz w:val="22"/>
          <w:szCs w:val="22"/>
        </w:rPr>
        <w:t xml:space="preserve">of the built environment </w:t>
      </w:r>
      <w:r w:rsidR="00541802" w:rsidRPr="00263267">
        <w:rPr>
          <w:rFonts w:ascii="Garamond" w:eastAsia="Times New Roman" w:hAnsi="Garamond" w:cs="Times New Roman"/>
          <w:color w:val="000000" w:themeColor="text1"/>
          <w:sz w:val="22"/>
          <w:szCs w:val="22"/>
        </w:rPr>
        <w:t>especially,</w:t>
      </w:r>
      <w:r w:rsidRPr="00263267">
        <w:rPr>
          <w:rFonts w:ascii="Garamond" w:eastAsia="Times New Roman" w:hAnsi="Garamond" w:cs="Times New Roman"/>
          <w:color w:val="000000" w:themeColor="text1"/>
          <w:sz w:val="22"/>
          <w:szCs w:val="22"/>
        </w:rPr>
        <w:t xml:space="preserve"> draws on</w:t>
      </w:r>
      <w:r w:rsidR="00837177" w:rsidRPr="00263267">
        <w:rPr>
          <w:rFonts w:ascii="Garamond" w:eastAsia="Times New Roman" w:hAnsi="Garamond" w:cs="Times New Roman"/>
          <w:color w:val="000000" w:themeColor="text1"/>
          <w:sz w:val="22"/>
          <w:szCs w:val="22"/>
        </w:rPr>
        <w:t xml:space="preserve"> analytical</w:t>
      </w:r>
      <w:r w:rsidRPr="00263267">
        <w:rPr>
          <w:rFonts w:ascii="Garamond" w:eastAsia="Times New Roman" w:hAnsi="Garamond" w:cs="Times New Roman"/>
          <w:color w:val="000000" w:themeColor="text1"/>
          <w:sz w:val="22"/>
          <w:szCs w:val="22"/>
        </w:rPr>
        <w:t xml:space="preserve"> separation</w:t>
      </w:r>
      <w:r w:rsidR="002F4F9D" w:rsidRPr="00263267">
        <w:rPr>
          <w:rFonts w:ascii="Garamond" w:eastAsia="Times New Roman" w:hAnsi="Garamond" w:cs="Times New Roman"/>
          <w:color w:val="000000" w:themeColor="text1"/>
          <w:sz w:val="22"/>
          <w:szCs w:val="22"/>
        </w:rPr>
        <w:t>s</w:t>
      </w:r>
      <w:r w:rsidRPr="00263267">
        <w:rPr>
          <w:rFonts w:ascii="Garamond" w:eastAsia="Times New Roman" w:hAnsi="Garamond" w:cs="Times New Roman"/>
          <w:color w:val="000000" w:themeColor="text1"/>
          <w:sz w:val="22"/>
          <w:szCs w:val="22"/>
        </w:rPr>
        <w:t xml:space="preserve"> between rule-makers and rule-takers</w:t>
      </w:r>
      <w:r w:rsidR="00E44F23" w:rsidRPr="00263267">
        <w:rPr>
          <w:rFonts w:ascii="Garamond" w:eastAsia="Times New Roman" w:hAnsi="Garamond" w:cs="Times New Roman"/>
          <w:color w:val="000000" w:themeColor="text1"/>
          <w:sz w:val="22"/>
          <w:szCs w:val="22"/>
        </w:rPr>
        <w:t xml:space="preserve"> and underplays the liquidity of </w:t>
      </w:r>
      <w:r w:rsidR="00BF65BD" w:rsidRPr="00263267">
        <w:rPr>
          <w:rFonts w:ascii="Garamond" w:eastAsia="Times New Roman" w:hAnsi="Garamond" w:cs="Times New Roman"/>
          <w:color w:val="000000" w:themeColor="text1"/>
          <w:sz w:val="22"/>
          <w:szCs w:val="22"/>
        </w:rPr>
        <w:t>policy</w:t>
      </w:r>
      <w:r w:rsidR="008F172B" w:rsidRPr="00263267">
        <w:rPr>
          <w:rFonts w:ascii="Garamond" w:eastAsia="Times New Roman" w:hAnsi="Garamond" w:cs="Times New Roman"/>
          <w:color w:val="000000" w:themeColor="text1"/>
          <w:sz w:val="22"/>
          <w:szCs w:val="22"/>
        </w:rPr>
        <w:t>-</w:t>
      </w:r>
      <w:r w:rsidR="00BF65BD" w:rsidRPr="00263267">
        <w:rPr>
          <w:rFonts w:ascii="Garamond" w:eastAsia="Times New Roman" w:hAnsi="Garamond" w:cs="Times New Roman"/>
          <w:color w:val="000000" w:themeColor="text1"/>
          <w:sz w:val="22"/>
          <w:szCs w:val="22"/>
        </w:rPr>
        <w:t>making</w:t>
      </w:r>
      <w:r w:rsidR="00E44F23" w:rsidRPr="00263267">
        <w:rPr>
          <w:rFonts w:ascii="Garamond" w:eastAsia="Times New Roman" w:hAnsi="Garamond" w:cs="Times New Roman"/>
          <w:color w:val="000000" w:themeColor="text1"/>
          <w:sz w:val="22"/>
          <w:szCs w:val="22"/>
        </w:rPr>
        <w:t xml:space="preserve"> and implementation systems (</w:t>
      </w:r>
      <w:r w:rsidR="00E44F23" w:rsidRPr="00263267">
        <w:rPr>
          <w:rFonts w:ascii="Garamond" w:eastAsia="Times New Roman" w:hAnsi="Garamond" w:cs="Times New Roman"/>
          <w:i/>
          <w:color w:val="000000" w:themeColor="text1"/>
          <w:sz w:val="22"/>
          <w:szCs w:val="22"/>
        </w:rPr>
        <w:t xml:space="preserve">cf. </w:t>
      </w:r>
      <w:r w:rsidR="00E44F23" w:rsidRPr="00263267">
        <w:rPr>
          <w:rFonts w:ascii="Garamond" w:eastAsia="Times New Roman" w:hAnsi="Garamond" w:cs="Times New Roman"/>
          <w:color w:val="000000" w:themeColor="text1"/>
          <w:sz w:val="22"/>
          <w:szCs w:val="22"/>
        </w:rPr>
        <w:t xml:space="preserve">Black, 2017).  </w:t>
      </w:r>
      <w:r w:rsidRPr="00263267">
        <w:rPr>
          <w:rFonts w:ascii="Garamond" w:eastAsia="Times New Roman" w:hAnsi="Garamond" w:cs="Times New Roman"/>
          <w:color w:val="000000" w:themeColor="text1"/>
          <w:sz w:val="22"/>
          <w:szCs w:val="22"/>
        </w:rPr>
        <w:t xml:space="preserve">Commentators on the marketisation of planning reform, for instance, have paid </w:t>
      </w:r>
      <w:r w:rsidR="002F4F9D" w:rsidRPr="00263267">
        <w:rPr>
          <w:rFonts w:ascii="Garamond" w:eastAsia="Times New Roman" w:hAnsi="Garamond" w:cs="Times New Roman"/>
          <w:color w:val="000000" w:themeColor="text1"/>
          <w:sz w:val="22"/>
          <w:szCs w:val="22"/>
        </w:rPr>
        <w:t>little</w:t>
      </w:r>
      <w:r w:rsidRPr="00263267">
        <w:rPr>
          <w:rFonts w:ascii="Garamond" w:eastAsia="Times New Roman" w:hAnsi="Garamond" w:cs="Times New Roman"/>
          <w:color w:val="000000" w:themeColor="text1"/>
          <w:sz w:val="22"/>
          <w:szCs w:val="22"/>
        </w:rPr>
        <w:t xml:space="preserve"> attention to the role of </w:t>
      </w:r>
      <w:r w:rsidR="00837177" w:rsidRPr="00263267">
        <w:rPr>
          <w:rFonts w:ascii="Garamond" w:eastAsia="Times New Roman" w:hAnsi="Garamond" w:cs="Times New Roman"/>
          <w:color w:val="000000" w:themeColor="text1"/>
          <w:sz w:val="22"/>
          <w:szCs w:val="22"/>
        </w:rPr>
        <w:t>intermediarie</w:t>
      </w:r>
      <w:r w:rsidRPr="00263267">
        <w:rPr>
          <w:rFonts w:ascii="Garamond" w:eastAsia="Times New Roman" w:hAnsi="Garamond" w:cs="Times New Roman"/>
          <w:color w:val="000000" w:themeColor="text1"/>
          <w:sz w:val="22"/>
          <w:szCs w:val="22"/>
        </w:rPr>
        <w:t xml:space="preserve">s, their practices, or ways of working in documenting reform </w:t>
      </w:r>
      <w:r w:rsidR="00E44F23" w:rsidRPr="00263267">
        <w:rPr>
          <w:rFonts w:ascii="Garamond" w:eastAsia="Times New Roman" w:hAnsi="Garamond" w:cs="Times New Roman"/>
          <w:color w:val="000000" w:themeColor="text1"/>
          <w:sz w:val="22"/>
          <w:szCs w:val="22"/>
        </w:rPr>
        <w:t xml:space="preserve">and focus on policy changes and central government ‘intentions’, with little reflection on where and how professional knowledge practices and institutionalised structures influence </w:t>
      </w:r>
      <w:r w:rsidR="00541802" w:rsidRPr="00263267">
        <w:rPr>
          <w:rFonts w:ascii="Garamond" w:eastAsia="Times New Roman" w:hAnsi="Garamond" w:cs="Times New Roman"/>
          <w:color w:val="000000" w:themeColor="text1"/>
          <w:sz w:val="22"/>
          <w:szCs w:val="22"/>
        </w:rPr>
        <w:t>the direction of change</w:t>
      </w:r>
      <w:r w:rsidR="00E44F23" w:rsidRPr="00263267">
        <w:rPr>
          <w:rFonts w:ascii="Garamond" w:eastAsia="Times New Roman" w:hAnsi="Garamond" w:cs="Times New Roman"/>
          <w:color w:val="000000" w:themeColor="text1"/>
          <w:sz w:val="22"/>
          <w:szCs w:val="22"/>
        </w:rPr>
        <w:t xml:space="preserve"> </w:t>
      </w:r>
      <w:r w:rsidRPr="00263267">
        <w:rPr>
          <w:rFonts w:ascii="Garamond" w:eastAsia="Times New Roman" w:hAnsi="Garamond" w:cs="Times New Roman"/>
          <w:color w:val="000000" w:themeColor="text1"/>
          <w:sz w:val="22"/>
          <w:szCs w:val="22"/>
        </w:rPr>
        <w:t>(e.g. Lord and Tewdwr-Jones, 2014).  At the same time, much of the w</w:t>
      </w:r>
      <w:r w:rsidR="005C09BD" w:rsidRPr="00263267">
        <w:rPr>
          <w:rFonts w:ascii="Garamond" w:eastAsia="Times New Roman" w:hAnsi="Garamond" w:cs="Times New Roman"/>
          <w:color w:val="000000" w:themeColor="text1"/>
          <w:sz w:val="22"/>
          <w:szCs w:val="22"/>
        </w:rPr>
        <w:t>riting</w:t>
      </w:r>
      <w:r w:rsidRPr="00263267">
        <w:rPr>
          <w:rFonts w:ascii="Garamond" w:eastAsia="Times New Roman" w:hAnsi="Garamond" w:cs="Times New Roman"/>
          <w:color w:val="000000" w:themeColor="text1"/>
          <w:sz w:val="22"/>
          <w:szCs w:val="22"/>
        </w:rPr>
        <w:t xml:space="preserve"> in regulation studies and political science </w:t>
      </w:r>
      <w:r w:rsidR="00541802" w:rsidRPr="00263267">
        <w:rPr>
          <w:rFonts w:ascii="Garamond" w:eastAsia="Times New Roman" w:hAnsi="Garamond" w:cs="Times New Roman"/>
          <w:color w:val="000000" w:themeColor="text1"/>
          <w:sz w:val="22"/>
          <w:szCs w:val="22"/>
        </w:rPr>
        <w:t xml:space="preserve">on intermediaries </w:t>
      </w:r>
      <w:r w:rsidRPr="00263267">
        <w:rPr>
          <w:rFonts w:ascii="Garamond" w:eastAsia="Times New Roman" w:hAnsi="Garamond" w:cs="Times New Roman"/>
          <w:color w:val="000000" w:themeColor="text1"/>
          <w:sz w:val="22"/>
          <w:szCs w:val="22"/>
        </w:rPr>
        <w:t xml:space="preserve">is overly concerned with abstract conceptions </w:t>
      </w:r>
      <w:r w:rsidR="00BF65BD" w:rsidRPr="00263267">
        <w:rPr>
          <w:rFonts w:ascii="Garamond" w:eastAsia="Times New Roman" w:hAnsi="Garamond" w:cs="Times New Roman"/>
          <w:color w:val="000000" w:themeColor="text1"/>
          <w:sz w:val="22"/>
          <w:szCs w:val="22"/>
        </w:rPr>
        <w:t xml:space="preserve">of </w:t>
      </w:r>
      <w:r w:rsidR="00541802" w:rsidRPr="00263267">
        <w:rPr>
          <w:rFonts w:ascii="Garamond" w:eastAsia="Times New Roman" w:hAnsi="Garamond" w:cs="Times New Roman"/>
          <w:color w:val="000000" w:themeColor="text1"/>
          <w:sz w:val="22"/>
          <w:szCs w:val="22"/>
        </w:rPr>
        <w:t>policy-making systems</w:t>
      </w:r>
      <w:r w:rsidRPr="00263267">
        <w:rPr>
          <w:rFonts w:ascii="Garamond" w:eastAsia="Times New Roman" w:hAnsi="Garamond" w:cs="Times New Roman"/>
          <w:color w:val="000000" w:themeColor="text1"/>
          <w:sz w:val="22"/>
          <w:szCs w:val="22"/>
        </w:rPr>
        <w:t xml:space="preserve"> (</w:t>
      </w:r>
      <w:r w:rsidRPr="00263267">
        <w:rPr>
          <w:rFonts w:ascii="Garamond" w:eastAsia="Times New Roman" w:hAnsi="Garamond" w:cs="Times New Roman"/>
          <w:i/>
          <w:color w:val="000000" w:themeColor="text1"/>
          <w:sz w:val="22"/>
          <w:szCs w:val="22"/>
        </w:rPr>
        <w:t xml:space="preserve">cf. </w:t>
      </w:r>
      <w:r w:rsidRPr="00263267">
        <w:rPr>
          <w:rFonts w:ascii="Garamond" w:eastAsia="Times New Roman" w:hAnsi="Garamond" w:cs="Times New Roman"/>
          <w:color w:val="000000" w:themeColor="text1"/>
          <w:sz w:val="22"/>
          <w:szCs w:val="22"/>
        </w:rPr>
        <w:t xml:space="preserve">Abbott et al, 2017), </w:t>
      </w:r>
      <w:r w:rsidR="00541802" w:rsidRPr="00263267">
        <w:rPr>
          <w:rFonts w:ascii="Garamond" w:eastAsia="Times New Roman" w:hAnsi="Garamond" w:cs="Times New Roman"/>
          <w:color w:val="000000" w:themeColor="text1"/>
          <w:sz w:val="22"/>
          <w:szCs w:val="22"/>
        </w:rPr>
        <w:t>and draw</w:t>
      </w:r>
      <w:r w:rsidRPr="00263267">
        <w:rPr>
          <w:rFonts w:ascii="Garamond" w:eastAsia="Times New Roman" w:hAnsi="Garamond" w:cs="Times New Roman"/>
          <w:color w:val="000000" w:themeColor="text1"/>
          <w:sz w:val="22"/>
          <w:szCs w:val="22"/>
        </w:rPr>
        <w:t xml:space="preserve"> li</w:t>
      </w:r>
      <w:r w:rsidR="002F4F9D" w:rsidRPr="00263267">
        <w:rPr>
          <w:rFonts w:ascii="Garamond" w:eastAsia="Times New Roman" w:hAnsi="Garamond" w:cs="Times New Roman"/>
          <w:color w:val="000000" w:themeColor="text1"/>
          <w:sz w:val="22"/>
          <w:szCs w:val="22"/>
        </w:rPr>
        <w:t>mited</w:t>
      </w:r>
      <w:r w:rsidRPr="00263267">
        <w:rPr>
          <w:rFonts w:ascii="Garamond" w:eastAsia="Times New Roman" w:hAnsi="Garamond" w:cs="Times New Roman"/>
          <w:color w:val="000000" w:themeColor="text1"/>
          <w:sz w:val="22"/>
          <w:szCs w:val="22"/>
        </w:rPr>
        <w:t xml:space="preserve"> </w:t>
      </w:r>
      <w:r w:rsidR="00541802" w:rsidRPr="00263267">
        <w:rPr>
          <w:rFonts w:ascii="Garamond" w:eastAsia="Times New Roman" w:hAnsi="Garamond" w:cs="Times New Roman"/>
          <w:color w:val="000000" w:themeColor="text1"/>
          <w:sz w:val="22"/>
          <w:szCs w:val="22"/>
        </w:rPr>
        <w:t>insights into</w:t>
      </w:r>
      <w:r w:rsidRPr="00263267">
        <w:rPr>
          <w:rFonts w:ascii="Garamond" w:eastAsia="Times New Roman" w:hAnsi="Garamond" w:cs="Times New Roman"/>
          <w:color w:val="000000" w:themeColor="text1"/>
          <w:sz w:val="22"/>
          <w:szCs w:val="22"/>
        </w:rPr>
        <w:t xml:space="preserve"> how specific examples operate in different contexts, whilst also under-playing the recursive interactions between broader political</w:t>
      </w:r>
      <w:r w:rsidR="00837177" w:rsidRPr="00263267">
        <w:rPr>
          <w:rFonts w:ascii="Garamond" w:eastAsia="Times New Roman" w:hAnsi="Garamond" w:cs="Times New Roman"/>
          <w:color w:val="000000" w:themeColor="text1"/>
          <w:sz w:val="22"/>
          <w:szCs w:val="22"/>
        </w:rPr>
        <w:t>-</w:t>
      </w:r>
      <w:r w:rsidRPr="00263267">
        <w:rPr>
          <w:rFonts w:ascii="Garamond" w:eastAsia="Times New Roman" w:hAnsi="Garamond" w:cs="Times New Roman"/>
          <w:color w:val="000000" w:themeColor="text1"/>
          <w:sz w:val="22"/>
          <w:szCs w:val="22"/>
        </w:rPr>
        <w:t>ideological contexts</w:t>
      </w:r>
      <w:r w:rsidR="00900ADF" w:rsidRPr="00263267">
        <w:rPr>
          <w:rFonts w:ascii="Garamond" w:eastAsia="Times New Roman" w:hAnsi="Garamond" w:cs="Times New Roman"/>
          <w:color w:val="000000" w:themeColor="text1"/>
          <w:sz w:val="22"/>
          <w:szCs w:val="22"/>
        </w:rPr>
        <w:t>.</w:t>
      </w:r>
      <w:r w:rsidRPr="00263267">
        <w:rPr>
          <w:rFonts w:ascii="Garamond" w:eastAsia="Times New Roman" w:hAnsi="Garamond" w:cs="Times New Roman"/>
          <w:color w:val="000000" w:themeColor="text1"/>
          <w:sz w:val="22"/>
          <w:szCs w:val="22"/>
        </w:rPr>
        <w:t xml:space="preserve">  </w:t>
      </w:r>
    </w:p>
    <w:p w14:paraId="7CE0CA96" w14:textId="40464325" w:rsidR="0099154E" w:rsidRPr="00263267" w:rsidRDefault="0099154E" w:rsidP="006D08D9">
      <w:pPr>
        <w:spacing w:line="276" w:lineRule="auto"/>
        <w:jc w:val="both"/>
        <w:rPr>
          <w:rFonts w:ascii="Garamond" w:eastAsia="Times New Roman" w:hAnsi="Garamond" w:cs="Times New Roman"/>
          <w:color w:val="000000" w:themeColor="text1"/>
          <w:sz w:val="22"/>
          <w:szCs w:val="22"/>
        </w:rPr>
      </w:pPr>
    </w:p>
    <w:p w14:paraId="35D48AB7" w14:textId="4568C271" w:rsidR="003532D3" w:rsidRPr="00263267" w:rsidRDefault="0099154E" w:rsidP="006D08D9">
      <w:pPr>
        <w:spacing w:line="276" w:lineRule="auto"/>
        <w:jc w:val="both"/>
        <w:rPr>
          <w:rFonts w:ascii="Garamond" w:eastAsia="Times New Roman" w:hAnsi="Garamond" w:cs="Times New Roman"/>
          <w:color w:val="000000" w:themeColor="text1"/>
          <w:sz w:val="22"/>
          <w:szCs w:val="22"/>
        </w:rPr>
      </w:pPr>
      <w:r w:rsidRPr="00263267">
        <w:rPr>
          <w:rFonts w:ascii="Garamond" w:eastAsia="Times New Roman" w:hAnsi="Garamond" w:cs="Times New Roman"/>
          <w:color w:val="000000" w:themeColor="text1"/>
          <w:sz w:val="22"/>
          <w:szCs w:val="22"/>
        </w:rPr>
        <w:t>RICS and RTPI are part of wider community of</w:t>
      </w:r>
      <w:r w:rsidR="005C09BD" w:rsidRPr="00263267">
        <w:rPr>
          <w:rFonts w:ascii="Garamond" w:eastAsia="Times New Roman" w:hAnsi="Garamond" w:cs="Times New Roman"/>
          <w:color w:val="000000" w:themeColor="text1"/>
          <w:sz w:val="22"/>
          <w:szCs w:val="22"/>
        </w:rPr>
        <w:t xml:space="preserve"> built environment</w:t>
      </w:r>
      <w:r w:rsidRPr="00263267">
        <w:rPr>
          <w:rFonts w:ascii="Garamond" w:eastAsia="Times New Roman" w:hAnsi="Garamond" w:cs="Times New Roman"/>
          <w:color w:val="000000" w:themeColor="text1"/>
          <w:sz w:val="22"/>
          <w:szCs w:val="22"/>
        </w:rPr>
        <w:t xml:space="preserve"> IOs, each of which possesses varying resources, outlooks, memberships and political agendas</w:t>
      </w:r>
      <w:r w:rsidR="00BF65BD" w:rsidRPr="00263267">
        <w:rPr>
          <w:rFonts w:ascii="Garamond" w:eastAsia="Times New Roman" w:hAnsi="Garamond" w:cs="Times New Roman"/>
          <w:color w:val="000000" w:themeColor="text1"/>
          <w:sz w:val="22"/>
          <w:szCs w:val="22"/>
        </w:rPr>
        <w:t xml:space="preserve"> and </w:t>
      </w:r>
      <w:r w:rsidRPr="00263267">
        <w:rPr>
          <w:rFonts w:ascii="Garamond" w:eastAsia="Times New Roman" w:hAnsi="Garamond" w:cs="Times New Roman"/>
          <w:color w:val="000000" w:themeColor="text1"/>
          <w:sz w:val="22"/>
          <w:szCs w:val="22"/>
        </w:rPr>
        <w:t xml:space="preserve">objectives.  </w:t>
      </w:r>
      <w:r w:rsidR="00B8480D" w:rsidRPr="00263267">
        <w:rPr>
          <w:rFonts w:ascii="Garamond" w:eastAsia="Times New Roman" w:hAnsi="Garamond" w:cs="Times New Roman"/>
          <w:color w:val="000000" w:themeColor="text1"/>
          <w:sz w:val="22"/>
          <w:szCs w:val="22"/>
        </w:rPr>
        <w:t xml:space="preserve">Both seek to act as ‘thought leaders’ or learned organisations, </w:t>
      </w:r>
      <w:r w:rsidR="00BF65BD" w:rsidRPr="00263267">
        <w:rPr>
          <w:rFonts w:ascii="Garamond" w:eastAsia="Times New Roman" w:hAnsi="Garamond" w:cs="Times New Roman"/>
          <w:color w:val="000000" w:themeColor="text1"/>
          <w:sz w:val="22"/>
          <w:szCs w:val="22"/>
        </w:rPr>
        <w:t xml:space="preserve">commissioning </w:t>
      </w:r>
      <w:r w:rsidR="00B8480D" w:rsidRPr="00263267">
        <w:rPr>
          <w:rFonts w:ascii="Garamond" w:eastAsia="Times New Roman" w:hAnsi="Garamond" w:cs="Times New Roman"/>
          <w:color w:val="000000" w:themeColor="text1"/>
          <w:sz w:val="22"/>
          <w:szCs w:val="22"/>
        </w:rPr>
        <w:t xml:space="preserve">independent research as a way of entrenching a wider strategy of being seen to be working in the public interest.  </w:t>
      </w:r>
      <w:r w:rsidRPr="00263267">
        <w:rPr>
          <w:rFonts w:ascii="Garamond" w:eastAsia="Times New Roman" w:hAnsi="Garamond" w:cs="Times New Roman"/>
          <w:color w:val="000000" w:themeColor="text1"/>
          <w:sz w:val="22"/>
          <w:szCs w:val="22"/>
        </w:rPr>
        <w:t xml:space="preserve">Their presence has played a key role in influencing regulations and shifts in emphasis towards the numerical/calculative logics that market-led reform inculcates.  </w:t>
      </w:r>
      <w:r w:rsidR="005C09BD" w:rsidRPr="00263267">
        <w:rPr>
          <w:rFonts w:ascii="Garamond" w:eastAsia="Times New Roman" w:hAnsi="Garamond" w:cs="Times New Roman"/>
          <w:color w:val="000000" w:themeColor="text1"/>
          <w:sz w:val="22"/>
          <w:szCs w:val="22"/>
        </w:rPr>
        <w:t xml:space="preserve">But their influence has </w:t>
      </w:r>
      <w:r w:rsidR="00837177" w:rsidRPr="00263267">
        <w:rPr>
          <w:rFonts w:ascii="Garamond" w:eastAsia="Times New Roman" w:hAnsi="Garamond" w:cs="Times New Roman"/>
          <w:color w:val="000000" w:themeColor="text1"/>
          <w:sz w:val="22"/>
          <w:szCs w:val="22"/>
        </w:rPr>
        <w:t>diverged</w:t>
      </w:r>
      <w:r w:rsidR="005C09BD" w:rsidRPr="00263267">
        <w:rPr>
          <w:rFonts w:ascii="Garamond" w:eastAsia="Times New Roman" w:hAnsi="Garamond" w:cs="Times New Roman"/>
          <w:color w:val="000000" w:themeColor="text1"/>
          <w:sz w:val="22"/>
          <w:szCs w:val="22"/>
        </w:rPr>
        <w:t xml:space="preserve">.  </w:t>
      </w:r>
      <w:r w:rsidR="003532D3" w:rsidRPr="00263267">
        <w:rPr>
          <w:rFonts w:ascii="Garamond" w:eastAsia="Times New Roman" w:hAnsi="Garamond" w:cs="Times New Roman"/>
          <w:color w:val="000000" w:themeColor="text1"/>
          <w:sz w:val="22"/>
          <w:szCs w:val="22"/>
        </w:rPr>
        <w:t xml:space="preserve">In the case of RICS, the technical professional knowledge </w:t>
      </w:r>
      <w:r w:rsidR="00BF65BD" w:rsidRPr="00263267">
        <w:rPr>
          <w:rFonts w:ascii="Garamond" w:eastAsia="Times New Roman" w:hAnsi="Garamond" w:cs="Times New Roman"/>
          <w:color w:val="000000" w:themeColor="text1"/>
          <w:sz w:val="22"/>
          <w:szCs w:val="22"/>
        </w:rPr>
        <w:t xml:space="preserve">of valuation </w:t>
      </w:r>
      <w:r w:rsidR="003532D3" w:rsidRPr="00263267">
        <w:rPr>
          <w:rFonts w:ascii="Garamond" w:eastAsia="Times New Roman" w:hAnsi="Garamond" w:cs="Times New Roman"/>
          <w:color w:val="000000" w:themeColor="text1"/>
          <w:sz w:val="22"/>
          <w:szCs w:val="22"/>
        </w:rPr>
        <w:t xml:space="preserve">and codes that they possess, have increased their influence on built environment regulation </w:t>
      </w:r>
      <w:r w:rsidR="002F4F9D" w:rsidRPr="00263267">
        <w:rPr>
          <w:rFonts w:ascii="Garamond" w:eastAsia="Times New Roman" w:hAnsi="Garamond" w:cs="Times New Roman"/>
          <w:color w:val="000000" w:themeColor="text1"/>
          <w:sz w:val="22"/>
          <w:szCs w:val="22"/>
        </w:rPr>
        <w:t xml:space="preserve">both </w:t>
      </w:r>
      <w:r w:rsidR="003532D3" w:rsidRPr="00263267">
        <w:rPr>
          <w:rFonts w:ascii="Garamond" w:eastAsia="Times New Roman" w:hAnsi="Garamond" w:cs="Times New Roman"/>
          <w:color w:val="000000" w:themeColor="text1"/>
          <w:sz w:val="22"/>
          <w:szCs w:val="22"/>
        </w:rPr>
        <w:t xml:space="preserve">because their presence establishes a platform for reform, </w:t>
      </w:r>
      <w:r w:rsidR="002F4F9D" w:rsidRPr="00263267">
        <w:rPr>
          <w:rFonts w:ascii="Garamond" w:eastAsia="Times New Roman" w:hAnsi="Garamond" w:cs="Times New Roman"/>
          <w:color w:val="000000" w:themeColor="text1"/>
          <w:sz w:val="22"/>
          <w:szCs w:val="22"/>
        </w:rPr>
        <w:t xml:space="preserve">and </w:t>
      </w:r>
      <w:r w:rsidR="003532D3" w:rsidRPr="00263267">
        <w:rPr>
          <w:rFonts w:ascii="Garamond" w:eastAsia="Times New Roman" w:hAnsi="Garamond" w:cs="Times New Roman"/>
          <w:color w:val="000000" w:themeColor="text1"/>
          <w:sz w:val="22"/>
          <w:szCs w:val="22"/>
        </w:rPr>
        <w:t xml:space="preserve">governments since 2010 have </w:t>
      </w:r>
      <w:r w:rsidR="002F4F9D" w:rsidRPr="00263267">
        <w:rPr>
          <w:rFonts w:ascii="Garamond" w:eastAsia="Times New Roman" w:hAnsi="Garamond" w:cs="Times New Roman"/>
          <w:color w:val="000000" w:themeColor="text1"/>
          <w:sz w:val="22"/>
          <w:szCs w:val="22"/>
        </w:rPr>
        <w:t>sought to expand</w:t>
      </w:r>
      <w:r w:rsidR="003532D3" w:rsidRPr="00263267">
        <w:rPr>
          <w:rFonts w:ascii="Garamond" w:eastAsia="Times New Roman" w:hAnsi="Garamond" w:cs="Times New Roman"/>
          <w:color w:val="000000" w:themeColor="text1"/>
          <w:sz w:val="22"/>
          <w:szCs w:val="22"/>
        </w:rPr>
        <w:t xml:space="preserve"> the scope and scale of market-led </w:t>
      </w:r>
      <w:r w:rsidR="002F4F9D" w:rsidRPr="00263267">
        <w:rPr>
          <w:rFonts w:ascii="Garamond" w:eastAsia="Times New Roman" w:hAnsi="Garamond" w:cs="Times New Roman"/>
          <w:color w:val="000000" w:themeColor="text1"/>
          <w:sz w:val="22"/>
          <w:szCs w:val="22"/>
        </w:rPr>
        <w:t>knowledge practices in the planning systems</w:t>
      </w:r>
      <w:r w:rsidR="003532D3" w:rsidRPr="00263267">
        <w:rPr>
          <w:rFonts w:ascii="Garamond" w:eastAsia="Times New Roman" w:hAnsi="Garamond" w:cs="Times New Roman"/>
          <w:color w:val="000000" w:themeColor="text1"/>
          <w:sz w:val="22"/>
          <w:szCs w:val="22"/>
        </w:rPr>
        <w:t xml:space="preserve">.  </w:t>
      </w:r>
      <w:r w:rsidR="002F4F9D" w:rsidRPr="00263267">
        <w:rPr>
          <w:rFonts w:ascii="Garamond" w:eastAsia="Times New Roman" w:hAnsi="Garamond" w:cs="Times New Roman"/>
          <w:color w:val="000000" w:themeColor="text1"/>
          <w:sz w:val="22"/>
          <w:szCs w:val="22"/>
        </w:rPr>
        <w:t xml:space="preserve">Conversely, </w:t>
      </w:r>
      <w:r w:rsidR="005C09BD" w:rsidRPr="00263267">
        <w:rPr>
          <w:rFonts w:ascii="Garamond" w:eastAsia="Times New Roman" w:hAnsi="Garamond" w:cs="Times New Roman"/>
          <w:color w:val="000000" w:themeColor="text1"/>
          <w:sz w:val="22"/>
          <w:szCs w:val="22"/>
        </w:rPr>
        <w:t>intermediaries</w:t>
      </w:r>
      <w:r w:rsidR="003532D3" w:rsidRPr="00263267">
        <w:rPr>
          <w:rFonts w:ascii="Garamond" w:eastAsia="Times New Roman" w:hAnsi="Garamond" w:cs="Times New Roman"/>
          <w:color w:val="000000" w:themeColor="text1"/>
          <w:sz w:val="22"/>
          <w:szCs w:val="22"/>
        </w:rPr>
        <w:t xml:space="preserve"> such as </w:t>
      </w:r>
      <w:r w:rsidR="005C09BD" w:rsidRPr="00263267">
        <w:rPr>
          <w:rFonts w:ascii="Garamond" w:eastAsia="Times New Roman" w:hAnsi="Garamond" w:cs="Times New Roman"/>
          <w:color w:val="000000" w:themeColor="text1"/>
          <w:sz w:val="22"/>
          <w:szCs w:val="22"/>
        </w:rPr>
        <w:t xml:space="preserve">the </w:t>
      </w:r>
      <w:r w:rsidR="00A86E93" w:rsidRPr="00263267">
        <w:rPr>
          <w:rFonts w:ascii="Garamond" w:eastAsia="Times New Roman" w:hAnsi="Garamond" w:cs="Times New Roman"/>
          <w:color w:val="000000" w:themeColor="text1"/>
          <w:sz w:val="22"/>
          <w:szCs w:val="22"/>
        </w:rPr>
        <w:t>RTPI</w:t>
      </w:r>
      <w:r w:rsidR="003532D3" w:rsidRPr="00263267">
        <w:rPr>
          <w:rFonts w:ascii="Garamond" w:eastAsia="Times New Roman" w:hAnsi="Garamond" w:cs="Times New Roman"/>
          <w:color w:val="000000" w:themeColor="text1"/>
          <w:sz w:val="22"/>
          <w:szCs w:val="22"/>
        </w:rPr>
        <w:t xml:space="preserve"> continue to advocate a role for more interventionist modes of planning, but their arguments have become less influential as the legitimacy of the </w:t>
      </w:r>
      <w:r w:rsidR="002F4F9D" w:rsidRPr="00263267">
        <w:rPr>
          <w:rFonts w:ascii="Garamond" w:eastAsia="Times New Roman" w:hAnsi="Garamond" w:cs="Times New Roman"/>
          <w:color w:val="000000" w:themeColor="text1"/>
          <w:sz w:val="22"/>
          <w:szCs w:val="22"/>
        </w:rPr>
        <w:t xml:space="preserve">planning </w:t>
      </w:r>
      <w:r w:rsidR="003532D3" w:rsidRPr="00263267">
        <w:rPr>
          <w:rFonts w:ascii="Garamond" w:eastAsia="Times New Roman" w:hAnsi="Garamond" w:cs="Times New Roman"/>
          <w:color w:val="000000" w:themeColor="text1"/>
          <w:sz w:val="22"/>
          <w:szCs w:val="22"/>
        </w:rPr>
        <w:t xml:space="preserve">system </w:t>
      </w:r>
      <w:r w:rsidR="002F4F9D" w:rsidRPr="00263267">
        <w:rPr>
          <w:rFonts w:ascii="Garamond" w:eastAsia="Times New Roman" w:hAnsi="Garamond" w:cs="Times New Roman"/>
          <w:color w:val="000000" w:themeColor="text1"/>
          <w:sz w:val="22"/>
          <w:szCs w:val="22"/>
        </w:rPr>
        <w:t xml:space="preserve">comes under concerted attack from central government and neo-liberal think-tanks </w:t>
      </w:r>
      <w:r w:rsidR="002F4F9D" w:rsidRPr="00263267">
        <w:rPr>
          <w:rFonts w:ascii="Garamond" w:eastAsia="Times New Roman" w:hAnsi="Garamond" w:cs="Times New Roman"/>
          <w:color w:val="000000" w:themeColor="text1"/>
          <w:sz w:val="22"/>
          <w:szCs w:val="22"/>
        </w:rPr>
        <w:fldChar w:fldCharType="begin"/>
      </w:r>
      <w:r w:rsidR="00270F18">
        <w:rPr>
          <w:rFonts w:ascii="Garamond" w:eastAsia="Times New Roman" w:hAnsi="Garamond" w:cs="Times New Roman"/>
          <w:color w:val="000000" w:themeColor="text1"/>
          <w:sz w:val="22"/>
          <w:szCs w:val="22"/>
        </w:rPr>
        <w:instrText xml:space="preserve"> ADDIN ZOTERO_ITEM CSL_CITATION {"citationID":"CWofxh2P","properties":{"formattedCitation":"(Airey &amp; Doughty, 2020)","plainCitation":"(Airey &amp; Doughty, 2020)","noteIndex":0},"citationItems":[{"id":3092,"uris":["http://zotero.org/groups/2307100/items/IWT5ZB5G"],"uri":["http://zotero.org/groups/2307100/items/IWT5ZB5G"],"itemData":{"id":3092,"type":"article","publisher":"Policy Exchange: London","title":"Rethinking the Planning System for the 21st Century","author":[{"family":"Airey","given":"J"},{"family":"Doughty","given":"C"}],"issued":{"date-parts":[["2020"]]}}}],"schema":"https://github.com/citation-style-language/schema/raw/master/csl-citation.json"} </w:instrText>
      </w:r>
      <w:r w:rsidR="002F4F9D" w:rsidRPr="00263267">
        <w:rPr>
          <w:rFonts w:ascii="Garamond" w:eastAsia="Times New Roman" w:hAnsi="Garamond" w:cs="Times New Roman"/>
          <w:color w:val="000000" w:themeColor="text1"/>
          <w:sz w:val="22"/>
          <w:szCs w:val="22"/>
        </w:rPr>
        <w:fldChar w:fldCharType="separate"/>
      </w:r>
      <w:r w:rsidR="002F4F9D" w:rsidRPr="00263267">
        <w:rPr>
          <w:rFonts w:ascii="Garamond" w:eastAsia="Times New Roman" w:hAnsi="Garamond" w:cs="Times New Roman"/>
          <w:noProof/>
          <w:color w:val="000000" w:themeColor="text1"/>
          <w:sz w:val="22"/>
          <w:szCs w:val="22"/>
        </w:rPr>
        <w:t>(Airey &amp; Doughty, 2020)</w:t>
      </w:r>
      <w:r w:rsidR="002F4F9D" w:rsidRPr="00263267">
        <w:rPr>
          <w:rFonts w:ascii="Garamond" w:eastAsia="Times New Roman" w:hAnsi="Garamond" w:cs="Times New Roman"/>
          <w:color w:val="000000" w:themeColor="text1"/>
          <w:sz w:val="22"/>
          <w:szCs w:val="22"/>
        </w:rPr>
        <w:fldChar w:fldCharType="end"/>
      </w:r>
      <w:r w:rsidR="002F4F9D" w:rsidRPr="00263267">
        <w:rPr>
          <w:rFonts w:ascii="Garamond" w:eastAsia="Times New Roman" w:hAnsi="Garamond" w:cs="Times New Roman"/>
          <w:color w:val="000000" w:themeColor="text1"/>
          <w:sz w:val="22"/>
          <w:szCs w:val="22"/>
        </w:rPr>
        <w:t>.</w:t>
      </w:r>
    </w:p>
    <w:p w14:paraId="35DA6360" w14:textId="77777777" w:rsidR="003532D3" w:rsidRPr="00263267" w:rsidRDefault="003532D3" w:rsidP="006D08D9">
      <w:pPr>
        <w:spacing w:line="276" w:lineRule="auto"/>
        <w:jc w:val="both"/>
        <w:rPr>
          <w:rFonts w:ascii="Garamond" w:eastAsia="Times New Roman" w:hAnsi="Garamond" w:cs="Times New Roman"/>
          <w:color w:val="000000" w:themeColor="text1"/>
          <w:sz w:val="22"/>
          <w:szCs w:val="22"/>
        </w:rPr>
      </w:pPr>
    </w:p>
    <w:p w14:paraId="16232C00" w14:textId="11934A57" w:rsidR="003532D3" w:rsidRPr="00263267" w:rsidRDefault="00BF65BD" w:rsidP="006D08D9">
      <w:pPr>
        <w:spacing w:line="276" w:lineRule="auto"/>
        <w:jc w:val="both"/>
        <w:rPr>
          <w:rFonts w:ascii="Garamond" w:eastAsia="Times New Roman" w:hAnsi="Garamond" w:cs="Times New Roman"/>
          <w:color w:val="000000" w:themeColor="text1"/>
          <w:sz w:val="22"/>
          <w:szCs w:val="22"/>
        </w:rPr>
      </w:pPr>
      <w:r w:rsidRPr="00263267">
        <w:rPr>
          <w:rFonts w:ascii="Garamond" w:eastAsia="Times New Roman" w:hAnsi="Garamond" w:cs="Times New Roman"/>
          <w:color w:val="000000" w:themeColor="text1"/>
          <w:sz w:val="22"/>
          <w:szCs w:val="22"/>
        </w:rPr>
        <w:t>T</w:t>
      </w:r>
      <w:r w:rsidR="00837177" w:rsidRPr="00263267">
        <w:rPr>
          <w:rFonts w:ascii="Garamond" w:eastAsia="Times New Roman" w:hAnsi="Garamond" w:cs="Times New Roman"/>
          <w:color w:val="000000" w:themeColor="text1"/>
          <w:sz w:val="22"/>
          <w:szCs w:val="22"/>
        </w:rPr>
        <w:t xml:space="preserve">he chapter has also highlighted the constant liquidity, precarity, and vulnerability of </w:t>
      </w:r>
      <w:r w:rsidR="00B8480D" w:rsidRPr="00263267">
        <w:rPr>
          <w:rFonts w:ascii="Garamond" w:eastAsia="Times New Roman" w:hAnsi="Garamond" w:cs="Times New Roman"/>
          <w:color w:val="000000" w:themeColor="text1"/>
          <w:sz w:val="22"/>
          <w:szCs w:val="22"/>
        </w:rPr>
        <w:t xml:space="preserve">such </w:t>
      </w:r>
      <w:r w:rsidR="00837177" w:rsidRPr="00263267">
        <w:rPr>
          <w:rFonts w:ascii="Garamond" w:eastAsia="Times New Roman" w:hAnsi="Garamond" w:cs="Times New Roman"/>
          <w:color w:val="000000" w:themeColor="text1"/>
          <w:sz w:val="22"/>
          <w:szCs w:val="22"/>
        </w:rPr>
        <w:t>intermediaries.  Their authority and legitimacy to act a</w:t>
      </w:r>
      <w:r w:rsidR="00900ADF" w:rsidRPr="00263267">
        <w:rPr>
          <w:rFonts w:ascii="Garamond" w:eastAsia="Times New Roman" w:hAnsi="Garamond" w:cs="Times New Roman"/>
          <w:color w:val="000000" w:themeColor="text1"/>
          <w:sz w:val="22"/>
          <w:szCs w:val="22"/>
        </w:rPr>
        <w:t>re</w:t>
      </w:r>
      <w:r w:rsidR="00837177" w:rsidRPr="00263267">
        <w:rPr>
          <w:rFonts w:ascii="Garamond" w:eastAsia="Times New Roman" w:hAnsi="Garamond" w:cs="Times New Roman"/>
          <w:color w:val="000000" w:themeColor="text1"/>
          <w:sz w:val="22"/>
          <w:szCs w:val="22"/>
        </w:rPr>
        <w:t xml:space="preserve"> constantly being re-shaped by the wider political environments </w:t>
      </w:r>
      <w:r w:rsidR="00837177" w:rsidRPr="00263267">
        <w:rPr>
          <w:rFonts w:ascii="Garamond" w:hAnsi="Garamond"/>
          <w:color w:val="000000" w:themeColor="text1"/>
          <w:sz w:val="22"/>
          <w:szCs w:val="22"/>
        </w:rPr>
        <w:t xml:space="preserve">and the regulatory spaces </w:t>
      </w:r>
      <w:r w:rsidR="00837177" w:rsidRPr="00263267">
        <w:rPr>
          <w:rFonts w:ascii="Garamond" w:eastAsia="Times New Roman" w:hAnsi="Garamond" w:cs="Times New Roman"/>
          <w:color w:val="000000" w:themeColor="text1"/>
          <w:sz w:val="22"/>
          <w:szCs w:val="22"/>
        </w:rPr>
        <w:t xml:space="preserve">in which they operate.  </w:t>
      </w:r>
      <w:r w:rsidR="008B0AAF">
        <w:rPr>
          <w:rFonts w:ascii="Garamond" w:hAnsi="Garamond"/>
          <w:color w:val="000000" w:themeColor="text1"/>
          <w:sz w:val="22"/>
          <w:szCs w:val="22"/>
        </w:rPr>
        <w:t>The chapter has noted that they establish and develop unstable coalitions and constellations of expertise but these</w:t>
      </w:r>
      <w:r w:rsidR="00837177" w:rsidRPr="00263267">
        <w:rPr>
          <w:rFonts w:ascii="Garamond" w:eastAsia="Times New Roman" w:hAnsi="Garamond" w:cs="Times New Roman"/>
          <w:color w:val="000000" w:themeColor="text1"/>
          <w:sz w:val="22"/>
          <w:szCs w:val="22"/>
        </w:rPr>
        <w:t xml:space="preserve"> are always</w:t>
      </w:r>
      <w:r w:rsidR="00837177" w:rsidRPr="00263267">
        <w:rPr>
          <w:rFonts w:ascii="Garamond" w:hAnsi="Garamond"/>
          <w:i/>
          <w:color w:val="000000" w:themeColor="text1"/>
          <w:sz w:val="22"/>
          <w:szCs w:val="22"/>
        </w:rPr>
        <w:t xml:space="preserve"> </w:t>
      </w:r>
      <w:r w:rsidR="00837177" w:rsidRPr="00263267">
        <w:rPr>
          <w:rFonts w:ascii="Garamond" w:hAnsi="Garamond"/>
          <w:color w:val="000000" w:themeColor="text1"/>
          <w:sz w:val="22"/>
          <w:szCs w:val="22"/>
        </w:rPr>
        <w:t xml:space="preserve">vulnerable to policy reforms, especially in the fields of planning in which governments have consistently criticised the role of ‘bureaucracy’ and </w:t>
      </w:r>
      <w:r w:rsidR="00B8480D" w:rsidRPr="00263267">
        <w:rPr>
          <w:rFonts w:ascii="Garamond" w:hAnsi="Garamond"/>
          <w:color w:val="000000" w:themeColor="text1"/>
          <w:sz w:val="22"/>
          <w:szCs w:val="22"/>
        </w:rPr>
        <w:t xml:space="preserve">over-regulated professional conduct </w:t>
      </w:r>
      <w:r w:rsidR="00837177" w:rsidRPr="00263267">
        <w:rPr>
          <w:rFonts w:ascii="Garamond" w:hAnsi="Garamond"/>
          <w:color w:val="000000" w:themeColor="text1"/>
          <w:sz w:val="22"/>
          <w:szCs w:val="22"/>
        </w:rPr>
        <w:t xml:space="preserve">in slowing development. </w:t>
      </w:r>
      <w:r w:rsidR="008B0AAF">
        <w:rPr>
          <w:rFonts w:ascii="Garamond" w:hAnsi="Garamond"/>
          <w:color w:val="000000" w:themeColor="text1"/>
          <w:sz w:val="22"/>
          <w:szCs w:val="22"/>
        </w:rPr>
        <w:t xml:space="preserve"> </w:t>
      </w:r>
      <w:r w:rsidR="00837177" w:rsidRPr="00263267">
        <w:rPr>
          <w:rFonts w:ascii="Garamond" w:eastAsia="Times New Roman" w:hAnsi="Garamond" w:cs="Times New Roman"/>
          <w:color w:val="000000" w:themeColor="text1"/>
          <w:sz w:val="22"/>
          <w:szCs w:val="22"/>
        </w:rPr>
        <w:t xml:space="preserve">More nuance is therefore required in critical writings on the role of professional lobbyists in influencing housing regulation </w:t>
      </w:r>
      <w:r w:rsidR="00837177" w:rsidRPr="00263267">
        <w:rPr>
          <w:rFonts w:ascii="Garamond" w:hAnsi="Garamond" w:cs="Calibri"/>
          <w:color w:val="000000" w:themeColor="text1"/>
          <w:sz w:val="22"/>
          <w:szCs w:val="22"/>
        </w:rPr>
        <w:t xml:space="preserve">for whom IOs such as RICS, in particular, represent part of a </w:t>
      </w:r>
      <w:r w:rsidR="008B0AAF">
        <w:rPr>
          <w:rFonts w:ascii="Garamond" w:hAnsi="Garamond" w:cs="Calibri"/>
          <w:color w:val="000000" w:themeColor="text1"/>
          <w:sz w:val="22"/>
          <w:szCs w:val="22"/>
        </w:rPr>
        <w:t>powerful elite-based</w:t>
      </w:r>
      <w:r w:rsidR="00837177" w:rsidRPr="00263267">
        <w:rPr>
          <w:rFonts w:ascii="Garamond" w:hAnsi="Garamond" w:cs="Calibri"/>
          <w:color w:val="000000" w:themeColor="text1"/>
          <w:sz w:val="22"/>
          <w:szCs w:val="22"/>
        </w:rPr>
        <w:t xml:space="preserve"> property development lobby or ‘an obvious vested interest group’ that serves the wider needs of money-making for investors, land-owners, and developers (</w:t>
      </w:r>
      <w:r w:rsidR="00837177" w:rsidRPr="00263267">
        <w:rPr>
          <w:rFonts w:ascii="Garamond" w:hAnsi="Garamond" w:cs="Calibri"/>
          <w:color w:val="000000" w:themeColor="text1"/>
          <w:sz w:val="22"/>
          <w:szCs w:val="22"/>
        </w:rPr>
        <w:fldChar w:fldCharType="begin"/>
      </w:r>
      <w:r w:rsidR="00270F18">
        <w:rPr>
          <w:rFonts w:ascii="Garamond" w:hAnsi="Garamond" w:cs="Calibri"/>
          <w:color w:val="000000" w:themeColor="text1"/>
          <w:sz w:val="22"/>
          <w:szCs w:val="22"/>
        </w:rPr>
        <w:instrText xml:space="preserve"> ADDIN ZOTERO_ITEM CSL_CITATION {"citationID":"ILdESLYM","properties":{"formattedCitation":"(Colenutt, 2020)","plainCitation":"(Colenutt, 2020)","dontUpdate":true,"noteIndex":0},"citationItems":[{"id":2926,"uris":["http://zotero.org/groups/2307100/items/4PLML3MW"],"uri":["http://zotero.org/groups/2307100/items/4PLML3MW"],"itemData":{"id":2926,"type":"book","ISBN":"1-4473-5023-5","publisher":"Policy Press","title":"The Property Lobby: The Hidden Reality Behind the Housing Crisis","author":[{"family":"Colenutt","given":"Bob"}],"issued":{"date-parts":[["2020"]]}}}],"schema":"https://github.com/citation-style-language/schema/raw/master/csl-citation.json"} </w:instrText>
      </w:r>
      <w:r w:rsidR="00837177" w:rsidRPr="00263267">
        <w:rPr>
          <w:rFonts w:ascii="Garamond" w:hAnsi="Garamond" w:cs="Calibri"/>
          <w:color w:val="000000" w:themeColor="text1"/>
          <w:sz w:val="22"/>
          <w:szCs w:val="22"/>
        </w:rPr>
        <w:fldChar w:fldCharType="separate"/>
      </w:r>
      <w:r w:rsidR="00837177" w:rsidRPr="00263267">
        <w:rPr>
          <w:rFonts w:ascii="Garamond" w:hAnsi="Garamond" w:cs="Calibri"/>
          <w:noProof/>
          <w:color w:val="000000" w:themeColor="text1"/>
          <w:sz w:val="22"/>
          <w:szCs w:val="22"/>
        </w:rPr>
        <w:t>Colenutt, 2020)</w:t>
      </w:r>
      <w:r w:rsidR="00837177" w:rsidRPr="00263267">
        <w:rPr>
          <w:rFonts w:ascii="Garamond" w:hAnsi="Garamond" w:cs="Calibri"/>
          <w:color w:val="000000" w:themeColor="text1"/>
          <w:sz w:val="22"/>
          <w:szCs w:val="22"/>
        </w:rPr>
        <w:fldChar w:fldCharType="end"/>
      </w:r>
      <w:r w:rsidR="00837177" w:rsidRPr="00263267">
        <w:rPr>
          <w:rFonts w:ascii="Garamond" w:hAnsi="Garamond" w:cs="Calibri"/>
          <w:color w:val="000000" w:themeColor="text1"/>
          <w:sz w:val="22"/>
          <w:szCs w:val="22"/>
        </w:rPr>
        <w:t>.</w:t>
      </w:r>
      <w:r w:rsidR="00837177" w:rsidRPr="00263267">
        <w:rPr>
          <w:rFonts w:ascii="Garamond" w:eastAsia="Times New Roman" w:hAnsi="Garamond" w:cs="Times New Roman"/>
          <w:color w:val="000000" w:themeColor="text1"/>
          <w:sz w:val="22"/>
          <w:szCs w:val="22"/>
        </w:rPr>
        <w:t xml:space="preserve">  </w:t>
      </w:r>
      <w:r w:rsidR="008F172B" w:rsidRPr="00263267">
        <w:rPr>
          <w:rFonts w:ascii="Garamond" w:eastAsia="Times New Roman" w:hAnsi="Garamond" w:cs="Times New Roman"/>
          <w:color w:val="000000" w:themeColor="text1"/>
          <w:sz w:val="22"/>
          <w:szCs w:val="22"/>
        </w:rPr>
        <w:t>Conversely, we have shown that where</w:t>
      </w:r>
      <w:r w:rsidR="00B8480D" w:rsidRPr="00263267">
        <w:rPr>
          <w:rFonts w:ascii="Garamond" w:eastAsia="Times New Roman" w:hAnsi="Garamond" w:cs="Times New Roman"/>
          <w:color w:val="000000" w:themeColor="text1"/>
          <w:sz w:val="22"/>
          <w:szCs w:val="22"/>
        </w:rPr>
        <w:t xml:space="preserve"> </w:t>
      </w:r>
      <w:r w:rsidR="0088688D" w:rsidRPr="00263267">
        <w:rPr>
          <w:rFonts w:ascii="Garamond" w:eastAsia="Times New Roman" w:hAnsi="Garamond" w:cs="Times New Roman"/>
          <w:color w:val="000000" w:themeColor="text1"/>
          <w:sz w:val="22"/>
          <w:szCs w:val="22"/>
        </w:rPr>
        <w:t>IOs</w:t>
      </w:r>
      <w:r w:rsidR="00B8480D" w:rsidRPr="00263267">
        <w:rPr>
          <w:rFonts w:ascii="Garamond" w:eastAsia="Times New Roman" w:hAnsi="Garamond" w:cs="Times New Roman"/>
          <w:color w:val="000000" w:themeColor="text1"/>
          <w:sz w:val="22"/>
          <w:szCs w:val="22"/>
        </w:rPr>
        <w:t xml:space="preserve"> are able to exert influence</w:t>
      </w:r>
      <w:r w:rsidRPr="00263267">
        <w:rPr>
          <w:rFonts w:ascii="Garamond" w:eastAsia="Times New Roman" w:hAnsi="Garamond" w:cs="Times New Roman"/>
          <w:color w:val="000000" w:themeColor="text1"/>
          <w:sz w:val="22"/>
          <w:szCs w:val="22"/>
        </w:rPr>
        <w:t>,</w:t>
      </w:r>
      <w:r w:rsidR="00B8480D" w:rsidRPr="00263267">
        <w:rPr>
          <w:rFonts w:ascii="Garamond" w:eastAsia="Times New Roman" w:hAnsi="Garamond" w:cs="Times New Roman"/>
          <w:color w:val="000000" w:themeColor="text1"/>
          <w:sz w:val="22"/>
          <w:szCs w:val="22"/>
        </w:rPr>
        <w:t xml:space="preserve"> they are also subject</w:t>
      </w:r>
      <w:r w:rsidR="003532D3" w:rsidRPr="00263267">
        <w:rPr>
          <w:rFonts w:ascii="Garamond" w:eastAsia="Times New Roman" w:hAnsi="Garamond" w:cs="Times New Roman"/>
          <w:color w:val="000000" w:themeColor="text1"/>
          <w:sz w:val="22"/>
          <w:szCs w:val="22"/>
        </w:rPr>
        <w:t xml:space="preserve"> to a degree of politicisation</w:t>
      </w:r>
      <w:r w:rsidR="00B8480D" w:rsidRPr="00263267">
        <w:rPr>
          <w:rFonts w:ascii="Garamond" w:eastAsia="Times New Roman" w:hAnsi="Garamond" w:cs="Times New Roman"/>
          <w:color w:val="000000" w:themeColor="text1"/>
          <w:sz w:val="22"/>
          <w:szCs w:val="22"/>
        </w:rPr>
        <w:t xml:space="preserve"> and legal contestation</w:t>
      </w:r>
      <w:r w:rsidR="003532D3" w:rsidRPr="00263267">
        <w:rPr>
          <w:rFonts w:ascii="Garamond" w:eastAsia="Times New Roman" w:hAnsi="Garamond" w:cs="Times New Roman"/>
          <w:color w:val="000000" w:themeColor="text1"/>
          <w:sz w:val="22"/>
          <w:szCs w:val="22"/>
        </w:rPr>
        <w:t xml:space="preserve">, even though </w:t>
      </w:r>
      <w:r w:rsidR="00B8480D" w:rsidRPr="00263267">
        <w:rPr>
          <w:rFonts w:ascii="Garamond" w:eastAsia="Times New Roman" w:hAnsi="Garamond" w:cs="Times New Roman"/>
          <w:color w:val="000000" w:themeColor="text1"/>
          <w:sz w:val="22"/>
          <w:szCs w:val="22"/>
        </w:rPr>
        <w:t>they</w:t>
      </w:r>
      <w:r w:rsidR="003532D3" w:rsidRPr="00263267">
        <w:rPr>
          <w:rFonts w:ascii="Garamond" w:eastAsia="Times New Roman" w:hAnsi="Garamond" w:cs="Times New Roman"/>
          <w:color w:val="000000" w:themeColor="text1"/>
          <w:sz w:val="22"/>
          <w:szCs w:val="22"/>
        </w:rPr>
        <w:t xml:space="preserve"> represent indirect </w:t>
      </w:r>
      <w:r w:rsidR="00B8480D" w:rsidRPr="00263267">
        <w:rPr>
          <w:rFonts w:ascii="Garamond" w:eastAsia="Times New Roman" w:hAnsi="Garamond" w:cs="Times New Roman"/>
          <w:color w:val="000000" w:themeColor="text1"/>
          <w:sz w:val="22"/>
          <w:szCs w:val="22"/>
        </w:rPr>
        <w:t>actors</w:t>
      </w:r>
      <w:r w:rsidR="003532D3" w:rsidRPr="00263267">
        <w:rPr>
          <w:rFonts w:ascii="Garamond" w:eastAsia="Times New Roman" w:hAnsi="Garamond" w:cs="Times New Roman"/>
          <w:color w:val="000000" w:themeColor="text1"/>
          <w:sz w:val="22"/>
          <w:szCs w:val="22"/>
        </w:rPr>
        <w:t xml:space="preserve"> (</w:t>
      </w:r>
      <w:r w:rsidR="003532D3" w:rsidRPr="00263267">
        <w:rPr>
          <w:rFonts w:ascii="Garamond" w:eastAsia="Times New Roman" w:hAnsi="Garamond" w:cs="Times New Roman"/>
          <w:i/>
          <w:color w:val="000000" w:themeColor="text1"/>
          <w:sz w:val="22"/>
          <w:szCs w:val="22"/>
        </w:rPr>
        <w:t xml:space="preserve">cf. </w:t>
      </w:r>
      <w:r w:rsidR="003532D3" w:rsidRPr="00263267">
        <w:rPr>
          <w:rFonts w:ascii="Garamond" w:eastAsia="Times New Roman" w:hAnsi="Garamond" w:cs="Times New Roman"/>
          <w:color w:val="000000" w:themeColor="text1"/>
          <w:sz w:val="22"/>
          <w:szCs w:val="22"/>
        </w:rPr>
        <w:t>Levi-</w:t>
      </w:r>
      <w:proofErr w:type="spellStart"/>
      <w:r w:rsidR="003532D3" w:rsidRPr="00263267">
        <w:rPr>
          <w:rFonts w:ascii="Garamond" w:eastAsia="Times New Roman" w:hAnsi="Garamond" w:cs="Times New Roman"/>
          <w:color w:val="000000" w:themeColor="text1"/>
          <w:sz w:val="22"/>
          <w:szCs w:val="22"/>
        </w:rPr>
        <w:t>Faur</w:t>
      </w:r>
      <w:proofErr w:type="spellEnd"/>
      <w:r w:rsidR="003532D3" w:rsidRPr="00263267">
        <w:rPr>
          <w:rFonts w:ascii="Garamond" w:eastAsia="Times New Roman" w:hAnsi="Garamond" w:cs="Times New Roman"/>
          <w:color w:val="000000" w:themeColor="text1"/>
          <w:sz w:val="22"/>
          <w:szCs w:val="22"/>
        </w:rPr>
        <w:t xml:space="preserve">, 2011), acting </w:t>
      </w:r>
      <w:r w:rsidR="003532D3" w:rsidRPr="00263267">
        <w:rPr>
          <w:rFonts w:ascii="Garamond" w:eastAsia="Times New Roman" w:hAnsi="Garamond" w:cs="Times New Roman"/>
          <w:i/>
          <w:color w:val="000000" w:themeColor="text1"/>
          <w:sz w:val="22"/>
          <w:szCs w:val="22"/>
        </w:rPr>
        <w:t>with</w:t>
      </w:r>
      <w:r w:rsidR="003532D3" w:rsidRPr="00263267">
        <w:rPr>
          <w:rFonts w:ascii="Garamond" w:eastAsia="Times New Roman" w:hAnsi="Garamond" w:cs="Times New Roman"/>
          <w:color w:val="000000" w:themeColor="text1"/>
          <w:sz w:val="22"/>
          <w:szCs w:val="22"/>
        </w:rPr>
        <w:t xml:space="preserve"> the state rather than </w:t>
      </w:r>
      <w:r w:rsidR="003532D3" w:rsidRPr="00263267">
        <w:rPr>
          <w:rFonts w:ascii="Garamond" w:eastAsia="Times New Roman" w:hAnsi="Garamond" w:cs="Times New Roman"/>
          <w:i/>
          <w:color w:val="000000" w:themeColor="text1"/>
          <w:sz w:val="22"/>
          <w:szCs w:val="22"/>
        </w:rPr>
        <w:t>as</w:t>
      </w:r>
      <w:r w:rsidR="003532D3" w:rsidRPr="00263267">
        <w:rPr>
          <w:rFonts w:ascii="Garamond" w:eastAsia="Times New Roman" w:hAnsi="Garamond" w:cs="Times New Roman"/>
          <w:color w:val="000000" w:themeColor="text1"/>
          <w:sz w:val="22"/>
          <w:szCs w:val="22"/>
        </w:rPr>
        <w:t xml:space="preserve"> </w:t>
      </w:r>
      <w:r w:rsidR="0088688D" w:rsidRPr="00263267">
        <w:rPr>
          <w:rFonts w:ascii="Garamond" w:eastAsia="Times New Roman" w:hAnsi="Garamond" w:cs="Times New Roman"/>
          <w:color w:val="000000" w:themeColor="text1"/>
          <w:sz w:val="22"/>
          <w:szCs w:val="22"/>
        </w:rPr>
        <w:t>formal regulatory</w:t>
      </w:r>
      <w:r w:rsidR="003532D3" w:rsidRPr="00263267">
        <w:rPr>
          <w:rFonts w:ascii="Garamond" w:eastAsia="Times New Roman" w:hAnsi="Garamond" w:cs="Times New Roman"/>
          <w:color w:val="000000" w:themeColor="text1"/>
          <w:sz w:val="22"/>
          <w:szCs w:val="22"/>
        </w:rPr>
        <w:t xml:space="preserve"> organisation</w:t>
      </w:r>
      <w:r w:rsidR="00B8480D" w:rsidRPr="00263267">
        <w:rPr>
          <w:rFonts w:ascii="Garamond" w:eastAsia="Times New Roman" w:hAnsi="Garamond" w:cs="Times New Roman"/>
          <w:color w:val="000000" w:themeColor="text1"/>
          <w:sz w:val="22"/>
          <w:szCs w:val="22"/>
        </w:rPr>
        <w:t>s</w:t>
      </w:r>
      <w:r w:rsidR="003532D3" w:rsidRPr="00263267">
        <w:rPr>
          <w:rFonts w:ascii="Garamond" w:eastAsia="Times New Roman" w:hAnsi="Garamond" w:cs="Times New Roman"/>
          <w:color w:val="000000" w:themeColor="text1"/>
          <w:sz w:val="22"/>
          <w:szCs w:val="22"/>
        </w:rPr>
        <w:t xml:space="preserve">.  </w:t>
      </w:r>
    </w:p>
    <w:p w14:paraId="5E5BB279" w14:textId="6C71740E" w:rsidR="003532D3" w:rsidRPr="00263267" w:rsidRDefault="003532D3" w:rsidP="006D08D9">
      <w:pPr>
        <w:spacing w:line="276" w:lineRule="auto"/>
        <w:jc w:val="both"/>
        <w:rPr>
          <w:rFonts w:ascii="Garamond" w:eastAsia="Times New Roman" w:hAnsi="Garamond" w:cs="Times New Roman"/>
          <w:color w:val="000000" w:themeColor="text1"/>
          <w:sz w:val="22"/>
          <w:szCs w:val="22"/>
        </w:rPr>
      </w:pPr>
    </w:p>
    <w:p w14:paraId="3648068C" w14:textId="3A5A2C6A" w:rsidR="00385466" w:rsidRPr="00263267" w:rsidRDefault="00385466" w:rsidP="006D08D9">
      <w:pPr>
        <w:spacing w:line="276" w:lineRule="auto"/>
        <w:jc w:val="both"/>
        <w:rPr>
          <w:rFonts w:ascii="Garamond" w:hAnsi="Garamond"/>
          <w:b/>
          <w:sz w:val="22"/>
          <w:szCs w:val="22"/>
        </w:rPr>
      </w:pPr>
      <w:r w:rsidRPr="00263267">
        <w:rPr>
          <w:rFonts w:ascii="Garamond" w:hAnsi="Garamond"/>
          <w:b/>
          <w:sz w:val="22"/>
          <w:szCs w:val="22"/>
        </w:rPr>
        <w:t>Acknowledgements</w:t>
      </w:r>
    </w:p>
    <w:p w14:paraId="042FFB0F" w14:textId="77777777" w:rsidR="00385466" w:rsidRPr="00263267" w:rsidRDefault="00385466" w:rsidP="006D08D9">
      <w:pPr>
        <w:spacing w:line="276" w:lineRule="auto"/>
        <w:jc w:val="both"/>
        <w:rPr>
          <w:rFonts w:ascii="Garamond" w:hAnsi="Garamond"/>
          <w:sz w:val="22"/>
          <w:szCs w:val="22"/>
        </w:rPr>
      </w:pPr>
      <w:r w:rsidRPr="00263267">
        <w:rPr>
          <w:rFonts w:ascii="Garamond" w:eastAsia="Times New Roman" w:hAnsi="Garamond" w:cs="Times New Roman"/>
          <w:color w:val="000000"/>
          <w:sz w:val="22"/>
          <w:szCs w:val="22"/>
        </w:rPr>
        <w:t>The research discussed in the paper was supported by the Economic and Social Research Council UK [Grant Number: ES/S015078] under the project ‘WHIG What is Governed in Cities: Residential investment landscapes and the governance and regulation of housing production’.</w:t>
      </w:r>
    </w:p>
    <w:p w14:paraId="5A38D892" w14:textId="4993A5A3" w:rsidR="007C1F80" w:rsidRPr="00263267" w:rsidRDefault="007C1F80" w:rsidP="006D08D9">
      <w:pPr>
        <w:spacing w:line="276" w:lineRule="auto"/>
        <w:jc w:val="both"/>
        <w:rPr>
          <w:rFonts w:ascii="Garamond" w:eastAsia="Times New Roman" w:hAnsi="Garamond" w:cs="Times New Roman"/>
          <w:color w:val="000000" w:themeColor="text1"/>
          <w:sz w:val="22"/>
          <w:szCs w:val="22"/>
        </w:rPr>
      </w:pPr>
      <w:r w:rsidRPr="00263267">
        <w:rPr>
          <w:rFonts w:ascii="Garamond" w:hAnsi="Garamond"/>
          <w:color w:val="000000" w:themeColor="text1"/>
          <w:sz w:val="22"/>
          <w:szCs w:val="22"/>
        </w:rPr>
        <w:br w:type="page"/>
      </w:r>
    </w:p>
    <w:p w14:paraId="5F8C3BF4" w14:textId="0E07BF0C" w:rsidR="007C1F80" w:rsidRPr="00263267" w:rsidRDefault="007C1F80" w:rsidP="006D08D9">
      <w:pPr>
        <w:spacing w:line="276" w:lineRule="auto"/>
        <w:ind w:right="-52"/>
        <w:jc w:val="both"/>
        <w:rPr>
          <w:rFonts w:ascii="Garamond" w:hAnsi="Garamond"/>
          <w:color w:val="000000" w:themeColor="text1"/>
          <w:sz w:val="22"/>
          <w:szCs w:val="22"/>
        </w:rPr>
      </w:pPr>
      <w:r w:rsidRPr="00263267">
        <w:rPr>
          <w:rFonts w:ascii="Garamond" w:hAnsi="Garamond"/>
          <w:color w:val="000000" w:themeColor="text1"/>
          <w:sz w:val="22"/>
          <w:szCs w:val="22"/>
        </w:rPr>
        <w:lastRenderedPageBreak/>
        <w:t>References</w:t>
      </w:r>
    </w:p>
    <w:p w14:paraId="64E804CD" w14:textId="77777777" w:rsidR="007C1F80" w:rsidRPr="00263267" w:rsidRDefault="007C1F80" w:rsidP="006D08D9">
      <w:pPr>
        <w:spacing w:line="276" w:lineRule="auto"/>
        <w:ind w:right="-52"/>
        <w:jc w:val="both"/>
        <w:rPr>
          <w:rFonts w:ascii="Garamond" w:hAnsi="Garamond"/>
          <w:color w:val="000000" w:themeColor="text1"/>
          <w:sz w:val="22"/>
          <w:szCs w:val="22"/>
        </w:rPr>
      </w:pPr>
    </w:p>
    <w:p w14:paraId="5B53D3DA" w14:textId="77777777" w:rsidR="003E0E99" w:rsidRPr="003E0E99" w:rsidRDefault="007C1F80" w:rsidP="003E0E99">
      <w:pPr>
        <w:pStyle w:val="Bibliography"/>
        <w:rPr>
          <w:rFonts w:ascii="Garamond" w:hAnsi="Garamond"/>
          <w:sz w:val="22"/>
          <w:lang w:val="en-US"/>
        </w:rPr>
      </w:pPr>
      <w:r w:rsidRPr="00263267">
        <w:rPr>
          <w:rFonts w:ascii="Garamond" w:hAnsi="Garamond"/>
          <w:color w:val="000000" w:themeColor="text1"/>
          <w:sz w:val="22"/>
          <w:szCs w:val="22"/>
        </w:rPr>
        <w:fldChar w:fldCharType="begin"/>
      </w:r>
      <w:r w:rsidR="0087156A" w:rsidRPr="00263267">
        <w:rPr>
          <w:rFonts w:ascii="Garamond" w:hAnsi="Garamond"/>
          <w:color w:val="000000" w:themeColor="text1"/>
          <w:sz w:val="22"/>
          <w:szCs w:val="22"/>
        </w:rPr>
        <w:instrText xml:space="preserve"> ADDIN ZOTERO_BIBL {"uncited":[],"omitted":[],"custom":[]} CSL_BIBLIOGRAPHY </w:instrText>
      </w:r>
      <w:r w:rsidRPr="00263267">
        <w:rPr>
          <w:rFonts w:ascii="Garamond" w:hAnsi="Garamond"/>
          <w:color w:val="000000" w:themeColor="text1"/>
          <w:sz w:val="22"/>
          <w:szCs w:val="22"/>
        </w:rPr>
        <w:fldChar w:fldCharType="separate"/>
      </w:r>
      <w:r w:rsidR="003E0E99" w:rsidRPr="003E0E99">
        <w:rPr>
          <w:rFonts w:ascii="Garamond" w:hAnsi="Garamond"/>
          <w:sz w:val="22"/>
          <w:lang w:val="en-US"/>
        </w:rPr>
        <w:t xml:space="preserve">Abbott, K. W., Levi-Faur, D., &amp; Snidal, D. (2017). Theorizing regulatory intermediaries: The RIT model. </w:t>
      </w:r>
      <w:r w:rsidR="003E0E99" w:rsidRPr="003E0E99">
        <w:rPr>
          <w:rFonts w:ascii="Garamond" w:hAnsi="Garamond"/>
          <w:i/>
          <w:iCs/>
          <w:sz w:val="22"/>
          <w:lang w:val="en-US"/>
        </w:rPr>
        <w:t>The Annals of the American Academy of Political and Social Science</w:t>
      </w:r>
      <w:r w:rsidR="003E0E99" w:rsidRPr="003E0E99">
        <w:rPr>
          <w:rFonts w:ascii="Garamond" w:hAnsi="Garamond"/>
          <w:sz w:val="22"/>
          <w:lang w:val="en-US"/>
        </w:rPr>
        <w:t xml:space="preserve">, </w:t>
      </w:r>
      <w:r w:rsidR="003E0E99" w:rsidRPr="003E0E99">
        <w:rPr>
          <w:rFonts w:ascii="Garamond" w:hAnsi="Garamond"/>
          <w:i/>
          <w:iCs/>
          <w:sz w:val="22"/>
          <w:lang w:val="en-US"/>
        </w:rPr>
        <w:t>670</w:t>
      </w:r>
      <w:r w:rsidR="003E0E99" w:rsidRPr="003E0E99">
        <w:rPr>
          <w:rFonts w:ascii="Garamond" w:hAnsi="Garamond"/>
          <w:sz w:val="22"/>
          <w:lang w:val="en-US"/>
        </w:rPr>
        <w:t>(1), 14–35.</w:t>
      </w:r>
    </w:p>
    <w:p w14:paraId="39F330D5"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Airey, J., &amp; Doughty, C. (2020). </w:t>
      </w:r>
      <w:r w:rsidRPr="003E0E99">
        <w:rPr>
          <w:rFonts w:ascii="Garamond" w:hAnsi="Garamond"/>
          <w:i/>
          <w:iCs/>
          <w:sz w:val="22"/>
          <w:lang w:val="en-US"/>
        </w:rPr>
        <w:t>Rethinking the Planning System for the 21st Century</w:t>
      </w:r>
      <w:r w:rsidRPr="003E0E99">
        <w:rPr>
          <w:rFonts w:ascii="Garamond" w:hAnsi="Garamond"/>
          <w:sz w:val="22"/>
          <w:lang w:val="en-US"/>
        </w:rPr>
        <w:t>. Policy Exchange: London.</w:t>
      </w:r>
    </w:p>
    <w:p w14:paraId="41A51EAA"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Black, J. (2017). ‘Says who?’ Liquid authority and interpretive control in transnational regulatory regimes. </w:t>
      </w:r>
      <w:r w:rsidRPr="003E0E99">
        <w:rPr>
          <w:rFonts w:ascii="Garamond" w:hAnsi="Garamond"/>
          <w:i/>
          <w:iCs/>
          <w:sz w:val="22"/>
          <w:lang w:val="en-US"/>
        </w:rPr>
        <w:t>International Theory</w:t>
      </w:r>
      <w:r w:rsidRPr="003E0E99">
        <w:rPr>
          <w:rFonts w:ascii="Garamond" w:hAnsi="Garamond"/>
          <w:sz w:val="22"/>
          <w:lang w:val="en-US"/>
        </w:rPr>
        <w:t xml:space="preserve">, </w:t>
      </w:r>
      <w:r w:rsidRPr="003E0E99">
        <w:rPr>
          <w:rFonts w:ascii="Garamond" w:hAnsi="Garamond"/>
          <w:i/>
          <w:iCs/>
          <w:sz w:val="22"/>
          <w:lang w:val="en-US"/>
        </w:rPr>
        <w:t>9</w:t>
      </w:r>
      <w:r w:rsidRPr="003E0E99">
        <w:rPr>
          <w:rFonts w:ascii="Garamond" w:hAnsi="Garamond"/>
          <w:sz w:val="22"/>
          <w:lang w:val="en-US"/>
        </w:rPr>
        <w:t>(2), 286–310.</w:t>
      </w:r>
    </w:p>
    <w:p w14:paraId="76963DF1"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Bradley, Q. (2020). The financialisation of housing land supply in England. </w:t>
      </w:r>
      <w:r w:rsidRPr="003E0E99">
        <w:rPr>
          <w:rFonts w:ascii="Garamond" w:hAnsi="Garamond"/>
          <w:i/>
          <w:iCs/>
          <w:sz w:val="22"/>
          <w:lang w:val="en-US"/>
        </w:rPr>
        <w:t>Urban Studies</w:t>
      </w:r>
      <w:r w:rsidRPr="003E0E99">
        <w:rPr>
          <w:rFonts w:ascii="Garamond" w:hAnsi="Garamond"/>
          <w:sz w:val="22"/>
          <w:lang w:val="en-US"/>
        </w:rPr>
        <w:t>, 0042098020907278. https://doi.org/10.1177/0042098020907278</w:t>
      </w:r>
    </w:p>
    <w:p w14:paraId="7CD32CC0"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Braithwaite, J. (2008). </w:t>
      </w:r>
      <w:r w:rsidRPr="003E0E99">
        <w:rPr>
          <w:rFonts w:ascii="Garamond" w:hAnsi="Garamond"/>
          <w:i/>
          <w:iCs/>
          <w:sz w:val="22"/>
          <w:lang w:val="en-US"/>
        </w:rPr>
        <w:t>Regulatory capitalism: How it works, ideas for making it work better</w:t>
      </w:r>
      <w:r w:rsidRPr="003E0E99">
        <w:rPr>
          <w:rFonts w:ascii="Garamond" w:hAnsi="Garamond"/>
          <w:sz w:val="22"/>
          <w:lang w:val="en-US"/>
        </w:rPr>
        <w:t>. Edward Elgar Publishing.</w:t>
      </w:r>
    </w:p>
    <w:p w14:paraId="4C68B8A9"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Bucchi, M. (2009). </w:t>
      </w:r>
      <w:r w:rsidRPr="003E0E99">
        <w:rPr>
          <w:rFonts w:ascii="Garamond" w:hAnsi="Garamond"/>
          <w:i/>
          <w:iCs/>
          <w:sz w:val="22"/>
          <w:lang w:val="en-US"/>
        </w:rPr>
        <w:t>Beyond technocracy: Science, politics and citizens</w:t>
      </w:r>
      <w:r w:rsidRPr="003E0E99">
        <w:rPr>
          <w:rFonts w:ascii="Garamond" w:hAnsi="Garamond"/>
          <w:sz w:val="22"/>
          <w:lang w:val="en-US"/>
        </w:rPr>
        <w:t>. Springer Science &amp; Business Media.</w:t>
      </w:r>
    </w:p>
    <w:p w14:paraId="68810F6C"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Büthe, T., &amp; Mattli, W. (2013). </w:t>
      </w:r>
      <w:r w:rsidRPr="003E0E99">
        <w:rPr>
          <w:rFonts w:ascii="Garamond" w:hAnsi="Garamond"/>
          <w:i/>
          <w:iCs/>
          <w:sz w:val="22"/>
          <w:lang w:val="en-US"/>
        </w:rPr>
        <w:t>The new global rulers: The privatization of regulation in the world economy</w:t>
      </w:r>
      <w:r w:rsidRPr="003E0E99">
        <w:rPr>
          <w:rFonts w:ascii="Garamond" w:hAnsi="Garamond"/>
          <w:sz w:val="22"/>
          <w:lang w:val="en-US"/>
        </w:rPr>
        <w:t>. Princeton University Press.</w:t>
      </w:r>
    </w:p>
    <w:p w14:paraId="3A398EE2"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Colenutt, B. (2020). </w:t>
      </w:r>
      <w:r w:rsidRPr="003E0E99">
        <w:rPr>
          <w:rFonts w:ascii="Garamond" w:hAnsi="Garamond"/>
          <w:i/>
          <w:iCs/>
          <w:sz w:val="22"/>
          <w:lang w:val="en-US"/>
        </w:rPr>
        <w:t>The Property Lobby: The Hidden Reality Behind the Housing Crisis</w:t>
      </w:r>
      <w:r w:rsidRPr="003E0E99">
        <w:rPr>
          <w:rFonts w:ascii="Garamond" w:hAnsi="Garamond"/>
          <w:sz w:val="22"/>
          <w:lang w:val="en-US"/>
        </w:rPr>
        <w:t>. Policy Press.</w:t>
      </w:r>
    </w:p>
    <w:p w14:paraId="4D2B361D"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Crosby, N. (2019). Development viability assessment and the provision of affordable housing: A game of ‘pass the parcel’? </w:t>
      </w:r>
      <w:r w:rsidRPr="003E0E99">
        <w:rPr>
          <w:rFonts w:ascii="Garamond" w:hAnsi="Garamond"/>
          <w:i/>
          <w:iCs/>
          <w:sz w:val="22"/>
          <w:lang w:val="en-US"/>
        </w:rPr>
        <w:t>Town Planning Review</w:t>
      </w:r>
      <w:r w:rsidRPr="003E0E99">
        <w:rPr>
          <w:rFonts w:ascii="Garamond" w:hAnsi="Garamond"/>
          <w:sz w:val="22"/>
          <w:lang w:val="en-US"/>
        </w:rPr>
        <w:t xml:space="preserve">, </w:t>
      </w:r>
      <w:r w:rsidRPr="003E0E99">
        <w:rPr>
          <w:rFonts w:ascii="Garamond" w:hAnsi="Garamond"/>
          <w:i/>
          <w:iCs/>
          <w:sz w:val="22"/>
          <w:lang w:val="en-US"/>
        </w:rPr>
        <w:t>90</w:t>
      </w:r>
      <w:r w:rsidRPr="003E0E99">
        <w:rPr>
          <w:rFonts w:ascii="Garamond" w:hAnsi="Garamond"/>
          <w:sz w:val="22"/>
          <w:lang w:val="en-US"/>
        </w:rPr>
        <w:t>(4), 407–428.</w:t>
      </w:r>
    </w:p>
    <w:p w14:paraId="0DC7D15A"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Djelic, M.-L., &amp; Sahlin-Andersson, K. (2006). </w:t>
      </w:r>
      <w:r w:rsidRPr="003E0E99">
        <w:rPr>
          <w:rFonts w:ascii="Garamond" w:hAnsi="Garamond"/>
          <w:i/>
          <w:iCs/>
          <w:sz w:val="22"/>
          <w:lang w:val="en-US"/>
        </w:rPr>
        <w:t>Transnational governance: Institutional dynamics of regulation</w:t>
      </w:r>
      <w:r w:rsidRPr="003E0E99">
        <w:rPr>
          <w:rFonts w:ascii="Garamond" w:hAnsi="Garamond"/>
          <w:sz w:val="22"/>
          <w:lang w:val="en-US"/>
        </w:rPr>
        <w:t>. Cambridge University Press.</w:t>
      </w:r>
    </w:p>
    <w:p w14:paraId="45B722DE"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Ferm, J., &amp; Raco, M. (2020). Viability Planning, Value Capture and the Geographies of Market-Led Planning Reform in England. </w:t>
      </w:r>
      <w:r w:rsidRPr="003E0E99">
        <w:rPr>
          <w:rFonts w:ascii="Garamond" w:hAnsi="Garamond"/>
          <w:i/>
          <w:iCs/>
          <w:sz w:val="22"/>
          <w:lang w:val="en-US"/>
        </w:rPr>
        <w:t>Planning Theory &amp; Practice</w:t>
      </w:r>
      <w:r w:rsidRPr="003E0E99">
        <w:rPr>
          <w:rFonts w:ascii="Garamond" w:hAnsi="Garamond"/>
          <w:sz w:val="22"/>
          <w:lang w:val="en-US"/>
        </w:rPr>
        <w:t>, 1–18. https://doi.org/10.1080/14649357.2020.1754446</w:t>
      </w:r>
    </w:p>
    <w:p w14:paraId="1DC168D4"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Ferm, &amp; Tomaney, J. (2018). </w:t>
      </w:r>
      <w:r w:rsidRPr="003E0E99">
        <w:rPr>
          <w:rFonts w:ascii="Garamond" w:hAnsi="Garamond"/>
          <w:i/>
          <w:iCs/>
          <w:sz w:val="22"/>
          <w:lang w:val="en-US"/>
        </w:rPr>
        <w:t>Conclusion: Beyond Reflective, Deliberative Practice</w:t>
      </w:r>
      <w:r w:rsidRPr="003E0E99">
        <w:rPr>
          <w:rFonts w:ascii="Garamond" w:hAnsi="Garamond"/>
          <w:sz w:val="22"/>
          <w:lang w:val="en-US"/>
        </w:rPr>
        <w:t>. Routledge.</w:t>
      </w:r>
    </w:p>
    <w:p w14:paraId="1FDF601D"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Galès, P. L. (1998). Regulations and Governance in European Cities. </w:t>
      </w:r>
      <w:r w:rsidRPr="003E0E99">
        <w:rPr>
          <w:rFonts w:ascii="Garamond" w:hAnsi="Garamond"/>
          <w:i/>
          <w:iCs/>
          <w:sz w:val="22"/>
          <w:lang w:val="en-US"/>
        </w:rPr>
        <w:t>International Journal of Urban and Regional Research</w:t>
      </w:r>
      <w:r w:rsidRPr="003E0E99">
        <w:rPr>
          <w:rFonts w:ascii="Garamond" w:hAnsi="Garamond"/>
          <w:sz w:val="22"/>
          <w:lang w:val="en-US"/>
        </w:rPr>
        <w:t xml:space="preserve">, </w:t>
      </w:r>
      <w:r w:rsidRPr="003E0E99">
        <w:rPr>
          <w:rFonts w:ascii="Garamond" w:hAnsi="Garamond"/>
          <w:i/>
          <w:iCs/>
          <w:sz w:val="22"/>
          <w:lang w:val="en-US"/>
        </w:rPr>
        <w:t>22</w:t>
      </w:r>
      <w:r w:rsidRPr="003E0E99">
        <w:rPr>
          <w:rFonts w:ascii="Garamond" w:hAnsi="Garamond"/>
          <w:sz w:val="22"/>
          <w:lang w:val="en-US"/>
        </w:rPr>
        <w:t>(3), 482–506.</w:t>
      </w:r>
    </w:p>
    <w:p w14:paraId="5776FCDE"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Gerber, J.-D., Hartmann, T., &amp; Hengstermann, A. (2018). </w:t>
      </w:r>
      <w:r w:rsidRPr="003E0E99">
        <w:rPr>
          <w:rFonts w:ascii="Garamond" w:hAnsi="Garamond"/>
          <w:i/>
          <w:iCs/>
          <w:sz w:val="22"/>
          <w:lang w:val="en-US"/>
        </w:rPr>
        <w:t>Instruments of land policy: Dealing with scarcity of land</w:t>
      </w:r>
      <w:r w:rsidRPr="003E0E99">
        <w:rPr>
          <w:rFonts w:ascii="Garamond" w:hAnsi="Garamond"/>
          <w:sz w:val="22"/>
          <w:lang w:val="en-US"/>
        </w:rPr>
        <w:t>. Routledge.</w:t>
      </w:r>
    </w:p>
    <w:p w14:paraId="0ACFC3AB"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Hall, S. (2018). Regulating the geographies of market making: Offshore renminbi markets in London’s international financial district. </w:t>
      </w:r>
      <w:r w:rsidRPr="003E0E99">
        <w:rPr>
          <w:rFonts w:ascii="Garamond" w:hAnsi="Garamond"/>
          <w:i/>
          <w:iCs/>
          <w:sz w:val="22"/>
          <w:lang w:val="en-US"/>
        </w:rPr>
        <w:t>Economic Geography</w:t>
      </w:r>
      <w:r w:rsidRPr="003E0E99">
        <w:rPr>
          <w:rFonts w:ascii="Garamond" w:hAnsi="Garamond"/>
          <w:sz w:val="22"/>
          <w:lang w:val="en-US"/>
        </w:rPr>
        <w:t xml:space="preserve">, </w:t>
      </w:r>
      <w:r w:rsidRPr="003E0E99">
        <w:rPr>
          <w:rFonts w:ascii="Garamond" w:hAnsi="Garamond"/>
          <w:i/>
          <w:iCs/>
          <w:sz w:val="22"/>
          <w:lang w:val="en-US"/>
        </w:rPr>
        <w:t>94</w:t>
      </w:r>
      <w:r w:rsidRPr="003E0E99">
        <w:rPr>
          <w:rFonts w:ascii="Garamond" w:hAnsi="Garamond"/>
          <w:sz w:val="22"/>
          <w:lang w:val="en-US"/>
        </w:rPr>
        <w:t>(3), 259–278.</w:t>
      </w:r>
    </w:p>
    <w:p w14:paraId="5F9223A0"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lastRenderedPageBreak/>
        <w:t xml:space="preserve">High Court. (2018). </w:t>
      </w:r>
      <w:r w:rsidRPr="003E0E99">
        <w:rPr>
          <w:rFonts w:ascii="Garamond" w:hAnsi="Garamond"/>
          <w:i/>
          <w:iCs/>
          <w:sz w:val="22"/>
          <w:lang w:val="en-US"/>
        </w:rPr>
        <w:t>Case Between: Parkhurst Road Limited—And—Secretary of State for Communities and Local Government and The Council of the London Borough of Islington No: CO/3528/2017</w:t>
      </w:r>
      <w:r w:rsidRPr="003E0E99">
        <w:rPr>
          <w:rFonts w:ascii="Garamond" w:hAnsi="Garamond"/>
          <w:sz w:val="22"/>
          <w:lang w:val="en-US"/>
        </w:rPr>
        <w:t>. High Court of Justice: London.</w:t>
      </w:r>
    </w:p>
    <w:p w14:paraId="046DAD49"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Kenny, T. (2019). </w:t>
      </w:r>
      <w:r w:rsidRPr="003E0E99">
        <w:rPr>
          <w:rFonts w:ascii="Garamond" w:hAnsi="Garamond"/>
          <w:i/>
          <w:iCs/>
          <w:sz w:val="22"/>
          <w:lang w:val="en-US"/>
        </w:rPr>
        <w:t>An Agenda for Planning Research</w:t>
      </w:r>
      <w:r w:rsidRPr="003E0E99">
        <w:rPr>
          <w:rFonts w:ascii="Garamond" w:hAnsi="Garamond"/>
          <w:sz w:val="22"/>
          <w:lang w:val="en-US"/>
        </w:rPr>
        <w:t>. Royal Town Planning Institute, London.</w:t>
      </w:r>
    </w:p>
    <w:p w14:paraId="7E9D7C2B"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Krisch, N. (2017). Liquid authority in global governance. </w:t>
      </w:r>
      <w:r w:rsidRPr="003E0E99">
        <w:rPr>
          <w:rFonts w:ascii="Garamond" w:hAnsi="Garamond"/>
          <w:i/>
          <w:iCs/>
          <w:sz w:val="22"/>
          <w:lang w:val="en-US"/>
        </w:rPr>
        <w:t>International Theory</w:t>
      </w:r>
      <w:r w:rsidRPr="003E0E99">
        <w:rPr>
          <w:rFonts w:ascii="Garamond" w:hAnsi="Garamond"/>
          <w:sz w:val="22"/>
          <w:lang w:val="en-US"/>
        </w:rPr>
        <w:t xml:space="preserve">, </w:t>
      </w:r>
      <w:r w:rsidRPr="003E0E99">
        <w:rPr>
          <w:rFonts w:ascii="Garamond" w:hAnsi="Garamond"/>
          <w:i/>
          <w:iCs/>
          <w:sz w:val="22"/>
          <w:lang w:val="en-US"/>
        </w:rPr>
        <w:t>9</w:t>
      </w:r>
      <w:r w:rsidRPr="003E0E99">
        <w:rPr>
          <w:rFonts w:ascii="Garamond" w:hAnsi="Garamond"/>
          <w:sz w:val="22"/>
          <w:lang w:val="en-US"/>
        </w:rPr>
        <w:t>(2), 237–260.</w:t>
      </w:r>
    </w:p>
    <w:p w14:paraId="7AB175BA"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Levi-Faur, D. (2016). The Global Diffusion of Regulatory Capitalism. </w:t>
      </w:r>
      <w:r w:rsidRPr="003E0E99">
        <w:rPr>
          <w:rFonts w:ascii="Garamond" w:hAnsi="Garamond"/>
          <w:i/>
          <w:iCs/>
          <w:sz w:val="22"/>
          <w:lang w:val="en-US"/>
        </w:rPr>
        <w:t>The Annals of the American Academy of Political and Social Science</w:t>
      </w:r>
      <w:r w:rsidRPr="003E0E99">
        <w:rPr>
          <w:rFonts w:ascii="Garamond" w:hAnsi="Garamond"/>
          <w:sz w:val="22"/>
          <w:lang w:val="en-US"/>
        </w:rPr>
        <w:t xml:space="preserve">, </w:t>
      </w:r>
      <w:r w:rsidRPr="003E0E99">
        <w:rPr>
          <w:rFonts w:ascii="Garamond" w:hAnsi="Garamond"/>
          <w:i/>
          <w:iCs/>
          <w:sz w:val="22"/>
          <w:lang w:val="en-US"/>
        </w:rPr>
        <w:t>598</w:t>
      </w:r>
      <w:r w:rsidRPr="003E0E99">
        <w:rPr>
          <w:rFonts w:ascii="Garamond" w:hAnsi="Garamond"/>
          <w:sz w:val="22"/>
          <w:lang w:val="en-US"/>
        </w:rPr>
        <w:t>(1), 12–32. https://doi.org/10.1177/0002716204272371</w:t>
      </w:r>
    </w:p>
    <w:p w14:paraId="04FE675F"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Lord, A., &amp; Tewdwr-Jones, M. (2014). Is Planning “Under Attack”? Chronicling the Deregulation of Urban and Environmental Planning in England. </w:t>
      </w:r>
      <w:r w:rsidRPr="003E0E99">
        <w:rPr>
          <w:rFonts w:ascii="Garamond" w:hAnsi="Garamond"/>
          <w:i/>
          <w:iCs/>
          <w:sz w:val="22"/>
          <w:lang w:val="en-US"/>
        </w:rPr>
        <w:t>European Planning Studies</w:t>
      </w:r>
      <w:r w:rsidRPr="003E0E99">
        <w:rPr>
          <w:rFonts w:ascii="Garamond" w:hAnsi="Garamond"/>
          <w:sz w:val="22"/>
          <w:lang w:val="en-US"/>
        </w:rPr>
        <w:t xml:space="preserve">, </w:t>
      </w:r>
      <w:r w:rsidRPr="003E0E99">
        <w:rPr>
          <w:rFonts w:ascii="Garamond" w:hAnsi="Garamond"/>
          <w:i/>
          <w:iCs/>
          <w:sz w:val="22"/>
          <w:lang w:val="en-US"/>
        </w:rPr>
        <w:t>22</w:t>
      </w:r>
      <w:r w:rsidRPr="003E0E99">
        <w:rPr>
          <w:rFonts w:ascii="Garamond" w:hAnsi="Garamond"/>
          <w:sz w:val="22"/>
          <w:lang w:val="en-US"/>
        </w:rPr>
        <w:t>(2), 345–361.</w:t>
      </w:r>
    </w:p>
    <w:p w14:paraId="2ED0524C"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Madden, D. J., &amp; Marcuse, P. (2016). </w:t>
      </w:r>
      <w:r w:rsidRPr="003E0E99">
        <w:rPr>
          <w:rFonts w:ascii="Garamond" w:hAnsi="Garamond"/>
          <w:i/>
          <w:iCs/>
          <w:sz w:val="22"/>
          <w:lang w:val="en-US"/>
        </w:rPr>
        <w:t>In Defense of Housing: The Politics of Crisis</w:t>
      </w:r>
      <w:r w:rsidRPr="003E0E99">
        <w:rPr>
          <w:rFonts w:ascii="Garamond" w:hAnsi="Garamond"/>
          <w:sz w:val="22"/>
          <w:lang w:val="en-US"/>
        </w:rPr>
        <w:t>. Verso.</w:t>
      </w:r>
    </w:p>
    <w:p w14:paraId="08F1FC96"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McAllister, P. (2019). The taxing problems of land value capture, planning obligations and viability tests: Some reasonable models? </w:t>
      </w:r>
      <w:r w:rsidRPr="003E0E99">
        <w:rPr>
          <w:rFonts w:ascii="Garamond" w:hAnsi="Garamond"/>
          <w:i/>
          <w:iCs/>
          <w:sz w:val="22"/>
          <w:lang w:val="en-US"/>
        </w:rPr>
        <w:t>Town Planning Review</w:t>
      </w:r>
      <w:r w:rsidRPr="003E0E99">
        <w:rPr>
          <w:rFonts w:ascii="Garamond" w:hAnsi="Garamond"/>
          <w:sz w:val="22"/>
          <w:lang w:val="en-US"/>
        </w:rPr>
        <w:t xml:space="preserve">, </w:t>
      </w:r>
      <w:r w:rsidRPr="003E0E99">
        <w:rPr>
          <w:rFonts w:ascii="Garamond" w:hAnsi="Garamond"/>
          <w:i/>
          <w:iCs/>
          <w:sz w:val="22"/>
          <w:lang w:val="en-US"/>
        </w:rPr>
        <w:t>90</w:t>
      </w:r>
      <w:r w:rsidRPr="003E0E99">
        <w:rPr>
          <w:rFonts w:ascii="Garamond" w:hAnsi="Garamond"/>
          <w:sz w:val="22"/>
          <w:lang w:val="en-US"/>
        </w:rPr>
        <w:t>(4), 429–451. https://doi.org/10.3828/tpr.2019.28</w:t>
      </w:r>
    </w:p>
    <w:p w14:paraId="4673CB34"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MHCLG. (2018). </w:t>
      </w:r>
      <w:r w:rsidRPr="003E0E99">
        <w:rPr>
          <w:rFonts w:ascii="Garamond" w:hAnsi="Garamond"/>
          <w:i/>
          <w:iCs/>
          <w:sz w:val="22"/>
          <w:lang w:val="en-US"/>
        </w:rPr>
        <w:t>What next for planning in England? The National Planning Policy Framework</w:t>
      </w:r>
      <w:r w:rsidRPr="003E0E99">
        <w:rPr>
          <w:rFonts w:ascii="Garamond" w:hAnsi="Garamond"/>
          <w:sz w:val="22"/>
          <w:lang w:val="en-US"/>
        </w:rPr>
        <w:t>. HMSO: London.</w:t>
      </w:r>
    </w:p>
    <w:p w14:paraId="63475305"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MHCLG. (2020). </w:t>
      </w:r>
      <w:r w:rsidRPr="003E0E99">
        <w:rPr>
          <w:rFonts w:ascii="Garamond" w:hAnsi="Garamond"/>
          <w:i/>
          <w:iCs/>
          <w:sz w:val="22"/>
          <w:lang w:val="en-US"/>
        </w:rPr>
        <w:t>Planning for the Future</w:t>
      </w:r>
      <w:r w:rsidRPr="003E0E99">
        <w:rPr>
          <w:rFonts w:ascii="Garamond" w:hAnsi="Garamond"/>
          <w:sz w:val="22"/>
          <w:lang w:val="en-US"/>
        </w:rPr>
        <w:t>. HMSO: London.</w:t>
      </w:r>
    </w:p>
    <w:p w14:paraId="4248CB72"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Michaels, R., &amp; Jansen, N. (2006). Private law beyond the state? Europeanization, globalization, privatization. </w:t>
      </w:r>
      <w:r w:rsidRPr="003E0E99">
        <w:rPr>
          <w:rFonts w:ascii="Garamond" w:hAnsi="Garamond"/>
          <w:i/>
          <w:iCs/>
          <w:sz w:val="22"/>
          <w:lang w:val="en-US"/>
        </w:rPr>
        <w:t>American Journal Of Comparative Law</w:t>
      </w:r>
      <w:r w:rsidRPr="003E0E99">
        <w:rPr>
          <w:rFonts w:ascii="Garamond" w:hAnsi="Garamond"/>
          <w:sz w:val="22"/>
          <w:lang w:val="en-US"/>
        </w:rPr>
        <w:t xml:space="preserve">, </w:t>
      </w:r>
      <w:r w:rsidRPr="003E0E99">
        <w:rPr>
          <w:rFonts w:ascii="Garamond" w:hAnsi="Garamond"/>
          <w:i/>
          <w:iCs/>
          <w:sz w:val="22"/>
          <w:lang w:val="en-US"/>
        </w:rPr>
        <w:t>54</w:t>
      </w:r>
      <w:r w:rsidRPr="003E0E99">
        <w:rPr>
          <w:rFonts w:ascii="Garamond" w:hAnsi="Garamond"/>
          <w:sz w:val="22"/>
          <w:lang w:val="en-US"/>
        </w:rPr>
        <w:t>(4), 843–890.</w:t>
      </w:r>
    </w:p>
    <w:p w14:paraId="7DB1AC14"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Mulhall, T. (2016). </w:t>
      </w:r>
      <w:r w:rsidRPr="003E0E99">
        <w:rPr>
          <w:rFonts w:ascii="Garamond" w:hAnsi="Garamond"/>
          <w:i/>
          <w:iCs/>
          <w:sz w:val="22"/>
          <w:lang w:val="en-US"/>
        </w:rPr>
        <w:t>Home Truths</w:t>
      </w:r>
      <w:r w:rsidRPr="003E0E99">
        <w:rPr>
          <w:rFonts w:ascii="Garamond" w:hAnsi="Garamond"/>
          <w:sz w:val="22"/>
          <w:lang w:val="en-US"/>
        </w:rPr>
        <w:t>. RICS Land Journal, March-April, RICS: London.</w:t>
      </w:r>
    </w:p>
    <w:p w14:paraId="2423690A"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Newman, J., &amp; Clarke, J. (2018). The instabilities of expertise: Remaking knowledge, power and politics in unsettled times. </w:t>
      </w:r>
      <w:r w:rsidRPr="003E0E99">
        <w:rPr>
          <w:rFonts w:ascii="Garamond" w:hAnsi="Garamond"/>
          <w:i/>
          <w:iCs/>
          <w:sz w:val="22"/>
          <w:lang w:val="en-US"/>
        </w:rPr>
        <w:t>Innovation: The European Journal of Social Science Research: Expertise and the Moral Economy of Austerity</w:t>
      </w:r>
      <w:r w:rsidRPr="003E0E99">
        <w:rPr>
          <w:rFonts w:ascii="Garamond" w:hAnsi="Garamond"/>
          <w:sz w:val="22"/>
          <w:lang w:val="en-US"/>
        </w:rPr>
        <w:t xml:space="preserve">, </w:t>
      </w:r>
      <w:r w:rsidRPr="003E0E99">
        <w:rPr>
          <w:rFonts w:ascii="Garamond" w:hAnsi="Garamond"/>
          <w:i/>
          <w:iCs/>
          <w:sz w:val="22"/>
          <w:lang w:val="en-US"/>
        </w:rPr>
        <w:t>31</w:t>
      </w:r>
      <w:r w:rsidRPr="003E0E99">
        <w:rPr>
          <w:rFonts w:ascii="Garamond" w:hAnsi="Garamond"/>
          <w:sz w:val="22"/>
          <w:lang w:val="en-US"/>
        </w:rPr>
        <w:t>(1), 40–54. https://doi.org/10.1080/13511610.2017.1396887</w:t>
      </w:r>
    </w:p>
    <w:p w14:paraId="7D815C27"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Owen, D. (2019). Private facilitators of public regulation: A study of the environmental consulting industry. </w:t>
      </w:r>
      <w:r w:rsidRPr="003E0E99">
        <w:rPr>
          <w:rFonts w:ascii="Garamond" w:hAnsi="Garamond"/>
          <w:i/>
          <w:iCs/>
          <w:sz w:val="22"/>
          <w:lang w:val="en-US"/>
        </w:rPr>
        <w:t>Regulation &amp; Governance</w:t>
      </w:r>
      <w:r w:rsidRPr="003E0E99">
        <w:rPr>
          <w:rFonts w:ascii="Garamond" w:hAnsi="Garamond"/>
          <w:sz w:val="22"/>
          <w:lang w:val="en-US"/>
        </w:rPr>
        <w:t>.</w:t>
      </w:r>
    </w:p>
    <w:p w14:paraId="66B934DC"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Raco, M., Sun, Y., &amp; Brill, F. (2020). Relational regulation and Chinese real estate investment in London: Moving beyond the territorial trap. </w:t>
      </w:r>
      <w:r w:rsidRPr="003E0E99">
        <w:rPr>
          <w:rFonts w:ascii="Garamond" w:hAnsi="Garamond"/>
          <w:i/>
          <w:iCs/>
          <w:sz w:val="22"/>
          <w:lang w:val="en-US"/>
        </w:rPr>
        <w:t>Territory, Politics, Governance</w:t>
      </w:r>
      <w:r w:rsidRPr="003E0E99">
        <w:rPr>
          <w:rFonts w:ascii="Garamond" w:hAnsi="Garamond"/>
          <w:sz w:val="22"/>
          <w:lang w:val="en-US"/>
        </w:rPr>
        <w:t>, 1–23.</w:t>
      </w:r>
    </w:p>
    <w:p w14:paraId="6A2DBCF4"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RICS. (2012). </w:t>
      </w:r>
      <w:r w:rsidRPr="003E0E99">
        <w:rPr>
          <w:rFonts w:ascii="Garamond" w:hAnsi="Garamond"/>
          <w:i/>
          <w:iCs/>
          <w:sz w:val="22"/>
          <w:lang w:val="en-US"/>
        </w:rPr>
        <w:t>Finance Viability Guidance Note</w:t>
      </w:r>
      <w:r w:rsidRPr="003E0E99">
        <w:rPr>
          <w:rFonts w:ascii="Garamond" w:hAnsi="Garamond"/>
          <w:sz w:val="22"/>
          <w:lang w:val="en-US"/>
        </w:rPr>
        <w:t>. Royal Institute of Chartered Surveyors: London.</w:t>
      </w:r>
    </w:p>
    <w:p w14:paraId="77B6BF18"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RICS. (2016). </w:t>
      </w:r>
      <w:r w:rsidRPr="003E0E99">
        <w:rPr>
          <w:rFonts w:ascii="Garamond" w:hAnsi="Garamond"/>
          <w:i/>
          <w:iCs/>
          <w:sz w:val="22"/>
          <w:lang w:val="en-US"/>
        </w:rPr>
        <w:t>Ethical Code of Conduct</w:t>
      </w:r>
      <w:r w:rsidRPr="003E0E99">
        <w:rPr>
          <w:rFonts w:ascii="Garamond" w:hAnsi="Garamond"/>
          <w:sz w:val="22"/>
          <w:lang w:val="en-US"/>
        </w:rPr>
        <w:t>. Royal Institute of Chartered Surveyors: London.</w:t>
      </w:r>
    </w:p>
    <w:p w14:paraId="38CDEF7C"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lastRenderedPageBreak/>
        <w:t xml:space="preserve">RICS. (2019). </w:t>
      </w:r>
      <w:r w:rsidRPr="003E0E99">
        <w:rPr>
          <w:rFonts w:ascii="Garamond" w:hAnsi="Garamond"/>
          <w:i/>
          <w:iCs/>
          <w:sz w:val="22"/>
          <w:lang w:val="en-US"/>
        </w:rPr>
        <w:t>RICS Valuation Global Standards—Global Red Book</w:t>
      </w:r>
      <w:r w:rsidRPr="003E0E99">
        <w:rPr>
          <w:rFonts w:ascii="Garamond" w:hAnsi="Garamond"/>
          <w:sz w:val="22"/>
          <w:lang w:val="en-US"/>
        </w:rPr>
        <w:t>. Royal Institute of Chartered Surveyors: London.</w:t>
      </w:r>
    </w:p>
    <w:p w14:paraId="4F6933F3"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RICS. (2020a). </w:t>
      </w:r>
      <w:r w:rsidRPr="003E0E99">
        <w:rPr>
          <w:rFonts w:ascii="Garamond" w:hAnsi="Garamond"/>
          <w:i/>
          <w:iCs/>
          <w:sz w:val="22"/>
          <w:lang w:val="en-US"/>
        </w:rPr>
        <w:t>Disciplinary Panel Hearing—Case of Countrywide Residential Lettings Ltd United Kingdom</w:t>
      </w:r>
      <w:r w:rsidRPr="003E0E99">
        <w:rPr>
          <w:rFonts w:ascii="Garamond" w:hAnsi="Garamond"/>
          <w:sz w:val="22"/>
          <w:lang w:val="en-US"/>
        </w:rPr>
        <w:t>. RICS: London.</w:t>
      </w:r>
    </w:p>
    <w:p w14:paraId="11FACB32"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RICS. (2020b). </w:t>
      </w:r>
      <w:r w:rsidRPr="003E0E99">
        <w:rPr>
          <w:rFonts w:ascii="Garamond" w:hAnsi="Garamond"/>
          <w:i/>
          <w:iCs/>
          <w:sz w:val="22"/>
          <w:lang w:val="en-US"/>
        </w:rPr>
        <w:t>Royal Charter—Royal Institute of Chartered Surveyors</w:t>
      </w:r>
      <w:r w:rsidRPr="003E0E99">
        <w:rPr>
          <w:rFonts w:ascii="Garamond" w:hAnsi="Garamond"/>
          <w:sz w:val="22"/>
          <w:lang w:val="en-US"/>
        </w:rPr>
        <w:t>. Royal Institute of Chartered Surveyors: London.</w:t>
      </w:r>
    </w:p>
    <w:p w14:paraId="5D51EF71"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RICS. (2020c). </w:t>
      </w:r>
      <w:r w:rsidRPr="003E0E99">
        <w:rPr>
          <w:rFonts w:ascii="Garamond" w:hAnsi="Garamond"/>
          <w:i/>
          <w:iCs/>
          <w:sz w:val="22"/>
          <w:lang w:val="en-US"/>
        </w:rPr>
        <w:t>‘Tear it down and start again’—Prime Minister on the planning system.</w:t>
      </w:r>
      <w:r w:rsidRPr="003E0E99">
        <w:rPr>
          <w:rFonts w:ascii="Garamond" w:hAnsi="Garamond"/>
          <w:sz w:val="22"/>
          <w:lang w:val="en-US"/>
        </w:rPr>
        <w:t xml:space="preserve"> https://www.rics.org/uk/news-insight/latest-news/news-opinion/tear-it-down-and-start-again---prime-minister-on-the-planning-system/</w:t>
      </w:r>
    </w:p>
    <w:p w14:paraId="2B5B9752"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Riles, A. (2018). </w:t>
      </w:r>
      <w:r w:rsidRPr="003E0E99">
        <w:rPr>
          <w:rFonts w:ascii="Garamond" w:hAnsi="Garamond"/>
          <w:i/>
          <w:iCs/>
          <w:sz w:val="22"/>
          <w:lang w:val="en-US"/>
        </w:rPr>
        <w:t>Financial Citizenship: Experts, Publics, and the Politics of Central Banking</w:t>
      </w:r>
      <w:r w:rsidRPr="003E0E99">
        <w:rPr>
          <w:rFonts w:ascii="Garamond" w:hAnsi="Garamond"/>
          <w:sz w:val="22"/>
          <w:lang w:val="en-US"/>
        </w:rPr>
        <w:t>. Cornell University Press.</w:t>
      </w:r>
    </w:p>
    <w:p w14:paraId="73C8F363"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Rodríguez-Pose, A., &amp; Storper, M. (2020). Housing, urban growth and inequalities: The limits to deregulation and upzoning in reducing economic and spatial inequality. </w:t>
      </w:r>
      <w:r w:rsidRPr="003E0E99">
        <w:rPr>
          <w:rFonts w:ascii="Garamond" w:hAnsi="Garamond"/>
          <w:i/>
          <w:iCs/>
          <w:sz w:val="22"/>
          <w:lang w:val="en-US"/>
        </w:rPr>
        <w:t>Urban Studies</w:t>
      </w:r>
      <w:r w:rsidRPr="003E0E99">
        <w:rPr>
          <w:rFonts w:ascii="Garamond" w:hAnsi="Garamond"/>
          <w:sz w:val="22"/>
          <w:lang w:val="en-US"/>
        </w:rPr>
        <w:t xml:space="preserve">, </w:t>
      </w:r>
      <w:r w:rsidRPr="003E0E99">
        <w:rPr>
          <w:rFonts w:ascii="Garamond" w:hAnsi="Garamond"/>
          <w:i/>
          <w:iCs/>
          <w:sz w:val="22"/>
          <w:lang w:val="en-US"/>
        </w:rPr>
        <w:t>57</w:t>
      </w:r>
      <w:r w:rsidRPr="003E0E99">
        <w:rPr>
          <w:rFonts w:ascii="Garamond" w:hAnsi="Garamond"/>
          <w:sz w:val="22"/>
          <w:lang w:val="en-US"/>
        </w:rPr>
        <w:t>(2), 223–248.</w:t>
      </w:r>
    </w:p>
    <w:p w14:paraId="7F2E0B8E"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RTPI. (2019). </w:t>
      </w:r>
      <w:r w:rsidRPr="003E0E99">
        <w:rPr>
          <w:rFonts w:ascii="Garamond" w:hAnsi="Garamond"/>
          <w:i/>
          <w:iCs/>
          <w:sz w:val="22"/>
          <w:lang w:val="en-US"/>
        </w:rPr>
        <w:t>Annual Report and Accounts 2018-2019</w:t>
      </w:r>
      <w:r w:rsidRPr="003E0E99">
        <w:rPr>
          <w:rFonts w:ascii="Garamond" w:hAnsi="Garamond"/>
          <w:sz w:val="22"/>
          <w:lang w:val="en-US"/>
        </w:rPr>
        <w:t>. RTPI: London.</w:t>
      </w:r>
    </w:p>
    <w:p w14:paraId="247E4AB0"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RTPI. (2020a). </w:t>
      </w:r>
      <w:r w:rsidRPr="003E0E99">
        <w:rPr>
          <w:rFonts w:ascii="Garamond" w:hAnsi="Garamond"/>
          <w:i/>
          <w:iCs/>
          <w:sz w:val="22"/>
          <w:lang w:val="en-US"/>
        </w:rPr>
        <w:t>Priorities for Planning Reform in England</w:t>
      </w:r>
      <w:r w:rsidRPr="003E0E99">
        <w:rPr>
          <w:rFonts w:ascii="Garamond" w:hAnsi="Garamond"/>
          <w:sz w:val="22"/>
          <w:lang w:val="en-US"/>
        </w:rPr>
        <w:t>. RTPI: London.</w:t>
      </w:r>
    </w:p>
    <w:p w14:paraId="1C03FE68"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RTPI. (2020b). </w:t>
      </w:r>
      <w:r w:rsidRPr="003E0E99">
        <w:rPr>
          <w:rFonts w:ascii="Garamond" w:hAnsi="Garamond"/>
          <w:i/>
          <w:iCs/>
          <w:sz w:val="22"/>
          <w:lang w:val="en-US"/>
        </w:rPr>
        <w:t>RTPI Corporate Strategy 2020-2030</w:t>
      </w:r>
      <w:r w:rsidRPr="003E0E99">
        <w:rPr>
          <w:rFonts w:ascii="Garamond" w:hAnsi="Garamond"/>
          <w:sz w:val="22"/>
          <w:lang w:val="en-US"/>
        </w:rPr>
        <w:t>. RTPI: London.</w:t>
      </w:r>
    </w:p>
    <w:p w14:paraId="6043A5A9"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The Privy Council. (2019). </w:t>
      </w:r>
      <w:r w:rsidRPr="003E0E99">
        <w:rPr>
          <w:rFonts w:ascii="Garamond" w:hAnsi="Garamond"/>
          <w:i/>
          <w:iCs/>
          <w:sz w:val="22"/>
          <w:lang w:val="en-US"/>
        </w:rPr>
        <w:t>Royal Charters</w:t>
      </w:r>
      <w:r w:rsidRPr="003E0E99">
        <w:rPr>
          <w:rFonts w:ascii="Garamond" w:hAnsi="Garamond"/>
          <w:sz w:val="22"/>
          <w:lang w:val="en-US"/>
        </w:rPr>
        <w:t>. https://privycouncil.independent.gov.uk/royal-charters/</w:t>
      </w:r>
    </w:p>
    <w:p w14:paraId="1E3721FB"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Valler, D., Wood, A., Atkinson, I., Betteley, D., Phelps, N., Raco, M., &amp; Shirlow, P. (2004). Business representation and the UK regions: Mapping institutional change. </w:t>
      </w:r>
      <w:r w:rsidRPr="003E0E99">
        <w:rPr>
          <w:rFonts w:ascii="Garamond" w:hAnsi="Garamond"/>
          <w:i/>
          <w:iCs/>
          <w:sz w:val="22"/>
          <w:lang w:val="en-US"/>
        </w:rPr>
        <w:t>Progress in Planning</w:t>
      </w:r>
      <w:r w:rsidRPr="003E0E99">
        <w:rPr>
          <w:rFonts w:ascii="Garamond" w:hAnsi="Garamond"/>
          <w:sz w:val="22"/>
          <w:lang w:val="en-US"/>
        </w:rPr>
        <w:t xml:space="preserve">, </w:t>
      </w:r>
      <w:r w:rsidRPr="003E0E99">
        <w:rPr>
          <w:rFonts w:ascii="Garamond" w:hAnsi="Garamond"/>
          <w:i/>
          <w:iCs/>
          <w:sz w:val="22"/>
          <w:lang w:val="en-US"/>
        </w:rPr>
        <w:t>61</w:t>
      </w:r>
      <w:r w:rsidRPr="003E0E99">
        <w:rPr>
          <w:rFonts w:ascii="Garamond" w:hAnsi="Garamond"/>
          <w:sz w:val="22"/>
          <w:lang w:val="en-US"/>
        </w:rPr>
        <w:t>(2), 75–135.</w:t>
      </w:r>
    </w:p>
    <w:p w14:paraId="441F6F01"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van der Heijden, M. (2019). Agencies without borders: Explaining partner selection in the formation of transnational agreements between regulators. </w:t>
      </w:r>
      <w:r w:rsidRPr="003E0E99">
        <w:rPr>
          <w:rFonts w:ascii="Garamond" w:hAnsi="Garamond"/>
          <w:i/>
          <w:iCs/>
          <w:sz w:val="22"/>
          <w:lang w:val="en-US"/>
        </w:rPr>
        <w:t>Regulation &amp; Governance</w:t>
      </w:r>
      <w:r w:rsidRPr="003E0E99">
        <w:rPr>
          <w:rFonts w:ascii="Garamond" w:hAnsi="Garamond"/>
          <w:sz w:val="22"/>
          <w:lang w:val="en-US"/>
        </w:rPr>
        <w:t>.</w:t>
      </w:r>
    </w:p>
    <w:p w14:paraId="04F24485" w14:textId="77777777" w:rsidR="003E0E99" w:rsidRPr="003E0E99" w:rsidRDefault="003E0E99" w:rsidP="003E0E99">
      <w:pPr>
        <w:pStyle w:val="Bibliography"/>
        <w:rPr>
          <w:rFonts w:ascii="Garamond" w:hAnsi="Garamond"/>
          <w:sz w:val="22"/>
          <w:lang w:val="en-US"/>
        </w:rPr>
      </w:pPr>
      <w:r w:rsidRPr="003E0E99">
        <w:rPr>
          <w:rFonts w:ascii="Garamond" w:hAnsi="Garamond"/>
          <w:sz w:val="22"/>
          <w:lang w:val="en-US"/>
        </w:rPr>
        <w:t xml:space="preserve">Wacquant, L., Slater, T., &amp; Pereira, V. B. (2014). Territorial stigmatization in action. </w:t>
      </w:r>
      <w:r w:rsidRPr="003E0E99">
        <w:rPr>
          <w:rFonts w:ascii="Garamond" w:hAnsi="Garamond"/>
          <w:i/>
          <w:iCs/>
          <w:sz w:val="22"/>
          <w:lang w:val="en-US"/>
        </w:rPr>
        <w:t>Environment and Planning A</w:t>
      </w:r>
      <w:r w:rsidRPr="003E0E99">
        <w:rPr>
          <w:rFonts w:ascii="Garamond" w:hAnsi="Garamond"/>
          <w:sz w:val="22"/>
          <w:lang w:val="en-US"/>
        </w:rPr>
        <w:t xml:space="preserve">, </w:t>
      </w:r>
      <w:r w:rsidRPr="003E0E99">
        <w:rPr>
          <w:rFonts w:ascii="Garamond" w:hAnsi="Garamond"/>
          <w:i/>
          <w:iCs/>
          <w:sz w:val="22"/>
          <w:lang w:val="en-US"/>
        </w:rPr>
        <w:t>46</w:t>
      </w:r>
      <w:r w:rsidRPr="003E0E99">
        <w:rPr>
          <w:rFonts w:ascii="Garamond" w:hAnsi="Garamond"/>
          <w:sz w:val="22"/>
          <w:lang w:val="en-US"/>
        </w:rPr>
        <w:t>(6), 1270–1280.</w:t>
      </w:r>
    </w:p>
    <w:p w14:paraId="53B9CC15" w14:textId="39D9F27C" w:rsidR="007C1F80" w:rsidRPr="00263267" w:rsidRDefault="007C1F80" w:rsidP="006D08D9">
      <w:pPr>
        <w:spacing w:line="276" w:lineRule="auto"/>
        <w:ind w:right="-52"/>
        <w:jc w:val="both"/>
        <w:rPr>
          <w:rFonts w:ascii="Garamond" w:hAnsi="Garamond"/>
          <w:color w:val="000000" w:themeColor="text1"/>
          <w:sz w:val="22"/>
          <w:szCs w:val="22"/>
        </w:rPr>
      </w:pPr>
      <w:r w:rsidRPr="00263267">
        <w:rPr>
          <w:rFonts w:ascii="Garamond" w:hAnsi="Garamond"/>
          <w:color w:val="000000" w:themeColor="text1"/>
          <w:sz w:val="22"/>
          <w:szCs w:val="22"/>
        </w:rPr>
        <w:fldChar w:fldCharType="end"/>
      </w:r>
    </w:p>
    <w:p w14:paraId="457862C9" w14:textId="3672988E" w:rsidR="00182DE5" w:rsidRPr="00263267" w:rsidRDefault="00182DE5" w:rsidP="006D08D9">
      <w:pPr>
        <w:spacing w:line="276" w:lineRule="auto"/>
        <w:ind w:right="-52"/>
        <w:jc w:val="both"/>
        <w:rPr>
          <w:rFonts w:ascii="Garamond" w:hAnsi="Garamond"/>
          <w:color w:val="000000" w:themeColor="text1"/>
          <w:sz w:val="22"/>
          <w:szCs w:val="22"/>
        </w:rPr>
      </w:pPr>
    </w:p>
    <w:p w14:paraId="40B6F014" w14:textId="77777777" w:rsidR="007152FE" w:rsidRPr="00263267" w:rsidRDefault="007152FE" w:rsidP="006D08D9">
      <w:pPr>
        <w:spacing w:line="276" w:lineRule="auto"/>
        <w:ind w:right="-52"/>
        <w:jc w:val="both"/>
        <w:rPr>
          <w:rFonts w:ascii="Garamond" w:hAnsi="Garamond"/>
          <w:color w:val="000000" w:themeColor="text1"/>
          <w:sz w:val="22"/>
          <w:szCs w:val="22"/>
        </w:rPr>
      </w:pPr>
    </w:p>
    <w:sectPr w:rsidR="007152FE" w:rsidRPr="00263267" w:rsidSect="007342A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FE0D" w14:textId="77777777" w:rsidR="00952911" w:rsidRDefault="00952911" w:rsidP="003A23A3">
      <w:r>
        <w:separator/>
      </w:r>
    </w:p>
  </w:endnote>
  <w:endnote w:type="continuationSeparator" w:id="0">
    <w:p w14:paraId="2A684905" w14:textId="77777777" w:rsidR="00952911" w:rsidRDefault="00952911" w:rsidP="003A23A3">
      <w:r>
        <w:continuationSeparator/>
      </w:r>
    </w:p>
  </w:endnote>
  <w:endnote w:id="1">
    <w:p w14:paraId="74851139" w14:textId="1EF66115" w:rsidR="00B63B93" w:rsidRDefault="00B63B93">
      <w:pPr>
        <w:pStyle w:val="EndnoteText"/>
      </w:pPr>
      <w:r>
        <w:rPr>
          <w:rStyle w:val="EndnoteReference"/>
        </w:rPr>
        <w:endnoteRef/>
      </w:r>
      <w:r>
        <w:t xml:space="preserve"> </w:t>
      </w:r>
      <w:r w:rsidRPr="00FF3820">
        <w:rPr>
          <w:rFonts w:ascii="Garamond" w:hAnsi="Garamond"/>
          <w:color w:val="000000" w:themeColor="text1"/>
          <w:sz w:val="18"/>
          <w:szCs w:val="18"/>
        </w:rPr>
        <w:t xml:space="preserve">In 2019-2020 </w:t>
      </w:r>
      <w:r>
        <w:rPr>
          <w:rFonts w:ascii="Garamond" w:hAnsi="Garamond"/>
          <w:color w:val="000000" w:themeColor="text1"/>
          <w:sz w:val="18"/>
          <w:szCs w:val="18"/>
        </w:rPr>
        <w:t>RTPI</w:t>
      </w:r>
      <w:r w:rsidRPr="00FF3820">
        <w:rPr>
          <w:rFonts w:ascii="Garamond" w:hAnsi="Garamond"/>
          <w:color w:val="000000" w:themeColor="text1"/>
          <w:sz w:val="18"/>
          <w:szCs w:val="18"/>
        </w:rPr>
        <w:t xml:space="preserve"> funding recipients included the University of Aberdeen, RMIT University Melbourne, the University of Reading, Western Sydney University, and University of New Brunswick.</w:t>
      </w:r>
    </w:p>
  </w:endnote>
  <w:endnote w:id="2">
    <w:p w14:paraId="15095005" w14:textId="5F87CAED" w:rsidR="00B63B93" w:rsidRDefault="00B63B93">
      <w:pPr>
        <w:pStyle w:val="EndnoteText"/>
      </w:pPr>
      <w:r>
        <w:rPr>
          <w:rStyle w:val="EndnoteReference"/>
        </w:rPr>
        <w:endnoteRef/>
      </w:r>
      <w:r>
        <w:t xml:space="preserve"> </w:t>
      </w:r>
      <w:r w:rsidRPr="00995FE0">
        <w:rPr>
          <w:rFonts w:ascii="Garamond" w:hAnsi="Garamond"/>
        </w:rPr>
        <w:t>In 2018 the NPPF was revised in order, it was claimed, to make the system of valuations work more efficiently and effectively to meet planning objectives.</w:t>
      </w:r>
    </w:p>
  </w:endnote>
  <w:endnote w:id="3">
    <w:p w14:paraId="371F445F" w14:textId="57E6B050" w:rsidR="00B63B93" w:rsidRDefault="00B63B93">
      <w:pPr>
        <w:pStyle w:val="EndnoteText"/>
      </w:pPr>
      <w:r>
        <w:rPr>
          <w:rStyle w:val="EndnoteReference"/>
        </w:rPr>
        <w:endnoteRef/>
      </w:r>
      <w:r>
        <w:t xml:space="preserve"> </w:t>
      </w:r>
      <w:r w:rsidRPr="00BF3284">
        <w:rPr>
          <w:rFonts w:ascii="Garamond" w:hAnsi="Garamond"/>
          <w:color w:val="000000" w:themeColor="text1"/>
          <w:sz w:val="18"/>
          <w:szCs w:val="18"/>
        </w:rPr>
        <w:t xml:space="preserve">Between July 2019-April 2020 there were 20 Disciplinary Hearings that resulted in the expulsion of 11 members, plus a range of other sanctions, including a fine of £100,000 against Countrywide Properties owing to its </w:t>
      </w:r>
      <w:r w:rsidRPr="00BF3284">
        <w:rPr>
          <w:rFonts w:ascii="Garamond" w:eastAsia="Times New Roman" w:hAnsi="Garamond" w:cs="Times New Roman"/>
          <w:sz w:val="18"/>
          <w:szCs w:val="18"/>
        </w:rPr>
        <w:t>‘</w:t>
      </w:r>
      <w:r w:rsidRPr="00BF3284">
        <w:rPr>
          <w:rFonts w:ascii="Garamond" w:eastAsia="Times New Roman" w:hAnsi="Garamond" w:cs="Times New Roman"/>
          <w:i/>
          <w:sz w:val="18"/>
          <w:szCs w:val="18"/>
        </w:rPr>
        <w:t>serious and prolonged disregard towards the Firm's professional obligations as set out in the RICS' client money guidance document (Clients' money: General advice for firms (v2 w/e from 4 April 2011</w:t>
      </w:r>
      <w:r w:rsidRPr="00BF3284">
        <w:rPr>
          <w:rFonts w:ascii="Garamond" w:eastAsia="Times New Roman" w:hAnsi="Garamond" w:cs="Times New Roman"/>
          <w:sz w:val="18"/>
          <w:szCs w:val="18"/>
        </w:rPr>
        <w:t xml:space="preserve">)’ </w:t>
      </w:r>
      <w:r w:rsidRPr="00BF3284">
        <w:rPr>
          <w:rFonts w:ascii="Garamond" w:eastAsia="Times New Roman" w:hAnsi="Garamond" w:cs="Times New Roman"/>
          <w:sz w:val="18"/>
          <w:szCs w:val="18"/>
        </w:rPr>
        <w:fldChar w:fldCharType="begin"/>
      </w:r>
      <w:r>
        <w:rPr>
          <w:rFonts w:ascii="Garamond" w:eastAsia="Times New Roman" w:hAnsi="Garamond" w:cs="Times New Roman"/>
          <w:sz w:val="18"/>
          <w:szCs w:val="18"/>
        </w:rPr>
        <w:instrText xml:space="preserve"> ADDIN ZOTERO_ITEM CSL_CITATION {"citationID":"OJqtRoM5","properties":{"formattedCitation":"(RICS, 2020b)","plainCitation":"(RICS, 2020b)","dontUpdate":true,"noteIndex":3},"citationItems":[{"id":3172,"uris":["http://zotero.org/groups/2307100/items/FE7EHKU9"],"uri":["http://zotero.org/groups/2307100/items/FE7EHKU9"],"itemData":{"id":3172,"type":"article","publisher":"RICS: London","title":"Disciplinary Panel Hearing -  Case of Countrywide Residential Lettings Ltd United Kingdom","author":[{"family":"RICS","given":""}],"issued":{"date-parts":[["2020"]]}}}],"schema":"https://github.com/citation-style-language/schema/raw/master/csl-citation.json"} </w:instrText>
      </w:r>
      <w:r w:rsidRPr="00BF3284">
        <w:rPr>
          <w:rFonts w:ascii="Garamond" w:eastAsia="Times New Roman" w:hAnsi="Garamond" w:cs="Times New Roman"/>
          <w:sz w:val="18"/>
          <w:szCs w:val="18"/>
        </w:rPr>
        <w:fldChar w:fldCharType="separate"/>
      </w:r>
      <w:r w:rsidRPr="00BF3284">
        <w:rPr>
          <w:rFonts w:ascii="Garamond" w:eastAsia="Times New Roman" w:hAnsi="Garamond" w:cs="Times New Roman"/>
          <w:noProof/>
          <w:sz w:val="18"/>
          <w:szCs w:val="18"/>
        </w:rPr>
        <w:t>(RICS, 2020b: pp.1-2)</w:t>
      </w:r>
      <w:r w:rsidRPr="00BF3284">
        <w:rPr>
          <w:rFonts w:ascii="Garamond" w:eastAsia="Times New Roman" w:hAnsi="Garamond" w:cs="Times New Roman"/>
          <w:sz w:val="18"/>
          <w:szCs w:val="18"/>
        </w:rPr>
        <w:fldChar w:fldCharType="end"/>
      </w:r>
      <w:r w:rsidRPr="00BF3284">
        <w:rPr>
          <w:rFonts w:ascii="Garamond" w:eastAsia="Times New Roman" w:hAnsi="Garamond" w:cs="Times New Roman"/>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TimesNewRomanPSMT">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935979"/>
      <w:docPartObj>
        <w:docPartGallery w:val="Page Numbers (Bottom of Page)"/>
        <w:docPartUnique/>
      </w:docPartObj>
    </w:sdtPr>
    <w:sdtEndPr>
      <w:rPr>
        <w:rStyle w:val="PageNumber"/>
      </w:rPr>
    </w:sdtEndPr>
    <w:sdtContent>
      <w:p w14:paraId="42A7EB92" w14:textId="3F4C119B" w:rsidR="00B63B93" w:rsidRDefault="00B63B93" w:rsidP="00E263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5D137" w14:textId="77777777" w:rsidR="00B63B93" w:rsidRDefault="00B63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86849"/>
      <w:docPartObj>
        <w:docPartGallery w:val="Page Numbers (Bottom of Page)"/>
        <w:docPartUnique/>
      </w:docPartObj>
    </w:sdtPr>
    <w:sdtEndPr>
      <w:rPr>
        <w:rStyle w:val="PageNumber"/>
      </w:rPr>
    </w:sdtEndPr>
    <w:sdtContent>
      <w:p w14:paraId="1BC711AE" w14:textId="16F865D9" w:rsidR="00B63B93" w:rsidRDefault="00B63B93" w:rsidP="00E263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229550" w14:textId="77777777" w:rsidR="00B63B93" w:rsidRDefault="00B6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61A1" w14:textId="77777777" w:rsidR="00952911" w:rsidRDefault="00952911" w:rsidP="003A23A3">
      <w:r>
        <w:separator/>
      </w:r>
    </w:p>
  </w:footnote>
  <w:footnote w:type="continuationSeparator" w:id="0">
    <w:p w14:paraId="51B4F02D" w14:textId="77777777" w:rsidR="00952911" w:rsidRDefault="00952911" w:rsidP="003A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414B"/>
    <w:multiLevelType w:val="hybridMultilevel"/>
    <w:tmpl w:val="460C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16571"/>
    <w:multiLevelType w:val="hybridMultilevel"/>
    <w:tmpl w:val="BD7A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D2C86"/>
    <w:multiLevelType w:val="hybridMultilevel"/>
    <w:tmpl w:val="740E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C4029E"/>
    <w:multiLevelType w:val="hybridMultilevel"/>
    <w:tmpl w:val="2C7E3B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5F7C3F"/>
    <w:multiLevelType w:val="hybridMultilevel"/>
    <w:tmpl w:val="B40CB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97"/>
    <w:rsid w:val="0000013D"/>
    <w:rsid w:val="0000597A"/>
    <w:rsid w:val="00010CDF"/>
    <w:rsid w:val="00015275"/>
    <w:rsid w:val="00021461"/>
    <w:rsid w:val="000242AC"/>
    <w:rsid w:val="00025043"/>
    <w:rsid w:val="00042790"/>
    <w:rsid w:val="00044B05"/>
    <w:rsid w:val="00044DEF"/>
    <w:rsid w:val="00046065"/>
    <w:rsid w:val="00061EA3"/>
    <w:rsid w:val="000901B8"/>
    <w:rsid w:val="00092967"/>
    <w:rsid w:val="000A5366"/>
    <w:rsid w:val="000A5619"/>
    <w:rsid w:val="000B7DC7"/>
    <w:rsid w:val="000C4702"/>
    <w:rsid w:val="000C6B7C"/>
    <w:rsid w:val="000D07BB"/>
    <w:rsid w:val="000D44C4"/>
    <w:rsid w:val="000E5E14"/>
    <w:rsid w:val="000E6E93"/>
    <w:rsid w:val="000F310E"/>
    <w:rsid w:val="000F7581"/>
    <w:rsid w:val="000F79EE"/>
    <w:rsid w:val="00110234"/>
    <w:rsid w:val="00114236"/>
    <w:rsid w:val="0011659E"/>
    <w:rsid w:val="001253B9"/>
    <w:rsid w:val="00127877"/>
    <w:rsid w:val="00127A3C"/>
    <w:rsid w:val="00130C49"/>
    <w:rsid w:val="00133312"/>
    <w:rsid w:val="00137284"/>
    <w:rsid w:val="00151A9E"/>
    <w:rsid w:val="00155346"/>
    <w:rsid w:val="00177C4D"/>
    <w:rsid w:val="00182DE5"/>
    <w:rsid w:val="00184E33"/>
    <w:rsid w:val="001943B2"/>
    <w:rsid w:val="00195504"/>
    <w:rsid w:val="00197992"/>
    <w:rsid w:val="001A19D8"/>
    <w:rsid w:val="001A7906"/>
    <w:rsid w:val="001B5068"/>
    <w:rsid w:val="001B6F6A"/>
    <w:rsid w:val="001C17A3"/>
    <w:rsid w:val="001C3D7B"/>
    <w:rsid w:val="001D47CC"/>
    <w:rsid w:val="001D6D40"/>
    <w:rsid w:val="001E6F1D"/>
    <w:rsid w:val="001F1BF7"/>
    <w:rsid w:val="001F1CE5"/>
    <w:rsid w:val="00211419"/>
    <w:rsid w:val="002214CF"/>
    <w:rsid w:val="00225011"/>
    <w:rsid w:val="002300CD"/>
    <w:rsid w:val="002347D6"/>
    <w:rsid w:val="002353AC"/>
    <w:rsid w:val="00237A3E"/>
    <w:rsid w:val="00244BFC"/>
    <w:rsid w:val="00250A0B"/>
    <w:rsid w:val="00262C5B"/>
    <w:rsid w:val="00263267"/>
    <w:rsid w:val="002670C4"/>
    <w:rsid w:val="00270F18"/>
    <w:rsid w:val="00275EA0"/>
    <w:rsid w:val="002906C6"/>
    <w:rsid w:val="002A0928"/>
    <w:rsid w:val="002A34DD"/>
    <w:rsid w:val="002B16A2"/>
    <w:rsid w:val="002B4816"/>
    <w:rsid w:val="002D6617"/>
    <w:rsid w:val="002D741A"/>
    <w:rsid w:val="002E16FE"/>
    <w:rsid w:val="002E4851"/>
    <w:rsid w:val="002F4F9D"/>
    <w:rsid w:val="00315A34"/>
    <w:rsid w:val="003212E4"/>
    <w:rsid w:val="00323FBF"/>
    <w:rsid w:val="00324D1F"/>
    <w:rsid w:val="00325974"/>
    <w:rsid w:val="00326008"/>
    <w:rsid w:val="003318B7"/>
    <w:rsid w:val="003532D3"/>
    <w:rsid w:val="0036376E"/>
    <w:rsid w:val="0037092A"/>
    <w:rsid w:val="0037724D"/>
    <w:rsid w:val="003800E5"/>
    <w:rsid w:val="00385466"/>
    <w:rsid w:val="003874F6"/>
    <w:rsid w:val="003949BA"/>
    <w:rsid w:val="003A23A3"/>
    <w:rsid w:val="003A5AE9"/>
    <w:rsid w:val="003B13FE"/>
    <w:rsid w:val="003B4D39"/>
    <w:rsid w:val="003B4EEF"/>
    <w:rsid w:val="003B56DC"/>
    <w:rsid w:val="003B6E07"/>
    <w:rsid w:val="003C1614"/>
    <w:rsid w:val="003C2F56"/>
    <w:rsid w:val="003C6536"/>
    <w:rsid w:val="003C746A"/>
    <w:rsid w:val="003D4236"/>
    <w:rsid w:val="003D5ED5"/>
    <w:rsid w:val="003E0E99"/>
    <w:rsid w:val="003E17E9"/>
    <w:rsid w:val="003E1D10"/>
    <w:rsid w:val="003E4751"/>
    <w:rsid w:val="003F10E6"/>
    <w:rsid w:val="003F3C70"/>
    <w:rsid w:val="00446AA3"/>
    <w:rsid w:val="004512A9"/>
    <w:rsid w:val="00457309"/>
    <w:rsid w:val="004573C6"/>
    <w:rsid w:val="00464070"/>
    <w:rsid w:val="004817D1"/>
    <w:rsid w:val="0048432F"/>
    <w:rsid w:val="00496500"/>
    <w:rsid w:val="004A3357"/>
    <w:rsid w:val="004B39C4"/>
    <w:rsid w:val="004C0A56"/>
    <w:rsid w:val="004D1359"/>
    <w:rsid w:val="004F28C0"/>
    <w:rsid w:val="005033EA"/>
    <w:rsid w:val="00505A71"/>
    <w:rsid w:val="00510E8E"/>
    <w:rsid w:val="0051381F"/>
    <w:rsid w:val="005227A2"/>
    <w:rsid w:val="00532059"/>
    <w:rsid w:val="00533D09"/>
    <w:rsid w:val="005368CB"/>
    <w:rsid w:val="00541802"/>
    <w:rsid w:val="0055537E"/>
    <w:rsid w:val="00561069"/>
    <w:rsid w:val="00566201"/>
    <w:rsid w:val="005731AA"/>
    <w:rsid w:val="00573A03"/>
    <w:rsid w:val="0057487C"/>
    <w:rsid w:val="0058052C"/>
    <w:rsid w:val="00581D51"/>
    <w:rsid w:val="005836CE"/>
    <w:rsid w:val="005C09BD"/>
    <w:rsid w:val="005D6B13"/>
    <w:rsid w:val="005E1D7F"/>
    <w:rsid w:val="005E3289"/>
    <w:rsid w:val="005E41CC"/>
    <w:rsid w:val="006024FA"/>
    <w:rsid w:val="006036E4"/>
    <w:rsid w:val="0060796C"/>
    <w:rsid w:val="00610890"/>
    <w:rsid w:val="00616B26"/>
    <w:rsid w:val="00621545"/>
    <w:rsid w:val="00640265"/>
    <w:rsid w:val="00647FE9"/>
    <w:rsid w:val="0065593D"/>
    <w:rsid w:val="00656271"/>
    <w:rsid w:val="00662EC5"/>
    <w:rsid w:val="00664A70"/>
    <w:rsid w:val="00667B88"/>
    <w:rsid w:val="006704E8"/>
    <w:rsid w:val="00682BEE"/>
    <w:rsid w:val="00693A41"/>
    <w:rsid w:val="006955C1"/>
    <w:rsid w:val="006B0220"/>
    <w:rsid w:val="006B487B"/>
    <w:rsid w:val="006B527E"/>
    <w:rsid w:val="006B562D"/>
    <w:rsid w:val="006B5B11"/>
    <w:rsid w:val="006B7843"/>
    <w:rsid w:val="006C4013"/>
    <w:rsid w:val="006D08D9"/>
    <w:rsid w:val="006D166E"/>
    <w:rsid w:val="006D4292"/>
    <w:rsid w:val="006D6F38"/>
    <w:rsid w:val="006E07CD"/>
    <w:rsid w:val="006E236F"/>
    <w:rsid w:val="006E2FE0"/>
    <w:rsid w:val="006E3F67"/>
    <w:rsid w:val="006E6943"/>
    <w:rsid w:val="006F66B2"/>
    <w:rsid w:val="006F7AC6"/>
    <w:rsid w:val="0070003D"/>
    <w:rsid w:val="0070333E"/>
    <w:rsid w:val="00704F39"/>
    <w:rsid w:val="0070532D"/>
    <w:rsid w:val="007152FE"/>
    <w:rsid w:val="00720614"/>
    <w:rsid w:val="0072452C"/>
    <w:rsid w:val="00726313"/>
    <w:rsid w:val="00727D0C"/>
    <w:rsid w:val="007342A7"/>
    <w:rsid w:val="00736684"/>
    <w:rsid w:val="007434C1"/>
    <w:rsid w:val="00751BA0"/>
    <w:rsid w:val="00761B9A"/>
    <w:rsid w:val="0076797A"/>
    <w:rsid w:val="007717D1"/>
    <w:rsid w:val="0077493A"/>
    <w:rsid w:val="007769EF"/>
    <w:rsid w:val="007775DA"/>
    <w:rsid w:val="007807DA"/>
    <w:rsid w:val="007A12A0"/>
    <w:rsid w:val="007A2D69"/>
    <w:rsid w:val="007B3D82"/>
    <w:rsid w:val="007B4C18"/>
    <w:rsid w:val="007B7F00"/>
    <w:rsid w:val="007C1F80"/>
    <w:rsid w:val="007C452B"/>
    <w:rsid w:val="007C5854"/>
    <w:rsid w:val="007E205C"/>
    <w:rsid w:val="007E500A"/>
    <w:rsid w:val="00803CB6"/>
    <w:rsid w:val="00804E67"/>
    <w:rsid w:val="00813E06"/>
    <w:rsid w:val="00816187"/>
    <w:rsid w:val="00816DB9"/>
    <w:rsid w:val="00833D75"/>
    <w:rsid w:val="00837177"/>
    <w:rsid w:val="00837691"/>
    <w:rsid w:val="00855D7B"/>
    <w:rsid w:val="008574C6"/>
    <w:rsid w:val="008711CE"/>
    <w:rsid w:val="0087156A"/>
    <w:rsid w:val="00871FE0"/>
    <w:rsid w:val="0088688D"/>
    <w:rsid w:val="00896E05"/>
    <w:rsid w:val="008B0AAF"/>
    <w:rsid w:val="008B644B"/>
    <w:rsid w:val="008C0CE0"/>
    <w:rsid w:val="008C6022"/>
    <w:rsid w:val="008C6071"/>
    <w:rsid w:val="008D175A"/>
    <w:rsid w:val="008D7D0C"/>
    <w:rsid w:val="008E7AA5"/>
    <w:rsid w:val="008F172B"/>
    <w:rsid w:val="00900ADF"/>
    <w:rsid w:val="00922CDB"/>
    <w:rsid w:val="00934D00"/>
    <w:rsid w:val="00937949"/>
    <w:rsid w:val="00952911"/>
    <w:rsid w:val="00953ECF"/>
    <w:rsid w:val="00960C43"/>
    <w:rsid w:val="00973FCC"/>
    <w:rsid w:val="00977FA9"/>
    <w:rsid w:val="00983F06"/>
    <w:rsid w:val="0099154E"/>
    <w:rsid w:val="00994BB8"/>
    <w:rsid w:val="00995FE0"/>
    <w:rsid w:val="009A05CD"/>
    <w:rsid w:val="009B41AA"/>
    <w:rsid w:val="009E1BEB"/>
    <w:rsid w:val="009F2511"/>
    <w:rsid w:val="009F4FE2"/>
    <w:rsid w:val="009F5B4A"/>
    <w:rsid w:val="00A02F88"/>
    <w:rsid w:val="00A06AD4"/>
    <w:rsid w:val="00A07871"/>
    <w:rsid w:val="00A10952"/>
    <w:rsid w:val="00A41B89"/>
    <w:rsid w:val="00A43C35"/>
    <w:rsid w:val="00A52B42"/>
    <w:rsid w:val="00A54C47"/>
    <w:rsid w:val="00A60051"/>
    <w:rsid w:val="00A70FCF"/>
    <w:rsid w:val="00A746F2"/>
    <w:rsid w:val="00A80874"/>
    <w:rsid w:val="00A81D3A"/>
    <w:rsid w:val="00A85344"/>
    <w:rsid w:val="00A85754"/>
    <w:rsid w:val="00A86E93"/>
    <w:rsid w:val="00A90AB8"/>
    <w:rsid w:val="00AB4005"/>
    <w:rsid w:val="00AC22BB"/>
    <w:rsid w:val="00AD2F89"/>
    <w:rsid w:val="00AD5618"/>
    <w:rsid w:val="00AE485C"/>
    <w:rsid w:val="00AE58F6"/>
    <w:rsid w:val="00AF2598"/>
    <w:rsid w:val="00AF6B17"/>
    <w:rsid w:val="00AF71EB"/>
    <w:rsid w:val="00B05A4A"/>
    <w:rsid w:val="00B10365"/>
    <w:rsid w:val="00B15054"/>
    <w:rsid w:val="00B32DD0"/>
    <w:rsid w:val="00B63B93"/>
    <w:rsid w:val="00B66DC7"/>
    <w:rsid w:val="00B70081"/>
    <w:rsid w:val="00B8203E"/>
    <w:rsid w:val="00B82A23"/>
    <w:rsid w:val="00B83451"/>
    <w:rsid w:val="00B83510"/>
    <w:rsid w:val="00B8480D"/>
    <w:rsid w:val="00B87B04"/>
    <w:rsid w:val="00B9259C"/>
    <w:rsid w:val="00B94606"/>
    <w:rsid w:val="00B96D62"/>
    <w:rsid w:val="00BC21CD"/>
    <w:rsid w:val="00BD4BE6"/>
    <w:rsid w:val="00BF3284"/>
    <w:rsid w:val="00BF49B1"/>
    <w:rsid w:val="00BF6094"/>
    <w:rsid w:val="00BF65BD"/>
    <w:rsid w:val="00C01114"/>
    <w:rsid w:val="00C0134E"/>
    <w:rsid w:val="00C021AF"/>
    <w:rsid w:val="00C24E85"/>
    <w:rsid w:val="00C33CBB"/>
    <w:rsid w:val="00C47AA3"/>
    <w:rsid w:val="00C5351E"/>
    <w:rsid w:val="00C55AFC"/>
    <w:rsid w:val="00C64E2E"/>
    <w:rsid w:val="00C65EF5"/>
    <w:rsid w:val="00C93E56"/>
    <w:rsid w:val="00C978E0"/>
    <w:rsid w:val="00CA4D43"/>
    <w:rsid w:val="00CA5B2C"/>
    <w:rsid w:val="00CB6F9E"/>
    <w:rsid w:val="00CC29B8"/>
    <w:rsid w:val="00CD4C20"/>
    <w:rsid w:val="00CD58D3"/>
    <w:rsid w:val="00CE0973"/>
    <w:rsid w:val="00D05BFB"/>
    <w:rsid w:val="00D11C74"/>
    <w:rsid w:val="00D15680"/>
    <w:rsid w:val="00D16E29"/>
    <w:rsid w:val="00D174D8"/>
    <w:rsid w:val="00D2208E"/>
    <w:rsid w:val="00D2461F"/>
    <w:rsid w:val="00D265E1"/>
    <w:rsid w:val="00D3692A"/>
    <w:rsid w:val="00D37AB6"/>
    <w:rsid w:val="00D455BA"/>
    <w:rsid w:val="00D4571C"/>
    <w:rsid w:val="00D503D5"/>
    <w:rsid w:val="00D5045C"/>
    <w:rsid w:val="00D5136B"/>
    <w:rsid w:val="00D5665A"/>
    <w:rsid w:val="00D72A90"/>
    <w:rsid w:val="00D73548"/>
    <w:rsid w:val="00D8755F"/>
    <w:rsid w:val="00D919E3"/>
    <w:rsid w:val="00D922BE"/>
    <w:rsid w:val="00D92F8D"/>
    <w:rsid w:val="00D94606"/>
    <w:rsid w:val="00D95155"/>
    <w:rsid w:val="00D97495"/>
    <w:rsid w:val="00DA06F9"/>
    <w:rsid w:val="00DA12EE"/>
    <w:rsid w:val="00DA2841"/>
    <w:rsid w:val="00DA5291"/>
    <w:rsid w:val="00DB26EE"/>
    <w:rsid w:val="00DC0BA2"/>
    <w:rsid w:val="00DC4E78"/>
    <w:rsid w:val="00DC5F2F"/>
    <w:rsid w:val="00DC7DFD"/>
    <w:rsid w:val="00DD763C"/>
    <w:rsid w:val="00DE1D48"/>
    <w:rsid w:val="00DF0AEC"/>
    <w:rsid w:val="00E00890"/>
    <w:rsid w:val="00E0310F"/>
    <w:rsid w:val="00E2639B"/>
    <w:rsid w:val="00E32119"/>
    <w:rsid w:val="00E400ED"/>
    <w:rsid w:val="00E44F23"/>
    <w:rsid w:val="00E51298"/>
    <w:rsid w:val="00E631EA"/>
    <w:rsid w:val="00E713C7"/>
    <w:rsid w:val="00E768DE"/>
    <w:rsid w:val="00E8575B"/>
    <w:rsid w:val="00E86248"/>
    <w:rsid w:val="00E92062"/>
    <w:rsid w:val="00E92B23"/>
    <w:rsid w:val="00EB0548"/>
    <w:rsid w:val="00EB0CD4"/>
    <w:rsid w:val="00EC045B"/>
    <w:rsid w:val="00ED39DF"/>
    <w:rsid w:val="00EE7E10"/>
    <w:rsid w:val="00EF04FB"/>
    <w:rsid w:val="00EF3F00"/>
    <w:rsid w:val="00F029F7"/>
    <w:rsid w:val="00F06970"/>
    <w:rsid w:val="00F14AF8"/>
    <w:rsid w:val="00F32941"/>
    <w:rsid w:val="00F36E46"/>
    <w:rsid w:val="00F46999"/>
    <w:rsid w:val="00F5080E"/>
    <w:rsid w:val="00F53A8C"/>
    <w:rsid w:val="00F61F9A"/>
    <w:rsid w:val="00F76914"/>
    <w:rsid w:val="00F93FE7"/>
    <w:rsid w:val="00FA0797"/>
    <w:rsid w:val="00FA3171"/>
    <w:rsid w:val="00FA51EA"/>
    <w:rsid w:val="00FA7F72"/>
    <w:rsid w:val="00FB0D08"/>
    <w:rsid w:val="00FB17AC"/>
    <w:rsid w:val="00FB3210"/>
    <w:rsid w:val="00FB34EB"/>
    <w:rsid w:val="00FC63D1"/>
    <w:rsid w:val="00FD161A"/>
    <w:rsid w:val="00FE188D"/>
    <w:rsid w:val="00FE5353"/>
    <w:rsid w:val="00FF0413"/>
    <w:rsid w:val="00FF3820"/>
    <w:rsid w:val="00FF48F8"/>
    <w:rsid w:val="00FF7F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519EF78"/>
  <w14:defaultImageDpi w14:val="32767"/>
  <w15:chartTrackingRefBased/>
  <w15:docId w15:val="{292C8224-6176-0547-9C68-9015B196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A0797"/>
    <w:pPr>
      <w:pBdr>
        <w:top w:val="nil"/>
        <w:left w:val="nil"/>
        <w:bottom w:val="nil"/>
        <w:right w:val="nil"/>
        <w:between w:val="nil"/>
        <w:bar w:val="nil"/>
      </w:pBdr>
      <w:spacing w:before="160" w:line="288" w:lineRule="auto"/>
    </w:pPr>
    <w:rPr>
      <w:rFonts w:ascii="Helvetica" w:eastAsia="Arial Unicode MS" w:hAnsi="Arial Unicode MS" w:cs="Arial Unicode MS"/>
      <w:color w:val="000000"/>
      <w:bdr w:val="nil"/>
      <w:lang w:eastAsia="en-GB"/>
    </w:rPr>
  </w:style>
  <w:style w:type="paragraph" w:styleId="Bibliography">
    <w:name w:val="Bibliography"/>
    <w:basedOn w:val="Normal"/>
    <w:next w:val="Normal"/>
    <w:uiPriority w:val="37"/>
    <w:unhideWhenUsed/>
    <w:rsid w:val="00D11C74"/>
    <w:pPr>
      <w:spacing w:line="480" w:lineRule="auto"/>
      <w:ind w:left="720" w:hanging="720"/>
    </w:pPr>
  </w:style>
  <w:style w:type="paragraph" w:styleId="NormalWeb">
    <w:name w:val="Normal (Web)"/>
    <w:basedOn w:val="Normal"/>
    <w:uiPriority w:val="99"/>
    <w:unhideWhenUsed/>
    <w:rsid w:val="00664A7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A23A3"/>
    <w:pPr>
      <w:tabs>
        <w:tab w:val="center" w:pos="4513"/>
        <w:tab w:val="right" w:pos="9026"/>
      </w:tabs>
    </w:pPr>
  </w:style>
  <w:style w:type="character" w:customStyle="1" w:styleId="FooterChar">
    <w:name w:val="Footer Char"/>
    <w:basedOn w:val="DefaultParagraphFont"/>
    <w:link w:val="Footer"/>
    <w:uiPriority w:val="99"/>
    <w:rsid w:val="003A23A3"/>
  </w:style>
  <w:style w:type="character" w:styleId="PageNumber">
    <w:name w:val="page number"/>
    <w:basedOn w:val="DefaultParagraphFont"/>
    <w:uiPriority w:val="99"/>
    <w:semiHidden/>
    <w:unhideWhenUsed/>
    <w:rsid w:val="003A23A3"/>
  </w:style>
  <w:style w:type="table" w:styleId="TableGrid">
    <w:name w:val="Table Grid"/>
    <w:basedOn w:val="TableNormal"/>
    <w:uiPriority w:val="39"/>
    <w:rsid w:val="00325974"/>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974"/>
    <w:pPr>
      <w:ind w:left="720"/>
      <w:contextualSpacing/>
    </w:pPr>
    <w:rPr>
      <w:rFonts w:eastAsiaTheme="minorEastAsia"/>
      <w:sz w:val="22"/>
      <w:szCs w:val="22"/>
      <w:lang w:eastAsia="en-GB"/>
    </w:rPr>
  </w:style>
  <w:style w:type="paragraph" w:styleId="FootnoteText">
    <w:name w:val="footnote text"/>
    <w:basedOn w:val="Normal"/>
    <w:link w:val="FootnoteTextChar"/>
    <w:uiPriority w:val="99"/>
    <w:semiHidden/>
    <w:unhideWhenUsed/>
    <w:rsid w:val="00B87B04"/>
    <w:rPr>
      <w:sz w:val="20"/>
      <w:szCs w:val="20"/>
    </w:rPr>
  </w:style>
  <w:style w:type="character" w:customStyle="1" w:styleId="FootnoteTextChar">
    <w:name w:val="Footnote Text Char"/>
    <w:basedOn w:val="DefaultParagraphFont"/>
    <w:link w:val="FootnoteText"/>
    <w:uiPriority w:val="99"/>
    <w:semiHidden/>
    <w:rsid w:val="00B87B04"/>
    <w:rPr>
      <w:sz w:val="20"/>
      <w:szCs w:val="20"/>
    </w:rPr>
  </w:style>
  <w:style w:type="character" w:styleId="FootnoteReference">
    <w:name w:val="footnote reference"/>
    <w:basedOn w:val="DefaultParagraphFont"/>
    <w:uiPriority w:val="99"/>
    <w:semiHidden/>
    <w:unhideWhenUsed/>
    <w:rsid w:val="00B87B04"/>
    <w:rPr>
      <w:vertAlign w:val="superscript"/>
    </w:rPr>
  </w:style>
  <w:style w:type="character" w:styleId="CommentReference">
    <w:name w:val="annotation reference"/>
    <w:basedOn w:val="DefaultParagraphFont"/>
    <w:uiPriority w:val="99"/>
    <w:semiHidden/>
    <w:unhideWhenUsed/>
    <w:rsid w:val="00127A3C"/>
    <w:rPr>
      <w:sz w:val="16"/>
      <w:szCs w:val="16"/>
    </w:rPr>
  </w:style>
  <w:style w:type="paragraph" w:styleId="CommentText">
    <w:name w:val="annotation text"/>
    <w:basedOn w:val="Normal"/>
    <w:link w:val="CommentTextChar"/>
    <w:uiPriority w:val="99"/>
    <w:semiHidden/>
    <w:unhideWhenUsed/>
    <w:rsid w:val="00127A3C"/>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127A3C"/>
    <w:rPr>
      <w:rFonts w:eastAsiaTheme="minorEastAsia"/>
      <w:sz w:val="20"/>
      <w:szCs w:val="20"/>
      <w:lang w:eastAsia="en-GB"/>
    </w:rPr>
  </w:style>
  <w:style w:type="paragraph" w:styleId="BalloonText">
    <w:name w:val="Balloon Text"/>
    <w:basedOn w:val="Normal"/>
    <w:link w:val="BalloonTextChar"/>
    <w:uiPriority w:val="99"/>
    <w:semiHidden/>
    <w:unhideWhenUsed/>
    <w:rsid w:val="00127A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7A3C"/>
    <w:rPr>
      <w:rFonts w:ascii="Times New Roman" w:hAnsi="Times New Roman" w:cs="Times New Roman"/>
      <w:sz w:val="18"/>
      <w:szCs w:val="18"/>
    </w:rPr>
  </w:style>
  <w:style w:type="character" w:styleId="EndnoteReference">
    <w:name w:val="endnote reference"/>
    <w:basedOn w:val="DefaultParagraphFont"/>
    <w:uiPriority w:val="99"/>
    <w:semiHidden/>
    <w:unhideWhenUsed/>
    <w:rsid w:val="00010CDF"/>
    <w:rPr>
      <w:vertAlign w:val="superscript"/>
    </w:rPr>
  </w:style>
  <w:style w:type="paragraph" w:styleId="CommentSubject">
    <w:name w:val="annotation subject"/>
    <w:basedOn w:val="CommentText"/>
    <w:next w:val="CommentText"/>
    <w:link w:val="CommentSubjectChar"/>
    <w:uiPriority w:val="99"/>
    <w:semiHidden/>
    <w:unhideWhenUsed/>
    <w:rsid w:val="00616B26"/>
    <w:rPr>
      <w:rFonts w:eastAsiaTheme="minorHAnsi"/>
      <w:b/>
      <w:bCs/>
      <w:lang w:eastAsia="en-US"/>
    </w:rPr>
  </w:style>
  <w:style w:type="character" w:customStyle="1" w:styleId="CommentSubjectChar">
    <w:name w:val="Comment Subject Char"/>
    <w:basedOn w:val="CommentTextChar"/>
    <w:link w:val="CommentSubject"/>
    <w:uiPriority w:val="99"/>
    <w:semiHidden/>
    <w:rsid w:val="00616B26"/>
    <w:rPr>
      <w:rFonts w:eastAsiaTheme="minorEastAsia"/>
      <w:b/>
      <w:bCs/>
      <w:sz w:val="20"/>
      <w:szCs w:val="20"/>
      <w:lang w:eastAsia="en-GB"/>
    </w:rPr>
  </w:style>
  <w:style w:type="paragraph" w:styleId="Revision">
    <w:name w:val="Revision"/>
    <w:hidden/>
    <w:uiPriority w:val="99"/>
    <w:semiHidden/>
    <w:rsid w:val="00934D00"/>
  </w:style>
  <w:style w:type="paragraph" w:styleId="EndnoteText">
    <w:name w:val="endnote text"/>
    <w:basedOn w:val="Normal"/>
    <w:link w:val="EndnoteTextChar"/>
    <w:uiPriority w:val="99"/>
    <w:semiHidden/>
    <w:unhideWhenUsed/>
    <w:rsid w:val="00995FE0"/>
    <w:rPr>
      <w:sz w:val="20"/>
      <w:szCs w:val="20"/>
    </w:rPr>
  </w:style>
  <w:style w:type="character" w:customStyle="1" w:styleId="EndnoteTextChar">
    <w:name w:val="Endnote Text Char"/>
    <w:basedOn w:val="DefaultParagraphFont"/>
    <w:link w:val="EndnoteText"/>
    <w:uiPriority w:val="99"/>
    <w:semiHidden/>
    <w:rsid w:val="00995F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903">
      <w:bodyDiv w:val="1"/>
      <w:marLeft w:val="0"/>
      <w:marRight w:val="0"/>
      <w:marTop w:val="0"/>
      <w:marBottom w:val="0"/>
      <w:divBdr>
        <w:top w:val="none" w:sz="0" w:space="0" w:color="auto"/>
        <w:left w:val="none" w:sz="0" w:space="0" w:color="auto"/>
        <w:bottom w:val="none" w:sz="0" w:space="0" w:color="auto"/>
        <w:right w:val="none" w:sz="0" w:space="0" w:color="auto"/>
      </w:divBdr>
      <w:divsChild>
        <w:div w:id="1803187962">
          <w:marLeft w:val="0"/>
          <w:marRight w:val="0"/>
          <w:marTop w:val="0"/>
          <w:marBottom w:val="0"/>
          <w:divBdr>
            <w:top w:val="none" w:sz="0" w:space="0" w:color="auto"/>
            <w:left w:val="none" w:sz="0" w:space="0" w:color="auto"/>
            <w:bottom w:val="none" w:sz="0" w:space="0" w:color="auto"/>
            <w:right w:val="none" w:sz="0" w:space="0" w:color="auto"/>
          </w:divBdr>
          <w:divsChild>
            <w:div w:id="1158351785">
              <w:marLeft w:val="0"/>
              <w:marRight w:val="0"/>
              <w:marTop w:val="0"/>
              <w:marBottom w:val="0"/>
              <w:divBdr>
                <w:top w:val="none" w:sz="0" w:space="0" w:color="auto"/>
                <w:left w:val="none" w:sz="0" w:space="0" w:color="auto"/>
                <w:bottom w:val="none" w:sz="0" w:space="0" w:color="auto"/>
                <w:right w:val="none" w:sz="0" w:space="0" w:color="auto"/>
              </w:divBdr>
              <w:divsChild>
                <w:div w:id="140075887">
                  <w:marLeft w:val="0"/>
                  <w:marRight w:val="0"/>
                  <w:marTop w:val="0"/>
                  <w:marBottom w:val="0"/>
                  <w:divBdr>
                    <w:top w:val="none" w:sz="0" w:space="0" w:color="auto"/>
                    <w:left w:val="none" w:sz="0" w:space="0" w:color="auto"/>
                    <w:bottom w:val="none" w:sz="0" w:space="0" w:color="auto"/>
                    <w:right w:val="none" w:sz="0" w:space="0" w:color="auto"/>
                  </w:divBdr>
                  <w:divsChild>
                    <w:div w:id="19418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04347">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0"/>
          <w:marBottom w:val="0"/>
          <w:divBdr>
            <w:top w:val="none" w:sz="0" w:space="0" w:color="auto"/>
            <w:left w:val="none" w:sz="0" w:space="0" w:color="auto"/>
            <w:bottom w:val="none" w:sz="0" w:space="0" w:color="auto"/>
            <w:right w:val="none" w:sz="0" w:space="0" w:color="auto"/>
          </w:divBdr>
          <w:divsChild>
            <w:div w:id="42944111">
              <w:marLeft w:val="0"/>
              <w:marRight w:val="0"/>
              <w:marTop w:val="0"/>
              <w:marBottom w:val="0"/>
              <w:divBdr>
                <w:top w:val="none" w:sz="0" w:space="0" w:color="auto"/>
                <w:left w:val="none" w:sz="0" w:space="0" w:color="auto"/>
                <w:bottom w:val="none" w:sz="0" w:space="0" w:color="auto"/>
                <w:right w:val="none" w:sz="0" w:space="0" w:color="auto"/>
              </w:divBdr>
              <w:divsChild>
                <w:div w:id="13837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7930">
      <w:bodyDiv w:val="1"/>
      <w:marLeft w:val="0"/>
      <w:marRight w:val="0"/>
      <w:marTop w:val="0"/>
      <w:marBottom w:val="0"/>
      <w:divBdr>
        <w:top w:val="none" w:sz="0" w:space="0" w:color="auto"/>
        <w:left w:val="none" w:sz="0" w:space="0" w:color="auto"/>
        <w:bottom w:val="none" w:sz="0" w:space="0" w:color="auto"/>
        <w:right w:val="none" w:sz="0" w:space="0" w:color="auto"/>
      </w:divBdr>
    </w:div>
    <w:div w:id="1855679623">
      <w:bodyDiv w:val="1"/>
      <w:marLeft w:val="0"/>
      <w:marRight w:val="0"/>
      <w:marTop w:val="0"/>
      <w:marBottom w:val="0"/>
      <w:divBdr>
        <w:top w:val="none" w:sz="0" w:space="0" w:color="auto"/>
        <w:left w:val="none" w:sz="0" w:space="0" w:color="auto"/>
        <w:bottom w:val="none" w:sz="0" w:space="0" w:color="auto"/>
        <w:right w:val="none" w:sz="0" w:space="0" w:color="auto"/>
      </w:divBdr>
    </w:div>
    <w:div w:id="21113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29C6-16C9-514E-9387-B51DDDDD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13393</Words>
  <Characters>76343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Raco, Mike</dc:creator>
  <cp:keywords/>
  <dc:description/>
  <cp:lastModifiedBy>Frances Brill</cp:lastModifiedBy>
  <cp:revision>2</cp:revision>
  <cp:lastPrinted>2020-12-21T16:13:00Z</cp:lastPrinted>
  <dcterms:created xsi:type="dcterms:W3CDTF">2021-09-25T09:02:00Z</dcterms:created>
  <dcterms:modified xsi:type="dcterms:W3CDTF">2021-09-25T09:02:00Z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id="voLNMSjC"/&gt;&lt;style id="http://www.zotero.org/styles/apa" locale="en-GB"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