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B9B1CFE" w14:textId="77777777" w:rsidR="00754194" w:rsidRPr="00B05509" w:rsidRDefault="00754194" w:rsidP="00B05509">
      <w:pPr>
        <w:spacing w:line="480" w:lineRule="auto"/>
        <w:jc w:val="center"/>
        <w:rPr>
          <w:rFonts w:ascii="Times New Roman" w:hAnsi="Times New Roman"/>
          <w:sz w:val="36"/>
          <w:szCs w:val="36"/>
        </w:rPr>
      </w:pPr>
    </w:p>
    <w:p w14:paraId="619F5FAD" w14:textId="77777777" w:rsidR="00754194" w:rsidRPr="00B05509" w:rsidRDefault="00754194" w:rsidP="00B05509">
      <w:pPr>
        <w:spacing w:line="480" w:lineRule="auto"/>
        <w:jc w:val="center"/>
        <w:rPr>
          <w:rFonts w:ascii="Times New Roman" w:hAnsi="Times New Roman"/>
          <w:sz w:val="36"/>
          <w:szCs w:val="36"/>
        </w:rPr>
      </w:pPr>
    </w:p>
    <w:p w14:paraId="516DBA63" w14:textId="77777777" w:rsidR="00754194" w:rsidRPr="00B05509" w:rsidRDefault="00754194" w:rsidP="00B05509">
      <w:pPr>
        <w:spacing w:line="480" w:lineRule="auto"/>
        <w:jc w:val="center"/>
        <w:rPr>
          <w:rFonts w:ascii="Times New Roman" w:hAnsi="Times New Roman"/>
          <w:sz w:val="36"/>
          <w:szCs w:val="36"/>
        </w:rPr>
      </w:pPr>
    </w:p>
    <w:p w14:paraId="72773843" w14:textId="7CB099F0" w:rsidR="00781058" w:rsidRPr="00B05509" w:rsidRDefault="009A204D" w:rsidP="00B05509">
      <w:pPr>
        <w:spacing w:line="480" w:lineRule="auto"/>
        <w:jc w:val="center"/>
        <w:rPr>
          <w:rFonts w:ascii="Times New Roman" w:hAnsi="Times New Roman"/>
          <w:sz w:val="36"/>
          <w:szCs w:val="36"/>
        </w:rPr>
      </w:pPr>
      <w:r w:rsidRPr="00B05509">
        <w:rPr>
          <w:rFonts w:ascii="Times New Roman" w:hAnsi="Times New Roman"/>
          <w:sz w:val="36"/>
          <w:szCs w:val="36"/>
        </w:rPr>
        <w:t xml:space="preserve">The effects of quality of evidence communication on perception of public health information </w:t>
      </w:r>
      <w:r w:rsidR="004202D6" w:rsidRPr="00B05509">
        <w:rPr>
          <w:rFonts w:ascii="Times New Roman" w:hAnsi="Times New Roman"/>
          <w:sz w:val="36"/>
          <w:szCs w:val="36"/>
        </w:rPr>
        <w:t xml:space="preserve">about </w:t>
      </w:r>
      <w:r w:rsidRPr="00B05509">
        <w:rPr>
          <w:rFonts w:ascii="Times New Roman" w:hAnsi="Times New Roman"/>
          <w:sz w:val="36"/>
          <w:szCs w:val="36"/>
        </w:rPr>
        <w:t>COVID-19</w:t>
      </w:r>
      <w:r w:rsidR="008258BD" w:rsidRPr="00B05509">
        <w:rPr>
          <w:rFonts w:ascii="Times New Roman" w:hAnsi="Times New Roman"/>
          <w:sz w:val="36"/>
          <w:szCs w:val="36"/>
        </w:rPr>
        <w:t>: two randomised controlled trials</w:t>
      </w:r>
    </w:p>
    <w:p w14:paraId="4B746F48" w14:textId="77777777" w:rsidR="00754194" w:rsidRPr="00B05509" w:rsidRDefault="00754194" w:rsidP="00B05509">
      <w:pPr>
        <w:spacing w:line="480" w:lineRule="auto"/>
        <w:jc w:val="center"/>
        <w:rPr>
          <w:rFonts w:ascii="Times New Roman" w:hAnsi="Times New Roman"/>
          <w:sz w:val="36"/>
          <w:szCs w:val="36"/>
        </w:rPr>
      </w:pPr>
    </w:p>
    <w:p w14:paraId="62139983" w14:textId="35227DBE" w:rsidR="005E6C49" w:rsidRPr="00B05509" w:rsidRDefault="005E6C49" w:rsidP="00B05509">
      <w:pPr>
        <w:spacing w:line="480" w:lineRule="auto"/>
        <w:jc w:val="center"/>
        <w:rPr>
          <w:rFonts w:ascii="Times New Roman" w:hAnsi="Times New Roman"/>
        </w:rPr>
      </w:pPr>
    </w:p>
    <w:p w14:paraId="073EA337" w14:textId="73300120" w:rsidR="005E6C49" w:rsidRPr="00B05509" w:rsidRDefault="005E6C49" w:rsidP="00B05509">
      <w:pPr>
        <w:spacing w:line="480" w:lineRule="auto"/>
        <w:rPr>
          <w:rFonts w:ascii="Times New Roman" w:hAnsi="Times New Roman"/>
        </w:rPr>
      </w:pPr>
      <w:r w:rsidRPr="00B05509">
        <w:rPr>
          <w:rFonts w:ascii="Times New Roman" w:hAnsi="Times New Roman"/>
        </w:rPr>
        <w:t>Claudia R. Schneider</w:t>
      </w:r>
      <w:r w:rsidRPr="00B05509">
        <w:rPr>
          <w:rFonts w:ascii="Times New Roman" w:hAnsi="Times New Roman"/>
          <w:vertAlign w:val="superscript"/>
        </w:rPr>
        <w:t>1</w:t>
      </w:r>
      <w:r w:rsidR="00AC0214">
        <w:rPr>
          <w:rFonts w:ascii="Times New Roman" w:hAnsi="Times New Roman"/>
          <w:vertAlign w:val="superscript"/>
        </w:rPr>
        <w:t>,</w:t>
      </w:r>
      <w:r w:rsidRPr="00B05509">
        <w:rPr>
          <w:rFonts w:ascii="Times New Roman" w:hAnsi="Times New Roman"/>
          <w:vertAlign w:val="superscript"/>
        </w:rPr>
        <w:t>2</w:t>
      </w:r>
      <w:r w:rsidR="007E4C91" w:rsidRPr="00F94982">
        <w:rPr>
          <w:rFonts w:ascii="Times New Roman" w:hAnsi="Times New Roman"/>
          <w:vertAlign w:val="superscript"/>
        </w:rPr>
        <w:t>*</w:t>
      </w:r>
      <w:r w:rsidRPr="00B05509">
        <w:rPr>
          <w:rFonts w:ascii="Times New Roman" w:hAnsi="Times New Roman"/>
        </w:rPr>
        <w:t>, Alexandra L. J. Freeman</w:t>
      </w:r>
      <w:r w:rsidRPr="00B05509">
        <w:rPr>
          <w:rFonts w:ascii="Times New Roman" w:hAnsi="Times New Roman"/>
          <w:vertAlign w:val="superscript"/>
        </w:rPr>
        <w:t>1</w:t>
      </w:r>
      <w:r w:rsidRPr="00B05509">
        <w:rPr>
          <w:rFonts w:ascii="Times New Roman" w:hAnsi="Times New Roman"/>
        </w:rPr>
        <w:t>, David Spiegelhalter</w:t>
      </w:r>
      <w:r w:rsidRPr="00B05509">
        <w:rPr>
          <w:rFonts w:ascii="Times New Roman" w:hAnsi="Times New Roman"/>
          <w:vertAlign w:val="superscript"/>
        </w:rPr>
        <w:t>1</w:t>
      </w:r>
      <w:r w:rsidRPr="00B05509">
        <w:rPr>
          <w:rFonts w:ascii="Times New Roman" w:hAnsi="Times New Roman"/>
        </w:rPr>
        <w:t>, Sander van der Linden</w:t>
      </w:r>
      <w:r w:rsidRPr="00B05509">
        <w:rPr>
          <w:rFonts w:ascii="Times New Roman" w:hAnsi="Times New Roman"/>
          <w:vertAlign w:val="superscript"/>
        </w:rPr>
        <w:t>1</w:t>
      </w:r>
      <w:r w:rsidR="00AC0214">
        <w:rPr>
          <w:rFonts w:ascii="Times New Roman" w:hAnsi="Times New Roman"/>
          <w:vertAlign w:val="superscript"/>
        </w:rPr>
        <w:t>,</w:t>
      </w:r>
      <w:r w:rsidRPr="00B05509">
        <w:rPr>
          <w:rFonts w:ascii="Times New Roman" w:hAnsi="Times New Roman"/>
          <w:vertAlign w:val="superscript"/>
        </w:rPr>
        <w:t>2</w:t>
      </w:r>
    </w:p>
    <w:p w14:paraId="2F774CF7" w14:textId="03309C01" w:rsidR="005E6C49" w:rsidRPr="00B05509" w:rsidRDefault="005E6C49" w:rsidP="00754194">
      <w:pPr>
        <w:jc w:val="center"/>
        <w:rPr>
          <w:rFonts w:ascii="Times New Roman" w:hAnsi="Times New Roman"/>
        </w:rPr>
      </w:pPr>
    </w:p>
    <w:p w14:paraId="7ADD8B15" w14:textId="77777777" w:rsidR="005E6C49" w:rsidRPr="00B05509" w:rsidRDefault="005E6C49" w:rsidP="00754194">
      <w:pPr>
        <w:jc w:val="center"/>
        <w:rPr>
          <w:rFonts w:ascii="Times New Roman" w:hAnsi="Times New Roman"/>
        </w:rPr>
      </w:pPr>
    </w:p>
    <w:p w14:paraId="00745251" w14:textId="5469D6DD" w:rsidR="005E6C49" w:rsidRPr="00F94982" w:rsidRDefault="005E6C49" w:rsidP="00B05509">
      <w:pPr>
        <w:rPr>
          <w:rFonts w:ascii="Times New Roman" w:hAnsi="Times New Roman"/>
        </w:rPr>
      </w:pPr>
      <w:r w:rsidRPr="00B05509">
        <w:rPr>
          <w:rFonts w:ascii="Times New Roman" w:hAnsi="Times New Roman"/>
          <w:vertAlign w:val="superscript"/>
        </w:rPr>
        <w:t>1</w:t>
      </w:r>
      <w:r w:rsidRPr="00B05509">
        <w:rPr>
          <w:rFonts w:ascii="Times New Roman" w:hAnsi="Times New Roman"/>
        </w:rPr>
        <w:t>Winton Centre for Risk and Evidence Communication, University of Cambridge, Cambridge, United Kingdom</w:t>
      </w:r>
    </w:p>
    <w:p w14:paraId="7F3D1875" w14:textId="77777777" w:rsidR="007E4C91" w:rsidRPr="00B05509" w:rsidRDefault="007E4C91" w:rsidP="00B05509">
      <w:pPr>
        <w:rPr>
          <w:rFonts w:ascii="Times New Roman" w:hAnsi="Times New Roman"/>
        </w:rPr>
      </w:pPr>
    </w:p>
    <w:p w14:paraId="44E828F4" w14:textId="1D1AC485" w:rsidR="006D2DF4" w:rsidRPr="00B05509" w:rsidRDefault="005E6C49" w:rsidP="00B05509">
      <w:pPr>
        <w:rPr>
          <w:rFonts w:ascii="Times New Roman" w:hAnsi="Times New Roman"/>
        </w:rPr>
      </w:pPr>
      <w:r w:rsidRPr="00B05509">
        <w:rPr>
          <w:rFonts w:ascii="Times New Roman" w:hAnsi="Times New Roman"/>
          <w:vertAlign w:val="superscript"/>
        </w:rPr>
        <w:t>2</w:t>
      </w:r>
      <w:r w:rsidRPr="00B05509">
        <w:rPr>
          <w:rFonts w:ascii="Times New Roman" w:hAnsi="Times New Roman"/>
        </w:rPr>
        <w:t>Department of Psychology, University of Cambridge, Cambridge, United Kingdom</w:t>
      </w:r>
    </w:p>
    <w:p w14:paraId="4BFDC925" w14:textId="3FDBE639" w:rsidR="005E6C49" w:rsidRPr="00B05509" w:rsidRDefault="005E6C49" w:rsidP="005E6C49">
      <w:pPr>
        <w:jc w:val="center"/>
        <w:rPr>
          <w:rFonts w:ascii="Times New Roman" w:hAnsi="Times New Roman"/>
        </w:rPr>
      </w:pPr>
    </w:p>
    <w:p w14:paraId="721BE009" w14:textId="18469BF7" w:rsidR="005E6C49" w:rsidRPr="00B05509" w:rsidRDefault="005E6C49" w:rsidP="005E6C49">
      <w:pPr>
        <w:jc w:val="center"/>
        <w:rPr>
          <w:rFonts w:ascii="Times New Roman" w:hAnsi="Times New Roman"/>
        </w:rPr>
      </w:pPr>
    </w:p>
    <w:p w14:paraId="27373E2F" w14:textId="77777777" w:rsidR="00074C72" w:rsidRPr="00B05509" w:rsidRDefault="00074C72" w:rsidP="005E6C49">
      <w:pPr>
        <w:rPr>
          <w:rFonts w:ascii="Times New Roman" w:hAnsi="Times New Roman"/>
        </w:rPr>
      </w:pPr>
    </w:p>
    <w:p w14:paraId="041849DC" w14:textId="77777777" w:rsidR="00074C72" w:rsidRPr="00B05509" w:rsidRDefault="00074C72" w:rsidP="005E6C49">
      <w:pPr>
        <w:rPr>
          <w:rFonts w:ascii="Times New Roman" w:hAnsi="Times New Roman"/>
        </w:rPr>
      </w:pPr>
    </w:p>
    <w:p w14:paraId="246A01E6" w14:textId="77777777" w:rsidR="00074C72" w:rsidRPr="00B05509" w:rsidRDefault="00074C72" w:rsidP="005E6C49">
      <w:pPr>
        <w:rPr>
          <w:rFonts w:ascii="Times New Roman" w:hAnsi="Times New Roman"/>
        </w:rPr>
      </w:pPr>
    </w:p>
    <w:p w14:paraId="1D1BF33E" w14:textId="77777777" w:rsidR="00074C72" w:rsidRPr="00B05509" w:rsidRDefault="00074C72" w:rsidP="005E6C49">
      <w:pPr>
        <w:rPr>
          <w:rFonts w:ascii="Times New Roman" w:hAnsi="Times New Roman"/>
        </w:rPr>
      </w:pPr>
    </w:p>
    <w:p w14:paraId="7BBA07FA" w14:textId="77777777" w:rsidR="007E4C91" w:rsidRPr="00F94982" w:rsidRDefault="007E4C91" w:rsidP="005E6C49">
      <w:pPr>
        <w:rPr>
          <w:rFonts w:ascii="Times New Roman" w:hAnsi="Times New Roman"/>
        </w:rPr>
      </w:pPr>
      <w:r w:rsidRPr="00F94982">
        <w:rPr>
          <w:rFonts w:ascii="Times New Roman" w:hAnsi="Times New Roman"/>
        </w:rPr>
        <w:t xml:space="preserve">* </w:t>
      </w:r>
      <w:r w:rsidR="005E6C49" w:rsidRPr="00B05509">
        <w:rPr>
          <w:rFonts w:ascii="Times New Roman" w:hAnsi="Times New Roman"/>
        </w:rPr>
        <w:t>Corresponding author</w:t>
      </w:r>
    </w:p>
    <w:p w14:paraId="4414C009" w14:textId="6CADF5EC" w:rsidR="00B262D9" w:rsidRPr="00B05509" w:rsidRDefault="005E6C49" w:rsidP="005E6C49">
      <w:pPr>
        <w:rPr>
          <w:rFonts w:ascii="Times New Roman" w:hAnsi="Times New Roman"/>
        </w:rPr>
      </w:pPr>
      <w:r w:rsidRPr="00B05509">
        <w:rPr>
          <w:rFonts w:ascii="Times New Roman" w:hAnsi="Times New Roman"/>
        </w:rPr>
        <w:t xml:space="preserve"> </w:t>
      </w:r>
    </w:p>
    <w:p w14:paraId="67DA0262" w14:textId="6E16BE36" w:rsidR="005E6C49" w:rsidRPr="00B05509" w:rsidRDefault="005E6C49" w:rsidP="005E6C49">
      <w:pPr>
        <w:rPr>
          <w:rFonts w:ascii="Times New Roman" w:hAnsi="Times New Roman"/>
        </w:rPr>
      </w:pPr>
      <w:r w:rsidRPr="00B05509">
        <w:rPr>
          <w:rFonts w:ascii="Times New Roman" w:hAnsi="Times New Roman"/>
        </w:rPr>
        <w:t>E-mail: cs2025@cam.ac.uk</w:t>
      </w:r>
      <w:r w:rsidR="007E4C91" w:rsidRPr="00F94982">
        <w:rPr>
          <w:rFonts w:ascii="Times New Roman" w:hAnsi="Times New Roman"/>
        </w:rPr>
        <w:t xml:space="preserve"> (CRS)</w:t>
      </w:r>
    </w:p>
    <w:p w14:paraId="21A7D5E5" w14:textId="77777777" w:rsidR="001C0460" w:rsidRPr="00B05509" w:rsidRDefault="001C0460" w:rsidP="00B203B9">
      <w:pPr>
        <w:pStyle w:val="Heading2"/>
        <w:rPr>
          <w:rFonts w:ascii="Times New Roman" w:hAnsi="Times New Roman" w:cs="Times New Roman"/>
        </w:rPr>
      </w:pPr>
      <w:r w:rsidRPr="00B05509">
        <w:rPr>
          <w:rFonts w:ascii="Times New Roman" w:hAnsi="Times New Roman" w:cs="Times New Roman"/>
        </w:rPr>
        <w:br w:type="page"/>
      </w:r>
    </w:p>
    <w:p w14:paraId="3586B88C" w14:textId="444AE0A3" w:rsidR="009A204D" w:rsidRPr="00B05509" w:rsidRDefault="00B203B9" w:rsidP="00B203B9">
      <w:pPr>
        <w:pStyle w:val="Heading2"/>
        <w:rPr>
          <w:rFonts w:ascii="Times New Roman" w:hAnsi="Times New Roman" w:cs="Times New Roman"/>
          <w:b/>
          <w:bCs/>
          <w:color w:val="auto"/>
          <w:sz w:val="36"/>
          <w:szCs w:val="36"/>
        </w:rPr>
      </w:pPr>
      <w:r w:rsidRPr="00B05509">
        <w:rPr>
          <w:rFonts w:ascii="Times New Roman" w:hAnsi="Times New Roman" w:cs="Times New Roman"/>
          <w:b/>
          <w:color w:val="auto"/>
          <w:sz w:val="36"/>
          <w:szCs w:val="36"/>
        </w:rPr>
        <w:lastRenderedPageBreak/>
        <w:t>Abstract</w:t>
      </w:r>
    </w:p>
    <w:p w14:paraId="545EC1CD" w14:textId="77777777" w:rsidR="00754194" w:rsidRPr="00B05509" w:rsidRDefault="00754194" w:rsidP="00754194">
      <w:pPr>
        <w:rPr>
          <w:rFonts w:ascii="Times New Roman" w:hAnsi="Times New Roman"/>
        </w:rPr>
      </w:pPr>
    </w:p>
    <w:p w14:paraId="6842E267" w14:textId="42EFCA8D" w:rsidR="00B203B9" w:rsidRPr="00B05509" w:rsidRDefault="00B203B9" w:rsidP="000E1E81">
      <w:pPr>
        <w:rPr>
          <w:rFonts w:ascii="Times New Roman" w:hAnsi="Times New Roman"/>
        </w:rPr>
      </w:pPr>
      <w:r w:rsidRPr="00B05509">
        <w:rPr>
          <w:rStyle w:val="Heading3Char"/>
          <w:rFonts w:ascii="Times New Roman" w:hAnsi="Times New Roman" w:cs="Times New Roman"/>
        </w:rPr>
        <w:t>Background:</w:t>
      </w:r>
      <w:r w:rsidR="000E1E81" w:rsidRPr="00B05509">
        <w:rPr>
          <w:rFonts w:ascii="Times New Roman" w:hAnsi="Times New Roman"/>
        </w:rPr>
        <w:t xml:space="preserve"> </w:t>
      </w:r>
      <w:r w:rsidR="008258BD" w:rsidRPr="00B05509">
        <w:rPr>
          <w:rFonts w:ascii="Times New Roman" w:hAnsi="Times New Roman"/>
        </w:rPr>
        <w:t>The quality of evidence about the effectiveness of non-pharmaceutical health interventions is often low, but little is known about the effects of communicating indications of evidence quality to the public.</w:t>
      </w:r>
    </w:p>
    <w:p w14:paraId="7EDFA1E3" w14:textId="0229351C" w:rsidR="00B203B9" w:rsidRPr="00B05509" w:rsidRDefault="00B203B9" w:rsidP="001F7B93">
      <w:pPr>
        <w:rPr>
          <w:rFonts w:ascii="Times New Roman" w:hAnsi="Times New Roman"/>
        </w:rPr>
      </w:pPr>
      <w:r w:rsidRPr="00B05509">
        <w:rPr>
          <w:rStyle w:val="Heading3Char"/>
          <w:rFonts w:ascii="Times New Roman" w:hAnsi="Times New Roman" w:cs="Times New Roman"/>
        </w:rPr>
        <w:t>Methods</w:t>
      </w:r>
      <w:r w:rsidR="001F7B93" w:rsidRPr="00B05509">
        <w:rPr>
          <w:rStyle w:val="Heading3Char"/>
          <w:rFonts w:ascii="Times New Roman" w:hAnsi="Times New Roman" w:cs="Times New Roman"/>
        </w:rPr>
        <w:t>:</w:t>
      </w:r>
      <w:r w:rsidR="001F7B93" w:rsidRPr="00B05509">
        <w:rPr>
          <w:rFonts w:ascii="Times New Roman" w:hAnsi="Times New Roman"/>
        </w:rPr>
        <w:t xml:space="preserve"> </w:t>
      </w:r>
      <w:r w:rsidR="0083604A" w:rsidRPr="00B05509">
        <w:rPr>
          <w:rFonts w:ascii="Times New Roman" w:hAnsi="Times New Roman"/>
        </w:rPr>
        <w:t>In</w:t>
      </w:r>
      <w:r w:rsidR="001F7B93" w:rsidRPr="00B05509">
        <w:rPr>
          <w:rFonts w:ascii="Times New Roman" w:hAnsi="Times New Roman"/>
        </w:rPr>
        <w:t xml:space="preserve"> two </w:t>
      </w:r>
      <w:r w:rsidR="008258BD" w:rsidRPr="00B05509">
        <w:rPr>
          <w:rFonts w:ascii="Times New Roman" w:hAnsi="Times New Roman"/>
        </w:rPr>
        <w:t xml:space="preserve">blinded, </w:t>
      </w:r>
      <w:r w:rsidR="001F7B93" w:rsidRPr="00B05509">
        <w:rPr>
          <w:rFonts w:ascii="Times New Roman" w:hAnsi="Times New Roman"/>
        </w:rPr>
        <w:t>randomised, controlled</w:t>
      </w:r>
      <w:r w:rsidR="00973C37" w:rsidRPr="00B05509">
        <w:rPr>
          <w:rFonts w:ascii="Times New Roman" w:hAnsi="Times New Roman"/>
        </w:rPr>
        <w:t>,</w:t>
      </w:r>
      <w:r w:rsidR="001F7B93" w:rsidRPr="00B05509">
        <w:rPr>
          <w:rFonts w:ascii="Times New Roman" w:hAnsi="Times New Roman"/>
        </w:rPr>
        <w:t xml:space="preserve"> </w:t>
      </w:r>
      <w:r w:rsidR="00973C37" w:rsidRPr="00B05509">
        <w:rPr>
          <w:rFonts w:ascii="Times New Roman" w:hAnsi="Times New Roman"/>
        </w:rPr>
        <w:t xml:space="preserve">online </w:t>
      </w:r>
      <w:r w:rsidR="001F7B93" w:rsidRPr="00B05509">
        <w:rPr>
          <w:rFonts w:ascii="Times New Roman" w:hAnsi="Times New Roman"/>
        </w:rPr>
        <w:t>experiments</w:t>
      </w:r>
      <w:r w:rsidR="0083604A" w:rsidRPr="00B05509">
        <w:rPr>
          <w:rFonts w:ascii="Times New Roman" w:hAnsi="Times New Roman"/>
        </w:rPr>
        <w:t>,</w:t>
      </w:r>
      <w:r w:rsidR="001F7B93" w:rsidRPr="00B05509">
        <w:rPr>
          <w:rFonts w:ascii="Times New Roman" w:hAnsi="Times New Roman"/>
        </w:rPr>
        <w:t xml:space="preserve"> US participants (total n=</w:t>
      </w:r>
      <w:r w:rsidR="00A02BBA" w:rsidRPr="00B05509">
        <w:rPr>
          <w:rFonts w:ascii="Times New Roman" w:hAnsi="Times New Roman"/>
          <w:color w:val="000000" w:themeColor="text1"/>
        </w:rPr>
        <w:t>2140</w:t>
      </w:r>
      <w:r w:rsidR="001F7B93" w:rsidRPr="00B05509">
        <w:rPr>
          <w:rFonts w:ascii="Times New Roman" w:hAnsi="Times New Roman"/>
        </w:rPr>
        <w:t>) were shown one of several versions of a</w:t>
      </w:r>
      <w:r w:rsidR="001C0460" w:rsidRPr="00B05509">
        <w:rPr>
          <w:rFonts w:ascii="Times New Roman" w:hAnsi="Times New Roman"/>
        </w:rPr>
        <w:t>n info</w:t>
      </w:r>
      <w:r w:rsidR="001F7B93" w:rsidRPr="00B05509">
        <w:rPr>
          <w:rFonts w:ascii="Times New Roman" w:hAnsi="Times New Roman"/>
        </w:rPr>
        <w:t xml:space="preserve">graphic illustrating the effectiveness of eye protection in reducing COVID-19 </w:t>
      </w:r>
      <w:r w:rsidR="000B23DB" w:rsidRPr="00B05509">
        <w:rPr>
          <w:rFonts w:ascii="Times New Roman" w:hAnsi="Times New Roman"/>
        </w:rPr>
        <w:t>transmission</w:t>
      </w:r>
      <w:r w:rsidR="001F7B93" w:rsidRPr="00B05509">
        <w:rPr>
          <w:rFonts w:ascii="Times New Roman" w:hAnsi="Times New Roman"/>
        </w:rPr>
        <w:t>.</w:t>
      </w:r>
      <w:r w:rsidR="00BA247D" w:rsidRPr="00B05509">
        <w:rPr>
          <w:rFonts w:ascii="Times New Roman" w:hAnsi="Times New Roman"/>
        </w:rPr>
        <w:t xml:space="preserve"> T</w:t>
      </w:r>
      <w:r w:rsidR="00F03252" w:rsidRPr="00B05509">
        <w:rPr>
          <w:rFonts w:ascii="Times New Roman" w:hAnsi="Times New Roman"/>
        </w:rPr>
        <w:t xml:space="preserve">heir trust in the information, </w:t>
      </w:r>
      <w:r w:rsidR="00C442DA" w:rsidRPr="00B05509">
        <w:rPr>
          <w:rFonts w:ascii="Times New Roman" w:hAnsi="Times New Roman"/>
        </w:rPr>
        <w:t>understand</w:t>
      </w:r>
      <w:r w:rsidR="00836451" w:rsidRPr="00B05509">
        <w:rPr>
          <w:rFonts w:ascii="Times New Roman" w:hAnsi="Times New Roman"/>
        </w:rPr>
        <w:t>ing</w:t>
      </w:r>
      <w:r w:rsidR="00C442DA" w:rsidRPr="00B05509">
        <w:rPr>
          <w:rFonts w:ascii="Times New Roman" w:hAnsi="Times New Roman"/>
        </w:rPr>
        <w:t xml:space="preserve">, </w:t>
      </w:r>
      <w:r w:rsidR="00F03252" w:rsidRPr="00B05509">
        <w:rPr>
          <w:rFonts w:ascii="Times New Roman" w:hAnsi="Times New Roman"/>
        </w:rPr>
        <w:t xml:space="preserve">feelings of effectiveness of </w:t>
      </w:r>
      <w:r w:rsidR="00836451" w:rsidRPr="00B05509">
        <w:rPr>
          <w:rFonts w:ascii="Times New Roman" w:hAnsi="Times New Roman"/>
        </w:rPr>
        <w:t>eye</w:t>
      </w:r>
      <w:r w:rsidR="00F03252" w:rsidRPr="00B05509">
        <w:rPr>
          <w:rFonts w:ascii="Times New Roman" w:hAnsi="Times New Roman"/>
        </w:rPr>
        <w:t xml:space="preserve"> protection, and the likelihood of them </w:t>
      </w:r>
      <w:r w:rsidR="0083604A" w:rsidRPr="00B05509">
        <w:rPr>
          <w:rFonts w:ascii="Times New Roman" w:hAnsi="Times New Roman"/>
        </w:rPr>
        <w:t>adopting it</w:t>
      </w:r>
      <w:r w:rsidR="00695E1C" w:rsidRPr="00B05509">
        <w:rPr>
          <w:rFonts w:ascii="Times New Roman" w:hAnsi="Times New Roman"/>
        </w:rPr>
        <w:t xml:space="preserve"> were measured.</w:t>
      </w:r>
    </w:p>
    <w:p w14:paraId="53A87B0C" w14:textId="2FE98ACD" w:rsidR="00B203B9" w:rsidRPr="00B05509" w:rsidRDefault="00B203B9" w:rsidP="00132AAD">
      <w:pPr>
        <w:rPr>
          <w:rFonts w:ascii="Times New Roman" w:hAnsi="Times New Roman"/>
        </w:rPr>
      </w:pPr>
      <w:r w:rsidRPr="00B05509">
        <w:rPr>
          <w:rStyle w:val="Heading3Char"/>
          <w:rFonts w:ascii="Times New Roman" w:hAnsi="Times New Roman" w:cs="Times New Roman"/>
        </w:rPr>
        <w:t>Findings</w:t>
      </w:r>
      <w:r w:rsidR="00132AAD" w:rsidRPr="00B05509">
        <w:rPr>
          <w:rStyle w:val="Heading3Char"/>
          <w:rFonts w:ascii="Times New Roman" w:hAnsi="Times New Roman" w:cs="Times New Roman"/>
        </w:rPr>
        <w:t>:</w:t>
      </w:r>
      <w:r w:rsidR="00132AAD" w:rsidRPr="00B05509">
        <w:rPr>
          <w:rFonts w:ascii="Times New Roman" w:hAnsi="Times New Roman"/>
        </w:rPr>
        <w:t xml:space="preserve"> </w:t>
      </w:r>
      <w:r w:rsidR="004202D6" w:rsidRPr="00B05509">
        <w:rPr>
          <w:rFonts w:ascii="Times New Roman" w:hAnsi="Times New Roman"/>
        </w:rPr>
        <w:t>Compared to those given no quality cues, p</w:t>
      </w:r>
      <w:r w:rsidR="00695E1C" w:rsidRPr="00B05509">
        <w:rPr>
          <w:rFonts w:ascii="Times New Roman" w:hAnsi="Times New Roman"/>
        </w:rPr>
        <w:t>articipants</w:t>
      </w:r>
      <w:r w:rsidR="004202D6" w:rsidRPr="00B05509">
        <w:rPr>
          <w:rFonts w:ascii="Times New Roman" w:hAnsi="Times New Roman"/>
        </w:rPr>
        <w:t xml:space="preserve"> who were</w:t>
      </w:r>
      <w:r w:rsidR="00695E1C" w:rsidRPr="00B05509">
        <w:rPr>
          <w:rFonts w:ascii="Times New Roman" w:hAnsi="Times New Roman"/>
        </w:rPr>
        <w:t xml:space="preserve"> told</w:t>
      </w:r>
      <w:r w:rsidR="00132AAD" w:rsidRPr="00B05509">
        <w:rPr>
          <w:rFonts w:ascii="Times New Roman" w:hAnsi="Times New Roman"/>
        </w:rPr>
        <w:t xml:space="preserve"> the quality of the evidence</w:t>
      </w:r>
      <w:r w:rsidR="00695E1C" w:rsidRPr="00B05509">
        <w:rPr>
          <w:rFonts w:ascii="Times New Roman" w:hAnsi="Times New Roman"/>
        </w:rPr>
        <w:t xml:space="preserve"> on eye protection</w:t>
      </w:r>
      <w:r w:rsidR="00132AAD" w:rsidRPr="00B05509">
        <w:rPr>
          <w:rFonts w:ascii="Times New Roman" w:hAnsi="Times New Roman"/>
        </w:rPr>
        <w:t xml:space="preserve"> was ‘low’</w:t>
      </w:r>
      <w:r w:rsidR="00695E1C" w:rsidRPr="00B05509">
        <w:rPr>
          <w:rFonts w:ascii="Times New Roman" w:hAnsi="Times New Roman"/>
        </w:rPr>
        <w:t>, rated the evidence less</w:t>
      </w:r>
      <w:r w:rsidR="00132AAD" w:rsidRPr="00B05509">
        <w:rPr>
          <w:rFonts w:ascii="Times New Roman" w:hAnsi="Times New Roman"/>
        </w:rPr>
        <w:t xml:space="preserve"> trustworth</w:t>
      </w:r>
      <w:r w:rsidR="00695E1C" w:rsidRPr="00B05509">
        <w:rPr>
          <w:rFonts w:ascii="Times New Roman" w:hAnsi="Times New Roman"/>
        </w:rPr>
        <w:t>y</w:t>
      </w:r>
      <w:r w:rsidR="008258BD" w:rsidRPr="00B05509">
        <w:rPr>
          <w:rFonts w:ascii="Times New Roman" w:hAnsi="Times New Roman"/>
        </w:rPr>
        <w:t xml:space="preserve"> (</w:t>
      </w:r>
      <w:r w:rsidR="00F91CA5" w:rsidRPr="00B05509">
        <w:rPr>
          <w:rFonts w:ascii="Times New Roman" w:hAnsi="Times New Roman"/>
          <w:color w:val="000000" w:themeColor="text1"/>
        </w:rPr>
        <w:t>p=</w:t>
      </w:r>
      <w:r w:rsidR="00502682" w:rsidRPr="00B05509">
        <w:rPr>
          <w:rFonts w:ascii="Times New Roman" w:hAnsi="Times New Roman"/>
          <w:color w:val="000000" w:themeColor="text1"/>
        </w:rPr>
        <w:t>.</w:t>
      </w:r>
      <w:r w:rsidR="008258BD" w:rsidRPr="00B05509">
        <w:rPr>
          <w:rFonts w:ascii="Times New Roman" w:hAnsi="Times New Roman"/>
          <w:color w:val="000000" w:themeColor="text1"/>
        </w:rPr>
        <w:t>001</w:t>
      </w:r>
      <w:r w:rsidR="00DA51E0">
        <w:rPr>
          <w:rFonts w:ascii="Times New Roman" w:hAnsi="Times New Roman"/>
          <w:color w:val="000000" w:themeColor="text1"/>
        </w:rPr>
        <w:t>, d=0.25</w:t>
      </w:r>
      <w:r w:rsidR="008258BD" w:rsidRPr="00B05509">
        <w:rPr>
          <w:rFonts w:ascii="Times New Roman" w:hAnsi="Times New Roman"/>
        </w:rPr>
        <w:t>)</w:t>
      </w:r>
      <w:r w:rsidR="00695E1C" w:rsidRPr="00B05509">
        <w:rPr>
          <w:rFonts w:ascii="Times New Roman" w:hAnsi="Times New Roman"/>
        </w:rPr>
        <w:t>,</w:t>
      </w:r>
      <w:r w:rsidR="0083604A" w:rsidRPr="00B05509">
        <w:rPr>
          <w:rFonts w:ascii="Times New Roman" w:hAnsi="Times New Roman"/>
        </w:rPr>
        <w:t xml:space="preserve"> </w:t>
      </w:r>
      <w:r w:rsidR="002201C2" w:rsidRPr="00B05509">
        <w:rPr>
          <w:rFonts w:ascii="Times New Roman" w:hAnsi="Times New Roman"/>
        </w:rPr>
        <w:t>and</w:t>
      </w:r>
      <w:r w:rsidR="008258BD" w:rsidRPr="00B05509">
        <w:rPr>
          <w:rFonts w:ascii="Times New Roman" w:hAnsi="Times New Roman"/>
        </w:rPr>
        <w:t xml:space="preserve"> rated it as subjectively less effective (</w:t>
      </w:r>
      <w:r w:rsidR="008258BD" w:rsidRPr="00B05509">
        <w:rPr>
          <w:rFonts w:ascii="Times New Roman" w:hAnsi="Times New Roman"/>
          <w:color w:val="000000" w:themeColor="text1"/>
        </w:rPr>
        <w:t>p=</w:t>
      </w:r>
      <w:r w:rsidR="00502682" w:rsidRPr="00B05509">
        <w:rPr>
          <w:rFonts w:ascii="Times New Roman" w:hAnsi="Times New Roman"/>
          <w:color w:val="000000" w:themeColor="text1"/>
        </w:rPr>
        <w:t>.</w:t>
      </w:r>
      <w:r w:rsidR="008258BD" w:rsidRPr="00B05509">
        <w:rPr>
          <w:rFonts w:ascii="Times New Roman" w:hAnsi="Times New Roman"/>
          <w:color w:val="000000" w:themeColor="text1"/>
        </w:rPr>
        <w:t>0</w:t>
      </w:r>
      <w:r w:rsidR="00DA51E0">
        <w:rPr>
          <w:rFonts w:ascii="Times New Roman" w:hAnsi="Times New Roman"/>
          <w:color w:val="000000" w:themeColor="text1"/>
        </w:rPr>
        <w:t>18, d=0.19</w:t>
      </w:r>
      <w:r w:rsidR="008258BD" w:rsidRPr="00B05509">
        <w:rPr>
          <w:rFonts w:ascii="Times New Roman" w:hAnsi="Times New Roman"/>
        </w:rPr>
        <w:t>)</w:t>
      </w:r>
      <w:r w:rsidR="00074C72" w:rsidRPr="00B05509">
        <w:rPr>
          <w:rFonts w:ascii="Times New Roman" w:hAnsi="Times New Roman"/>
        </w:rPr>
        <w:t>. The same effects emerged compared to those who were told the quality of the evidence was ‘high’</w:t>
      </w:r>
      <w:r w:rsidR="00EC523A" w:rsidRPr="00B05509">
        <w:rPr>
          <w:rFonts w:ascii="Times New Roman" w:hAnsi="Times New Roman"/>
        </w:rPr>
        <w:t>, and i</w:t>
      </w:r>
      <w:r w:rsidR="008258BD" w:rsidRPr="00B05509">
        <w:rPr>
          <w:rFonts w:ascii="Times New Roman" w:hAnsi="Times New Roman"/>
        </w:rPr>
        <w:t>n one of the two studies,</w:t>
      </w:r>
      <w:r w:rsidR="00074C72" w:rsidRPr="00B05509">
        <w:rPr>
          <w:rFonts w:ascii="Times New Roman" w:hAnsi="Times New Roman"/>
        </w:rPr>
        <w:t xml:space="preserve"> those shown ‘low’ quality of evidence</w:t>
      </w:r>
      <w:r w:rsidR="008258BD" w:rsidRPr="00B05509">
        <w:rPr>
          <w:rFonts w:ascii="Times New Roman" w:hAnsi="Times New Roman"/>
        </w:rPr>
        <w:t xml:space="preserve"> said they were less likely to use eye protection (p</w:t>
      </w:r>
      <w:r w:rsidR="00F91CA5" w:rsidRPr="00B05509">
        <w:rPr>
          <w:rFonts w:ascii="Times New Roman" w:hAnsi="Times New Roman"/>
        </w:rPr>
        <w:t>=</w:t>
      </w:r>
      <w:r w:rsidR="00502682" w:rsidRPr="00B05509">
        <w:rPr>
          <w:rFonts w:ascii="Times New Roman" w:hAnsi="Times New Roman"/>
        </w:rPr>
        <w:t>.</w:t>
      </w:r>
      <w:r w:rsidR="008258BD" w:rsidRPr="00B05509">
        <w:rPr>
          <w:rFonts w:ascii="Times New Roman" w:hAnsi="Times New Roman"/>
        </w:rPr>
        <w:t>005</w:t>
      </w:r>
      <w:r w:rsidR="00DA51E0">
        <w:rPr>
          <w:rFonts w:ascii="Times New Roman" w:hAnsi="Times New Roman"/>
        </w:rPr>
        <w:t>, d=0.18</w:t>
      </w:r>
      <w:r w:rsidR="008258BD" w:rsidRPr="00B05509">
        <w:rPr>
          <w:rFonts w:ascii="Times New Roman" w:hAnsi="Times New Roman"/>
        </w:rPr>
        <w:t xml:space="preserve">). Participants who were told the quality of the evidence was ‘high’ showed no </w:t>
      </w:r>
      <w:r w:rsidR="00CF0A8D">
        <w:rPr>
          <w:rFonts w:ascii="Times New Roman" w:hAnsi="Times New Roman"/>
        </w:rPr>
        <w:t xml:space="preserve">statistically </w:t>
      </w:r>
      <w:r w:rsidR="008258BD" w:rsidRPr="00B05509">
        <w:rPr>
          <w:rFonts w:ascii="Times New Roman" w:hAnsi="Times New Roman"/>
        </w:rPr>
        <w:t>significant differences on these measures compared to those given no information about evidence quality.</w:t>
      </w:r>
    </w:p>
    <w:p w14:paraId="15EE1CCD" w14:textId="3F17E79B" w:rsidR="00B203B9" w:rsidRPr="00B05509" w:rsidRDefault="008E069F" w:rsidP="00786E06">
      <w:pPr>
        <w:rPr>
          <w:rFonts w:ascii="Times New Roman" w:hAnsi="Times New Roman"/>
        </w:rPr>
      </w:pPr>
      <w:r w:rsidRPr="00B05509">
        <w:rPr>
          <w:rStyle w:val="Heading3Char"/>
          <w:rFonts w:ascii="Times New Roman" w:hAnsi="Times New Roman" w:cs="Times New Roman"/>
        </w:rPr>
        <w:t>Conclusions</w:t>
      </w:r>
      <w:r w:rsidR="00786E06" w:rsidRPr="00B05509">
        <w:rPr>
          <w:rStyle w:val="Heading3Char"/>
          <w:rFonts w:ascii="Times New Roman" w:hAnsi="Times New Roman" w:cs="Times New Roman"/>
        </w:rPr>
        <w:t>:</w:t>
      </w:r>
      <w:r w:rsidR="00786E06" w:rsidRPr="00B05509">
        <w:rPr>
          <w:rFonts w:ascii="Times New Roman" w:hAnsi="Times New Roman"/>
        </w:rPr>
        <w:t xml:space="preserve"> </w:t>
      </w:r>
      <w:r w:rsidR="008258BD" w:rsidRPr="00B05509">
        <w:rPr>
          <w:rFonts w:ascii="Times New Roman" w:hAnsi="Times New Roman"/>
        </w:rPr>
        <w:t xml:space="preserve">Without quality of evidence cues, participants </w:t>
      </w:r>
      <w:r w:rsidR="009C5CFC" w:rsidRPr="00B05509">
        <w:rPr>
          <w:rFonts w:ascii="Times New Roman" w:hAnsi="Times New Roman"/>
        </w:rPr>
        <w:t>responded to the</w:t>
      </w:r>
      <w:r w:rsidR="008258BD" w:rsidRPr="00B05509">
        <w:rPr>
          <w:rFonts w:ascii="Times New Roman" w:hAnsi="Times New Roman"/>
        </w:rPr>
        <w:t xml:space="preserve"> evidence about the public health intervention</w:t>
      </w:r>
      <w:r w:rsidR="009C5CFC" w:rsidRPr="00B05509">
        <w:rPr>
          <w:rFonts w:ascii="Times New Roman" w:hAnsi="Times New Roman"/>
        </w:rPr>
        <w:t xml:space="preserve"> as if it</w:t>
      </w:r>
      <w:r w:rsidR="008258BD" w:rsidRPr="00B05509">
        <w:rPr>
          <w:rFonts w:ascii="Times New Roman" w:hAnsi="Times New Roman"/>
        </w:rPr>
        <w:t xml:space="preserve"> was high quality and this affected their subjective perceptions of its efficacy</w:t>
      </w:r>
      <w:r w:rsidR="00EC523A" w:rsidRPr="00B05509">
        <w:rPr>
          <w:rFonts w:ascii="Times New Roman" w:hAnsi="Times New Roman"/>
        </w:rPr>
        <w:t xml:space="preserve"> and trust in the provided information</w:t>
      </w:r>
      <w:r w:rsidR="008258BD" w:rsidRPr="00B05509">
        <w:rPr>
          <w:rFonts w:ascii="Times New Roman" w:hAnsi="Times New Roman"/>
        </w:rPr>
        <w:t>. This raises the ethical dilemma of weighing the importance of transparently stating when the evidence base is actually low quality against evidence that providing such information can decrease trust, perception of intervention efficacy, and likelihood of adopting it.</w:t>
      </w:r>
    </w:p>
    <w:p w14:paraId="60F75D71" w14:textId="19FDFEFB" w:rsidR="00B203B9" w:rsidRPr="00B05509" w:rsidRDefault="00B203B9" w:rsidP="00B203B9">
      <w:pPr>
        <w:rPr>
          <w:rFonts w:ascii="Times New Roman" w:hAnsi="Times New Roman"/>
        </w:rPr>
      </w:pPr>
    </w:p>
    <w:p w14:paraId="1A8C8654" w14:textId="008587A3" w:rsidR="00194A77" w:rsidRDefault="00194A77">
      <w:pPr>
        <w:rPr>
          <w:rFonts w:ascii="Times New Roman" w:hAnsi="Times New Roman"/>
        </w:rPr>
      </w:pPr>
      <w:r>
        <w:rPr>
          <w:rFonts w:ascii="Times New Roman" w:hAnsi="Times New Roman"/>
        </w:rPr>
        <w:br w:type="page"/>
      </w:r>
    </w:p>
    <w:p w14:paraId="5846D05B" w14:textId="763C7B01" w:rsidR="009F5A28" w:rsidRPr="00B05509" w:rsidRDefault="009F5A28"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lastRenderedPageBreak/>
        <w:t>Introduction</w:t>
      </w:r>
    </w:p>
    <w:p w14:paraId="54FBD503" w14:textId="527FE81C" w:rsidR="000E0A6B" w:rsidRDefault="00AB3226" w:rsidP="007C3BBA">
      <w:pPr>
        <w:spacing w:line="480" w:lineRule="auto"/>
        <w:rPr>
          <w:rFonts w:ascii="Times New Roman" w:hAnsi="Times New Roman"/>
        </w:rPr>
      </w:pPr>
      <w:r>
        <w:rPr>
          <w:rFonts w:ascii="Times New Roman" w:hAnsi="Times New Roman"/>
        </w:rPr>
        <w:t>In times of public health crises, such as a global pandemic, governments and individuals around the world are faced with the task of finding and taking effective measures of limiting the spread and impacts of the disease. On one end of the spectrum stand</w:t>
      </w:r>
      <w:r w:rsidR="00461396">
        <w:rPr>
          <w:rFonts w:ascii="Times New Roman" w:hAnsi="Times New Roman"/>
        </w:rPr>
        <w:t xml:space="preserve"> mandated</w:t>
      </w:r>
      <w:r>
        <w:rPr>
          <w:rFonts w:ascii="Times New Roman" w:hAnsi="Times New Roman"/>
        </w:rPr>
        <w:t xml:space="preserve"> measures that aim to prevent cross-human contact, such as border control actions</w:t>
      </w:r>
      <w:r w:rsidR="00581FED">
        <w:rPr>
          <w:rFonts w:ascii="Times New Roman" w:hAnsi="Times New Roman"/>
        </w:rPr>
        <w:t>,</w:t>
      </w:r>
      <w:r>
        <w:rPr>
          <w:rFonts w:ascii="Times New Roman" w:hAnsi="Times New Roman"/>
        </w:rPr>
        <w:t xml:space="preserve"> national lockdowns</w:t>
      </w:r>
      <w:r w:rsidR="00581FED">
        <w:rPr>
          <w:rFonts w:ascii="Times New Roman" w:hAnsi="Times New Roman"/>
        </w:rPr>
        <w:t>, and economic shutdowns</w:t>
      </w:r>
      <w:r w:rsidR="005F3CC7">
        <w:rPr>
          <w:rFonts w:ascii="Times New Roman" w:hAnsi="Times New Roman"/>
        </w:rPr>
        <w:t xml:space="preserve"> </w:t>
      </w:r>
      <w:r w:rsidR="005F3CC7">
        <w:rPr>
          <w:rFonts w:ascii="Times New Roman" w:hAnsi="Times New Roman"/>
        </w:rPr>
        <w:fldChar w:fldCharType="begin" w:fldLock="1"/>
      </w:r>
      <w:r w:rsidR="007E2086">
        <w:rPr>
          <w:rFonts w:ascii="Times New Roman" w:hAnsi="Times New Roman"/>
        </w:rPr>
        <w:instrText>ADDIN CSL_CITATION {"citationItems":[{"id":"ITEM-1","itemData":{"author":[{"dropping-particle":"","family":"Trivedi","given":"Megh M","non-dropping-particle":"","parse-names":false,"suffix":""},{"dropping-particle":"","family":"Das","given":"Anirudha","non-dropping-particle":"","parse-names":false,"suffix":""}],"id":"ITEM-1","issued":{"date-parts":[["2021"]]},"page":"238-244","title":"Did the Timing of State Mandated Lockdown Affect the Spread of COVID-19 Infection ? A County-level Ecological Study in the United States","type":"article-journal"},"uris":["http://www.mendeley.com/documents/?uuid=479f3519-3599-4b2b-a15f-d77e833fffaf"]},{"id":"ITEM-2","itemData":{"DOI":"10.1080/00779954.2020.1844786","author":[{"dropping-particle":"","family":"Gibson","given":"John","non-dropping-particle":"","parse-names":false,"suffix":""}],"container-title":"New Zealand Economic Papers","id":"ITEM-2","issued":{"date-parts":[["2020"]]},"title":"Government mandated lockdowns do not reduce Covid-19 deaths : implications for evaluating the stringent New Zealand response response","type":"article-journal"},"uris":["http://www.mendeley.com/documents/?uuid=3497c902-3c76-4ef0-8b65-8ad7ee7173f8"]},{"id":"ITEM-3","itemData":{"DOI":"10.1080/13504851.2020.1789544","ISSN":"1350-4851","author":[{"dropping-particle":"","family":"Bauer","given":"Anja","non-dropping-particle":"","parse-names":false,"suffix":""},{"dropping-particle":"","family":"Weber","given":"Enzo","non-dropping-particle":"","parse-names":false,"suffix":""}],"container-title":"Applied Economics Letters","id":"ITEM-3","issue":"12","issued":{"date-parts":[["2021"]]},"page":"1053-1058","publisher":"Routledge","title":"COVID-19 : how much unemployment was caused by the shutdown in Germany ?","type":"article-journal","volume":"28"},"uris":["http://www.mendeley.com/documents/?uuid=ee7a94ee-9ed0-4419-86d2-9ec1e5e0f25e"]},{"id":"ITEM-4","itemData":{"DOI":"10.1016/j.tmaid.2021.102044","ISSN":"1477-8939","author":[{"dropping-particle":"","family":"Zhu","given":"Zhen","non-dropping-particle":"","parse-names":false,"suffix":""},{"dropping-particle":"","family":"Weber","given":"Enzo","non-dropping-particle":"","parse-names":false,"suffix":""},{"dropping-particle":"","family":"Strohsal","given":"Till","non-dropping-particle":"","parse-names":false,"suffix":""},{"dropping-particle":"","family":"Serhan","given":"Duaa","non-dropping-particle":"","parse-names":false,"suffix":""}],"container-title":"Travel Medicine and Infectious Disease","id":"ITEM-4","issue":"April","issued":{"date-parts":[["2021"]]},"page":"102044","publisher":"Elsevier Ltd","title":"Sustainable border control policy in the COVID-19 pandemic : A math modeling study","type":"article-journal","volume":"41"},"uris":["http://www.mendeley.com/documents/?uuid=a9c5eccd-bd01-4158-9803-440f71bf83b0"]},{"id":"ITEM-5","itemData":{"DOI":"10.1098/rsos.201095","ISBN":"0000000302","ISSN":"20545703","abstract":"The unprecedented global spread of COVID-19 has prompted dramatic public-health measures like strict stay-at-home orders and economic shutdowns. Some governments have resisted such measures in the hope that naturally acquired shield immunity could slow the spread of the virus. In the absence of empirical data about the effectiveness of these measures, policymakers must turn to epidemiological modelling to evaluate options for responding to the pandemic. This paper combines compartmental epidemiological models with the concept of behavioural dynamics from evolutionary game theory (EGT). This innovation allows us to model how compliance with an economic lockdown might wane over time, as individuals weigh the risk of infection against the certainty of the economic cost of staying at home. Governments can, however, increase spending on social programmes to mitigate the cost of a shutdown. Numerical analysis of our model suggests that emergency-relief funds spent at the individual level are effective in reducing the duration and overall economic cost of a pandemic. We also find that shield immunity takes hold in a population most easily when a lockdown is enacted with relatively low costs to the individual. Our qualitative analysis of a complex model provides evidence that the effects of shield immunity and economic shutdowns are complementary, such that governments should pursue them in tandem.","author":[{"dropping-particle":"","family":"Kabir","given":"K. M.Ariful","non-dropping-particle":"","parse-names":false,"suffix":""},{"dropping-particle":"","family":"Tanimoto","given":"Jun","non-dropping-particle":"","parse-names":false,"suffix":""}],"container-title":"Royal Society Open Science","id":"ITEM-5","issue":"9","issued":{"date-parts":[["2020"]]},"title":"Evolutionary game theory modelling to represent the behavioural dynamics of economic shutdowns and shield immunity in the COVID-19 pandemic: Economic shutdowns and shield immunity","type":"article-journal","volume":"7"},"uris":["http://www.mendeley.com/documents/?uuid=06ac2070-9f50-4254-a282-8d6cd9820a52"]}],"mendeley":{"formattedCitation":"[1–5]","plainTextFormattedCitation":"[1–5]","previouslyFormattedCitation":"[1–5]"},"properties":{"noteIndex":0},"schema":"https://github.com/citation-style-language/schema/raw/master/csl-citation.json"}</w:instrText>
      </w:r>
      <w:r w:rsidR="005F3CC7">
        <w:rPr>
          <w:rFonts w:ascii="Times New Roman" w:hAnsi="Times New Roman"/>
        </w:rPr>
        <w:fldChar w:fldCharType="separate"/>
      </w:r>
      <w:r w:rsidR="00B27523" w:rsidRPr="00B27523">
        <w:rPr>
          <w:rFonts w:ascii="Times New Roman" w:hAnsi="Times New Roman"/>
          <w:noProof/>
        </w:rPr>
        <w:t>[1–5]</w:t>
      </w:r>
      <w:r w:rsidR="005F3CC7">
        <w:rPr>
          <w:rFonts w:ascii="Times New Roman" w:hAnsi="Times New Roman"/>
        </w:rPr>
        <w:fldChar w:fldCharType="end"/>
      </w:r>
      <w:r w:rsidR="00103D90">
        <w:rPr>
          <w:rFonts w:ascii="Times New Roman" w:hAnsi="Times New Roman"/>
        </w:rPr>
        <w:t>. O</w:t>
      </w:r>
      <w:r>
        <w:rPr>
          <w:rFonts w:ascii="Times New Roman" w:hAnsi="Times New Roman"/>
        </w:rPr>
        <w:t xml:space="preserve">n the other end </w:t>
      </w:r>
      <w:r w:rsidR="00103D90">
        <w:rPr>
          <w:rFonts w:ascii="Times New Roman" w:hAnsi="Times New Roman"/>
        </w:rPr>
        <w:t xml:space="preserve">stand </w:t>
      </w:r>
      <w:r>
        <w:rPr>
          <w:rFonts w:ascii="Times New Roman" w:hAnsi="Times New Roman"/>
        </w:rPr>
        <w:t xml:space="preserve">measures which allow for human contact </w:t>
      </w:r>
      <w:r w:rsidR="00103D90">
        <w:rPr>
          <w:rFonts w:ascii="Times New Roman" w:hAnsi="Times New Roman"/>
        </w:rPr>
        <w:t>but trying to mitigate its impact, such as non-pharmaceutical interventions</w:t>
      </w:r>
      <w:r w:rsidR="00461396">
        <w:rPr>
          <w:rFonts w:ascii="Times New Roman" w:hAnsi="Times New Roman"/>
        </w:rPr>
        <w:t xml:space="preserve">, which can be either mandated or left to individual choice. </w:t>
      </w:r>
      <w:r w:rsidR="004729A9" w:rsidRPr="00B05509">
        <w:rPr>
          <w:rFonts w:ascii="Times New Roman" w:hAnsi="Times New Roman"/>
        </w:rPr>
        <w:t xml:space="preserve">Non-pharmaceutical, behavioural interventions such as wearing face coverings, eye protection, and </w:t>
      </w:r>
      <w:r w:rsidR="008B20C3">
        <w:rPr>
          <w:rFonts w:ascii="Times New Roman" w:hAnsi="Times New Roman"/>
        </w:rPr>
        <w:t xml:space="preserve">practicing </w:t>
      </w:r>
      <w:r w:rsidR="004729A9" w:rsidRPr="00B05509">
        <w:rPr>
          <w:rFonts w:ascii="Times New Roman" w:hAnsi="Times New Roman"/>
        </w:rPr>
        <w:t>social distancing</w:t>
      </w:r>
      <w:r w:rsidR="00D15EE2">
        <w:rPr>
          <w:rFonts w:ascii="Times New Roman" w:hAnsi="Times New Roman"/>
        </w:rPr>
        <w:t xml:space="preserve"> </w:t>
      </w:r>
      <w:r w:rsidR="00D15EE2">
        <w:rPr>
          <w:rFonts w:ascii="Times New Roman" w:hAnsi="Times New Roman"/>
        </w:rPr>
        <w:fldChar w:fldCharType="begin" w:fldLock="1"/>
      </w:r>
      <w:r w:rsidR="007E2086">
        <w:rPr>
          <w:rFonts w:ascii="Times New Roman" w:hAnsi="Times New Roman"/>
        </w:rPr>
        <w:instrText>ADDIN CSL_CITATION {"citationItems":[{"id":"ITEM-1","itemData":{"DOI":"10.1016/S0140-6736(20)31142-9","ISSN":"1474547X","PMID":"32497510","abstract":"Background: Severe acute respiratory syndrome coronavirus 2 (SARS-CoV-2) causes COVID-19 and is spread person-to-person through close contact. We aimed to investigate the effects of physical distance, face masks, and eye protection on virus transmission in health-care and non-health-care (eg, community) settings. Methods: We did a systematic review and meta-analysis to investigate the optimum distance for avoiding person-to-person virus transmission and to assess the use of face masks and eye protection to prevent transmission of viruses. We obtained data for SARS-CoV-2 and the betacoronaviruses that cause severe acute respiratory syndrome, and Middle East respiratory syndrome from 21 standard WHO-specific and COVID-19-specific sources. We searched these data sources from database inception to May 3, 2020, with no restriction by language, for comparative studies and for contextual factors of acceptability, feasibility, resource use, and equity. We screened records, extracted data, and assessed risk of bias in duplicate. We did frequentist and Bayesian meta-analyses and random-effects meta-regressions. We rated the certainty of evidence according to Cochrane methods and the GRADE approach. This study is registered with PROSPERO, CRD42020177047. Findings: Our search identified 172 observational studies across 16 countries and six continents, with no randomised controlled trials and 44 relevant comparative studies in health-care and non-health-care settings (n=25 697 patients). Transmission of viruses was lower with physical distancing of 1 m or more, compared with a distance of less than 1 m (n=10 736, pooled adjusted odds ratio [aOR] 0·18, 95% CI 0·09 to 0·38; risk difference [RD] −10·2%, 95% CI −11·5 to −7·5; moderate certainty); protection was increased as distance was lengthened (change in relative risk [RR] 2·02 per m; pinteraction=0·041; moderate certainty). Face mask use could result in a large reduction in risk of infection (n=2647; aOR 0·15, 95% CI 0·07 to 0·34, RD −14·3%, −15·9 to −10·7; low certainty), with stronger associations with N95 or similar respirators compared with disposable surgical masks or similar (eg, reusable 12–16-layer cotton masks; pinteraction=0·090; posterior probability &gt;95%, low certainty). Eye protection also was associated with less infection (n=3713; aOR 0·22, 95% CI 0·12 to 0·39, RD −10·6%, 95% CI −12·5 to −7·7; low certainty). Unadjusted studies and subgroup and sensitivity analyses showed similar findings. Interpreta…","author":[{"dropping-particle":"","family":"Chu","given":"Derek K.","non-dropping-particle":"","parse-names":false,"suffix":""},{"dropping-particle":"","family":"Akl","given":"Elie A.","non-dropping-particle":"","parse-names":false,"suffix":""},{"dropping-particle":"","family":"Duda","given":"Stephanie","non-dropping-particle":"","parse-names":false,"suffix":""},{"dropping-particle":"","family":"Solo","given":"Karla","non-dropping-particle":"","parse-names":false,"suffix":""},{"dropping-particle":"","family":"Yaacoub","given":"Sally","non-dropping-particle":"","parse-names":false,"suffix":""},{"dropping-particle":"","family":"Schünemann","given":"Holger J.","non-dropping-particle":"","parse-names":false,"suffix":""},{"dropping-particle":"","family":"El-harakeh","given":"Amena","non-dropping-particle":"","parse-names":false,"suffix":""},{"dropping-particle":"","family":"Bognanni","given":"Antonio","non-dropping-particle":"","parse-names":false,"suffix":""},{"dropping-particle":"","family":"Lotfi","given":"Tamara","non-dropping-particle":"","parse-names":false,"suffix":""},{"dropping-particle":"","family":"Loeb","given":"Mark","non-dropping-particle":"","parse-names":false,"suffix":""},{"dropping-particle":"","family":"Hajizadeh","given":"Anisa","non-dropping-particle":"","parse-names":false,"suffix":""},{"dropping-particle":"","family":"Bak","given":"Anna","non-dropping-particle":"","parse-names":false,"suffix":""},{"dropping-particle":"","family":"Izcovich","given":"Ariel","non-dropping-particle":"","parse-names":false,"suffix":""},{"dropping-particle":"","family":"Cuello-Garcia","given":"Carlos A.","non-dropping-particle":"","parse-names":false,"suffix":""},{"dropping-particle":"","family":"Chen","given":"Chen","non-dropping-particle":"","parse-names":false,"suffix":""},{"dropping-particle":"","family":"Harris","given":"David J.","non-dropping-particle":"","parse-names":false,"suffix":""},{"dropping-particle":"","family":"Borowiack","given":"Ewa","non-dropping-particle":"","parse-names":false,"suffix":""},{"dropping-particle":"","family":"Chamseddine","given":"Fatimah","non-dropping-particle":"","parse-names":false,"suffix":""},{"dropping-particle":"","family":"Schünemann","given":"Finn","non-dropping-particle":"","parse-names":false,"suffix":""},{"dropping-particle":"","family":"Morgano","given":"Gian Paolo","non-dropping-particle":"","parse-names":false,"suffix":""},{"dropping-particle":"","family":"Muti Schünemann","given":"Giovanna E.U.","non-dropping-particle":"","parse-names":false,"suffix":""},{"dropping-particle":"","family":"Chen","given":"Guang","non-dropping-particle":"","parse-names":false,"suffix":""},{"dropping-particle":"","family":"Zhao","given":"Hong","non-dropping-particle":"","parse-names":false,"suffix":""},{"dropping-particle":"","family":"Neumann","given":"Ignacio","non-dropping-particle":"","parse-names":false,"suffix":""},{"dropping-particle":"","family":"Chan","given":"Jeffrey","non-dropping-particle":"","parse-names":false,"suffix":""},{"dropping-particle":"","family":"Khabsa","given":"Joanne","non-dropping-particle":"","parse-names":false,"suffix":""},{"dropping-particle":"","family":"Hneiny","given":"Layal","non-dropping-particle":"","parse-names":false,"suffix":""},{"dropping-particle":"","family":"Harrison","given":"Leila","non-dropping-particle":"","parse-names":false,"suffix":""},{"dropping-particle":"","family":"Smith","given":"Maureen","non-dropping-particle":"","parse-names":false,"suffix":""},{"dropping-particle":"","family":"Rizk","given":"Nesrine","non-dropping-particle":"","parse-names":false,"suffix":""},{"dropping-particle":"","family":"Giorgi Rossi","given":"Paolo","non-dropping-particle":"","parse-names":false,"suffix":""},{"dropping-particle":"","family":"AbiHanna","given":"Pierre","non-dropping-particle":"","parse-names":false,"suffix":""},{"dropping-particle":"","family":"El-khoury","given":"Rayane","non-dropping-particle":"","parse-names":false,"suffix":""},{"dropping-particle":"","family":"Stalteri","given":"Rosa","non-dropping-particle":"","parse-names":false,"suffix":""},{"dropping-particle":"","family":"Baldeh","given":"Tejan","non-dropping-particle":"","parse-names":false,"suffix":""},{"dropping-particle":"","family":"Piggott","given":"Thomas","non-dropping-particle":"","parse-names":false,"suffix":""},{"dropping-particle":"","family":"Zhang","given":"Yuan","non-dropping-particle":"","parse-names":false,"suffix":""},{"dropping-particle":"","family":"Saad","given":"Zahra","non-dropping-particle":"","parse-names":false,"suffix":""},{"dropping-particle":"","family":"Khamis","given":"Assem","non-dropping-particle":"","parse-names":false,"suffix":""},{"dropping-particle":"","family":"Reinap","given":"Marge","non-dropping-particle":"","parse-names":false,"suffix":""}],"container-title":"The Lancet","id":"ITEM-1","issue":"10242","issued":{"date-parts":[["2020"]]},"page":"1973-1987","title":"Physical distancing, face masks, and eye protection to prevent person-to-person transmission of SARS-CoV-2 and COVID-19: a systematic review and meta-analysis","type":"article-journal","volume":"395"},"uris":["http://www.mendeley.com/documents/?uuid=ffa526b1-ccb9-4663-a668-7a93d811c218"]},{"id":"ITEM-2","itemData":{"DOI":"10.1063/5.0057100","ISSN":"10897666","abstract":"The ongoing COVID-19 pandemic has highlighted the importance of aerosol dispersion in disease transmission in indoor environments. The present study experimentally investigates the dispersion and build-up of an exhaled aerosol modeled with polydisperse microscopic particles (approximately 1 μm mean diameter) by a seated manikin in a relatively large indoor environment. The aims are to offer quantitative insight into the effect of common face masks and ventilation/air purification, and to provide relevant experimental metrics for modeling and risk assessment. Measurements demonstrate that all tested masks provide protection in the immediate vicinity of the host primarily through the redirection and reduction of expiratory momentum. However, leakages are observed to result in notable decreases in mask efficiency relative to the ideal filtration efficiency of the mask material, even in the case of high-efficiency masks, such as the R95 or KN95. Tests conducted in the far field (com.elsevier.xml.ani.Math@6ad58d81 distance from the subject) capture significant aerosol build-up in the indoor space over a long duration (com.elsevier.xml.ani.Math@191dea16). A quantitative measure of apparent exhalation filtration efficiency is provided based on experimental data assimilation to a simplified model. The results demonstrate that the apparent exhalation filtration efficiency is significantly lower than the ideal filtration efficiency of the mask material. Nevertheless, high-efficiency masks, such as the KN95, still offer substantially higher apparent filtration efficiencies (60% and 46% for R95 and KN95 masks, respectively) than the more commonly used cloth (10%) and surgical masks (12%), and therefore are still the recommended choice in mitigating airborne disease transmission indoors. The results also suggest that, while higher ventilation capacities are required to fully mitigate aerosol build-up, even relatively low air-change rates (com.elsevier.xml.ani.Math@5380b4c4) lead to lower aerosol build-up compared to the best performing mask in an unventilated space.","author":[{"dropping-particle":"","family":"Shah","given":"Yash","non-dropping-particle":"","parse-names":false,"suffix":""},{"dropping-particle":"","family":"Kurelek","given":"John W.","non-dropping-particle":"","parse-names":false,"suffix":""},{"dropping-particle":"","family":"Peterson","given":"Sean D.","non-dropping-particle":"","parse-names":false,"suffix":""},{"dropping-particle":"","family":"Yarusevych","given":"Serhiy","non-dropping-particle":"","parse-names":false,"suffix":""}],"container-title":"Physics of Fluids","id":"ITEM-2","issue":"7","issued":{"date-parts":[["2021"]]},"publisher":"AIP Publishing LLC","title":"Experimental investigation of indoor aerosol dispersion and accumulation in the context of COVID-19: Effects of masks and ventilation","type":"article-journal","volume":"33"},"uris":["http://www.mendeley.com/documents/?uuid=62b5b443-232a-4289-bfc6-0ac9fcf676b1"]}],"mendeley":{"formattedCitation":"[6, 7]","plainTextFormattedCitation":"[6, 7]","previouslyFormattedCitation":"[6, 7]"},"properties":{"noteIndex":0},"schema":"https://github.com/citation-style-language/schema/raw/master/csl-citation.json"}</w:instrText>
      </w:r>
      <w:r w:rsidR="00D15EE2">
        <w:rPr>
          <w:rFonts w:ascii="Times New Roman" w:hAnsi="Times New Roman"/>
        </w:rPr>
        <w:fldChar w:fldCharType="separate"/>
      </w:r>
      <w:r w:rsidR="007E2086" w:rsidRPr="007E2086">
        <w:rPr>
          <w:rFonts w:ascii="Times New Roman" w:hAnsi="Times New Roman"/>
          <w:noProof/>
        </w:rPr>
        <w:t>[6, 7]</w:t>
      </w:r>
      <w:r w:rsidR="00D15EE2">
        <w:rPr>
          <w:rFonts w:ascii="Times New Roman" w:hAnsi="Times New Roman"/>
        </w:rPr>
        <w:fldChar w:fldCharType="end"/>
      </w:r>
      <w:r w:rsidR="004729A9" w:rsidRPr="00B05509">
        <w:rPr>
          <w:rFonts w:ascii="Times New Roman" w:hAnsi="Times New Roman"/>
        </w:rPr>
        <w:t xml:space="preserve"> are a vital part of the mitigations individuals can adopt to </w:t>
      </w:r>
      <w:r w:rsidR="00C306F6">
        <w:rPr>
          <w:rFonts w:ascii="Times New Roman" w:hAnsi="Times New Roman"/>
        </w:rPr>
        <w:t xml:space="preserve">lower their risk of </w:t>
      </w:r>
      <w:r w:rsidR="004729A9" w:rsidRPr="00B05509">
        <w:rPr>
          <w:rFonts w:ascii="Times New Roman" w:hAnsi="Times New Roman"/>
        </w:rPr>
        <w:t>infection or transmission of viruses such as SARS-Cov-2</w:t>
      </w:r>
      <w:r w:rsidR="009F5A28" w:rsidRPr="00B05509">
        <w:rPr>
          <w:rFonts w:ascii="Times New Roman" w:hAnsi="Times New Roman"/>
        </w:rPr>
        <w:t>.</w:t>
      </w:r>
      <w:r w:rsidR="00355A9E" w:rsidRPr="00B05509">
        <w:rPr>
          <w:rFonts w:ascii="Times New Roman" w:hAnsi="Times New Roman"/>
        </w:rPr>
        <w:t xml:space="preserve"> </w:t>
      </w:r>
      <w:r w:rsidR="00461396">
        <w:rPr>
          <w:rFonts w:ascii="Times New Roman" w:hAnsi="Times New Roman"/>
        </w:rPr>
        <w:t>When effective vaccines are unavailable</w:t>
      </w:r>
      <w:r w:rsidR="00B27523">
        <w:rPr>
          <w:rFonts w:ascii="Times New Roman" w:hAnsi="Times New Roman"/>
        </w:rPr>
        <w:t>, not taken up or if additional protection is needed</w:t>
      </w:r>
      <w:r w:rsidR="008A1349" w:rsidRPr="00B05509">
        <w:rPr>
          <w:rFonts w:ascii="Times New Roman" w:hAnsi="Times New Roman"/>
        </w:rPr>
        <w:t xml:space="preserve">, </w:t>
      </w:r>
      <w:r w:rsidR="007B112C" w:rsidRPr="00B05509">
        <w:rPr>
          <w:rFonts w:ascii="Times New Roman" w:hAnsi="Times New Roman"/>
        </w:rPr>
        <w:t>such</w:t>
      </w:r>
      <w:r w:rsidR="00810594" w:rsidRPr="00B05509">
        <w:rPr>
          <w:rFonts w:ascii="Times New Roman" w:hAnsi="Times New Roman"/>
        </w:rPr>
        <w:t xml:space="preserve"> interventions are</w:t>
      </w:r>
      <w:r w:rsidR="001C0460" w:rsidRPr="00B05509">
        <w:rPr>
          <w:rFonts w:ascii="Times New Roman" w:hAnsi="Times New Roman"/>
        </w:rPr>
        <w:t xml:space="preserve"> </w:t>
      </w:r>
      <w:r w:rsidR="00810594" w:rsidRPr="00B05509">
        <w:rPr>
          <w:rFonts w:ascii="Times New Roman" w:hAnsi="Times New Roman"/>
        </w:rPr>
        <w:t>the only actions that individuals can take</w:t>
      </w:r>
      <w:r w:rsidR="00943CE7" w:rsidRPr="00B05509">
        <w:rPr>
          <w:rFonts w:ascii="Times New Roman" w:hAnsi="Times New Roman"/>
        </w:rPr>
        <w:t xml:space="preserve"> themselves</w:t>
      </w:r>
      <w:r w:rsidR="0025365C" w:rsidRPr="00B05509">
        <w:rPr>
          <w:rFonts w:ascii="Times New Roman" w:hAnsi="Times New Roman"/>
        </w:rPr>
        <w:t xml:space="preserve"> </w:t>
      </w:r>
      <w:r w:rsidR="006F23E6" w:rsidRPr="00B05509">
        <w:rPr>
          <w:rFonts w:ascii="Times New Roman" w:hAnsi="Times New Roman"/>
        </w:rPr>
        <w:fldChar w:fldCharType="begin" w:fldLock="1"/>
      </w:r>
      <w:r w:rsidR="007E2086">
        <w:rPr>
          <w:rFonts w:ascii="Times New Roman" w:hAnsi="Times New Roman"/>
        </w:rPr>
        <w:instrText>ADDIN CSL_CITATION {"citationItems":[{"id":"ITEM-1","itemData":{"DOI":"10.1038/s41562-020-0884-z","ISSN":"2397-3374","author":[{"dropping-particle":"Van","family":"Bavel","given":"Jay J.","non-dropping-particle":"","parse-names":false,"suffix":""},{"dropping-particle":"","family":"Baicker","given":"Katherine","non-dropping-particle":"","parse-names":false,"suffix":""},{"dropping-particle":"","family":"Boggio","given":"Paulo S.","non-dropping-particle":"","parse-names":false,"suffix":""},{"dropping-particle":"","family":"Capraro","given":"Valerio","non-dropping-particle":"","parse-names":false,"suffix":""},{"dropping-particle":"","family":"Cichocka","given":"Aleksandra","non-dropping-particle":"","parse-names":false,"suffix":""},{"dropping-particle":"","family":"Cikara","given":"Mina","non-dropping-particle":"","parse-names":false,"suffix":""},{"dropping-particle":"","family":"Crockett","given":"Molly J.","non-dropping-particle":"","parse-names":false,"suffix":""},{"dropping-particle":"","family":"Crum","given":"Alia J.","non-dropping-particle":"","parse-names":false,"suffix":""},{"dropping-particle":"","family":"Douglas","given":"Karen M.","non-dropping-particle":"","parse-names":false,"suffix":""},{"dropping-particle":"","family":"Druckman","given":"James N.","non-dropping-particle":"","parse-names":false,"suffix":""},{"dropping-particle":"","family":"Drury","given":"John","non-dropping-particle":"","parse-names":false,"suffix":""},{"dropping-particle":"","family":"Dube","given":"Oeindrila","non-dropping-particle":"","parse-names":false,"suffix":""},{"dropping-particle":"","family":"Ellemers","given":"Naomi","non-dropping-particle":"","parse-names":false,"suffix":""},{"dropping-particle":"","family":"Finkel","given":"Eli J.","non-dropping-particle":"","parse-names":false,"suffix":""},{"dropping-particle":"","family":"Fowler","given":"James H.","non-dropping-particle":"","parse-names":false,"suffix":""},{"dropping-particle":"","family":"Gelfand","given":"Michele","non-dropping-particle":"","parse-names":false,"suffix":""},{"dropping-particle":"","family":"Han","given":"Shihui","non-dropping-particle":"","parse-names":false,"suffix":""},{"dropping-particle":"","family":"Haslam","given":"S. Alexander","non-dropping-particle":"","parse-names":false,"suffix":""},{"dropping-particle":"","family":"Jetten","given":"Jolanda","non-dropping-particle":"","parse-names":false,"suffix":""},{"dropping-particle":"","family":"Kitayama","given":"Shinobu","non-dropping-particle":"","parse-names":false,"suffix":""},{"dropping-particle":"","family":"Mobbs","given":"Dean","non-dropping-particle":"","parse-names":false,"suffix":""},{"dropping-particle":"","family":"Napper","given":"Lucy E.","non-dropping-particle":"","parse-names":false,"suffix":""},{"dropping-particle":"","family":"Packer","given":"Dominic J.","non-dropping-particle":"","parse-names":false,"suffix":""},{"dropping-particle":"","family":"Pennycook","given":"Gordon","non-dropping-particle":"","parse-names":false,"suffix":""},{"dropping-particle":"","family":"Peters","given":"Ellen","non-dropping-particle":"","parse-names":false,"suffix":""},{"dropping-particle":"","family":"Petty","given":"Richard E.","non-dropping-particle":"","parse-names":false,"suffix":""},{"dropping-particle":"","family":"Rand","given":"David G.","non-dropping-particle":"","parse-names":false,"suffix":""},{"dropping-particle":"","family":"Reicher","given":"Stephen D.","non-dropping-particle":"","parse-names":false,"suffix":""},{"dropping-particle":"","family":"Schnall","given":"Simone","non-dropping-particle":"","parse-names":false,"suffix":""},{"dropping-particle":"","family":"Shariff","given":"Azim","non-dropping-particle":"","parse-names":false,"suffix":""},{"dropping-particle":"","family":"Skitka","given":"Linda J.","non-dropping-particle":"","parse-names":false,"suffix":""},{"dropping-particle":"","family":"Smith","given":"Sandra Susan","non-dropping-particle":"","parse-names":false,"suffix":""},{"dropping-particle":"","family":"Sunstein","given":"Cass R.","non-dropping-particle":"","parse-names":false,"suffix":""},{"dropping-particle":"","family":"Tabri","given":"Nassim","non-dropping-particle":"","parse-names":false,"suffix":""},{"dropping-particle":"","family":"Tucker","given":"Joshua A.","non-dropping-particle":"","parse-names":false,"suffix":""},{"dropping-particle":"van der","family":"Linden","given":"Sander","non-dropping-particle":"","parse-names":false,"suffix":""},{"dropping-particle":"van","family":"Lange","given":"Paul","non-dropping-particle":"","parse-names":false,"suffix":""},{"dropping-particle":"","family":"Weeden","given":"Kim A.","non-dropping-particle":"","parse-names":false,"suffix":""},{"dropping-particle":"","family":"Wohl","given":"Michael J. A.","non-dropping-particle":"","parse-names":false,"suffix":""},{"dropping-particle":"","family":"Zaki","given":"Jamil","non-dropping-particle":"","parse-names":false,"suffix":""},{"dropping-particle":"","family":"Zion","given":"Sean R.","non-dropping-particle":"","parse-names":false,"suffix":""},{"dropping-particle":"","family":"Willer","given":"Robb","non-dropping-particle":"","parse-names":false,"suffix":""}],"container-title":"Nature Human Behaviour","id":"ITEM-1","issue":"5","issued":{"date-parts":[["2020","5","30"]]},"page":"460-471","title":"Using social and behavioural science to support COVID-19 pandemic response","type":"article-journal","volume":"4"},"uris":["http://www.mendeley.com/documents/?uuid=0411090a-e99d-4569-8cd7-ea578d1e303b"]},{"id":"ITEM-2","itemData":{"DOI":"10.1016/S0140-6736(20)30491-8","ISSN":"1474547X","PMID":"32222191","author":[{"dropping-particle":"","family":"Flahault","given":"Antoine","non-dropping-particle":"","parse-names":false,"suffix":""}],"container-title":"The Lancet","id":"ITEM-2","issue":"10229","issued":{"date-parts":[["2020"]]},"page":"1037","title":"COVID-19 cacophony: is there any orchestra conductor?","type":"article-journal","volume":"395"},"uris":["http://www.mendeley.com/documents/?uuid=8a6cfb1b-d946-4e3f-857a-d9d8a022e1cc"]},{"id":"ITEM-3","itemData":{"DOI":"10.1016/S1473-3099(20)30190-0","ISSN":"14744457","PMID":"32213329","author":[{"dropping-particle":"","family":"Lewnard","given":"Joseph A.","non-dropping-particle":"","parse-names":false,"suffix":""},{"dropping-particle":"","family":"Lo","given":"Nathan C.","non-dropping-particle":"","parse-names":false,"suffix":""}],"container-title":"The Lancet Infectious Diseases","id":"ITEM-3","issue":"6","issued":{"date-parts":[["2020"]]},"page":"631-633","title":"Scientific and ethical basis for social-distancing interventions against COVID-19","type":"article-journal","volume":"20"},"uris":["http://www.mendeley.com/documents/?uuid=41bbcef5-02b9-4693-be0b-982eb9f88c9a"]}],"mendeley":{"formattedCitation":"[8–10]","plainTextFormattedCitation":"[8–10]","previouslyFormattedCitation":"[8–10]"},"properties":{"noteIndex":0},"schema":"https://github.com/citation-style-language/schema/raw/master/csl-citation.json"}</w:instrText>
      </w:r>
      <w:r w:rsidR="006F23E6" w:rsidRPr="00B05509">
        <w:rPr>
          <w:rFonts w:ascii="Times New Roman" w:hAnsi="Times New Roman"/>
        </w:rPr>
        <w:fldChar w:fldCharType="separate"/>
      </w:r>
      <w:r w:rsidR="007E2086" w:rsidRPr="007E2086">
        <w:rPr>
          <w:rFonts w:ascii="Times New Roman" w:hAnsi="Times New Roman"/>
          <w:noProof/>
        </w:rPr>
        <w:t>[8–10]</w:t>
      </w:r>
      <w:r w:rsidR="006F23E6" w:rsidRPr="00B05509">
        <w:rPr>
          <w:rFonts w:ascii="Times New Roman" w:hAnsi="Times New Roman"/>
        </w:rPr>
        <w:fldChar w:fldCharType="end"/>
      </w:r>
      <w:r w:rsidR="00E87E51" w:rsidRPr="00B05509">
        <w:rPr>
          <w:rFonts w:ascii="Times New Roman" w:hAnsi="Times New Roman"/>
        </w:rPr>
        <w:t xml:space="preserve"> and they have been described as crucial for successfully managing the</w:t>
      </w:r>
      <w:r w:rsidR="008B20C3">
        <w:rPr>
          <w:rFonts w:ascii="Times New Roman" w:hAnsi="Times New Roman"/>
        </w:rPr>
        <w:t xml:space="preserve"> COVID-19</w:t>
      </w:r>
      <w:r w:rsidR="00E87E51" w:rsidRPr="00B05509">
        <w:rPr>
          <w:rFonts w:ascii="Times New Roman" w:hAnsi="Times New Roman"/>
        </w:rPr>
        <w:t xml:space="preserve"> pandemic and reducing transmissions</w:t>
      </w:r>
      <w:r w:rsidR="008D697A" w:rsidRPr="00B05509">
        <w:rPr>
          <w:rFonts w:ascii="Times New Roman" w:hAnsi="Times New Roman"/>
        </w:rPr>
        <w:t xml:space="preserve"> if implemented effectively</w:t>
      </w:r>
      <w:r w:rsidR="00E87E51" w:rsidRPr="00B05509">
        <w:rPr>
          <w:rFonts w:ascii="Times New Roman" w:hAnsi="Times New Roman"/>
        </w:rPr>
        <w:t xml:space="preserve"> </w:t>
      </w:r>
      <w:r w:rsidR="007E4CFB" w:rsidRPr="00B05509">
        <w:rPr>
          <w:rFonts w:ascii="Times New Roman" w:hAnsi="Times New Roman"/>
        </w:rPr>
        <w:fldChar w:fldCharType="begin" w:fldLock="1"/>
      </w:r>
      <w:r w:rsidR="007E2086">
        <w:rPr>
          <w:rFonts w:ascii="Times New Roman" w:hAnsi="Times New Roman"/>
        </w:rPr>
        <w:instrText>ADDIN CSL_CITATION {"citationItems":[{"id":"ITEM-1","itemData":{"DOI":"10.1038/s41586-020-2405-7","ISSN":"0028-0836","author":[{"dropping-particle":"","family":"Flaxman","given":"Seth","non-dropping-particle":"","parse-names":false,"suffix":""},{"dropping-particle":"","family":"Mishra","given":"Swapnil","non-dropping-particle":"","parse-names":false,"suffix":""},{"dropping-particle":"","family":"Gandy","given":"Axel","non-dropping-particle":"","parse-names":false,"suffix":""},{"dropping-particle":"","family":"Unwin","given":"H. Juliette T.","non-dropping-particle":"","parse-names":false,"suffix":""},{"dropping-particle":"","family":"Mellan","given":"Thomas A.","non-dropping-particle":"","parse-names":false,"suffix":""},{"dropping-particle":"","family":"Coupland","given":"Helen","non-dropping-particle":"","parse-names":false,"suffix":""},{"dropping-particle":"","family":"Whittaker","given":"Charles","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W.","non-dropping-particle":"","parse-names":false,"suffix":""},{"dropping-particle":"","family":"Monod","given":"Mélodie","non-dropping-particle":"","parse-names":false,"suffix":""},{"dropping-particle":"","family":"Ghani","given":"Azra C.","non-dropping-particle":"","parse-names":false,"suffix":""},{"dropping-particle":"","family":"Donnelly","given":"Christl A.","non-dropping-particle":"","parse-names":false,"suffix":""},{"dropping-particle":"","family":"Riley","given":"Steven","non-dropping-particle":"","parse-names":false,"suffix":""},{"dropping-particle":"","family":"Vollmer","given":"Michaela A. C.","non-dropping-particle":"","parse-names":false,"suffix":""},{"dropping-particle":"","family":"Ferguson","given":"Neil M.","non-dropping-particle":"","parse-names":false,"suffix":""},{"dropping-particle":"","family":"Okell","given":"Lucy C.","non-dropping-particle":"","parse-names":false,"suffix":""},{"dropping-particle":"","family":"Bhatt","given":"Samir","non-dropping-particle":"","parse-names":false,"suffix":""}],"container-title":"Nature","id":"ITEM-1","issue":"7820","issued":{"date-parts":[["2020","8","13"]]},"page":"257-261","title":"Estimating the effects of non-pharmaceutical interventions on COVID-19 in Europe","type":"article-journal","volume":"584"},"uris":["http://www.mendeley.com/documents/?uuid=d0626eec-db7d-4217-8921-6a5fb440d358"]},{"id":"ITEM-2","itemData":{"DOI":"10.1038/s41586-020-2293-x","ISSN":"0028-0836","author":[{"dropping-particle":"","family":"Lai","given":"Shengjie","non-dropping-particle":"","parse-names":false,"suffix":""},{"dropping-particle":"","family":"Ruktanonchai","given":"Nick W.","non-dropping-particle":"","parse-names":false,"suffix":""},{"dropping-particle":"","family":"Zhou","given":"Liangcai","non-dropping-particle":"","parse-names":false,"suffix":""},{"dropping-particle":"","family":"Prosper","given":"Olivia","non-dropping-particle":"","parse-names":false,"suffix":""},{"dropping-particle":"","family":"Luo","given":"Wei","non-dropping-particle":"","parse-names":false,"suffix":""},{"dropping-particle":"","family":"Floyd","given":"Jessica R.","non-dropping-particle":"","parse-names":false,"suffix":""},{"dropping-particle":"","family":"Wesolowski","given":"Amy","non-dropping-particle":"","parse-names":false,"suffix":""},{"dropping-particle":"","family":"Santillana","given":"Mauricio","non-dropping-particle":"","parse-names":false,"suffix":""},{"dropping-particle":"","family":"Zhang","given":"Chi","non-dropping-particle":"","parse-names":false,"suffix":""},{"dropping-particle":"","family":"Du","given":"Xiangjun","non-dropping-particle":"","parse-names":false,"suffix":""},{"dropping-particle":"","family":"Yu","given":"Hongjie","non-dropping-particle":"","parse-names":false,"suffix":""},{"dropping-particle":"","family":"Tatem","given":"Andrew J.","non-dropping-particle":"","parse-names":false,"suffix":""}],"container-title":"Nature","id":"ITEM-2","issue":"7825","issued":{"date-parts":[["2020","9","17"]]},"page":"410-413","title":"Effect of non-pharmaceutical interventions to contain COVID-19 in China","type":"article-journal","volume":"585"},"uris":["http://www.mendeley.com/documents/?uuid=78eccc75-becb-4ca8-9881-da378e0f22aa"]},{"id":"ITEM-3","itemData":{"DOI":"10.1016/S2468-2667(20)30237-1","ISSN":"24682667","author":[{"dropping-particle":"","family":"Robert","given":"Alexis","non-dropping-particle":"","parse-names":false,"suffix":""}],"container-title":"The Lancet Public Health","id":"ITEM-3","issue":"11","issued":{"date-parts":[["2020","11"]]},"page":"e569-e570","title":"Lessons from New Zealand's COVID-19 outbreak response","type":"article-journal","volume":"5"},"uris":["http://www.mendeley.com/documents/?uuid=f345d13f-8427-4dcd-8a74-244e2693fc36"]},{"id":"ITEM-4","itemData":{"DOI":"10.1016/S1473-3099(20)30785-4","ISSN":"14733099","author":[{"dropping-particle":"","family":"Li","given":"You","non-dropping-particle":"","parse-names":false,"suffix":""},{"dropping-particle":"","family":"Campbell","given":"Harry","non-dropping-particle":"","parse-names":false,"suffix":""},{"dropping-particle":"","family":"Kulkarni","given":"Durga","non-dropping-particle":"","parse-names":false,"suffix":""},{"dropping-particle":"","family":"Harpur","given":"Alice","non-dropping-particle":"","parse-names":false,"suffix":""},{"dropping-particle":"","family":"Nundy","given":"Madhurima","non-dropping-particle":"","parse-names":false,"suffix":""},{"dropping-particle":"","family":"Wang","given":"Xin","non-dropping-particle":"","parse-names":false,"suffix":""},{"dropping-particle":"","family":"Nair","given":"Harish","non-dropping-particle":"","parse-names":false,"suffix":""}],"container-title":"The Lancet Infectious Diseases","id":"ITEM-4","issue":"2","issued":{"date-parts":[["2021","2"]]},"page":"193-202","title":"The temporal association of introducing and lifting non-pharmaceutical interventions with the time-varying reproduction number (R) of SARS-CoV-2: a modelling study across 131 countries","type":"article-journal","volume":"21"},"uris":["http://www.mendeley.com/documents/?uuid=409df0a2-30c3-449d-9ea3-30787557f1f3"]},{"id":"ITEM-5","itemData":{"DOI":"10.1016/S2468-2667(20)30090-6","ISSN":"24682667","author":[{"dropping-particle":"","family":"Cowling","given":"Benjamin J","non-dropping-particle":"","parse-names":false,"suffix":""},{"dropping-particle":"","family":"Ali","given":"Sheikh Taslim","non-dropping-particle":"","parse-names":false,"suffix":""},{"dropping-particle":"","family":"Ng","given":"Tiffany W Y","non-dropping-particle":"","parse-names":false,"suffix":""},{"dropping-particle":"","family":"Tsang","given":"Tim K","non-dropping-particle":"","parse-names":false,"suffix":""},{"dropping-particle":"","family":"Li","given":"Julian C M","non-dropping-particle":"","parse-names":false,"suffix":""},{"dropping-particle":"","family":"Fong","given":"Min Whui","non-dropping-particle":"","parse-names":false,"suffix":""},{"dropping-particle":"","family":"Liao","given":"Qiuyan","non-dropping-particle":"","parse-names":false,"suffix":""},{"dropping-particle":"","family":"Kwan","given":"Mike YW","non-dropping-particle":"","parse-names":false,"suffix":""},{"dropping-particle":"","family":"Lee","given":"So Lun","non-dropping-particle":"","parse-names":false,"suffix":""},{"dropping-particle":"","family":"Chiu","given":"Susan S","non-dropping-particle":"","parse-names":false,"suffix":""},{"dropping-particle":"","family":"Wu","given":"Joseph T","non-dropping-particle":"","parse-names":false,"suffix":""},{"dropping-particle":"","family":"Wu","given":"Peng","non-dropping-particle":"","parse-names":false,"suffix":""},{"dropping-particle":"","family":"Leung","given":"Gabriel M","non-dropping-particle":"","parse-names":false,"suffix":""}],"container-title":"The Lancet Public Health","id":"ITEM-5","issue":"5","issued":{"date-parts":[["2020","5"]]},"page":"e279-e288","title":"Impact assessment of non-pharmaceutical interventions against coronavirus disease 2019 and influenza in Hong Kong: an observational study","type":"article-journal","volume":"5"},"uris":["http://www.mendeley.com/documents/?uuid=bf8b3735-9303-4cef-ae0e-31eff83da9f4"]},{"id":"ITEM-6","itemData":{"DOI":"10.1016/S2468-2667(20)30133-X","ISSN":"24682667","author":[{"dropping-particle":"","family":"Davies","given":"Nicholas G","non-dropping-particle":"","parse-names":false,"suffix":""},{"dropping-particle":"","family":"Kucharski","given":"Adam J","non-dropping-particle":"","parse-names":false,"suffix":""},{"dropping-particle":"","family":"Eggo","given":"Rosalind M","non-dropping-particle":"","parse-names":false,"suffix":""},{"dropping-particle":"","family":"Gimma","given":"Amy","non-dropping-particle":"","parse-names":false,"suffix":""},{"dropping-particle":"","family":"Edmunds","given":"W John","non-dropping-particle":"","parse-names":false,"suffix":""},{"dropping-particle":"","family":"Jombart","given":"Thibaut","non-dropping-particle":"","parse-names":false,"suffix":""},{"dropping-particle":"","family":"O'Reilly","given":"Kathleen","non-dropping-particle":"","parse-names":false,"suffix":""},{"dropping-particle":"","family":"Endo","given":"Akira","non-dropping-particle":"","parse-names":false,"suffix":""},{"dropping-particle":"","family":"Hellewell","given":"Joel","non-dropping-particle":"","parse-names":false,"suffix":""},{"dropping-particle":"","family":"Nightingale","given":"Emily S","non-dropping-particle":"","parse-names":false,"suffix":""},{"dropping-particle":"","family":"Quilty","given":"Billy J","non-dropping-particle":"","parse-names":false,"suffix":""},{"dropping-particle":"","family":"Jarvis","given":"Christopher I","non-dropping-particle":"","parse-names":false,"suffix":""},{"dropping-particle":"","family":"Russell","given":"Timothy W","non-dropping-particle":"","parse-names":false,"suffix":""},{"dropping-particle":"","family":"Klepac","given":"Petra","non-dropping-particle":"","parse-names":false,"suffix":""},{"dropping-particle":"","family":"Bosse","given":"Nikos I","non-dropping-particle":"","parse-names":false,"suffix":""},{"dropping-particle":"","family":"Funk","given":"Sebastian","non-dropping-particle":"","parse-names":false,"suffix":""},{"dropping-particle":"","family":"Abbott","given":"Sam","non-dropping-particle":"","parse-names":false,"suffix":""},{"dropping-particle":"","family":"Medley","given":"Graham F","non-dropping-particle":"","parse-names":false,"suffix":""},{"dropping-particle":"","family":"Gibbs","given":"Hamish","non-dropping-particle":"","parse-names":false,"suffix":""},{"dropping-particle":"","family":"Pearson","given":"Carl A B","non-dropping-particle":"","parse-names":false,"suffix":""},{"dropping-particle":"","family":"Flasche","given":"Stefan","non-dropping-particle":"","parse-names":false,"suffix":""},{"dropping-particle":"","family":"Jit","given":"Mark","non-dropping-particle":"","parse-names":false,"suffix":""},{"dropping-particle":"","family":"Clifford","given":"Samuel","non-dropping-particle":"","parse-names":false,"suffix":""},{"dropping-particle":"","family":"Prem","given":"Kiesha","non-dropping-particle":"","parse-names":false,"suffix":""},{"dropping-particle":"","family":"Diamond","given":"Charlie","non-dropping-particle":"","parse-names":false,"suffix":""},{"dropping-particle":"","family":"Emery","given":"Jon","non-dropping-particle":"","parse-names":false,"suffix":""},{"dropping-particle":"","family":"Deol","given":"Arminder K","non-dropping-particle":"","parse-names":false,"suffix":""},{"dropping-particle":"","family":"Procter","given":"Simon R","non-dropping-particle":"","parse-names":false,"suffix":""},{"dropping-particle":"","family":"Zandvoort","given":"Kevin","non-dropping-particle":"van","parse-names":false,"suffix":""},{"dropping-particle":"","family":"Sun","given":"Yueqian Fiona","non-dropping-particle":"","parse-names":false,"suffix":""},{"dropping-particle":"","family":"Munday","given":"James D","non-dropping-particle":"","parse-names":false,"suffix":""},{"dropping-particle":"","family":"Rosello","given":"Alicia","non-dropping-particle":"","parse-names":false,"suffix":""},{"dropping-particle":"","family":"Auzenbergs","given":"Megan","non-dropping-particle":"","parse-names":false,"suffix":""},{"dropping-particle":"","family":"Knight","given":"Gwen","non-dropping-particle":"","parse-names":false,"suffix":""},{"dropping-particle":"","family":"Houben","given":"Rein M G J","non-dropping-particle":"","parse-names":false,"suffix":""},{"dropping-particle":"","family":"Liu","given":"Yang","non-dropping-particle":"","parse-names":false,"suffix":""}],"container-title":"The Lancet Public Health","id":"ITEM-6","issue":"7","issued":{"date-parts":[["2020","7"]]},"page":"e375-e385","title":"Effects of non-pharmaceutical interventions on COVID-19 cases, deaths, and demand for hospital services in the UK: a modelling study","type":"article-journal","volume":"5"},"uris":["http://www.mendeley.com/documents/?uuid=0e161ebd-d847-46f4-b761-63a321bdd393"]}],"mendeley":{"formattedCitation":"[11–16]","plainTextFormattedCitation":"[11–16]","previouslyFormattedCitation":"[11–16]"},"properties":{"noteIndex":0},"schema":"https://github.com/citation-style-language/schema/raw/master/csl-citation.json"}</w:instrText>
      </w:r>
      <w:r w:rsidR="007E4CFB" w:rsidRPr="00B05509">
        <w:rPr>
          <w:rFonts w:ascii="Times New Roman" w:hAnsi="Times New Roman"/>
        </w:rPr>
        <w:fldChar w:fldCharType="separate"/>
      </w:r>
      <w:r w:rsidR="007E2086" w:rsidRPr="007E2086">
        <w:rPr>
          <w:rFonts w:ascii="Times New Roman" w:hAnsi="Times New Roman"/>
          <w:noProof/>
        </w:rPr>
        <w:t>[11–16]</w:t>
      </w:r>
      <w:r w:rsidR="007E4CFB" w:rsidRPr="00B05509">
        <w:rPr>
          <w:rFonts w:ascii="Times New Roman" w:hAnsi="Times New Roman"/>
        </w:rPr>
        <w:fldChar w:fldCharType="end"/>
      </w:r>
      <w:r w:rsidR="000C78E1" w:rsidRPr="00B05509">
        <w:rPr>
          <w:rFonts w:ascii="Times New Roman" w:hAnsi="Times New Roman"/>
        </w:rPr>
        <w:t>.</w:t>
      </w:r>
      <w:r w:rsidR="00D17069">
        <w:rPr>
          <w:rFonts w:ascii="Times New Roman" w:hAnsi="Times New Roman"/>
        </w:rPr>
        <w:t xml:space="preserve"> </w:t>
      </w:r>
      <w:r w:rsidR="00461396">
        <w:rPr>
          <w:rFonts w:ascii="Times New Roman" w:hAnsi="Times New Roman"/>
        </w:rPr>
        <w:t xml:space="preserve">Decisions about the adoption of such interventions, by policy-makers or individuals, are multi-faceted and can include political, economic, situational, personal health, psychological and other considerations </w:t>
      </w:r>
      <w:r w:rsidR="00EC72E2">
        <w:rPr>
          <w:rFonts w:ascii="Times New Roman" w:hAnsi="Times New Roman"/>
        </w:rPr>
        <w:fldChar w:fldCharType="begin" w:fldLock="1"/>
      </w:r>
      <w:r w:rsidR="00DA7ECD">
        <w:rPr>
          <w:rFonts w:ascii="Times New Roman" w:hAnsi="Times New Roman"/>
        </w:rPr>
        <w:instrText xml:space="preserve">ADDIN CSL_CITATION {"citationItems":[{"id":"ITEM-1","itemData":{"author":[{"dropping-particle":"","family":"Papageorge","given":"Nicholas W.","non-dropping-particle":"","parse-names":false,"suffix":""},{"dropping-particle":"","family":"Zahn","given":"Matthew","non-dropping-particle":"","parse-names":false,"suffix":""},{"dropping-particle":"","family":"Belot","given":"Michele","non-dropping-particle":"","parse-names":false,"suffix":""},{"dropping-particle":"","family":"Broek-altenburg","given":"Eline","non-dropping-particle":"van den","parse-names":false,"suffix":""},{"dropping-particle":"","family":"Choic","given":"Syngjoo","non-dropping-particle":"","parse-names":false,"suffix":""},{"dropping-particle":"","family":"Jamison","given":"Julian","non-dropping-particle":"","parse-names":false,"suffix":""},{"dropping-particle":"","family":"Tripodi","given":"Egon","non-dropping-particle":"","parse-names":false,"suffix":""}],"container-title":"Journal of Population Economics","id":"ITEM-1","issued":{"date-parts":[["2021"]]},"page":"691-738","title":"Socio-demographic factors associated with self-protecting behavior during the Covid-19","type":"article-journal","volume":"34"},"uris":["http://www.mendeley.com/documents/?uuid=e7c86c93-4bad-41d3-8a06-3c9f7eec465a"]},{"id":"ITEM-2","itemData":{"author":[{"dropping-particle":"","family":"Seale","given":"Holly","non-dropping-particle":"","parse-names":false,"suffix":""},{"dropping-particle":"","family":"Dyer","given":"Clare E F","non-dropping-particle":"","parse-names":false,"suffix":""},{"dropping-particle":"","family":"Abdi","given":"Ikram","non-dropping-particle":"","parse-names":false,"suffix":""},{"dropping-particle":"","family":"Rahman","given":"Kazi M","non-dropping-particle":"","parse-names":false,"suffix":""},{"dropping-particle":"","family":"Sun","given":"Yanni","non-dropping-particle":"","parse-names":false,"suffix":""},{"dropping-particle":"","family":"Qureshi","given":"Mohammed O","non-dropping-particle":"","parse-names":false,"suffix":""},{"dropping-particle":"","family":"Dowell-day","given":"Alexander","non-dropping-particle":"","parse-names":false,"suffix":""},{"dropping-particle":"","family":"Sward","given":"Jonathon","non-dropping-particle":"","parse-names":false,"suffix":""},{"dropping-particle":"","family":"Islam","given":"M Saiful","non-dropping-particle":"","parse-names":false,"suffix":""}],"container-title":"BMC Infe","id":"ITEM-2","issued":{"date-parts":[["2020"]]},"page":"1-13","publisher":"BMC Infectious Diseases","title":"Improving the impact of non- pharmaceutical interventions during COVID-19 : examining the factors that influence engagement and the impact on individuals","type":"article-journal"},"uris":["http://www.mendeley.com/documents/?uuid=3e731a91-72e1-49de-addf-f36fb12e1831"]},{"id":"ITEM-3","itemData":{"DOI":"10.1016/j.jebo.2020.10.008","ISSN":"0167-2681","author":[{"dropping-particle":"","family":"Wright","given":"Austin L","non-dropping-particle":"","parse-names":false,"suffix":""},{"dropping-particle":"","family":"Sonin","given":"Konstantin","non-dropping-particle":"","parse-names":false,"suffix":""},{"dropping-particle":"","family":"Driscoll","given":"Jesse","non-dropping-particle":"","parse-names":false,"suffix":""},{"dropping-particle":"","family":"Wilson","given":"Jarnickae","non-dropping-particle":"","parse-names":false,"suffix":""}],"container-title":"Journal of Economic Behavior and Organization","id":"ITEM-3","issued":{"date-parts":[["2020"]]},"page":"544-554","publisher":"Elsevier B.V.","title":"Poverty and economic dislocation reduce compliance with COVID-19 shelter-in-place protocols","type":"article-journal","volume":"180"},"uris":["http://www.mendeley.com/documents/?uuid=2d809f2d-8bcf-4a3e-ba42-1a0f40315623"]},{"id":"ITEM-4","itemData":{"DOI":"10.1016/j.socscimed.2020.113370","ISSN":"02779536","author":[{"dropping-particle":"","family":"Nivette","given":"Amy","non-dropping-particle":"","parse-names":false,"suffix":""},{"dropping-particle":"","family":"Ribeaud","given":"Denis","non-dropping-particle":"","parse-names":false,"suffix":""},{"dropping-particle":"","family":"Murray","given":"Aja","non-dropping-particle":"","parse-names":false,"suffix":""},{"dropping-particle":"","family":"Steinhoff","given":"Annekatrin","non-dropping-particle":"","parse-names":false,"suffix":""},{"dropping-particle":"","family":"Bechtiger","given":"Laura","non-dropping-particle":"","parse-names":false,"suffix":""},{"dropping-particle":"","family":"Hepp","given":"Urs","non-dropping-particle":"","parse-names":false,"suffix":""},{"dropping-particle":"","family":"Shanahan","given":"Lilly","non-dropping-particle":"","parse-names":false,"suffix":""},{"dropping-particle":"","family":"Eisner","given":"Manuel","non-dropping-particle":"","parse-names":false,"suffix":""}],"container-title":"Social Science &amp; Medicine","id":"ITEM-4","issued":{"date-parts":[["2021","1"]]},"page":"113370","title":"Non-compliance with COVID-19-related public health measures among young adults in Switzerland: Insights from a longitudinal cohort study","type":"article-journal","volume":"268"},"uris":["http://www.mendeley.com/documents/?uuid=e3c68dec-91e7-47f3-b9d6-3c88491c3c28"]},{"id":"ITEM-5","itemData":{"author":[{"dropping-particle":"","family":"Kim","given":"Sunhee","non-dropping-particle":"","parse-names":false,"suffix":""},{"dropping-particle":"","family":"Kim","given":"Seoyong","non-dropping-particle":"","parse-names":false,"suffix":""}],"id":"ITEM-5","issue":"April 2003","issued":{"date-parts":[["2020"]]},"title":"Analysis of the Impact of Health Beliefs and Resource Factors on Preventive Behaviors against the COVID-19 Pandemic","type":"article-journal"},"uris":["http://www.mendeley.com/documents/?uuid=4f0a02cb-5f95-4163-b83d-069176c0ac7d"]},{"id":"ITEM-6","itemData":{"DOI":"10.1016/j.paid.2020.110199","ISSN":"0191-8869","author":[{"dropping-particle":"","family":"Zajenkowski","given":"Marcin","non-dropping-particle":"","parse-names":false,"suffix":""},{"dropping-particle":"","family":"Jonason","given":"Peter K","non-dropping-particle":"","parse-names":false,"suffix":""},{"dropping-particle":"","family":"Leniarska","given":"Maria","non-dropping-particle":"","parse-names":false,"suffix":""},{"dropping-particle":"","family":"Kozakiewicz","given":"Zuzanna","non-dropping-particle":"","parse-names":false,"suffix":""}],"container-title":"Personality and Individual Differences","id":"ITEM-6","issue":"May","issued":{"date-parts":[["2020"]]},"page":"110199","publisher":"Elsevier","title":"Who complies with the restrictions to reduce the spread of COVID-19 ?: Personality and perceptions of the COVID-19 situation </w:instrText>
      </w:r>
      <w:r w:rsidR="00DA7ECD">
        <w:rPr>
          <w:rFonts w:ascii="Segoe UI Symbol" w:hAnsi="Segoe UI Symbol" w:cs="Segoe UI Symbol"/>
        </w:rPr>
        <w:instrText>☆</w:instrText>
      </w:r>
      <w:r w:rsidR="00DA7ECD">
        <w:rPr>
          <w:rFonts w:ascii="Times New Roman" w:hAnsi="Times New Roman"/>
        </w:rPr>
        <w:instrText>","type":"article-journal","volume":"166"},"uris":["http://www.mendeley.com/documents/?uuid=028f078b-af5f-41a3-9534-4f5a94e50df7"]},{"id":"ITEM-7","itemData":{"author":[{"dropping-particle":"","family":"Mevorach","given":"Tomer","non-dropping-particle":"","parse-names":false,"suffix":""},{"dropping-particle":"","family":"Cohen","given":"Jonathan","non-dropping-particle":"","parse-names":false,"suffix":""}],"id":"ITEM-7","issued":{"date-parts":[["2021"]]},"title":"Keep Calm and Stay Safe : The Relationship between Anxiety and Other Psychological Factors , Media Exposure and Compliance with COVID-19 Regulations","type":"article-journal"},"uris":["http://www.mendeley.com/documents/?uuid=38cdb184-6f46-481e-9399-07c4e3274fc8"]},{"id":"ITEM-8","itemData":{"DOI":"10.1038/s41598-021-92094-2","ISBN":"4159802192","ISSN":"20452322","PMID":"34135413","abstract":"In the midst of the COVID-19 pandemic, with limited or no supplies of vaccines and treatments, people and policymakers seek easy to implement and cost-effective alternatives to combat the spread of infection during the pandemic. The practice of wearing a mask, which requires change in people’s usual behavior, may reduce disease transmission by preventing the virus spread from infectious to susceptible individuals. Wearing a mask may result in a public good game structure, where an individual does not want to wear a mask but desires that others wear it. This study develops and analyzes a new intervention game model that combines the mathematical models of epidemiology with evolutionary game theory. This approach quantifies how people use mask-wearing and related protecting behaviors that directly benefit the wearer and bring some advantage to other people during an epidemic. At each time-step, a suspected susceptible individual decides whether to wear a facemask, or not, due to a social learning process that accounts for the risk of infection and mask cost. Numerical results reveal a diverse and rich social dilemma structure that is hidden behind this mask-wearing dilemma. Our results highlight the sociological dimension of mask-wearing policy.","author":[{"dropping-particle":"","family":"Kabir","given":"K. M.Ariful","non-dropping-particle":"","parse-names":false,"suffix":""},{"dropping-particle":"","family":"Risa","given":"Tori","non-dropping-particle":"","parse-names":false,"suffix":""},{"dropping-particle":"","family":"Tanimoto","given":"Jun","non-dropping-particle":"","parse-names":false,"suffix":""}],"container-title":"Scientific Reports","id":"ITEM-8","issue":"1","issued":{"date-parts":[["2021"]]},"page":"1-14","publisher":"Nature Publishing Group UK","title":"Prosocial behavior of wearing a mask during an epidemic: an evolutionary explanation","type":"article-journal","volume":"11"},"uris":["http://www.mendeley.com/documents/?uuid=f63c730f-da29-4636-ad16-25a11f5c0f1d"]}],"mendeley":{"formattedCitation":"[17–24]","plainTextFormattedCitation":"[17–24]","previouslyFormattedCitation":"[17–24]"},"properties":{"noteIndex":0},"schema":"https://github.com/citation-style-language/schema/raw/master/csl-citation.json"}</w:instrText>
      </w:r>
      <w:r w:rsidR="00EC72E2">
        <w:rPr>
          <w:rFonts w:ascii="Times New Roman" w:hAnsi="Times New Roman"/>
        </w:rPr>
        <w:fldChar w:fldCharType="separate"/>
      </w:r>
      <w:r w:rsidR="007E2086" w:rsidRPr="007E2086">
        <w:rPr>
          <w:rFonts w:ascii="Times New Roman" w:hAnsi="Times New Roman"/>
          <w:noProof/>
        </w:rPr>
        <w:t>[17–24]</w:t>
      </w:r>
      <w:r w:rsidR="00EC72E2">
        <w:rPr>
          <w:rFonts w:ascii="Times New Roman" w:hAnsi="Times New Roman"/>
        </w:rPr>
        <w:fldChar w:fldCharType="end"/>
      </w:r>
      <w:r w:rsidR="00461396">
        <w:rPr>
          <w:rFonts w:ascii="Times New Roman" w:hAnsi="Times New Roman"/>
        </w:rPr>
        <w:t>, but also</w:t>
      </w:r>
      <w:r w:rsidR="008B20C3">
        <w:rPr>
          <w:rFonts w:ascii="Times New Roman" w:hAnsi="Times New Roman"/>
        </w:rPr>
        <w:t xml:space="preserve"> – importantly </w:t>
      </w:r>
      <w:r w:rsidR="00461396">
        <w:rPr>
          <w:rFonts w:ascii="Times New Roman" w:hAnsi="Times New Roman"/>
        </w:rPr>
        <w:t xml:space="preserve">– information about evidence for their effectiveness </w:t>
      </w:r>
      <w:r w:rsidR="00FE263C">
        <w:rPr>
          <w:rFonts w:ascii="Times New Roman" w:hAnsi="Times New Roman"/>
        </w:rPr>
        <w:fldChar w:fldCharType="begin" w:fldLock="1"/>
      </w:r>
      <w:r w:rsidR="00DA7ECD">
        <w:rPr>
          <w:rFonts w:ascii="Times New Roman" w:hAnsi="Times New Roman"/>
        </w:rPr>
        <w:instrText>ADDIN CSL_CITATION {"citationItems":[{"id":"ITEM-1","itemData":{"author":[{"dropping-particle":"","family":"Broomell","given":"Stephen B","non-dropping-particle":"","parse-names":false,"suffix":""},{"dropping-particle":"","family":"Chapman","given":"Gretchen B","non-dropping-particle":"","parse-names":false,"suffix":""},{"dropping-particle":"","family":"Downs","given":"Julie S","non-dropping-particle":"","parse-names":false,"suffix":""}],"container-title":"Behavioural Science &amp; Policy","id":"ITEM-1","issue":"2","issued":{"date-parts":[["2020"]]},"page":"43-50","title":"Psychological predictors of prevention behaviors during the COVID-19 pandemic","type":"article-journal","volume":"6"},"uris":["http://www.mendeley.com/documents/?uuid=3d8f4c14-faf3-44a1-8845-a3277e0584a5"]},{"id":"ITEM-2","itemData":{"author":[{"dropping-particle":"","family":"Georgieva","given":"Irina","non-dropping-particle":"","parse-names":false,"suffix":""},{"dropping-particle":"","family":"Lantta","given":"Tella","non-dropping-particle":"","parse-names":false,"suffix":""},{"dropping-particle":"","family":"Lickiewicz","given":"Jakub","non-dropping-particle":"","parse-names":false,"suffix":""},{"dropping-particle":"","family":"Pekara","given":"Jaroslav","non-dropping-particle":"","parse-names":false,"suffix":""},{"dropping-particle":"","family":"Wikman","given":"Sofia","non-dropping-particle":"","parse-names":false,"suffix":""},{"dropping-particle":"","family":"Loseviˇ","given":"Marina","non-dropping-particle":"","parse-names":false,"suffix":""},{"dropping-particle":"","family":"Mihai","given":"Adriana","non-dropping-particle":"","parse-names":false,"suffix":""},{"dropping-particle":"","family":"Lepping","given":"Peter","non-dropping-particle":"","parse-names":false,"suffix":""}],"id":"ITEM-2","issued":{"date-parts":[["2021"]]},"page":"1-16","title":"Perceived Effectiveness , Restrictiveness , and Compliance with Containment Measures against the Covid-19 Pandemic : An International Comparative Study in 11 Countries","type":"article-journal"},"uris":["http://www.mendeley.com/documents/?uuid=dfbfe400-fbde-4a31-8049-dc69d3c3f16a"]},{"id":"ITEM-3","itemData":{"author":[{"dropping-particle":"","family":"Gette","given":"Jordan A","non-dropping-particle":"","parse-names":false,"suffix":""},{"dropping-particle":"","family":"Stevens","given":"Angela K","non-dropping-particle":"","parse-names":false,"suffix":""},{"dropping-particle":"","family":"Littlefield","given":"Andrew K","non-dropping-particle":"","parse-names":false,"suffix":""},{"dropping-particle":"","family":"Hayes","given":"Kerri L","non-dropping-particle":"","parse-names":false,"suffix":""},{"dropping-particle":"","family":"White","given":"Helene R","non-dropping-particle":"","parse-names":false,"suffix":""},{"dropping-particle":"","family":"Jackson","given":"Kristina M","non-dropping-particle":"","parse-names":false,"suffix":""}],"id":"ITEM-3","issued":{"date-parts":[["2021"]]},"title":"Individual and COVID-19-Specific Indicators of Compliance with Mask Use and Social Distancing : The Importance of Norms , Perceived Effectiveness , and State Response","type":"article-journal"},"uris":["http://www.mendeley.com/documents/?uuid=89a2eff2-98ba-4c7f-b14f-3f8e0ca00720"]},{"id":"ITEM-4","itemData":{"DOI":"10.1080/00981389.2020.1871157","ISSN":"0098-1389","author":[{"dropping-particle":"","family":"Wang","given":"Donna","non-dropping-particle":"","parse-names":false,"suffix":""},{"dropping-particle":"","family":"Marmo-roman","given":"Suzanne","non-dropping-particle":"","parse-names":false,"suffix":""},{"dropping-particle":"","family":"Krase","given":"Kathryn","non-dropping-particle":"","parse-names":false,"suffix":""},{"dropping-particle":"","family":"Phanord","given":"Lusta","non-dropping-particle":"","parse-names":false,"suffix":""},{"dropping-particle":"","family":"Wang","given":"Donna","non-dropping-particle":"","parse-names":false,"suffix":""},{"dropping-particle":"","family":"Marmo-roman","given":"Suzanne","non-dropping-particle":"","parse-names":false,"suffix":""},{"dropping-particle":"","family":"Krase","given":"Kathryn","non-dropping-particle":"","parse-names":false,"suffix":""},{"dropping-particle":"","family":"Phanord","given":"Lusta","non-dropping-particle":"","parse-names":false,"suffix":""}],"container-title":"Social Work in Health Care","id":"ITEM-4","issue":"3","issued":{"date-parts":[["2021"]]},"page":"240-255","publisher":"Routledge","title":"Compliance with preventative measures during the COVID-19 pandemic in the USA and Canada : Results from an online survey ABSTRACT","type":"article-journal","volume":"60"},"uris":["http://www.mendeley.com/documents/?uuid=a5891424-4824-4292-9668-cc871eecf8b6"]}],"mendeley":{"formattedCitation":"[25–28]","plainTextFormattedCitation":"[25–28]","previouslyFormattedCitation":"[25–28]"},"properties":{"noteIndex":0},"schema":"https://github.com/citation-style-language/schema/raw/master/csl-citation.json"}</w:instrText>
      </w:r>
      <w:r w:rsidR="00FE263C">
        <w:rPr>
          <w:rFonts w:ascii="Times New Roman" w:hAnsi="Times New Roman"/>
        </w:rPr>
        <w:fldChar w:fldCharType="separate"/>
      </w:r>
      <w:r w:rsidR="007E2086" w:rsidRPr="007E2086">
        <w:rPr>
          <w:rFonts w:ascii="Times New Roman" w:hAnsi="Times New Roman"/>
          <w:noProof/>
        </w:rPr>
        <w:t>[25–28]</w:t>
      </w:r>
      <w:r w:rsidR="00FE263C">
        <w:rPr>
          <w:rFonts w:ascii="Times New Roman" w:hAnsi="Times New Roman"/>
        </w:rPr>
        <w:fldChar w:fldCharType="end"/>
      </w:r>
      <w:r w:rsidR="00461396">
        <w:rPr>
          <w:rFonts w:ascii="Times New Roman" w:hAnsi="Times New Roman"/>
        </w:rPr>
        <w:t xml:space="preserve">. </w:t>
      </w:r>
      <w:r w:rsidR="00943CE7" w:rsidRPr="00B05509">
        <w:rPr>
          <w:rFonts w:ascii="Times New Roman" w:hAnsi="Times New Roman"/>
        </w:rPr>
        <w:t>Communication about such interventions, including their effectiveness, to both the public and policy-makers is therefore crucial.</w:t>
      </w:r>
      <w:r w:rsidR="00FB32C4">
        <w:rPr>
          <w:rFonts w:ascii="Times New Roman" w:hAnsi="Times New Roman"/>
        </w:rPr>
        <w:t xml:space="preserve"> </w:t>
      </w:r>
    </w:p>
    <w:p w14:paraId="3A513BF5" w14:textId="77777777" w:rsidR="000E0A6B" w:rsidRDefault="000E0A6B" w:rsidP="007C3BBA">
      <w:pPr>
        <w:spacing w:line="480" w:lineRule="auto"/>
        <w:rPr>
          <w:rFonts w:ascii="Times New Roman" w:hAnsi="Times New Roman"/>
        </w:rPr>
      </w:pPr>
    </w:p>
    <w:p w14:paraId="0F1D0B48" w14:textId="56BFCB2F" w:rsidR="00B15C17" w:rsidRDefault="00943CE7" w:rsidP="007C3BBA">
      <w:pPr>
        <w:spacing w:line="480" w:lineRule="auto"/>
        <w:rPr>
          <w:rFonts w:ascii="Times New Roman" w:hAnsi="Times New Roman"/>
        </w:rPr>
      </w:pPr>
      <w:r w:rsidRPr="00B05509">
        <w:rPr>
          <w:rFonts w:ascii="Times New Roman" w:hAnsi="Times New Roman"/>
        </w:rPr>
        <w:t>However, d</w:t>
      </w:r>
      <w:r w:rsidR="00B15C17" w:rsidRPr="00B05509">
        <w:rPr>
          <w:rFonts w:ascii="Times New Roman" w:hAnsi="Times New Roman"/>
        </w:rPr>
        <w:t xml:space="preserve">espite observational data showing the overall </w:t>
      </w:r>
      <w:r w:rsidRPr="00B05509">
        <w:rPr>
          <w:rFonts w:ascii="Times New Roman" w:hAnsi="Times New Roman"/>
        </w:rPr>
        <w:t xml:space="preserve">effectiveness </w:t>
      </w:r>
      <w:r w:rsidR="00B15C17" w:rsidRPr="00B05509">
        <w:rPr>
          <w:rFonts w:ascii="Times New Roman" w:hAnsi="Times New Roman"/>
        </w:rPr>
        <w:t>of suites of interventions in countries that have mandated various behaviours</w:t>
      </w:r>
      <w:r w:rsidR="008B20C3">
        <w:rPr>
          <w:rFonts w:ascii="Times New Roman" w:hAnsi="Times New Roman"/>
        </w:rPr>
        <w:t xml:space="preserve"> to manage the pandemic</w:t>
      </w:r>
      <w:r w:rsidR="00AE4142" w:rsidRPr="00B05509">
        <w:rPr>
          <w:rFonts w:ascii="Times New Roman" w:hAnsi="Times New Roman"/>
        </w:rPr>
        <w:t xml:space="preserve"> </w:t>
      </w:r>
      <w:r w:rsidR="00AE4142" w:rsidRPr="00B05509">
        <w:rPr>
          <w:rFonts w:ascii="Times New Roman" w:hAnsi="Times New Roman"/>
        </w:rPr>
        <w:fldChar w:fldCharType="begin" w:fldLock="1"/>
      </w:r>
      <w:r w:rsidR="007E2086">
        <w:rPr>
          <w:rFonts w:ascii="Times New Roman" w:hAnsi="Times New Roman"/>
        </w:rPr>
        <w:instrText>ADDIN CSL_CITATION {"citationItems":[{"id":"ITEM-1","itemData":{"DOI":"10.1038/s41586-020-2405-7","ISSN":"0028-0836","author":[{"dropping-particle":"","family":"Flaxman","given":"Seth","non-dropping-particle":"","parse-names":false,"suffix":""},{"dropping-particle":"","family":"Mishra","given":"Swapnil","non-dropping-particle":"","parse-names":false,"suffix":""},{"dropping-particle":"","family":"Gandy","given":"Axel","non-dropping-particle":"","parse-names":false,"suffix":""},{"dropping-particle":"","family":"Unwin","given":"H. Juliette T.","non-dropping-particle":"","parse-names":false,"suffix":""},{"dropping-particle":"","family":"Mellan","given":"Thomas A.","non-dropping-particle":"","parse-names":false,"suffix":""},{"dropping-particle":"","family":"Coupland","given":"Helen","non-dropping-particle":"","parse-names":false,"suffix":""},{"dropping-particle":"","family":"Whittaker","given":"Charles","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W.","non-dropping-particle":"","parse-names":false,"suffix":""},{"dropping-particle":"","family":"Monod","given":"Mélodie","non-dropping-particle":"","parse-names":false,"suffix":""},{"dropping-particle":"","family":"Ghani","given":"Azra C.","non-dropping-particle":"","parse-names":false,"suffix":""},{"dropping-particle":"","family":"Donnelly","given":"Christl A.","non-dropping-particle":"","parse-names":false,"suffix":""},{"dropping-particle":"","family":"Riley","given":"Steven","non-dropping-particle":"","parse-names":false,"suffix":""},{"dropping-particle":"","family":"Vollmer","given":"Michaela A. C.","non-dropping-particle":"","parse-names":false,"suffix":""},{"dropping-particle":"","family":"Ferguson","given":"Neil M.","non-dropping-particle":"","parse-names":false,"suffix":""},{"dropping-particle":"","family":"Okell","given":"Lucy C.","non-dropping-particle":"","parse-names":false,"suffix":""},{"dropping-particle":"","family":"Bhatt","given":"Samir","non-dropping-particle":"","parse-names":false,"suffix":""}],"container-title":"Nature","id":"ITEM-1","issue":"7820","issued":{"date-parts":[["2020","8","13"]]},"page":"257-261","title":"Estimating the effects of non-pharmaceutical interventions on COVID-19 in Europe","type":"article-journal","volume":"584"},"uris":["http://www.mendeley.com/documents/?uuid=d0626eec-db7d-4217-8921-6a5fb440d358"]},{"id":"ITEM-2","itemData":{"DOI":"10.1038/s41586-020-2293-x","ISSN":"0028-0836","author":[{"dropping-particle":"","family":"Lai","given":"Shengjie","non-dropping-particle":"","parse-names":false,"suffix":""},{"dropping-particle":"","family":"Ruktanonchai","given":"Nick W.","non-dropping-particle":"","parse-names":false,"suffix":""},{"dropping-particle":"","family":"Zhou","given":"Liangcai","non-dropping-particle":"","parse-names":false,"suffix":""},{"dropping-particle":"","family":"Prosper","given":"Olivia","non-dropping-particle":"","parse-names":false,"suffix":""},{"dropping-particle":"","family":"Luo","given":"Wei","non-dropping-particle":"","parse-names":false,"suffix":""},{"dropping-particle":"","family":"Floyd","given":"Jessica R.","non-dropping-particle":"","parse-names":false,"suffix":""},{"dropping-particle":"","family":"Wesolowski","given":"Amy","non-dropping-particle":"","parse-names":false,"suffix":""},{"dropping-particle":"","family":"Santillana","given":"Mauricio","non-dropping-particle":"","parse-names":false,"suffix":""},{"dropping-particle":"","family":"Zhang","given":"Chi","non-dropping-particle":"","parse-names":false,"suffix":""},{"dropping-particle":"","family":"Du","given":"Xiangjun","non-dropping-particle":"","parse-names":false,"suffix":""},{"dropping-particle":"","family":"Yu","given":"Hongjie","non-dropping-particle":"","parse-names":false,"suffix":""},{"dropping-particle":"","family":"Tatem","given":"Andrew J.","non-dropping-particle":"","parse-names":false,"suffix":""}],"container-title":"Nature","id":"ITEM-2","issue":"7825","issued":{"date-parts":[["2020","9","17"]]},"page":"410-413","title":"Effect of non-pharmaceutical interventions to contain COVID-19 in China","type":"article-journal","volume":"585"},"uris":["http://www.mendeley.com/documents/?uuid=78eccc75-becb-4ca8-9881-da378e0f22aa"]},{"id":"ITEM-3","itemData":{"DOI":"10.1016/S1473-3099(20)30785-4","ISSN":"14733099","author":[{"dropping-particle":"","family":"Li","given":"You","non-dropping-particle":"","parse-names":false,"suffix":""},{"dropping-particle":"","family":"Campbell","given":"Harry","non-dropping-particle":"","parse-names":false,"suffix":""},{"dropping-particle":"","family":"Kulkarni","given":"Durga","non-dropping-particle":"","parse-names":false,"suffix":""},{"dropping-particle":"","family":"Harpur","given":"Alice","non-dropping-particle":"","parse-names":false,"suffix":""},{"dropping-particle":"","family":"Nundy","given":"Madhurima","non-dropping-particle":"","parse-names":false,"suffix":""},{"dropping-particle":"","family":"Wang","given":"Xin","non-dropping-particle":"","parse-names":false,"suffix":""},{"dropping-particle":"","family":"Nair","given":"Harish","non-dropping-particle":"","parse-names":false,"suffix":""}],"container-title":"The Lancet Infectious Diseases","id":"ITEM-3","issue":"2","issued":{"date-parts":[["2021","2"]]},"page":"193-202","title":"The temporal association of introducing and lifting non-pharmaceutical interventions with the time-varying reproduction number (R) of SARS-CoV-2: a modelling study across 131 countries","type":"article-journal","volume":"21"},"uris":["http://www.mendeley.com/documents/?uuid=409df0a2-30c3-449d-9ea3-30787557f1f3"]},{"id":"ITEM-4","itemData":{"DOI":"10.1016/S2468-2667(20)30133-X","ISSN":"24682667","author":[{"dropping-particle":"","family":"Davies","given":"Nicholas G","non-dropping-particle":"","parse-names":false,"suffix":""},{"dropping-particle":"","family":"Kucharski","given":"Adam J","non-dropping-particle":"","parse-names":false,"suffix":""},{"dropping-particle":"","family":"Eggo","given":"Rosalind M","non-dropping-particle":"","parse-names":false,"suffix":""},{"dropping-particle":"","family":"Gimma","given":"Amy","non-dropping-particle":"","parse-names":false,"suffix":""},{"dropping-particle":"","family":"Edmunds","given":"W John","non-dropping-particle":"","parse-names":false,"suffix":""},{"dropping-particle":"","family":"Jombart","given":"Thibaut","non-dropping-particle":"","parse-names":false,"suffix":""},{"dropping-particle":"","family":"O'Reilly","given":"Kathleen","non-dropping-particle":"","parse-names":false,"suffix":""},{"dropping-particle":"","family":"Endo","given":"Akira","non-dropping-particle":"","parse-names":false,"suffix":""},{"dropping-particle":"","family":"Hellewell","given":"Joel","non-dropping-particle":"","parse-names":false,"suffix":""},{"dropping-particle":"","family":"Nightingale","given":"Emily S","non-dropping-particle":"","parse-names":false,"suffix":""},{"dropping-particle":"","family":"Quilty","given":"Billy J","non-dropping-particle":"","parse-names":false,"suffix":""},{"dropping-particle":"","family":"Jarvis","given":"Christopher I","non-dropping-particle":"","parse-names":false,"suffix":""},{"dropping-particle":"","family":"Russell","given":"Timothy W","non-dropping-particle":"","parse-names":false,"suffix":""},{"dropping-particle":"","family":"Klepac","given":"Petra","non-dropping-particle":"","parse-names":false,"suffix":""},{"dropping-particle":"","family":"Bosse","given":"Nikos I","non-dropping-particle":"","parse-names":false,"suffix":""},{"dropping-particle":"","family":"Funk","given":"Sebastian","non-dropping-particle":"","parse-names":false,"suffix":""},{"dropping-particle":"","family":"Abbott","given":"Sam","non-dropping-particle":"","parse-names":false,"suffix":""},{"dropping-particle":"","family":"Medley","given":"Graham F","non-dropping-particle":"","parse-names":false,"suffix":""},{"dropping-particle":"","family":"Gibbs","given":"Hamish","non-dropping-particle":"","parse-names":false,"suffix":""},{"dropping-particle":"","family":"Pearson","given":"Carl A B","non-dropping-particle":"","parse-names":false,"suffix":""},{"dropping-particle":"","family":"Flasche","given":"Stefan","non-dropping-particle":"","parse-names":false,"suffix":""},{"dropping-particle":"","family":"Jit","given":"Mark","non-dropping-particle":"","parse-names":false,"suffix":""},{"dropping-particle":"","family":"Clifford","given":"Samuel","non-dropping-particle":"","parse-names":false,"suffix":""},{"dropping-particle":"","family":"Prem","given":"Kiesha","non-dropping-particle":"","parse-names":false,"suffix":""},{"dropping-particle":"","family":"Diamond","given":"Charlie","non-dropping-particle":"","parse-names":false,"suffix":""},{"dropping-particle":"","family":"Emery","given":"Jon","non-dropping-particle":"","parse-names":false,"suffix":""},{"dropping-particle":"","family":"Deol","given":"Arminder K","non-dropping-particle":"","parse-names":false,"suffix":""},{"dropping-particle":"","family":"Procter","given":"Simon R","non-dropping-particle":"","parse-names":false,"suffix":""},{"dropping-particle":"","family":"Zandvoort","given":"Kevin","non-dropping-particle":"van","parse-names":false,"suffix":""},{"dropping-particle":"","family":"Sun","given":"Yueqian Fiona","non-dropping-particle":"","parse-names":false,"suffix":""},{"dropping-particle":"","family":"Munday","given":"James D","non-dropping-particle":"","parse-names":false,"suffix":""},{"dropping-particle":"","family":"Rosello","given":"Alicia","non-dropping-particle":"","parse-names":false,"suffix":""},{"dropping-particle":"","family":"Auzenbergs","given":"Megan","non-dropping-particle":"","parse-names":false,"suffix":""},{"dropping-particle":"","family":"Knight","given":"Gwen","non-dropping-particle":"","parse-names":false,"suffix":""},{"dropping-particle":"","family":"Houben","given":"Rein M G J","non-dropping-particle":"","parse-names":false,"suffix":""},{"dropping-particle":"","family":"Liu","given":"Yang","non-dropping-particle":"","parse-names":false,"suffix":""}],"container-title":"The Lancet Public Health","id":"ITEM-4","issue":"7","issued":{"date-parts":[["2020","7"]]},"page":"e375-e385","title":"Effects of non-pharmaceutical interventions on COVID-19 cases, deaths, and demand for hospital services in the UK: a modelling study","type":"article-journal","volume":"5"},"uris":["http://www.mendeley.com/documents/?uuid=0e161ebd-d847-46f4-b761-63a321bdd393"]}],"mendeley":{"formattedCitation":"[11, 12, 14, 16]","plainTextFormattedCitation":"[11, 12, 14, 16]","previouslyFormattedCitation":"[11, 12, 14, 16]"},"properties":{"noteIndex":0},"schema":"https://github.com/citation-style-language/schema/raw/master/csl-citation.json"}</w:instrText>
      </w:r>
      <w:r w:rsidR="00AE4142" w:rsidRPr="00B05509">
        <w:rPr>
          <w:rFonts w:ascii="Times New Roman" w:hAnsi="Times New Roman"/>
        </w:rPr>
        <w:fldChar w:fldCharType="separate"/>
      </w:r>
      <w:r w:rsidR="007E2086" w:rsidRPr="007E2086">
        <w:rPr>
          <w:rFonts w:ascii="Times New Roman" w:hAnsi="Times New Roman"/>
          <w:noProof/>
        </w:rPr>
        <w:t>[11, 12, 14, 16]</w:t>
      </w:r>
      <w:r w:rsidR="00AE4142" w:rsidRPr="00B05509">
        <w:rPr>
          <w:rFonts w:ascii="Times New Roman" w:hAnsi="Times New Roman"/>
        </w:rPr>
        <w:fldChar w:fldCharType="end"/>
      </w:r>
      <w:r w:rsidR="00B15C17" w:rsidRPr="00B05509">
        <w:rPr>
          <w:rFonts w:ascii="Times New Roman" w:hAnsi="Times New Roman"/>
        </w:rPr>
        <w:t>, the evidence around the effectiveness of each potential non-pharmaceutical intervention is still emerging</w:t>
      </w:r>
      <w:r w:rsidR="008A38EF" w:rsidRPr="00B05509">
        <w:rPr>
          <w:rFonts w:ascii="Times New Roman" w:hAnsi="Times New Roman"/>
        </w:rPr>
        <w:t>.</w:t>
      </w:r>
      <w:r w:rsidR="00B15C17" w:rsidRPr="00B05509">
        <w:rPr>
          <w:rFonts w:ascii="Times New Roman" w:hAnsi="Times New Roman"/>
        </w:rPr>
        <w:t xml:space="preserve"> Attempts </w:t>
      </w:r>
      <w:r w:rsidR="00923681" w:rsidRPr="00B05509">
        <w:rPr>
          <w:rFonts w:ascii="Times New Roman" w:hAnsi="Times New Roman"/>
        </w:rPr>
        <w:t>at quantification of their effectiveness</w:t>
      </w:r>
      <w:r w:rsidR="00B15C17" w:rsidRPr="00B05509">
        <w:rPr>
          <w:rFonts w:ascii="Times New Roman" w:hAnsi="Times New Roman"/>
        </w:rPr>
        <w:t xml:space="preserve"> (e.g.</w:t>
      </w:r>
      <w:r w:rsidR="00B02F12" w:rsidRPr="00B05509">
        <w:rPr>
          <w:rFonts w:ascii="Times New Roman" w:hAnsi="Times New Roman"/>
        </w:rPr>
        <w:t xml:space="preserve"> </w:t>
      </w:r>
      <w:r w:rsidR="00B15C17" w:rsidRPr="00B05509">
        <w:rPr>
          <w:rFonts w:ascii="Times New Roman" w:hAnsi="Times New Roman"/>
        </w:rPr>
        <w:t>H</w:t>
      </w:r>
      <w:r w:rsidR="00B02F12" w:rsidRPr="00B05509">
        <w:rPr>
          <w:rFonts w:ascii="Times New Roman" w:hAnsi="Times New Roman"/>
        </w:rPr>
        <w:t>ow much does wearing eye protection reduce the chance of infection or transmission of COVID-</w:t>
      </w:r>
      <w:r w:rsidR="00B02F12" w:rsidRPr="00B05509">
        <w:rPr>
          <w:rFonts w:ascii="Times New Roman" w:hAnsi="Times New Roman"/>
        </w:rPr>
        <w:lastRenderedPageBreak/>
        <w:t>19?</w:t>
      </w:r>
      <w:r w:rsidR="00B15C17" w:rsidRPr="00B05509">
        <w:rPr>
          <w:rFonts w:ascii="Times New Roman" w:hAnsi="Times New Roman"/>
        </w:rPr>
        <w:t>)</w:t>
      </w:r>
      <w:r w:rsidR="00B02F12" w:rsidRPr="00B05509">
        <w:rPr>
          <w:rFonts w:ascii="Times New Roman" w:hAnsi="Times New Roman"/>
        </w:rPr>
        <w:t xml:space="preserve"> </w:t>
      </w:r>
      <w:r w:rsidR="00B15C17" w:rsidRPr="00B05509">
        <w:rPr>
          <w:rFonts w:ascii="Times New Roman" w:hAnsi="Times New Roman"/>
        </w:rPr>
        <w:t xml:space="preserve">leads to a number of levels of uncertainty. Any experimental or observational data can give a point estimate (e.g. a </w:t>
      </w:r>
      <w:r w:rsidR="00B02F12" w:rsidRPr="00B05509">
        <w:rPr>
          <w:rFonts w:ascii="Times New Roman" w:hAnsi="Times New Roman"/>
        </w:rPr>
        <w:t>percentage point reduction in the chance of infection or transmission</w:t>
      </w:r>
      <w:r w:rsidR="00B15C17" w:rsidRPr="00B05509">
        <w:rPr>
          <w:rFonts w:ascii="Times New Roman" w:hAnsi="Times New Roman"/>
        </w:rPr>
        <w:t>) with a confidence interval</w:t>
      </w:r>
      <w:r w:rsidR="00AC0214">
        <w:rPr>
          <w:rFonts w:ascii="Times New Roman" w:hAnsi="Times New Roman"/>
        </w:rPr>
        <w:t xml:space="preserve"> (‘direct’ uncertainty, as defined in </w:t>
      </w:r>
      <w:r w:rsidR="0068676D">
        <w:rPr>
          <w:rFonts w:ascii="Times New Roman" w:hAnsi="Times New Roman"/>
        </w:rPr>
        <w:fldChar w:fldCharType="begin" w:fldLock="1"/>
      </w:r>
      <w:r w:rsidR="00DA7ECD">
        <w:rPr>
          <w:rFonts w:ascii="Times New Roman" w:hAnsi="Times New Roman"/>
        </w:rPr>
        <w:instrText>ADDIN CSL_CITATION {"citationItems":[{"id":"ITEM-1","itemData":{"DOI":"10.1098/rsos.181870","ISSN":"2054-5703","author":[{"dropping-particle":"","family":"Bles","given":"Anne Marthe","non-dropping-particle":"van der","parse-names":false,"suffix":""},{"dropping-particle":"","family":"Linden","given":"Sander","non-dropping-particle":"van der","parse-names":false,"suffix":""},{"dropping-particle":"","family":"Freeman","given":"Alexandra L. 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Science","id":"ITEM-1","issue":"5","issued":{"date-parts":[["2019","5","31"]]},"title":"Communicating uncertainty about facts, numbers and science","type":"article-journal","volume":"6"},"uris":["http://www.mendeley.com/documents/?uuid=80a6f5c5-d1bc-402f-985f-37d227a25626"]}],"mendeley":{"formattedCitation":"[29]","plainTextFormattedCitation":"[29]","previouslyFormattedCitation":"[29]"},"properties":{"noteIndex":0},"schema":"https://github.com/citation-style-language/schema/raw/master/csl-citation.json"}</w:instrText>
      </w:r>
      <w:r w:rsidR="0068676D">
        <w:rPr>
          <w:rFonts w:ascii="Times New Roman" w:hAnsi="Times New Roman"/>
        </w:rPr>
        <w:fldChar w:fldCharType="separate"/>
      </w:r>
      <w:r w:rsidR="007E2086" w:rsidRPr="007E2086">
        <w:rPr>
          <w:rFonts w:ascii="Times New Roman" w:hAnsi="Times New Roman"/>
          <w:noProof/>
        </w:rPr>
        <w:t>[29]</w:t>
      </w:r>
      <w:r w:rsidR="0068676D">
        <w:rPr>
          <w:rFonts w:ascii="Times New Roman" w:hAnsi="Times New Roman"/>
        </w:rPr>
        <w:fldChar w:fldCharType="end"/>
      </w:r>
      <w:r w:rsidR="00AC0214">
        <w:rPr>
          <w:rFonts w:ascii="Times New Roman" w:hAnsi="Times New Roman"/>
        </w:rPr>
        <w:t>)</w:t>
      </w:r>
      <w:r w:rsidR="00B02F12" w:rsidRPr="00B05509">
        <w:rPr>
          <w:rFonts w:ascii="Times New Roman" w:hAnsi="Times New Roman"/>
        </w:rPr>
        <w:t xml:space="preserve">. </w:t>
      </w:r>
      <w:r w:rsidR="00B15C17" w:rsidRPr="00B05509">
        <w:rPr>
          <w:rFonts w:ascii="Times New Roman" w:hAnsi="Times New Roman"/>
        </w:rPr>
        <w:t>Meta-analyses can combine such estimated ranges, but the quantified uncertainty in confidence intervals only reflects a certain amount of the</w:t>
      </w:r>
      <w:r w:rsidR="005672F5">
        <w:rPr>
          <w:rFonts w:ascii="Times New Roman" w:hAnsi="Times New Roman"/>
        </w:rPr>
        <w:t xml:space="preserve"> total uncertainty at play</w:t>
      </w:r>
      <w:r w:rsidR="00B15C17" w:rsidRPr="00B05509">
        <w:rPr>
          <w:rFonts w:ascii="Times New Roman" w:hAnsi="Times New Roman"/>
        </w:rPr>
        <w:t>. Systematic biases</w:t>
      </w:r>
      <w:r w:rsidR="00EE4FA9">
        <w:rPr>
          <w:rFonts w:ascii="Times New Roman" w:hAnsi="Times New Roman"/>
        </w:rPr>
        <w:t>, such as stemming from shortcomings in study design or data collection processes</w:t>
      </w:r>
      <w:r w:rsidR="00B15C17" w:rsidRPr="00B05509">
        <w:rPr>
          <w:rFonts w:ascii="Times New Roman" w:hAnsi="Times New Roman"/>
        </w:rPr>
        <w:t>, unexplored variation and a host of other factors</w:t>
      </w:r>
      <w:r w:rsidR="00EE4FA9">
        <w:rPr>
          <w:rFonts w:ascii="Times New Roman" w:hAnsi="Times New Roman"/>
        </w:rPr>
        <w:t xml:space="preserve"> that are not easily quantified and cannot be deduced from the effectiveness estimate and its confidence interval,</w:t>
      </w:r>
      <w:r w:rsidR="00B15C17" w:rsidRPr="00B05509">
        <w:rPr>
          <w:rFonts w:ascii="Times New Roman" w:hAnsi="Times New Roman"/>
        </w:rPr>
        <w:t xml:space="preserve"> cause </w:t>
      </w:r>
      <w:r w:rsidR="00EE4FA9">
        <w:rPr>
          <w:rFonts w:ascii="Times New Roman" w:hAnsi="Times New Roman"/>
        </w:rPr>
        <w:t>more ‘indirect’</w:t>
      </w:r>
      <w:r w:rsidR="00EE4FA9" w:rsidRPr="00B05509">
        <w:rPr>
          <w:rFonts w:ascii="Times New Roman" w:hAnsi="Times New Roman"/>
        </w:rPr>
        <w:t xml:space="preserve"> </w:t>
      </w:r>
      <w:r w:rsidR="00B15C17" w:rsidRPr="00B05509">
        <w:rPr>
          <w:rFonts w:ascii="Times New Roman" w:hAnsi="Times New Roman"/>
        </w:rPr>
        <w:t>uncertainties. These ‘indirect’ uncertainties</w:t>
      </w:r>
      <w:r w:rsidR="00AA1AA1" w:rsidRPr="00B05509">
        <w:rPr>
          <w:rFonts w:ascii="Times New Roman" w:hAnsi="Times New Roman"/>
        </w:rPr>
        <w:t xml:space="preserve"> – not directly about the estimate of effectiveness itself but about the quality of the underlying evidence that the number was derived from – are more difficult to assess and to communicate than a confidence interval</w:t>
      </w:r>
      <w:r w:rsidR="008A38EF" w:rsidRPr="00B05509">
        <w:rPr>
          <w:rFonts w:ascii="Times New Roman" w:hAnsi="Times New Roman"/>
        </w:rPr>
        <w:t xml:space="preserve"> </w:t>
      </w:r>
      <w:r w:rsidR="00AA1AA1" w:rsidRPr="00B05509">
        <w:rPr>
          <w:rFonts w:ascii="Times New Roman" w:hAnsi="Times New Roman"/>
        </w:rPr>
        <w:fldChar w:fldCharType="begin" w:fldLock="1"/>
      </w:r>
      <w:r w:rsidR="00DA7ECD">
        <w:rPr>
          <w:rFonts w:ascii="Times New Roman" w:hAnsi="Times New Roman"/>
        </w:rPr>
        <w:instrText>ADDIN CSL_CITATION {"citationItems":[{"id":"ITEM-1","itemData":{"DOI":"10.1098/rsos.181870","ISSN":"2054-5703","author":[{"dropping-particle":"","family":"Bles","given":"Anne Marthe","non-dropping-particle":"van der","parse-names":false,"suffix":""},{"dropping-particle":"","family":"Linden","given":"Sander","non-dropping-particle":"van der","parse-names":false,"suffix":""},{"dropping-particle":"","family":"Freeman","given":"Alexandra L. 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Science","id":"ITEM-1","issue":"5","issued":{"date-parts":[["2019","5","31"]]},"title":"Communicating uncertainty about facts, numbers and science","type":"article-journal","volume":"6"},"uris":["http://www.mendeley.com/documents/?uuid=80a6f5c5-d1bc-402f-985f-37d227a25626"]}],"mendeley":{"formattedCitation":"[29]","plainTextFormattedCitation":"[29]","previouslyFormattedCitation":"[29]"},"properties":{"noteIndex":0},"schema":"https://github.com/citation-style-language/schema/raw/master/csl-citation.json"}</w:instrText>
      </w:r>
      <w:r w:rsidR="00AA1AA1" w:rsidRPr="00B05509">
        <w:rPr>
          <w:rFonts w:ascii="Times New Roman" w:hAnsi="Times New Roman"/>
        </w:rPr>
        <w:fldChar w:fldCharType="separate"/>
      </w:r>
      <w:r w:rsidR="007E2086" w:rsidRPr="007E2086">
        <w:rPr>
          <w:rFonts w:ascii="Times New Roman" w:hAnsi="Times New Roman"/>
          <w:noProof/>
        </w:rPr>
        <w:t>[29]</w:t>
      </w:r>
      <w:r w:rsidR="00AA1AA1" w:rsidRPr="00B05509">
        <w:rPr>
          <w:rFonts w:ascii="Times New Roman" w:hAnsi="Times New Roman"/>
        </w:rPr>
        <w:fldChar w:fldCharType="end"/>
      </w:r>
      <w:r w:rsidR="00AA1AA1" w:rsidRPr="00B05509">
        <w:rPr>
          <w:rFonts w:ascii="Times New Roman" w:hAnsi="Times New Roman"/>
        </w:rPr>
        <w:t>.</w:t>
      </w:r>
    </w:p>
    <w:p w14:paraId="41893304" w14:textId="77777777" w:rsidR="0068676D" w:rsidRPr="00B05509" w:rsidRDefault="0068676D" w:rsidP="007C3BBA">
      <w:pPr>
        <w:spacing w:line="480" w:lineRule="auto"/>
        <w:rPr>
          <w:rFonts w:ascii="Times New Roman" w:hAnsi="Times New Roman"/>
        </w:rPr>
      </w:pPr>
    </w:p>
    <w:p w14:paraId="0BF45CA4" w14:textId="1BE7F279" w:rsidR="005772E2" w:rsidRPr="00B05509" w:rsidRDefault="00B02F12" w:rsidP="007C3BBA">
      <w:pPr>
        <w:spacing w:line="480" w:lineRule="auto"/>
        <w:rPr>
          <w:rFonts w:ascii="Times New Roman" w:hAnsi="Times New Roman"/>
        </w:rPr>
      </w:pPr>
      <w:r w:rsidRPr="00B05509">
        <w:rPr>
          <w:rFonts w:ascii="Times New Roman" w:hAnsi="Times New Roman"/>
        </w:rPr>
        <w:t xml:space="preserve">The </w:t>
      </w:r>
      <w:r w:rsidR="00AA1AA1" w:rsidRPr="00B05509">
        <w:rPr>
          <w:rFonts w:ascii="Times New Roman" w:hAnsi="Times New Roman"/>
        </w:rPr>
        <w:t xml:space="preserve">quality of the </w:t>
      </w:r>
      <w:r w:rsidRPr="00B05509">
        <w:rPr>
          <w:rFonts w:ascii="Times New Roman" w:hAnsi="Times New Roman"/>
        </w:rPr>
        <w:t xml:space="preserve">evidence base used to </w:t>
      </w:r>
      <w:r w:rsidR="00AA1AA1" w:rsidRPr="00B05509">
        <w:rPr>
          <w:rFonts w:ascii="Times New Roman" w:hAnsi="Times New Roman"/>
        </w:rPr>
        <w:t xml:space="preserve">produce an estimate of effectiveness </w:t>
      </w:r>
      <w:r w:rsidRPr="00B05509">
        <w:rPr>
          <w:rFonts w:ascii="Times New Roman" w:hAnsi="Times New Roman"/>
        </w:rPr>
        <w:t xml:space="preserve">plays a crucial role </w:t>
      </w:r>
      <w:r w:rsidR="00AA1AA1" w:rsidRPr="00B05509">
        <w:rPr>
          <w:rFonts w:ascii="Times New Roman" w:hAnsi="Times New Roman"/>
        </w:rPr>
        <w:t xml:space="preserve">in assessing </w:t>
      </w:r>
      <w:r w:rsidRPr="00B05509">
        <w:rPr>
          <w:rFonts w:ascii="Times New Roman" w:hAnsi="Times New Roman"/>
        </w:rPr>
        <w:t xml:space="preserve">how reliable and trustworthy the </w:t>
      </w:r>
      <w:r w:rsidR="00AA1AA1" w:rsidRPr="00B05509">
        <w:rPr>
          <w:rFonts w:ascii="Times New Roman" w:hAnsi="Times New Roman"/>
        </w:rPr>
        <w:t>estimate</w:t>
      </w:r>
      <w:r w:rsidR="005772E2" w:rsidRPr="00B05509">
        <w:rPr>
          <w:rFonts w:ascii="Times New Roman" w:hAnsi="Times New Roman"/>
        </w:rPr>
        <w:t xml:space="preserve"> is. If </w:t>
      </w:r>
      <w:r w:rsidR="00AC0214">
        <w:rPr>
          <w:rFonts w:ascii="Times New Roman" w:hAnsi="Times New Roman"/>
        </w:rPr>
        <w:t xml:space="preserve">it </w:t>
      </w:r>
      <w:r w:rsidR="005772E2" w:rsidRPr="00B05509">
        <w:rPr>
          <w:rFonts w:ascii="Times New Roman" w:hAnsi="Times New Roman"/>
        </w:rPr>
        <w:t xml:space="preserve">is of high quality, the effectiveness information is likely more reliable </w:t>
      </w:r>
      <w:r w:rsidR="00AA1AA1" w:rsidRPr="00B05509">
        <w:rPr>
          <w:rFonts w:ascii="Times New Roman" w:hAnsi="Times New Roman"/>
        </w:rPr>
        <w:t xml:space="preserve">and less subject to future change </w:t>
      </w:r>
      <w:r w:rsidR="005772E2" w:rsidRPr="00B05509">
        <w:rPr>
          <w:rFonts w:ascii="Times New Roman" w:hAnsi="Times New Roman"/>
        </w:rPr>
        <w:t xml:space="preserve">compared to when it is </w:t>
      </w:r>
      <w:r w:rsidR="00AA1AA1" w:rsidRPr="00B05509">
        <w:rPr>
          <w:rFonts w:ascii="Times New Roman" w:hAnsi="Times New Roman"/>
        </w:rPr>
        <w:t>derived from</w:t>
      </w:r>
      <w:r w:rsidR="005772E2" w:rsidRPr="00B05509">
        <w:rPr>
          <w:rFonts w:ascii="Times New Roman" w:hAnsi="Times New Roman"/>
        </w:rPr>
        <w:t xml:space="preserve"> low quality evidence. Systems, such as</w:t>
      </w:r>
      <w:r w:rsidR="005A0F29" w:rsidRPr="00B05509">
        <w:rPr>
          <w:rFonts w:ascii="Times New Roman" w:hAnsi="Times New Roman"/>
        </w:rPr>
        <w:t xml:space="preserve"> </w:t>
      </w:r>
      <w:r w:rsidR="005772E2" w:rsidRPr="00B05509">
        <w:rPr>
          <w:rFonts w:ascii="Times New Roman" w:hAnsi="Times New Roman"/>
        </w:rPr>
        <w:t>the GRADE working group</w:t>
      </w:r>
      <w:r w:rsidR="00AC0214">
        <w:rPr>
          <w:rFonts w:ascii="Times New Roman" w:hAnsi="Times New Roman"/>
        </w:rPr>
        <w:t xml:space="preserve"> ev</w:t>
      </w:r>
      <w:r w:rsidR="00AA1AA1" w:rsidRPr="00B05509">
        <w:rPr>
          <w:rFonts w:ascii="Times New Roman" w:hAnsi="Times New Roman"/>
        </w:rPr>
        <w:t>idence quality assessments</w:t>
      </w:r>
      <w:r w:rsidR="00AC0214">
        <w:rPr>
          <w:rFonts w:ascii="Times New Roman" w:hAnsi="Times New Roman"/>
        </w:rPr>
        <w:t xml:space="preserve"> </w:t>
      </w:r>
      <w:r w:rsidR="00684C6E">
        <w:rPr>
          <w:rFonts w:ascii="Times New Roman" w:hAnsi="Times New Roman"/>
        </w:rPr>
        <w:fldChar w:fldCharType="begin" w:fldLock="1"/>
      </w:r>
      <w:r w:rsidR="00DA7ECD">
        <w:rPr>
          <w:rFonts w:ascii="Times New Roman" w:hAnsi="Times New Roman"/>
        </w:rPr>
        <w:instrText>ADDIN CSL_CITATION {"citationItems":[{"id":"ITEM-1","itemData":{"DOI":"10.1016/j.jclinepi.2010.07.015","ISBN":"1878-5921 (Electronic)\\r0895-4356 (Linking)","ISSN":"08954356","PMID":"21208779","abstract":"This article introduces the approach of GRADE to rating quality of evidence. GRADE specifies four categories - high, moderate, low, and very low - that are applied to a body of evidence, not to individual studies. In the context of a systematic review, quality reflects our confidence that the estimates of the effect are correct. In the context of recommendations, quality reflects our confidence that the effect estimates are adequate to support a particular recommendation. Randomized trials begin as high-quality evidence, observational studies as low quality. \"Quality\" as used in GRADE means more than risk of bias and so may also be compromised by imprecision, inconsistency, indirectness of study results, and publication bias. In addition, several factors can increase our confidence in an estimate of effect. GRADE provides a systematic approach for considering and reporting each of these factors. GRADE separates the process of assessing quality of evidence from the process of making recommendations. Judgments about the strength of a recommendation depend on more than just the quality of evidence. © 2011 Elsevier Inc. All rights reserved.","author":[{"dropping-particle":"","family":"Balshem","given":"Howard","non-dropping-particle":"","parse-names":false,"suffix":""},{"dropping-particle":"","family":"Helfand","given":"Mark","non-dropping-particle":"","parse-names":false,"suffix":""},{"dropping-particle":"","family":"Schünemann","given":"Holger J.","non-dropping-particle":"","parse-names":false,"suffix":""},{"dropping-particle":"","family":"Oxman","given":"Andrew D.","non-dropping-particle":"","parse-names":false,"suffix":""},{"dropping-particle":"","family":"Kunz","given":"Regina","non-dropping-particle":"","parse-names":false,"suffix":""},{"dropping-particle":"","family":"Brozek","given":"Jan","non-dropping-particle":"","parse-names":false,"suffix":""},{"dropping-particle":"","family":"Vist","given":"Gunn E.","non-dropping-particle":"","parse-names":false,"suffix":""},{"dropping-particle":"","family":"Falck-Ytter","given":"Yngve","non-dropping-particle":"","parse-names":false,"suffix":""},{"dropping-particle":"","family":"Meerpohl","given":"Joerg","non-dropping-particle":"","parse-names":false,"suffix":""},{"dropping-particle":"","family":"Norris","given":"Susan","non-dropping-particle":"","parse-names":false,"suffix":""},{"dropping-particle":"","family":"Guyatt","given":"Gordon H.","non-dropping-particle":"","parse-names":false,"suffix":""}],"container-title":"Journal of Clinical Epidemiology","id":"ITEM-1","issue":"4","issued":{"date-parts":[["2011"]]},"page":"401-406","title":"GRADE guidelines: 3. Rating the quality of evidence","type":"article-journal","volume":"64"},"uris":["http://www.mendeley.com/documents/?uuid=139e3342-3df2-44c7-8c37-1ce52c07596e"]},{"id":"ITEM-2","itemData":{"DOI":"10.1136/bmj.39489.470347.AD","ISBN":"1756-1833 (Electronic)\\n0959-535X (Linking)","ISSN":"16722531","PMID":"18436948","abstract":"Guidelines are inconsistent in how they rate the quality of evidence and the strength of recommendations. This article explores the advantages of the GRADE system, which is increasingly being adopted by organisations worldwide.","author":[{"dropping-particle":"","family":"Guyatt","given":"Gordon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Alonso-Coello","given":"Pablo","non-dropping-particle":"","parse-names":false,"suffix":""},{"dropping-particle":"","family":"Schünemann","given":"Holger J.","non-dropping-particle":"","parse-names":false,"suffix":""}],"container-title":"BMJ","id":"ITEM-2","issued":{"date-parts":[["2008"]]},"page":"924-926","title":"GRADE: An emerging consensus on rating quality of evidence and strength of recommendations","type":"article-journal","volume":"336"},"uris":["http://www.mendeley.com/documents/?uuid=ccbbc074-7b5e-4bca-bf5e-41f4eabb1ab7"]},{"id":"ITEM-3","itemData":{"DOI":"10.1136/bmjopen-2019-036348","ISSN":"20446055","PMID":"32699132","abstract":"Objectives To make informed decisions about healthcare, patients and the public, health professionals and policymakers need information about the effects of interventions. People need information that is based on the best available evidence; that is presented in a complete and unbiased way; and that is relevant, trustworthy and easy to use and to understand. The aim of this paper is to provide guidance and a checklist to those producing and communicating evidence-based information about the effects of interventions intended to inform decisions about healthcare. Design To inform the development of this checklist, we identified research relevant to communicating evidence-based information about the effects of interventions. We used an iterative, informal consensus process to synthesise our recommendations. We began by discussing and agreeing on some initial recommendations, based on our own experience and research over the past 20-30 years. Subsequent revisions were informed by the literature we examined and feedback. We also compared our recommendations to those made by others. We sought structured feedback from people with relevant expertise, including people who prepare and use information about the effects of interventions for the public, health professionals or policymakers. Results We produced a checklist with 10 recommendations. Three recommendations focus on making it easy to quickly determine the relevance of the information and find the key messages. Five recommendations are about helping the reader understand the size of effects and how sure we are about those estimates. Two recommendations are about helping the reader put information about intervention effects in context and understand if and why the information is trustworthy. Conclusions These 10 recommendations summarise lessons we have learnt developing and evaluating ways of helping people to make well-informed decisions by making research evidence more understandable and useful for them. We welcome feedback for how to improve our advice.","author":[{"dropping-particle":"","family":"Oxman","given":"Andrew D.","non-dropping-particle":"","parse-names":false,"suffix":""},{"dropping-particle":"","family":"Glenton","given":"Claire","non-dropping-particle":"","parse-names":false,"suffix":""},{"dropping-particle":"","family":"Flottorp","given":"Signe","non-dropping-particle":"","parse-names":false,"suffix":""},{"dropping-particle":"","family":"Lewin","given":"Simon","non-dropping-particle":"","parse-names":false,"suffix":""},{"dropping-particle":"","family":"Rosenbaum","given":"Sarah","non-dropping-particle":"","parse-names":false,"suffix":""},{"dropping-particle":"","family":"Fretheim","given":"Atle","non-dropping-particle":"","parse-names":false,"suffix":""}],"container-title":"BMJ Open","id":"ITEM-3","issue":"7","issued":{"date-parts":[["2020"]]},"page":"1-9","title":"Development of a checklist for people communicating evidence-based information about the effects of healthcare interventions: A mixed methods study","type":"article-journal","volume":"10"},"uris":["http://www.mendeley.com/documents/?uuid=46211ff6-ab5d-4be2-92b0-f5d037b32c1f"]}],"mendeley":{"formattedCitation":"[30–32]","plainTextFormattedCitation":"[30–32]","previouslyFormattedCitation":"[30–32]"},"properties":{"noteIndex":0},"schema":"https://github.com/citation-style-language/schema/raw/master/csl-citation.json"}</w:instrText>
      </w:r>
      <w:r w:rsidR="00684C6E">
        <w:rPr>
          <w:rFonts w:ascii="Times New Roman" w:hAnsi="Times New Roman"/>
        </w:rPr>
        <w:fldChar w:fldCharType="separate"/>
      </w:r>
      <w:r w:rsidR="007E2086" w:rsidRPr="007E2086">
        <w:rPr>
          <w:rFonts w:ascii="Times New Roman" w:hAnsi="Times New Roman"/>
          <w:noProof/>
        </w:rPr>
        <w:t>[30–32]</w:t>
      </w:r>
      <w:r w:rsidR="00684C6E">
        <w:rPr>
          <w:rFonts w:ascii="Times New Roman" w:hAnsi="Times New Roman"/>
        </w:rPr>
        <w:fldChar w:fldCharType="end"/>
      </w:r>
      <w:r w:rsidR="00AC0214">
        <w:rPr>
          <w:rFonts w:ascii="Times New Roman" w:hAnsi="Times New Roman"/>
        </w:rPr>
        <w:t xml:space="preserve"> </w:t>
      </w:r>
      <w:r w:rsidR="00AA1AA1" w:rsidRPr="00B05509">
        <w:rPr>
          <w:rFonts w:ascii="Times New Roman" w:hAnsi="Times New Roman"/>
        </w:rPr>
        <w:t>and the Effective Public Health Practice Project Quality Assessment Tool</w:t>
      </w:r>
      <w:r w:rsidR="00AC0214">
        <w:rPr>
          <w:rFonts w:ascii="Times New Roman" w:hAnsi="Times New Roman"/>
        </w:rPr>
        <w:t xml:space="preserve"> </w:t>
      </w:r>
      <w:r w:rsidR="00684C6E">
        <w:rPr>
          <w:rFonts w:ascii="Times New Roman" w:hAnsi="Times New Roman"/>
        </w:rPr>
        <w:fldChar w:fldCharType="begin" w:fldLock="1"/>
      </w:r>
      <w:r w:rsidR="00DA7ECD">
        <w:rPr>
          <w:rFonts w:ascii="Times New Roman" w:hAnsi="Times New Roman"/>
        </w:rPr>
        <w:instrText>ADDIN CSL_CITATION {"citationItems":[{"id":"ITEM-1","itemData":{"DOI":"10.1111/j.1365-2753.2010.01516.x","ISSN":"13561294","PMID":"20698919","abstract":"Background: The Cochrane Collaboration is strongly encouraging the use of a newly developed tool, the Cochrane Collaboration Risk of Bias Tool (CCRBT), for all review groups. However, the psychometric properties of this tool to date have yet to be described. Thus, the objective of this study was to add information about psychometric properties of the CCRBT including inter-rater reliability and concurrent validity, in comparison with the Effective Public Health Practice Project Quality Assessment Tool (EPHPP). Methods: Both tools were used to assess the methodological quality of 20 randomized controlled trials included in our systematic review of the effectiveness of knowledge translation interventions to improve the management of cancer pain. Each study assessment was completed independently by two reviewers using each tool.We analysed the inter-rater reliability of each tool's individual domains, as well as final grade assigned to each study. Results: The EPHPP had fair inter-rater agreement for individual domains and excellent agreement for the final grade. In contrast, the CCRBT had slight inter-rater agreement for individual domains and fair inter-rater agreement for final grade. Of interest, no agreement between the two tools was evident in their final grade assigned to each study. Although both tools were developed to assess 'quality of the evidence', they appear to measure different constructs. Conclusions: Both tools performed quite differently when evaluating the risk of bias or methodological quality of studies in knowledge translation interventions for cancer pain. The newly introduced CCRBT assigned these studies a higher risk of bias. Its psychometric properties need to be more thoroughly validated, in a range of research fields, to understand fully how to interpret results from its application. © 2010 Blackwell Publishing Ltd.","author":[{"dropping-particle":"","family":"Armijo-Olivo","given":"Susan","non-dropping-particle":"","parse-names":false,"suffix":""},{"dropping-particle":"","family":"Stiles","given":"Carla R.","non-dropping-particle":"","parse-names":false,"suffix":""},{"dropping-particle":"","family":"Hagen","given":"Neil A.","non-dropping-particle":"","parse-names":false,"suffix":""},{"dropping-particle":"","family":"Biondo","given":"Patricia D.","non-dropping-particle":"","parse-names":false,"suffix":""},{"dropping-particle":"","family":"Cummings","given":"Greta G.","non-dropping-particle":"","parse-names":false,"suffix":""}],"container-title":"Journal of Evaluation in Clinical Practice","id":"ITEM-1","issue":"1","issued":{"date-parts":[["2012"]]},"page":"12-18","title":"Assessment of study quality for systematic reviews: A comparison of the Cochrane Collaboration Risk of Bias Tool and the Effective Public Health Practice Project Quality Assessment Tool: Methodological research","type":"article-journal","volume":"18"},"uris":["http://www.mendeley.com/documents/?uuid=7babf0c3-caf8-4e5a-851b-d3cc33eccd91"]}],"mendeley":{"formattedCitation":"[33]","plainTextFormattedCitation":"[33]","previouslyFormattedCitation":"[33]"},"properties":{"noteIndex":0},"schema":"https://github.com/citation-style-language/schema/raw/master/csl-citation.json"}</w:instrText>
      </w:r>
      <w:r w:rsidR="00684C6E">
        <w:rPr>
          <w:rFonts w:ascii="Times New Roman" w:hAnsi="Times New Roman"/>
        </w:rPr>
        <w:fldChar w:fldCharType="separate"/>
      </w:r>
      <w:r w:rsidR="007E2086" w:rsidRPr="007E2086">
        <w:rPr>
          <w:rFonts w:ascii="Times New Roman" w:hAnsi="Times New Roman"/>
          <w:noProof/>
        </w:rPr>
        <w:t>[33]</w:t>
      </w:r>
      <w:r w:rsidR="00684C6E">
        <w:rPr>
          <w:rFonts w:ascii="Times New Roman" w:hAnsi="Times New Roman"/>
        </w:rPr>
        <w:fldChar w:fldCharType="end"/>
      </w:r>
      <w:r w:rsidR="00AC0214">
        <w:rPr>
          <w:rFonts w:ascii="Times New Roman" w:hAnsi="Times New Roman"/>
        </w:rPr>
        <w:t xml:space="preserve"> </w:t>
      </w:r>
      <w:r w:rsidR="005772E2" w:rsidRPr="00B05509">
        <w:rPr>
          <w:rFonts w:ascii="Times New Roman" w:hAnsi="Times New Roman"/>
        </w:rPr>
        <w:t>have establish</w:t>
      </w:r>
      <w:r w:rsidR="00AA1AA1" w:rsidRPr="00B05509">
        <w:rPr>
          <w:rFonts w:ascii="Times New Roman" w:hAnsi="Times New Roman"/>
        </w:rPr>
        <w:t>ed</w:t>
      </w:r>
      <w:r w:rsidR="005772E2" w:rsidRPr="00B05509">
        <w:rPr>
          <w:rFonts w:ascii="Times New Roman" w:hAnsi="Times New Roman"/>
        </w:rPr>
        <w:t xml:space="preserve"> ways </w:t>
      </w:r>
      <w:r w:rsidR="00AA1AA1" w:rsidRPr="00B05509">
        <w:rPr>
          <w:rFonts w:ascii="Times New Roman" w:hAnsi="Times New Roman"/>
        </w:rPr>
        <w:t xml:space="preserve">both </w:t>
      </w:r>
      <w:r w:rsidR="005772E2" w:rsidRPr="00B05509">
        <w:rPr>
          <w:rFonts w:ascii="Times New Roman" w:hAnsi="Times New Roman"/>
        </w:rPr>
        <w:t xml:space="preserve">of </w:t>
      </w:r>
      <w:r w:rsidR="00AA1AA1" w:rsidRPr="00B05509">
        <w:rPr>
          <w:rFonts w:ascii="Times New Roman" w:hAnsi="Times New Roman"/>
        </w:rPr>
        <w:t xml:space="preserve">assessing underlying </w:t>
      </w:r>
      <w:r w:rsidR="005772E2" w:rsidRPr="00B05509">
        <w:rPr>
          <w:rFonts w:ascii="Times New Roman" w:hAnsi="Times New Roman"/>
        </w:rPr>
        <w:t xml:space="preserve">quality of evidence </w:t>
      </w:r>
      <w:r w:rsidR="000436F3" w:rsidRPr="00B05509">
        <w:rPr>
          <w:rFonts w:ascii="Times New Roman" w:hAnsi="Times New Roman"/>
        </w:rPr>
        <w:t xml:space="preserve">and </w:t>
      </w:r>
      <w:r w:rsidR="00255A9E">
        <w:rPr>
          <w:rFonts w:ascii="Times New Roman" w:hAnsi="Times New Roman"/>
        </w:rPr>
        <w:t>attempting</w:t>
      </w:r>
      <w:r w:rsidR="00255A9E" w:rsidRPr="00B05509">
        <w:rPr>
          <w:rFonts w:ascii="Times New Roman" w:hAnsi="Times New Roman"/>
        </w:rPr>
        <w:t xml:space="preserve"> </w:t>
      </w:r>
      <w:r w:rsidR="00AA1AA1" w:rsidRPr="00B05509">
        <w:rPr>
          <w:rFonts w:ascii="Times New Roman" w:hAnsi="Times New Roman"/>
        </w:rPr>
        <w:t>to</w:t>
      </w:r>
      <w:r w:rsidR="000436F3" w:rsidRPr="00B05509">
        <w:rPr>
          <w:rFonts w:ascii="Times New Roman" w:hAnsi="Times New Roman"/>
        </w:rPr>
        <w:t xml:space="preserve"> produce concise </w:t>
      </w:r>
      <w:r w:rsidR="00AA1AA1" w:rsidRPr="00B05509">
        <w:rPr>
          <w:rFonts w:ascii="Times New Roman" w:hAnsi="Times New Roman"/>
        </w:rPr>
        <w:t>ways to communicate such assessments</w:t>
      </w:r>
      <w:r w:rsidR="000436F3" w:rsidRPr="00B05509">
        <w:rPr>
          <w:rFonts w:ascii="Times New Roman" w:hAnsi="Times New Roman"/>
        </w:rPr>
        <w:t xml:space="preserve">, </w:t>
      </w:r>
      <w:r w:rsidR="00AA1AA1" w:rsidRPr="00B05509">
        <w:rPr>
          <w:rFonts w:ascii="Times New Roman" w:hAnsi="Times New Roman"/>
        </w:rPr>
        <w:t>via</w:t>
      </w:r>
      <w:r w:rsidR="000436F3" w:rsidRPr="00B05509">
        <w:rPr>
          <w:rFonts w:ascii="Times New Roman" w:hAnsi="Times New Roman"/>
        </w:rPr>
        <w:t xml:space="preserve"> descriptors such as ‘low quality’, ‘moderate quality’ or ‘high quality’</w:t>
      </w:r>
      <w:r w:rsidR="005455B7">
        <w:rPr>
          <w:rFonts w:ascii="Times New Roman" w:hAnsi="Times New Roman"/>
        </w:rPr>
        <w:t xml:space="preserve"> </w:t>
      </w:r>
      <w:r w:rsidR="00105807">
        <w:rPr>
          <w:rFonts w:ascii="Times New Roman" w:hAnsi="Times New Roman"/>
        </w:rPr>
        <w:fldChar w:fldCharType="begin" w:fldLock="1"/>
      </w:r>
      <w:r w:rsidR="00DA7ECD">
        <w:rPr>
          <w:rFonts w:ascii="Times New Roman" w:hAnsi="Times New Roman"/>
        </w:rPr>
        <w:instrText>ADDIN CSL_CITATION {"citationItems":[{"id":"ITEM-1","itemData":{"abstract":"JSTOR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Guideline developers use a bewildering variety of systems to rate the quality of the evidence underlying their recommendations. Some are facile, some confused, and others sophisticated but complex In 2004 the Grading of Recommendations Assessment, Development and Evaluation (GRADE) Working Group presented its initial proposal for patient management.' In this second of a series of five articles focusing on the GRADE approach to developing and presenting recom mendations we show how GRADE has built on previous systems to create a highly structured, transparent, and informative system for rating quality of evidence. A guideline's formulation should include a clear question Any question addressing clinical management has four components: patients, an intervention, a comparison, and the outcomes of interest.2 For example, consider the following: in patients with pancreatic carcinoma undergoing surgery, what is the impact of a modi fied resection that preserves the pylorus compared with a standard wide tumour resection-variations of the Whipple procedure-on short term and long term mortality, blood transfusions, bile leaks, hospital stay, and problems with gastric emptying?","author":[{"dropping-particle":"","family":"Guyatt","given":"Gordon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Schünemann","given":"Holger J","non-dropping-particle":"","parse-names":false,"suffix":""}],"container-title":"Source BMJ: British Medical Journal","id":"ITEM-1","issue":"7651","issued":{"date-parts":[["2008"]]},"page":"995-998","title":"Rating Quality of Evidence and Strength of Recommendations: GRADE: What Is \"Quality of Evidence\" and Why Is It Important to Clinicians?","type":"article-journal","volume":"336"},"uris":["http://www.mendeley.com/documents/?uuid=90d1119e-30f9-4e6b-9df0-7999819dcce3"]}],"mendeley":{"formattedCitation":"[34]","plainTextFormattedCitation":"[34]","previouslyFormattedCitation":"[34]"},"properties":{"noteIndex":0},"schema":"https://github.com/citation-style-language/schema/raw/master/csl-citation.json"}</w:instrText>
      </w:r>
      <w:r w:rsidR="00105807">
        <w:rPr>
          <w:rFonts w:ascii="Times New Roman" w:hAnsi="Times New Roman"/>
        </w:rPr>
        <w:fldChar w:fldCharType="separate"/>
      </w:r>
      <w:r w:rsidR="007E2086" w:rsidRPr="007E2086">
        <w:rPr>
          <w:rFonts w:ascii="Times New Roman" w:hAnsi="Times New Roman"/>
          <w:noProof/>
        </w:rPr>
        <w:t>[34]</w:t>
      </w:r>
      <w:r w:rsidR="00105807">
        <w:rPr>
          <w:rFonts w:ascii="Times New Roman" w:hAnsi="Times New Roman"/>
        </w:rPr>
        <w:fldChar w:fldCharType="end"/>
      </w:r>
      <w:r w:rsidR="005772E2" w:rsidRPr="00B05509">
        <w:rPr>
          <w:rFonts w:ascii="Times New Roman" w:hAnsi="Times New Roman"/>
        </w:rPr>
        <w:t>.</w:t>
      </w:r>
      <w:r w:rsidRPr="00B05509">
        <w:rPr>
          <w:rFonts w:ascii="Times New Roman" w:hAnsi="Times New Roman"/>
        </w:rPr>
        <w:t xml:space="preserve"> </w:t>
      </w:r>
    </w:p>
    <w:p w14:paraId="43B12BCF" w14:textId="77777777" w:rsidR="00AA1AA1" w:rsidRPr="00B05509" w:rsidRDefault="00AA1AA1" w:rsidP="007C3BBA">
      <w:pPr>
        <w:spacing w:line="480" w:lineRule="auto"/>
        <w:rPr>
          <w:rFonts w:ascii="Times New Roman" w:hAnsi="Times New Roman"/>
        </w:rPr>
      </w:pPr>
    </w:p>
    <w:p w14:paraId="3E1C278B" w14:textId="120CF1F2" w:rsidR="004E281B" w:rsidRPr="00B05509" w:rsidRDefault="00810A9F" w:rsidP="007C3BBA">
      <w:pPr>
        <w:spacing w:line="480" w:lineRule="auto"/>
        <w:rPr>
          <w:rFonts w:ascii="Times New Roman" w:hAnsi="Times New Roman"/>
        </w:rPr>
      </w:pPr>
      <w:r w:rsidRPr="00B05509">
        <w:rPr>
          <w:rFonts w:ascii="Times New Roman" w:hAnsi="Times New Roman"/>
        </w:rPr>
        <w:t>The limitations in the evidence</w:t>
      </w:r>
      <w:r w:rsidR="00810594" w:rsidRPr="00B05509">
        <w:rPr>
          <w:rFonts w:ascii="Times New Roman" w:hAnsi="Times New Roman"/>
        </w:rPr>
        <w:t xml:space="preserve"> </w:t>
      </w:r>
      <w:r w:rsidRPr="00B05509">
        <w:rPr>
          <w:rFonts w:ascii="Times New Roman" w:hAnsi="Times New Roman"/>
        </w:rPr>
        <w:t>around COVID-19 mitigation methods</w:t>
      </w:r>
      <w:r w:rsidR="00E93AC6" w:rsidRPr="00B05509">
        <w:rPr>
          <w:rFonts w:ascii="Times New Roman" w:hAnsi="Times New Roman"/>
        </w:rPr>
        <w:t xml:space="preserve"> </w:t>
      </w:r>
      <w:r w:rsidRPr="00B05509">
        <w:rPr>
          <w:rFonts w:ascii="Times New Roman" w:hAnsi="Times New Roman"/>
        </w:rPr>
        <w:t>means that we are often faced with evidence that – when objectively assessed - is not high quality by any standard: usually rated</w:t>
      </w:r>
      <w:r w:rsidR="00E93AC6" w:rsidRPr="00B05509">
        <w:rPr>
          <w:rFonts w:ascii="Times New Roman" w:hAnsi="Times New Roman"/>
        </w:rPr>
        <w:t xml:space="preserve"> between</w:t>
      </w:r>
      <w:r w:rsidR="00810594" w:rsidRPr="00B05509">
        <w:rPr>
          <w:rFonts w:ascii="Times New Roman" w:hAnsi="Times New Roman"/>
        </w:rPr>
        <w:t xml:space="preserve"> ‘</w:t>
      </w:r>
      <w:r w:rsidR="00E93AC6" w:rsidRPr="00B05509">
        <w:rPr>
          <w:rFonts w:ascii="Times New Roman" w:hAnsi="Times New Roman"/>
        </w:rPr>
        <w:t xml:space="preserve">very </w:t>
      </w:r>
      <w:r w:rsidR="00810594" w:rsidRPr="00B05509">
        <w:rPr>
          <w:rFonts w:ascii="Times New Roman" w:hAnsi="Times New Roman"/>
        </w:rPr>
        <w:t>low</w:t>
      </w:r>
      <w:r w:rsidR="00E93AC6" w:rsidRPr="00B05509">
        <w:rPr>
          <w:rFonts w:ascii="Times New Roman" w:hAnsi="Times New Roman"/>
        </w:rPr>
        <w:t>’ and ‘moderate’</w:t>
      </w:r>
      <w:r w:rsidR="00810594" w:rsidRPr="00B05509">
        <w:rPr>
          <w:rFonts w:ascii="Times New Roman" w:hAnsi="Times New Roman"/>
        </w:rPr>
        <w:t xml:space="preserve"> quality by</w:t>
      </w:r>
      <w:r w:rsidR="005772E2" w:rsidRPr="00B05509">
        <w:rPr>
          <w:rFonts w:ascii="Times New Roman" w:hAnsi="Times New Roman"/>
        </w:rPr>
        <w:t xml:space="preserve"> </w:t>
      </w:r>
      <w:r w:rsidR="00810594" w:rsidRPr="00B05509">
        <w:rPr>
          <w:rFonts w:ascii="Times New Roman" w:hAnsi="Times New Roman"/>
        </w:rPr>
        <w:t>GRADE</w:t>
      </w:r>
      <w:r w:rsidRPr="00B05509">
        <w:rPr>
          <w:rFonts w:ascii="Times New Roman" w:hAnsi="Times New Roman"/>
        </w:rPr>
        <w:t xml:space="preserve">. </w:t>
      </w:r>
      <w:r w:rsidR="00810594" w:rsidRPr="00B05509">
        <w:rPr>
          <w:rFonts w:ascii="Times New Roman" w:hAnsi="Times New Roman"/>
        </w:rPr>
        <w:t xml:space="preserve">In fact, the </w:t>
      </w:r>
      <w:r w:rsidR="00810594" w:rsidRPr="00B05509">
        <w:rPr>
          <w:rFonts w:ascii="Times New Roman" w:hAnsi="Times New Roman"/>
        </w:rPr>
        <w:lastRenderedPageBreak/>
        <w:t xml:space="preserve">same is often true of non-pharmaceutical interventions </w:t>
      </w:r>
      <w:r w:rsidRPr="00B05509">
        <w:rPr>
          <w:rFonts w:ascii="Times New Roman" w:hAnsi="Times New Roman"/>
        </w:rPr>
        <w:t xml:space="preserve">in other domains, </w:t>
      </w:r>
      <w:r w:rsidR="00810594" w:rsidRPr="00B05509">
        <w:rPr>
          <w:rFonts w:ascii="Times New Roman" w:hAnsi="Times New Roman"/>
        </w:rPr>
        <w:t xml:space="preserve">such as </w:t>
      </w:r>
      <w:r w:rsidR="00732B50" w:rsidRPr="00B05509">
        <w:rPr>
          <w:rFonts w:ascii="Times New Roman" w:hAnsi="Times New Roman"/>
        </w:rPr>
        <w:t xml:space="preserve">physical exercise (e.g. </w:t>
      </w:r>
      <w:r w:rsidR="00732B50" w:rsidRPr="00B05509">
        <w:rPr>
          <w:rFonts w:ascii="Times New Roman" w:hAnsi="Times New Roman"/>
        </w:rPr>
        <w:fldChar w:fldCharType="begin" w:fldLock="1"/>
      </w:r>
      <w:r w:rsidR="00DA7ECD">
        <w:rPr>
          <w:rFonts w:ascii="Times New Roman" w:hAnsi="Times New Roman"/>
        </w:rPr>
        <w:instrText>ADDIN CSL_CITATION {"citationItems":[{"id":"ITEM-1","itemData":{"DOI":"10.1002/14651858.CD011279.pub3","ISSN":"1469493X","PMID":"28087891","abstract":"Background: Chronic pain is defined as pain lasting beyond normal tissue healing time, generally taken to be 12 weeks. It contributes to disability, anxiety, depression, sleep disturbances, poor quality of life, and healthcare costs. Chronic pain has a weighted mean prevalence in adults of 20%. For many years, the treatment choice for chronic pain included recommendations for rest and inactivity. However, exercise may have specific benefits in reducing the severity of chronic pain, as well as more general benefits associated with improved overall physical and mental health, and physical functioning. Physical activity and exercise programmes are increasingly being promoted and offered in various healthcare systems, and for a variety of chronic pain conditions. It is therefore important at this stage to establish the efficacy and safety of these programmes, and furthermore to address the critical factors that determine their success or failure. Objectives: To provide an overview of Cochrane Reviews of adults with chronic pain to determine (1) the effectiveness of different physical activity and exercise interventions in reducing pain severity and its impact on function, quality of life, and healthcare use; and (2) the evidence for any adverse effects or harm associated with physical activity and exercise interventions. Methods: We searched theCochrane Database of Systematic Reviews (CDSR) on the Cochrane Library (CDSR 2016, Issue 1) for systematic reviews of randomised controlled trials (RCTs), after which we tracked any included reviews for updates, and tracked protocols in case of full review publication until an arbitrary cut-off date of 21 March 2016 (CDSR 2016, Issue 3). We assessed the methodological quality of the reviews using the AMSTAR tool, and also planned to analyse data for each painful condition based on quality of the evidence. We extracted data for (1) self-reported pain severity, (2) physical function (objectively or subjectively measured), (3) psychological function, (4) quality of life, (5) adherence to the prescribed intervention, (6) healthcare use/attendance, (7) adverse events, and (8) death. Due to the limited data available, we were unable to directly compare and analyse interventions, and have instead reported the evidence qualitatively. Main results: We included 21 reviews with 381 included studies and 37,143 participants. Of these, 264 studies (19,642 participants) examined exercise versus no exercise/minimal intervention in a…","author":[{"dropping-particle":"","family":"Geneen","given":"Louise J.","non-dropping-particle":"","parse-names":false,"suffix":""},{"dropping-particle":"","family":"Moore","given":"R. Andrew","non-dropping-particle":"","parse-names":false,"suffix":""},{"dropping-particle":"","family":"Clarke","given":"Clare","non-dropping-particle":"","parse-names":false,"suffix":""},{"dropping-particle":"","family":"Martin","given":"Denis","non-dropping-particle":"","parse-names":false,"suffix":""},{"dropping-particle":"","family":"Colvin","given":"Lesley A.","non-dropping-particle":"","parse-names":false,"suffix":""},{"dropping-particle":"","family":"Smith","given":"Blair H.","non-dropping-particle":"","parse-names":false,"suffix":""}],"container-title":"Cochrane Database of Systematic Reviews","id":"ITEM-1","issue":"4","issued":{"date-parts":[["2017"]]},"title":"Physical activity and exercise for chronic pain in adults: An overview of Cochrane Reviews","type":"article-journal","volume":"2017"},"uris":["http://www.mendeley.com/documents/?uuid=8a5a4c33-d0b0-4d59-b445-eac532e3dd38"]}],"mendeley":{"formattedCitation":"[35]","plainTextFormattedCitation":"[35]","previouslyFormattedCitation":"[35]"},"properties":{"noteIndex":0},"schema":"https://github.com/citation-style-language/schema/raw/master/csl-citation.json"}</w:instrText>
      </w:r>
      <w:r w:rsidR="00732B50" w:rsidRPr="00B05509">
        <w:rPr>
          <w:rFonts w:ascii="Times New Roman" w:hAnsi="Times New Roman"/>
        </w:rPr>
        <w:fldChar w:fldCharType="separate"/>
      </w:r>
      <w:r w:rsidR="007E2086" w:rsidRPr="007E2086">
        <w:rPr>
          <w:rFonts w:ascii="Times New Roman" w:hAnsi="Times New Roman"/>
          <w:noProof/>
        </w:rPr>
        <w:t>[35]</w:t>
      </w:r>
      <w:r w:rsidR="00732B50" w:rsidRPr="00B05509">
        <w:rPr>
          <w:rFonts w:ascii="Times New Roman" w:hAnsi="Times New Roman"/>
        </w:rPr>
        <w:fldChar w:fldCharType="end"/>
      </w:r>
      <w:r w:rsidR="004E281B" w:rsidRPr="00B05509">
        <w:rPr>
          <w:rFonts w:ascii="Times New Roman" w:hAnsi="Times New Roman"/>
        </w:rPr>
        <w:t>)</w:t>
      </w:r>
      <w:r w:rsidR="00810594" w:rsidRPr="00B05509">
        <w:rPr>
          <w:rFonts w:ascii="Times New Roman" w:hAnsi="Times New Roman"/>
        </w:rPr>
        <w:t xml:space="preserve">. </w:t>
      </w:r>
    </w:p>
    <w:p w14:paraId="3A5B8E11" w14:textId="6565FD10" w:rsidR="00810594" w:rsidRPr="00B05509" w:rsidRDefault="00810594" w:rsidP="007C3BBA">
      <w:pPr>
        <w:spacing w:line="480" w:lineRule="auto"/>
        <w:rPr>
          <w:rFonts w:ascii="Times New Roman" w:hAnsi="Times New Roman"/>
        </w:rPr>
      </w:pPr>
    </w:p>
    <w:p w14:paraId="49E48D97" w14:textId="1C782192" w:rsidR="0008120F" w:rsidRPr="00B05509" w:rsidRDefault="00810594" w:rsidP="007C3BBA">
      <w:pPr>
        <w:spacing w:line="480" w:lineRule="auto"/>
        <w:rPr>
          <w:rFonts w:ascii="Times New Roman" w:hAnsi="Times New Roman"/>
        </w:rPr>
      </w:pPr>
      <w:r w:rsidRPr="00B05509">
        <w:rPr>
          <w:rFonts w:ascii="Times New Roman" w:hAnsi="Times New Roman"/>
        </w:rPr>
        <w:t>This produce</w:t>
      </w:r>
      <w:r w:rsidR="00941727" w:rsidRPr="00B05509">
        <w:rPr>
          <w:rFonts w:ascii="Times New Roman" w:hAnsi="Times New Roman"/>
        </w:rPr>
        <w:t>s</w:t>
      </w:r>
      <w:r w:rsidRPr="00B05509">
        <w:rPr>
          <w:rFonts w:ascii="Times New Roman" w:hAnsi="Times New Roman"/>
        </w:rPr>
        <w:t xml:space="preserve"> a dilemma for </w:t>
      </w:r>
      <w:r w:rsidR="007B112C" w:rsidRPr="00B05509">
        <w:rPr>
          <w:rFonts w:ascii="Times New Roman" w:hAnsi="Times New Roman"/>
        </w:rPr>
        <w:t xml:space="preserve">public health </w:t>
      </w:r>
      <w:r w:rsidRPr="00B05509">
        <w:rPr>
          <w:rFonts w:ascii="Times New Roman" w:hAnsi="Times New Roman"/>
        </w:rPr>
        <w:t>communicators</w:t>
      </w:r>
      <w:r w:rsidR="00091BB8" w:rsidRPr="00B05509">
        <w:rPr>
          <w:rFonts w:ascii="Times New Roman" w:hAnsi="Times New Roman"/>
        </w:rPr>
        <w:t xml:space="preserve">. </w:t>
      </w:r>
      <w:r w:rsidR="0008120F" w:rsidRPr="00B05509">
        <w:rPr>
          <w:rFonts w:ascii="Times New Roman" w:hAnsi="Times New Roman"/>
        </w:rPr>
        <w:t>Transparent and trustworthy evidence</w:t>
      </w:r>
      <w:r w:rsidR="00284C28" w:rsidRPr="00B05509">
        <w:rPr>
          <w:rFonts w:ascii="Times New Roman" w:hAnsi="Times New Roman"/>
        </w:rPr>
        <w:t xml:space="preserve"> </w:t>
      </w:r>
      <w:r w:rsidR="0008120F" w:rsidRPr="00B05509">
        <w:rPr>
          <w:rFonts w:ascii="Times New Roman" w:hAnsi="Times New Roman"/>
        </w:rPr>
        <w:t>demands clear communication of both effectiveness estimates and the uncertainties around them, including cues of quality of evidence</w:t>
      </w:r>
      <w:r w:rsidR="00941727" w:rsidRPr="00B05509">
        <w:rPr>
          <w:rFonts w:ascii="Times New Roman" w:hAnsi="Times New Roman"/>
        </w:rPr>
        <w:fldChar w:fldCharType="begin" w:fldLock="1"/>
      </w:r>
      <w:r w:rsidR="00DA7ECD">
        <w:rPr>
          <w:rFonts w:ascii="Times New Roman" w:hAnsi="Times New Roman"/>
        </w:rPr>
        <w:instrText>ADDIN CSL_CITATION {"citationItems":[{"id":"ITEM-1","itemData":{"author":[{"dropping-particle":"","family":"Blastland","given":"Michael","non-dropping-particle":"","parse-names":false,"suffix":""},{"dropping-particle":"","family":"Freeman","given":"Alexandra L J","non-dropping-particle":"","parse-names":false,"suffix":""},{"dropping-particle":"Van Der","family":"Linden","given":"Sander","non-dropping-particle":"","parse-names":false,"suffix":""},{"dropping-particle":"","family":"Marteau","given":"Theresa M","non-dropping-particle":"","parse-names":false,"suffix":""},{"dropping-particle":"","family":"Spiegelhalter","given":"David","non-dropping-particle":"","parse-names":false,"suffix":""}],"container-title":"Nature","id":"ITEM-1","issue":"November","issued":{"date-parts":[["2020"]]},"page":"362-364","title":"Five rules for evidence communication","type":"article-journal","volume":"587"},"uris":["http://www.mendeley.com/documents/?uuid=d294e67c-3c8d-4751-b170-f64abc43d0c3"]}],"mendeley":{"formattedCitation":"[36]","plainTextFormattedCitation":"[36]","previouslyFormattedCitation":"[36]"},"properties":{"noteIndex":0},"schema":"https://github.com/citation-style-language/schema/raw/master/csl-citation.json"}</w:instrText>
      </w:r>
      <w:r w:rsidR="00941727" w:rsidRPr="00B05509">
        <w:rPr>
          <w:rFonts w:ascii="Times New Roman" w:hAnsi="Times New Roman"/>
        </w:rPr>
        <w:fldChar w:fldCharType="separate"/>
      </w:r>
      <w:r w:rsidR="007E2086" w:rsidRPr="007E2086">
        <w:rPr>
          <w:rFonts w:ascii="Times New Roman" w:hAnsi="Times New Roman"/>
          <w:noProof/>
        </w:rPr>
        <w:t>[36]</w:t>
      </w:r>
      <w:r w:rsidR="00941727" w:rsidRPr="00B05509">
        <w:rPr>
          <w:rFonts w:ascii="Times New Roman" w:hAnsi="Times New Roman"/>
        </w:rPr>
        <w:fldChar w:fldCharType="end"/>
      </w:r>
      <w:r w:rsidR="0008120F" w:rsidRPr="00B05509">
        <w:rPr>
          <w:rFonts w:ascii="Times New Roman" w:hAnsi="Times New Roman"/>
        </w:rPr>
        <w:t xml:space="preserve">. </w:t>
      </w:r>
      <w:r w:rsidR="00AF14A6" w:rsidRPr="00B05509">
        <w:rPr>
          <w:rFonts w:ascii="Times New Roman" w:hAnsi="Times New Roman"/>
        </w:rPr>
        <w:t xml:space="preserve">However, </w:t>
      </w:r>
      <w:r w:rsidR="00A20044" w:rsidRPr="00B05509">
        <w:rPr>
          <w:rFonts w:ascii="Times New Roman" w:hAnsi="Times New Roman"/>
        </w:rPr>
        <w:t xml:space="preserve">the evidence around the effects of communication of </w:t>
      </w:r>
      <w:r w:rsidR="00DA662F" w:rsidRPr="00B05509">
        <w:rPr>
          <w:rFonts w:ascii="Times New Roman" w:hAnsi="Times New Roman"/>
        </w:rPr>
        <w:t xml:space="preserve">such </w:t>
      </w:r>
      <w:r w:rsidR="00A20044" w:rsidRPr="00B05509">
        <w:rPr>
          <w:rFonts w:ascii="Times New Roman" w:hAnsi="Times New Roman"/>
        </w:rPr>
        <w:t xml:space="preserve">uncertainty is mixed. </w:t>
      </w:r>
      <w:r w:rsidR="00C119E9" w:rsidRPr="00B05509">
        <w:rPr>
          <w:rFonts w:ascii="Times New Roman" w:hAnsi="Times New Roman"/>
        </w:rPr>
        <w:t xml:space="preserve">Research </w:t>
      </w:r>
      <w:r w:rsidR="007B112C" w:rsidRPr="00B05509">
        <w:rPr>
          <w:rFonts w:ascii="Times New Roman" w:hAnsi="Times New Roman"/>
        </w:rPr>
        <w:t xml:space="preserve">shows that people prefer </w:t>
      </w:r>
      <w:r w:rsidR="007B641B" w:rsidRPr="00B05509">
        <w:rPr>
          <w:rFonts w:ascii="Times New Roman" w:hAnsi="Times New Roman"/>
        </w:rPr>
        <w:t>transparent</w:t>
      </w:r>
      <w:r w:rsidR="007B112C" w:rsidRPr="00B05509">
        <w:rPr>
          <w:rFonts w:ascii="Times New Roman" w:hAnsi="Times New Roman"/>
        </w:rPr>
        <w:t xml:space="preserve"> communication about </w:t>
      </w:r>
      <w:r w:rsidR="007B641B" w:rsidRPr="00B05509">
        <w:rPr>
          <w:rFonts w:ascii="Times New Roman" w:hAnsi="Times New Roman"/>
        </w:rPr>
        <w:t xml:space="preserve">scientific </w:t>
      </w:r>
      <w:r w:rsidR="007B112C" w:rsidRPr="00B05509">
        <w:rPr>
          <w:rFonts w:ascii="Times New Roman" w:hAnsi="Times New Roman"/>
        </w:rPr>
        <w:t>uncertainty</w:t>
      </w:r>
      <w:r w:rsidR="00DB07BF">
        <w:rPr>
          <w:rFonts w:ascii="Times New Roman" w:hAnsi="Times New Roman"/>
        </w:rPr>
        <w:t xml:space="preserve"> (i.e. direct/quantified uncertainty in this context)</w:t>
      </w:r>
      <w:r w:rsidR="007B112C" w:rsidRPr="00B05509">
        <w:rPr>
          <w:rFonts w:ascii="Times New Roman" w:hAnsi="Times New Roman"/>
        </w:rPr>
        <w:t xml:space="preserve"> </w:t>
      </w:r>
      <w:r w:rsidR="007B641B" w:rsidRPr="00B05509">
        <w:rPr>
          <w:rFonts w:ascii="Times New Roman" w:hAnsi="Times New Roman"/>
        </w:rPr>
        <w:t>on COVID-19</w:t>
      </w:r>
      <w:r w:rsidR="00502682" w:rsidRPr="00B05509">
        <w:rPr>
          <w:rFonts w:ascii="Times New Roman" w:hAnsi="Times New Roman"/>
        </w:rPr>
        <w:t xml:space="preserve"> </w:t>
      </w:r>
      <w:r w:rsidR="00202909" w:rsidRPr="00B05509">
        <w:rPr>
          <w:rFonts w:ascii="Times New Roman" w:hAnsi="Times New Roman"/>
        </w:rPr>
        <w:fldChar w:fldCharType="begin" w:fldLock="1"/>
      </w:r>
      <w:r w:rsidR="00DA7ECD">
        <w:rPr>
          <w:rFonts w:ascii="Times New Roman" w:hAnsi="Times New Roman"/>
        </w:rPr>
        <w:instrText>ADDIN CSL_CITATION {"citationItems":[{"id":"ITEM-1","itemData":{"DOI":"10.1001/jamanetworkopen.2020.32335","ISSN":"2574-3805","PMID":"33301021","author":[{"dropping-particle":"","family":"Wegwarth","given":"Odette","non-dropping-particle":"","parse-names":false,"suffix":""},{"dropping-particle":"","family":"Wagner","given":"Gert G","non-dropping-particle":"","parse-names":false,"suffix":""},{"dropping-particle":"","family":"Spies","given":"Claudia","non-dropping-particle":"","parse-names":false,"suffix":""},{"dropping-particle":"","family":"Hertwig","given":"Ralph","non-dropping-particle":"","parse-names":false,"suffix":""}],"container-title":"JAMA network open","id":"ITEM-1","issue":"12","issued":{"date-parts":[["2020"]]},"page":"e2032335","title":"Assessment of German Public Attitudes Toward Health Communications With Varying Degrees of Scientific Uncertainty Regarding COVID-19.","type":"article-journal","volume":"3"},"uris":["http://www.mendeley.com/documents/?uuid=eb767077-63a8-4d07-8df9-3ef63b0ecae2"]}],"mendeley":{"formattedCitation":"[37]","plainTextFormattedCitation":"[37]","previouslyFormattedCitation":"[37]"},"properties":{"noteIndex":0},"schema":"https://github.com/citation-style-language/schema/raw/master/csl-citation.json"}</w:instrText>
      </w:r>
      <w:r w:rsidR="00202909" w:rsidRPr="00B05509">
        <w:rPr>
          <w:rFonts w:ascii="Times New Roman" w:hAnsi="Times New Roman"/>
        </w:rPr>
        <w:fldChar w:fldCharType="separate"/>
      </w:r>
      <w:r w:rsidR="007E2086" w:rsidRPr="007E2086">
        <w:rPr>
          <w:rFonts w:ascii="Times New Roman" w:hAnsi="Times New Roman"/>
          <w:noProof/>
        </w:rPr>
        <w:t>[37]</w:t>
      </w:r>
      <w:r w:rsidR="00202909" w:rsidRPr="00B05509">
        <w:rPr>
          <w:rFonts w:ascii="Times New Roman" w:hAnsi="Times New Roman"/>
        </w:rPr>
        <w:fldChar w:fldCharType="end"/>
      </w:r>
      <w:r w:rsidR="00761622">
        <w:rPr>
          <w:rFonts w:ascii="Times New Roman" w:hAnsi="Times New Roman"/>
        </w:rPr>
        <w:t>. I</w:t>
      </w:r>
      <w:r w:rsidR="00BD2E40">
        <w:rPr>
          <w:rFonts w:ascii="Times New Roman" w:hAnsi="Times New Roman"/>
        </w:rPr>
        <w:t>n the context of communicating evidence from systematic reviews people appreciate being shown results quantitatively in a table with</w:t>
      </w:r>
      <w:r w:rsidR="00761622">
        <w:rPr>
          <w:rFonts w:ascii="Times New Roman" w:hAnsi="Times New Roman"/>
        </w:rPr>
        <w:t xml:space="preserve"> an indication of</w:t>
      </w:r>
      <w:r w:rsidR="00BD2E40">
        <w:rPr>
          <w:rFonts w:ascii="Times New Roman" w:hAnsi="Times New Roman"/>
        </w:rPr>
        <w:t xml:space="preserve"> direct uncertainty</w:t>
      </w:r>
      <w:r w:rsidR="00761622">
        <w:rPr>
          <w:rFonts w:ascii="Times New Roman" w:hAnsi="Times New Roman"/>
        </w:rPr>
        <w:t xml:space="preserve"> </w:t>
      </w:r>
      <w:r w:rsidR="00981C6B">
        <w:rPr>
          <w:rFonts w:ascii="Times New Roman" w:hAnsi="Times New Roman"/>
        </w:rPr>
        <w:fldChar w:fldCharType="begin" w:fldLock="1"/>
      </w:r>
      <w:r w:rsidR="00DA7ECD">
        <w:rPr>
          <w:rFonts w:ascii="Times New Roman" w:hAnsi="Times New Roman"/>
        </w:rPr>
        <w:instrText>ADDIN CSL_CITATION {"citationItems":[{"id":"ITEM-1","itemData":{"DOI":"10.1016/j.jclinepi.2014.04.009","ISSN":"1878-5921","PMID":"25034199","abstract":"OBJECTIVES To evaluate a new format of a summary, which presents research from synthesized evidence to patients and the public. STUDY DESIGN AND SETTING We conducted a randomized controlled trial in 143 members of the public from five countries (Canada, Norway, Spain, Argentina, and Italy). Participants received either a new summary format (a plain language summary [PLS]) or the current format used in Cochrane systematic reviews. The new PLS presents information about the condition and intervention, a narrative summary of results, and a table of results with absolute numbers for effects of the intervention and quality of the evidence using Grading of Recommendations Assessment, Development, and Evaluation. RESULTS With the new PLS, more participants understood the benefits and harms and quality of evidence (53% vs. 18%, P &lt; 0.001); more answered each of the five questions correctly (P ≤ 0.001 for four questions); and they answered more questions correctly, median 3 (interquartile range [IQR]: 1-4) vs. 1 (IQR: 0-1), P &lt; 0.001). Better understanding was independent of education level. More participants found information in the new PLS reliable, easy to find, easy to understand, and presented in a way that helped make decisions. Overall, participants preferred the new PLS. CONCLUSION This new PLS format for patients and the public is a promising tool to translate evidence from synthesized research.","author":[{"dropping-particle":"","family":"Santesso","given":"Nancy","non-dropping-particle":"","parse-names":false,"suffix":""},{"dropping-particle":"","family":"Rader","given":"Tamara","non-dropping-particle":"","parse-names":false,"suffix":""},{"dropping-particle":"","family":"Nilsen","given":"Elin Strømme","non-dropping-particle":"","parse-names":false,"suffix":""},{"dropping-particle":"","family":"Glenton","given":"Claire","non-dropping-particle":"","parse-names":false,"suffix":""},{"dropping-particle":"","family":"Rosenbaum","given":"Sarah","non-dropping-particle":"","parse-names":false,"suffix":""},{"dropping-particle":"","family":"Ciapponi","given":"Agustín","non-dropping-particle":"","parse-names":false,"suffix":""},{"dropping-particle":"","family":"Moja","given":"Lorenzo","non-dropping-particle":"","parse-names":false,"suffix":""},{"dropping-particle":"","family":"Pardo","given":"Jordi Pardo","non-dropping-particle":"","parse-names":false,"suffix":""},{"dropping-particle":"","family":"Zhou","given":"Qi","non-dropping-particle":"","parse-names":false,"suffix":""},{"dropping-particle":"","family":"Schünemann","given":"Holger J.","non-dropping-particle":"","parse-names":false,"suffix":""}],"container-title":"Journal of clinical epidemiology","id":"ITEM-1","issue":"2","issued":{"date-parts":[["2015","2","1"]]},"page":"182-90","publisher":"Elsevier","title":"A summary to communicate evidence from systematic reviews to the public improved understanding and accessibility of information: a randomized controlled trial.","type":"article-journal","volume":"68"},"uris":["http://www.mendeley.com/documents/?uuid=0f9f0161-9710-4fdc-aae7-b87586065c83"]},{"id":"ITEM-2","itemData":{"DOI":"10.1177/0272989X10375853","ISBN":"1552-681X (Electronic) 0272-989X (Linking)","ISSN":"0272-989X","PMID":"20643912","abstract":"OBJECTIVE: To develop and obtain feedback about a summary format for Cochrane reviews that is accessible to a consumer audience, without oversimplification or incorrect presentation.\\n\\nMETHODS: We developed 3 versions of a Plain Language Summary (PLS) format of a Cochrane Systematic Review. Using a semi-structured interview guide we tested these versions among 34 members of the public in Norway, Argentina, Canada, and Australia. The authors analyzed feedback, identified problems, and generated new solutions before retesting to produce a final version of a Plain Language Summary format.\\n\\nRESULTS: Participants preferred results presented as words, supplemented by numbers in a table. There was a lack of understanding regarding the difference between a review and an individual study, that the effect is rarely an exact number, that evidence can be of low or high quality, and that level of quality is a separate issue from intervention effect. Participants also found it difficult to move between presentations of dichotomous and continuous outcomes. Rephrasing the introduction helped participants grasp the concept of a review. Confidence intervals were largely ignored or misunderstood. Our attempts to explain them were only partially successful. Text modifiers (''probably,'' ''may'') to convey different levels of quality were only partially understood, whereas symbols with explanations were more helpful. Participants often understood individual information elements about effect size and quality of these results, but did not always actively merge these elements.\\n\\nCONCLUSION: Through testing and iteration the authors identified and addressed several problems, using explanations, rephrasing, and symbols to present scientific concepts. Other problems remain, including how best to present confidence intervals and continuous outcomes. Future research should also test information elements in combination rather than in isolation. The new Plain Language Summary format is being evaluated in a randomized controlled trial.","author":[{"dropping-particle":"","family":"Glenton","given":"Claire","non-dropping-particle":"","parse-names":false,"suffix":""},{"dropping-particle":"","family":"Santesso","given":"Nancy","non-dropping-particle":"","parse-names":false,"suffix":""},{"dropping-particle":"","family":"Rosenbaum","given":"Sarah","non-dropping-particle":"","parse-names":false,"suffix":""},{"dropping-particle":"","family":"Nilsen","given":"Elin Strømme","non-dropping-particle":"","parse-names":false,"suffix":""},{"dropping-particle":"","family":"Rader","given":"Tamara","non-dropping-particle":"","parse-names":false,"suffix":""},{"dropping-particle":"","family":"Ciapponi","given":"Agustin","non-dropping-particle":"","parse-names":false,"suffix":""},{"dropping-particle":"","family":"Dilkes","given":"Helen","non-dropping-particle":"","parse-names":false,"suffix":""}],"container-title":"Medical Decision Making","id":"ITEM-2","issue":"5","issued":{"date-parts":[["2010","9","19"]]},"page":"566-577","title":"Presenting the Results of Cochrane Systematic Reviews to a Consumer Audience: A Qualitative Study","type":"article-journal","volume":"30"},"uris":["http://www.mendeley.com/documents/?uuid=117a2c1b-27b7-4013-a2e2-2033b3272d3f"]}],"mendeley":{"formattedCitation":"[38, 39]","plainTextFormattedCitation":"[38, 39]","previouslyFormattedCitation":"[38, 39]"},"properties":{"noteIndex":0},"schema":"https://github.com/citation-style-language/schema/raw/master/csl-citation.json"}</w:instrText>
      </w:r>
      <w:r w:rsidR="00981C6B">
        <w:rPr>
          <w:rFonts w:ascii="Times New Roman" w:hAnsi="Times New Roman"/>
        </w:rPr>
        <w:fldChar w:fldCharType="separate"/>
      </w:r>
      <w:r w:rsidR="007E2086" w:rsidRPr="007E2086">
        <w:rPr>
          <w:rFonts w:ascii="Times New Roman" w:hAnsi="Times New Roman"/>
          <w:noProof/>
        </w:rPr>
        <w:t>[38, 39]</w:t>
      </w:r>
      <w:r w:rsidR="00981C6B">
        <w:rPr>
          <w:rFonts w:ascii="Times New Roman" w:hAnsi="Times New Roman"/>
        </w:rPr>
        <w:fldChar w:fldCharType="end"/>
      </w:r>
      <w:r w:rsidR="00BD2E40">
        <w:rPr>
          <w:rFonts w:ascii="Times New Roman" w:hAnsi="Times New Roman"/>
        </w:rPr>
        <w:t xml:space="preserve">, </w:t>
      </w:r>
      <w:r w:rsidR="007B641B" w:rsidRPr="00B05509">
        <w:rPr>
          <w:rFonts w:ascii="Times New Roman" w:hAnsi="Times New Roman"/>
        </w:rPr>
        <w:t xml:space="preserve"> </w:t>
      </w:r>
      <w:r w:rsidR="007B112C" w:rsidRPr="00B05509">
        <w:rPr>
          <w:rFonts w:ascii="Times New Roman" w:hAnsi="Times New Roman"/>
        </w:rPr>
        <w:t xml:space="preserve">and </w:t>
      </w:r>
      <w:r w:rsidR="00C119E9" w:rsidRPr="00B05509">
        <w:rPr>
          <w:rFonts w:ascii="Times New Roman" w:hAnsi="Times New Roman"/>
        </w:rPr>
        <w:t>communicating quantified uncertainty around an effectiveness estimate (e</w:t>
      </w:r>
      <w:r w:rsidR="002D05B6" w:rsidRPr="00B05509">
        <w:rPr>
          <w:rFonts w:ascii="Times New Roman" w:hAnsi="Times New Roman"/>
        </w:rPr>
        <w:t>.</w:t>
      </w:r>
      <w:r w:rsidR="00C119E9" w:rsidRPr="00B05509">
        <w:rPr>
          <w:rFonts w:ascii="Times New Roman" w:hAnsi="Times New Roman"/>
        </w:rPr>
        <w:t xml:space="preserve">g. confidence intervals) </w:t>
      </w:r>
      <w:r w:rsidR="007B641B" w:rsidRPr="00B05509">
        <w:rPr>
          <w:rFonts w:ascii="Times New Roman" w:hAnsi="Times New Roman"/>
        </w:rPr>
        <w:t>often</w:t>
      </w:r>
      <w:r w:rsidR="00C119E9" w:rsidRPr="00B05509">
        <w:rPr>
          <w:rFonts w:ascii="Times New Roman" w:hAnsi="Times New Roman"/>
        </w:rPr>
        <w:t xml:space="preserve"> has </w:t>
      </w:r>
      <w:r w:rsidR="00DA662F" w:rsidRPr="00B05509">
        <w:rPr>
          <w:rFonts w:ascii="Times New Roman" w:hAnsi="Times New Roman"/>
        </w:rPr>
        <w:t xml:space="preserve">only very small </w:t>
      </w:r>
      <w:r w:rsidR="00C119E9" w:rsidRPr="00B05509">
        <w:rPr>
          <w:rFonts w:ascii="Times New Roman" w:hAnsi="Times New Roman"/>
        </w:rPr>
        <w:t>effect</w:t>
      </w:r>
      <w:r w:rsidR="007B641B" w:rsidRPr="00B05509">
        <w:rPr>
          <w:rFonts w:ascii="Times New Roman" w:hAnsi="Times New Roman"/>
        </w:rPr>
        <w:t>s</w:t>
      </w:r>
      <w:r w:rsidR="00C119E9" w:rsidRPr="00B05509">
        <w:rPr>
          <w:rFonts w:ascii="Times New Roman" w:hAnsi="Times New Roman"/>
        </w:rPr>
        <w:t xml:space="preserve"> on </w:t>
      </w:r>
      <w:r w:rsidR="007B641B" w:rsidRPr="00B05509">
        <w:rPr>
          <w:rFonts w:ascii="Times New Roman" w:hAnsi="Times New Roman"/>
        </w:rPr>
        <w:t xml:space="preserve">the </w:t>
      </w:r>
      <w:r w:rsidR="00C119E9" w:rsidRPr="00B05509">
        <w:rPr>
          <w:rFonts w:ascii="Times New Roman" w:hAnsi="Times New Roman"/>
        </w:rPr>
        <w:t>public</w:t>
      </w:r>
      <w:r w:rsidR="007B641B" w:rsidRPr="00B05509">
        <w:rPr>
          <w:rFonts w:ascii="Times New Roman" w:hAnsi="Times New Roman"/>
        </w:rPr>
        <w:t xml:space="preserve">’s overall </w:t>
      </w:r>
      <w:r w:rsidR="007B112C" w:rsidRPr="00B05509">
        <w:rPr>
          <w:rFonts w:ascii="Times New Roman" w:hAnsi="Times New Roman"/>
        </w:rPr>
        <w:t>trust in either the estimate or the source</w:t>
      </w:r>
      <w:r w:rsidR="007B641B" w:rsidRPr="00B05509">
        <w:rPr>
          <w:rFonts w:ascii="Times New Roman" w:hAnsi="Times New Roman"/>
        </w:rPr>
        <w:t xml:space="preserve"> of the message</w:t>
      </w:r>
      <w:r w:rsidR="007B112C" w:rsidRPr="00B05509">
        <w:rPr>
          <w:rFonts w:ascii="Times New Roman" w:hAnsi="Times New Roman"/>
        </w:rPr>
        <w:t xml:space="preserve"> </w:t>
      </w:r>
      <w:r w:rsidR="00C119E9" w:rsidRPr="00B05509">
        <w:rPr>
          <w:rFonts w:ascii="Times New Roman" w:hAnsi="Times New Roman"/>
        </w:rPr>
        <w:fldChar w:fldCharType="begin" w:fldLock="1"/>
      </w:r>
      <w:r w:rsidR="00DA7ECD">
        <w:rPr>
          <w:rFonts w:ascii="Times New Roman" w:hAnsi="Times New Roman"/>
        </w:rPr>
        <w:instrText>ADDIN CSL_CITATION {"citationItems":[{"id":"ITEM-1","itemData":{"DOI":"10.1073/pnas.1913678117","ISSN":"10916490","PMID":"32205438","abstract":"Uncertainty is inherent to our knowledge about the state of the world yet often not communicated alongside scientific facts and numbers. In the “posttruth” era where facts are increasingly contested, a common assumption is that communicating uncertainty will reduce public trust. However, a lack of systematic research makes it difficult to evaluate such claims. We conducted five experiments-including one preregistered replication with a national sample and one field experiment on the BBC News website (total n = 5,780)-to examine whether communicating epistemic uncertainty about facts across different topics (e.g., global warming, immigration), formats (verbal vs. numeric), and magnitudes (high vs. low) influences public trust. Results show that whereas people do perceive greater uncertainty when it is communicated, we observed only a small decrease in trust in numbers and trustworthiness of the source, and mostly for verbal uncertainty communication. These results could help reassure all communicators of facts and science that they can be more open and transparent about the limits of human knowledge.","author":[{"dropping-particle":"","family":"Bles","given":"Anne Marthe","non-dropping-particle":"van der","parse-names":false,"suffix":""},{"dropping-particle":"","family":"Linden","given":"Sander","non-dropping-particle":"van der","parse-names":false,"suffix":""},{"dropping-particle":"","family":"Freeman","given":"Alexandra L.J. J","non-dropping-particle":"","parse-names":false,"suffix":""},{"dropping-particle":"","family":"Spiegelhalter","given":"David J.","non-dropping-particle":"","parse-names":false,"suffix":""}],"container-title":"Proceedings of the National Academy of Sciences of the United States of America","id":"ITEM-1","issue":"14","issued":{"date-parts":[["2020"]]},"page":"7672-7683","title":"The effects of communicating uncertainty on public trust in facts and numbers","type":"article-journal","volume":"117"},"uris":["http://www.mendeley.com/documents/?uuid=f3e60583-580a-45d2-b127-1d30b034c988"]},{"id":"ITEM-2","itemData":{"DOI":"10.1177/0963662520942122","abstract":"Uncertainty is inherent to science and science communication. However, the evidence appears mixed regarding whether portraying uncertainty in science communication has positive or negative effects. We review a diverse range of experimental literature (k = 48; from 40 searches and 8000 retrievals), summarize the extant findings, and observe how the effects vary across four different types of communicated uncertainty (deficient, technical, scientific, and consensus uncertainty). The results indicate that most findings of negative effects (such as reduced credibility and beliefs) are from experiments that operationalized uncertainty as disagreement or conflict in science (consensus uncertainty). In this review, consensus uncertainty was never found to have positive effects. In contrast, uncertainty in the form of quantified error ranges and probabilities (technical uncertainty) in these studies has had only positive or null effects, not negative effects. We also highlight frequent moderators of the effects of uncertainty, such as prior beliefs and worldviews.","author":[{"dropping-particle":"","family":"Gustafson","given":"Abel","non-dropping-particle":"","parse-names":false,"suffix":""},{"dropping-particle":"","family":"Rice","given":"Ronald E","non-dropping-particle":"","parse-names":false,"suffix":""}],"container-title":"Public Understanding of Science","id":"ITEM-2","issued":{"date-parts":[["2020"]]},"title":"A review of the effects of uncertainty in public science communication","type":"article-journal"},"uris":["http://www.mendeley.com/documents/?uuid=ec11ab9f-a90b-4d0b-9c11-54cf4fb3a25e"]}],"mendeley":{"formattedCitation":"[40, 41]","plainTextFormattedCitation":"[40, 41]","previouslyFormattedCitation":"[40, 41]"},"properties":{"noteIndex":0},"schema":"https://github.com/citation-style-language/schema/raw/master/csl-citation.json"}</w:instrText>
      </w:r>
      <w:r w:rsidR="00C119E9" w:rsidRPr="00B05509">
        <w:rPr>
          <w:rFonts w:ascii="Times New Roman" w:hAnsi="Times New Roman"/>
        </w:rPr>
        <w:fldChar w:fldCharType="separate"/>
      </w:r>
      <w:r w:rsidR="007E2086" w:rsidRPr="007E2086">
        <w:rPr>
          <w:rFonts w:ascii="Times New Roman" w:hAnsi="Times New Roman"/>
          <w:noProof/>
        </w:rPr>
        <w:t>[40, 41]</w:t>
      </w:r>
      <w:r w:rsidR="00C119E9" w:rsidRPr="00B05509">
        <w:rPr>
          <w:rFonts w:ascii="Times New Roman" w:hAnsi="Times New Roman"/>
        </w:rPr>
        <w:fldChar w:fldCharType="end"/>
      </w:r>
      <w:r w:rsidR="00C119E9" w:rsidRPr="00B05509">
        <w:rPr>
          <w:rFonts w:ascii="Times New Roman" w:hAnsi="Times New Roman"/>
        </w:rPr>
        <w:t xml:space="preserve">. </w:t>
      </w:r>
      <w:r w:rsidR="0008120F" w:rsidRPr="00B05509">
        <w:rPr>
          <w:rFonts w:ascii="Times New Roman" w:hAnsi="Times New Roman"/>
        </w:rPr>
        <w:t xml:space="preserve">However, little is known about the effects of communicating </w:t>
      </w:r>
      <w:r w:rsidR="00281949" w:rsidRPr="00B05509">
        <w:rPr>
          <w:rFonts w:ascii="Times New Roman" w:hAnsi="Times New Roman"/>
        </w:rPr>
        <w:t xml:space="preserve">the quality of </w:t>
      </w:r>
      <w:r w:rsidR="00C119E9" w:rsidRPr="00B05509">
        <w:rPr>
          <w:rFonts w:ascii="Times New Roman" w:hAnsi="Times New Roman"/>
        </w:rPr>
        <w:t xml:space="preserve">the underlying </w:t>
      </w:r>
      <w:r w:rsidR="00281949" w:rsidRPr="00B05509">
        <w:rPr>
          <w:rFonts w:ascii="Times New Roman" w:hAnsi="Times New Roman"/>
        </w:rPr>
        <w:t xml:space="preserve">evidence </w:t>
      </w:r>
      <w:r w:rsidR="00C119E9" w:rsidRPr="00B05509">
        <w:rPr>
          <w:rFonts w:ascii="Times New Roman" w:hAnsi="Times New Roman"/>
        </w:rPr>
        <w:t xml:space="preserve">behind </w:t>
      </w:r>
      <w:r w:rsidR="00DA662F" w:rsidRPr="00B05509">
        <w:rPr>
          <w:rFonts w:ascii="Times New Roman" w:hAnsi="Times New Roman"/>
        </w:rPr>
        <w:t>estimates</w:t>
      </w:r>
      <w:r w:rsidR="00C119E9" w:rsidRPr="00B05509">
        <w:rPr>
          <w:rFonts w:ascii="Times New Roman" w:hAnsi="Times New Roman"/>
        </w:rPr>
        <w:t>.</w:t>
      </w:r>
      <w:r w:rsidR="002D05B6" w:rsidRPr="00B05509">
        <w:rPr>
          <w:rFonts w:ascii="Times New Roman" w:hAnsi="Times New Roman"/>
        </w:rPr>
        <w:t xml:space="preserve"> </w:t>
      </w:r>
      <w:r w:rsidR="0096427A">
        <w:rPr>
          <w:rFonts w:ascii="Times New Roman" w:hAnsi="Times New Roman"/>
        </w:rPr>
        <w:t xml:space="preserve">Some work has assessed different presentation formats that include quality of evidence information, such as summary tables that follow GRADE guidelines on the display of quality of evidence information </w:t>
      </w:r>
      <w:r w:rsidR="00ED4B9D">
        <w:rPr>
          <w:rFonts w:ascii="Times New Roman" w:hAnsi="Times New Roman"/>
        </w:rPr>
        <w:fldChar w:fldCharType="begin" w:fldLock="1"/>
      </w:r>
      <w:r w:rsidR="00DA7ECD">
        <w:rPr>
          <w:rFonts w:ascii="Times New Roman" w:hAnsi="Times New Roman"/>
        </w:rPr>
        <w:instrText>ADDIN CSL_CITATION {"citationItems":[{"id":"ITEM-1","itemData":{"DOI":"10.1016/j.jclinepi.2014.04.009","ISSN":"1878-5921","PMID":"25034199","abstract":"OBJECTIVES To evaluate a new format of a summary, which presents research from synthesized evidence to patients and the public. STUDY DESIGN AND SETTING We conducted a randomized controlled trial in 143 members of the public from five countries (Canada, Norway, Spain, Argentina, and Italy). Participants received either a new summary format (a plain language summary [PLS]) or the current format used in Cochrane systematic reviews. The new PLS presents information about the condition and intervention, a narrative summary of results, and a table of results with absolute numbers for effects of the intervention and quality of the evidence using Grading of Recommendations Assessment, Development, and Evaluation. RESULTS With the new PLS, more participants understood the benefits and harms and quality of evidence (53% vs. 18%, P &lt; 0.001); more answered each of the five questions correctly (P ≤ 0.001 for four questions); and they answered more questions correctly, median 3 (interquartile range [IQR]: 1-4) vs. 1 (IQR: 0-1), P &lt; 0.001). Better understanding was independent of education level. More participants found information in the new PLS reliable, easy to find, easy to understand, and presented in a way that helped make decisions. Overall, participants preferred the new PLS. CONCLUSION This new PLS format for patients and the public is a promising tool to translate evidence from synthesized research.","author":[{"dropping-particle":"","family":"Santesso","given":"Nancy","non-dropping-particle":"","parse-names":false,"suffix":""},{"dropping-particle":"","family":"Rader","given":"Tamara","non-dropping-particle":"","parse-names":false,"suffix":""},{"dropping-particle":"","family":"Nilsen","given":"Elin Strømme","non-dropping-particle":"","parse-names":false,"suffix":""},{"dropping-particle":"","family":"Glenton","given":"Claire","non-dropping-particle":"","parse-names":false,"suffix":""},{"dropping-particle":"","family":"Rosenbaum","given":"Sarah","non-dropping-particle":"","parse-names":false,"suffix":""},{"dropping-particle":"","family":"Ciapponi","given":"Agustín","non-dropping-particle":"","parse-names":false,"suffix":""},{"dropping-particle":"","family":"Moja","given":"Lorenzo","non-dropping-particle":"","parse-names":false,"suffix":""},{"dropping-particle":"","family":"Pardo","given":"Jordi Pardo","non-dropping-particle":"","parse-names":false,"suffix":""},{"dropping-particle":"","family":"Zhou","given":"Qi","non-dropping-particle":"","parse-names":false,"suffix":""},{"dropping-particle":"","family":"Schünemann","given":"Holger J.","non-dropping-particle":"","parse-names":false,"suffix":""}],"container-title":"Journal of clinical epidemiology","id":"ITEM-1","issue":"2","issued":{"date-parts":[["2015","2","1"]]},"page":"182-90","publisher":"Elsevier","title":"A summary to communicate evidence from systematic reviews to the public improved understanding and accessibility of information: a randomized controlled trial.","type":"article-journal","volume":"68"},"uris":["http://www.mendeley.com/documents/?uuid=0f9f0161-9710-4fdc-aae7-b87586065c83"]},{"id":"ITEM-2","itemData":{"DOI":"10.1177/0272989X10375853","ISBN":"1552-681X (Electronic) 0272-989X (Linking)","ISSN":"0272-989X","PMID":"20643912","abstract":"OBJECTIVE: To develop and obtain feedback about a summary format for Cochrane reviews that is accessible to a consumer audience, without oversimplification or incorrect presentation.\\n\\nMETHODS: We developed 3 versions of a Plain Language Summary (PLS) format of a Cochrane Systematic Review. Using a semi-structured interview guide we tested these versions among 34 members of the public in Norway, Argentina, Canada, and Australia. The authors analyzed feedback, identified problems, and generated new solutions before retesting to produce a final version of a Plain Language Summary format.\\n\\nRESULTS: Participants preferred results presented as words, supplemented by numbers in a table. There was a lack of understanding regarding the difference between a review and an individual study, that the effect is rarely an exact number, that evidence can be of low or high quality, and that level of quality is a separate issue from intervention effect. Participants also found it difficult to move between presentations of dichotomous and continuous outcomes. Rephrasing the introduction helped participants grasp the concept of a review. Confidence intervals were largely ignored or misunderstood. Our attempts to explain them were only partially successful. Text modifiers (''probably,'' ''may'') to convey different levels of quality were only partially understood, whereas symbols with explanations were more helpful. Participants often understood individual information elements about effect size and quality of these results, but did not always actively merge these elements.\\n\\nCONCLUSION: Through testing and iteration the authors identified and addressed several problems, using explanations, rephrasing, and symbols to present scientific concepts. Other problems remain, including how best to present confidence intervals and continuous outcomes. Future research should also test information elements in combination rather than in isolation. The new Plain Language Summary format is being evaluated in a randomized controlled trial.","author":[{"dropping-particle":"","family":"Glenton","given":"Claire","non-dropping-particle":"","parse-names":false,"suffix":""},{"dropping-particle":"","family":"Santesso","given":"Nancy","non-dropping-particle":"","parse-names":false,"suffix":""},{"dropping-particle":"","family":"Rosenbaum","given":"Sarah","non-dropping-particle":"","parse-names":false,"suffix":""},{"dropping-particle":"","family":"Nilsen","given":"Elin Strømme","non-dropping-particle":"","parse-names":false,"suffix":""},{"dropping-particle":"","family":"Rader","given":"Tamara","non-dropping-particle":"","parse-names":false,"suffix":""},{"dropping-particle":"","family":"Ciapponi","given":"Agustin","non-dropping-particle":"","parse-names":false,"suffix":""},{"dropping-particle":"","family":"Dilkes","given":"Helen","non-dropping-particle":"","parse-names":false,"suffix":""}],"container-title":"Medical Decision Making","id":"ITEM-2","issue":"5","issued":{"date-parts":[["2010","9","19"]]},"page":"566-577","title":"Presenting the Results of Cochrane Systematic Reviews to a Consumer Audience: A Qualitative Study","type":"article-journal","volume":"30"},"uris":["http://www.mendeley.com/documents/?uuid=117a2c1b-27b7-4013-a2e2-2033b3272d3f"]}],"mendeley":{"formattedCitation":"[38, 39]","plainTextFormattedCitation":"[38, 39]","previouslyFormattedCitation":"[38, 39]"},"properties":{"noteIndex":0},"schema":"https://github.com/citation-style-language/schema/raw/master/csl-citation.json"}</w:instrText>
      </w:r>
      <w:r w:rsidR="00ED4B9D">
        <w:rPr>
          <w:rFonts w:ascii="Times New Roman" w:hAnsi="Times New Roman"/>
        </w:rPr>
        <w:fldChar w:fldCharType="separate"/>
      </w:r>
      <w:r w:rsidR="007E2086" w:rsidRPr="007E2086">
        <w:rPr>
          <w:rFonts w:ascii="Times New Roman" w:hAnsi="Times New Roman"/>
          <w:noProof/>
        </w:rPr>
        <w:t>[38, 39]</w:t>
      </w:r>
      <w:r w:rsidR="00ED4B9D">
        <w:rPr>
          <w:rFonts w:ascii="Times New Roman" w:hAnsi="Times New Roman"/>
        </w:rPr>
        <w:fldChar w:fldCharType="end"/>
      </w:r>
      <w:r w:rsidR="004168DF">
        <w:rPr>
          <w:rFonts w:ascii="Times New Roman" w:hAnsi="Times New Roman"/>
        </w:rPr>
        <w:t xml:space="preserve"> or comparisons of formats using letters versus symbols</w:t>
      </w:r>
      <w:r w:rsidR="00984291">
        <w:rPr>
          <w:rFonts w:ascii="Times New Roman" w:hAnsi="Times New Roman"/>
        </w:rPr>
        <w:t xml:space="preserve"> </w:t>
      </w:r>
      <w:r w:rsidR="00984291">
        <w:rPr>
          <w:rFonts w:ascii="Times New Roman" w:hAnsi="Times New Roman"/>
        </w:rPr>
        <w:fldChar w:fldCharType="begin" w:fldLock="1"/>
      </w:r>
      <w:r w:rsidR="00DA7ECD">
        <w:rPr>
          <w:rFonts w:ascii="Times New Roman" w:hAnsi="Times New Roman"/>
        </w:rPr>
        <w:instrText>ADDIN CSL_CITATION {"citationItems":[{"id":"ITEM-1","itemData":{"DOI":"10.1016/j.jclinepi.2007.03.011","author":[{"dropping-particle":"","family":"Akl","given":"Elie A","non-dropping-particle":"","parse-names":false,"suffix":""},{"dropping-particle":"","family":"Maroun","given":"Nancy","non-dropping-particle":"","parse-names":false,"suffix":""},{"dropping-particle":"","family":"Guyatt","given":"Gordon","non-dropping-particle":"","parse-names":false,"suffix":""},{"dropping-particle":"","family":"Oxman","given":"Andrew D","non-dropping-particle":"","parse-names":false,"suffix":""},{"dropping-particle":"","family":"Alonso-coello","given":"Pablo","non-dropping-particle":"","parse-names":false,"suffix":""},{"dropping-particle":"","family":"Vist","given":"Gunn E","non-dropping-particle":"","parse-names":false,"suffix":""},{"dropping-particle":"","family":"Devereaux","given":"P J","non-dropping-particle":"","parse-names":false,"suffix":""},{"dropping-particle":"","family":"Montori","given":"Victor M","non-dropping-particle":"","parse-names":false,"suffix":""},{"dropping-particle":"","family":"Schu","given":"Holger J","non-dropping-particle":"","parse-names":false,"suffix":""}],"id":"ITEM-1","issued":{"date-parts":[["2007"]]},"page":"1298-1305","title":"Symbols were superior to numbers for presenting strength of recommendations to health care consumers : a randomized trial","type":"article-journal","volume":"60"},"uris":["http://www.mendeley.com/documents/?uuid=13ae474c-de71-436f-af7c-9653cab62470"]}],"mendeley":{"formattedCitation":"[42]","plainTextFormattedCitation":"[42]","previouslyFormattedCitation":"[42]"},"properties":{"noteIndex":0},"schema":"https://github.com/citation-style-language/schema/raw/master/csl-citation.json"}</w:instrText>
      </w:r>
      <w:r w:rsidR="00984291">
        <w:rPr>
          <w:rFonts w:ascii="Times New Roman" w:hAnsi="Times New Roman"/>
        </w:rPr>
        <w:fldChar w:fldCharType="separate"/>
      </w:r>
      <w:r w:rsidR="007E2086" w:rsidRPr="007E2086">
        <w:rPr>
          <w:rFonts w:ascii="Times New Roman" w:hAnsi="Times New Roman"/>
          <w:noProof/>
        </w:rPr>
        <w:t>[42]</w:t>
      </w:r>
      <w:r w:rsidR="00984291">
        <w:rPr>
          <w:rFonts w:ascii="Times New Roman" w:hAnsi="Times New Roman"/>
        </w:rPr>
        <w:fldChar w:fldCharType="end"/>
      </w:r>
      <w:r w:rsidR="004168DF">
        <w:rPr>
          <w:rFonts w:ascii="Times New Roman" w:hAnsi="Times New Roman"/>
        </w:rPr>
        <w:t xml:space="preserve"> </w:t>
      </w:r>
      <w:r w:rsidR="008717D1">
        <w:rPr>
          <w:rFonts w:ascii="Times New Roman" w:hAnsi="Times New Roman"/>
        </w:rPr>
        <w:t>and varying types of quality of evidence elements</w:t>
      </w:r>
      <w:r w:rsidR="00984291">
        <w:rPr>
          <w:rFonts w:ascii="Times New Roman" w:hAnsi="Times New Roman"/>
        </w:rPr>
        <w:t xml:space="preserve"> </w:t>
      </w:r>
      <w:r w:rsidR="00984291">
        <w:rPr>
          <w:rFonts w:ascii="Times New Roman" w:hAnsi="Times New Roman"/>
        </w:rPr>
        <w:fldChar w:fldCharType="begin" w:fldLock="1"/>
      </w:r>
      <w:r w:rsidR="00DA7ECD">
        <w:rPr>
          <w:rFonts w:ascii="Times New Roman" w:hAnsi="Times New Roman"/>
        </w:rPr>
        <w:instrText>ADDIN CSL_CITATION {"citationItems":[{"id":"ITEM-1","itemData":{"author":[{"dropping-particle":"","family":"Buechter","given":"R. B.","non-dropping-particle":"","parse-names":false,"suffix":""},{"dropping-particle":"","family":"Betsch","given":"C.","non-dropping-particle":"","parse-names":false,"suffix":""},{"dropping-particle":"","family":"Ehrlich","given":"M.","non-dropping-particle":"","parse-names":false,"suffix":""},{"dropping-particle":"","family":"Fechtelpeter","given":"D.","non-dropping-particle":"","parse-names":false,"suffix":""},{"dropping-particle":"","family":"Grouven","given":"U.","non-dropping-particle":"","parse-names":false,"suffix":""},{"dropping-particle":"","family":"Keller","given":"S.","non-dropping-particle":"","parse-names":false,"suffix":""},{"dropping-particle":"","family":"Meuer","given":"R.","non-dropping-particle":"","parse-names":false,"suffix":""},{"dropping-particle":"","family":"Rossmann","given":"C.","non-dropping-particle":"","parse-names":false,"suffix":""},{"dropping-particle":"","family":"Waltering","given":"A.","non-dropping-particle":"","parse-names":false,"suffix":""}],"container-title":"JOURNAL OF MEDICAL INTERNET RESEARCH","id":"ITEM-1","issue":"8","issued":{"date-parts":[["2020"]]},"page":"e15899","title":"Communicating Uncertainty in Written Consumer Health Information to the Public:Parallel-Group, Web-Based Randomized Controlled Trial","type":"article-journal","volume":"22"},"uris":["http://www.mendeley.com/documents/?uuid=2ec84844-1608-4b46-89f0-2aa368459057"]}],"mendeley":{"formattedCitation":"[43]","plainTextFormattedCitation":"[43]","previouslyFormattedCitation":"[43]"},"properties":{"noteIndex":0},"schema":"https://github.com/citation-style-language/schema/raw/master/csl-citation.json"}</w:instrText>
      </w:r>
      <w:r w:rsidR="00984291">
        <w:rPr>
          <w:rFonts w:ascii="Times New Roman" w:hAnsi="Times New Roman"/>
        </w:rPr>
        <w:fldChar w:fldCharType="separate"/>
      </w:r>
      <w:r w:rsidR="007E2086" w:rsidRPr="007E2086">
        <w:rPr>
          <w:rFonts w:ascii="Times New Roman" w:hAnsi="Times New Roman"/>
          <w:noProof/>
        </w:rPr>
        <w:t>[43]</w:t>
      </w:r>
      <w:r w:rsidR="00984291">
        <w:rPr>
          <w:rFonts w:ascii="Times New Roman" w:hAnsi="Times New Roman"/>
        </w:rPr>
        <w:fldChar w:fldCharType="end"/>
      </w:r>
      <w:r w:rsidR="0096427A">
        <w:rPr>
          <w:rFonts w:ascii="Times New Roman" w:hAnsi="Times New Roman"/>
        </w:rPr>
        <w:t xml:space="preserve">; however, </w:t>
      </w:r>
      <w:r w:rsidR="00AC0214">
        <w:rPr>
          <w:rFonts w:ascii="Times New Roman" w:hAnsi="Times New Roman"/>
        </w:rPr>
        <w:t xml:space="preserve">less empirical work has assessed </w:t>
      </w:r>
      <w:r w:rsidR="0096427A">
        <w:rPr>
          <w:rFonts w:ascii="Times New Roman" w:hAnsi="Times New Roman"/>
        </w:rPr>
        <w:t xml:space="preserve">how people react to the actual quality of evidence information they are given (i.e. the quality level), irrespective of the presentation format. </w:t>
      </w:r>
      <w:r w:rsidR="000A2BA9" w:rsidRPr="00B05509">
        <w:rPr>
          <w:rFonts w:ascii="Times New Roman" w:hAnsi="Times New Roman"/>
        </w:rPr>
        <w:t xml:space="preserve">To address this gap, in this research we asked whether </w:t>
      </w:r>
      <w:r w:rsidR="00A20044" w:rsidRPr="00B05509">
        <w:rPr>
          <w:rFonts w:ascii="Times New Roman" w:hAnsi="Times New Roman"/>
        </w:rPr>
        <w:t>communicating the quality of the underlying evidence</w:t>
      </w:r>
      <w:r w:rsidR="00C119E9" w:rsidRPr="00B05509">
        <w:rPr>
          <w:rFonts w:ascii="Times New Roman" w:hAnsi="Times New Roman"/>
        </w:rPr>
        <w:t xml:space="preserve"> </w:t>
      </w:r>
      <w:r w:rsidR="000436F3" w:rsidRPr="00B05509">
        <w:rPr>
          <w:rFonts w:ascii="Times New Roman" w:hAnsi="Times New Roman"/>
        </w:rPr>
        <w:t xml:space="preserve">(in the form of concise labels such as ‘low’ and ‘high’ quality of evidence) </w:t>
      </w:r>
      <w:r w:rsidR="00C119E9" w:rsidRPr="00B05509">
        <w:rPr>
          <w:rFonts w:ascii="Times New Roman" w:hAnsi="Times New Roman"/>
        </w:rPr>
        <w:t>affect</w:t>
      </w:r>
      <w:r w:rsidR="00923681" w:rsidRPr="00B05509">
        <w:rPr>
          <w:rFonts w:ascii="Times New Roman" w:hAnsi="Times New Roman"/>
        </w:rPr>
        <w:t>s</w:t>
      </w:r>
      <w:r w:rsidR="00C119E9" w:rsidRPr="00B05509">
        <w:rPr>
          <w:rFonts w:ascii="Times New Roman" w:hAnsi="Times New Roman"/>
        </w:rPr>
        <w:t xml:space="preserve"> the public’s</w:t>
      </w:r>
      <w:r w:rsidR="007B641B" w:rsidRPr="00B05509">
        <w:rPr>
          <w:rFonts w:ascii="Times New Roman" w:hAnsi="Times New Roman"/>
        </w:rPr>
        <w:t xml:space="preserve"> trust in the information, their</w:t>
      </w:r>
      <w:r w:rsidR="00C119E9" w:rsidRPr="00B05509">
        <w:rPr>
          <w:rFonts w:ascii="Times New Roman" w:hAnsi="Times New Roman"/>
        </w:rPr>
        <w:t xml:space="preserve"> perception of the efficacy of </w:t>
      </w:r>
      <w:r w:rsidR="007B641B" w:rsidRPr="00B05509">
        <w:rPr>
          <w:rFonts w:ascii="Times New Roman" w:hAnsi="Times New Roman"/>
        </w:rPr>
        <w:t xml:space="preserve">the </w:t>
      </w:r>
      <w:r w:rsidR="000A2BA9" w:rsidRPr="00B05509">
        <w:rPr>
          <w:rFonts w:ascii="Times New Roman" w:hAnsi="Times New Roman"/>
        </w:rPr>
        <w:t xml:space="preserve">behavioural </w:t>
      </w:r>
      <w:r w:rsidR="00C119E9" w:rsidRPr="00B05509">
        <w:rPr>
          <w:rFonts w:ascii="Times New Roman" w:hAnsi="Times New Roman"/>
        </w:rPr>
        <w:t xml:space="preserve">intervention being described, and the likelihood of them acting on the conclusions </w:t>
      </w:r>
      <w:r w:rsidR="007B641B" w:rsidRPr="00B05509">
        <w:rPr>
          <w:rFonts w:ascii="Times New Roman" w:hAnsi="Times New Roman"/>
        </w:rPr>
        <w:t xml:space="preserve">based upon </w:t>
      </w:r>
      <w:r w:rsidR="00C119E9" w:rsidRPr="00B05509">
        <w:rPr>
          <w:rFonts w:ascii="Times New Roman" w:hAnsi="Times New Roman"/>
        </w:rPr>
        <w:t>the evidence (e</w:t>
      </w:r>
      <w:r w:rsidR="002D05B6" w:rsidRPr="00B05509">
        <w:rPr>
          <w:rFonts w:ascii="Times New Roman" w:hAnsi="Times New Roman"/>
        </w:rPr>
        <w:t>.</w:t>
      </w:r>
      <w:r w:rsidR="00C119E9" w:rsidRPr="00B05509">
        <w:rPr>
          <w:rFonts w:ascii="Times New Roman" w:hAnsi="Times New Roman"/>
        </w:rPr>
        <w:t xml:space="preserve">g. </w:t>
      </w:r>
      <w:r w:rsidR="008B738F" w:rsidRPr="00B05509">
        <w:rPr>
          <w:rFonts w:ascii="Times New Roman" w:hAnsi="Times New Roman"/>
        </w:rPr>
        <w:t>choosing</w:t>
      </w:r>
      <w:r w:rsidR="00C119E9" w:rsidRPr="00B05509">
        <w:rPr>
          <w:rFonts w:ascii="Times New Roman" w:hAnsi="Times New Roman"/>
        </w:rPr>
        <w:t xml:space="preserve"> </w:t>
      </w:r>
      <w:r w:rsidR="007B641B" w:rsidRPr="00B05509">
        <w:rPr>
          <w:rFonts w:ascii="Times New Roman" w:hAnsi="Times New Roman"/>
        </w:rPr>
        <w:t xml:space="preserve">to adopt the </w:t>
      </w:r>
      <w:r w:rsidR="00C119E9" w:rsidRPr="00B05509">
        <w:rPr>
          <w:rFonts w:ascii="Times New Roman" w:hAnsi="Times New Roman"/>
        </w:rPr>
        <w:t>intervention)</w:t>
      </w:r>
      <w:r w:rsidR="000436F3" w:rsidRPr="00B05509">
        <w:rPr>
          <w:rFonts w:ascii="Times New Roman" w:hAnsi="Times New Roman"/>
        </w:rPr>
        <w:t>.</w:t>
      </w:r>
      <w:r w:rsidR="000A2BA9" w:rsidRPr="00B05509">
        <w:rPr>
          <w:rFonts w:ascii="Times New Roman" w:hAnsi="Times New Roman"/>
        </w:rPr>
        <w:t xml:space="preserve"> </w:t>
      </w:r>
    </w:p>
    <w:p w14:paraId="5BA7D9C8" w14:textId="5A869748" w:rsidR="00973557" w:rsidRPr="00B05509" w:rsidRDefault="00941727" w:rsidP="007C3BBA">
      <w:pPr>
        <w:spacing w:line="480" w:lineRule="auto"/>
        <w:rPr>
          <w:rFonts w:ascii="Times New Roman" w:hAnsi="Times New Roman"/>
        </w:rPr>
      </w:pPr>
      <w:r w:rsidRPr="00B05509">
        <w:rPr>
          <w:rFonts w:ascii="Times New Roman" w:hAnsi="Times New Roman"/>
        </w:rPr>
        <w:lastRenderedPageBreak/>
        <w:t>In June 2020, The L</w:t>
      </w:r>
      <w:r w:rsidR="00973557" w:rsidRPr="00B05509">
        <w:rPr>
          <w:rFonts w:ascii="Times New Roman" w:hAnsi="Times New Roman"/>
        </w:rPr>
        <w:t xml:space="preserve">ancet produced </w:t>
      </w:r>
      <w:r w:rsidRPr="00B05509">
        <w:rPr>
          <w:rFonts w:ascii="Times New Roman" w:hAnsi="Times New Roman"/>
        </w:rPr>
        <w:t xml:space="preserve">an </w:t>
      </w:r>
      <w:r w:rsidR="00973557" w:rsidRPr="00B05509">
        <w:rPr>
          <w:rFonts w:ascii="Times New Roman" w:hAnsi="Times New Roman"/>
        </w:rPr>
        <w:t xml:space="preserve">infographic to accompany </w:t>
      </w:r>
      <w:r w:rsidRPr="00B05509">
        <w:rPr>
          <w:rFonts w:ascii="Times New Roman" w:hAnsi="Times New Roman"/>
        </w:rPr>
        <w:t>a meta-analysis of three behavioural interventions to protect against COVID-19 infection or transmission</w:t>
      </w:r>
      <w:r w:rsidR="00157073">
        <w:rPr>
          <w:rFonts w:ascii="Times New Roman" w:hAnsi="Times New Roman"/>
        </w:rPr>
        <w:t xml:space="preserve"> </w:t>
      </w:r>
      <w:r w:rsidRPr="00B05509">
        <w:rPr>
          <w:rFonts w:ascii="Times New Roman" w:hAnsi="Times New Roman"/>
        </w:rPr>
        <w:fldChar w:fldCharType="begin" w:fldLock="1"/>
      </w:r>
      <w:r w:rsidR="00B27523">
        <w:rPr>
          <w:rFonts w:ascii="Times New Roman" w:hAnsi="Times New Roman"/>
        </w:rPr>
        <w:instrText>ADDIN CSL_CITATION {"citationItems":[{"id":"ITEM-1","itemData":{"DOI":"10.1016/S0140-6736(20)31142-9","ISSN":"1474547X","PMID":"32497510","abstract":"Background: Severe acute respiratory syndrome coronavirus 2 (SARS-CoV-2) causes COVID-19 and is spread person-to-person through close contact. We aimed to investigate the effects of physical distance, face masks, and eye protection on virus transmission in health-care and non-health-care (eg, community) settings. Methods: We did a systematic review and meta-analysis to investigate the optimum distance for avoiding person-to-person virus transmission and to assess the use of face masks and eye protection to prevent transmission of viruses. We obtained data for SARS-CoV-2 and the betacoronaviruses that cause severe acute respiratory syndrome, and Middle East respiratory syndrome from 21 standard WHO-specific and COVID-19-specific sources. We searched these data sources from database inception to May 3, 2020, with no restriction by language, for comparative studies and for contextual factors of acceptability, feasibility, resource use, and equity. We screened records, extracted data, and assessed risk of bias in duplicate. We did frequentist and Bayesian meta-analyses and random-effects meta-regressions. We rated the certainty of evidence according to Cochrane methods and the GRADE approach. This study is registered with PROSPERO, CRD42020177047. Findings: Our search identified 172 observational studies across 16 countries and six continents, with no randomised controlled trials and 44 relevant comparative studies in health-care and non-health-care settings (n=25 697 patients). Transmission of viruses was lower with physical distancing of 1 m or more, compared with a distance of less than 1 m (n=10 736, pooled adjusted odds ratio [aOR] 0·18, 95% CI 0·09 to 0·38; risk difference [RD] −10·2%, 95% CI −11·5 to −7·5; moderate certainty); protection was increased as distance was lengthened (change in relative risk [RR] 2·02 per m; pinteraction=0·041; moderate certainty). Face mask use could result in a large reduction in risk of infection (n=2647; aOR 0·15, 95% CI 0·07 to 0·34, RD −14·3%, −15·9 to −10·7; low certainty), with stronger associations with N95 or similar respirators compared with disposable surgical masks or similar (eg, reusable 12–16-layer cotton masks; pinteraction=0·090; posterior probability &gt;95%, low certainty). Eye protection also was associated with less infection (n=3713; aOR 0·22, 95% CI 0·12 to 0·39, RD −10·6%, 95% CI −12·5 to −7·7; low certainty). Unadjusted studies and subgroup and sensitivity analyses showed similar findings. Interpreta…","author":[{"dropping-particle":"","family":"Chu","given":"Derek K.","non-dropping-particle":"","parse-names":false,"suffix":""},{"dropping-particle":"","family":"Akl","given":"Elie A.","non-dropping-particle":"","parse-names":false,"suffix":""},{"dropping-particle":"","family":"Duda","given":"Stephanie","non-dropping-particle":"","parse-names":false,"suffix":""},{"dropping-particle":"","family":"Solo","given":"Karla","non-dropping-particle":"","parse-names":false,"suffix":""},{"dropping-particle":"","family":"Yaacoub","given":"Sally","non-dropping-particle":"","parse-names":false,"suffix":""},{"dropping-particle":"","family":"Schünemann","given":"Holger J.","non-dropping-particle":"","parse-names":false,"suffix":""},{"dropping-particle":"","family":"El-harakeh","given":"Amena","non-dropping-particle":"","parse-names":false,"suffix":""},{"dropping-particle":"","family":"Bognanni","given":"Antonio","non-dropping-particle":"","parse-names":false,"suffix":""},{"dropping-particle":"","family":"Lotfi","given":"Tamara","non-dropping-particle":"","parse-names":false,"suffix":""},{"dropping-particle":"","family":"Loeb","given":"Mark","non-dropping-particle":"","parse-names":false,"suffix":""},{"dropping-particle":"","family":"Hajizadeh","given":"Anisa","non-dropping-particle":"","parse-names":false,"suffix":""},{"dropping-particle":"","family":"Bak","given":"Anna","non-dropping-particle":"","parse-names":false,"suffix":""},{"dropping-particle":"","family":"Izcovich","given":"Ariel","non-dropping-particle":"","parse-names":false,"suffix":""},{"dropping-particle":"","family":"Cuello-Garcia","given":"Carlos A.","non-dropping-particle":"","parse-names":false,"suffix":""},{"dropping-particle":"","family":"Chen","given":"Chen","non-dropping-particle":"","parse-names":false,"suffix":""},{"dropping-particle":"","family":"Harris","given":"David J.","non-dropping-particle":"","parse-names":false,"suffix":""},{"dropping-particle":"","family":"Borowiack","given":"Ewa","non-dropping-particle":"","parse-names":false,"suffix":""},{"dropping-particle":"","family":"Chamseddine","given":"Fatimah","non-dropping-particle":"","parse-names":false,"suffix":""},{"dropping-particle":"","family":"Schünemann","given":"Finn","non-dropping-particle":"","parse-names":false,"suffix":""},{"dropping-particle":"","family":"Morgano","given":"Gian Paolo","non-dropping-particle":"","parse-names":false,"suffix":""},{"dropping-particle":"","family":"Muti Schünemann","given":"Giovanna E.U.","non-dropping-particle":"","parse-names":false,"suffix":""},{"dropping-particle":"","family":"Chen","given":"Guang","non-dropping-particle":"","parse-names":false,"suffix":""},{"dropping-particle":"","family":"Zhao","given":"Hong","non-dropping-particle":"","parse-names":false,"suffix":""},{"dropping-particle":"","family":"Neumann","given":"Ignacio","non-dropping-particle":"","parse-names":false,"suffix":""},{"dropping-particle":"","family":"Chan","given":"Jeffrey","non-dropping-particle":"","parse-names":false,"suffix":""},{"dropping-particle":"","family":"Khabsa","given":"Joanne","non-dropping-particle":"","parse-names":false,"suffix":""},{"dropping-particle":"","family":"Hneiny","given":"Layal","non-dropping-particle":"","parse-names":false,"suffix":""},{"dropping-particle":"","family":"Harrison","given":"Leila","non-dropping-particle":"","parse-names":false,"suffix":""},{"dropping-particle":"","family":"Smith","given":"Maureen","non-dropping-particle":"","parse-names":false,"suffix":""},{"dropping-particle":"","family":"Rizk","given":"Nesrine","non-dropping-particle":"","parse-names":false,"suffix":""},{"dropping-particle":"","family":"Giorgi Rossi","given":"Paolo","non-dropping-particle":"","parse-names":false,"suffix":""},{"dropping-particle":"","family":"AbiHanna","given":"Pierre","non-dropping-particle":"","parse-names":false,"suffix":""},{"dropping-particle":"","family":"El-khoury","given":"Rayane","non-dropping-particle":"","parse-names":false,"suffix":""},{"dropping-particle":"","family":"Stalteri","given":"Rosa","non-dropping-particle":"","parse-names":false,"suffix":""},{"dropping-particle":"","family":"Baldeh","given":"Tejan","non-dropping-particle":"","parse-names":false,"suffix":""},{"dropping-particle":"","family":"Piggott","given":"Thomas","non-dropping-particle":"","parse-names":false,"suffix":""},{"dropping-particle":"","family":"Zhang","given":"Yuan","non-dropping-particle":"","parse-names":false,"suffix":""},{"dropping-particle":"","family":"Saad","given":"Zahra","non-dropping-particle":"","parse-names":false,"suffix":""},{"dropping-particle":"","family":"Khamis","given":"Assem","non-dropping-particle":"","parse-names":false,"suffix":""},{"dropping-particle":"","family":"Reinap","given":"Marge","non-dropping-particle":"","parse-names":false,"suffix":""}],"container-title":"The Lancet","id":"ITEM-1","issue":"10242","issued":{"date-parts":[["2020"]]},"page":"1973-1987","title":"Physical distancing, face masks, and eye protection to prevent person-to-person transmission of SARS-CoV-2 and COVID-19: a systematic review and meta-analysis","type":"article-journal","volume":"395"},"uris":["http://www.mendeley.com/documents/?uuid=8c2a9010-020a-4569-8b3f-0d4d0ccdb6f2"]}],"mendeley":{"formattedCitation":"[6]","plainTextFormattedCitation":"[6]","previouslyFormattedCitation":"[6]"},"properties":{"noteIndex":0},"schema":"https://github.com/citation-style-language/schema/raw/master/csl-citation.json"}</w:instrText>
      </w:r>
      <w:r w:rsidRPr="00B05509">
        <w:rPr>
          <w:rFonts w:ascii="Times New Roman" w:hAnsi="Times New Roman"/>
        </w:rPr>
        <w:fldChar w:fldCharType="separate"/>
      </w:r>
      <w:r w:rsidR="00B27523" w:rsidRPr="00B27523">
        <w:rPr>
          <w:rFonts w:ascii="Times New Roman" w:hAnsi="Times New Roman"/>
          <w:noProof/>
        </w:rPr>
        <w:t>[6]</w:t>
      </w:r>
      <w:r w:rsidRPr="00B05509">
        <w:rPr>
          <w:rFonts w:ascii="Times New Roman" w:hAnsi="Times New Roman"/>
        </w:rPr>
        <w:fldChar w:fldCharType="end"/>
      </w:r>
      <w:r w:rsidR="00973557" w:rsidRPr="00B05509">
        <w:rPr>
          <w:rFonts w:ascii="Times New Roman" w:hAnsi="Times New Roman"/>
        </w:rPr>
        <w:t xml:space="preserve">. </w:t>
      </w:r>
      <w:r w:rsidRPr="00B05509">
        <w:rPr>
          <w:rFonts w:ascii="Times New Roman" w:hAnsi="Times New Roman"/>
        </w:rPr>
        <w:t xml:space="preserve">The infographic </w:t>
      </w:r>
      <w:r w:rsidR="00DD3518" w:rsidRPr="00B05509">
        <w:rPr>
          <w:rFonts w:ascii="Times New Roman" w:hAnsi="Times New Roman"/>
        </w:rPr>
        <w:t>used many principles of</w:t>
      </w:r>
      <w:r w:rsidR="000728AD" w:rsidRPr="00B05509">
        <w:rPr>
          <w:rFonts w:ascii="Times New Roman" w:hAnsi="Times New Roman"/>
        </w:rPr>
        <w:t xml:space="preserve"> good evidence communication</w:t>
      </w:r>
      <w:r w:rsidR="00AC0214">
        <w:rPr>
          <w:rFonts w:ascii="Times New Roman" w:hAnsi="Times New Roman"/>
        </w:rPr>
        <w:t xml:space="preserve"> based on empirical evidence</w:t>
      </w:r>
      <w:r w:rsidR="000728AD" w:rsidRPr="00B05509">
        <w:rPr>
          <w:rFonts w:ascii="Times New Roman" w:hAnsi="Times New Roman"/>
        </w:rPr>
        <w:t xml:space="preserve">, </w:t>
      </w:r>
      <w:r w:rsidR="00AC0214">
        <w:rPr>
          <w:rFonts w:ascii="Times New Roman" w:hAnsi="Times New Roman"/>
        </w:rPr>
        <w:t>such as</w:t>
      </w:r>
      <w:r w:rsidR="007E138F" w:rsidRPr="00B05509">
        <w:rPr>
          <w:rFonts w:ascii="Times New Roman" w:hAnsi="Times New Roman"/>
        </w:rPr>
        <w:t xml:space="preserve"> </w:t>
      </w:r>
      <w:r w:rsidR="000728AD" w:rsidRPr="00B05509">
        <w:rPr>
          <w:rFonts w:ascii="Times New Roman" w:hAnsi="Times New Roman"/>
        </w:rPr>
        <w:t>a</w:t>
      </w:r>
      <w:r w:rsidR="00973557" w:rsidRPr="00B05509">
        <w:rPr>
          <w:rFonts w:ascii="Times New Roman" w:hAnsi="Times New Roman"/>
        </w:rPr>
        <w:t xml:space="preserve"> clear comparison of control and intervention groups with absolute risks in comparable format</w:t>
      </w:r>
      <w:r w:rsidR="000728AD" w:rsidRPr="00B05509">
        <w:rPr>
          <w:rFonts w:ascii="Times New Roman" w:hAnsi="Times New Roman"/>
        </w:rPr>
        <w:t xml:space="preserve"> and an icon array graphic to illustrate the simple percentag</w:t>
      </w:r>
      <w:r w:rsidR="00AC0214">
        <w:rPr>
          <w:rFonts w:ascii="Times New Roman" w:hAnsi="Times New Roman"/>
        </w:rPr>
        <w:t>es</w:t>
      </w:r>
      <w:r w:rsidR="00157073">
        <w:rPr>
          <w:rFonts w:ascii="Times New Roman" w:hAnsi="Times New Roman"/>
        </w:rPr>
        <w:t xml:space="preserve"> </w:t>
      </w:r>
      <w:r w:rsidR="00157073">
        <w:rPr>
          <w:rFonts w:ascii="Times New Roman" w:hAnsi="Times New Roman"/>
        </w:rPr>
        <w:fldChar w:fldCharType="begin" w:fldLock="1"/>
      </w:r>
      <w:r w:rsidR="00DA7ECD">
        <w:rPr>
          <w:rFonts w:ascii="Times New Roman" w:hAnsi="Times New Roman"/>
        </w:rPr>
        <w:instrText>ADDIN CSL_CITATION {"citationItems":[{"id":"ITEM-1","itemData":{"DOI":"10.7326/M14-0295","ISBN":"1539-3704 (Electronic)\\r0003-4819 (Linking)","ISSN":"15393704","PMID":"25133362","abstract":"BACKGROUND: Effective communication of risks and benefits to patients is critical for shared decision making. PURPOSE: To review the comparative effectiveness of methods of communicating probabilistic information to patients that maximize their cognitive and behavioral outcomes. DATA SOURCES: PubMed (1966 to March 2014) and CINAHL, EMBASE, and the Cochrane Central Register of Controlled Trials (1966 to December 2011) using several keywords and structured terms. STUDY SELECTION: Prospective or cross-sectional studies that recruited patients or healthy volunteers and compared any method of communicating probabilistic information with another method. DATA EXTRACTION: Two independent reviewers extracted study characteristics and assessed risk of bias. DATA SYNTHESIS: Eighty-four articles, representing 91 unique studies, evaluated various methods of numerical and visual risk display across several risk scenarios and with diverse outcome measures. Studies showed that visual aids (icon arrays and bar graphs) improved patients' understanding and satisfaction. Presentations including absolute risk reductions were better than those including relative risk reductions for maximizing accuracy and seemed less likely than presentations with relative risk reductions to influence decisions to accept therapy. The presentation of numbers needed to treat reduced understanding. Comparative effects of presentations of frequencies (such as 1 in 5) versus event rates (percentages, such as 20%) were inconclusive. LIMITATION: Most studies were small and highly variable in terms of setting, context, and methods of administering interventions. CONCLUSION: Visual aids and absolute risk formats can improve patients' understanding of probabilistic information, whereas numbers needed to treat can lessen their understanding. Due to study heterogeneity, the superiority of any single method for conveying probabilistic information is not established, but there are several good options to help clinicians communicate with patients. PRIMARY FUNDING SOURCE: None.","author":[{"dropping-particle":"","family":"Zipkin","given":"Daniella A.","non-dropping-particle":"","parse-names":false,"suffix":""},{"dropping-particle":"","family":"Umscheid","given":"Craig A.","non-dropping-particle":"","parse-names":false,"suffix":""},{"dropping-particle":"","family":"Keating","given":"Nancy L.","non-dropping-particle":"","parse-names":false,"suffix":""},{"dropping-particle":"","family":"Allen","given":"Elizabeth","non-dropping-particle":"","parse-names":false,"suffix":""},{"dropping-particle":"","family":"Aung","given":"Koko","non-dropping-particle":"","parse-names":false,"suffix":""},{"dropping-particle":"","family":"Beyth","given":"Rebecca","non-dropping-particle":"","parse-names":false,"suffix":""},{"dropping-particle":"","family":"Kaatz","given":"Scott","non-dropping-particle":"","parse-names":false,"suffix":""},{"dropping-particle":"","family":"Mann","given":"Devin M.","non-dropping-particle":"","parse-names":false,"suffix":""},{"dropping-particle":"","family":"Sussman","given":"Jeremy B.","non-dropping-particle":"","parse-names":false,"suffix":""},{"dropping-particle":"","family":"Korenstein","given":"Deborah","non-dropping-particle":"","parse-names":false,"suffix":""},{"dropping-particle":"","family":"Schardt","given":"Connie","non-dropping-particle":"","parse-names":false,"suffix":""},{"dropping-particle":"","family":"Nagi","given":"Avishek","non-dropping-particle":"","parse-names":false,"suffix":""},{"dropping-particle":"","family":"Sloane","given":"Richard","non-dropping-particle":"","parse-names":false,"suffix":""},{"dropping-particle":"","family":"Feldstein","given":"David A.","non-dropping-particle":"","parse-names":false,"suffix":""}],"container-title":"Annals of Internal Medicine","id":"ITEM-1","issue":"4","issued":{"date-parts":[["2014"]]},"page":"270-280","title":"Evidence-based risk communication: A systematic review","type":"article-journal","volume":"161"},"uris":["http://www.mendeley.com/documents/?uuid=b717e958-174c-4f94-a9f6-e050d68fb23b"]},{"id":"ITEM-2","itemData":{"DOI":"10.1197/jamia.M2115.Introduction","ISBN":"10.1197/jamia.M2115","ISSN":"1067-5027","PMID":"16929039","abstract":"This review describes recent experimental and focus group research on graphics as a method of communication about quantitative health risks. Some of the studies discussed in this review assessed effect of graphs on quantitative reasoning, others assessed effects on behavior or behavioral intentions, and still others assessed viewers’ likes and dislikes. Graphical features that improve the accuracy of quantitative reasoning appear to differ from the features most likely to alter behavior or intentions. For example, graphs that make part-to-whole relationships available visually may help people attend to the relationship between the numerator (the number of people affected by a hazard) and the denominator (the entire population at risk), whereas graphs that show only the numerator appear to inflate the perceived risk and may induce risk-averse behavior. Viewers often preferred design features such as visual simplicity and familiarity that were not associated with accurate quantitative judgments. Communicators should not assume that all graphics are more intuitive than text; many of the studies found that patients’ interpretations of the graphics were dependent upon expertise or instruction. Potentially useful directions for continuing research include interactions with educational level and numeracy and successful ways to communicate uncertainty about risk.","author":[{"dropping-particle":"","family":"Ancker","given":"Jessica S.","non-dropping-particle":"","parse-names":false,"suffix":""},{"dropping-particle":"","family":"Senathrajah","given":"Yalini","non-dropping-particle":"","parse-names":false,"suffix":""},{"dropping-particle":"","family":"Kukafka","given":"Rita","non-dropping-particle":"","parse-names":false,"suffix":""},{"dropping-particle":"","family":"Starren","given":"Justin B.","non-dropping-particle":"","parse-names":false,"suffix":""}],"container-title":"Journal of the American Medical Informatics Association","id":"ITEM-2","issue":"6","issued":{"date-parts":[["2006"]]},"page":"608-619","title":"Design features of graphs in health risk communication : A systematic review","type":"article-journal","volume":"13"},"uris":["http://www.mendeley.com/documents/?uuid=98eb9b01-ce16-41e6-b684-d27b0cb76838"]},{"id":"ITEM-3","itemData":{"DOI":"10.1213/ANE.0b013e3181e8570a.Presenting","ISSN":"0003-2999","abstract":"Several studies suggest that many parents and research participants have poor understanding of the elements of consent, particularly the risks and benefits. However, some data suggest that the format and framing of research risks and benefits may be an important determinant of subject understanding. We examined the effect of tabular and graphical presentation of risks and benefits on parents' understanding of a research study. Parents of children scheduled to undergo an elective surgical procedure (n = 408) were randomized to receive information about the risks and benefits of a sham study of postoperative pain control using text, tables, or pictographs and then completed a questionnaire to examine their gist (essential) and verbatim (actual) understanding of the information. Parent demographics were recorded and their literacy and numeracy skills measured. Parents randomized to receive information using tables or pictographs had significantly (P &lt; 0.025) greater gist and verbatim understanding than did parents who received the information using standard text. Tables and pictographs were also superior to text in promoting understanding among parents with low numeracy and literacy skills. Many parents and patients have difficulty in assimilating and interpreting risk/benefit information for both research and treatment. This is due, in part, to the manner in which risks and benefits are communicated and to the literacy and numeracy abilities of the individual. The results of this study suggest a simple and practical method for enhancing understanding of risk/benefit statistics for parents with varying numeracy and literacy skills.","author":[{"dropping-particle":"","family":"Tait","given":"Alan R.","non-dropping-particle":"","parse-names":false,"suffix":""},{"dropping-particle":"","family":"Voepel-lewis","given":"Terri","non-dropping-particle":"","parse-names":false,"suffix":""},{"dropping-particle":"","family":"Zikmund-fisher","given":"Brian J.","non-dropping-particle":"","parse-names":false,"suffix":""},{"dropping-particle":"","family":"Fagerlin","given":"Angela","non-dropping-particle":"","parse-names":false,"suffix":""},{"dropping-particle":"","family":"Tait, A. R., Voepel-Lewis, T., Zikmund-Fisher, B. J., &amp; Fagerlin","given":"A.","non-dropping-particle":"","parse-names":false,"suffix":""}],"container-title":"Anesthesia and Analgesia","id":"ITEM-3","issue":"3","issued":{"date-parts":[["2012","9","1"]]},"page":"718-723","publisher":"Anesthesia &amp; Analgesia","title":"Presenting research risks and benefits to parents: Does format matter?","type":"article-journal","volume":"111"},"uris":["http://www.mendeley.com/documents/?uuid=0ab6ea6b-8a50-490c-8df2-500934990081"]},{"id":"ITEM-4","itemData":{"DOI":"10.1177/0272989X14551639","ISSN":"1552681X","PMID":"25277673","abstract":"Objective. Given the long natural history of prostate cancer, we assessed differing graphical formats for imparting knowledge about the longitudinal risks of prostate cancer recurrence with or without 'hormone' or 'androgen deprivation' therapy.\nMethods. Male volunteers without a history of prostate cancer were randomized to 1 of 8 risk communication instruments that depicted the likelihood of prostate cancer returning or spreading over 1, 2, and 3 years. The tools differed in format (line, pie, bar, or pictograph) and whether the graph also included no numbers, 1 number (indicating the number of affected individuals), or 2 numbers (indicting both the number affected and the number unaffected). The main outcome variables evaluated were graphical preference and knowledge.\nResults. A total of 420 men were recruited; respondents were least familiar and experienced with pictographs (P &lt; 0.0001), and only 10% preferred this particular format. Overall accuracy ranged from 79% to 92%, and when assessed across all graphical subtypes, the addition of numerical information did not improve verbatim knowledge (P = 0.1). Self-reported numeracy was a strong predictor of accuracy of responses (odds ratio [OR] = 2.6, P = 0.008), and the impact of high numeracy varied across graphical type, having a greater impact on line (OR = 5.1; 95% confidence interval [CI] = 1.6-16; P = 0.04) and pie charts (OR = 7.1; 95% CI = 2.6-19; P =0.01), without an impact on pictographs (OR = 0.4; 95% CI = 0.1-1.7; P = 0.17) or bar charts (OR = 0.5; 95% CI = 0.1-1.8; P = 0.24).\nConclusion. For longitudinal presentation of risk, baseline numeracy was strongly prognostic for outcome. However, the addition of numbers to risk graphs improved only the delivery of verbatim knowledge for subjects with lower numeracy. Although subjects reported the least familiarity with pictographs, they were one of the most effective means of transferring information regardless of numeracy. © The Author(s) 2014.","author":[{"dropping-particle":"","family":"Hamstra","given":"Daniel A.","non-dropping-particle":"","parse-names":false,"suffix":""},{"dropping-particle":"","family":"Johnson","given":"Skyler B.","non-dropping-particle":"","parse-names":false,"suffix":""},{"dropping-particle":"","family":"Daignault","given":"Stephanie","non-dropping-particle":"","parse-names":false,"suffix":""},{"dropping-particle":"","family":"Zikmund-Fisher","given":"Brian J.","non-dropping-particle":"","parse-names":false,"suffix":""},{"dropping-particle":"","family":"Taylor","given":"Jeremy M.G.","non-dropping-particle":"","parse-names":false,"suffix":""},{"dropping-particle":"","family":"Larkin","given":"Knoll","non-dropping-particle":"","parse-names":false,"suffix":""},{"dropping-particle":"","family":"Wood","given":"Alexander","non-dropping-particle":"","parse-names":false,"suffix":""},{"dropping-particle":"","family":"Fagerlin","given":"Angela","non-dropping-particle":"","parse-names":false,"suffix":""}],"container-title":"Medical Decision Making","id":"ITEM-4","issue":"1","issued":{"date-parts":[["2015"]]},"page":"27-36","title":"The impact of numeracy on verbatim knowledge of the longitudinal risk for prostate cancer recurrence following radiation therapy","type":"article-journal","volume":"35"},"uris":["http://www.mendeley.com/documents/?uuid=af260807-d1ef-4e5d-a1dd-367aaa2014f4"]},{"id":"ITEM-5","itemData":{"DOI":"10.1109/IPCC.2017.8013960","ISBN":"9781509030422","ISSN":"21581002","abstract":"This paper discusses the need for an integrative literature review on data visualizations, particularly in health and medical contexts. The paper analyzes 25 studies across disciplines. The findings suggest there is little agreement on the best way to visualize complex data for lay audiences, but some emerging effective practices are being develop. Pictographs, icon arrays, and bar charts seem to hold promise for comprehension by users, and visualizations need to be kept as simple as possible with attention to integrating other design features such as headings and legends. The review ends with five specific research areas in which technical and professional communicators should focus their attention on empirical studies that examine: interactive displays, merge attention and comprehension, look at numeracy and risk and finally, cross health and medical subjects.","author":[{"dropping-particle":"","family":"Meloncon","given":"Lisa","non-dropping-particle":"","parse-names":false,"suffix":""},{"dropping-particle":"","family":"Warner","given":"Emily","non-dropping-particle":"","parse-names":false,"suffix":""}],"container-title":"IEEE International Professional Communication Conference","id":"ITEM-5","issue":"c","issued":{"date-parts":[["2017"]]},"title":"Data visualizations: A literature review and opportunities for technical and professional communication","type":"article-journal","volume":"00"},"uris":["http://www.mendeley.com/documents/?uuid=e57b58ca-7b56-46f2-b36c-d30c59c16073"]},{"id":"ITEM-6","itemData":{"DOI":"10.1016/j.pec.2008.07.023","ISBN":"0738-3991 (Print)\\r0738-3991 (Linking)","ISSN":"07383991","PMID":"18755566","abstract":"Objective: To evaluate the ability of six graph formats to impart knowledge about treatment risks/benefits to low and high numeracy individuals. Methods: Participants were randomized to receive numerical information about the risks and benefits of a hypothetical medical treatment in one of six graph formats. Each described the benefits of taking one of two drugs, as well as the risks of experiencing side effects. Main outcome variables were verbatim (specific numerical) and gist (general impression) knowledge. Participants were also asked to rate their perceptions of the graphical format and to choose a treatment. Results: 2412 participants completed the survey. Viewing a pictograph was associated with adequate levels of both types of knowledge, especially for lower numeracy individuals. Viewing tables was associated with a higher likelihood of having adequate verbatim knowledge vs. other formats (p &lt; 0.001) but lower likelihood of having adequate gist knowledge (p &lt; 0.05). All formats were positively received, but pictograph was trusted by both high and low numeracy respondents. Verbatim and gist knowledge were significantly (p &lt; 0.01) associated with making a medically superior treatment choice. Conclusion: Pictographs are the best format for communicating probabilistic information to patients in shared decision making environments, particularly among lower numeracy individuals. Practice Implications: Providers can consider using pictographs to communicate risk and benefit information to patients of different numeracy levels.","author":[{"dropping-particle":"","family":"Hawley","given":"Sarah T.","non-dropping-particle":"","parse-names":false,"suffix":""},{"dropping-particle":"","family":"Zikmund-Fisher","given":"Brian","non-dropping-particle":"","parse-names":false,"suffix":""},{"dropping-particle":"","family":"Ubel","given":"Peter","non-dropping-particle":"","parse-names":false,"suffix":""},{"dropping-particle":"","family":"Jancovic","given":"Aleksandra","non-dropping-particle":"","parse-names":false,"suffix":""},{"dropping-particle":"","family":"Lucas","given":"Todd","non-dropping-particle":"","parse-names":false,"suffix":""},{"dropping-particle":"","family":"Fagerlin","given":"Angela","non-dropping-particle":"","parse-names":false,"suffix":""}],"container-title":"Patient Education and Counseling","id":"ITEM-6","issue":"3","issued":{"date-parts":[["2008"]]},"page":"448-455","title":"The impact of the format of graphical presentation on health-related knowledge and treatment choices","type":"article-journal","volume":"73"},"uris":["http://www.mendeley.com/documents/?uuid=5f64e7bb-d5e6-4be4-bc74-97a0f7c9ed9f"]}],"mendeley":{"formattedCitation":"[44–49]","plainTextFormattedCitation":"[44–49]","previouslyFormattedCitation":"[44–49]"},"properties":{"noteIndex":0},"schema":"https://github.com/citation-style-language/schema/raw/master/csl-citation.json"}</w:instrText>
      </w:r>
      <w:r w:rsidR="00157073">
        <w:rPr>
          <w:rFonts w:ascii="Times New Roman" w:hAnsi="Times New Roman"/>
        </w:rPr>
        <w:fldChar w:fldCharType="separate"/>
      </w:r>
      <w:r w:rsidR="007E2086" w:rsidRPr="007E2086">
        <w:rPr>
          <w:rFonts w:ascii="Times New Roman" w:hAnsi="Times New Roman"/>
          <w:noProof/>
        </w:rPr>
        <w:t>[44–49]</w:t>
      </w:r>
      <w:r w:rsidR="00157073">
        <w:rPr>
          <w:rFonts w:ascii="Times New Roman" w:hAnsi="Times New Roman"/>
        </w:rPr>
        <w:fldChar w:fldCharType="end"/>
      </w:r>
      <w:r w:rsidR="00AC0214">
        <w:rPr>
          <w:rFonts w:ascii="Times New Roman" w:hAnsi="Times New Roman"/>
        </w:rPr>
        <w:t xml:space="preserve"> (although the array was of an untested dimension of 5x10 rather than 10x10 icons). However, </w:t>
      </w:r>
      <w:r w:rsidR="00034223">
        <w:rPr>
          <w:rFonts w:ascii="Times New Roman" w:hAnsi="Times New Roman"/>
        </w:rPr>
        <w:t xml:space="preserve"> </w:t>
      </w:r>
      <w:r w:rsidR="00AC0214">
        <w:rPr>
          <w:rFonts w:ascii="Times New Roman" w:hAnsi="Times New Roman"/>
        </w:rPr>
        <w:t>t</w:t>
      </w:r>
      <w:r w:rsidR="000728AD" w:rsidRPr="00B05509">
        <w:rPr>
          <w:rFonts w:ascii="Times New Roman" w:hAnsi="Times New Roman"/>
        </w:rPr>
        <w:t>he graphic also</w:t>
      </w:r>
      <w:r w:rsidR="00973557" w:rsidRPr="00B05509">
        <w:rPr>
          <w:rFonts w:ascii="Times New Roman" w:hAnsi="Times New Roman"/>
        </w:rPr>
        <w:t xml:space="preserve"> </w:t>
      </w:r>
      <w:r w:rsidR="000728AD" w:rsidRPr="00B05509">
        <w:rPr>
          <w:rFonts w:ascii="Times New Roman" w:hAnsi="Times New Roman"/>
        </w:rPr>
        <w:t>included</w:t>
      </w:r>
      <w:r w:rsidR="00973557" w:rsidRPr="00B05509">
        <w:rPr>
          <w:rFonts w:ascii="Times New Roman" w:hAnsi="Times New Roman"/>
        </w:rPr>
        <w:t xml:space="preserve"> statements about </w:t>
      </w:r>
      <w:r w:rsidR="000728AD" w:rsidRPr="00B05509">
        <w:rPr>
          <w:rFonts w:ascii="Times New Roman" w:hAnsi="Times New Roman"/>
        </w:rPr>
        <w:t xml:space="preserve">the </w:t>
      </w:r>
      <w:r w:rsidR="00973557" w:rsidRPr="00B05509">
        <w:rPr>
          <w:rFonts w:ascii="Times New Roman" w:hAnsi="Times New Roman"/>
        </w:rPr>
        <w:t>‘certainty of evidence’</w:t>
      </w:r>
      <w:r w:rsidR="000728AD" w:rsidRPr="00B05509">
        <w:rPr>
          <w:rFonts w:ascii="Times New Roman" w:hAnsi="Times New Roman"/>
        </w:rPr>
        <w:t xml:space="preserve"> for each intervention (</w:t>
      </w:r>
      <w:r w:rsidR="00353957" w:rsidRPr="00B05509">
        <w:rPr>
          <w:rFonts w:ascii="Times New Roman" w:hAnsi="Times New Roman"/>
        </w:rPr>
        <w:t>different from</w:t>
      </w:r>
      <w:r w:rsidR="00AA0017" w:rsidRPr="00B05509">
        <w:rPr>
          <w:rFonts w:ascii="Times New Roman" w:hAnsi="Times New Roman"/>
        </w:rPr>
        <w:t xml:space="preserve"> the</w:t>
      </w:r>
      <w:r w:rsidR="00353957" w:rsidRPr="00B05509">
        <w:rPr>
          <w:rFonts w:ascii="Times New Roman" w:hAnsi="Times New Roman"/>
        </w:rPr>
        <w:t xml:space="preserve"> </w:t>
      </w:r>
      <w:r w:rsidR="000C1B89">
        <w:rPr>
          <w:rFonts w:ascii="Times New Roman" w:hAnsi="Times New Roman"/>
        </w:rPr>
        <w:t xml:space="preserve">original </w:t>
      </w:r>
      <w:r w:rsidR="00353957" w:rsidRPr="00B05509">
        <w:rPr>
          <w:rFonts w:ascii="Times New Roman" w:hAnsi="Times New Roman"/>
        </w:rPr>
        <w:t>GRADE</w:t>
      </w:r>
      <w:r w:rsidR="00DC32CB" w:rsidRPr="00B05509">
        <w:rPr>
          <w:rFonts w:ascii="Times New Roman" w:hAnsi="Times New Roman"/>
        </w:rPr>
        <w:t xml:space="preserve"> wording which use</w:t>
      </w:r>
      <w:r w:rsidR="000C1B89">
        <w:rPr>
          <w:rFonts w:ascii="Times New Roman" w:hAnsi="Times New Roman"/>
        </w:rPr>
        <w:t>d</w:t>
      </w:r>
      <w:r w:rsidR="00DC32CB" w:rsidRPr="00B05509">
        <w:rPr>
          <w:rFonts w:ascii="Times New Roman" w:hAnsi="Times New Roman"/>
        </w:rPr>
        <w:t xml:space="preserve"> </w:t>
      </w:r>
      <w:r w:rsidR="00353957" w:rsidRPr="00B05509">
        <w:rPr>
          <w:rFonts w:ascii="Times New Roman" w:hAnsi="Times New Roman"/>
        </w:rPr>
        <w:t>‘quality of evidence’</w:t>
      </w:r>
      <w:r w:rsidR="00091F56">
        <w:rPr>
          <w:rFonts w:ascii="Times New Roman" w:hAnsi="Times New Roman"/>
        </w:rPr>
        <w:t xml:space="preserve"> but in line with GRADE’s most recent phrasing </w:t>
      </w:r>
      <w:r w:rsidR="00FA6933" w:rsidRPr="00B05509">
        <w:rPr>
          <w:rFonts w:ascii="Times New Roman" w:hAnsi="Times New Roman"/>
        </w:rPr>
        <w:fldChar w:fldCharType="begin" w:fldLock="1"/>
      </w:r>
      <w:r w:rsidR="00DA7ECD">
        <w:rPr>
          <w:rFonts w:ascii="Times New Roman" w:hAnsi="Times New Roman"/>
        </w:rPr>
        <w:instrText>ADDIN CSL_CITATION {"citationItems":[{"id":"ITEM-1","itemData":{"DOI":"10.1136/bmj.39489.470347.AD","ISBN":"1756-1833 (Electronic)\\n0959-535X (Linking)","ISSN":"16722531","PMID":"18436948","abstract":"Guidelines are inconsistent in how they rate the quality of evidence and the strength of recommendations. This article explores the advantages of the GRADE system, which is increasingly being adopted by organisations worldwide.","author":[{"dropping-particle":"","family":"Guyatt","given":"Gordon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Alonso-Coello","given":"Pablo","non-dropping-particle":"","parse-names":false,"suffix":""},{"dropping-particle":"","family":"Schünemann","given":"Holger J.","non-dropping-particle":"","parse-names":false,"suffix":""}],"container-title":"BMJ","id":"ITEM-1","issued":{"date-parts":[["2008"]]},"page":"924-926","title":"GRADE: An emerging consensus on rating quality of evidence and strength of recommendations","type":"article-journal","volume":"336"},"uris":["http://www.mendeley.com/documents/?uuid=ccbbc074-7b5e-4bca-bf5e-41f4eabb1ab7"]},{"id":"ITEM-2","itemData":{"abstract":"JSTOR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Guideline developers use a bewildering variety of systems to rate the quality of the evidence underlying their recommendations. Some are facile, some confused, and others sophisticated but complex In 2004 the Grading of Recommendations Assessment, Development and Evaluation (GRADE) Working Group presented its initial proposal for patient management.' In this second of a series of five articles focusing on the GRADE approach to developing and presenting recom mendations we show how GRADE has built on previous systems to create a highly structured, transparent, and informative system for rating quality of evidence. A guideline's formulation should include a clear question Any question addressing clinical management has four components: patients, an intervention, a comparison, and the outcomes of interest.2 For example, consider the following: in patients with pancreatic carcinoma undergoing surgery, what is the impact of a modi fied resection that preserves the pylorus compared with a standard wide tumour resection-variations of the Whipple procedure-on short term and long term mortality, blood transfusions, bile leaks, hospital stay, and problems with gastric emptying?","author":[{"dropping-particle":"","family":"Guyatt","given":"Gordon H","non-dropping-particle":"","parse-names":false,"suffix":""},{"dropping-particle":"","family":"Oxman","given":"Andrew D","non-dropping-particle":"","parse-names":false,"suffix":""},{"dropping-particle":"","family":"Vist","given":"Gunn E","non-dropping-particle":"","parse-names":false,"suffix":""},{"dropping-particle":"","family":"Kunz","given":"Regina","non-dropping-particle":"","parse-names":false,"suffix":""},{"dropping-particle":"","family":"Falck-Ytter","given":"Yngve","non-dropping-particle":"","parse-names":false,"suffix":""},{"dropping-particle":"","family":"Schünemann","given":"Holger J","non-dropping-particle":"","parse-names":false,"suffix":""}],"container-title":"Source BMJ: British Medical Journal","id":"ITEM-2","issue":"7651","issued":{"date-parts":[["2008"]]},"page":"995-998","title":"Rating Quality of Evidence and Strength of Recommendations: GRADE: What Is \"Quality of Evidence\" and Why Is It Important to Clinicians?","type":"article-journal","volume":"336"},"uris":["http://www.mendeley.com/documents/?uuid=90d1119e-30f9-4e6b-9df0-7999819dcce3"]},{"id":"ITEM-3","itemData":{"author":[{"dropping-particle":"","family":"Guyatt","given":"G H","non-dropping-particle":"","parse-names":false,"suffix":""}],"container-title":"BMJ","id":"ITEM-3","issue":"May","issued":{"date-parts":[["2008"]]},"page":"995-998","title":"GRADE: what is “quality of evidence” and why is it important to clinicians?","type":"article-journal","volume":"336"},"uris":["http://www.mendeley.com/documents/?uuid=54692c8c-7b8f-4beb-af5b-1d3358042299"]},{"id":"ITEM-4","itemData":{"DOI":"10.1186/1472-6963-4-38","ISSN":"14726963","PMID":"15615589","abstract":"Background: A number of approaches have been used to grade levels of evidence and the strength of recommendations. The use of many different approaches detracts from one of the main reasons for having explicit approaches: to concisely characterise and communicate this information so that it can easily be understood and thereby help people make well-informed decisions. Our objective was to critically appraise six prominent systems for grading levels of evidence and the strength of recommendations as a basis for agreeing on characteristics of a common, sensible approach to grading levels of evidence and the strength of recommendations. Methods: Six prominent systems for grading levels of evidence and strength of recommendations were selected and someone familiar with each system prepared a description of each of these. Twelve assessors independently evaluated each system based on twelve criteria to assess the sensibility of the different approaches. Systems used by 51 organisations were compared with these six approaches. Results: There was poor agreement about the sensibility of the six systems. Only one of the systems was suitable for all four types of questions we considered (effectiveness, harm, diagnosis and prognosis). None of the systems was considered usable for all of the target groups we considered (professionals, patients and policy makers). The raters found low reproducibility of judgements made using all six systems. Systems used by 51 organisations that sponsor clinical practice guidelines included a number of minor variations of the six systems that we critically appraised. Conclusions: All of the currently used approaches to grading levels of evidence and the strength of recommendations have important shortcomings. © 2004 Atkins et al; licensee BioMed Central Ltd.","author":[{"dropping-particle":"","family":"Atkins","given":"David","non-dropping-particle":"","parse-names":false,"suffix":""},{"dropping-particle":"","family":"Eccles","given":"Martin","non-dropping-particle":"","parse-names":false,"suffix":""},{"dropping-particle":"","family":"Flottorp","given":"Signe","non-dropping-particle":"","parse-names":false,"suffix":""},{"dropping-particle":"","family":"Guyatt","given":"Gordon H.","non-dropping-particle":"","parse-names":false,"suffix":""},{"dropping-particle":"","family":"Henry","given":"David","non-dropping-particle":"","parse-names":false,"suffix":""},{"dropping-particle":"","family":"Hill","given":"Suzanne","non-dropping-particle":"","parse-names":false,"suffix":""},{"dropping-particle":"","family":"Liberati","given":"Alessandro","non-dropping-particle":"","parse-names":false,"suffix":""},{"dropping-particle":"","family":"O'Connell","given":"Dianne","non-dropping-particle":"","parse-names":false,"suffix":""},{"dropping-particle":"","family":"Oxman","given":"Andrew D.","non-dropping-particle":"","parse-names":false,"suffix":""},{"dropping-particle":"","family":"Phillips","given":"Bob","non-dropping-particle":"","parse-names":false,"suffix":""},{"dropping-particle":"","family":"Schünemann","given":"Holger","non-dropping-particle":"","parse-names":false,"suffix":""},{"dropping-particle":"","family":"Edejer","given":"Tessa Tan Torres","non-dropping-particle":"","parse-names":false,"suffix":""},{"dropping-particle":"","family":"Vist","given":"Gunn E.","non-dropping-particle":"","parse-names":false,"suffix":""},{"dropping-particle":"","family":"Williams","given":"John W.","non-dropping-particle":"","parse-names":false,"suffix":""}],"container-title":"BMC Health Services Research","id":"ITEM-4","issued":{"date-parts":[["2004"]]},"page":"1-7","title":"Systems for grading the quality of evidence and the strength of recommendations I: Critical appraisal of existing approaches","type":"article-journal","volume":"4"},"uris":["http://www.mendeley.com/documents/?uuid=c1bc793b-98bc-4052-a8ae-6a3cc538b89c"]}],"mendeley":{"formattedCitation":"[31, 34, 50, 51]","plainTextFormattedCitation":"[31, 34, 50, 51]","previouslyFormattedCitation":"[31, 34, 50, 51]"},"properties":{"noteIndex":0},"schema":"https://github.com/citation-style-language/schema/raw/master/csl-citation.json"}</w:instrText>
      </w:r>
      <w:r w:rsidR="00FA6933" w:rsidRPr="00B05509">
        <w:rPr>
          <w:rFonts w:ascii="Times New Roman" w:hAnsi="Times New Roman"/>
        </w:rPr>
        <w:fldChar w:fldCharType="separate"/>
      </w:r>
      <w:r w:rsidR="007E2086" w:rsidRPr="007E2086">
        <w:rPr>
          <w:rFonts w:ascii="Times New Roman" w:hAnsi="Times New Roman"/>
          <w:noProof/>
        </w:rPr>
        <w:t>[31, 34, 50, 51]</w:t>
      </w:r>
      <w:r w:rsidR="00FA6933" w:rsidRPr="00B05509">
        <w:rPr>
          <w:rFonts w:ascii="Times New Roman" w:hAnsi="Times New Roman"/>
        </w:rPr>
        <w:fldChar w:fldCharType="end"/>
      </w:r>
      <w:r w:rsidR="000728AD" w:rsidRPr="00B05509">
        <w:rPr>
          <w:rFonts w:ascii="Times New Roman" w:hAnsi="Times New Roman"/>
        </w:rPr>
        <w:t>)</w:t>
      </w:r>
      <w:r w:rsidR="00AC0214">
        <w:rPr>
          <w:rFonts w:ascii="Times New Roman" w:hAnsi="Times New Roman"/>
        </w:rPr>
        <w:t>, ranging</w:t>
      </w:r>
      <w:r w:rsidR="000728AD" w:rsidRPr="00B05509">
        <w:rPr>
          <w:rFonts w:ascii="Times New Roman" w:hAnsi="Times New Roman"/>
        </w:rPr>
        <w:t xml:space="preserve"> from ‘low’ for eye protection and face masks to ‘moderate’ for physical distancing.</w:t>
      </w:r>
      <w:r w:rsidR="00AC0214">
        <w:rPr>
          <w:rFonts w:ascii="Times New Roman" w:hAnsi="Times New Roman"/>
        </w:rPr>
        <w:t xml:space="preserve"> Unlike other elements of the infographic, </w:t>
      </w:r>
      <w:r w:rsidR="000728AD" w:rsidRPr="00B05509">
        <w:rPr>
          <w:rFonts w:ascii="Times New Roman" w:hAnsi="Times New Roman"/>
        </w:rPr>
        <w:t>the inclusion of cues of certainty or quality of evidence have not been evaluated</w:t>
      </w:r>
      <w:r w:rsidR="00AC0214">
        <w:rPr>
          <w:rFonts w:ascii="Times New Roman" w:hAnsi="Times New Roman"/>
        </w:rPr>
        <w:t xml:space="preserve"> empirically</w:t>
      </w:r>
      <w:r w:rsidR="00001753">
        <w:rPr>
          <w:rFonts w:ascii="Times New Roman" w:hAnsi="Times New Roman"/>
        </w:rPr>
        <w:t xml:space="preserve"> </w:t>
      </w:r>
      <w:r w:rsidR="00AA0017" w:rsidRPr="00B05509">
        <w:rPr>
          <w:rFonts w:ascii="Times New Roman" w:hAnsi="Times New Roman"/>
        </w:rPr>
        <w:t>in this context</w:t>
      </w:r>
      <w:r w:rsidR="000728AD" w:rsidRPr="00B05509">
        <w:rPr>
          <w:rFonts w:ascii="Times New Roman" w:hAnsi="Times New Roman"/>
        </w:rPr>
        <w:t>.</w:t>
      </w:r>
      <w:r w:rsidR="00AA0017" w:rsidRPr="00B05509">
        <w:rPr>
          <w:rFonts w:ascii="Times New Roman" w:hAnsi="Times New Roman"/>
        </w:rPr>
        <w:t xml:space="preserve"> We</w:t>
      </w:r>
      <w:r w:rsidR="00AC0214">
        <w:rPr>
          <w:rFonts w:ascii="Times New Roman" w:hAnsi="Times New Roman"/>
        </w:rPr>
        <w:t xml:space="preserve"> therefore</w:t>
      </w:r>
      <w:r w:rsidR="00001753">
        <w:rPr>
          <w:rFonts w:ascii="Times New Roman" w:hAnsi="Times New Roman"/>
        </w:rPr>
        <w:t xml:space="preserve"> </w:t>
      </w:r>
      <w:r w:rsidR="00AA0017" w:rsidRPr="00B05509">
        <w:rPr>
          <w:rFonts w:ascii="Times New Roman" w:hAnsi="Times New Roman"/>
        </w:rPr>
        <w:t>use</w:t>
      </w:r>
      <w:r w:rsidR="00923681" w:rsidRPr="00B05509">
        <w:rPr>
          <w:rFonts w:ascii="Times New Roman" w:hAnsi="Times New Roman"/>
        </w:rPr>
        <w:t>d</w:t>
      </w:r>
      <w:r w:rsidR="00AA0017" w:rsidRPr="00B05509">
        <w:rPr>
          <w:rFonts w:ascii="Times New Roman" w:hAnsi="Times New Roman"/>
        </w:rPr>
        <w:t xml:space="preserve"> </w:t>
      </w:r>
      <w:r w:rsidR="00AC0214">
        <w:rPr>
          <w:rFonts w:ascii="Times New Roman" w:hAnsi="Times New Roman"/>
        </w:rPr>
        <w:t xml:space="preserve">this </w:t>
      </w:r>
      <w:r w:rsidR="00AA0017" w:rsidRPr="00B05509">
        <w:rPr>
          <w:rFonts w:ascii="Times New Roman" w:hAnsi="Times New Roman"/>
        </w:rPr>
        <w:t xml:space="preserve">infographic as </w:t>
      </w:r>
      <w:r w:rsidR="00A956EA" w:rsidRPr="00B05509">
        <w:rPr>
          <w:rFonts w:ascii="Times New Roman" w:hAnsi="Times New Roman"/>
        </w:rPr>
        <w:t>a real-world</w:t>
      </w:r>
      <w:r w:rsidR="00AA0017" w:rsidRPr="00B05509">
        <w:rPr>
          <w:rFonts w:ascii="Times New Roman" w:hAnsi="Times New Roman"/>
        </w:rPr>
        <w:t xml:space="preserve"> setting for tackling the research questions outlined above</w:t>
      </w:r>
      <w:r w:rsidR="00A956EA" w:rsidRPr="00B05509">
        <w:rPr>
          <w:rFonts w:ascii="Times New Roman" w:hAnsi="Times New Roman"/>
        </w:rPr>
        <w:t>.</w:t>
      </w:r>
    </w:p>
    <w:p w14:paraId="73FDC40D" w14:textId="695710BE" w:rsidR="00973557" w:rsidRPr="00B05509" w:rsidRDefault="00973557" w:rsidP="007C3BBA">
      <w:pPr>
        <w:spacing w:line="480" w:lineRule="auto"/>
        <w:rPr>
          <w:rFonts w:ascii="Times New Roman" w:hAnsi="Times New Roman"/>
        </w:rPr>
      </w:pPr>
    </w:p>
    <w:p w14:paraId="3E9A8F67" w14:textId="405E342C" w:rsidR="00DA662F" w:rsidRPr="00B05509" w:rsidRDefault="00DA662F"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 xml:space="preserve">Overall </w:t>
      </w:r>
      <w:r w:rsidR="007E4C91" w:rsidRPr="00B05509">
        <w:rPr>
          <w:rFonts w:ascii="Times New Roman" w:hAnsi="Times New Roman" w:cs="Times New Roman"/>
          <w:b/>
          <w:color w:val="auto"/>
          <w:sz w:val="36"/>
          <w:szCs w:val="36"/>
        </w:rPr>
        <w:t xml:space="preserve">materials and </w:t>
      </w:r>
      <w:r w:rsidRPr="00B05509">
        <w:rPr>
          <w:rFonts w:ascii="Times New Roman" w:hAnsi="Times New Roman" w:cs="Times New Roman"/>
          <w:b/>
          <w:color w:val="auto"/>
          <w:sz w:val="36"/>
          <w:szCs w:val="36"/>
        </w:rPr>
        <w:t>methods</w:t>
      </w:r>
    </w:p>
    <w:p w14:paraId="21AF38B6" w14:textId="642D4427" w:rsidR="00EB01C3" w:rsidRPr="00B05509" w:rsidRDefault="00F22E98" w:rsidP="007C3BBA">
      <w:pPr>
        <w:spacing w:line="480" w:lineRule="auto"/>
        <w:rPr>
          <w:rFonts w:ascii="Times New Roman" w:hAnsi="Times New Roman"/>
        </w:rPr>
      </w:pPr>
      <w:r w:rsidRPr="00B05509">
        <w:rPr>
          <w:rFonts w:ascii="Times New Roman" w:hAnsi="Times New Roman"/>
        </w:rPr>
        <w:t>These experiments were</w:t>
      </w:r>
      <w:r w:rsidR="00776D19" w:rsidRPr="00B05509">
        <w:rPr>
          <w:rFonts w:ascii="Times New Roman" w:hAnsi="Times New Roman"/>
        </w:rPr>
        <w:t xml:space="preserve"> pre-registered</w:t>
      </w:r>
      <w:r w:rsidR="00754194" w:rsidRPr="00B05509">
        <w:rPr>
          <w:rFonts w:ascii="Times New Roman" w:hAnsi="Times New Roman"/>
        </w:rPr>
        <w:t xml:space="preserve"> (Experiment 1: </w:t>
      </w:r>
      <w:r w:rsidR="00333ED4" w:rsidRPr="00B05509">
        <w:rPr>
          <w:rFonts w:ascii="Times New Roman" w:hAnsi="Times New Roman"/>
        </w:rPr>
        <w:t>https://aspredicted.org/blind.php?x=n6pd26</w:t>
      </w:r>
      <w:r w:rsidR="00754194" w:rsidRPr="00B05509">
        <w:rPr>
          <w:rFonts w:ascii="Times New Roman" w:hAnsi="Times New Roman"/>
        </w:rPr>
        <w:t xml:space="preserve">; Experiment 2: </w:t>
      </w:r>
      <w:r w:rsidR="005B383C" w:rsidRPr="00B05509">
        <w:rPr>
          <w:rFonts w:ascii="Times New Roman" w:hAnsi="Times New Roman"/>
        </w:rPr>
        <w:t xml:space="preserve">https://osf.io/ag9th) </w:t>
      </w:r>
      <w:r w:rsidR="00776D19" w:rsidRPr="00B05509">
        <w:rPr>
          <w:rFonts w:ascii="Times New Roman" w:hAnsi="Times New Roman"/>
        </w:rPr>
        <w:t>and</w:t>
      </w:r>
      <w:r w:rsidRPr="00B05509">
        <w:rPr>
          <w:rFonts w:ascii="Times New Roman" w:hAnsi="Times New Roman"/>
        </w:rPr>
        <w:t xml:space="preserve"> given ethical </w:t>
      </w:r>
      <w:r w:rsidR="00DA662F" w:rsidRPr="00B05509">
        <w:rPr>
          <w:rFonts w:ascii="Times New Roman" w:hAnsi="Times New Roman"/>
        </w:rPr>
        <w:t xml:space="preserve">oversight </w:t>
      </w:r>
      <w:r w:rsidRPr="00B05509">
        <w:rPr>
          <w:rFonts w:ascii="Times New Roman" w:hAnsi="Times New Roman"/>
        </w:rPr>
        <w:t>by the Psychology Research Ethics Committee of the University of Cambridge (PRE.2020.086).</w:t>
      </w:r>
      <w:r w:rsidR="00485269" w:rsidRPr="00B05509">
        <w:rPr>
          <w:rFonts w:ascii="Times New Roman" w:hAnsi="Times New Roman"/>
        </w:rPr>
        <w:t xml:space="preserve"> </w:t>
      </w:r>
      <w:r w:rsidR="00ED07ED" w:rsidRPr="00B05509">
        <w:rPr>
          <w:rFonts w:ascii="Times New Roman" w:hAnsi="Times New Roman"/>
        </w:rPr>
        <w:t>US</w:t>
      </w:r>
      <w:r w:rsidR="00BA7D21" w:rsidRPr="00B05509">
        <w:rPr>
          <w:rFonts w:ascii="Times New Roman" w:hAnsi="Times New Roman"/>
        </w:rPr>
        <w:t xml:space="preserve"> American</w:t>
      </w:r>
      <w:r w:rsidR="00ED07ED" w:rsidRPr="00B05509">
        <w:rPr>
          <w:rFonts w:ascii="Times New Roman" w:hAnsi="Times New Roman"/>
        </w:rPr>
        <w:t xml:space="preserve"> </w:t>
      </w:r>
      <w:r w:rsidR="006A1DDE">
        <w:rPr>
          <w:rFonts w:ascii="Times New Roman" w:hAnsi="Times New Roman"/>
        </w:rPr>
        <w:t xml:space="preserve">adult </w:t>
      </w:r>
      <w:r w:rsidR="00ED07ED" w:rsidRPr="00B05509">
        <w:rPr>
          <w:rFonts w:ascii="Times New Roman" w:hAnsi="Times New Roman"/>
        </w:rPr>
        <w:t>p</w:t>
      </w:r>
      <w:r w:rsidR="00DA662F" w:rsidRPr="00B05509">
        <w:rPr>
          <w:rFonts w:ascii="Times New Roman" w:hAnsi="Times New Roman"/>
        </w:rPr>
        <w:t xml:space="preserve">articipants were recruited through the survey panel </w:t>
      </w:r>
      <w:r w:rsidR="002B4CB6">
        <w:rPr>
          <w:rFonts w:ascii="Times New Roman" w:hAnsi="Times New Roman"/>
        </w:rPr>
        <w:t xml:space="preserve">provider </w:t>
      </w:r>
      <w:r w:rsidR="00DA662F" w:rsidRPr="00B05509">
        <w:rPr>
          <w:rFonts w:ascii="Times New Roman" w:hAnsi="Times New Roman"/>
        </w:rPr>
        <w:t xml:space="preserve">company </w:t>
      </w:r>
      <w:proofErr w:type="spellStart"/>
      <w:r w:rsidR="00DA662F" w:rsidRPr="00B05509">
        <w:rPr>
          <w:rFonts w:ascii="Times New Roman" w:hAnsi="Times New Roman"/>
        </w:rPr>
        <w:t>Respondi</w:t>
      </w:r>
      <w:proofErr w:type="spellEnd"/>
      <w:r w:rsidR="002B4CB6">
        <w:rPr>
          <w:rFonts w:ascii="Times New Roman" w:hAnsi="Times New Roman"/>
        </w:rPr>
        <w:t xml:space="preserve"> </w:t>
      </w:r>
      <w:r w:rsidR="002B4CB6" w:rsidRPr="002B4CB6">
        <w:rPr>
          <w:rFonts w:ascii="Times New Roman" w:hAnsi="Times New Roman"/>
        </w:rPr>
        <w:t>that is certified by the International Organization for Standardization (ISO)</w:t>
      </w:r>
      <w:r w:rsidR="002B4CB6">
        <w:rPr>
          <w:rFonts w:ascii="Times New Roman" w:hAnsi="Times New Roman"/>
        </w:rPr>
        <w:t xml:space="preserve"> (respondi.com)</w:t>
      </w:r>
      <w:r w:rsidR="00DA662F" w:rsidRPr="00B05509">
        <w:rPr>
          <w:rFonts w:ascii="Times New Roman" w:hAnsi="Times New Roman"/>
        </w:rPr>
        <w:t xml:space="preserve">, and were directed to a questionnaire in </w:t>
      </w:r>
      <w:proofErr w:type="spellStart"/>
      <w:r w:rsidR="00DA662F" w:rsidRPr="00B05509">
        <w:rPr>
          <w:rFonts w:ascii="Times New Roman" w:hAnsi="Times New Roman"/>
        </w:rPr>
        <w:t>Qualtrics</w:t>
      </w:r>
      <w:proofErr w:type="spellEnd"/>
      <w:r w:rsidR="00DA662F" w:rsidRPr="00B05509">
        <w:rPr>
          <w:rFonts w:ascii="Times New Roman" w:hAnsi="Times New Roman"/>
        </w:rPr>
        <w:t>.</w:t>
      </w:r>
      <w:r w:rsidR="00823EFF">
        <w:rPr>
          <w:rFonts w:ascii="Times New Roman" w:hAnsi="Times New Roman"/>
        </w:rPr>
        <w:t xml:space="preserve"> With anonymised responses, the research therefore falls under the exemption category of the Common Rule policy of Protection of Human Research Subjects (2018) (45 </w:t>
      </w:r>
      <w:proofErr w:type="spellStart"/>
      <w:r w:rsidR="00823EFF">
        <w:rPr>
          <w:rFonts w:ascii="Times New Roman" w:hAnsi="Times New Roman"/>
        </w:rPr>
        <w:t>Cfr</w:t>
      </w:r>
      <w:proofErr w:type="spellEnd"/>
      <w:r w:rsidR="00823EFF">
        <w:rPr>
          <w:rFonts w:ascii="Times New Roman" w:hAnsi="Times New Roman"/>
        </w:rPr>
        <w:t xml:space="preserve"> 46) in the US meaning further permits and approvals in the country were not required. </w:t>
      </w:r>
      <w:r w:rsidR="00823EFF" w:rsidRPr="00B05509">
        <w:rPr>
          <w:rFonts w:ascii="Times New Roman" w:hAnsi="Times New Roman"/>
        </w:rPr>
        <w:t xml:space="preserve"> </w:t>
      </w:r>
      <w:r w:rsidR="00823EFF">
        <w:rPr>
          <w:rFonts w:ascii="Times New Roman" w:hAnsi="Times New Roman"/>
        </w:rPr>
        <w:t xml:space="preserve">The recruitment platform is a web-based panel provider which notifies pre-registered individuals of upcoming </w:t>
      </w:r>
      <w:r w:rsidR="00823EFF">
        <w:rPr>
          <w:rFonts w:ascii="Times New Roman" w:hAnsi="Times New Roman"/>
        </w:rPr>
        <w:lastRenderedPageBreak/>
        <w:t xml:space="preserve">studies for which they are eligible and compensates them for their time. </w:t>
      </w:r>
      <w:r w:rsidR="002B4CB6">
        <w:rPr>
          <w:rFonts w:ascii="Times New Roman" w:hAnsi="Times New Roman"/>
        </w:rPr>
        <w:t xml:space="preserve">We collected national quota samples matched to the US population on age and gender. </w:t>
      </w:r>
      <w:r w:rsidR="00DA662F" w:rsidRPr="00B05509">
        <w:rPr>
          <w:rFonts w:ascii="Times New Roman" w:hAnsi="Times New Roman"/>
        </w:rPr>
        <w:t xml:space="preserve">Potential participants were asked their age and gender, and a quota system operated to allow only participants who fell into quotas not yet full to continue to the study. </w:t>
      </w:r>
      <w:r w:rsidR="00745519" w:rsidRPr="00B05509">
        <w:rPr>
          <w:rFonts w:ascii="Times New Roman" w:hAnsi="Times New Roman"/>
        </w:rPr>
        <w:t>All participants gave written informed consent prior to participating in the research</w:t>
      </w:r>
      <w:r w:rsidR="00823EFF">
        <w:rPr>
          <w:rFonts w:ascii="Times New Roman" w:hAnsi="Times New Roman"/>
        </w:rPr>
        <w:t xml:space="preserve"> and </w:t>
      </w:r>
      <w:r w:rsidR="00C66961">
        <w:rPr>
          <w:rFonts w:ascii="Times New Roman" w:hAnsi="Times New Roman"/>
        </w:rPr>
        <w:t>were awarded a $1 equivalent in panel points.</w:t>
      </w:r>
    </w:p>
    <w:p w14:paraId="612C1560" w14:textId="4A9A21DA" w:rsidR="00DA662F" w:rsidRPr="00B05509" w:rsidRDefault="00EB01C3" w:rsidP="007C3BBA">
      <w:pPr>
        <w:spacing w:line="480" w:lineRule="auto"/>
        <w:rPr>
          <w:rFonts w:ascii="Times New Roman" w:hAnsi="Times New Roman"/>
        </w:rPr>
      </w:pPr>
      <w:r w:rsidRPr="00B05509">
        <w:rPr>
          <w:rFonts w:ascii="Times New Roman" w:hAnsi="Times New Roman"/>
        </w:rPr>
        <w:t xml:space="preserve">Participants were </w:t>
      </w:r>
      <w:r w:rsidR="00DA662F" w:rsidRPr="00B05509">
        <w:rPr>
          <w:rFonts w:ascii="Times New Roman" w:hAnsi="Times New Roman"/>
        </w:rPr>
        <w:t>randomised</w:t>
      </w:r>
      <w:r w:rsidRPr="00B05509">
        <w:rPr>
          <w:rFonts w:ascii="Times New Roman" w:hAnsi="Times New Roman"/>
        </w:rPr>
        <w:t xml:space="preserve"> into experimental conditions</w:t>
      </w:r>
      <w:r w:rsidR="00DA662F" w:rsidRPr="00B05509">
        <w:rPr>
          <w:rFonts w:ascii="Times New Roman" w:hAnsi="Times New Roman"/>
        </w:rPr>
        <w:t xml:space="preserve"> </w:t>
      </w:r>
      <w:r w:rsidR="00923681" w:rsidRPr="00B05509">
        <w:rPr>
          <w:rFonts w:ascii="Times New Roman" w:hAnsi="Times New Roman"/>
        </w:rPr>
        <w:t>via</w:t>
      </w:r>
      <w:r w:rsidR="00DA662F" w:rsidRPr="00B05509">
        <w:rPr>
          <w:rFonts w:ascii="Times New Roman" w:hAnsi="Times New Roman"/>
        </w:rPr>
        <w:t xml:space="preserve"> the </w:t>
      </w:r>
      <w:proofErr w:type="spellStart"/>
      <w:r w:rsidR="00DA662F" w:rsidRPr="00B05509">
        <w:rPr>
          <w:rFonts w:ascii="Times New Roman" w:hAnsi="Times New Roman"/>
        </w:rPr>
        <w:t>Qualtrics</w:t>
      </w:r>
      <w:proofErr w:type="spellEnd"/>
      <w:r w:rsidR="00DA662F" w:rsidRPr="00B05509">
        <w:rPr>
          <w:rFonts w:ascii="Times New Roman" w:hAnsi="Times New Roman"/>
        </w:rPr>
        <w:t xml:space="preserve"> randomisation function. Participants were randomised evenly to each experimental condition and were blinded to </w:t>
      </w:r>
      <w:r w:rsidR="00AF3E02" w:rsidRPr="00B05509">
        <w:rPr>
          <w:rFonts w:ascii="Times New Roman" w:hAnsi="Times New Roman"/>
        </w:rPr>
        <w:t>the study condition that they were randomized to.</w:t>
      </w:r>
    </w:p>
    <w:p w14:paraId="3CC206AF" w14:textId="5D48FF4E" w:rsidR="001A095D" w:rsidRPr="00B05509" w:rsidRDefault="00DA662F" w:rsidP="007C3BBA">
      <w:pPr>
        <w:spacing w:line="480" w:lineRule="auto"/>
        <w:rPr>
          <w:rFonts w:ascii="Times New Roman" w:hAnsi="Times New Roman"/>
        </w:rPr>
      </w:pPr>
      <w:r w:rsidRPr="00B05509">
        <w:rPr>
          <w:rFonts w:ascii="Times New Roman" w:hAnsi="Times New Roman"/>
        </w:rPr>
        <w:t xml:space="preserve">Once </w:t>
      </w:r>
      <w:r w:rsidR="00BA7D21" w:rsidRPr="00B05509">
        <w:rPr>
          <w:rFonts w:ascii="Times New Roman" w:hAnsi="Times New Roman"/>
        </w:rPr>
        <w:t>participants</w:t>
      </w:r>
      <w:r w:rsidRPr="00B05509">
        <w:rPr>
          <w:rFonts w:ascii="Times New Roman" w:hAnsi="Times New Roman"/>
        </w:rPr>
        <w:t xml:space="preserve"> entered the experimental groups, they were shown a version of an infographic and asked a series of questions about it. </w:t>
      </w:r>
      <w:r w:rsidR="00F042C8" w:rsidRPr="00B05509">
        <w:rPr>
          <w:rFonts w:ascii="Times New Roman" w:hAnsi="Times New Roman"/>
        </w:rPr>
        <w:t xml:space="preserve">The versions were adapted from </w:t>
      </w:r>
      <w:r w:rsidR="00BA7D21" w:rsidRPr="00B05509">
        <w:rPr>
          <w:rFonts w:ascii="Times New Roman" w:hAnsi="Times New Roman"/>
        </w:rPr>
        <w:t>the</w:t>
      </w:r>
      <w:r w:rsidR="00F042C8" w:rsidRPr="00B05509">
        <w:rPr>
          <w:rFonts w:ascii="Times New Roman" w:hAnsi="Times New Roman"/>
        </w:rPr>
        <w:t xml:space="preserve"> original infographic </w:t>
      </w:r>
      <w:r w:rsidR="00BA7D21" w:rsidRPr="00B05509">
        <w:rPr>
          <w:rFonts w:ascii="Times New Roman" w:hAnsi="Times New Roman"/>
        </w:rPr>
        <w:t xml:space="preserve">described above, </w:t>
      </w:r>
      <w:r w:rsidR="00F042C8" w:rsidRPr="00B05509">
        <w:rPr>
          <w:rFonts w:ascii="Times New Roman" w:hAnsi="Times New Roman"/>
        </w:rPr>
        <w:t>which</w:t>
      </w:r>
      <w:r w:rsidRPr="00B05509">
        <w:rPr>
          <w:rFonts w:ascii="Times New Roman" w:hAnsi="Times New Roman"/>
        </w:rPr>
        <w:t xml:space="preserve"> illustrated the evidence for three potential methods of mitigating the transmission of the coronavirus: eye protection, face masks and physical distancing</w:t>
      </w:r>
      <w:r w:rsidR="00F23AE2">
        <w:rPr>
          <w:rFonts w:ascii="Times New Roman" w:hAnsi="Times New Roman"/>
        </w:rPr>
        <w:t xml:space="preserve"> (</w:t>
      </w:r>
      <w:r w:rsidR="00F23AE2" w:rsidRPr="009D64F0">
        <w:rPr>
          <w:rFonts w:ascii="Times New Roman" w:hAnsi="Times New Roman"/>
        </w:rPr>
        <w:t>https://www.eurekalert.org/news-releases/584789</w:t>
      </w:r>
      <w:r w:rsidR="00F23AE2">
        <w:rPr>
          <w:rFonts w:ascii="Times New Roman" w:hAnsi="Times New Roman"/>
        </w:rPr>
        <w:t>)</w:t>
      </w:r>
      <w:r w:rsidRPr="00B05509">
        <w:rPr>
          <w:rFonts w:ascii="Times New Roman" w:hAnsi="Times New Roman"/>
        </w:rPr>
        <w:t xml:space="preserve">. </w:t>
      </w:r>
      <w:r w:rsidR="00E33A1A" w:rsidRPr="00B05509">
        <w:rPr>
          <w:rFonts w:ascii="Times New Roman" w:hAnsi="Times New Roman"/>
        </w:rPr>
        <w:t xml:space="preserve">We chose to study people’s reactions to the presentation of information around eye protection because physical distancing and face masks were both already subject to much public </w:t>
      </w:r>
      <w:r w:rsidR="00C8289F" w:rsidRPr="00B05509">
        <w:rPr>
          <w:rFonts w:ascii="Times New Roman" w:hAnsi="Times New Roman"/>
        </w:rPr>
        <w:t xml:space="preserve">and political </w:t>
      </w:r>
      <w:r w:rsidR="00E33A1A" w:rsidRPr="00B05509">
        <w:rPr>
          <w:rFonts w:ascii="Times New Roman" w:hAnsi="Times New Roman"/>
        </w:rPr>
        <w:t>discussion in the</w:t>
      </w:r>
      <w:r w:rsidR="00C8289F" w:rsidRPr="00B05509">
        <w:rPr>
          <w:rFonts w:ascii="Times New Roman" w:hAnsi="Times New Roman"/>
        </w:rPr>
        <w:t xml:space="preserve"> U.S.</w:t>
      </w:r>
      <w:r w:rsidR="00A64F1E" w:rsidRPr="00B05509">
        <w:rPr>
          <w:rFonts w:ascii="Times New Roman" w:hAnsi="Times New Roman"/>
        </w:rPr>
        <w:t xml:space="preserve"> at the time of data collection</w:t>
      </w:r>
      <w:r w:rsidR="00683DEA" w:rsidRPr="00B05509">
        <w:rPr>
          <w:rFonts w:ascii="Times New Roman" w:hAnsi="Times New Roman"/>
        </w:rPr>
        <w:t xml:space="preserve"> (</w:t>
      </w:r>
      <w:r w:rsidR="005B160F" w:rsidRPr="00B05509">
        <w:rPr>
          <w:rFonts w:ascii="Times New Roman" w:hAnsi="Times New Roman"/>
        </w:rPr>
        <w:t xml:space="preserve">Sep 24-29, 2020 for </w:t>
      </w:r>
      <w:r w:rsidR="001B6BA5" w:rsidRPr="00B05509">
        <w:rPr>
          <w:rFonts w:ascii="Times New Roman" w:hAnsi="Times New Roman"/>
        </w:rPr>
        <w:t xml:space="preserve">Experiment </w:t>
      </w:r>
      <w:r w:rsidR="005B160F" w:rsidRPr="00B05509">
        <w:rPr>
          <w:rFonts w:ascii="Times New Roman" w:hAnsi="Times New Roman"/>
        </w:rPr>
        <w:t xml:space="preserve">1; </w:t>
      </w:r>
      <w:r w:rsidR="00683DEA" w:rsidRPr="00B05509">
        <w:rPr>
          <w:rFonts w:ascii="Times New Roman" w:hAnsi="Times New Roman"/>
        </w:rPr>
        <w:t xml:space="preserve">Oct 14-16, 2020 for </w:t>
      </w:r>
      <w:r w:rsidR="001B6BA5" w:rsidRPr="00B05509">
        <w:rPr>
          <w:rFonts w:ascii="Times New Roman" w:hAnsi="Times New Roman"/>
        </w:rPr>
        <w:t xml:space="preserve">Experiment </w:t>
      </w:r>
      <w:r w:rsidR="00683DEA" w:rsidRPr="00B05509">
        <w:rPr>
          <w:rFonts w:ascii="Times New Roman" w:hAnsi="Times New Roman"/>
        </w:rPr>
        <w:t>2</w:t>
      </w:r>
      <w:r w:rsidR="005B160F" w:rsidRPr="00B05509">
        <w:rPr>
          <w:rFonts w:ascii="Times New Roman" w:hAnsi="Times New Roman"/>
        </w:rPr>
        <w:t>)</w:t>
      </w:r>
      <w:r w:rsidR="00754194" w:rsidRPr="00B05509">
        <w:rPr>
          <w:rFonts w:ascii="Times New Roman" w:hAnsi="Times New Roman"/>
        </w:rPr>
        <w:fldChar w:fldCharType="begin" w:fldLock="1"/>
      </w:r>
      <w:r w:rsidR="00DA7ECD">
        <w:rPr>
          <w:rFonts w:ascii="Times New Roman" w:hAnsi="Times New Roman"/>
        </w:rPr>
        <w:instrText>ADDIN CSL_CITATION {"citationItems":[{"id":"ITEM-1","itemData":{"DOI":"10.22323/2.19050211","ISSN":"1824-2049","abstract":"Understanding how individuals perceive the barriers and benefits of precautionary actions is key for effective communication about public health crises, such as the COVID-19 outbreak. This study used innovative computational methods to analyze 30,000 open-ended responses from a large-scale survey to track how Wisconsin (U.S.A.) residents' perceptions of the benefits of and barriers to performing social distancing evolved over a critical time period (March 19th to April 1st, 2020). Initially, the main barrier was practical related, however, individuals later perceived more multifaceted barriers to social distancing. Communication about COVID-19 should be dynamic and evolve to address people's experiences and needs overtime.","author":[{"dropping-particle":"","family":"Chen","given":"Kaiping","non-dropping-particle":"","parse-names":false,"suffix":""},{"dropping-particle":"","family":"Bao","given":"Luye","non-dropping-particle":"","parse-names":false,"suffix":""},{"dropping-particle":"","family":"Shao","given":"Anqi","non-dropping-particle":"","parse-names":false,"suffix":""},{"dropping-particle":"","family":"Ho","given":"Pauline","non-dropping-particle":"","parse-names":false,"suffix":""},{"dropping-particle":"","family":"Yang","given":"Shiyu","non-dropping-particle":"","parse-names":false,"suffix":""},{"dropping-particle":"","family":"Wirz","given":"Christopher","non-dropping-particle":"","parse-names":false,"suffix":""},{"dropping-particle":"","family":"Brossard","given":"Dominique","non-dropping-particle":"","parse-names":false,"suffix":""},{"dropping-particle":"","family":"Brauer","given":"Markus","non-dropping-particle":"","parse-names":false,"suffix":""},{"dropping-particle":"","family":"Diprete Brown","given":"Lori","non-dropping-particle":"","parse-names":false,"suffix":""}],"container-title":"Journal of Science Communication","id":"ITEM-1","issue":"05","issued":{"date-parts":[["2020","9","30"]]},"page":"A11","title":"How public perceptions of social distancing evolved over a critical time period: communication lessons learnt from the American state of Wisconsin","type":"article-journal","volume":"19"},"uris":["http://www.mendeley.com/documents/?uuid=669f0936-0504-4eef-93c7-bf7af170ab84"]},{"id":"ITEM-2","itemData":{"author":[{"dropping-particle":"","family":"Dennis Thompson","given":"","non-dropping-particle":"","parse-names":false,"suffix":""}],"container-title":"Webmd","id":"ITEM-2","issued":{"date-parts":[["2020","10","22"]]},"title":"Mask Use by Americans Now Tops 90%, Poll Finds","type":"article-newspaper"},"uris":["http://www.mendeley.com/documents/?uuid=bfb90fdd-04a5-43c9-a5c5-7ab011932395"]},{"id":"ITEM-3","itemData":{"author":[{"dropping-particle":"","family":"Nikolov","given":"Plamen","non-dropping-particle":"","parse-names":false,"suffix":""},{"dropping-particle":"","family":"Pape","given":"Andreas","non-dropping-particle":"","parse-names":false,"suffix":""},{"dropping-particle":"","family":"Tonguc","given":"Ozlem","non-dropping-particle":"","parse-names":false,"suffix":""},{"dropping-particle":"","family":"Williams","given":"Charlotte","non-dropping-particle":"","parse-names":false,"suffix":""}],"container-title":"The IZA Institute of Labor Economics","id":"ITEM-3","issue":"No. 13745","issued":{"date-parts":[["2020"]]},"title":"Predictors of Social Distancing and MaskWearing Behavior: Panel Survey in Seven U.S. States","type":"article-journal"},"uris":["http://www.mendeley.com/documents/?uuid=e13e8645-61bf-4b55-a98c-e495990044a9"]},{"id":"ITEM-4","itemData":{"author":[{"dropping-particle":"","family":"Bennett","given":"Steve","non-dropping-particle":"","parse-names":false,"suffix":""}],"id":"ITEM-4","issued":{"date-parts":[["2020"]]},"title":"COVID-19 Prevention Behaviors Research Summary","type":"report"},"uris":["http://www.mendeley.com/documents/?uuid=19bd74e2-071e-4a8a-88a8-1ed08881c3eb"]}],"mendeley":{"formattedCitation":"[52–55]","plainTextFormattedCitation":"[52–55]","previouslyFormattedCitation":"[52–55]"},"properties":{"noteIndex":0},"schema":"https://github.com/citation-style-language/schema/raw/master/csl-citation.json"}</w:instrText>
      </w:r>
      <w:r w:rsidR="00754194" w:rsidRPr="00B05509">
        <w:rPr>
          <w:rFonts w:ascii="Times New Roman" w:hAnsi="Times New Roman"/>
        </w:rPr>
        <w:fldChar w:fldCharType="separate"/>
      </w:r>
      <w:r w:rsidR="007E2086" w:rsidRPr="007E2086">
        <w:rPr>
          <w:rFonts w:ascii="Times New Roman" w:hAnsi="Times New Roman"/>
          <w:noProof/>
        </w:rPr>
        <w:t>[52–55]</w:t>
      </w:r>
      <w:r w:rsidR="00754194" w:rsidRPr="00B05509">
        <w:rPr>
          <w:rFonts w:ascii="Times New Roman" w:hAnsi="Times New Roman"/>
        </w:rPr>
        <w:fldChar w:fldCharType="end"/>
      </w:r>
      <w:r w:rsidR="00E33A1A" w:rsidRPr="00B05509">
        <w:rPr>
          <w:rFonts w:ascii="Times New Roman" w:hAnsi="Times New Roman"/>
        </w:rPr>
        <w:t xml:space="preserve">, </w:t>
      </w:r>
      <w:r w:rsidR="001A095D" w:rsidRPr="00B05509">
        <w:rPr>
          <w:rFonts w:ascii="Times New Roman" w:hAnsi="Times New Roman"/>
        </w:rPr>
        <w:t>so we anticipated that the audience may have prior beliefs around both of these measures which may affect their reactions to the experiment. The infographic was experimentally manipulated in Adobe Illustrator to produce different versions for testing.</w:t>
      </w:r>
    </w:p>
    <w:p w14:paraId="5214FDE8" w14:textId="0A5D92F6" w:rsidR="00401471" w:rsidRPr="00B05509" w:rsidRDefault="00401471" w:rsidP="007C3BBA">
      <w:pPr>
        <w:spacing w:line="480" w:lineRule="auto"/>
        <w:rPr>
          <w:rFonts w:ascii="Times New Roman" w:hAnsi="Times New Roman"/>
        </w:rPr>
      </w:pPr>
    </w:p>
    <w:p w14:paraId="009BE1F1" w14:textId="31732E83" w:rsidR="00401471" w:rsidRPr="00F3186D" w:rsidRDefault="00401471" w:rsidP="00095844">
      <w:pPr>
        <w:spacing w:line="480" w:lineRule="auto"/>
        <w:rPr>
          <w:rFonts w:ascii="Times New Roman" w:hAnsi="Times New Roman"/>
        </w:rPr>
      </w:pPr>
      <w:r w:rsidRPr="00F3186D">
        <w:rPr>
          <w:rFonts w:ascii="Times New Roman" w:hAnsi="Times New Roman"/>
        </w:rPr>
        <w:t>Our key dependent variables were perceived trustworthiness of the information presented about the effectiveness of eye protection (index of three items, α</w:t>
      </w:r>
      <w:r w:rsidR="005537FD" w:rsidRPr="00F3186D">
        <w:rPr>
          <w:rFonts w:ascii="Times New Roman" w:hAnsi="Times New Roman"/>
          <w:vertAlign w:val="subscript"/>
        </w:rPr>
        <w:t>Exp1</w:t>
      </w:r>
      <w:r w:rsidRPr="00F3186D">
        <w:rPr>
          <w:rFonts w:ascii="Times New Roman" w:hAnsi="Times New Roman"/>
        </w:rPr>
        <w:t xml:space="preserve"> </w:t>
      </w:r>
      <w:r w:rsidR="00F91CA5" w:rsidRPr="00F3186D">
        <w:rPr>
          <w:rFonts w:ascii="Times New Roman" w:hAnsi="Times New Roman"/>
        </w:rPr>
        <w:t>= 0</w:t>
      </w:r>
      <w:r w:rsidR="00502682" w:rsidRPr="00F3186D">
        <w:rPr>
          <w:rFonts w:ascii="Times New Roman" w:hAnsi="Times New Roman"/>
        </w:rPr>
        <w:t>.</w:t>
      </w:r>
      <w:r w:rsidRPr="00F3186D">
        <w:rPr>
          <w:rFonts w:ascii="Times New Roman" w:hAnsi="Times New Roman"/>
        </w:rPr>
        <w:t>97</w:t>
      </w:r>
      <w:r w:rsidR="005537FD" w:rsidRPr="00F3186D">
        <w:rPr>
          <w:rFonts w:ascii="Times New Roman" w:hAnsi="Times New Roman"/>
        </w:rPr>
        <w:t>, α</w:t>
      </w:r>
      <w:r w:rsidR="005537FD" w:rsidRPr="00F3186D">
        <w:rPr>
          <w:rFonts w:ascii="Times New Roman" w:hAnsi="Times New Roman"/>
          <w:vertAlign w:val="subscript"/>
        </w:rPr>
        <w:t>Exp2</w:t>
      </w:r>
      <w:r w:rsidR="005537FD" w:rsidRPr="00F3186D">
        <w:rPr>
          <w:rFonts w:ascii="Times New Roman" w:hAnsi="Times New Roman"/>
        </w:rPr>
        <w:t xml:space="preserve"> </w:t>
      </w:r>
      <w:r w:rsidR="00F91CA5" w:rsidRPr="00F3186D">
        <w:rPr>
          <w:rFonts w:ascii="Times New Roman" w:hAnsi="Times New Roman"/>
        </w:rPr>
        <w:t>= 0</w:t>
      </w:r>
      <w:r w:rsidR="00502682" w:rsidRPr="00F3186D">
        <w:rPr>
          <w:rFonts w:ascii="Times New Roman" w:hAnsi="Times New Roman"/>
        </w:rPr>
        <w:t>.</w:t>
      </w:r>
      <w:r w:rsidR="005537FD" w:rsidRPr="00F3186D">
        <w:rPr>
          <w:rFonts w:ascii="Times New Roman" w:hAnsi="Times New Roman"/>
        </w:rPr>
        <w:t>96</w:t>
      </w:r>
      <w:r w:rsidR="0065516F" w:rsidRPr="00F3186D">
        <w:rPr>
          <w:rFonts w:ascii="Times New Roman" w:hAnsi="Times New Roman"/>
        </w:rPr>
        <w:t>, based on O’Neill’s dimensions of trustworthiness, including competence and reliability</w:t>
      </w:r>
      <w:r w:rsidR="00D05156" w:rsidRPr="00F3186D">
        <w:rPr>
          <w:rFonts w:ascii="Times New Roman" w:hAnsi="Times New Roman"/>
        </w:rPr>
        <w:t xml:space="preserve"> </w:t>
      </w:r>
      <w:r w:rsidR="00D05156" w:rsidRPr="00F3186D">
        <w:rPr>
          <w:rFonts w:ascii="Times New Roman" w:hAnsi="Times New Roman"/>
        </w:rPr>
        <w:fldChar w:fldCharType="begin" w:fldLock="1"/>
      </w:r>
      <w:r w:rsidR="00DA7ECD">
        <w:rPr>
          <w:rFonts w:ascii="Times New Roman" w:hAnsi="Times New Roman"/>
        </w:rPr>
        <w:instrText>ADDIN CSL_CITATION {"citationItems":[{"id":"ITEM-1","itemData":{"DOI":"10.1080/09672559.2018.1454637","ISSN":"09672559","abstract":"Trust is valuable when placed in trustworthy agents and activities, but damaging or costly when (mis)placed in untrustworthy agents and activities. So it is puzzling that much contemporary work on trust–such as that based on polling evidence–studies generic attitudes of trust in types of agent, institution or activity in complete abstraction from any account of trustworthiness. Information about others’ generic attitudes of trust or mistrust that take no account of evidence whether those attitudes are well or ill placed can offer little or no help for those who aim to place or refuse trust well. Information about attitudes is evidently useful to those who aim to influence those who hold them, which explains why polls about attitudes are popular with political parties, advertisers and other campaigning organisations. But where we aim not to influence others, but to place and refuse trust intelligently we must link trust to trustworthiness, and must focus on evidence of honesty, competence and reliability.","author":[{"dropping-particle":"","family":"O’Neill","given":"Onora","non-dropping-particle":"","parse-names":false,"suffix":""}],"container-title":"International Journal of Philosophical Studies","id":"ITEM-1","issue":"2","issued":{"date-parts":[["2018"]]},"page":"293-300","publisher":"Routledge","title":"Linking Trust to Trustworthiness","type":"article-journal","volume":"26"},"uris":["http://www.mendeley.com/documents/?uuid=58d7f455-987c-4c4a-97c0-938d0cb8d04f"]}],"mendeley":{"formattedCitation":"[56]","plainTextFormattedCitation":"[56]","previouslyFormattedCitation":"[56]"},"properties":{"noteIndex":0},"schema":"https://github.com/citation-style-language/schema/raw/master/csl-citation.json"}</w:instrText>
      </w:r>
      <w:r w:rsidR="00D05156" w:rsidRPr="00F3186D">
        <w:rPr>
          <w:rFonts w:ascii="Times New Roman" w:hAnsi="Times New Roman"/>
        </w:rPr>
        <w:fldChar w:fldCharType="separate"/>
      </w:r>
      <w:r w:rsidR="007E2086" w:rsidRPr="007E2086">
        <w:rPr>
          <w:rFonts w:ascii="Times New Roman" w:hAnsi="Times New Roman"/>
          <w:noProof/>
        </w:rPr>
        <w:t>[56]</w:t>
      </w:r>
      <w:r w:rsidR="00D05156" w:rsidRPr="00F3186D">
        <w:rPr>
          <w:rFonts w:ascii="Times New Roman" w:hAnsi="Times New Roman"/>
        </w:rPr>
        <w:fldChar w:fldCharType="end"/>
      </w:r>
      <w:r w:rsidRPr="00F3186D">
        <w:rPr>
          <w:rFonts w:ascii="Times New Roman" w:hAnsi="Times New Roman"/>
        </w:rPr>
        <w:t xml:space="preserve">), perceived effectiveness of wearing eye protection, and likelihood of behavioural uptake, i.e. </w:t>
      </w:r>
      <w:r w:rsidRPr="00F3186D">
        <w:rPr>
          <w:rFonts w:ascii="Times New Roman" w:hAnsi="Times New Roman"/>
        </w:rPr>
        <w:lastRenderedPageBreak/>
        <w:t>intentions to wear eye protection when in busy public places (each measured on a 7-point Likert scale). See</w:t>
      </w:r>
      <w:r w:rsidR="0006362F">
        <w:rPr>
          <w:rFonts w:ascii="Times New Roman" w:hAnsi="Times New Roman"/>
        </w:rPr>
        <w:t xml:space="preserve"> Table 1 </w:t>
      </w:r>
      <w:r w:rsidRPr="00F3186D">
        <w:rPr>
          <w:rFonts w:ascii="Times New Roman" w:hAnsi="Times New Roman"/>
        </w:rPr>
        <w:t xml:space="preserve">for the wording of the dependent measures. We </w:t>
      </w:r>
      <w:r w:rsidR="00221640" w:rsidRPr="00F3186D">
        <w:rPr>
          <w:rFonts w:ascii="Times New Roman" w:hAnsi="Times New Roman"/>
        </w:rPr>
        <w:t>collected further measures for exploratory purposes; the analysis of which are reported</w:t>
      </w:r>
      <w:r w:rsidRPr="00F3186D">
        <w:rPr>
          <w:rFonts w:ascii="Times New Roman" w:hAnsi="Times New Roman"/>
        </w:rPr>
        <w:t xml:space="preserve"> </w:t>
      </w:r>
      <w:r w:rsidR="00221640" w:rsidRPr="00F3186D">
        <w:rPr>
          <w:rFonts w:ascii="Times New Roman" w:hAnsi="Times New Roman"/>
        </w:rPr>
        <w:t xml:space="preserve">in </w:t>
      </w:r>
      <w:r w:rsidRPr="00F3186D">
        <w:rPr>
          <w:rFonts w:ascii="Times New Roman" w:hAnsi="Times New Roman"/>
        </w:rPr>
        <w:t>the</w:t>
      </w:r>
      <w:r w:rsidR="00885913" w:rsidRPr="00F3186D">
        <w:rPr>
          <w:rFonts w:ascii="Times New Roman" w:hAnsi="Times New Roman"/>
        </w:rPr>
        <w:t xml:space="preserve"> S1 supporting information file</w:t>
      </w:r>
      <w:r w:rsidRPr="00F3186D">
        <w:rPr>
          <w:rFonts w:ascii="Times New Roman" w:hAnsi="Times New Roman"/>
        </w:rPr>
        <w:t>.</w:t>
      </w:r>
    </w:p>
    <w:p w14:paraId="42DBAD80" w14:textId="112FD46B" w:rsidR="00401471" w:rsidRPr="00B05509" w:rsidRDefault="00401471" w:rsidP="007C3BBA">
      <w:pPr>
        <w:spacing w:line="480" w:lineRule="auto"/>
        <w:rPr>
          <w:rFonts w:ascii="Times New Roman" w:hAnsi="Times New Roman"/>
        </w:rPr>
      </w:pPr>
    </w:p>
    <w:p w14:paraId="32C8E4E7" w14:textId="61E862D4" w:rsidR="00401471" w:rsidRPr="00B05509" w:rsidRDefault="00401471" w:rsidP="007C3BBA">
      <w:pPr>
        <w:pStyle w:val="Caption"/>
        <w:spacing w:line="480" w:lineRule="auto"/>
        <w:rPr>
          <w:rFonts w:ascii="Times New Roman" w:hAnsi="Times New Roman"/>
          <w:b/>
          <w:i w:val="0"/>
          <w:sz w:val="24"/>
          <w:szCs w:val="24"/>
        </w:rPr>
      </w:pPr>
      <w:bookmarkStart w:id="0" w:name="_Ref66629555"/>
      <w:r w:rsidRPr="00B05509">
        <w:rPr>
          <w:rFonts w:ascii="Times New Roman" w:hAnsi="Times New Roman"/>
          <w:b/>
          <w:i w:val="0"/>
          <w:sz w:val="24"/>
          <w:szCs w:val="24"/>
        </w:rPr>
        <w:t>Table</w:t>
      </w:r>
      <w:r w:rsidR="0006362F">
        <w:rPr>
          <w:rFonts w:ascii="Times New Roman" w:hAnsi="Times New Roman"/>
          <w:b/>
          <w:i w:val="0"/>
          <w:sz w:val="24"/>
          <w:szCs w:val="24"/>
        </w:rPr>
        <w:t xml:space="preserve"> 1</w:t>
      </w:r>
      <w:bookmarkEnd w:id="0"/>
      <w:r w:rsidR="008A0F28">
        <w:rPr>
          <w:rFonts w:ascii="Times New Roman" w:hAnsi="Times New Roman"/>
          <w:b/>
          <w:i w:val="0"/>
          <w:noProof/>
          <w:sz w:val="24"/>
          <w:szCs w:val="24"/>
        </w:rPr>
        <w:t>.</w:t>
      </w:r>
      <w:r w:rsidRPr="00B05509">
        <w:rPr>
          <w:rFonts w:ascii="Times New Roman" w:hAnsi="Times New Roman"/>
          <w:b/>
          <w:i w:val="0"/>
          <w:sz w:val="24"/>
          <w:szCs w:val="24"/>
        </w:rPr>
        <w:t xml:space="preserve"> Overview of dependent measures for Experiments 1 and 2 </w:t>
      </w:r>
    </w:p>
    <w:tbl>
      <w:tblPr>
        <w:tblStyle w:val="TableGrid"/>
        <w:tblW w:w="0" w:type="auto"/>
        <w:tblLook w:val="04A0" w:firstRow="1" w:lastRow="0" w:firstColumn="1" w:lastColumn="0" w:noHBand="0" w:noVBand="1"/>
      </w:tblPr>
      <w:tblGrid>
        <w:gridCol w:w="2689"/>
        <w:gridCol w:w="3187"/>
        <w:gridCol w:w="3134"/>
      </w:tblGrid>
      <w:tr w:rsidR="00401471" w:rsidRPr="00F94982" w14:paraId="2CE04990" w14:textId="77777777" w:rsidTr="00233C58">
        <w:tc>
          <w:tcPr>
            <w:tcW w:w="2689" w:type="dxa"/>
          </w:tcPr>
          <w:p w14:paraId="60023547" w14:textId="77777777" w:rsidR="00401471" w:rsidRPr="00B05509" w:rsidRDefault="00401471" w:rsidP="007C3BBA">
            <w:pPr>
              <w:rPr>
                <w:rFonts w:ascii="Times New Roman" w:hAnsi="Times New Roman"/>
                <w:b/>
                <w:bCs/>
              </w:rPr>
            </w:pPr>
            <w:r w:rsidRPr="00B05509">
              <w:rPr>
                <w:rFonts w:ascii="Times New Roman" w:hAnsi="Times New Roman"/>
                <w:b/>
                <w:bCs/>
              </w:rPr>
              <w:t>Concept</w:t>
            </w:r>
          </w:p>
        </w:tc>
        <w:tc>
          <w:tcPr>
            <w:tcW w:w="3187" w:type="dxa"/>
          </w:tcPr>
          <w:p w14:paraId="4FC2C9F2" w14:textId="77777777" w:rsidR="00401471" w:rsidRPr="00B05509" w:rsidRDefault="00401471" w:rsidP="007C3BBA">
            <w:pPr>
              <w:rPr>
                <w:rFonts w:ascii="Times New Roman" w:hAnsi="Times New Roman"/>
                <w:b/>
                <w:bCs/>
              </w:rPr>
            </w:pPr>
            <w:r w:rsidRPr="00B05509">
              <w:rPr>
                <w:rFonts w:ascii="Times New Roman" w:hAnsi="Times New Roman"/>
                <w:b/>
                <w:bCs/>
              </w:rPr>
              <w:t>Questions</w:t>
            </w:r>
          </w:p>
        </w:tc>
        <w:tc>
          <w:tcPr>
            <w:tcW w:w="3134" w:type="dxa"/>
          </w:tcPr>
          <w:p w14:paraId="7ECA2AFE" w14:textId="77777777" w:rsidR="00401471" w:rsidRPr="00B05509" w:rsidRDefault="00401471" w:rsidP="007C3BBA">
            <w:pPr>
              <w:rPr>
                <w:rFonts w:ascii="Times New Roman" w:hAnsi="Times New Roman"/>
                <w:b/>
                <w:bCs/>
              </w:rPr>
            </w:pPr>
            <w:r w:rsidRPr="00B05509">
              <w:rPr>
                <w:rFonts w:ascii="Times New Roman" w:hAnsi="Times New Roman"/>
                <w:b/>
                <w:bCs/>
              </w:rPr>
              <w:t>Answer options</w:t>
            </w:r>
          </w:p>
        </w:tc>
      </w:tr>
      <w:tr w:rsidR="00401471" w:rsidRPr="00F94982" w14:paraId="2B7AE3DB" w14:textId="77777777" w:rsidTr="00233C58">
        <w:tc>
          <w:tcPr>
            <w:tcW w:w="2689" w:type="dxa"/>
          </w:tcPr>
          <w:p w14:paraId="3372D362" w14:textId="77777777" w:rsidR="00401471" w:rsidRPr="00B05509" w:rsidRDefault="00401471" w:rsidP="007C3BBA">
            <w:pPr>
              <w:rPr>
                <w:rFonts w:ascii="Times New Roman" w:hAnsi="Times New Roman"/>
              </w:rPr>
            </w:pPr>
            <w:r w:rsidRPr="00B05509">
              <w:rPr>
                <w:rFonts w:ascii="Times New Roman" w:hAnsi="Times New Roman"/>
              </w:rPr>
              <w:t>Perceived trustworthiness of information</w:t>
            </w:r>
          </w:p>
        </w:tc>
        <w:tc>
          <w:tcPr>
            <w:tcW w:w="3187" w:type="dxa"/>
          </w:tcPr>
          <w:p w14:paraId="572427AC" w14:textId="77777777" w:rsidR="00401471" w:rsidRPr="00B05509" w:rsidRDefault="00401471" w:rsidP="007C3BBA">
            <w:pPr>
              <w:rPr>
                <w:rFonts w:ascii="Times New Roman" w:hAnsi="Times New Roman"/>
              </w:rPr>
            </w:pPr>
            <w:r w:rsidRPr="00B05509">
              <w:rPr>
                <w:rFonts w:ascii="Times New Roman" w:hAnsi="Times New Roman"/>
              </w:rPr>
              <w:t>How trustworthy do you think the information you saw on the effectiveness of eye protection is?</w:t>
            </w:r>
          </w:p>
          <w:p w14:paraId="2112DFDB" w14:textId="77777777" w:rsidR="00401471" w:rsidRPr="00B05509" w:rsidRDefault="00401471" w:rsidP="007C3BBA">
            <w:pPr>
              <w:rPr>
                <w:rFonts w:ascii="Times New Roman" w:hAnsi="Times New Roman"/>
              </w:rPr>
            </w:pPr>
            <w:r w:rsidRPr="00B05509">
              <w:rPr>
                <w:rFonts w:ascii="Times New Roman" w:hAnsi="Times New Roman"/>
              </w:rPr>
              <w:t>How accurate do you think the information you saw on the effectiveness of eye protection is?</w:t>
            </w:r>
          </w:p>
          <w:p w14:paraId="6C229D63" w14:textId="77777777" w:rsidR="00401471" w:rsidRPr="00B05509" w:rsidRDefault="00401471" w:rsidP="007C3BBA">
            <w:pPr>
              <w:rPr>
                <w:rFonts w:ascii="Times New Roman" w:hAnsi="Times New Roman"/>
              </w:rPr>
            </w:pPr>
            <w:r w:rsidRPr="00B05509">
              <w:rPr>
                <w:rFonts w:ascii="Times New Roman" w:hAnsi="Times New Roman"/>
              </w:rPr>
              <w:t>How reliable do you think the information you saw on the effectiveness of eye protection is?</w:t>
            </w:r>
          </w:p>
        </w:tc>
        <w:tc>
          <w:tcPr>
            <w:tcW w:w="3134" w:type="dxa"/>
          </w:tcPr>
          <w:p w14:paraId="06FCCE16" w14:textId="77777777" w:rsidR="00401471" w:rsidRPr="00B05509" w:rsidRDefault="00401471" w:rsidP="007C3BBA">
            <w:pPr>
              <w:rPr>
                <w:rFonts w:ascii="Times New Roman" w:hAnsi="Times New Roman"/>
              </w:rPr>
            </w:pPr>
            <w:r w:rsidRPr="00B05509">
              <w:rPr>
                <w:rFonts w:ascii="Times New Roman" w:hAnsi="Times New Roman"/>
              </w:rPr>
              <w:t>7 point Likert scale, not trustworthy/accurate/reliable at all – very trustworthy/accurate/reliable</w:t>
            </w:r>
          </w:p>
        </w:tc>
      </w:tr>
      <w:tr w:rsidR="00401471" w:rsidRPr="00F94982" w14:paraId="2F216484" w14:textId="77777777" w:rsidTr="00233C58">
        <w:tc>
          <w:tcPr>
            <w:tcW w:w="2689" w:type="dxa"/>
          </w:tcPr>
          <w:p w14:paraId="24841570" w14:textId="77777777" w:rsidR="00401471" w:rsidRPr="00B05509" w:rsidRDefault="00401471" w:rsidP="007C3BBA">
            <w:pPr>
              <w:rPr>
                <w:rFonts w:ascii="Times New Roman" w:hAnsi="Times New Roman"/>
              </w:rPr>
            </w:pPr>
            <w:r w:rsidRPr="00B05509">
              <w:rPr>
                <w:rFonts w:ascii="Times New Roman" w:hAnsi="Times New Roman"/>
              </w:rPr>
              <w:t>Perceived effectiveness of eye protection</w:t>
            </w:r>
          </w:p>
        </w:tc>
        <w:tc>
          <w:tcPr>
            <w:tcW w:w="3187" w:type="dxa"/>
          </w:tcPr>
          <w:p w14:paraId="7A372B19" w14:textId="77777777" w:rsidR="00401471" w:rsidRPr="00B05509" w:rsidRDefault="00401471" w:rsidP="007C3BBA">
            <w:pPr>
              <w:rPr>
                <w:rFonts w:ascii="Times New Roman" w:hAnsi="Times New Roman"/>
              </w:rPr>
            </w:pPr>
            <w:r w:rsidRPr="00B05509">
              <w:rPr>
                <w:rFonts w:ascii="Times New Roman" w:hAnsi="Times New Roman"/>
              </w:rPr>
              <w:t>How effective do you think eye protection is for reducing the chance of infection or transmission of COVID-19?</w:t>
            </w:r>
          </w:p>
        </w:tc>
        <w:tc>
          <w:tcPr>
            <w:tcW w:w="3134" w:type="dxa"/>
          </w:tcPr>
          <w:p w14:paraId="317D4DE0" w14:textId="77777777" w:rsidR="00401471" w:rsidRPr="00B05509" w:rsidRDefault="00401471" w:rsidP="007C3BBA">
            <w:pPr>
              <w:rPr>
                <w:rFonts w:ascii="Times New Roman" w:hAnsi="Times New Roman"/>
              </w:rPr>
            </w:pPr>
            <w:r w:rsidRPr="00B05509">
              <w:rPr>
                <w:rFonts w:ascii="Times New Roman" w:hAnsi="Times New Roman"/>
              </w:rPr>
              <w:t>7 point Likert scale, not effective at all – very effective</w:t>
            </w:r>
          </w:p>
        </w:tc>
      </w:tr>
      <w:tr w:rsidR="00401471" w:rsidRPr="00F94982" w14:paraId="6ECC9E13" w14:textId="77777777" w:rsidTr="00233C58">
        <w:tc>
          <w:tcPr>
            <w:tcW w:w="2689" w:type="dxa"/>
          </w:tcPr>
          <w:p w14:paraId="2F19E323" w14:textId="77777777" w:rsidR="00401471" w:rsidRPr="00B05509" w:rsidRDefault="00401471" w:rsidP="007C3BBA">
            <w:pPr>
              <w:rPr>
                <w:rFonts w:ascii="Times New Roman" w:hAnsi="Times New Roman"/>
              </w:rPr>
            </w:pPr>
            <w:r w:rsidRPr="00B05509">
              <w:rPr>
                <w:rFonts w:ascii="Times New Roman" w:hAnsi="Times New Roman"/>
              </w:rPr>
              <w:t>Behavioural uptake intentions</w:t>
            </w:r>
          </w:p>
        </w:tc>
        <w:tc>
          <w:tcPr>
            <w:tcW w:w="3187" w:type="dxa"/>
          </w:tcPr>
          <w:p w14:paraId="0F2B7EA0" w14:textId="77777777" w:rsidR="00401471" w:rsidRPr="00B05509" w:rsidRDefault="00401471" w:rsidP="007C3BBA">
            <w:pPr>
              <w:rPr>
                <w:rFonts w:ascii="Times New Roman" w:hAnsi="Times New Roman"/>
              </w:rPr>
            </w:pPr>
            <w:r w:rsidRPr="00B05509">
              <w:rPr>
                <w:rFonts w:ascii="Times New Roman" w:hAnsi="Times New Roman"/>
              </w:rPr>
              <w:t>How likely are you to wear eye protection when in busy public places?</w:t>
            </w:r>
          </w:p>
        </w:tc>
        <w:tc>
          <w:tcPr>
            <w:tcW w:w="3134" w:type="dxa"/>
          </w:tcPr>
          <w:p w14:paraId="12A5697D" w14:textId="77777777" w:rsidR="00401471" w:rsidRPr="00B05509" w:rsidRDefault="00401471" w:rsidP="007C3BBA">
            <w:pPr>
              <w:rPr>
                <w:rFonts w:ascii="Times New Roman" w:hAnsi="Times New Roman"/>
              </w:rPr>
            </w:pPr>
            <w:r w:rsidRPr="00B05509">
              <w:rPr>
                <w:rFonts w:ascii="Times New Roman" w:hAnsi="Times New Roman"/>
              </w:rPr>
              <w:t>7 point Likert scale, not at all likely – very likely</w:t>
            </w:r>
          </w:p>
        </w:tc>
      </w:tr>
    </w:tbl>
    <w:p w14:paraId="72F4C224" w14:textId="77777777" w:rsidR="00401471" w:rsidRPr="00B05509" w:rsidRDefault="00401471" w:rsidP="007C3BBA">
      <w:pPr>
        <w:spacing w:line="480" w:lineRule="auto"/>
        <w:rPr>
          <w:rFonts w:ascii="Times New Roman" w:hAnsi="Times New Roman"/>
        </w:rPr>
      </w:pPr>
    </w:p>
    <w:p w14:paraId="2AA78742" w14:textId="2DB18892" w:rsidR="007B3D7F" w:rsidRPr="00B05509" w:rsidRDefault="00A64F1E" w:rsidP="007C3BBA">
      <w:pPr>
        <w:spacing w:line="480" w:lineRule="auto"/>
        <w:rPr>
          <w:rFonts w:ascii="Times New Roman" w:hAnsi="Times New Roman"/>
        </w:rPr>
      </w:pPr>
      <w:r w:rsidRPr="00B05509">
        <w:rPr>
          <w:rFonts w:ascii="Times New Roman" w:hAnsi="Times New Roman"/>
        </w:rPr>
        <w:t xml:space="preserve">The questionnaire for both studies </w:t>
      </w:r>
      <w:r w:rsidR="007B3D7F" w:rsidRPr="00B05509">
        <w:rPr>
          <w:rFonts w:ascii="Times New Roman" w:hAnsi="Times New Roman"/>
        </w:rPr>
        <w:t>contained an attention check</w:t>
      </w:r>
      <w:r w:rsidRPr="00B05509">
        <w:rPr>
          <w:rFonts w:ascii="Times New Roman" w:hAnsi="Times New Roman"/>
        </w:rPr>
        <w:t xml:space="preserve"> item: </w:t>
      </w:r>
      <w:r w:rsidR="008B6EAE" w:rsidRPr="00B05509">
        <w:rPr>
          <w:rFonts w:ascii="Times New Roman" w:hAnsi="Times New Roman"/>
          <w:color w:val="000000" w:themeColor="text1"/>
        </w:rPr>
        <w:t>“Do you feel that you paid attention, avoided distractions, and took the survey seriously so far?”</w:t>
      </w:r>
      <w:r w:rsidRPr="00B05509">
        <w:rPr>
          <w:rFonts w:ascii="Times New Roman" w:hAnsi="Times New Roman"/>
          <w:color w:val="000000" w:themeColor="text1"/>
        </w:rPr>
        <w:t xml:space="preserve"> (</w:t>
      </w:r>
      <w:r w:rsidR="00120FCB" w:rsidRPr="00B05509">
        <w:rPr>
          <w:rFonts w:ascii="Times New Roman" w:hAnsi="Times New Roman"/>
          <w:color w:val="000000" w:themeColor="text1"/>
        </w:rPr>
        <w:t xml:space="preserve">answer options: </w:t>
      </w:r>
      <w:r w:rsidR="00120FCB" w:rsidRPr="00B05509">
        <w:rPr>
          <w:rFonts w:ascii="Times New Roman" w:hAnsi="Times New Roman"/>
          <w:i/>
          <w:color w:val="000000" w:themeColor="text1"/>
        </w:rPr>
        <w:t>No, I was distracted</w:t>
      </w:r>
      <w:r w:rsidR="00BF680F" w:rsidRPr="00B05509">
        <w:rPr>
          <w:rFonts w:ascii="Times New Roman" w:hAnsi="Times New Roman"/>
          <w:i/>
          <w:color w:val="000000" w:themeColor="text1"/>
        </w:rPr>
        <w:t>;</w:t>
      </w:r>
      <w:r w:rsidR="00120FCB" w:rsidRPr="00B05509">
        <w:rPr>
          <w:rFonts w:ascii="Times New Roman" w:hAnsi="Times New Roman"/>
          <w:i/>
          <w:color w:val="000000" w:themeColor="text1"/>
        </w:rPr>
        <w:t xml:space="preserve"> No,</w:t>
      </w:r>
      <w:r w:rsidR="00BF680F" w:rsidRPr="00B05509">
        <w:rPr>
          <w:rFonts w:ascii="Times New Roman" w:hAnsi="Times New Roman"/>
          <w:i/>
          <w:color w:val="000000" w:themeColor="text1"/>
        </w:rPr>
        <w:t xml:space="preserve"> I had trouble paying attention;</w:t>
      </w:r>
      <w:r w:rsidR="00120FCB" w:rsidRPr="00B05509">
        <w:rPr>
          <w:rFonts w:ascii="Times New Roman" w:hAnsi="Times New Roman"/>
          <w:i/>
          <w:color w:val="000000" w:themeColor="text1"/>
        </w:rPr>
        <w:t xml:space="preserve"> No, I didn’t not take the study </w:t>
      </w:r>
      <w:r w:rsidR="00BF680F" w:rsidRPr="00B05509">
        <w:rPr>
          <w:rFonts w:ascii="Times New Roman" w:hAnsi="Times New Roman"/>
          <w:i/>
          <w:color w:val="000000" w:themeColor="text1"/>
        </w:rPr>
        <w:t>seriously so far;</w:t>
      </w:r>
      <w:r w:rsidR="00120FCB" w:rsidRPr="00B05509">
        <w:rPr>
          <w:rFonts w:ascii="Times New Roman" w:hAnsi="Times New Roman"/>
          <w:i/>
          <w:color w:val="000000" w:themeColor="text1"/>
        </w:rPr>
        <w:t xml:space="preserve"> No, something else affec</w:t>
      </w:r>
      <w:r w:rsidR="00BF680F" w:rsidRPr="00B05509">
        <w:rPr>
          <w:rFonts w:ascii="Times New Roman" w:hAnsi="Times New Roman"/>
          <w:i/>
          <w:color w:val="000000" w:themeColor="text1"/>
        </w:rPr>
        <w:t>ted my participation negatively;</w:t>
      </w:r>
      <w:r w:rsidR="00120FCB" w:rsidRPr="00B05509">
        <w:rPr>
          <w:rFonts w:ascii="Times New Roman" w:hAnsi="Times New Roman"/>
          <w:i/>
          <w:color w:val="000000" w:themeColor="text1"/>
        </w:rPr>
        <w:t xml:space="preserve"> Yes</w:t>
      </w:r>
      <w:r w:rsidR="007B3D7F" w:rsidRPr="00B05509">
        <w:rPr>
          <w:rFonts w:ascii="Times New Roman" w:hAnsi="Times New Roman"/>
          <w:color w:val="000000" w:themeColor="text1"/>
        </w:rPr>
        <w:t>)</w:t>
      </w:r>
      <w:r w:rsidR="007B3D7F" w:rsidRPr="00B05509">
        <w:rPr>
          <w:rFonts w:ascii="Times New Roman" w:hAnsi="Times New Roman"/>
        </w:rPr>
        <w:t>. Participants who failed the attention check</w:t>
      </w:r>
      <w:r w:rsidR="00120FCB" w:rsidRPr="00B05509">
        <w:rPr>
          <w:rFonts w:ascii="Times New Roman" w:hAnsi="Times New Roman"/>
        </w:rPr>
        <w:t>, i.e. who gave an answer other than ‘yes’,</w:t>
      </w:r>
      <w:r w:rsidR="007B3D7F" w:rsidRPr="00B05509">
        <w:rPr>
          <w:rFonts w:ascii="Times New Roman" w:hAnsi="Times New Roman"/>
        </w:rPr>
        <w:t xml:space="preserve"> were excluded</w:t>
      </w:r>
      <w:r w:rsidR="00120FCB" w:rsidRPr="00B05509">
        <w:rPr>
          <w:rFonts w:ascii="Times New Roman" w:hAnsi="Times New Roman"/>
        </w:rPr>
        <w:t xml:space="preserve"> as pre-registered</w:t>
      </w:r>
      <w:r w:rsidR="007B3D7F" w:rsidRPr="00B05509">
        <w:rPr>
          <w:rFonts w:ascii="Times New Roman" w:hAnsi="Times New Roman"/>
        </w:rPr>
        <w:t>.</w:t>
      </w:r>
      <w:r w:rsidR="00ED1272" w:rsidRPr="00B05509">
        <w:rPr>
          <w:rFonts w:ascii="Times New Roman" w:hAnsi="Times New Roman"/>
        </w:rPr>
        <w:t xml:space="preserve"> The attention check measure was administered prior to randomising participants into experimental treatment groups</w:t>
      </w:r>
      <w:r w:rsidR="00ED1272" w:rsidRPr="00B05509">
        <w:rPr>
          <w:rFonts w:ascii="Times New Roman" w:hAnsi="Times New Roman"/>
          <w:color w:val="000000" w:themeColor="text1"/>
        </w:rPr>
        <w:t>.</w:t>
      </w:r>
      <w:r w:rsidR="00225101">
        <w:rPr>
          <w:rFonts w:ascii="Times New Roman" w:hAnsi="Times New Roman"/>
          <w:color w:val="000000" w:themeColor="text1"/>
        </w:rPr>
        <w:t xml:space="preserve"> Please refer to the S1 supporting information file for further details on materials and methods.</w:t>
      </w:r>
    </w:p>
    <w:p w14:paraId="7BF19AB5" w14:textId="0D61DDC3" w:rsidR="00AF2CAC" w:rsidRPr="00B05509" w:rsidRDefault="00AF2CAC" w:rsidP="007C3BBA">
      <w:pPr>
        <w:spacing w:line="480" w:lineRule="auto"/>
        <w:rPr>
          <w:rFonts w:ascii="Times New Roman" w:hAnsi="Times New Roman"/>
          <w:color w:val="000000" w:themeColor="text1"/>
        </w:rPr>
      </w:pPr>
      <w:r w:rsidRPr="00B05509">
        <w:rPr>
          <w:rFonts w:ascii="Times New Roman" w:hAnsi="Times New Roman"/>
        </w:rPr>
        <w:lastRenderedPageBreak/>
        <w:t xml:space="preserve">All analyses were </w:t>
      </w:r>
      <w:r w:rsidR="001C0460" w:rsidRPr="00B05509">
        <w:rPr>
          <w:rFonts w:ascii="Times New Roman" w:hAnsi="Times New Roman"/>
        </w:rPr>
        <w:t xml:space="preserve">carried out </w:t>
      </w:r>
      <w:r w:rsidRPr="00B05509">
        <w:rPr>
          <w:rFonts w:ascii="Times New Roman" w:hAnsi="Times New Roman"/>
        </w:rPr>
        <w:t xml:space="preserve">in R </w:t>
      </w:r>
      <w:r w:rsidR="008B6EAE" w:rsidRPr="00B05509">
        <w:rPr>
          <w:rFonts w:ascii="Times New Roman" w:hAnsi="Times New Roman"/>
          <w:color w:val="000000" w:themeColor="text1"/>
        </w:rPr>
        <w:t>version 3.6</w:t>
      </w:r>
      <w:r w:rsidR="0006362F">
        <w:rPr>
          <w:rFonts w:ascii="Times New Roman" w:hAnsi="Times New Roman"/>
          <w:color w:val="000000" w:themeColor="text1"/>
        </w:rPr>
        <w:t xml:space="preserve"> and the analysis code is available in the OSF repository.</w:t>
      </w:r>
    </w:p>
    <w:p w14:paraId="23C1C6AA" w14:textId="77777777" w:rsidR="00E10E09" w:rsidRPr="00B05509" w:rsidRDefault="00E10E09" w:rsidP="007C3BBA">
      <w:pPr>
        <w:spacing w:line="480" w:lineRule="auto"/>
        <w:rPr>
          <w:rFonts w:ascii="Times New Roman" w:hAnsi="Times New Roman"/>
        </w:rPr>
      </w:pPr>
    </w:p>
    <w:p w14:paraId="1386FA9B" w14:textId="60A8D9CD" w:rsidR="001A095D" w:rsidRPr="00B05509" w:rsidRDefault="001A095D"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 xml:space="preserve">Experiment 1: Additional </w:t>
      </w:r>
      <w:r w:rsidR="007E4C91" w:rsidRPr="00B05509">
        <w:rPr>
          <w:rFonts w:ascii="Times New Roman" w:hAnsi="Times New Roman" w:cs="Times New Roman"/>
          <w:b/>
          <w:color w:val="auto"/>
          <w:sz w:val="36"/>
          <w:szCs w:val="36"/>
        </w:rPr>
        <w:t>materials and m</w:t>
      </w:r>
      <w:r w:rsidRPr="00B05509">
        <w:rPr>
          <w:rFonts w:ascii="Times New Roman" w:hAnsi="Times New Roman" w:cs="Times New Roman"/>
          <w:b/>
          <w:color w:val="auto"/>
          <w:sz w:val="36"/>
          <w:szCs w:val="36"/>
        </w:rPr>
        <w:t>ethods</w:t>
      </w:r>
    </w:p>
    <w:p w14:paraId="6EF7132D" w14:textId="4901161D" w:rsidR="00312ADF" w:rsidRPr="00B05509" w:rsidRDefault="00147D20" w:rsidP="007C3BBA">
      <w:pPr>
        <w:spacing w:line="480" w:lineRule="auto"/>
        <w:rPr>
          <w:rFonts w:ascii="Times New Roman" w:hAnsi="Times New Roman"/>
        </w:rPr>
      </w:pPr>
      <w:r w:rsidRPr="00B05509">
        <w:rPr>
          <w:rFonts w:ascii="Times New Roman" w:hAnsi="Times New Roman"/>
        </w:rPr>
        <w:t xml:space="preserve">This </w:t>
      </w:r>
      <w:r w:rsidR="002D301E" w:rsidRPr="00B05509">
        <w:rPr>
          <w:rFonts w:ascii="Times New Roman" w:hAnsi="Times New Roman"/>
        </w:rPr>
        <w:t>experiment set</w:t>
      </w:r>
      <w:r w:rsidRPr="00B05509">
        <w:rPr>
          <w:rFonts w:ascii="Times New Roman" w:hAnsi="Times New Roman"/>
        </w:rPr>
        <w:t xml:space="preserve"> out to test whether </w:t>
      </w:r>
      <w:r w:rsidR="00A956EA" w:rsidRPr="00B05509">
        <w:rPr>
          <w:rFonts w:ascii="Times New Roman" w:hAnsi="Times New Roman"/>
        </w:rPr>
        <w:t>members</w:t>
      </w:r>
      <w:r w:rsidRPr="00B05509">
        <w:rPr>
          <w:rFonts w:ascii="Times New Roman" w:hAnsi="Times New Roman"/>
        </w:rPr>
        <w:t xml:space="preserve"> </w:t>
      </w:r>
      <w:r w:rsidR="00A64F1E" w:rsidRPr="00B05509">
        <w:rPr>
          <w:rFonts w:ascii="Times New Roman" w:hAnsi="Times New Roman"/>
        </w:rPr>
        <w:t xml:space="preserve">of the general public </w:t>
      </w:r>
      <w:r w:rsidR="00EC4411" w:rsidRPr="00B05509">
        <w:rPr>
          <w:rFonts w:ascii="Times New Roman" w:hAnsi="Times New Roman"/>
        </w:rPr>
        <w:t>react</w:t>
      </w:r>
      <w:r w:rsidRPr="00B05509">
        <w:rPr>
          <w:rFonts w:ascii="Times New Roman" w:hAnsi="Times New Roman"/>
        </w:rPr>
        <w:t>ed differently</w:t>
      </w:r>
      <w:r w:rsidR="00EC4411" w:rsidRPr="00B05509">
        <w:rPr>
          <w:rFonts w:ascii="Times New Roman" w:hAnsi="Times New Roman"/>
        </w:rPr>
        <w:t xml:space="preserve"> to different stated levels of quality</w:t>
      </w:r>
      <w:r w:rsidR="00A54573" w:rsidRPr="00B05509">
        <w:rPr>
          <w:rFonts w:ascii="Times New Roman" w:hAnsi="Times New Roman"/>
        </w:rPr>
        <w:t>/certainty</w:t>
      </w:r>
      <w:r w:rsidR="00EC4411" w:rsidRPr="00B05509">
        <w:rPr>
          <w:rFonts w:ascii="Times New Roman" w:hAnsi="Times New Roman"/>
        </w:rPr>
        <w:t xml:space="preserve"> of evidence (high versus low)</w:t>
      </w:r>
      <w:r w:rsidRPr="00B05509">
        <w:rPr>
          <w:rFonts w:ascii="Times New Roman" w:hAnsi="Times New Roman"/>
        </w:rPr>
        <w:t xml:space="preserve"> and </w:t>
      </w:r>
      <w:r w:rsidR="00EC4411" w:rsidRPr="00B05509">
        <w:rPr>
          <w:rFonts w:ascii="Times New Roman" w:hAnsi="Times New Roman"/>
        </w:rPr>
        <w:t>to the</w:t>
      </w:r>
      <w:r w:rsidR="00A64F1E" w:rsidRPr="00B05509">
        <w:rPr>
          <w:rFonts w:ascii="Times New Roman" w:hAnsi="Times New Roman"/>
        </w:rPr>
        <w:t xml:space="preserve"> quality of evidence levels being described as</w:t>
      </w:r>
      <w:r w:rsidR="00EC4411" w:rsidRPr="00B05509">
        <w:rPr>
          <w:rFonts w:ascii="Times New Roman" w:hAnsi="Times New Roman"/>
        </w:rPr>
        <w:t xml:space="preserve"> ‘quality of evidence’ </w:t>
      </w:r>
      <w:r w:rsidR="00A64F1E" w:rsidRPr="00B05509">
        <w:rPr>
          <w:rFonts w:ascii="Times New Roman" w:hAnsi="Times New Roman"/>
        </w:rPr>
        <w:t xml:space="preserve">versus </w:t>
      </w:r>
      <w:r w:rsidR="00EC4411" w:rsidRPr="00B05509">
        <w:rPr>
          <w:rFonts w:ascii="Times New Roman" w:hAnsi="Times New Roman"/>
        </w:rPr>
        <w:t>‘certainty of evidence’</w:t>
      </w:r>
      <w:r w:rsidR="00012846">
        <w:rPr>
          <w:rFonts w:ascii="Times New Roman" w:hAnsi="Times New Roman"/>
        </w:rPr>
        <w:t>, two alternate wordings used by GRADE</w:t>
      </w:r>
      <w:r w:rsidR="00DA7ECD">
        <w:rPr>
          <w:rFonts w:ascii="Times New Roman" w:hAnsi="Times New Roman"/>
        </w:rPr>
        <w:t xml:space="preserve">. </w:t>
      </w:r>
      <w:r w:rsidR="00DA7ECD" w:rsidRPr="00B05509">
        <w:rPr>
          <w:rFonts w:ascii="Times New Roman" w:hAnsi="Times New Roman"/>
        </w:rPr>
        <w:t>GRADE initially used the term ‘quality of evidence’. More recently ‘certainty of evidence’ has become the preferred term</w:t>
      </w:r>
      <w:r w:rsidR="00DA7ECD">
        <w:rPr>
          <w:rFonts w:ascii="Times New Roman" w:hAnsi="Times New Roman"/>
        </w:rPr>
        <w:t xml:space="preserve"> </w:t>
      </w:r>
      <w:r w:rsidR="00DA7ECD">
        <w:rPr>
          <w:rFonts w:ascii="Times New Roman" w:hAnsi="Times New Roman"/>
        </w:rPr>
        <w:fldChar w:fldCharType="begin" w:fldLock="1"/>
      </w:r>
      <w:r w:rsidR="00DA7ECD">
        <w:rPr>
          <w:rFonts w:ascii="Times New Roman" w:hAnsi="Times New Roman"/>
        </w:rPr>
        <w:instrText>ADDIN CSL_CITATION {"citationItems":[{"id":"ITEM-1","itemData":{"DOI":"10.1016/j.jclinepi.2017.05.006","ISSN":"18785921","PMID":"28529184","abstract":"Objective To clarify the grading of recommendations assessment, development and evaluation (GRADE) definition of certainty of evidence and suggest possible approaches to rating certainty of the evidence for systematic reviews, health technology assessments, and guidelines. Study Design and Setting This work was carried out by a project group within the GRADE Working Group, through brainstorming and iterative refinement of ideas, using input from workshops, presentations, and discussions at GRADE Working Group meetings to produce this document, which constitutes official GRADE guidance. Results Certainty of evidence is best considered as the certainty that a true effect lies on one side of a specified threshold or within a chosen range. We define possible approaches for choosing threshold or range. For guidelines, what we call a fully contextualized approach requires simultaneously considering all critical outcomes and their relative value. Less-contextualized approaches, more appropriate for systematic reviews and health technology assessments, include using specified ranges of magnitude of effect, for example, ranges of what we might consider no effect, trivial, small, moderate, or large effects. Conclusion It is desirable for systematic review authors, guideline panelists, and health technology assessors to specify the threshold or ranges they are using when rating the certainty in evidence.","author":[{"dropping-particle":"","family":"Hultcrantz","given":"Monica","non-dropping-particle":"","parse-names":false,"suffix":""},{"dropping-particle":"","family":"Rind","given":"David","non-dropping-particle":"","parse-names":false,"suffix":""},{"dropping-particle":"","family":"Akl","given":"Elie A.","non-dropping-particle":"","parse-names":false,"suffix":""},{"dropping-particle":"","family":"Treweek","given":"Shaun","non-dropping-particle":"","parse-names":false,"suffix":""},{"dropping-particle":"","family":"Mustafa","given":"Reem A.","non-dropping-particle":"","parse-names":false,"suffix":""},{"dropping-particle":"","family":"Iorio","given":"Alfonso","non-dropping-particle":"","parse-names":false,"suffix":""},{"dropping-particle":"","family":"Alper","given":"Brian S.","non-dropping-particle":"","parse-names":false,"suffix":""},{"dropping-particle":"","family":"Meerpohl","given":"Joerg J.","non-dropping-particle":"","parse-names":false,"suffix":""},{"dropping-particle":"","family":"Murad","given":"M. Hassan","non-dropping-particle":"","parse-names":false,"suffix":""},{"dropping-particle":"","family":"Ansari","given":"Mohammed T.","non-dropping-particle":"","parse-names":false,"suffix":""},{"dropping-particle":"","family":"Katikireddi","given":"Srinivasa Vittal","non-dropping-particle":"","parse-names":false,"suffix":""},{"dropping-particle":"","family":"Östlund","given":"Pernilla","non-dropping-particle":"","parse-names":false,"suffix":""},{"dropping-particle":"","family":"Tranæus","given":"Sofia","non-dropping-particle":"","parse-names":false,"suffix":""},{"dropping-particle":"","family":"Christensen","given":"Robin","non-dropping-particle":"","parse-names":false,"suffix":""},{"dropping-particle":"","family":"Gartlehner","given":"Gerald","non-dropping-particle":"","parse-names":false,"suffix":""},{"dropping-particle":"","family":"Brozek","given":"Jan","non-dropping-particle":"","parse-names":false,"suffix":""},{"dropping-particle":"","family":"Izcovich","given":"Ariel","non-dropping-particle":"","parse-names":false,"suffix":""},{"dropping-particle":"","family":"Schünemann","given":"Holger","non-dropping-particle":"","parse-names":false,"suffix":""},{"dropping-particle":"","family":"Guyatt","given":"Gordon","non-dropping-particle":"","parse-names":false,"suffix":""}],"container-title":"Journal of Clinical Epidemiology","id":"ITEM-1","issued":{"date-parts":[["2017"]]},"page":"4-13","title":"The GRADE Working Group clarifies the construct of certainty of evidence","type":"article-journal","volume":"87"},"uris":["http://www.mendeley.com/documents/?uuid=b3d0a4bb-7be1-4e5c-9a2c-79e2503e42be"]}],"mendeley":{"formattedCitation":"[57]","plainTextFormattedCitation":"[57]"},"properties":{"noteIndex":0},"schema":"https://github.com/citation-style-language/schema/raw/master/csl-citation.json"}</w:instrText>
      </w:r>
      <w:r w:rsidR="00DA7ECD">
        <w:rPr>
          <w:rFonts w:ascii="Times New Roman" w:hAnsi="Times New Roman"/>
        </w:rPr>
        <w:fldChar w:fldCharType="separate"/>
      </w:r>
      <w:r w:rsidR="00DA7ECD" w:rsidRPr="00DA7ECD">
        <w:rPr>
          <w:rFonts w:ascii="Times New Roman" w:hAnsi="Times New Roman"/>
          <w:noProof/>
        </w:rPr>
        <w:t>[57]</w:t>
      </w:r>
      <w:r w:rsidR="00DA7ECD">
        <w:rPr>
          <w:rFonts w:ascii="Times New Roman" w:hAnsi="Times New Roman"/>
        </w:rPr>
        <w:fldChar w:fldCharType="end"/>
      </w:r>
      <w:r w:rsidR="00DA7ECD">
        <w:rPr>
          <w:rFonts w:ascii="Times New Roman" w:hAnsi="Times New Roman"/>
        </w:rPr>
        <w:t xml:space="preserve"> </w:t>
      </w:r>
      <w:r w:rsidR="00012846">
        <w:rPr>
          <w:rFonts w:ascii="Times New Roman" w:hAnsi="Times New Roman"/>
        </w:rPr>
        <w:t xml:space="preserve">and </w:t>
      </w:r>
      <w:r w:rsidR="00DA7ECD">
        <w:rPr>
          <w:rFonts w:ascii="Times New Roman" w:hAnsi="Times New Roman"/>
        </w:rPr>
        <w:t>is the one used in</w:t>
      </w:r>
      <w:r w:rsidR="00DA7ECD" w:rsidRPr="00B05509">
        <w:rPr>
          <w:rFonts w:ascii="Times New Roman" w:hAnsi="Times New Roman"/>
        </w:rPr>
        <w:t xml:space="preserve"> </w:t>
      </w:r>
      <w:r w:rsidR="00A64F1E" w:rsidRPr="00B05509">
        <w:rPr>
          <w:rFonts w:ascii="Times New Roman" w:hAnsi="Times New Roman"/>
        </w:rPr>
        <w:t xml:space="preserve">the original Lancet </w:t>
      </w:r>
      <w:r w:rsidR="00DA7ECD">
        <w:rPr>
          <w:rFonts w:ascii="Times New Roman" w:hAnsi="Times New Roman"/>
        </w:rPr>
        <w:t>infographic. The experiment employed</w:t>
      </w:r>
      <w:r w:rsidR="002D301E" w:rsidRPr="00B05509">
        <w:rPr>
          <w:rFonts w:ascii="Times New Roman" w:hAnsi="Times New Roman"/>
        </w:rPr>
        <w:t xml:space="preserve"> a 2x2 factorial design </w:t>
      </w:r>
      <w:r w:rsidR="000810D3" w:rsidRPr="00B05509">
        <w:rPr>
          <w:rFonts w:ascii="Times New Roman" w:hAnsi="Times New Roman"/>
        </w:rPr>
        <w:t>(</w:t>
      </w:r>
      <w:r w:rsidR="002D301E" w:rsidRPr="00B05509">
        <w:rPr>
          <w:rFonts w:ascii="Times New Roman" w:hAnsi="Times New Roman"/>
        </w:rPr>
        <w:t>‘low’ versus ‘high’ level of evidence</w:t>
      </w:r>
      <w:r w:rsidR="000810D3" w:rsidRPr="00B05509">
        <w:rPr>
          <w:rFonts w:ascii="Times New Roman" w:hAnsi="Times New Roman"/>
        </w:rPr>
        <w:t xml:space="preserve"> x ‘certainty’ versus ‘quality’ wording</w:t>
      </w:r>
      <w:r w:rsidR="002D301E" w:rsidRPr="00B05509">
        <w:rPr>
          <w:rFonts w:ascii="Times New Roman" w:hAnsi="Times New Roman"/>
        </w:rPr>
        <w:t>)</w:t>
      </w:r>
      <w:r w:rsidR="00054D5B" w:rsidRPr="00B05509">
        <w:rPr>
          <w:rFonts w:ascii="Times New Roman" w:hAnsi="Times New Roman"/>
        </w:rPr>
        <w:t xml:space="preserve"> (</w:t>
      </w:r>
      <w:r w:rsidR="003909EA" w:rsidRPr="00B05509">
        <w:rPr>
          <w:rFonts w:ascii="Times New Roman" w:hAnsi="Times New Roman"/>
        </w:rPr>
        <w:t>Fig 1</w:t>
      </w:r>
      <w:r w:rsidR="00054D5B" w:rsidRPr="00B05509">
        <w:rPr>
          <w:rFonts w:ascii="Times New Roman" w:hAnsi="Times New Roman"/>
        </w:rPr>
        <w:t>)</w:t>
      </w:r>
      <w:r w:rsidR="002D301E" w:rsidRPr="00B05509">
        <w:rPr>
          <w:rFonts w:ascii="Times New Roman" w:hAnsi="Times New Roman"/>
        </w:rPr>
        <w:t>.</w:t>
      </w:r>
      <w:r w:rsidR="00E179CD" w:rsidRPr="00B05509">
        <w:rPr>
          <w:rFonts w:ascii="Times New Roman" w:hAnsi="Times New Roman"/>
        </w:rPr>
        <w:t xml:space="preserve"> </w:t>
      </w:r>
      <w:r w:rsidR="00DA7ECD" w:rsidRPr="00D573F2">
        <w:rPr>
          <w:rFonts w:ascii="Times New Roman" w:hAnsi="Times New Roman"/>
        </w:rPr>
        <w:t>We note that during production of the infographics, the right-most, grey column of the icon array for the chance of infection or transmission ‘with eye protection’ got cropped, leaving an array of 45 rather than 50 icons. We display the infographics as they were shown to participants. The icon array column was missing consistently for all</w:t>
      </w:r>
      <w:r w:rsidR="00DA7ECD">
        <w:rPr>
          <w:rFonts w:ascii="Times New Roman" w:hAnsi="Times New Roman"/>
        </w:rPr>
        <w:t xml:space="preserve"> </w:t>
      </w:r>
      <w:r w:rsidR="00DA7ECD" w:rsidRPr="00D573F2">
        <w:rPr>
          <w:rFonts w:ascii="Times New Roman" w:hAnsi="Times New Roman"/>
        </w:rPr>
        <w:t>experimental conditions. See</w:t>
      </w:r>
      <w:r w:rsidR="00DA7ECD">
        <w:rPr>
          <w:rFonts w:ascii="Times New Roman" w:hAnsi="Times New Roman"/>
        </w:rPr>
        <w:t xml:space="preserve"> the</w:t>
      </w:r>
      <w:r w:rsidR="00DA7ECD" w:rsidRPr="00D573F2">
        <w:rPr>
          <w:rFonts w:ascii="Times New Roman" w:hAnsi="Times New Roman"/>
        </w:rPr>
        <w:t xml:space="preserve"> limitations section of the General Discussion for further discussion.</w:t>
      </w:r>
    </w:p>
    <w:p w14:paraId="27DF3455" w14:textId="69AB3E6A" w:rsidR="003F4C5D" w:rsidRPr="00B05509" w:rsidRDefault="003F4C5D" w:rsidP="007C3BBA">
      <w:pPr>
        <w:keepNext/>
        <w:spacing w:line="480" w:lineRule="auto"/>
        <w:rPr>
          <w:rFonts w:ascii="Times New Roman" w:hAnsi="Times New Roman"/>
        </w:rPr>
      </w:pPr>
    </w:p>
    <w:p w14:paraId="6DE40DBB" w14:textId="0E60BB0D" w:rsidR="00F94982" w:rsidRPr="00B05509" w:rsidRDefault="00DA7ECD" w:rsidP="00B05509">
      <w:pPr>
        <w:rPr>
          <w:rFonts w:ascii="Times New Roman" w:hAnsi="Times New Roman"/>
        </w:rPr>
      </w:pPr>
      <w:r>
        <w:rPr>
          <w:rFonts w:ascii="Times New Roman" w:hAnsi="Times New Roman"/>
          <w:noProof/>
        </w:rPr>
        <w:drawing>
          <wp:inline distT="0" distB="0" distL="0" distR="0" wp14:anchorId="2FF488C3" wp14:editId="2E1D0285">
            <wp:extent cx="5727700" cy="3505200"/>
            <wp:effectExtent l="0" t="0" r="635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ure 1.tif"/>
                    <pic:cNvPicPr/>
                  </pic:nvPicPr>
                  <pic:blipFill>
                    <a:blip r:embed="rId8" cstate="print">
                      <a:extLst>
                        <a:ext uri="{28A0092B-C50C-407E-A947-70E740481C1C}">
                          <a14:useLocalDpi xmlns:a14="http://schemas.microsoft.com/office/drawing/2010/main" val="0"/>
                        </a:ext>
                      </a:extLst>
                    </a:blip>
                    <a:stretch>
                      <a:fillRect/>
                    </a:stretch>
                  </pic:blipFill>
                  <pic:spPr>
                    <a:xfrm>
                      <a:off x="0" y="0"/>
                      <a:ext cx="5727700" cy="3505200"/>
                    </a:xfrm>
                    <a:prstGeom prst="rect">
                      <a:avLst/>
                    </a:prstGeom>
                  </pic:spPr>
                </pic:pic>
              </a:graphicData>
            </a:graphic>
          </wp:inline>
        </w:drawing>
      </w:r>
    </w:p>
    <w:p w14:paraId="64850085" w14:textId="41E91CA9" w:rsidR="00F94982" w:rsidRDefault="00F94982" w:rsidP="00B05509">
      <w:pPr>
        <w:rPr>
          <w:rFonts w:ascii="Times New Roman" w:hAnsi="Times New Roman"/>
          <w:sz w:val="22"/>
          <w:szCs w:val="22"/>
        </w:rPr>
      </w:pPr>
      <w:r w:rsidRPr="00B05509">
        <w:rPr>
          <w:rFonts w:ascii="Times New Roman" w:hAnsi="Times New Roman"/>
          <w:b/>
          <w:sz w:val="22"/>
          <w:szCs w:val="22"/>
        </w:rPr>
        <w:t>Fig 1. Infographics</w:t>
      </w:r>
      <w:r w:rsidR="0055549F">
        <w:rPr>
          <w:rFonts w:ascii="Times New Roman" w:hAnsi="Times New Roman"/>
          <w:b/>
          <w:sz w:val="22"/>
          <w:szCs w:val="22"/>
        </w:rPr>
        <w:t xml:space="preserve"> </w:t>
      </w:r>
      <w:r w:rsidRPr="00B05509">
        <w:rPr>
          <w:rFonts w:ascii="Times New Roman" w:hAnsi="Times New Roman"/>
          <w:b/>
          <w:sz w:val="22"/>
          <w:szCs w:val="22"/>
        </w:rPr>
        <w:t>used in Experiment 1</w:t>
      </w:r>
      <w:r w:rsidR="00BA52E5">
        <w:rPr>
          <w:rFonts w:ascii="Times New Roman" w:hAnsi="Times New Roman"/>
          <w:b/>
          <w:sz w:val="22"/>
          <w:szCs w:val="22"/>
        </w:rPr>
        <w:t xml:space="preserve"> showing the chance of infection or transmission of COVID-19 without and with eye protection along with information on the underlying certainty/quality of evidence levels</w:t>
      </w:r>
      <w:r w:rsidRPr="00B05509">
        <w:rPr>
          <w:rFonts w:ascii="Times New Roman" w:hAnsi="Times New Roman"/>
          <w:b/>
          <w:sz w:val="22"/>
          <w:szCs w:val="22"/>
        </w:rPr>
        <w:t>.</w:t>
      </w:r>
      <w:r w:rsidRPr="00B05509">
        <w:rPr>
          <w:rFonts w:ascii="Times New Roman" w:hAnsi="Times New Roman"/>
          <w:sz w:val="22"/>
          <w:szCs w:val="22"/>
        </w:rPr>
        <w:t xml:space="preserve"> </w:t>
      </w:r>
      <w:r w:rsidR="00BA52E5">
        <w:rPr>
          <w:rFonts w:ascii="Times New Roman" w:hAnsi="Times New Roman"/>
          <w:sz w:val="22"/>
          <w:szCs w:val="22"/>
        </w:rPr>
        <w:t xml:space="preserve">The four panels are depicting the infographics used for the four experimental conditions. </w:t>
      </w:r>
      <w:r w:rsidRPr="00B05509">
        <w:rPr>
          <w:rFonts w:ascii="Times New Roman" w:hAnsi="Times New Roman"/>
          <w:sz w:val="22"/>
          <w:szCs w:val="22"/>
        </w:rPr>
        <w:t>(A) infographic shown to participants in the High Quality of evidence condition, (B) infographic shown to participants in the Low Quality of Evidence condition, (C) infographic shown to participants in the High Certainty of Evidence condition, (D) infographic shown to participants in the Low Certainty of Evidence condition.</w:t>
      </w:r>
    </w:p>
    <w:p w14:paraId="45954C24" w14:textId="5C421028" w:rsidR="00B55220" w:rsidRDefault="00B55220" w:rsidP="00B05509">
      <w:pPr>
        <w:rPr>
          <w:rFonts w:ascii="Times New Roman" w:hAnsi="Times New Roman"/>
          <w:sz w:val="22"/>
          <w:szCs w:val="22"/>
        </w:rPr>
      </w:pPr>
    </w:p>
    <w:p w14:paraId="6D72A7B2" w14:textId="5D0D7B2D" w:rsidR="00B55220" w:rsidRPr="00B05509" w:rsidRDefault="00B55220" w:rsidP="00B05509">
      <w:pPr>
        <w:rPr>
          <w:rFonts w:ascii="Times New Roman" w:hAnsi="Times New Roman"/>
        </w:rPr>
      </w:pPr>
    </w:p>
    <w:p w14:paraId="764CB02B" w14:textId="19B9EF06" w:rsidR="00E650E9" w:rsidRPr="00B05509" w:rsidRDefault="00E650E9" w:rsidP="007C3BBA">
      <w:pPr>
        <w:spacing w:line="480" w:lineRule="auto"/>
        <w:rPr>
          <w:rFonts w:ascii="Times New Roman" w:hAnsi="Times New Roman"/>
        </w:rPr>
      </w:pPr>
    </w:p>
    <w:p w14:paraId="0FC58057" w14:textId="72EC6FEE" w:rsidR="001A095D" w:rsidRPr="00B05509" w:rsidRDefault="003A36B8" w:rsidP="007C3BBA">
      <w:pPr>
        <w:spacing w:line="480" w:lineRule="auto"/>
        <w:rPr>
          <w:rFonts w:ascii="Times New Roman" w:hAnsi="Times New Roman"/>
        </w:rPr>
      </w:pPr>
      <w:r w:rsidRPr="00B05509">
        <w:rPr>
          <w:rFonts w:ascii="Times New Roman" w:hAnsi="Times New Roman"/>
        </w:rPr>
        <w:t xml:space="preserve">Participants were shown the infographic once, and then asked a series of questions about it on different pages. </w:t>
      </w:r>
    </w:p>
    <w:p w14:paraId="48240FE6" w14:textId="77777777" w:rsidR="001A095D" w:rsidRPr="00B05509" w:rsidRDefault="001A095D" w:rsidP="007C3BBA">
      <w:pPr>
        <w:spacing w:line="480" w:lineRule="auto"/>
        <w:rPr>
          <w:rFonts w:ascii="Times New Roman" w:hAnsi="Times New Roman"/>
        </w:rPr>
      </w:pPr>
    </w:p>
    <w:p w14:paraId="54CCD590" w14:textId="6D51F45A" w:rsidR="00F57502" w:rsidRPr="00B05509" w:rsidRDefault="00F57502" w:rsidP="007C3BBA">
      <w:pPr>
        <w:spacing w:line="480" w:lineRule="auto"/>
        <w:rPr>
          <w:rFonts w:ascii="Times New Roman" w:hAnsi="Times New Roman"/>
        </w:rPr>
      </w:pPr>
      <w:r w:rsidRPr="00B05509">
        <w:rPr>
          <w:rFonts w:ascii="Times New Roman" w:hAnsi="Times New Roman"/>
        </w:rPr>
        <w:t>We hypothesized (see pre-registration) that people’s trust in the information, their perception of the effectiveness of the intervention, and their likelihood of behavioural uptake would be higher for the group that is shown ‘high’ quality of evidence compared to the group that is shown ‘low’ quality of evidence information.</w:t>
      </w:r>
    </w:p>
    <w:p w14:paraId="243AF6F7" w14:textId="77777777" w:rsidR="000F295E" w:rsidRPr="00B05509" w:rsidRDefault="000F295E" w:rsidP="007C3BBA">
      <w:pPr>
        <w:spacing w:line="480" w:lineRule="auto"/>
        <w:rPr>
          <w:rFonts w:ascii="Times New Roman" w:hAnsi="Times New Roman"/>
        </w:rPr>
      </w:pPr>
    </w:p>
    <w:p w14:paraId="32BFD78B" w14:textId="57CEDEAE" w:rsidR="00104207" w:rsidRPr="00B05509" w:rsidRDefault="007B3D7F" w:rsidP="007C3BBA">
      <w:pPr>
        <w:spacing w:line="480" w:lineRule="auto"/>
        <w:rPr>
          <w:rFonts w:ascii="Times New Roman" w:hAnsi="Times New Roman"/>
        </w:rPr>
      </w:pPr>
      <w:r w:rsidRPr="00B05509">
        <w:rPr>
          <w:rFonts w:ascii="Times New Roman" w:hAnsi="Times New Roman"/>
        </w:rPr>
        <w:lastRenderedPageBreak/>
        <w:t xml:space="preserve">We </w:t>
      </w:r>
      <w:r w:rsidR="00C34340" w:rsidRPr="00B05509">
        <w:rPr>
          <w:rFonts w:ascii="Times New Roman" w:hAnsi="Times New Roman"/>
        </w:rPr>
        <w:t xml:space="preserve">pre-registered a sample of </w:t>
      </w:r>
      <w:r w:rsidRPr="00B05509">
        <w:rPr>
          <w:rFonts w:ascii="Times New Roman" w:hAnsi="Times New Roman"/>
        </w:rPr>
        <w:t>949 participants, providing 95% power at alpha level 0</w:t>
      </w:r>
      <w:r w:rsidR="00502682" w:rsidRPr="00B05509">
        <w:rPr>
          <w:rFonts w:ascii="Times New Roman" w:hAnsi="Times New Roman"/>
        </w:rPr>
        <w:t>.</w:t>
      </w:r>
      <w:r w:rsidRPr="00B05509">
        <w:rPr>
          <w:rFonts w:ascii="Times New Roman" w:hAnsi="Times New Roman"/>
        </w:rPr>
        <w:t>05 for small effects (f=0</w:t>
      </w:r>
      <w:r w:rsidR="00502682" w:rsidRPr="00B05509">
        <w:rPr>
          <w:rFonts w:ascii="Times New Roman" w:hAnsi="Times New Roman"/>
        </w:rPr>
        <w:t>.</w:t>
      </w:r>
      <w:r w:rsidRPr="00B05509">
        <w:rPr>
          <w:rFonts w:ascii="Times New Roman" w:hAnsi="Times New Roman"/>
        </w:rPr>
        <w:t>12)</w:t>
      </w:r>
      <w:r w:rsidR="00C34340" w:rsidRPr="00B05509">
        <w:rPr>
          <w:rFonts w:ascii="Times New Roman" w:hAnsi="Times New Roman"/>
        </w:rPr>
        <w:t>. This target sample size included a buffer to account</w:t>
      </w:r>
      <w:r w:rsidR="00104207" w:rsidRPr="00B05509">
        <w:rPr>
          <w:rFonts w:ascii="Times New Roman" w:hAnsi="Times New Roman"/>
        </w:rPr>
        <w:t xml:space="preserve"> for</w:t>
      </w:r>
      <w:r w:rsidRPr="00B05509">
        <w:rPr>
          <w:rFonts w:ascii="Times New Roman" w:hAnsi="Times New Roman"/>
        </w:rPr>
        <w:t xml:space="preserve"> attrition due to </w:t>
      </w:r>
      <w:r w:rsidR="00170054" w:rsidRPr="00B05509">
        <w:rPr>
          <w:rFonts w:ascii="Times New Roman" w:hAnsi="Times New Roman"/>
        </w:rPr>
        <w:t xml:space="preserve">failing of the </w:t>
      </w:r>
      <w:r w:rsidRPr="00B05509">
        <w:rPr>
          <w:rFonts w:ascii="Times New Roman" w:hAnsi="Times New Roman"/>
        </w:rPr>
        <w:t>attention check.</w:t>
      </w:r>
      <w:r w:rsidR="003743BA" w:rsidRPr="00B05509">
        <w:rPr>
          <w:rFonts w:ascii="Times New Roman" w:hAnsi="Times New Roman"/>
        </w:rPr>
        <w:t xml:space="preserve"> </w:t>
      </w:r>
      <w:r w:rsidR="00C34340" w:rsidRPr="00B05509">
        <w:rPr>
          <w:rFonts w:ascii="Times New Roman" w:hAnsi="Times New Roman"/>
        </w:rPr>
        <w:t>For data collection, w</w:t>
      </w:r>
      <w:r w:rsidR="00E51C2E" w:rsidRPr="00B05509">
        <w:rPr>
          <w:rFonts w:ascii="Times New Roman" w:hAnsi="Times New Roman"/>
        </w:rPr>
        <w:t>e implemented real-time dynamic sampling which ensured that only those participants who passed the attention check were counted towards the analytic sample quota</w:t>
      </w:r>
      <w:r w:rsidR="00C34340" w:rsidRPr="00B05509">
        <w:rPr>
          <w:rFonts w:ascii="Times New Roman" w:hAnsi="Times New Roman"/>
        </w:rPr>
        <w:t>s</w:t>
      </w:r>
      <w:r w:rsidR="00E51C2E" w:rsidRPr="00B05509">
        <w:rPr>
          <w:rFonts w:ascii="Times New Roman" w:hAnsi="Times New Roman"/>
        </w:rPr>
        <w:t>. Therefore, t</w:t>
      </w:r>
      <w:r w:rsidR="003743BA" w:rsidRPr="00B05509">
        <w:rPr>
          <w:rFonts w:ascii="Times New Roman" w:hAnsi="Times New Roman"/>
        </w:rPr>
        <w:t xml:space="preserve">he final number of participants </w:t>
      </w:r>
      <w:r w:rsidR="00E51C2E" w:rsidRPr="00B05509">
        <w:rPr>
          <w:rFonts w:ascii="Times New Roman" w:hAnsi="Times New Roman"/>
        </w:rPr>
        <w:t xml:space="preserve">for our analytic sample </w:t>
      </w:r>
      <w:r w:rsidR="003743BA" w:rsidRPr="00B05509">
        <w:rPr>
          <w:rFonts w:ascii="Times New Roman" w:hAnsi="Times New Roman"/>
          <w:color w:val="000000" w:themeColor="text1"/>
        </w:rPr>
        <w:t>was</w:t>
      </w:r>
      <w:r w:rsidR="00C34340" w:rsidRPr="00B05509">
        <w:rPr>
          <w:rFonts w:ascii="Times New Roman" w:hAnsi="Times New Roman"/>
          <w:color w:val="000000" w:themeColor="text1"/>
        </w:rPr>
        <w:t xml:space="preserve"> the full </w:t>
      </w:r>
      <w:r w:rsidR="00E5241E" w:rsidRPr="00B05509">
        <w:rPr>
          <w:rFonts w:ascii="Times New Roman" w:hAnsi="Times New Roman"/>
          <w:color w:val="000000" w:themeColor="text1"/>
        </w:rPr>
        <w:t xml:space="preserve">pre-registered </w:t>
      </w:r>
      <w:r w:rsidR="00C34340" w:rsidRPr="00B05509">
        <w:rPr>
          <w:rFonts w:ascii="Times New Roman" w:hAnsi="Times New Roman"/>
          <w:color w:val="000000" w:themeColor="text1"/>
        </w:rPr>
        <w:t xml:space="preserve">sample </w:t>
      </w:r>
      <w:r w:rsidR="00E5241E" w:rsidRPr="00B05509">
        <w:rPr>
          <w:rFonts w:ascii="Times New Roman" w:hAnsi="Times New Roman"/>
          <w:color w:val="000000" w:themeColor="text1"/>
        </w:rPr>
        <w:t>size.</w:t>
      </w:r>
      <w:r w:rsidR="00ED1272" w:rsidRPr="00B05509">
        <w:rPr>
          <w:rFonts w:ascii="Times New Roman" w:hAnsi="Times New Roman"/>
          <w:color w:val="000000" w:themeColor="text1"/>
        </w:rPr>
        <w:t xml:space="preserve"> </w:t>
      </w:r>
    </w:p>
    <w:p w14:paraId="7461FDC1" w14:textId="6E50CC8C" w:rsidR="003F1F9E" w:rsidRPr="00B05509" w:rsidRDefault="003F1F9E" w:rsidP="007C3BBA">
      <w:pPr>
        <w:spacing w:line="480" w:lineRule="auto"/>
        <w:rPr>
          <w:rFonts w:ascii="Times New Roman" w:hAnsi="Times New Roman"/>
        </w:rPr>
      </w:pPr>
    </w:p>
    <w:p w14:paraId="1CDABA1D" w14:textId="43F0A636" w:rsidR="003F1F9E" w:rsidRPr="00B05509" w:rsidRDefault="003F1F9E"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Experiment 1: Results</w:t>
      </w:r>
    </w:p>
    <w:p w14:paraId="195C20AD" w14:textId="46192D05" w:rsidR="0000017F" w:rsidRDefault="00E5241E" w:rsidP="007C3BBA">
      <w:pPr>
        <w:spacing w:line="480" w:lineRule="auto"/>
        <w:rPr>
          <w:rFonts w:ascii="Times New Roman" w:hAnsi="Times New Roman"/>
        </w:rPr>
      </w:pPr>
      <w:r w:rsidRPr="00B05509">
        <w:rPr>
          <w:rFonts w:ascii="Times New Roman" w:hAnsi="Times New Roman"/>
        </w:rPr>
        <w:t xml:space="preserve">We sampled 949 participants </w:t>
      </w:r>
      <w:r w:rsidRPr="00B05509">
        <w:rPr>
          <w:rFonts w:ascii="Times New Roman" w:hAnsi="Times New Roman"/>
          <w:color w:val="000000" w:themeColor="text1"/>
        </w:rPr>
        <w:t>(</w:t>
      </w:r>
      <w:r w:rsidRPr="00B05509">
        <w:rPr>
          <w:rFonts w:ascii="Times New Roman" w:hAnsi="Times New Roman"/>
        </w:rPr>
        <w:t>48</w:t>
      </w:r>
      <w:r w:rsidR="00502682" w:rsidRPr="00B05509">
        <w:rPr>
          <w:rFonts w:ascii="Times New Roman" w:hAnsi="Times New Roman"/>
        </w:rPr>
        <w:t>.</w:t>
      </w:r>
      <w:r w:rsidRPr="00B05509">
        <w:rPr>
          <w:rFonts w:ascii="Times New Roman" w:hAnsi="Times New Roman"/>
        </w:rPr>
        <w:t>58% male, 51</w:t>
      </w:r>
      <w:r w:rsidR="00502682" w:rsidRPr="00B05509">
        <w:rPr>
          <w:rFonts w:ascii="Times New Roman" w:hAnsi="Times New Roman"/>
        </w:rPr>
        <w:t>.</w:t>
      </w:r>
      <w:r w:rsidRPr="00B05509">
        <w:rPr>
          <w:rFonts w:ascii="Times New Roman" w:hAnsi="Times New Roman"/>
        </w:rPr>
        <w:t xml:space="preserve">42% female, </w:t>
      </w:r>
      <w:r w:rsidRPr="00B05509">
        <w:rPr>
          <w:rFonts w:ascii="Times New Roman" w:hAnsi="Times New Roman"/>
          <w:i/>
        </w:rPr>
        <w:t>M</w:t>
      </w:r>
      <w:r w:rsidRPr="00B05509">
        <w:rPr>
          <w:rFonts w:ascii="Times New Roman" w:hAnsi="Times New Roman"/>
          <w:vertAlign w:val="subscript"/>
        </w:rPr>
        <w:t>age</w:t>
      </w:r>
      <w:r w:rsidR="00F91CA5" w:rsidRPr="00B05509">
        <w:rPr>
          <w:rFonts w:ascii="Times New Roman" w:hAnsi="Times New Roman"/>
        </w:rPr>
        <w:t xml:space="preserve"> = 45</w:t>
      </w:r>
      <w:r w:rsidR="00502682" w:rsidRPr="00B05509">
        <w:rPr>
          <w:rFonts w:ascii="Times New Roman" w:hAnsi="Times New Roman"/>
        </w:rPr>
        <w:t>.</w:t>
      </w:r>
      <w:r w:rsidRPr="00B05509">
        <w:rPr>
          <w:rFonts w:ascii="Times New Roman" w:hAnsi="Times New Roman"/>
        </w:rPr>
        <w:t xml:space="preserve">25, </w:t>
      </w:r>
      <w:proofErr w:type="spellStart"/>
      <w:r w:rsidRPr="00B05509">
        <w:rPr>
          <w:rFonts w:ascii="Times New Roman" w:hAnsi="Times New Roman"/>
          <w:i/>
        </w:rPr>
        <w:t>SD</w:t>
      </w:r>
      <w:r w:rsidRPr="00B05509">
        <w:rPr>
          <w:rFonts w:ascii="Times New Roman" w:hAnsi="Times New Roman"/>
          <w:vertAlign w:val="subscript"/>
        </w:rPr>
        <w:t>age</w:t>
      </w:r>
      <w:proofErr w:type="spellEnd"/>
      <w:r w:rsidR="00F91CA5" w:rsidRPr="00B05509">
        <w:rPr>
          <w:rFonts w:ascii="Times New Roman" w:hAnsi="Times New Roman"/>
        </w:rPr>
        <w:t xml:space="preserve"> = 16</w:t>
      </w:r>
      <w:r w:rsidR="00502682" w:rsidRPr="00B05509">
        <w:rPr>
          <w:rFonts w:ascii="Times New Roman" w:hAnsi="Times New Roman"/>
        </w:rPr>
        <w:t>.</w:t>
      </w:r>
      <w:r w:rsidRPr="00B05509">
        <w:rPr>
          <w:rFonts w:ascii="Times New Roman" w:hAnsi="Times New Roman"/>
        </w:rPr>
        <w:t xml:space="preserve">58; </w:t>
      </w:r>
      <w:r w:rsidR="00A53A7B" w:rsidRPr="00B05509">
        <w:rPr>
          <w:rFonts w:ascii="Times New Roman" w:hAnsi="Times New Roman"/>
        </w:rPr>
        <w:t xml:space="preserve">see further demographic details as well as number of participants </w:t>
      </w:r>
      <w:r w:rsidR="00C7584B" w:rsidRPr="00B05509">
        <w:rPr>
          <w:rFonts w:ascii="Times New Roman" w:hAnsi="Times New Roman"/>
        </w:rPr>
        <w:t>in each experimental condition</w:t>
      </w:r>
      <w:r w:rsidR="00892F05">
        <w:rPr>
          <w:rFonts w:ascii="Times New Roman" w:hAnsi="Times New Roman"/>
        </w:rPr>
        <w:t xml:space="preserve"> in Table 2</w:t>
      </w:r>
      <w:r w:rsidRPr="00B05509">
        <w:rPr>
          <w:rFonts w:ascii="Times New Roman" w:hAnsi="Times New Roman"/>
        </w:rPr>
        <w:t xml:space="preserve">). </w:t>
      </w:r>
      <w:r w:rsidR="003F1F9E" w:rsidRPr="00B05509">
        <w:rPr>
          <w:rFonts w:ascii="Times New Roman" w:hAnsi="Times New Roman"/>
        </w:rPr>
        <w:t>As pre-registered</w:t>
      </w:r>
      <w:r w:rsidR="0000017F" w:rsidRPr="00B05509">
        <w:rPr>
          <w:rFonts w:ascii="Times New Roman" w:hAnsi="Times New Roman"/>
        </w:rPr>
        <w:t>,</w:t>
      </w:r>
      <w:r w:rsidR="003F1F9E" w:rsidRPr="00B05509">
        <w:rPr>
          <w:rFonts w:ascii="Times New Roman" w:hAnsi="Times New Roman"/>
        </w:rPr>
        <w:t xml:space="preserve"> we tested for main effects of quality of evidence level and wording for our various outcome measures. </w:t>
      </w:r>
    </w:p>
    <w:p w14:paraId="5D1F004F" w14:textId="0EA32C84" w:rsidR="00892F05" w:rsidRDefault="00892F05" w:rsidP="00892F05">
      <w:pPr>
        <w:pStyle w:val="Caption"/>
        <w:keepNext/>
        <w:rPr>
          <w:rFonts w:ascii="Times New Roman" w:hAnsi="Times New Roman"/>
          <w:b/>
          <w:i w:val="0"/>
          <w:sz w:val="24"/>
          <w:szCs w:val="24"/>
        </w:rPr>
      </w:pPr>
      <w:r w:rsidRPr="00F9528F">
        <w:rPr>
          <w:rFonts w:ascii="Times New Roman" w:hAnsi="Times New Roman"/>
          <w:b/>
          <w:i w:val="0"/>
          <w:sz w:val="24"/>
          <w:szCs w:val="24"/>
        </w:rPr>
        <w:t xml:space="preserve">Table </w:t>
      </w:r>
      <w:r w:rsidRPr="00F9528F">
        <w:rPr>
          <w:rFonts w:ascii="Times New Roman" w:hAnsi="Times New Roman"/>
          <w:b/>
          <w:i w:val="0"/>
          <w:sz w:val="24"/>
          <w:szCs w:val="24"/>
        </w:rPr>
        <w:fldChar w:fldCharType="begin"/>
      </w:r>
      <w:r w:rsidRPr="00F9528F">
        <w:rPr>
          <w:rFonts w:ascii="Times New Roman" w:hAnsi="Times New Roman"/>
          <w:b/>
          <w:i w:val="0"/>
          <w:sz w:val="24"/>
          <w:szCs w:val="24"/>
        </w:rPr>
        <w:instrText xml:space="preserve"> SEQ Table \* ARABIC </w:instrText>
      </w:r>
      <w:r w:rsidRPr="00F9528F">
        <w:rPr>
          <w:rFonts w:ascii="Times New Roman" w:hAnsi="Times New Roman"/>
          <w:b/>
          <w:i w:val="0"/>
          <w:sz w:val="24"/>
          <w:szCs w:val="24"/>
        </w:rPr>
        <w:fldChar w:fldCharType="separate"/>
      </w:r>
      <w:r w:rsidRPr="00F9528F">
        <w:rPr>
          <w:rFonts w:ascii="Times New Roman" w:hAnsi="Times New Roman"/>
          <w:b/>
          <w:i w:val="0"/>
          <w:noProof/>
          <w:sz w:val="24"/>
          <w:szCs w:val="24"/>
        </w:rPr>
        <w:t>2</w:t>
      </w:r>
      <w:r w:rsidRPr="00F9528F">
        <w:rPr>
          <w:rFonts w:ascii="Times New Roman" w:hAnsi="Times New Roman"/>
          <w:b/>
          <w:i w:val="0"/>
          <w:sz w:val="24"/>
          <w:szCs w:val="24"/>
        </w:rPr>
        <w:fldChar w:fldCharType="end"/>
      </w:r>
      <w:r w:rsidRPr="00F9528F">
        <w:rPr>
          <w:rFonts w:ascii="Times New Roman" w:hAnsi="Times New Roman"/>
          <w:b/>
          <w:i w:val="0"/>
          <w:sz w:val="24"/>
          <w:szCs w:val="24"/>
        </w:rPr>
        <w:t>: Demographic details of participants in Experiment 1</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2203"/>
        <w:gridCol w:w="1357"/>
        <w:gridCol w:w="1355"/>
        <w:gridCol w:w="1355"/>
        <w:gridCol w:w="1353"/>
        <w:gridCol w:w="1351"/>
      </w:tblGrid>
      <w:tr w:rsidR="00892F05" w:rsidRPr="004B6E39" w14:paraId="1E7343BA" w14:textId="77777777" w:rsidTr="00892F05">
        <w:trPr>
          <w:trHeight w:val="264"/>
        </w:trPr>
        <w:tc>
          <w:tcPr>
            <w:tcW w:w="1227" w:type="pct"/>
            <w:tcBorders>
              <w:top w:val="single" w:sz="18" w:space="0" w:color="auto"/>
              <w:bottom w:val="single" w:sz="18" w:space="0" w:color="auto"/>
              <w:right w:val="single" w:sz="18" w:space="0" w:color="auto"/>
            </w:tcBorders>
            <w:shd w:val="clear" w:color="auto" w:fill="auto"/>
            <w:noWrap/>
            <w:vAlign w:val="center"/>
          </w:tcPr>
          <w:p w14:paraId="3833441B" w14:textId="77777777" w:rsidR="00892F05" w:rsidRPr="004B6E39" w:rsidRDefault="00892F05" w:rsidP="003E0FF6">
            <w:pPr>
              <w:spacing w:line="276" w:lineRule="auto"/>
              <w:rPr>
                <w:rFonts w:ascii="Times New Roman" w:eastAsia="Calibri" w:hAnsi="Times New Roman"/>
                <w:sz w:val="20"/>
                <w:szCs w:val="20"/>
              </w:rPr>
            </w:pPr>
            <w:r w:rsidRPr="004B6E39">
              <w:rPr>
                <w:rFonts w:ascii="Times New Roman" w:eastAsia="Calibri" w:hAnsi="Times New Roman"/>
                <w:sz w:val="20"/>
                <w:szCs w:val="20"/>
              </w:rPr>
              <w:t>Variable</w:t>
            </w:r>
          </w:p>
        </w:tc>
        <w:tc>
          <w:tcPr>
            <w:tcW w:w="756" w:type="pct"/>
            <w:tcBorders>
              <w:top w:val="single" w:sz="18" w:space="0" w:color="auto"/>
              <w:left w:val="single" w:sz="18" w:space="0" w:color="auto"/>
              <w:bottom w:val="single" w:sz="18" w:space="0" w:color="auto"/>
              <w:right w:val="single" w:sz="18" w:space="0" w:color="auto"/>
            </w:tcBorders>
            <w:shd w:val="clear" w:color="auto" w:fill="auto"/>
            <w:noWrap/>
          </w:tcPr>
          <w:p w14:paraId="21C89CCC" w14:textId="77777777" w:rsidR="00892F05" w:rsidRPr="004B6E39" w:rsidRDefault="00892F05"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Overall</w:t>
            </w:r>
          </w:p>
          <w:p w14:paraId="2834018C" w14:textId="77777777" w:rsidR="00892F05" w:rsidRPr="004B6E39" w:rsidRDefault="00892F05" w:rsidP="003E0FF6">
            <w:pPr>
              <w:spacing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w:t>
            </w:r>
            <w:r w:rsidRPr="004B6E39">
              <w:rPr>
                <w:rFonts w:ascii="Times New Roman" w:eastAsia="Calibri" w:hAnsi="Times New Roman"/>
                <w:i/>
                <w:sz w:val="20"/>
                <w:szCs w:val="20"/>
              </w:rPr>
              <w:t xml:space="preserve">N </w:t>
            </w:r>
            <w:r w:rsidRPr="004B6E39">
              <w:rPr>
                <w:rFonts w:ascii="Times New Roman" w:eastAsia="Calibri" w:hAnsi="Times New Roman"/>
                <w:sz w:val="20"/>
                <w:szCs w:val="20"/>
              </w:rPr>
              <w:t>= 949)</w:t>
            </w:r>
          </w:p>
        </w:tc>
        <w:tc>
          <w:tcPr>
            <w:tcW w:w="755" w:type="pct"/>
            <w:tcBorders>
              <w:top w:val="single" w:sz="18" w:space="0" w:color="auto"/>
              <w:left w:val="single" w:sz="18" w:space="0" w:color="auto"/>
              <w:bottom w:val="single" w:sz="18" w:space="0" w:color="auto"/>
            </w:tcBorders>
          </w:tcPr>
          <w:p w14:paraId="6E2C1D9D" w14:textId="5D1F0880" w:rsidR="00892F05" w:rsidRPr="004B6E39" w:rsidRDefault="00892F05" w:rsidP="00892F05">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Low – Quality group </w:t>
            </w:r>
            <w:r w:rsidRPr="00DA7ECD">
              <w:rPr>
                <w:rFonts w:ascii="Times New Roman" w:eastAsia="Calibri" w:hAnsi="Times New Roman"/>
                <w:sz w:val="20"/>
                <w:szCs w:val="20"/>
              </w:rPr>
              <w:t>(N=243)</w:t>
            </w:r>
          </w:p>
        </w:tc>
        <w:tc>
          <w:tcPr>
            <w:tcW w:w="755" w:type="pct"/>
            <w:tcBorders>
              <w:top w:val="single" w:sz="18" w:space="0" w:color="auto"/>
              <w:bottom w:val="single" w:sz="18" w:space="0" w:color="auto"/>
            </w:tcBorders>
          </w:tcPr>
          <w:p w14:paraId="2D79145C" w14:textId="761953D5" w:rsidR="00892F05" w:rsidRPr="004B6E39" w:rsidRDefault="00892F05" w:rsidP="00892F05">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High – Quality group </w:t>
            </w:r>
            <w:r w:rsidRPr="00DA7ECD">
              <w:rPr>
                <w:rFonts w:ascii="Times New Roman" w:eastAsia="Calibri" w:hAnsi="Times New Roman"/>
                <w:sz w:val="20"/>
                <w:szCs w:val="20"/>
              </w:rPr>
              <w:t>(N=240)</w:t>
            </w:r>
          </w:p>
        </w:tc>
        <w:tc>
          <w:tcPr>
            <w:tcW w:w="754" w:type="pct"/>
            <w:tcBorders>
              <w:top w:val="single" w:sz="18" w:space="0" w:color="auto"/>
              <w:bottom w:val="single" w:sz="18" w:space="0" w:color="auto"/>
            </w:tcBorders>
          </w:tcPr>
          <w:p w14:paraId="190EDEDF" w14:textId="7F2956ED" w:rsidR="00892F05" w:rsidRDefault="00892F05" w:rsidP="00892F05">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Low – Certainty group </w:t>
            </w:r>
            <w:r w:rsidRPr="00DA7ECD">
              <w:rPr>
                <w:rFonts w:ascii="Times New Roman" w:eastAsia="Calibri" w:hAnsi="Times New Roman"/>
                <w:sz w:val="20"/>
                <w:szCs w:val="20"/>
              </w:rPr>
              <w:t>(N=223)</w:t>
            </w:r>
          </w:p>
        </w:tc>
        <w:tc>
          <w:tcPr>
            <w:tcW w:w="753" w:type="pct"/>
            <w:tcBorders>
              <w:top w:val="single" w:sz="18" w:space="0" w:color="auto"/>
              <w:bottom w:val="single" w:sz="18" w:space="0" w:color="auto"/>
            </w:tcBorders>
          </w:tcPr>
          <w:p w14:paraId="6A88D57E" w14:textId="64AB3CEF" w:rsidR="00892F05" w:rsidRDefault="00892F05" w:rsidP="00892F05">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High – Certainty group </w:t>
            </w:r>
            <w:r w:rsidRPr="00DA7ECD">
              <w:rPr>
                <w:rFonts w:ascii="Times New Roman" w:eastAsia="Calibri" w:hAnsi="Times New Roman"/>
                <w:sz w:val="20"/>
                <w:szCs w:val="20"/>
              </w:rPr>
              <w:t>(N=243)</w:t>
            </w:r>
          </w:p>
        </w:tc>
      </w:tr>
      <w:tr w:rsidR="00892F05" w:rsidRPr="004B6E39" w14:paraId="624F9D9F" w14:textId="77777777" w:rsidTr="00892F05">
        <w:trPr>
          <w:trHeight w:val="242"/>
        </w:trPr>
        <w:tc>
          <w:tcPr>
            <w:tcW w:w="1227" w:type="pct"/>
            <w:tcBorders>
              <w:top w:val="single" w:sz="18" w:space="0" w:color="auto"/>
              <w:right w:val="single" w:sz="18" w:space="0" w:color="auto"/>
            </w:tcBorders>
            <w:shd w:val="clear" w:color="auto" w:fill="auto"/>
            <w:noWrap/>
            <w:vAlign w:val="center"/>
          </w:tcPr>
          <w:p w14:paraId="46FA0133"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Gender, %</w:t>
            </w:r>
          </w:p>
        </w:tc>
        <w:tc>
          <w:tcPr>
            <w:tcW w:w="756" w:type="pct"/>
            <w:tcBorders>
              <w:top w:val="single" w:sz="18" w:space="0" w:color="auto"/>
              <w:left w:val="single" w:sz="18" w:space="0" w:color="auto"/>
              <w:right w:val="single" w:sz="18" w:space="0" w:color="auto"/>
            </w:tcBorders>
            <w:shd w:val="clear" w:color="auto" w:fill="auto"/>
            <w:noWrap/>
            <w:vAlign w:val="center"/>
          </w:tcPr>
          <w:p w14:paraId="000CD813" w14:textId="77777777" w:rsidR="00892F05" w:rsidRPr="004B6E39" w:rsidRDefault="00892F05" w:rsidP="003E0FF6">
            <w:pPr>
              <w:spacing w:before="40" w:after="40" w:line="276" w:lineRule="auto"/>
              <w:jc w:val="center"/>
              <w:rPr>
                <w:rFonts w:ascii="Times New Roman" w:eastAsia="Calibri" w:hAnsi="Times New Roman"/>
                <w:sz w:val="20"/>
                <w:szCs w:val="20"/>
              </w:rPr>
            </w:pPr>
          </w:p>
        </w:tc>
        <w:tc>
          <w:tcPr>
            <w:tcW w:w="755" w:type="pct"/>
            <w:tcBorders>
              <w:top w:val="single" w:sz="18" w:space="0" w:color="auto"/>
              <w:left w:val="single" w:sz="18" w:space="0" w:color="auto"/>
            </w:tcBorders>
          </w:tcPr>
          <w:p w14:paraId="07C9FC84" w14:textId="77777777" w:rsidR="00892F05" w:rsidRPr="004B6E39" w:rsidRDefault="00892F05" w:rsidP="003E0FF6">
            <w:pPr>
              <w:spacing w:before="40" w:after="40" w:line="276" w:lineRule="auto"/>
              <w:jc w:val="center"/>
              <w:rPr>
                <w:rFonts w:ascii="Times New Roman" w:eastAsia="Calibri" w:hAnsi="Times New Roman"/>
                <w:sz w:val="20"/>
                <w:szCs w:val="20"/>
              </w:rPr>
            </w:pPr>
          </w:p>
        </w:tc>
        <w:tc>
          <w:tcPr>
            <w:tcW w:w="755" w:type="pct"/>
            <w:tcBorders>
              <w:top w:val="single" w:sz="18" w:space="0" w:color="auto"/>
            </w:tcBorders>
          </w:tcPr>
          <w:p w14:paraId="6AE8FC7D" w14:textId="77777777" w:rsidR="00892F05" w:rsidRPr="004B6E39" w:rsidRDefault="00892F05" w:rsidP="003E0FF6">
            <w:pPr>
              <w:spacing w:before="40" w:after="40" w:line="276" w:lineRule="auto"/>
              <w:jc w:val="center"/>
              <w:rPr>
                <w:rFonts w:ascii="Times New Roman" w:eastAsia="Calibri" w:hAnsi="Times New Roman"/>
                <w:sz w:val="20"/>
                <w:szCs w:val="20"/>
              </w:rPr>
            </w:pPr>
          </w:p>
        </w:tc>
        <w:tc>
          <w:tcPr>
            <w:tcW w:w="754" w:type="pct"/>
            <w:tcBorders>
              <w:top w:val="single" w:sz="18" w:space="0" w:color="auto"/>
            </w:tcBorders>
          </w:tcPr>
          <w:p w14:paraId="072B392D" w14:textId="77777777" w:rsidR="00892F05" w:rsidRPr="004B6E39" w:rsidRDefault="00892F05" w:rsidP="003E0FF6">
            <w:pPr>
              <w:spacing w:before="40" w:after="40" w:line="276" w:lineRule="auto"/>
              <w:jc w:val="center"/>
              <w:rPr>
                <w:rFonts w:ascii="Times New Roman" w:eastAsia="Calibri" w:hAnsi="Times New Roman"/>
                <w:sz w:val="20"/>
                <w:szCs w:val="20"/>
              </w:rPr>
            </w:pPr>
          </w:p>
        </w:tc>
        <w:tc>
          <w:tcPr>
            <w:tcW w:w="753" w:type="pct"/>
            <w:tcBorders>
              <w:top w:val="single" w:sz="18" w:space="0" w:color="auto"/>
            </w:tcBorders>
          </w:tcPr>
          <w:p w14:paraId="203D14B1" w14:textId="77777777" w:rsidR="00892F05" w:rsidRPr="004B6E39" w:rsidRDefault="00892F05" w:rsidP="003E0FF6">
            <w:pPr>
              <w:spacing w:before="40" w:after="40" w:line="276" w:lineRule="auto"/>
              <w:jc w:val="center"/>
              <w:rPr>
                <w:rFonts w:ascii="Times New Roman" w:eastAsia="Calibri" w:hAnsi="Times New Roman"/>
                <w:sz w:val="20"/>
                <w:szCs w:val="20"/>
              </w:rPr>
            </w:pPr>
          </w:p>
        </w:tc>
      </w:tr>
      <w:tr w:rsidR="00892F05" w:rsidRPr="004B6E39" w14:paraId="51CBFC33" w14:textId="77777777" w:rsidTr="00595D7B">
        <w:trPr>
          <w:trHeight w:val="243"/>
        </w:trPr>
        <w:tc>
          <w:tcPr>
            <w:tcW w:w="1227" w:type="pct"/>
            <w:tcBorders>
              <w:right w:val="single" w:sz="18" w:space="0" w:color="auto"/>
            </w:tcBorders>
            <w:shd w:val="clear" w:color="auto" w:fill="auto"/>
            <w:noWrap/>
            <w:vAlign w:val="center"/>
          </w:tcPr>
          <w:p w14:paraId="235EB601"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Females</w:t>
            </w:r>
          </w:p>
        </w:tc>
        <w:tc>
          <w:tcPr>
            <w:tcW w:w="756" w:type="pct"/>
            <w:tcBorders>
              <w:left w:val="single" w:sz="18" w:space="0" w:color="auto"/>
              <w:right w:val="single" w:sz="18" w:space="0" w:color="auto"/>
            </w:tcBorders>
            <w:shd w:val="clear" w:color="auto" w:fill="auto"/>
            <w:noWrap/>
            <w:vAlign w:val="center"/>
          </w:tcPr>
          <w:p w14:paraId="037904A8"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51.42</w:t>
            </w:r>
          </w:p>
        </w:tc>
        <w:tc>
          <w:tcPr>
            <w:tcW w:w="755" w:type="pct"/>
            <w:tcBorders>
              <w:left w:val="single" w:sz="18" w:space="0" w:color="auto"/>
            </w:tcBorders>
            <w:vAlign w:val="center"/>
          </w:tcPr>
          <w:p w14:paraId="54B44EA9"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49.79</w:t>
            </w:r>
          </w:p>
        </w:tc>
        <w:tc>
          <w:tcPr>
            <w:tcW w:w="755" w:type="pct"/>
            <w:vAlign w:val="center"/>
          </w:tcPr>
          <w:p w14:paraId="243A9AFD"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50.83</w:t>
            </w:r>
          </w:p>
        </w:tc>
        <w:tc>
          <w:tcPr>
            <w:tcW w:w="754" w:type="pct"/>
            <w:vAlign w:val="center"/>
          </w:tcPr>
          <w:p w14:paraId="77589D78"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52.47</w:t>
            </w:r>
          </w:p>
        </w:tc>
        <w:tc>
          <w:tcPr>
            <w:tcW w:w="753" w:type="pct"/>
            <w:vAlign w:val="center"/>
          </w:tcPr>
          <w:p w14:paraId="1D9E0253"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52.67</w:t>
            </w:r>
          </w:p>
        </w:tc>
      </w:tr>
      <w:tr w:rsidR="00892F05" w:rsidRPr="004B6E39" w14:paraId="3389A33D" w14:textId="77777777" w:rsidTr="00595D7B">
        <w:trPr>
          <w:trHeight w:val="100"/>
        </w:trPr>
        <w:tc>
          <w:tcPr>
            <w:tcW w:w="1227" w:type="pct"/>
            <w:tcBorders>
              <w:right w:val="single" w:sz="18" w:space="0" w:color="auto"/>
            </w:tcBorders>
            <w:shd w:val="clear" w:color="auto" w:fill="auto"/>
            <w:noWrap/>
            <w:vAlign w:val="center"/>
          </w:tcPr>
          <w:p w14:paraId="19970666"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Males</w:t>
            </w:r>
          </w:p>
        </w:tc>
        <w:tc>
          <w:tcPr>
            <w:tcW w:w="756" w:type="pct"/>
            <w:tcBorders>
              <w:left w:val="single" w:sz="18" w:space="0" w:color="auto"/>
              <w:right w:val="single" w:sz="18" w:space="0" w:color="auto"/>
            </w:tcBorders>
            <w:shd w:val="clear" w:color="auto" w:fill="auto"/>
            <w:noWrap/>
            <w:vAlign w:val="center"/>
          </w:tcPr>
          <w:p w14:paraId="51DD30AC"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48.58</w:t>
            </w:r>
          </w:p>
        </w:tc>
        <w:tc>
          <w:tcPr>
            <w:tcW w:w="755" w:type="pct"/>
            <w:tcBorders>
              <w:left w:val="single" w:sz="18" w:space="0" w:color="auto"/>
            </w:tcBorders>
            <w:vAlign w:val="center"/>
          </w:tcPr>
          <w:p w14:paraId="2DA12A7A"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50.21</w:t>
            </w:r>
          </w:p>
        </w:tc>
        <w:tc>
          <w:tcPr>
            <w:tcW w:w="755" w:type="pct"/>
            <w:vAlign w:val="center"/>
          </w:tcPr>
          <w:p w14:paraId="1AE744B1"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49.17</w:t>
            </w:r>
          </w:p>
        </w:tc>
        <w:tc>
          <w:tcPr>
            <w:tcW w:w="754" w:type="pct"/>
            <w:vAlign w:val="center"/>
          </w:tcPr>
          <w:p w14:paraId="354300E2"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47.53</w:t>
            </w:r>
          </w:p>
        </w:tc>
        <w:tc>
          <w:tcPr>
            <w:tcW w:w="753" w:type="pct"/>
            <w:vAlign w:val="center"/>
          </w:tcPr>
          <w:p w14:paraId="6685BBFC"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47.33</w:t>
            </w:r>
          </w:p>
        </w:tc>
      </w:tr>
      <w:tr w:rsidR="00892F05" w:rsidRPr="004B6E39" w14:paraId="00BB23F3" w14:textId="77777777" w:rsidTr="00595D7B">
        <w:trPr>
          <w:trHeight w:val="264"/>
        </w:trPr>
        <w:tc>
          <w:tcPr>
            <w:tcW w:w="1227" w:type="pct"/>
            <w:tcBorders>
              <w:right w:val="single" w:sz="18" w:space="0" w:color="auto"/>
            </w:tcBorders>
            <w:shd w:val="clear" w:color="auto" w:fill="auto"/>
            <w:noWrap/>
            <w:vAlign w:val="center"/>
          </w:tcPr>
          <w:p w14:paraId="42483C31"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Age, </w:t>
            </w:r>
            <w:r w:rsidRPr="004B6E39">
              <w:rPr>
                <w:rFonts w:ascii="Times New Roman" w:eastAsia="Calibri" w:hAnsi="Times New Roman"/>
                <w:i/>
                <w:sz w:val="20"/>
                <w:szCs w:val="20"/>
              </w:rPr>
              <w:t>M</w:t>
            </w:r>
            <w:r>
              <w:rPr>
                <w:rFonts w:ascii="Times New Roman" w:eastAsia="Calibri" w:hAnsi="Times New Roman"/>
                <w:i/>
                <w:sz w:val="20"/>
                <w:szCs w:val="20"/>
              </w:rPr>
              <w:t>ean</w:t>
            </w:r>
            <w:r w:rsidRPr="004B6E39">
              <w:rPr>
                <w:rFonts w:ascii="Times New Roman" w:eastAsia="Calibri" w:hAnsi="Times New Roman"/>
                <w:sz w:val="20"/>
                <w:szCs w:val="20"/>
              </w:rPr>
              <w:t xml:space="preserve"> (</w:t>
            </w:r>
            <w:r w:rsidRPr="004B6E39">
              <w:rPr>
                <w:rFonts w:ascii="Times New Roman" w:eastAsia="Calibri" w:hAnsi="Times New Roman"/>
                <w:i/>
                <w:sz w:val="20"/>
                <w:szCs w:val="20"/>
              </w:rPr>
              <w:t>SD</w:t>
            </w:r>
            <w:r w:rsidRPr="004B6E39">
              <w:rPr>
                <w:rFonts w:ascii="Times New Roman" w:eastAsia="Calibri" w:hAnsi="Times New Roman"/>
                <w:sz w:val="20"/>
                <w:szCs w:val="20"/>
              </w:rPr>
              <w:t>)</w:t>
            </w:r>
          </w:p>
        </w:tc>
        <w:tc>
          <w:tcPr>
            <w:tcW w:w="756" w:type="pct"/>
            <w:tcBorders>
              <w:left w:val="single" w:sz="18" w:space="0" w:color="auto"/>
              <w:right w:val="single" w:sz="18" w:space="0" w:color="auto"/>
            </w:tcBorders>
            <w:shd w:val="clear" w:color="auto" w:fill="auto"/>
            <w:noWrap/>
            <w:vAlign w:val="center"/>
          </w:tcPr>
          <w:p w14:paraId="683A0641" w14:textId="77777777" w:rsidR="00892F05" w:rsidRPr="004B6E39" w:rsidRDefault="00892F05" w:rsidP="003E0FF6">
            <w:pPr>
              <w:spacing w:before="40" w:after="40" w:line="276" w:lineRule="auto"/>
              <w:jc w:val="center"/>
              <w:rPr>
                <w:rFonts w:ascii="Times New Roman" w:eastAsia="Calibri" w:hAnsi="Times New Roman"/>
                <w:sz w:val="20"/>
                <w:szCs w:val="20"/>
                <w:highlight w:val="yellow"/>
              </w:rPr>
            </w:pPr>
            <w:r w:rsidRPr="004B6E39">
              <w:rPr>
                <w:rFonts w:ascii="Times New Roman" w:eastAsia="Calibri" w:hAnsi="Times New Roman"/>
                <w:sz w:val="20"/>
                <w:szCs w:val="20"/>
              </w:rPr>
              <w:t>45.25 (16.58)</w:t>
            </w:r>
          </w:p>
        </w:tc>
        <w:tc>
          <w:tcPr>
            <w:tcW w:w="755" w:type="pct"/>
            <w:tcBorders>
              <w:left w:val="single" w:sz="18" w:space="0" w:color="auto"/>
            </w:tcBorders>
            <w:vAlign w:val="center"/>
          </w:tcPr>
          <w:p w14:paraId="150EDF61"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45.86 (16.03)</w:t>
            </w:r>
          </w:p>
        </w:tc>
        <w:tc>
          <w:tcPr>
            <w:tcW w:w="755" w:type="pct"/>
            <w:vAlign w:val="center"/>
          </w:tcPr>
          <w:p w14:paraId="769C5810"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44.74 (16.66)</w:t>
            </w:r>
          </w:p>
        </w:tc>
        <w:tc>
          <w:tcPr>
            <w:tcW w:w="754" w:type="pct"/>
            <w:vAlign w:val="center"/>
          </w:tcPr>
          <w:p w14:paraId="66EB571F"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45.85 (17.27)</w:t>
            </w:r>
          </w:p>
        </w:tc>
        <w:tc>
          <w:tcPr>
            <w:tcW w:w="753" w:type="pct"/>
            <w:vAlign w:val="center"/>
          </w:tcPr>
          <w:p w14:paraId="6D7A1D18"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44.59 (16.47)</w:t>
            </w:r>
          </w:p>
        </w:tc>
      </w:tr>
      <w:tr w:rsidR="00892F05" w:rsidRPr="004B6E39" w14:paraId="0DE07532" w14:textId="77777777" w:rsidTr="00595D7B">
        <w:trPr>
          <w:trHeight w:val="242"/>
        </w:trPr>
        <w:tc>
          <w:tcPr>
            <w:tcW w:w="1227" w:type="pct"/>
            <w:tcBorders>
              <w:right w:val="single" w:sz="18" w:space="0" w:color="auto"/>
            </w:tcBorders>
            <w:shd w:val="clear" w:color="auto" w:fill="auto"/>
            <w:noWrap/>
            <w:vAlign w:val="center"/>
          </w:tcPr>
          <w:p w14:paraId="265EC911"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Education, %</w:t>
            </w:r>
          </w:p>
        </w:tc>
        <w:tc>
          <w:tcPr>
            <w:tcW w:w="756" w:type="pct"/>
            <w:tcBorders>
              <w:left w:val="single" w:sz="18" w:space="0" w:color="auto"/>
              <w:right w:val="single" w:sz="18" w:space="0" w:color="auto"/>
            </w:tcBorders>
            <w:shd w:val="clear" w:color="auto" w:fill="auto"/>
            <w:noWrap/>
            <w:vAlign w:val="center"/>
          </w:tcPr>
          <w:p w14:paraId="1D5455F7" w14:textId="77777777" w:rsidR="00892F05" w:rsidRPr="004B6E39" w:rsidRDefault="00892F05" w:rsidP="003E0FF6">
            <w:pPr>
              <w:spacing w:before="40" w:after="40" w:line="276" w:lineRule="auto"/>
              <w:jc w:val="center"/>
              <w:rPr>
                <w:rFonts w:ascii="Times New Roman" w:eastAsia="Calibri" w:hAnsi="Times New Roman"/>
                <w:sz w:val="20"/>
                <w:szCs w:val="20"/>
              </w:rPr>
            </w:pPr>
          </w:p>
        </w:tc>
        <w:tc>
          <w:tcPr>
            <w:tcW w:w="755" w:type="pct"/>
            <w:tcBorders>
              <w:left w:val="single" w:sz="18" w:space="0" w:color="auto"/>
            </w:tcBorders>
            <w:vAlign w:val="center"/>
          </w:tcPr>
          <w:p w14:paraId="477299F8" w14:textId="77777777" w:rsidR="00892F05" w:rsidRPr="004B6E39" w:rsidRDefault="00892F05" w:rsidP="00595D7B">
            <w:pPr>
              <w:spacing w:before="40" w:after="40" w:line="276" w:lineRule="auto"/>
              <w:jc w:val="center"/>
              <w:rPr>
                <w:rFonts w:ascii="Times New Roman" w:eastAsia="Calibri" w:hAnsi="Times New Roman"/>
                <w:sz w:val="20"/>
                <w:szCs w:val="20"/>
              </w:rPr>
            </w:pPr>
          </w:p>
        </w:tc>
        <w:tc>
          <w:tcPr>
            <w:tcW w:w="755" w:type="pct"/>
            <w:vAlign w:val="center"/>
          </w:tcPr>
          <w:p w14:paraId="128987E4" w14:textId="77777777" w:rsidR="00892F05" w:rsidRPr="004B6E39" w:rsidRDefault="00892F05" w:rsidP="00595D7B">
            <w:pPr>
              <w:spacing w:before="40" w:after="40" w:line="276" w:lineRule="auto"/>
              <w:jc w:val="center"/>
              <w:rPr>
                <w:rFonts w:ascii="Times New Roman" w:eastAsia="Calibri" w:hAnsi="Times New Roman"/>
                <w:sz w:val="20"/>
                <w:szCs w:val="20"/>
              </w:rPr>
            </w:pPr>
          </w:p>
        </w:tc>
        <w:tc>
          <w:tcPr>
            <w:tcW w:w="754" w:type="pct"/>
            <w:vAlign w:val="center"/>
          </w:tcPr>
          <w:p w14:paraId="412EE7E1" w14:textId="77777777" w:rsidR="00892F05" w:rsidRPr="004B6E39" w:rsidRDefault="00892F05" w:rsidP="00595D7B">
            <w:pPr>
              <w:spacing w:before="40" w:after="40" w:line="276" w:lineRule="auto"/>
              <w:jc w:val="center"/>
              <w:rPr>
                <w:rFonts w:ascii="Times New Roman" w:eastAsia="Calibri" w:hAnsi="Times New Roman"/>
                <w:sz w:val="20"/>
                <w:szCs w:val="20"/>
              </w:rPr>
            </w:pPr>
          </w:p>
        </w:tc>
        <w:tc>
          <w:tcPr>
            <w:tcW w:w="753" w:type="pct"/>
            <w:vAlign w:val="center"/>
          </w:tcPr>
          <w:p w14:paraId="3F828977" w14:textId="77777777" w:rsidR="00892F05" w:rsidRPr="004B6E39" w:rsidRDefault="00892F05" w:rsidP="00595D7B">
            <w:pPr>
              <w:spacing w:before="40" w:after="40" w:line="276" w:lineRule="auto"/>
              <w:jc w:val="center"/>
              <w:rPr>
                <w:rFonts w:ascii="Times New Roman" w:eastAsia="Calibri" w:hAnsi="Times New Roman"/>
                <w:sz w:val="20"/>
                <w:szCs w:val="20"/>
              </w:rPr>
            </w:pPr>
          </w:p>
        </w:tc>
      </w:tr>
      <w:tr w:rsidR="00892F05" w:rsidRPr="004B6E39" w14:paraId="121662BB" w14:textId="77777777" w:rsidTr="00595D7B">
        <w:trPr>
          <w:trHeight w:val="243"/>
        </w:trPr>
        <w:tc>
          <w:tcPr>
            <w:tcW w:w="1227" w:type="pct"/>
            <w:tcBorders>
              <w:right w:val="single" w:sz="18" w:space="0" w:color="auto"/>
            </w:tcBorders>
            <w:shd w:val="clear" w:color="auto" w:fill="auto"/>
            <w:noWrap/>
            <w:vAlign w:val="center"/>
          </w:tcPr>
          <w:p w14:paraId="76FCC645"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Did not complete high school</w:t>
            </w:r>
          </w:p>
        </w:tc>
        <w:tc>
          <w:tcPr>
            <w:tcW w:w="756" w:type="pct"/>
            <w:tcBorders>
              <w:left w:val="single" w:sz="18" w:space="0" w:color="auto"/>
              <w:right w:val="single" w:sz="18" w:space="0" w:color="auto"/>
            </w:tcBorders>
            <w:shd w:val="clear" w:color="auto" w:fill="auto"/>
            <w:noWrap/>
            <w:vAlign w:val="center"/>
          </w:tcPr>
          <w:p w14:paraId="5A4F2D5E"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1.69</w:t>
            </w:r>
          </w:p>
        </w:tc>
        <w:tc>
          <w:tcPr>
            <w:tcW w:w="755" w:type="pct"/>
            <w:tcBorders>
              <w:left w:val="single" w:sz="18" w:space="0" w:color="auto"/>
            </w:tcBorders>
            <w:vAlign w:val="center"/>
          </w:tcPr>
          <w:p w14:paraId="2A8C42FF"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2.47</w:t>
            </w:r>
          </w:p>
        </w:tc>
        <w:tc>
          <w:tcPr>
            <w:tcW w:w="755" w:type="pct"/>
            <w:vAlign w:val="center"/>
          </w:tcPr>
          <w:p w14:paraId="61F2EDED"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2.08</w:t>
            </w:r>
          </w:p>
        </w:tc>
        <w:tc>
          <w:tcPr>
            <w:tcW w:w="754" w:type="pct"/>
            <w:vAlign w:val="center"/>
          </w:tcPr>
          <w:p w14:paraId="3F9E8D44"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1.79</w:t>
            </w:r>
          </w:p>
        </w:tc>
        <w:tc>
          <w:tcPr>
            <w:tcW w:w="753" w:type="pct"/>
            <w:vAlign w:val="center"/>
          </w:tcPr>
          <w:p w14:paraId="409E4052"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0.41</w:t>
            </w:r>
          </w:p>
        </w:tc>
      </w:tr>
      <w:tr w:rsidR="00892F05" w:rsidRPr="004B6E39" w14:paraId="59ECA4C6" w14:textId="77777777" w:rsidTr="00595D7B">
        <w:trPr>
          <w:trHeight w:val="100"/>
        </w:trPr>
        <w:tc>
          <w:tcPr>
            <w:tcW w:w="1227" w:type="pct"/>
            <w:tcBorders>
              <w:right w:val="single" w:sz="18" w:space="0" w:color="auto"/>
            </w:tcBorders>
            <w:shd w:val="clear" w:color="auto" w:fill="auto"/>
            <w:noWrap/>
            <w:vAlign w:val="center"/>
          </w:tcPr>
          <w:p w14:paraId="7FD66AB5"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High school degree or equivalent</w:t>
            </w:r>
          </w:p>
        </w:tc>
        <w:tc>
          <w:tcPr>
            <w:tcW w:w="756" w:type="pct"/>
            <w:tcBorders>
              <w:left w:val="single" w:sz="18" w:space="0" w:color="auto"/>
              <w:right w:val="single" w:sz="18" w:space="0" w:color="auto"/>
            </w:tcBorders>
            <w:shd w:val="clear" w:color="auto" w:fill="auto"/>
            <w:noWrap/>
            <w:vAlign w:val="center"/>
          </w:tcPr>
          <w:p w14:paraId="5FC8AC98"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35.83</w:t>
            </w:r>
          </w:p>
        </w:tc>
        <w:tc>
          <w:tcPr>
            <w:tcW w:w="755" w:type="pct"/>
            <w:tcBorders>
              <w:left w:val="single" w:sz="18" w:space="0" w:color="auto"/>
            </w:tcBorders>
            <w:vAlign w:val="center"/>
          </w:tcPr>
          <w:p w14:paraId="30923363"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34.57</w:t>
            </w:r>
          </w:p>
        </w:tc>
        <w:tc>
          <w:tcPr>
            <w:tcW w:w="755" w:type="pct"/>
            <w:vAlign w:val="center"/>
          </w:tcPr>
          <w:p w14:paraId="73CA3394"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34.17</w:t>
            </w:r>
          </w:p>
        </w:tc>
        <w:tc>
          <w:tcPr>
            <w:tcW w:w="754" w:type="pct"/>
            <w:vAlign w:val="center"/>
          </w:tcPr>
          <w:p w14:paraId="2F29B412"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39.46</w:t>
            </w:r>
          </w:p>
        </w:tc>
        <w:tc>
          <w:tcPr>
            <w:tcW w:w="753" w:type="pct"/>
            <w:vAlign w:val="center"/>
          </w:tcPr>
          <w:p w14:paraId="6DEDE164"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35.39</w:t>
            </w:r>
          </w:p>
        </w:tc>
      </w:tr>
      <w:tr w:rsidR="00892F05" w:rsidRPr="004B6E39" w14:paraId="151C1261" w14:textId="77777777" w:rsidTr="00595D7B">
        <w:trPr>
          <w:trHeight w:val="100"/>
        </w:trPr>
        <w:tc>
          <w:tcPr>
            <w:tcW w:w="1227" w:type="pct"/>
            <w:tcBorders>
              <w:right w:val="single" w:sz="18" w:space="0" w:color="auto"/>
            </w:tcBorders>
            <w:shd w:val="clear" w:color="auto" w:fill="auto"/>
            <w:noWrap/>
            <w:vAlign w:val="center"/>
          </w:tcPr>
          <w:p w14:paraId="667A2C0D"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Associate's degree</w:t>
            </w:r>
          </w:p>
        </w:tc>
        <w:tc>
          <w:tcPr>
            <w:tcW w:w="756" w:type="pct"/>
            <w:tcBorders>
              <w:left w:val="single" w:sz="18" w:space="0" w:color="auto"/>
              <w:right w:val="single" w:sz="18" w:space="0" w:color="auto"/>
            </w:tcBorders>
            <w:shd w:val="clear" w:color="auto" w:fill="auto"/>
            <w:noWrap/>
            <w:vAlign w:val="center"/>
          </w:tcPr>
          <w:p w14:paraId="77F8CCAE"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14.44</w:t>
            </w:r>
          </w:p>
        </w:tc>
        <w:tc>
          <w:tcPr>
            <w:tcW w:w="755" w:type="pct"/>
            <w:tcBorders>
              <w:left w:val="single" w:sz="18" w:space="0" w:color="auto"/>
            </w:tcBorders>
            <w:vAlign w:val="center"/>
          </w:tcPr>
          <w:p w14:paraId="1ED126E0"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16.87</w:t>
            </w:r>
          </w:p>
        </w:tc>
        <w:tc>
          <w:tcPr>
            <w:tcW w:w="755" w:type="pct"/>
            <w:vAlign w:val="center"/>
          </w:tcPr>
          <w:p w14:paraId="58CD15FF"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10.42</w:t>
            </w:r>
          </w:p>
        </w:tc>
        <w:tc>
          <w:tcPr>
            <w:tcW w:w="754" w:type="pct"/>
            <w:vAlign w:val="center"/>
          </w:tcPr>
          <w:p w14:paraId="4ED1C16F"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13.90</w:t>
            </w:r>
          </w:p>
        </w:tc>
        <w:tc>
          <w:tcPr>
            <w:tcW w:w="753" w:type="pct"/>
            <w:vAlign w:val="center"/>
          </w:tcPr>
          <w:p w14:paraId="5FF6AB72"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16.46</w:t>
            </w:r>
          </w:p>
        </w:tc>
      </w:tr>
      <w:tr w:rsidR="00892F05" w:rsidRPr="004B6E39" w14:paraId="67818E82" w14:textId="77777777" w:rsidTr="00595D7B">
        <w:trPr>
          <w:trHeight w:val="100"/>
        </w:trPr>
        <w:tc>
          <w:tcPr>
            <w:tcW w:w="1227" w:type="pct"/>
            <w:tcBorders>
              <w:right w:val="single" w:sz="18" w:space="0" w:color="auto"/>
            </w:tcBorders>
            <w:shd w:val="clear" w:color="auto" w:fill="auto"/>
            <w:noWrap/>
            <w:vAlign w:val="center"/>
          </w:tcPr>
          <w:p w14:paraId="70F9BE2B"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Bachelor's degree</w:t>
            </w:r>
          </w:p>
        </w:tc>
        <w:tc>
          <w:tcPr>
            <w:tcW w:w="756" w:type="pct"/>
            <w:tcBorders>
              <w:left w:val="single" w:sz="18" w:space="0" w:color="auto"/>
              <w:right w:val="single" w:sz="18" w:space="0" w:color="auto"/>
            </w:tcBorders>
            <w:shd w:val="clear" w:color="auto" w:fill="auto"/>
            <w:noWrap/>
            <w:vAlign w:val="center"/>
          </w:tcPr>
          <w:p w14:paraId="38017AE5"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32.03</w:t>
            </w:r>
          </w:p>
        </w:tc>
        <w:tc>
          <w:tcPr>
            <w:tcW w:w="755" w:type="pct"/>
            <w:tcBorders>
              <w:left w:val="single" w:sz="18" w:space="0" w:color="auto"/>
            </w:tcBorders>
            <w:vAlign w:val="center"/>
          </w:tcPr>
          <w:p w14:paraId="2BD48606"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29.63</w:t>
            </w:r>
          </w:p>
        </w:tc>
        <w:tc>
          <w:tcPr>
            <w:tcW w:w="755" w:type="pct"/>
            <w:vAlign w:val="center"/>
          </w:tcPr>
          <w:p w14:paraId="13265E10"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37.08</w:t>
            </w:r>
          </w:p>
        </w:tc>
        <w:tc>
          <w:tcPr>
            <w:tcW w:w="754" w:type="pct"/>
            <w:vAlign w:val="center"/>
          </w:tcPr>
          <w:p w14:paraId="41F34309"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31.84</w:t>
            </w:r>
          </w:p>
        </w:tc>
        <w:tc>
          <w:tcPr>
            <w:tcW w:w="753" w:type="pct"/>
            <w:vAlign w:val="center"/>
          </w:tcPr>
          <w:p w14:paraId="2C5F8517"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29.63</w:t>
            </w:r>
          </w:p>
        </w:tc>
      </w:tr>
      <w:tr w:rsidR="00892F05" w:rsidRPr="004B6E39" w14:paraId="02DCDA1F" w14:textId="77777777" w:rsidTr="00595D7B">
        <w:trPr>
          <w:trHeight w:val="100"/>
        </w:trPr>
        <w:tc>
          <w:tcPr>
            <w:tcW w:w="1227" w:type="pct"/>
            <w:tcBorders>
              <w:right w:val="single" w:sz="18" w:space="0" w:color="auto"/>
            </w:tcBorders>
            <w:shd w:val="clear" w:color="auto" w:fill="auto"/>
            <w:noWrap/>
            <w:vAlign w:val="center"/>
          </w:tcPr>
          <w:p w14:paraId="7044F22E"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Graduate or Professional degree</w:t>
            </w:r>
          </w:p>
        </w:tc>
        <w:tc>
          <w:tcPr>
            <w:tcW w:w="756" w:type="pct"/>
            <w:tcBorders>
              <w:left w:val="single" w:sz="18" w:space="0" w:color="auto"/>
              <w:right w:val="single" w:sz="18" w:space="0" w:color="auto"/>
            </w:tcBorders>
            <w:shd w:val="clear" w:color="auto" w:fill="auto"/>
            <w:noWrap/>
            <w:vAlign w:val="center"/>
          </w:tcPr>
          <w:p w14:paraId="200BD090" w14:textId="77777777" w:rsidR="00892F05" w:rsidRPr="004B6E39" w:rsidRDefault="00892F05"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16.02</w:t>
            </w:r>
          </w:p>
        </w:tc>
        <w:tc>
          <w:tcPr>
            <w:tcW w:w="755" w:type="pct"/>
            <w:tcBorders>
              <w:left w:val="single" w:sz="18" w:space="0" w:color="auto"/>
            </w:tcBorders>
            <w:vAlign w:val="center"/>
          </w:tcPr>
          <w:p w14:paraId="004CF5EA"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16.46</w:t>
            </w:r>
          </w:p>
        </w:tc>
        <w:tc>
          <w:tcPr>
            <w:tcW w:w="755" w:type="pct"/>
            <w:vAlign w:val="center"/>
          </w:tcPr>
          <w:p w14:paraId="2382BE11"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16.25</w:t>
            </w:r>
          </w:p>
        </w:tc>
        <w:tc>
          <w:tcPr>
            <w:tcW w:w="754" w:type="pct"/>
            <w:vAlign w:val="center"/>
          </w:tcPr>
          <w:p w14:paraId="69C26485"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13.00</w:t>
            </w:r>
          </w:p>
        </w:tc>
        <w:tc>
          <w:tcPr>
            <w:tcW w:w="753" w:type="pct"/>
            <w:vAlign w:val="center"/>
          </w:tcPr>
          <w:p w14:paraId="61974271"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18.11</w:t>
            </w:r>
          </w:p>
        </w:tc>
      </w:tr>
      <w:tr w:rsidR="00892F05" w:rsidRPr="004B6E39" w14:paraId="075A99C3" w14:textId="77777777" w:rsidTr="00595D7B">
        <w:trPr>
          <w:trHeight w:val="264"/>
        </w:trPr>
        <w:tc>
          <w:tcPr>
            <w:tcW w:w="1227" w:type="pct"/>
            <w:tcBorders>
              <w:right w:val="single" w:sz="18" w:space="0" w:color="auto"/>
            </w:tcBorders>
            <w:shd w:val="clear" w:color="auto" w:fill="auto"/>
            <w:noWrap/>
            <w:vAlign w:val="center"/>
          </w:tcPr>
          <w:p w14:paraId="6DA88E68" w14:textId="77777777" w:rsidR="00892F05" w:rsidRPr="004B6E39" w:rsidRDefault="00892F05"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Political views, </w:t>
            </w:r>
            <w:r w:rsidRPr="004B6E39">
              <w:rPr>
                <w:rFonts w:ascii="Times New Roman" w:eastAsia="Calibri" w:hAnsi="Times New Roman"/>
                <w:i/>
                <w:sz w:val="20"/>
                <w:szCs w:val="20"/>
              </w:rPr>
              <w:t>M</w:t>
            </w:r>
            <w:r>
              <w:rPr>
                <w:rFonts w:ascii="Times New Roman" w:eastAsia="Calibri" w:hAnsi="Times New Roman"/>
                <w:i/>
                <w:sz w:val="20"/>
                <w:szCs w:val="20"/>
              </w:rPr>
              <w:t>ean</w:t>
            </w:r>
            <w:r w:rsidRPr="004B6E39">
              <w:rPr>
                <w:rFonts w:ascii="Times New Roman" w:eastAsia="Calibri" w:hAnsi="Times New Roman"/>
                <w:sz w:val="20"/>
                <w:szCs w:val="20"/>
              </w:rPr>
              <w:t xml:space="preserve"> (</w:t>
            </w:r>
            <w:r w:rsidRPr="004B6E39">
              <w:rPr>
                <w:rFonts w:ascii="Times New Roman" w:eastAsia="Calibri" w:hAnsi="Times New Roman"/>
                <w:i/>
                <w:sz w:val="20"/>
                <w:szCs w:val="20"/>
              </w:rPr>
              <w:t>SD</w:t>
            </w:r>
            <w:r w:rsidRPr="004B6E39">
              <w:rPr>
                <w:rFonts w:ascii="Times New Roman" w:eastAsia="Calibri" w:hAnsi="Times New Roman"/>
                <w:sz w:val="20"/>
                <w:szCs w:val="20"/>
              </w:rPr>
              <w:t>)</w:t>
            </w:r>
            <w:r>
              <w:rPr>
                <w:rFonts w:ascii="Times New Roman" w:eastAsia="Calibri" w:hAnsi="Times New Roman"/>
                <w:sz w:val="20"/>
                <w:szCs w:val="20"/>
              </w:rPr>
              <w:t>*</w:t>
            </w:r>
          </w:p>
        </w:tc>
        <w:tc>
          <w:tcPr>
            <w:tcW w:w="756" w:type="pct"/>
            <w:tcBorders>
              <w:left w:val="single" w:sz="18" w:space="0" w:color="auto"/>
              <w:right w:val="single" w:sz="18" w:space="0" w:color="auto"/>
            </w:tcBorders>
            <w:shd w:val="clear" w:color="auto" w:fill="auto"/>
            <w:noWrap/>
            <w:vAlign w:val="center"/>
          </w:tcPr>
          <w:p w14:paraId="766C1FFF" w14:textId="77777777" w:rsidR="00892F05" w:rsidRPr="004B6E39" w:rsidRDefault="00892F05" w:rsidP="003E0FF6">
            <w:pPr>
              <w:spacing w:before="40" w:after="40" w:line="276" w:lineRule="auto"/>
              <w:jc w:val="center"/>
              <w:rPr>
                <w:rFonts w:ascii="Times New Roman" w:eastAsia="Calibri" w:hAnsi="Times New Roman"/>
                <w:sz w:val="20"/>
                <w:szCs w:val="20"/>
                <w:highlight w:val="yellow"/>
              </w:rPr>
            </w:pPr>
            <w:r w:rsidRPr="004B6E39">
              <w:rPr>
                <w:rFonts w:ascii="Times New Roman" w:eastAsia="Calibri" w:hAnsi="Times New Roman"/>
                <w:sz w:val="20"/>
                <w:szCs w:val="20"/>
              </w:rPr>
              <w:t>4.05 (1.67)</w:t>
            </w:r>
          </w:p>
        </w:tc>
        <w:tc>
          <w:tcPr>
            <w:tcW w:w="755" w:type="pct"/>
            <w:tcBorders>
              <w:left w:val="single" w:sz="18" w:space="0" w:color="auto"/>
            </w:tcBorders>
            <w:vAlign w:val="center"/>
          </w:tcPr>
          <w:p w14:paraId="2D145FEA"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4.06 (1.64)</w:t>
            </w:r>
          </w:p>
        </w:tc>
        <w:tc>
          <w:tcPr>
            <w:tcW w:w="755" w:type="pct"/>
            <w:vAlign w:val="center"/>
          </w:tcPr>
          <w:p w14:paraId="01B06B9A"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4.17 (1.71)</w:t>
            </w:r>
          </w:p>
        </w:tc>
        <w:tc>
          <w:tcPr>
            <w:tcW w:w="754" w:type="pct"/>
            <w:vAlign w:val="center"/>
          </w:tcPr>
          <w:p w14:paraId="681CB362"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4.00 (1.71)</w:t>
            </w:r>
          </w:p>
        </w:tc>
        <w:tc>
          <w:tcPr>
            <w:tcW w:w="753" w:type="pct"/>
            <w:vAlign w:val="center"/>
          </w:tcPr>
          <w:p w14:paraId="301A9889" w14:textId="77777777" w:rsidR="00892F05" w:rsidRPr="004B6E39"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3.96 (1.64)</w:t>
            </w:r>
          </w:p>
        </w:tc>
      </w:tr>
      <w:tr w:rsidR="00892F05" w:rsidRPr="004B6E39" w14:paraId="0856417C" w14:textId="77777777" w:rsidTr="00595D7B">
        <w:trPr>
          <w:trHeight w:val="264"/>
        </w:trPr>
        <w:tc>
          <w:tcPr>
            <w:tcW w:w="1227" w:type="pct"/>
            <w:tcBorders>
              <w:bottom w:val="single" w:sz="18" w:space="0" w:color="auto"/>
              <w:right w:val="single" w:sz="18" w:space="0" w:color="auto"/>
            </w:tcBorders>
            <w:shd w:val="clear" w:color="auto" w:fill="auto"/>
            <w:noWrap/>
            <w:vAlign w:val="center"/>
          </w:tcPr>
          <w:p w14:paraId="39C98716" w14:textId="77777777" w:rsidR="00892F05" w:rsidRPr="004B6E39" w:rsidRDefault="00892F05" w:rsidP="003E0FF6">
            <w:pPr>
              <w:spacing w:before="40" w:after="40" w:line="276" w:lineRule="auto"/>
              <w:rPr>
                <w:rFonts w:ascii="Times New Roman" w:eastAsia="Calibri" w:hAnsi="Times New Roman"/>
                <w:sz w:val="20"/>
                <w:szCs w:val="20"/>
              </w:rPr>
            </w:pPr>
            <w:r>
              <w:rPr>
                <w:rFonts w:ascii="Times New Roman" w:eastAsia="Calibri" w:hAnsi="Times New Roman"/>
                <w:sz w:val="20"/>
                <w:szCs w:val="20"/>
              </w:rPr>
              <w:t xml:space="preserve">Numeracy, </w:t>
            </w:r>
            <w:r w:rsidRPr="00595D7B">
              <w:rPr>
                <w:rFonts w:ascii="Times New Roman" w:eastAsia="Calibri" w:hAnsi="Times New Roman"/>
                <w:i/>
                <w:sz w:val="20"/>
                <w:szCs w:val="20"/>
              </w:rPr>
              <w:t>M</w:t>
            </w:r>
            <w:r>
              <w:rPr>
                <w:rFonts w:ascii="Times New Roman" w:eastAsia="Calibri" w:hAnsi="Times New Roman"/>
                <w:i/>
                <w:sz w:val="20"/>
                <w:szCs w:val="20"/>
              </w:rPr>
              <w:t>ean</w:t>
            </w:r>
            <w:r w:rsidRPr="00595D7B">
              <w:rPr>
                <w:rFonts w:ascii="Times New Roman" w:eastAsia="Calibri" w:hAnsi="Times New Roman"/>
                <w:i/>
                <w:sz w:val="20"/>
                <w:szCs w:val="20"/>
              </w:rPr>
              <w:t xml:space="preserve"> (SD)</w:t>
            </w:r>
            <w:r w:rsidRPr="00595D7B">
              <w:rPr>
                <w:rFonts w:ascii="Times New Roman" w:eastAsia="Calibri" w:hAnsi="Times New Roman"/>
                <w:i/>
                <w:sz w:val="20"/>
                <w:szCs w:val="20"/>
                <w:vertAlign w:val="superscript"/>
              </w:rPr>
              <w:t>+</w:t>
            </w:r>
          </w:p>
        </w:tc>
        <w:tc>
          <w:tcPr>
            <w:tcW w:w="756" w:type="pct"/>
            <w:tcBorders>
              <w:left w:val="single" w:sz="18" w:space="0" w:color="auto"/>
              <w:bottom w:val="single" w:sz="18" w:space="0" w:color="auto"/>
              <w:right w:val="single" w:sz="18" w:space="0" w:color="auto"/>
            </w:tcBorders>
            <w:shd w:val="clear" w:color="auto" w:fill="auto"/>
            <w:noWrap/>
            <w:vAlign w:val="center"/>
          </w:tcPr>
          <w:p w14:paraId="03502825" w14:textId="77777777" w:rsidR="00892F05" w:rsidRPr="004B6E39" w:rsidRDefault="00892F05" w:rsidP="003E0FF6">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4.58 (1.78)</w:t>
            </w:r>
          </w:p>
        </w:tc>
        <w:tc>
          <w:tcPr>
            <w:tcW w:w="755" w:type="pct"/>
            <w:tcBorders>
              <w:left w:val="single" w:sz="18" w:space="0" w:color="auto"/>
            </w:tcBorders>
            <w:vAlign w:val="center"/>
          </w:tcPr>
          <w:p w14:paraId="3520BC0E" w14:textId="77777777" w:rsidR="00892F05"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4.56 (1.77)</w:t>
            </w:r>
          </w:p>
        </w:tc>
        <w:tc>
          <w:tcPr>
            <w:tcW w:w="755" w:type="pct"/>
            <w:vAlign w:val="center"/>
          </w:tcPr>
          <w:p w14:paraId="43DB29CC" w14:textId="77777777" w:rsidR="00892F05"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4.58 (1.71)</w:t>
            </w:r>
          </w:p>
        </w:tc>
        <w:tc>
          <w:tcPr>
            <w:tcW w:w="754" w:type="pct"/>
            <w:vAlign w:val="center"/>
          </w:tcPr>
          <w:p w14:paraId="49DF573E" w14:textId="77777777" w:rsidR="00892F05"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4.56 (1.73)</w:t>
            </w:r>
          </w:p>
        </w:tc>
        <w:tc>
          <w:tcPr>
            <w:tcW w:w="753" w:type="pct"/>
            <w:vAlign w:val="center"/>
          </w:tcPr>
          <w:p w14:paraId="1822C117" w14:textId="77777777" w:rsidR="00892F05" w:rsidRDefault="00892F05" w:rsidP="00595D7B">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4.60 (1.91)</w:t>
            </w:r>
          </w:p>
        </w:tc>
      </w:tr>
    </w:tbl>
    <w:p w14:paraId="4FCAB7D6" w14:textId="32102236" w:rsidR="00892F05" w:rsidRDefault="00892F05" w:rsidP="00892F05">
      <w:pPr>
        <w:rPr>
          <w:rFonts w:ascii="Times New Roman" w:hAnsi="Times New Roman"/>
        </w:rPr>
      </w:pPr>
      <w:r w:rsidRPr="004B6E39">
        <w:rPr>
          <w:rFonts w:ascii="Times New Roman" w:hAnsi="Times New Roman"/>
          <w:sz w:val="20"/>
        </w:rPr>
        <w:lastRenderedPageBreak/>
        <w:t xml:space="preserve">*Political views </w:t>
      </w:r>
      <w:r>
        <w:rPr>
          <w:rFonts w:ascii="Times New Roman" w:hAnsi="Times New Roman"/>
          <w:sz w:val="20"/>
        </w:rPr>
        <w:t xml:space="preserve">on 7-point scale </w:t>
      </w:r>
      <w:r w:rsidRPr="004B6E39">
        <w:rPr>
          <w:rFonts w:ascii="Times New Roman" w:hAnsi="Times New Roman"/>
          <w:sz w:val="20"/>
        </w:rPr>
        <w:t>on spectrum from</w:t>
      </w:r>
      <w:r w:rsidRPr="004B6E39">
        <w:rPr>
          <w:rFonts w:ascii="Times New Roman" w:hAnsi="Times New Roman"/>
        </w:rPr>
        <w:t xml:space="preserve"> </w:t>
      </w:r>
      <w:r w:rsidRPr="004B6E39">
        <w:rPr>
          <w:rFonts w:ascii="Times New Roman" w:hAnsi="Times New Roman"/>
          <w:sz w:val="20"/>
        </w:rPr>
        <w:t>very left wing (or liberal)</w:t>
      </w:r>
      <w:r>
        <w:rPr>
          <w:rFonts w:ascii="Times New Roman" w:hAnsi="Times New Roman"/>
          <w:sz w:val="20"/>
        </w:rPr>
        <w:t xml:space="preserve"> (1)</w:t>
      </w:r>
      <w:r w:rsidRPr="004B6E39">
        <w:rPr>
          <w:rFonts w:ascii="Times New Roman" w:hAnsi="Times New Roman"/>
          <w:sz w:val="20"/>
        </w:rPr>
        <w:t xml:space="preserve"> to very right wing (or conservative) </w:t>
      </w:r>
      <w:r>
        <w:rPr>
          <w:rFonts w:ascii="Times New Roman" w:hAnsi="Times New Roman"/>
          <w:sz w:val="20"/>
        </w:rPr>
        <w:t>(7)</w:t>
      </w:r>
      <w:r w:rsidR="00595D7B">
        <w:rPr>
          <w:rFonts w:ascii="Times New Roman" w:hAnsi="Times New Roman"/>
          <w:sz w:val="20"/>
        </w:rPr>
        <w:t>.</w:t>
      </w:r>
    </w:p>
    <w:p w14:paraId="04461A41" w14:textId="0C500827" w:rsidR="0000017F" w:rsidRPr="00B05509" w:rsidRDefault="009C2AD1" w:rsidP="00595D7B">
      <w:pPr>
        <w:rPr>
          <w:rFonts w:ascii="Times New Roman" w:hAnsi="Times New Roman"/>
        </w:rPr>
      </w:pPr>
      <w:r w:rsidRPr="00595D7B">
        <w:rPr>
          <w:rFonts w:ascii="Times New Roman" w:hAnsi="Times New Roman"/>
          <w:sz w:val="20"/>
          <w:szCs w:val="20"/>
          <w:vertAlign w:val="superscript"/>
        </w:rPr>
        <w:t>+</w:t>
      </w:r>
      <w:r w:rsidRPr="00595D7B">
        <w:rPr>
          <w:sz w:val="20"/>
          <w:szCs w:val="20"/>
        </w:rPr>
        <w:t xml:space="preserve"> </w:t>
      </w:r>
      <w:r w:rsidRPr="00595D7B">
        <w:rPr>
          <w:rFonts w:ascii="Times New Roman" w:hAnsi="Times New Roman"/>
          <w:sz w:val="20"/>
          <w:szCs w:val="20"/>
        </w:rPr>
        <w:t xml:space="preserve">Numeracy was measured using the sum of the scores of a combination of items (see supplementary information file for more details). The final 8-point scale ranges from low numeracy </w:t>
      </w:r>
      <w:r w:rsidR="000C42C0">
        <w:rPr>
          <w:rFonts w:ascii="Times New Roman" w:hAnsi="Times New Roman"/>
          <w:sz w:val="20"/>
          <w:szCs w:val="20"/>
        </w:rPr>
        <w:t xml:space="preserve">(1) </w:t>
      </w:r>
      <w:r w:rsidRPr="00595D7B">
        <w:rPr>
          <w:rFonts w:ascii="Times New Roman" w:hAnsi="Times New Roman"/>
          <w:sz w:val="20"/>
          <w:szCs w:val="20"/>
        </w:rPr>
        <w:t>to high numeracy</w:t>
      </w:r>
      <w:r w:rsidR="000C42C0">
        <w:rPr>
          <w:rFonts w:ascii="Times New Roman" w:hAnsi="Times New Roman"/>
          <w:sz w:val="20"/>
          <w:szCs w:val="20"/>
        </w:rPr>
        <w:t xml:space="preserve"> (8)</w:t>
      </w:r>
      <w:r w:rsidRPr="00595D7B">
        <w:rPr>
          <w:rFonts w:ascii="Times New Roman" w:hAnsi="Times New Roman"/>
          <w:sz w:val="20"/>
          <w:szCs w:val="20"/>
        </w:rPr>
        <w:t>.</w:t>
      </w:r>
    </w:p>
    <w:p w14:paraId="390F959D" w14:textId="77777777" w:rsidR="004420E4" w:rsidRDefault="004420E4" w:rsidP="007C3BBA">
      <w:pPr>
        <w:spacing w:line="480" w:lineRule="auto"/>
        <w:rPr>
          <w:rFonts w:ascii="Times New Roman" w:hAnsi="Times New Roman"/>
        </w:rPr>
      </w:pPr>
    </w:p>
    <w:p w14:paraId="1A051389" w14:textId="5C0D7596" w:rsidR="00233C58" w:rsidRDefault="003F1F9E" w:rsidP="007C3BBA">
      <w:pPr>
        <w:spacing w:line="480" w:lineRule="auto"/>
        <w:rPr>
          <w:rFonts w:ascii="Times New Roman" w:hAnsi="Times New Roman"/>
        </w:rPr>
      </w:pPr>
      <w:r w:rsidRPr="00B05509">
        <w:rPr>
          <w:rFonts w:ascii="Times New Roman" w:hAnsi="Times New Roman"/>
        </w:rPr>
        <w:t>Two-way Analysis of Variance (ANOVA) revealed a main effect of quality level (‘high’ versus ‘low’) on</w:t>
      </w:r>
      <w:r w:rsidR="00366513">
        <w:rPr>
          <w:rFonts w:ascii="Times New Roman" w:hAnsi="Times New Roman"/>
        </w:rPr>
        <w:t xml:space="preserve"> all three outcome measures, i.e.</w:t>
      </w:r>
      <w:r w:rsidRPr="00B05509">
        <w:rPr>
          <w:rFonts w:ascii="Times New Roman" w:hAnsi="Times New Roman"/>
        </w:rPr>
        <w:t xml:space="preserve"> perceived trustworthiness of the information</w:t>
      </w:r>
      <w:r w:rsidR="00366513">
        <w:rPr>
          <w:rFonts w:ascii="Times New Roman" w:hAnsi="Times New Roman"/>
        </w:rPr>
        <w:t>, perceived effectiveness of eye protection, and intentions to wear eye protection</w:t>
      </w:r>
      <w:r w:rsidR="00F3186D">
        <w:rPr>
          <w:rFonts w:ascii="Times New Roman" w:hAnsi="Times New Roman"/>
        </w:rPr>
        <w:t xml:space="preserve"> (Table 3</w:t>
      </w:r>
      <w:r w:rsidR="00366513">
        <w:rPr>
          <w:rFonts w:ascii="Times New Roman" w:hAnsi="Times New Roman"/>
        </w:rPr>
        <w:t>).</w:t>
      </w:r>
      <w:r w:rsidR="00DA7ECD">
        <w:rPr>
          <w:rFonts w:ascii="Times New Roman" w:hAnsi="Times New Roman"/>
        </w:rPr>
        <w:t xml:space="preserve"> </w:t>
      </w:r>
      <w:r w:rsidR="00DA7ECD" w:rsidRPr="00D573F2">
        <w:rPr>
          <w:rFonts w:ascii="Times New Roman" w:hAnsi="Times New Roman"/>
        </w:rPr>
        <w:t>Due to the non-normal distribution of the data for the behavioural uptake outcome variable, regular ANOVA was complemented by non-parametric aligned ranks transformation ANOVA for both Experiments 1 and 2, which supported the parametric results for both studies (see Table</w:t>
      </w:r>
      <w:r w:rsidR="00DA7ECD">
        <w:rPr>
          <w:rFonts w:ascii="Times New Roman" w:hAnsi="Times New Roman"/>
        </w:rPr>
        <w:t>s</w:t>
      </w:r>
      <w:r w:rsidR="00DA7ECD" w:rsidRPr="00D573F2">
        <w:rPr>
          <w:rFonts w:ascii="Times New Roman" w:hAnsi="Times New Roman"/>
        </w:rPr>
        <w:t xml:space="preserve"> 3 and 7)</w:t>
      </w:r>
      <w:r w:rsidR="00DA7ECD">
        <w:rPr>
          <w:rFonts w:ascii="Times New Roman" w:hAnsi="Times New Roman"/>
        </w:rPr>
        <w:t>.</w:t>
      </w:r>
      <w:r w:rsidRPr="00B05509">
        <w:rPr>
          <w:rFonts w:ascii="Times New Roman" w:hAnsi="Times New Roman"/>
        </w:rPr>
        <w:t xml:space="preserve"> As hypothesized, post-hoc testing using Tukey</w:t>
      </w:r>
      <w:r w:rsidR="00997B9A">
        <w:rPr>
          <w:rFonts w:ascii="Times New Roman" w:hAnsi="Times New Roman"/>
        </w:rPr>
        <w:t>’s h</w:t>
      </w:r>
      <w:r w:rsidR="00997B9A" w:rsidRPr="00997B9A">
        <w:rPr>
          <w:rFonts w:ascii="Times New Roman" w:hAnsi="Times New Roman"/>
        </w:rPr>
        <w:t>onest</w:t>
      </w:r>
      <w:r w:rsidR="00997B9A">
        <w:rPr>
          <w:rFonts w:ascii="Times New Roman" w:hAnsi="Times New Roman"/>
        </w:rPr>
        <w:t>ly significant d</w:t>
      </w:r>
      <w:r w:rsidR="00997B9A" w:rsidRPr="00997B9A">
        <w:rPr>
          <w:rFonts w:ascii="Times New Roman" w:hAnsi="Times New Roman"/>
        </w:rPr>
        <w:t>ifference (HSD) test</w:t>
      </w:r>
      <w:r w:rsidR="009029FB">
        <w:rPr>
          <w:rFonts w:ascii="Times New Roman" w:hAnsi="Times New Roman"/>
        </w:rPr>
        <w:t xml:space="preserve"> </w:t>
      </w:r>
      <w:r w:rsidRPr="00B05509">
        <w:rPr>
          <w:rFonts w:ascii="Times New Roman" w:hAnsi="Times New Roman"/>
        </w:rPr>
        <w:t xml:space="preserve">revealed that participants </w:t>
      </w:r>
      <w:r w:rsidR="00997B9A">
        <w:rPr>
          <w:rFonts w:ascii="Times New Roman" w:hAnsi="Times New Roman"/>
        </w:rPr>
        <w:t>assigned to the ‘</w:t>
      </w:r>
      <w:r w:rsidRPr="00B05509">
        <w:rPr>
          <w:rFonts w:ascii="Times New Roman" w:hAnsi="Times New Roman"/>
        </w:rPr>
        <w:t>low quality of evidence</w:t>
      </w:r>
      <w:r w:rsidR="00997B9A">
        <w:rPr>
          <w:rFonts w:ascii="Times New Roman" w:hAnsi="Times New Roman"/>
        </w:rPr>
        <w:t>’</w:t>
      </w:r>
      <w:r w:rsidRPr="00B05509">
        <w:rPr>
          <w:rFonts w:ascii="Times New Roman" w:hAnsi="Times New Roman"/>
        </w:rPr>
        <w:t xml:space="preserve"> </w:t>
      </w:r>
      <w:r w:rsidR="00997B9A">
        <w:rPr>
          <w:rFonts w:ascii="Times New Roman" w:hAnsi="Times New Roman"/>
        </w:rPr>
        <w:t xml:space="preserve">infographic </w:t>
      </w:r>
      <w:r w:rsidRPr="00B05509">
        <w:rPr>
          <w:rFonts w:ascii="Times New Roman" w:hAnsi="Times New Roman"/>
        </w:rPr>
        <w:t xml:space="preserve">group indicated </w:t>
      </w:r>
      <w:r w:rsidR="00CF0A8D">
        <w:rPr>
          <w:rFonts w:ascii="Times New Roman" w:hAnsi="Times New Roman"/>
        </w:rPr>
        <w:t>statistically</w:t>
      </w:r>
      <w:r w:rsidR="00CF0A8D" w:rsidRPr="00CF0A8D">
        <w:rPr>
          <w:rFonts w:ascii="Times New Roman" w:hAnsi="Times New Roman"/>
        </w:rPr>
        <w:t xml:space="preserve"> </w:t>
      </w:r>
      <w:r w:rsidRPr="00B05509">
        <w:rPr>
          <w:rFonts w:ascii="Times New Roman" w:hAnsi="Times New Roman"/>
        </w:rPr>
        <w:t>significantly lower levels of perceived trustworthiness</w:t>
      </w:r>
      <w:r w:rsidR="00B01F41">
        <w:rPr>
          <w:rFonts w:ascii="Times New Roman" w:hAnsi="Times New Roman"/>
        </w:rPr>
        <w:t>, perceived effectiveness, and intentions to wear eye protection</w:t>
      </w:r>
      <w:r w:rsidRPr="00B05509">
        <w:rPr>
          <w:rFonts w:ascii="Times New Roman" w:hAnsi="Times New Roman"/>
        </w:rPr>
        <w:t xml:space="preserve"> compared to participants in the </w:t>
      </w:r>
      <w:r w:rsidR="00997B9A">
        <w:rPr>
          <w:rFonts w:ascii="Times New Roman" w:hAnsi="Times New Roman"/>
        </w:rPr>
        <w:t>‘</w:t>
      </w:r>
      <w:r w:rsidRPr="00B05509">
        <w:rPr>
          <w:rFonts w:ascii="Times New Roman" w:hAnsi="Times New Roman"/>
        </w:rPr>
        <w:t>high quality of evidence</w:t>
      </w:r>
      <w:r w:rsidR="00997B9A">
        <w:rPr>
          <w:rFonts w:ascii="Times New Roman" w:hAnsi="Times New Roman"/>
        </w:rPr>
        <w:t>’</w:t>
      </w:r>
      <w:r w:rsidRPr="00B05509">
        <w:rPr>
          <w:rFonts w:ascii="Times New Roman" w:hAnsi="Times New Roman"/>
        </w:rPr>
        <w:t xml:space="preserve"> group</w:t>
      </w:r>
      <w:r w:rsidR="00F303C8">
        <w:rPr>
          <w:rFonts w:ascii="Times New Roman" w:hAnsi="Times New Roman"/>
        </w:rPr>
        <w:t xml:space="preserve"> </w:t>
      </w:r>
      <w:r w:rsidR="00892F05">
        <w:rPr>
          <w:rFonts w:ascii="Times New Roman" w:hAnsi="Times New Roman"/>
          <w:color w:val="000000" w:themeColor="text1"/>
        </w:rPr>
        <w:t>(Table 4</w:t>
      </w:r>
      <w:r w:rsidR="00B01F41">
        <w:rPr>
          <w:rFonts w:ascii="Times New Roman" w:hAnsi="Times New Roman"/>
          <w:color w:val="000000" w:themeColor="text1"/>
        </w:rPr>
        <w:t xml:space="preserve"> and Fig 2)</w:t>
      </w:r>
      <w:r w:rsidRPr="00B05509">
        <w:rPr>
          <w:rFonts w:ascii="Times New Roman" w:hAnsi="Times New Roman"/>
          <w:color w:val="000000" w:themeColor="text1"/>
        </w:rPr>
        <w:t>.</w:t>
      </w:r>
      <w:r w:rsidRPr="00B05509">
        <w:rPr>
          <w:rFonts w:ascii="Times New Roman" w:hAnsi="Times New Roman"/>
        </w:rPr>
        <w:t xml:space="preserve"> </w:t>
      </w:r>
    </w:p>
    <w:p w14:paraId="19F81C0F" w14:textId="77777777" w:rsidR="00C5758C" w:rsidRPr="00B05509" w:rsidRDefault="00C5758C" w:rsidP="007C3BBA">
      <w:pPr>
        <w:spacing w:line="480" w:lineRule="auto"/>
        <w:rPr>
          <w:rFonts w:ascii="Times New Roman" w:hAnsi="Times New Roman"/>
        </w:rPr>
      </w:pPr>
    </w:p>
    <w:p w14:paraId="1ADDC9E9" w14:textId="1B94FA2E" w:rsidR="009D5E31" w:rsidRDefault="003F1F9E" w:rsidP="007C3BBA">
      <w:pPr>
        <w:spacing w:line="480" w:lineRule="auto"/>
        <w:rPr>
          <w:rFonts w:ascii="Times New Roman" w:hAnsi="Times New Roman"/>
        </w:rPr>
      </w:pPr>
      <w:r w:rsidRPr="00B05509">
        <w:rPr>
          <w:rFonts w:ascii="Times New Roman" w:hAnsi="Times New Roman"/>
        </w:rPr>
        <w:t>No</w:t>
      </w:r>
      <w:r w:rsidR="00892F05">
        <w:rPr>
          <w:rFonts w:ascii="Times New Roman" w:hAnsi="Times New Roman"/>
        </w:rPr>
        <w:t xml:space="preserve"> significant</w:t>
      </w:r>
      <w:r w:rsidRPr="00B05509">
        <w:rPr>
          <w:rFonts w:ascii="Times New Roman" w:hAnsi="Times New Roman"/>
        </w:rPr>
        <w:t xml:space="preserve"> effect of wording (‘certainty of evidence’ versus ‘quality of evidence’) was observed</w:t>
      </w:r>
      <w:r w:rsidR="00B01F41">
        <w:rPr>
          <w:rFonts w:ascii="Times New Roman" w:hAnsi="Times New Roman"/>
        </w:rPr>
        <w:t xml:space="preserve"> across the three outcome measures (</w:t>
      </w:r>
      <w:r w:rsidR="00892F05">
        <w:rPr>
          <w:rFonts w:ascii="Times New Roman" w:hAnsi="Times New Roman"/>
        </w:rPr>
        <w:t>Table 3</w:t>
      </w:r>
      <w:r w:rsidR="00B01F41">
        <w:rPr>
          <w:rFonts w:ascii="Times New Roman" w:hAnsi="Times New Roman"/>
        </w:rPr>
        <w:t>).</w:t>
      </w:r>
      <w:r w:rsidRPr="00B05509">
        <w:rPr>
          <w:rFonts w:ascii="Times New Roman" w:hAnsi="Times New Roman"/>
        </w:rPr>
        <w:t xml:space="preserve"> </w:t>
      </w:r>
    </w:p>
    <w:p w14:paraId="729B241C" w14:textId="77777777" w:rsidR="009D5E31" w:rsidRPr="00FB306C" w:rsidRDefault="009D5E31" w:rsidP="009D5E31">
      <w:pPr>
        <w:pStyle w:val="Caption"/>
        <w:keepNext/>
        <w:rPr>
          <w:rFonts w:ascii="Times New Roman" w:hAnsi="Times New Roman"/>
          <w:b/>
          <w:i w:val="0"/>
          <w:sz w:val="24"/>
          <w:szCs w:val="24"/>
        </w:rPr>
      </w:pPr>
      <w:r w:rsidRPr="00FB306C">
        <w:rPr>
          <w:rFonts w:ascii="Times New Roman" w:hAnsi="Times New Roman"/>
          <w:b/>
          <w:i w:val="0"/>
          <w:sz w:val="24"/>
          <w:szCs w:val="24"/>
        </w:rPr>
        <w:t>Table 3: Analysis of variance results for all outcome measures (Experiment 1)</w:t>
      </w:r>
    </w:p>
    <w:tbl>
      <w:tblPr>
        <w:tblW w:w="8789"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694"/>
        <w:gridCol w:w="3543"/>
        <w:gridCol w:w="2552"/>
      </w:tblGrid>
      <w:tr w:rsidR="009D5E31" w:rsidRPr="008F070D" w14:paraId="0897097D" w14:textId="77777777" w:rsidTr="003E0FF6">
        <w:trPr>
          <w:trHeight w:val="290"/>
        </w:trPr>
        <w:tc>
          <w:tcPr>
            <w:tcW w:w="2694" w:type="dxa"/>
            <w:tcBorders>
              <w:top w:val="single" w:sz="18" w:space="0" w:color="auto"/>
              <w:bottom w:val="single" w:sz="18" w:space="0" w:color="auto"/>
              <w:right w:val="single" w:sz="18" w:space="0" w:color="auto"/>
            </w:tcBorders>
            <w:shd w:val="clear" w:color="auto" w:fill="auto"/>
            <w:noWrap/>
            <w:vAlign w:val="bottom"/>
            <w:hideMark/>
          </w:tcPr>
          <w:p w14:paraId="0E03E878"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 </w:t>
            </w:r>
          </w:p>
        </w:tc>
        <w:tc>
          <w:tcPr>
            <w:tcW w:w="3543" w:type="dxa"/>
            <w:tcBorders>
              <w:top w:val="single" w:sz="18" w:space="0" w:color="auto"/>
              <w:left w:val="single" w:sz="18" w:space="0" w:color="auto"/>
              <w:bottom w:val="single" w:sz="18" w:space="0" w:color="auto"/>
            </w:tcBorders>
            <w:shd w:val="clear" w:color="auto" w:fill="auto"/>
            <w:noWrap/>
            <w:vAlign w:val="bottom"/>
            <w:hideMark/>
          </w:tcPr>
          <w:p w14:paraId="46FA0681"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Quality level</w:t>
            </w:r>
          </w:p>
        </w:tc>
        <w:tc>
          <w:tcPr>
            <w:tcW w:w="2552" w:type="dxa"/>
            <w:tcBorders>
              <w:top w:val="single" w:sz="18" w:space="0" w:color="auto"/>
              <w:bottom w:val="single" w:sz="18" w:space="0" w:color="auto"/>
            </w:tcBorders>
            <w:shd w:val="clear" w:color="auto" w:fill="auto"/>
            <w:noWrap/>
            <w:vAlign w:val="bottom"/>
            <w:hideMark/>
          </w:tcPr>
          <w:p w14:paraId="00D86493"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Quality wording</w:t>
            </w:r>
          </w:p>
        </w:tc>
      </w:tr>
      <w:tr w:rsidR="009D5E31" w:rsidRPr="008F070D" w14:paraId="113FE70B" w14:textId="77777777" w:rsidTr="003E0FF6">
        <w:trPr>
          <w:trHeight w:val="320"/>
        </w:trPr>
        <w:tc>
          <w:tcPr>
            <w:tcW w:w="2694" w:type="dxa"/>
            <w:tcBorders>
              <w:top w:val="single" w:sz="18" w:space="0" w:color="auto"/>
              <w:right w:val="single" w:sz="18" w:space="0" w:color="auto"/>
            </w:tcBorders>
            <w:shd w:val="clear" w:color="auto" w:fill="auto"/>
            <w:noWrap/>
            <w:vAlign w:val="bottom"/>
            <w:hideMark/>
          </w:tcPr>
          <w:p w14:paraId="2553A8BA"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Perceived trustworthiness</w:t>
            </w:r>
          </w:p>
        </w:tc>
        <w:tc>
          <w:tcPr>
            <w:tcW w:w="3543" w:type="dxa"/>
            <w:tcBorders>
              <w:top w:val="single" w:sz="18" w:space="0" w:color="auto"/>
              <w:left w:val="single" w:sz="18" w:space="0" w:color="auto"/>
            </w:tcBorders>
            <w:shd w:val="clear" w:color="auto" w:fill="auto"/>
            <w:noWrap/>
            <w:vAlign w:val="bottom"/>
            <w:hideMark/>
          </w:tcPr>
          <w:p w14:paraId="157C9BE9"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F(1,946) = 35.61, p &lt; .001, η</w:t>
            </w:r>
            <w:r w:rsidRPr="00F9528F">
              <w:rPr>
                <w:rFonts w:ascii="Times New Roman" w:hAnsi="Times New Roman"/>
                <w:color w:val="000000"/>
                <w:sz w:val="20"/>
                <w:szCs w:val="20"/>
                <w:vertAlign w:val="subscript"/>
              </w:rPr>
              <w:t>P</w:t>
            </w:r>
            <w:r w:rsidRPr="008F070D">
              <w:rPr>
                <w:rFonts w:ascii="Times New Roman" w:hAnsi="Times New Roman"/>
                <w:color w:val="000000"/>
                <w:sz w:val="20"/>
                <w:szCs w:val="20"/>
                <w:vertAlign w:val="superscript"/>
              </w:rPr>
              <w:t>2</w:t>
            </w:r>
            <w:r w:rsidRPr="008F070D">
              <w:rPr>
                <w:rFonts w:ascii="Times New Roman" w:hAnsi="Times New Roman"/>
                <w:color w:val="000000"/>
                <w:sz w:val="20"/>
                <w:szCs w:val="20"/>
              </w:rPr>
              <w:t xml:space="preserve">  = 0.036</w:t>
            </w:r>
          </w:p>
        </w:tc>
        <w:tc>
          <w:tcPr>
            <w:tcW w:w="2552" w:type="dxa"/>
            <w:tcBorders>
              <w:top w:val="single" w:sz="18" w:space="0" w:color="auto"/>
            </w:tcBorders>
            <w:shd w:val="clear" w:color="auto" w:fill="auto"/>
            <w:noWrap/>
            <w:vAlign w:val="bottom"/>
            <w:hideMark/>
          </w:tcPr>
          <w:p w14:paraId="6875FB8B"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F(1,946) = 0.01, p = .915</w:t>
            </w:r>
          </w:p>
        </w:tc>
      </w:tr>
      <w:tr w:rsidR="009D5E31" w:rsidRPr="008F070D" w14:paraId="6948B64B" w14:textId="77777777" w:rsidTr="003E0FF6">
        <w:trPr>
          <w:trHeight w:val="320"/>
        </w:trPr>
        <w:tc>
          <w:tcPr>
            <w:tcW w:w="2694" w:type="dxa"/>
            <w:tcBorders>
              <w:right w:val="single" w:sz="18" w:space="0" w:color="auto"/>
            </w:tcBorders>
            <w:shd w:val="clear" w:color="auto" w:fill="auto"/>
            <w:noWrap/>
            <w:vAlign w:val="bottom"/>
            <w:hideMark/>
          </w:tcPr>
          <w:p w14:paraId="5B8F3D34"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Perceived effectiveness</w:t>
            </w:r>
          </w:p>
        </w:tc>
        <w:tc>
          <w:tcPr>
            <w:tcW w:w="3543" w:type="dxa"/>
            <w:tcBorders>
              <w:left w:val="single" w:sz="18" w:space="0" w:color="auto"/>
            </w:tcBorders>
            <w:shd w:val="clear" w:color="auto" w:fill="auto"/>
            <w:noWrap/>
            <w:vAlign w:val="bottom"/>
            <w:hideMark/>
          </w:tcPr>
          <w:p w14:paraId="212BD42D"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F(1,946) = 17.4, p &lt; .001, η</w:t>
            </w:r>
            <w:r w:rsidRPr="00F9528F">
              <w:rPr>
                <w:rFonts w:ascii="Times New Roman" w:hAnsi="Times New Roman"/>
                <w:color w:val="000000"/>
                <w:sz w:val="20"/>
                <w:szCs w:val="20"/>
                <w:vertAlign w:val="subscript"/>
              </w:rPr>
              <w:t>P</w:t>
            </w:r>
            <w:r w:rsidRPr="008F070D">
              <w:rPr>
                <w:rFonts w:ascii="Times New Roman" w:hAnsi="Times New Roman"/>
                <w:color w:val="000000"/>
                <w:sz w:val="20"/>
                <w:szCs w:val="20"/>
                <w:vertAlign w:val="superscript"/>
              </w:rPr>
              <w:t>2</w:t>
            </w:r>
            <w:r w:rsidRPr="008F070D">
              <w:rPr>
                <w:rFonts w:ascii="Times New Roman" w:hAnsi="Times New Roman"/>
                <w:color w:val="000000"/>
                <w:sz w:val="20"/>
                <w:szCs w:val="20"/>
              </w:rPr>
              <w:t xml:space="preserve">  = 0.018</w:t>
            </w:r>
          </w:p>
        </w:tc>
        <w:tc>
          <w:tcPr>
            <w:tcW w:w="2552" w:type="dxa"/>
            <w:shd w:val="clear" w:color="auto" w:fill="auto"/>
            <w:noWrap/>
            <w:vAlign w:val="bottom"/>
            <w:hideMark/>
          </w:tcPr>
          <w:p w14:paraId="2977857C"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F(1,946) = 0.40, p = .528</w:t>
            </w:r>
          </w:p>
        </w:tc>
      </w:tr>
      <w:tr w:rsidR="009D5E31" w:rsidRPr="008F070D" w14:paraId="3F619CCA" w14:textId="77777777" w:rsidTr="003E0FF6">
        <w:trPr>
          <w:trHeight w:val="320"/>
        </w:trPr>
        <w:tc>
          <w:tcPr>
            <w:tcW w:w="2694" w:type="dxa"/>
            <w:tcBorders>
              <w:right w:val="single" w:sz="18" w:space="0" w:color="auto"/>
            </w:tcBorders>
            <w:shd w:val="clear" w:color="auto" w:fill="auto"/>
            <w:noWrap/>
            <w:vAlign w:val="bottom"/>
            <w:hideMark/>
          </w:tcPr>
          <w:p w14:paraId="258649B1"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Behavioural intentions</w:t>
            </w:r>
          </w:p>
        </w:tc>
        <w:tc>
          <w:tcPr>
            <w:tcW w:w="3543" w:type="dxa"/>
            <w:tcBorders>
              <w:left w:val="single" w:sz="18" w:space="0" w:color="auto"/>
            </w:tcBorders>
            <w:shd w:val="clear" w:color="auto" w:fill="auto"/>
            <w:noWrap/>
            <w:vAlign w:val="bottom"/>
            <w:hideMark/>
          </w:tcPr>
          <w:p w14:paraId="2BC5DB1A"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F(1,946) = 7.80, p = .005, η</w:t>
            </w:r>
            <w:r w:rsidRPr="00F9528F">
              <w:rPr>
                <w:rFonts w:ascii="Times New Roman" w:hAnsi="Times New Roman"/>
                <w:color w:val="000000"/>
                <w:sz w:val="20"/>
                <w:szCs w:val="20"/>
                <w:vertAlign w:val="subscript"/>
              </w:rPr>
              <w:t>P</w:t>
            </w:r>
            <w:r w:rsidRPr="008F070D">
              <w:rPr>
                <w:rFonts w:ascii="Times New Roman" w:hAnsi="Times New Roman"/>
                <w:color w:val="000000"/>
                <w:sz w:val="20"/>
                <w:szCs w:val="20"/>
                <w:vertAlign w:val="superscript"/>
              </w:rPr>
              <w:t>2</w:t>
            </w:r>
            <w:r w:rsidRPr="008F070D">
              <w:rPr>
                <w:rFonts w:ascii="Times New Roman" w:hAnsi="Times New Roman"/>
                <w:color w:val="000000"/>
                <w:sz w:val="20"/>
                <w:szCs w:val="20"/>
              </w:rPr>
              <w:t xml:space="preserve">  = 0.008</w:t>
            </w:r>
          </w:p>
        </w:tc>
        <w:tc>
          <w:tcPr>
            <w:tcW w:w="2552" w:type="dxa"/>
            <w:shd w:val="clear" w:color="auto" w:fill="auto"/>
            <w:noWrap/>
            <w:vAlign w:val="bottom"/>
            <w:hideMark/>
          </w:tcPr>
          <w:p w14:paraId="60733914"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F(1,946) = 0.49, p = .484</w:t>
            </w:r>
          </w:p>
        </w:tc>
      </w:tr>
      <w:tr w:rsidR="009D5E31" w:rsidRPr="008F070D" w14:paraId="0B2B1411" w14:textId="77777777" w:rsidTr="003E0FF6">
        <w:trPr>
          <w:trHeight w:val="800"/>
        </w:trPr>
        <w:tc>
          <w:tcPr>
            <w:tcW w:w="2694" w:type="dxa"/>
            <w:tcBorders>
              <w:bottom w:val="single" w:sz="18" w:space="0" w:color="auto"/>
              <w:right w:val="single" w:sz="18" w:space="0" w:color="auto"/>
            </w:tcBorders>
            <w:shd w:val="clear" w:color="auto" w:fill="auto"/>
            <w:vAlign w:val="bottom"/>
            <w:hideMark/>
          </w:tcPr>
          <w:p w14:paraId="1EC8DA23"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Behavioural intentions - non-parametric aligned ranks transformation ANOVA</w:t>
            </w:r>
          </w:p>
        </w:tc>
        <w:tc>
          <w:tcPr>
            <w:tcW w:w="3543" w:type="dxa"/>
            <w:tcBorders>
              <w:left w:val="single" w:sz="18" w:space="0" w:color="auto"/>
            </w:tcBorders>
            <w:shd w:val="clear" w:color="auto" w:fill="auto"/>
            <w:noWrap/>
            <w:vAlign w:val="bottom"/>
            <w:hideMark/>
          </w:tcPr>
          <w:p w14:paraId="1A6521A5"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F(1,945) = 7.12, p = .008, η</w:t>
            </w:r>
            <w:r w:rsidRPr="00F9528F">
              <w:rPr>
                <w:rFonts w:ascii="Times New Roman" w:hAnsi="Times New Roman"/>
                <w:color w:val="000000"/>
                <w:sz w:val="20"/>
                <w:szCs w:val="20"/>
                <w:vertAlign w:val="subscript"/>
              </w:rPr>
              <w:t>P</w:t>
            </w:r>
            <w:r w:rsidRPr="008F070D">
              <w:rPr>
                <w:rFonts w:ascii="Times New Roman" w:hAnsi="Times New Roman"/>
                <w:color w:val="000000"/>
                <w:sz w:val="20"/>
                <w:szCs w:val="20"/>
              </w:rPr>
              <w:t>2  = 0.007</w:t>
            </w:r>
          </w:p>
        </w:tc>
        <w:tc>
          <w:tcPr>
            <w:tcW w:w="2552" w:type="dxa"/>
            <w:shd w:val="clear" w:color="auto" w:fill="auto"/>
            <w:noWrap/>
            <w:vAlign w:val="bottom"/>
            <w:hideMark/>
          </w:tcPr>
          <w:p w14:paraId="34C881DF" w14:textId="77777777" w:rsidR="009D5E31" w:rsidRPr="008F070D" w:rsidRDefault="009D5E31" w:rsidP="003E0FF6">
            <w:pPr>
              <w:rPr>
                <w:rFonts w:ascii="Times New Roman" w:hAnsi="Times New Roman"/>
                <w:color w:val="000000"/>
                <w:sz w:val="20"/>
                <w:szCs w:val="20"/>
              </w:rPr>
            </w:pPr>
            <w:r w:rsidRPr="008F070D">
              <w:rPr>
                <w:rFonts w:ascii="Times New Roman" w:hAnsi="Times New Roman"/>
                <w:color w:val="000000"/>
                <w:sz w:val="20"/>
                <w:szCs w:val="20"/>
              </w:rPr>
              <w:t>F(1,945) = 0.42, p = .518</w:t>
            </w:r>
          </w:p>
        </w:tc>
      </w:tr>
    </w:tbl>
    <w:p w14:paraId="59F725AE" w14:textId="77777777" w:rsidR="009D5E31" w:rsidRDefault="009D5E31" w:rsidP="007C3BBA">
      <w:pPr>
        <w:spacing w:line="480" w:lineRule="auto"/>
        <w:rPr>
          <w:rFonts w:ascii="Times New Roman" w:hAnsi="Times New Roman"/>
        </w:rPr>
      </w:pPr>
    </w:p>
    <w:p w14:paraId="1C514502" w14:textId="77777777" w:rsidR="00DA7ECD" w:rsidRDefault="00DA7ECD" w:rsidP="00C5758C">
      <w:pPr>
        <w:pStyle w:val="Caption"/>
        <w:keepNext/>
        <w:rPr>
          <w:rFonts w:ascii="Times New Roman" w:hAnsi="Times New Roman"/>
          <w:b/>
          <w:i w:val="0"/>
          <w:sz w:val="24"/>
          <w:szCs w:val="24"/>
        </w:rPr>
      </w:pPr>
    </w:p>
    <w:p w14:paraId="12D58284" w14:textId="1757BF44" w:rsidR="00C5758C" w:rsidRDefault="009D5E31" w:rsidP="00C5758C">
      <w:pPr>
        <w:pStyle w:val="Caption"/>
        <w:keepNext/>
      </w:pPr>
      <w:r w:rsidRPr="00FB306C">
        <w:rPr>
          <w:rFonts w:ascii="Times New Roman" w:hAnsi="Times New Roman"/>
          <w:b/>
          <w:i w:val="0"/>
          <w:sz w:val="24"/>
          <w:szCs w:val="24"/>
        </w:rPr>
        <w:t>Table 4: Post hoc results for main effects of quality of evidence level and wording (Experiment 1)</w:t>
      </w:r>
    </w:p>
    <w:tbl>
      <w:tblPr>
        <w:tblW w:w="96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80"/>
        <w:gridCol w:w="730"/>
        <w:gridCol w:w="1134"/>
        <w:gridCol w:w="709"/>
        <w:gridCol w:w="1276"/>
        <w:gridCol w:w="1134"/>
        <w:gridCol w:w="1275"/>
        <w:gridCol w:w="851"/>
        <w:gridCol w:w="853"/>
      </w:tblGrid>
      <w:tr w:rsidR="00F303C8" w:rsidRPr="001973DA" w14:paraId="09320937" w14:textId="77777777" w:rsidTr="00F3186D">
        <w:trPr>
          <w:trHeight w:val="290"/>
        </w:trPr>
        <w:tc>
          <w:tcPr>
            <w:tcW w:w="1680" w:type="dxa"/>
            <w:tcBorders>
              <w:top w:val="single" w:sz="18" w:space="0" w:color="auto"/>
              <w:left w:val="single" w:sz="18" w:space="0" w:color="auto"/>
              <w:bottom w:val="nil"/>
              <w:right w:val="single" w:sz="18" w:space="0" w:color="auto"/>
            </w:tcBorders>
            <w:shd w:val="clear" w:color="auto" w:fill="auto"/>
            <w:noWrap/>
            <w:vAlign w:val="bottom"/>
            <w:hideMark/>
          </w:tcPr>
          <w:p w14:paraId="6E1D775B" w14:textId="77777777" w:rsidR="001973DA" w:rsidRPr="001973DA" w:rsidRDefault="001973DA" w:rsidP="001973DA">
            <w:pPr>
              <w:rPr>
                <w:rFonts w:ascii="Times New Roman" w:hAnsi="Times New Roman"/>
              </w:rPr>
            </w:pPr>
          </w:p>
        </w:tc>
        <w:tc>
          <w:tcPr>
            <w:tcW w:w="1864" w:type="dxa"/>
            <w:gridSpan w:val="2"/>
            <w:tcBorders>
              <w:top w:val="single" w:sz="18" w:space="0" w:color="auto"/>
              <w:left w:val="single" w:sz="18" w:space="0" w:color="auto"/>
              <w:bottom w:val="nil"/>
            </w:tcBorders>
            <w:shd w:val="clear" w:color="auto" w:fill="auto"/>
            <w:noWrap/>
            <w:vAlign w:val="bottom"/>
            <w:hideMark/>
          </w:tcPr>
          <w:p w14:paraId="7B78D75D"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 xml:space="preserve">Low </w:t>
            </w:r>
            <w:proofErr w:type="spellStart"/>
            <w:r w:rsidRPr="001973DA">
              <w:rPr>
                <w:rFonts w:ascii="Times New Roman" w:hAnsi="Times New Roman"/>
                <w:color w:val="000000"/>
                <w:sz w:val="20"/>
                <w:szCs w:val="20"/>
              </w:rPr>
              <w:t>QoE</w:t>
            </w:r>
            <w:proofErr w:type="spellEnd"/>
          </w:p>
        </w:tc>
        <w:tc>
          <w:tcPr>
            <w:tcW w:w="1985" w:type="dxa"/>
            <w:gridSpan w:val="2"/>
            <w:tcBorders>
              <w:top w:val="single" w:sz="18" w:space="0" w:color="auto"/>
              <w:bottom w:val="nil"/>
              <w:right w:val="single" w:sz="18" w:space="0" w:color="auto"/>
            </w:tcBorders>
            <w:shd w:val="clear" w:color="auto" w:fill="auto"/>
            <w:noWrap/>
            <w:vAlign w:val="bottom"/>
            <w:hideMark/>
          </w:tcPr>
          <w:p w14:paraId="65EB0DFC"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 xml:space="preserve">High </w:t>
            </w:r>
            <w:proofErr w:type="spellStart"/>
            <w:r w:rsidRPr="001973DA">
              <w:rPr>
                <w:rFonts w:ascii="Times New Roman" w:hAnsi="Times New Roman"/>
                <w:color w:val="000000"/>
                <w:sz w:val="20"/>
                <w:szCs w:val="20"/>
              </w:rPr>
              <w:t>QoE</w:t>
            </w:r>
            <w:proofErr w:type="spellEnd"/>
          </w:p>
        </w:tc>
        <w:tc>
          <w:tcPr>
            <w:tcW w:w="2409" w:type="dxa"/>
            <w:gridSpan w:val="2"/>
            <w:tcBorders>
              <w:top w:val="single" w:sz="18" w:space="0" w:color="auto"/>
              <w:left w:val="single" w:sz="18" w:space="0" w:color="auto"/>
              <w:bottom w:val="nil"/>
            </w:tcBorders>
            <w:shd w:val="clear" w:color="auto" w:fill="auto"/>
            <w:noWrap/>
            <w:vAlign w:val="bottom"/>
            <w:hideMark/>
          </w:tcPr>
          <w:p w14:paraId="0584587D" w14:textId="77777777" w:rsidR="001973DA" w:rsidRPr="001973DA" w:rsidRDefault="001973DA" w:rsidP="001973DA">
            <w:pPr>
              <w:jc w:val="center"/>
              <w:rPr>
                <w:rFonts w:ascii="Times New Roman" w:hAnsi="Times New Roman"/>
                <w:color w:val="000000"/>
                <w:sz w:val="20"/>
                <w:szCs w:val="20"/>
              </w:rPr>
            </w:pPr>
          </w:p>
        </w:tc>
        <w:tc>
          <w:tcPr>
            <w:tcW w:w="851" w:type="dxa"/>
            <w:tcBorders>
              <w:top w:val="single" w:sz="18" w:space="0" w:color="auto"/>
              <w:bottom w:val="nil"/>
            </w:tcBorders>
            <w:shd w:val="clear" w:color="auto" w:fill="auto"/>
            <w:noWrap/>
            <w:vAlign w:val="bottom"/>
            <w:hideMark/>
          </w:tcPr>
          <w:p w14:paraId="41436204" w14:textId="77777777" w:rsidR="001973DA" w:rsidRPr="001973DA" w:rsidRDefault="001973DA" w:rsidP="001973DA">
            <w:pPr>
              <w:jc w:val="center"/>
              <w:rPr>
                <w:rFonts w:ascii="Times New Roman" w:hAnsi="Times New Roman"/>
                <w:sz w:val="20"/>
                <w:szCs w:val="20"/>
              </w:rPr>
            </w:pPr>
          </w:p>
        </w:tc>
        <w:tc>
          <w:tcPr>
            <w:tcW w:w="853" w:type="dxa"/>
            <w:tcBorders>
              <w:top w:val="single" w:sz="18" w:space="0" w:color="auto"/>
              <w:bottom w:val="nil"/>
              <w:right w:val="single" w:sz="18" w:space="0" w:color="auto"/>
            </w:tcBorders>
            <w:shd w:val="clear" w:color="auto" w:fill="auto"/>
            <w:noWrap/>
            <w:vAlign w:val="bottom"/>
            <w:hideMark/>
          </w:tcPr>
          <w:p w14:paraId="51140C8B" w14:textId="77777777" w:rsidR="001973DA" w:rsidRPr="001973DA" w:rsidRDefault="001973DA" w:rsidP="001973DA">
            <w:pPr>
              <w:rPr>
                <w:rFonts w:ascii="Times New Roman" w:hAnsi="Times New Roman"/>
                <w:sz w:val="20"/>
                <w:szCs w:val="20"/>
              </w:rPr>
            </w:pPr>
          </w:p>
        </w:tc>
      </w:tr>
      <w:tr w:rsidR="00F303C8" w:rsidRPr="001973DA" w14:paraId="3681F614" w14:textId="77777777" w:rsidTr="00F3186D">
        <w:trPr>
          <w:trHeight w:val="530"/>
        </w:trPr>
        <w:tc>
          <w:tcPr>
            <w:tcW w:w="1680" w:type="dxa"/>
            <w:tcBorders>
              <w:top w:val="nil"/>
              <w:left w:val="single" w:sz="18" w:space="0" w:color="auto"/>
              <w:bottom w:val="single" w:sz="18" w:space="0" w:color="auto"/>
              <w:right w:val="single" w:sz="18" w:space="0" w:color="auto"/>
            </w:tcBorders>
            <w:shd w:val="clear" w:color="auto" w:fill="auto"/>
            <w:noWrap/>
            <w:vAlign w:val="bottom"/>
            <w:hideMark/>
          </w:tcPr>
          <w:p w14:paraId="5F9838DA"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 </w:t>
            </w:r>
          </w:p>
        </w:tc>
        <w:tc>
          <w:tcPr>
            <w:tcW w:w="730" w:type="dxa"/>
            <w:tcBorders>
              <w:top w:val="nil"/>
              <w:left w:val="single" w:sz="18" w:space="0" w:color="auto"/>
              <w:bottom w:val="single" w:sz="18" w:space="0" w:color="auto"/>
            </w:tcBorders>
            <w:shd w:val="clear" w:color="auto" w:fill="auto"/>
            <w:noWrap/>
            <w:vAlign w:val="bottom"/>
            <w:hideMark/>
          </w:tcPr>
          <w:p w14:paraId="6DC9F409"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Mean</w:t>
            </w:r>
          </w:p>
        </w:tc>
        <w:tc>
          <w:tcPr>
            <w:tcW w:w="1134" w:type="dxa"/>
            <w:tcBorders>
              <w:top w:val="nil"/>
              <w:bottom w:val="single" w:sz="18" w:space="0" w:color="auto"/>
            </w:tcBorders>
            <w:shd w:val="clear" w:color="auto" w:fill="auto"/>
            <w:noWrap/>
            <w:vAlign w:val="bottom"/>
            <w:hideMark/>
          </w:tcPr>
          <w:p w14:paraId="77A3EC3C"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95% CI</w:t>
            </w:r>
          </w:p>
        </w:tc>
        <w:tc>
          <w:tcPr>
            <w:tcW w:w="709" w:type="dxa"/>
            <w:tcBorders>
              <w:top w:val="nil"/>
              <w:bottom w:val="single" w:sz="18" w:space="0" w:color="auto"/>
            </w:tcBorders>
            <w:shd w:val="clear" w:color="auto" w:fill="auto"/>
            <w:noWrap/>
            <w:vAlign w:val="bottom"/>
            <w:hideMark/>
          </w:tcPr>
          <w:p w14:paraId="66AABA72"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Mean</w:t>
            </w:r>
          </w:p>
        </w:tc>
        <w:tc>
          <w:tcPr>
            <w:tcW w:w="1276" w:type="dxa"/>
            <w:tcBorders>
              <w:top w:val="nil"/>
              <w:bottom w:val="single" w:sz="18" w:space="0" w:color="auto"/>
              <w:right w:val="single" w:sz="18" w:space="0" w:color="auto"/>
            </w:tcBorders>
            <w:shd w:val="clear" w:color="auto" w:fill="auto"/>
            <w:noWrap/>
            <w:vAlign w:val="bottom"/>
            <w:hideMark/>
          </w:tcPr>
          <w:p w14:paraId="3EBFA2F9"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95% CI</w:t>
            </w:r>
          </w:p>
        </w:tc>
        <w:tc>
          <w:tcPr>
            <w:tcW w:w="1134" w:type="dxa"/>
            <w:tcBorders>
              <w:top w:val="nil"/>
              <w:left w:val="single" w:sz="18" w:space="0" w:color="auto"/>
              <w:bottom w:val="single" w:sz="18" w:space="0" w:color="auto"/>
            </w:tcBorders>
            <w:shd w:val="clear" w:color="auto" w:fill="auto"/>
            <w:vAlign w:val="bottom"/>
            <w:hideMark/>
          </w:tcPr>
          <w:p w14:paraId="58DBF216"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Mean difference</w:t>
            </w:r>
          </w:p>
        </w:tc>
        <w:tc>
          <w:tcPr>
            <w:tcW w:w="1275" w:type="dxa"/>
            <w:tcBorders>
              <w:top w:val="nil"/>
              <w:bottom w:val="single" w:sz="18" w:space="0" w:color="auto"/>
            </w:tcBorders>
            <w:shd w:val="clear" w:color="auto" w:fill="auto"/>
            <w:noWrap/>
            <w:vAlign w:val="bottom"/>
            <w:hideMark/>
          </w:tcPr>
          <w:p w14:paraId="08E328B6"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95% CI</w:t>
            </w:r>
          </w:p>
        </w:tc>
        <w:tc>
          <w:tcPr>
            <w:tcW w:w="851" w:type="dxa"/>
            <w:tcBorders>
              <w:top w:val="nil"/>
              <w:bottom w:val="single" w:sz="18" w:space="0" w:color="auto"/>
            </w:tcBorders>
            <w:shd w:val="clear" w:color="auto" w:fill="auto"/>
            <w:noWrap/>
            <w:vAlign w:val="bottom"/>
            <w:hideMark/>
          </w:tcPr>
          <w:p w14:paraId="0D9D851E"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p</w:t>
            </w:r>
          </w:p>
        </w:tc>
        <w:tc>
          <w:tcPr>
            <w:tcW w:w="853" w:type="dxa"/>
            <w:tcBorders>
              <w:top w:val="nil"/>
              <w:bottom w:val="single" w:sz="18" w:space="0" w:color="auto"/>
              <w:right w:val="single" w:sz="18" w:space="0" w:color="auto"/>
            </w:tcBorders>
            <w:shd w:val="clear" w:color="auto" w:fill="auto"/>
            <w:noWrap/>
            <w:vAlign w:val="bottom"/>
            <w:hideMark/>
          </w:tcPr>
          <w:p w14:paraId="6F088FCF"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Cohen's d</w:t>
            </w:r>
          </w:p>
        </w:tc>
      </w:tr>
      <w:tr w:rsidR="00F303C8" w:rsidRPr="001973DA" w14:paraId="7C44CB4B" w14:textId="77777777" w:rsidTr="00F3186D">
        <w:trPr>
          <w:trHeight w:val="290"/>
        </w:trPr>
        <w:tc>
          <w:tcPr>
            <w:tcW w:w="1680" w:type="dxa"/>
            <w:tcBorders>
              <w:top w:val="single" w:sz="18" w:space="0" w:color="auto"/>
              <w:left w:val="single" w:sz="18" w:space="0" w:color="auto"/>
              <w:right w:val="single" w:sz="18" w:space="0" w:color="auto"/>
            </w:tcBorders>
            <w:shd w:val="clear" w:color="auto" w:fill="auto"/>
            <w:noWrap/>
            <w:vAlign w:val="bottom"/>
            <w:hideMark/>
          </w:tcPr>
          <w:p w14:paraId="32CA3D1A"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Perceived trustworthiness</w:t>
            </w:r>
          </w:p>
        </w:tc>
        <w:tc>
          <w:tcPr>
            <w:tcW w:w="730" w:type="dxa"/>
            <w:tcBorders>
              <w:top w:val="single" w:sz="18" w:space="0" w:color="auto"/>
              <w:left w:val="single" w:sz="18" w:space="0" w:color="auto"/>
            </w:tcBorders>
            <w:shd w:val="clear" w:color="auto" w:fill="auto"/>
            <w:noWrap/>
            <w:vAlign w:val="bottom"/>
            <w:hideMark/>
          </w:tcPr>
          <w:p w14:paraId="1396CE23"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4.11</w:t>
            </w:r>
          </w:p>
        </w:tc>
        <w:tc>
          <w:tcPr>
            <w:tcW w:w="1134" w:type="dxa"/>
            <w:tcBorders>
              <w:top w:val="single" w:sz="18" w:space="0" w:color="auto"/>
            </w:tcBorders>
            <w:shd w:val="clear" w:color="auto" w:fill="auto"/>
            <w:noWrap/>
            <w:vAlign w:val="bottom"/>
            <w:hideMark/>
          </w:tcPr>
          <w:p w14:paraId="1B6ED754"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[3.96,4.26]</w:t>
            </w:r>
          </w:p>
        </w:tc>
        <w:tc>
          <w:tcPr>
            <w:tcW w:w="709" w:type="dxa"/>
            <w:tcBorders>
              <w:top w:val="single" w:sz="18" w:space="0" w:color="auto"/>
            </w:tcBorders>
            <w:shd w:val="clear" w:color="auto" w:fill="auto"/>
            <w:noWrap/>
            <w:vAlign w:val="bottom"/>
            <w:hideMark/>
          </w:tcPr>
          <w:p w14:paraId="0647775A"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4.74</w:t>
            </w:r>
          </w:p>
        </w:tc>
        <w:tc>
          <w:tcPr>
            <w:tcW w:w="1276" w:type="dxa"/>
            <w:tcBorders>
              <w:top w:val="single" w:sz="18" w:space="0" w:color="auto"/>
              <w:right w:val="single" w:sz="18" w:space="0" w:color="auto"/>
            </w:tcBorders>
            <w:shd w:val="clear" w:color="auto" w:fill="auto"/>
            <w:noWrap/>
            <w:vAlign w:val="bottom"/>
            <w:hideMark/>
          </w:tcPr>
          <w:p w14:paraId="7EBA7642"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[4.60,4.88]</w:t>
            </w:r>
          </w:p>
        </w:tc>
        <w:tc>
          <w:tcPr>
            <w:tcW w:w="1134" w:type="dxa"/>
            <w:tcBorders>
              <w:top w:val="single" w:sz="18" w:space="0" w:color="auto"/>
              <w:left w:val="single" w:sz="18" w:space="0" w:color="auto"/>
            </w:tcBorders>
            <w:shd w:val="clear" w:color="auto" w:fill="auto"/>
            <w:noWrap/>
            <w:vAlign w:val="bottom"/>
            <w:hideMark/>
          </w:tcPr>
          <w:p w14:paraId="5257B584"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0.62</w:t>
            </w:r>
          </w:p>
        </w:tc>
        <w:tc>
          <w:tcPr>
            <w:tcW w:w="1275" w:type="dxa"/>
            <w:tcBorders>
              <w:top w:val="single" w:sz="18" w:space="0" w:color="auto"/>
            </w:tcBorders>
            <w:shd w:val="clear" w:color="auto" w:fill="auto"/>
            <w:noWrap/>
            <w:vAlign w:val="bottom"/>
            <w:hideMark/>
          </w:tcPr>
          <w:p w14:paraId="09DB6664"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[0.42,0.83]</w:t>
            </w:r>
          </w:p>
        </w:tc>
        <w:tc>
          <w:tcPr>
            <w:tcW w:w="851" w:type="dxa"/>
            <w:tcBorders>
              <w:top w:val="single" w:sz="18" w:space="0" w:color="auto"/>
            </w:tcBorders>
            <w:shd w:val="clear" w:color="auto" w:fill="auto"/>
            <w:noWrap/>
            <w:vAlign w:val="bottom"/>
            <w:hideMark/>
          </w:tcPr>
          <w:p w14:paraId="40F3D136"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&lt; .001</w:t>
            </w:r>
          </w:p>
        </w:tc>
        <w:tc>
          <w:tcPr>
            <w:tcW w:w="853" w:type="dxa"/>
            <w:tcBorders>
              <w:top w:val="single" w:sz="18" w:space="0" w:color="auto"/>
              <w:right w:val="single" w:sz="18" w:space="0" w:color="auto"/>
            </w:tcBorders>
            <w:shd w:val="clear" w:color="auto" w:fill="auto"/>
            <w:noWrap/>
            <w:vAlign w:val="bottom"/>
            <w:hideMark/>
          </w:tcPr>
          <w:p w14:paraId="64ADD803"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0.39</w:t>
            </w:r>
          </w:p>
        </w:tc>
      </w:tr>
      <w:tr w:rsidR="00F303C8" w:rsidRPr="001973DA" w14:paraId="128F1AB3" w14:textId="77777777" w:rsidTr="00F3186D">
        <w:trPr>
          <w:trHeight w:val="290"/>
        </w:trPr>
        <w:tc>
          <w:tcPr>
            <w:tcW w:w="1680" w:type="dxa"/>
            <w:tcBorders>
              <w:left w:val="single" w:sz="18" w:space="0" w:color="auto"/>
              <w:bottom w:val="single" w:sz="4" w:space="0" w:color="auto"/>
              <w:right w:val="single" w:sz="18" w:space="0" w:color="auto"/>
            </w:tcBorders>
            <w:shd w:val="clear" w:color="auto" w:fill="auto"/>
            <w:noWrap/>
            <w:vAlign w:val="bottom"/>
            <w:hideMark/>
          </w:tcPr>
          <w:p w14:paraId="76380523"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Perceived effectiveness</w:t>
            </w:r>
          </w:p>
        </w:tc>
        <w:tc>
          <w:tcPr>
            <w:tcW w:w="730" w:type="dxa"/>
            <w:tcBorders>
              <w:left w:val="single" w:sz="18" w:space="0" w:color="auto"/>
              <w:bottom w:val="single" w:sz="4" w:space="0" w:color="auto"/>
            </w:tcBorders>
            <w:shd w:val="clear" w:color="auto" w:fill="auto"/>
            <w:noWrap/>
            <w:vAlign w:val="bottom"/>
            <w:hideMark/>
          </w:tcPr>
          <w:p w14:paraId="5E2A0A85"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4.16</w:t>
            </w:r>
          </w:p>
        </w:tc>
        <w:tc>
          <w:tcPr>
            <w:tcW w:w="1134" w:type="dxa"/>
            <w:tcBorders>
              <w:bottom w:val="single" w:sz="4" w:space="0" w:color="auto"/>
            </w:tcBorders>
            <w:shd w:val="clear" w:color="auto" w:fill="auto"/>
            <w:noWrap/>
            <w:vAlign w:val="bottom"/>
            <w:hideMark/>
          </w:tcPr>
          <w:p w14:paraId="0DE2856F"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[4.00,4.33]</w:t>
            </w:r>
          </w:p>
        </w:tc>
        <w:tc>
          <w:tcPr>
            <w:tcW w:w="709" w:type="dxa"/>
            <w:tcBorders>
              <w:bottom w:val="single" w:sz="4" w:space="0" w:color="auto"/>
            </w:tcBorders>
            <w:shd w:val="clear" w:color="auto" w:fill="auto"/>
            <w:noWrap/>
            <w:vAlign w:val="bottom"/>
            <w:hideMark/>
          </w:tcPr>
          <w:p w14:paraId="4625A321"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4.64</w:t>
            </w:r>
          </w:p>
        </w:tc>
        <w:tc>
          <w:tcPr>
            <w:tcW w:w="1276" w:type="dxa"/>
            <w:tcBorders>
              <w:bottom w:val="single" w:sz="4" w:space="0" w:color="auto"/>
              <w:right w:val="single" w:sz="18" w:space="0" w:color="auto"/>
            </w:tcBorders>
            <w:shd w:val="clear" w:color="auto" w:fill="auto"/>
            <w:noWrap/>
            <w:vAlign w:val="bottom"/>
            <w:hideMark/>
          </w:tcPr>
          <w:p w14:paraId="2CEFFE7C"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[4.49,4.80]</w:t>
            </w:r>
          </w:p>
        </w:tc>
        <w:tc>
          <w:tcPr>
            <w:tcW w:w="1134" w:type="dxa"/>
            <w:tcBorders>
              <w:left w:val="single" w:sz="18" w:space="0" w:color="auto"/>
              <w:bottom w:val="single" w:sz="4" w:space="0" w:color="auto"/>
            </w:tcBorders>
            <w:shd w:val="clear" w:color="auto" w:fill="auto"/>
            <w:noWrap/>
            <w:vAlign w:val="bottom"/>
            <w:hideMark/>
          </w:tcPr>
          <w:p w14:paraId="0E029831"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0.48</w:t>
            </w:r>
          </w:p>
        </w:tc>
        <w:tc>
          <w:tcPr>
            <w:tcW w:w="1275" w:type="dxa"/>
            <w:tcBorders>
              <w:bottom w:val="single" w:sz="4" w:space="0" w:color="auto"/>
            </w:tcBorders>
            <w:shd w:val="clear" w:color="auto" w:fill="auto"/>
            <w:noWrap/>
            <w:vAlign w:val="bottom"/>
            <w:hideMark/>
          </w:tcPr>
          <w:p w14:paraId="14954BAC"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[0.26,0.71]</w:t>
            </w:r>
          </w:p>
        </w:tc>
        <w:tc>
          <w:tcPr>
            <w:tcW w:w="851" w:type="dxa"/>
            <w:tcBorders>
              <w:bottom w:val="single" w:sz="4" w:space="0" w:color="auto"/>
            </w:tcBorders>
            <w:shd w:val="clear" w:color="auto" w:fill="auto"/>
            <w:noWrap/>
            <w:vAlign w:val="bottom"/>
            <w:hideMark/>
          </w:tcPr>
          <w:p w14:paraId="3E84BDFB"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&lt; .001</w:t>
            </w:r>
          </w:p>
        </w:tc>
        <w:tc>
          <w:tcPr>
            <w:tcW w:w="853" w:type="dxa"/>
            <w:tcBorders>
              <w:bottom w:val="single" w:sz="4" w:space="0" w:color="auto"/>
              <w:right w:val="single" w:sz="18" w:space="0" w:color="auto"/>
            </w:tcBorders>
            <w:shd w:val="clear" w:color="auto" w:fill="auto"/>
            <w:noWrap/>
            <w:vAlign w:val="bottom"/>
            <w:hideMark/>
          </w:tcPr>
          <w:p w14:paraId="05791E61"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0.27</w:t>
            </w:r>
          </w:p>
        </w:tc>
      </w:tr>
      <w:tr w:rsidR="00F303C8" w:rsidRPr="001973DA" w14:paraId="60DF19AB" w14:textId="77777777" w:rsidTr="00F3186D">
        <w:trPr>
          <w:trHeight w:val="290"/>
        </w:trPr>
        <w:tc>
          <w:tcPr>
            <w:tcW w:w="1680" w:type="dxa"/>
            <w:tcBorders>
              <w:left w:val="single" w:sz="18" w:space="0" w:color="auto"/>
              <w:bottom w:val="single" w:sz="18" w:space="0" w:color="auto"/>
              <w:right w:val="single" w:sz="18" w:space="0" w:color="auto"/>
            </w:tcBorders>
            <w:shd w:val="clear" w:color="auto" w:fill="auto"/>
            <w:noWrap/>
            <w:vAlign w:val="bottom"/>
            <w:hideMark/>
          </w:tcPr>
          <w:p w14:paraId="170005FE"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Behavioural intentions</w:t>
            </w:r>
          </w:p>
        </w:tc>
        <w:tc>
          <w:tcPr>
            <w:tcW w:w="730" w:type="dxa"/>
            <w:tcBorders>
              <w:left w:val="single" w:sz="18" w:space="0" w:color="auto"/>
              <w:bottom w:val="single" w:sz="18" w:space="0" w:color="auto"/>
            </w:tcBorders>
            <w:shd w:val="clear" w:color="auto" w:fill="auto"/>
            <w:noWrap/>
            <w:vAlign w:val="bottom"/>
            <w:hideMark/>
          </w:tcPr>
          <w:p w14:paraId="76F2A741"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3.47</w:t>
            </w:r>
          </w:p>
        </w:tc>
        <w:tc>
          <w:tcPr>
            <w:tcW w:w="1134" w:type="dxa"/>
            <w:tcBorders>
              <w:bottom w:val="single" w:sz="18" w:space="0" w:color="auto"/>
            </w:tcBorders>
            <w:shd w:val="clear" w:color="auto" w:fill="auto"/>
            <w:noWrap/>
            <w:vAlign w:val="bottom"/>
            <w:hideMark/>
          </w:tcPr>
          <w:p w14:paraId="56075B7A"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[3.27,3.66]</w:t>
            </w:r>
          </w:p>
        </w:tc>
        <w:tc>
          <w:tcPr>
            <w:tcW w:w="709" w:type="dxa"/>
            <w:tcBorders>
              <w:bottom w:val="single" w:sz="18" w:space="0" w:color="auto"/>
            </w:tcBorders>
            <w:shd w:val="clear" w:color="auto" w:fill="auto"/>
            <w:noWrap/>
            <w:vAlign w:val="bottom"/>
            <w:hideMark/>
          </w:tcPr>
          <w:p w14:paraId="734D42B1"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3.85</w:t>
            </w:r>
          </w:p>
        </w:tc>
        <w:tc>
          <w:tcPr>
            <w:tcW w:w="1276" w:type="dxa"/>
            <w:tcBorders>
              <w:bottom w:val="single" w:sz="18" w:space="0" w:color="auto"/>
              <w:right w:val="single" w:sz="18" w:space="0" w:color="auto"/>
            </w:tcBorders>
            <w:shd w:val="clear" w:color="auto" w:fill="auto"/>
            <w:noWrap/>
            <w:vAlign w:val="bottom"/>
            <w:hideMark/>
          </w:tcPr>
          <w:p w14:paraId="7604654D"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[3.66,4.04]</w:t>
            </w:r>
          </w:p>
        </w:tc>
        <w:tc>
          <w:tcPr>
            <w:tcW w:w="1134" w:type="dxa"/>
            <w:tcBorders>
              <w:left w:val="single" w:sz="18" w:space="0" w:color="auto"/>
              <w:bottom w:val="single" w:sz="18" w:space="0" w:color="auto"/>
            </w:tcBorders>
            <w:shd w:val="clear" w:color="auto" w:fill="auto"/>
            <w:noWrap/>
            <w:vAlign w:val="bottom"/>
            <w:hideMark/>
          </w:tcPr>
          <w:p w14:paraId="21AF357C"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0.36</w:t>
            </w:r>
          </w:p>
        </w:tc>
        <w:tc>
          <w:tcPr>
            <w:tcW w:w="1275" w:type="dxa"/>
            <w:tcBorders>
              <w:bottom w:val="single" w:sz="18" w:space="0" w:color="auto"/>
            </w:tcBorders>
            <w:shd w:val="clear" w:color="auto" w:fill="auto"/>
            <w:noWrap/>
            <w:vAlign w:val="bottom"/>
            <w:hideMark/>
          </w:tcPr>
          <w:p w14:paraId="59A388EC"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[0.12,0.66]</w:t>
            </w:r>
          </w:p>
        </w:tc>
        <w:tc>
          <w:tcPr>
            <w:tcW w:w="851" w:type="dxa"/>
            <w:tcBorders>
              <w:bottom w:val="single" w:sz="18" w:space="0" w:color="auto"/>
            </w:tcBorders>
            <w:shd w:val="clear" w:color="auto" w:fill="auto"/>
            <w:noWrap/>
            <w:vAlign w:val="bottom"/>
            <w:hideMark/>
          </w:tcPr>
          <w:p w14:paraId="71C8AC62"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0.005</w:t>
            </w:r>
          </w:p>
        </w:tc>
        <w:tc>
          <w:tcPr>
            <w:tcW w:w="853" w:type="dxa"/>
            <w:tcBorders>
              <w:bottom w:val="single" w:sz="18" w:space="0" w:color="auto"/>
              <w:right w:val="single" w:sz="18" w:space="0" w:color="auto"/>
            </w:tcBorders>
            <w:shd w:val="clear" w:color="auto" w:fill="auto"/>
            <w:noWrap/>
            <w:vAlign w:val="bottom"/>
            <w:hideMark/>
          </w:tcPr>
          <w:p w14:paraId="3A8A25F6"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0.18</w:t>
            </w:r>
          </w:p>
        </w:tc>
      </w:tr>
      <w:tr w:rsidR="00F303C8" w:rsidRPr="001973DA" w14:paraId="5F45C9AB" w14:textId="77777777" w:rsidTr="00F3186D">
        <w:trPr>
          <w:trHeight w:val="290"/>
        </w:trPr>
        <w:tc>
          <w:tcPr>
            <w:tcW w:w="1680" w:type="dxa"/>
            <w:tcBorders>
              <w:top w:val="single" w:sz="18" w:space="0" w:color="auto"/>
              <w:left w:val="single" w:sz="18" w:space="0" w:color="auto"/>
              <w:bottom w:val="nil"/>
              <w:right w:val="single" w:sz="18" w:space="0" w:color="auto"/>
            </w:tcBorders>
            <w:shd w:val="clear" w:color="auto" w:fill="auto"/>
            <w:noWrap/>
            <w:vAlign w:val="bottom"/>
            <w:hideMark/>
          </w:tcPr>
          <w:p w14:paraId="69E8A403" w14:textId="77777777" w:rsidR="001973DA" w:rsidRPr="001973DA" w:rsidRDefault="001973DA" w:rsidP="001973DA">
            <w:pPr>
              <w:jc w:val="center"/>
              <w:rPr>
                <w:rFonts w:ascii="Times New Roman" w:hAnsi="Times New Roman"/>
                <w:color w:val="000000"/>
                <w:sz w:val="20"/>
                <w:szCs w:val="20"/>
              </w:rPr>
            </w:pPr>
          </w:p>
        </w:tc>
        <w:tc>
          <w:tcPr>
            <w:tcW w:w="1864" w:type="dxa"/>
            <w:gridSpan w:val="2"/>
            <w:tcBorders>
              <w:top w:val="single" w:sz="18" w:space="0" w:color="auto"/>
              <w:left w:val="single" w:sz="18" w:space="0" w:color="auto"/>
              <w:bottom w:val="nil"/>
            </w:tcBorders>
            <w:shd w:val="clear" w:color="auto" w:fill="auto"/>
            <w:noWrap/>
            <w:vAlign w:val="bottom"/>
            <w:hideMark/>
          </w:tcPr>
          <w:p w14:paraId="1CE900B3"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Quality of evidence</w:t>
            </w:r>
          </w:p>
        </w:tc>
        <w:tc>
          <w:tcPr>
            <w:tcW w:w="1985" w:type="dxa"/>
            <w:gridSpan w:val="2"/>
            <w:tcBorders>
              <w:top w:val="single" w:sz="18" w:space="0" w:color="auto"/>
              <w:bottom w:val="nil"/>
              <w:right w:val="single" w:sz="18" w:space="0" w:color="auto"/>
            </w:tcBorders>
            <w:shd w:val="clear" w:color="auto" w:fill="auto"/>
            <w:noWrap/>
            <w:vAlign w:val="bottom"/>
            <w:hideMark/>
          </w:tcPr>
          <w:p w14:paraId="31CCA54D"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Certainty of evidence</w:t>
            </w:r>
          </w:p>
        </w:tc>
        <w:tc>
          <w:tcPr>
            <w:tcW w:w="2409" w:type="dxa"/>
            <w:gridSpan w:val="2"/>
            <w:tcBorders>
              <w:top w:val="single" w:sz="18" w:space="0" w:color="auto"/>
              <w:left w:val="single" w:sz="18" w:space="0" w:color="auto"/>
              <w:bottom w:val="nil"/>
            </w:tcBorders>
            <w:shd w:val="clear" w:color="auto" w:fill="auto"/>
            <w:noWrap/>
            <w:vAlign w:val="bottom"/>
            <w:hideMark/>
          </w:tcPr>
          <w:p w14:paraId="12EE3F63" w14:textId="77777777" w:rsidR="001973DA" w:rsidRPr="001973DA" w:rsidRDefault="001973DA" w:rsidP="001973DA">
            <w:pPr>
              <w:jc w:val="center"/>
              <w:rPr>
                <w:rFonts w:ascii="Times New Roman" w:hAnsi="Times New Roman"/>
                <w:color w:val="000000"/>
                <w:sz w:val="20"/>
                <w:szCs w:val="20"/>
              </w:rPr>
            </w:pPr>
          </w:p>
        </w:tc>
        <w:tc>
          <w:tcPr>
            <w:tcW w:w="851" w:type="dxa"/>
            <w:tcBorders>
              <w:top w:val="single" w:sz="18" w:space="0" w:color="auto"/>
              <w:bottom w:val="nil"/>
            </w:tcBorders>
            <w:shd w:val="clear" w:color="auto" w:fill="auto"/>
            <w:noWrap/>
            <w:vAlign w:val="bottom"/>
            <w:hideMark/>
          </w:tcPr>
          <w:p w14:paraId="59026638" w14:textId="77777777" w:rsidR="001973DA" w:rsidRPr="001973DA" w:rsidRDefault="001973DA" w:rsidP="001973DA">
            <w:pPr>
              <w:jc w:val="center"/>
              <w:rPr>
                <w:rFonts w:ascii="Times New Roman" w:hAnsi="Times New Roman"/>
                <w:sz w:val="20"/>
                <w:szCs w:val="20"/>
              </w:rPr>
            </w:pPr>
          </w:p>
        </w:tc>
        <w:tc>
          <w:tcPr>
            <w:tcW w:w="853" w:type="dxa"/>
            <w:tcBorders>
              <w:top w:val="single" w:sz="18" w:space="0" w:color="auto"/>
              <w:bottom w:val="nil"/>
              <w:right w:val="single" w:sz="18" w:space="0" w:color="auto"/>
            </w:tcBorders>
            <w:shd w:val="clear" w:color="auto" w:fill="auto"/>
            <w:noWrap/>
            <w:vAlign w:val="bottom"/>
            <w:hideMark/>
          </w:tcPr>
          <w:p w14:paraId="4C186775" w14:textId="77777777" w:rsidR="001973DA" w:rsidRPr="001973DA" w:rsidRDefault="001973DA" w:rsidP="001973DA">
            <w:pPr>
              <w:rPr>
                <w:rFonts w:ascii="Times New Roman" w:hAnsi="Times New Roman"/>
                <w:sz w:val="20"/>
                <w:szCs w:val="20"/>
              </w:rPr>
            </w:pPr>
          </w:p>
        </w:tc>
      </w:tr>
      <w:tr w:rsidR="00F303C8" w:rsidRPr="001973DA" w14:paraId="491605B1" w14:textId="77777777" w:rsidTr="00F3186D">
        <w:trPr>
          <w:trHeight w:val="530"/>
        </w:trPr>
        <w:tc>
          <w:tcPr>
            <w:tcW w:w="1680" w:type="dxa"/>
            <w:tcBorders>
              <w:top w:val="nil"/>
              <w:left w:val="single" w:sz="18" w:space="0" w:color="auto"/>
              <w:right w:val="single" w:sz="18" w:space="0" w:color="auto"/>
            </w:tcBorders>
            <w:shd w:val="clear" w:color="auto" w:fill="auto"/>
            <w:noWrap/>
            <w:vAlign w:val="bottom"/>
            <w:hideMark/>
          </w:tcPr>
          <w:p w14:paraId="1356A0FB"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 </w:t>
            </w:r>
          </w:p>
        </w:tc>
        <w:tc>
          <w:tcPr>
            <w:tcW w:w="730" w:type="dxa"/>
            <w:tcBorders>
              <w:top w:val="nil"/>
              <w:left w:val="single" w:sz="18" w:space="0" w:color="auto"/>
            </w:tcBorders>
            <w:shd w:val="clear" w:color="auto" w:fill="auto"/>
            <w:noWrap/>
            <w:vAlign w:val="bottom"/>
            <w:hideMark/>
          </w:tcPr>
          <w:p w14:paraId="7D6A7A52"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Mean</w:t>
            </w:r>
          </w:p>
        </w:tc>
        <w:tc>
          <w:tcPr>
            <w:tcW w:w="1134" w:type="dxa"/>
            <w:tcBorders>
              <w:top w:val="nil"/>
            </w:tcBorders>
            <w:shd w:val="clear" w:color="auto" w:fill="auto"/>
            <w:noWrap/>
            <w:vAlign w:val="bottom"/>
            <w:hideMark/>
          </w:tcPr>
          <w:p w14:paraId="78E3A461"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95% CI</w:t>
            </w:r>
          </w:p>
        </w:tc>
        <w:tc>
          <w:tcPr>
            <w:tcW w:w="709" w:type="dxa"/>
            <w:tcBorders>
              <w:top w:val="nil"/>
            </w:tcBorders>
            <w:shd w:val="clear" w:color="auto" w:fill="auto"/>
            <w:noWrap/>
            <w:vAlign w:val="bottom"/>
            <w:hideMark/>
          </w:tcPr>
          <w:p w14:paraId="50262289"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Mean</w:t>
            </w:r>
          </w:p>
        </w:tc>
        <w:tc>
          <w:tcPr>
            <w:tcW w:w="1276" w:type="dxa"/>
            <w:tcBorders>
              <w:top w:val="nil"/>
              <w:right w:val="single" w:sz="18" w:space="0" w:color="auto"/>
            </w:tcBorders>
            <w:shd w:val="clear" w:color="auto" w:fill="auto"/>
            <w:noWrap/>
            <w:vAlign w:val="bottom"/>
            <w:hideMark/>
          </w:tcPr>
          <w:p w14:paraId="6207C100"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95% CI</w:t>
            </w:r>
          </w:p>
        </w:tc>
        <w:tc>
          <w:tcPr>
            <w:tcW w:w="1134" w:type="dxa"/>
            <w:tcBorders>
              <w:top w:val="nil"/>
              <w:left w:val="single" w:sz="18" w:space="0" w:color="auto"/>
            </w:tcBorders>
            <w:shd w:val="clear" w:color="auto" w:fill="auto"/>
            <w:vAlign w:val="bottom"/>
            <w:hideMark/>
          </w:tcPr>
          <w:p w14:paraId="5E841808"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Mean difference</w:t>
            </w:r>
          </w:p>
        </w:tc>
        <w:tc>
          <w:tcPr>
            <w:tcW w:w="1275" w:type="dxa"/>
            <w:tcBorders>
              <w:top w:val="nil"/>
            </w:tcBorders>
            <w:shd w:val="clear" w:color="auto" w:fill="auto"/>
            <w:noWrap/>
            <w:vAlign w:val="bottom"/>
            <w:hideMark/>
          </w:tcPr>
          <w:p w14:paraId="0C9ACE7D"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95% CI</w:t>
            </w:r>
          </w:p>
        </w:tc>
        <w:tc>
          <w:tcPr>
            <w:tcW w:w="851" w:type="dxa"/>
            <w:tcBorders>
              <w:top w:val="nil"/>
            </w:tcBorders>
            <w:shd w:val="clear" w:color="auto" w:fill="auto"/>
            <w:noWrap/>
            <w:vAlign w:val="bottom"/>
            <w:hideMark/>
          </w:tcPr>
          <w:p w14:paraId="29F0543F"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 </w:t>
            </w:r>
          </w:p>
        </w:tc>
        <w:tc>
          <w:tcPr>
            <w:tcW w:w="853" w:type="dxa"/>
            <w:tcBorders>
              <w:top w:val="nil"/>
              <w:right w:val="single" w:sz="18" w:space="0" w:color="auto"/>
            </w:tcBorders>
            <w:shd w:val="clear" w:color="auto" w:fill="auto"/>
            <w:noWrap/>
            <w:vAlign w:val="bottom"/>
            <w:hideMark/>
          </w:tcPr>
          <w:p w14:paraId="03DCCFA1"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 </w:t>
            </w:r>
          </w:p>
        </w:tc>
      </w:tr>
      <w:tr w:rsidR="00F303C8" w:rsidRPr="001973DA" w14:paraId="46CE1BEE" w14:textId="77777777" w:rsidTr="00F3186D">
        <w:trPr>
          <w:trHeight w:val="290"/>
        </w:trPr>
        <w:tc>
          <w:tcPr>
            <w:tcW w:w="1680" w:type="dxa"/>
            <w:tcBorders>
              <w:left w:val="single" w:sz="18" w:space="0" w:color="auto"/>
              <w:right w:val="single" w:sz="18" w:space="0" w:color="auto"/>
            </w:tcBorders>
            <w:shd w:val="clear" w:color="auto" w:fill="auto"/>
            <w:noWrap/>
            <w:vAlign w:val="bottom"/>
            <w:hideMark/>
          </w:tcPr>
          <w:p w14:paraId="6CE52599"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Perceived trustworthiness</w:t>
            </w:r>
          </w:p>
        </w:tc>
        <w:tc>
          <w:tcPr>
            <w:tcW w:w="730" w:type="dxa"/>
            <w:tcBorders>
              <w:left w:val="single" w:sz="18" w:space="0" w:color="auto"/>
            </w:tcBorders>
            <w:shd w:val="clear" w:color="auto" w:fill="auto"/>
            <w:noWrap/>
            <w:vAlign w:val="bottom"/>
            <w:hideMark/>
          </w:tcPr>
          <w:p w14:paraId="2DE057AB"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4.43</w:t>
            </w:r>
          </w:p>
        </w:tc>
        <w:tc>
          <w:tcPr>
            <w:tcW w:w="1134" w:type="dxa"/>
            <w:shd w:val="clear" w:color="auto" w:fill="auto"/>
            <w:noWrap/>
            <w:vAlign w:val="bottom"/>
            <w:hideMark/>
          </w:tcPr>
          <w:p w14:paraId="129002FB"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[4.28,4.57]</w:t>
            </w:r>
          </w:p>
        </w:tc>
        <w:tc>
          <w:tcPr>
            <w:tcW w:w="709" w:type="dxa"/>
            <w:shd w:val="clear" w:color="auto" w:fill="auto"/>
            <w:noWrap/>
            <w:vAlign w:val="bottom"/>
            <w:hideMark/>
          </w:tcPr>
          <w:p w14:paraId="39CF1214"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4.43</w:t>
            </w:r>
          </w:p>
        </w:tc>
        <w:tc>
          <w:tcPr>
            <w:tcW w:w="1276" w:type="dxa"/>
            <w:tcBorders>
              <w:right w:val="single" w:sz="18" w:space="0" w:color="auto"/>
            </w:tcBorders>
            <w:shd w:val="clear" w:color="auto" w:fill="auto"/>
            <w:noWrap/>
            <w:vAlign w:val="bottom"/>
            <w:hideMark/>
          </w:tcPr>
          <w:p w14:paraId="57F55A43"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[4.28,4.58]</w:t>
            </w:r>
          </w:p>
        </w:tc>
        <w:tc>
          <w:tcPr>
            <w:tcW w:w="1134" w:type="dxa"/>
            <w:tcBorders>
              <w:left w:val="single" w:sz="18" w:space="0" w:color="auto"/>
            </w:tcBorders>
            <w:shd w:val="clear" w:color="auto" w:fill="auto"/>
            <w:noWrap/>
            <w:vAlign w:val="bottom"/>
            <w:hideMark/>
          </w:tcPr>
          <w:p w14:paraId="7A94A3BD"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0.002</w:t>
            </w:r>
          </w:p>
        </w:tc>
        <w:tc>
          <w:tcPr>
            <w:tcW w:w="1275" w:type="dxa"/>
            <w:shd w:val="clear" w:color="auto" w:fill="auto"/>
            <w:noWrap/>
            <w:vAlign w:val="bottom"/>
            <w:hideMark/>
          </w:tcPr>
          <w:p w14:paraId="335A7CFA"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[-0.21,0.21]</w:t>
            </w:r>
          </w:p>
        </w:tc>
        <w:tc>
          <w:tcPr>
            <w:tcW w:w="851" w:type="dxa"/>
            <w:shd w:val="clear" w:color="auto" w:fill="auto"/>
            <w:noWrap/>
            <w:vAlign w:val="bottom"/>
            <w:hideMark/>
          </w:tcPr>
          <w:p w14:paraId="31794B47" w14:textId="77777777" w:rsidR="001973DA" w:rsidRPr="001973DA" w:rsidRDefault="001973DA" w:rsidP="001973DA">
            <w:pPr>
              <w:rPr>
                <w:rFonts w:ascii="Times New Roman" w:hAnsi="Times New Roman"/>
                <w:color w:val="000000"/>
                <w:sz w:val="20"/>
                <w:szCs w:val="20"/>
              </w:rPr>
            </w:pPr>
          </w:p>
        </w:tc>
        <w:tc>
          <w:tcPr>
            <w:tcW w:w="853" w:type="dxa"/>
            <w:tcBorders>
              <w:right w:val="single" w:sz="18" w:space="0" w:color="auto"/>
            </w:tcBorders>
            <w:shd w:val="clear" w:color="auto" w:fill="auto"/>
            <w:noWrap/>
            <w:vAlign w:val="bottom"/>
            <w:hideMark/>
          </w:tcPr>
          <w:p w14:paraId="1549AF13" w14:textId="77777777" w:rsidR="001973DA" w:rsidRPr="001973DA" w:rsidRDefault="001973DA" w:rsidP="001973DA">
            <w:pPr>
              <w:jc w:val="center"/>
              <w:rPr>
                <w:rFonts w:ascii="Times New Roman" w:hAnsi="Times New Roman"/>
                <w:sz w:val="20"/>
                <w:szCs w:val="20"/>
              </w:rPr>
            </w:pPr>
          </w:p>
        </w:tc>
      </w:tr>
      <w:tr w:rsidR="00F303C8" w:rsidRPr="001973DA" w14:paraId="4764EB56" w14:textId="77777777" w:rsidTr="00F3186D">
        <w:trPr>
          <w:trHeight w:val="290"/>
        </w:trPr>
        <w:tc>
          <w:tcPr>
            <w:tcW w:w="1680" w:type="dxa"/>
            <w:tcBorders>
              <w:left w:val="single" w:sz="18" w:space="0" w:color="auto"/>
              <w:right w:val="single" w:sz="18" w:space="0" w:color="auto"/>
            </w:tcBorders>
            <w:shd w:val="clear" w:color="auto" w:fill="auto"/>
            <w:noWrap/>
            <w:vAlign w:val="bottom"/>
            <w:hideMark/>
          </w:tcPr>
          <w:p w14:paraId="6C1263DB"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Perceived effectiveness</w:t>
            </w:r>
          </w:p>
        </w:tc>
        <w:tc>
          <w:tcPr>
            <w:tcW w:w="730" w:type="dxa"/>
            <w:tcBorders>
              <w:left w:val="single" w:sz="18" w:space="0" w:color="auto"/>
            </w:tcBorders>
            <w:shd w:val="clear" w:color="auto" w:fill="auto"/>
            <w:noWrap/>
            <w:vAlign w:val="bottom"/>
            <w:hideMark/>
          </w:tcPr>
          <w:p w14:paraId="188DC611"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4.37</w:t>
            </w:r>
          </w:p>
        </w:tc>
        <w:tc>
          <w:tcPr>
            <w:tcW w:w="1134" w:type="dxa"/>
            <w:shd w:val="clear" w:color="auto" w:fill="auto"/>
            <w:noWrap/>
            <w:vAlign w:val="bottom"/>
            <w:hideMark/>
          </w:tcPr>
          <w:p w14:paraId="11F4373F"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[4.21,4.53]</w:t>
            </w:r>
          </w:p>
        </w:tc>
        <w:tc>
          <w:tcPr>
            <w:tcW w:w="709" w:type="dxa"/>
            <w:shd w:val="clear" w:color="auto" w:fill="auto"/>
            <w:noWrap/>
            <w:vAlign w:val="bottom"/>
            <w:hideMark/>
          </w:tcPr>
          <w:p w14:paraId="60F820C9"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4.45</w:t>
            </w:r>
          </w:p>
        </w:tc>
        <w:tc>
          <w:tcPr>
            <w:tcW w:w="1276" w:type="dxa"/>
            <w:tcBorders>
              <w:right w:val="single" w:sz="18" w:space="0" w:color="auto"/>
            </w:tcBorders>
            <w:shd w:val="clear" w:color="auto" w:fill="auto"/>
            <w:noWrap/>
            <w:vAlign w:val="bottom"/>
            <w:hideMark/>
          </w:tcPr>
          <w:p w14:paraId="2A0EA200"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[4.29,4.61]</w:t>
            </w:r>
          </w:p>
        </w:tc>
        <w:tc>
          <w:tcPr>
            <w:tcW w:w="1134" w:type="dxa"/>
            <w:tcBorders>
              <w:left w:val="single" w:sz="18" w:space="0" w:color="auto"/>
            </w:tcBorders>
            <w:shd w:val="clear" w:color="auto" w:fill="auto"/>
            <w:noWrap/>
            <w:vAlign w:val="bottom"/>
            <w:hideMark/>
          </w:tcPr>
          <w:p w14:paraId="0E69B1D2"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-0.08</w:t>
            </w:r>
          </w:p>
        </w:tc>
        <w:tc>
          <w:tcPr>
            <w:tcW w:w="1275" w:type="dxa"/>
            <w:shd w:val="clear" w:color="auto" w:fill="auto"/>
            <w:noWrap/>
            <w:vAlign w:val="bottom"/>
            <w:hideMark/>
          </w:tcPr>
          <w:p w14:paraId="07D77446"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[-0.31,0.14</w:t>
            </w:r>
          </w:p>
        </w:tc>
        <w:tc>
          <w:tcPr>
            <w:tcW w:w="851" w:type="dxa"/>
            <w:shd w:val="clear" w:color="auto" w:fill="auto"/>
            <w:noWrap/>
            <w:vAlign w:val="bottom"/>
            <w:hideMark/>
          </w:tcPr>
          <w:p w14:paraId="6F9450A2" w14:textId="77777777" w:rsidR="001973DA" w:rsidRPr="001973DA" w:rsidRDefault="001973DA" w:rsidP="001973DA">
            <w:pPr>
              <w:rPr>
                <w:rFonts w:ascii="Times New Roman" w:hAnsi="Times New Roman"/>
                <w:color w:val="000000"/>
                <w:sz w:val="20"/>
                <w:szCs w:val="20"/>
              </w:rPr>
            </w:pPr>
          </w:p>
        </w:tc>
        <w:tc>
          <w:tcPr>
            <w:tcW w:w="853" w:type="dxa"/>
            <w:tcBorders>
              <w:right w:val="single" w:sz="18" w:space="0" w:color="auto"/>
            </w:tcBorders>
            <w:shd w:val="clear" w:color="auto" w:fill="auto"/>
            <w:noWrap/>
            <w:vAlign w:val="bottom"/>
            <w:hideMark/>
          </w:tcPr>
          <w:p w14:paraId="27E64154" w14:textId="77777777" w:rsidR="001973DA" w:rsidRPr="001973DA" w:rsidRDefault="001973DA" w:rsidP="001973DA">
            <w:pPr>
              <w:jc w:val="center"/>
              <w:rPr>
                <w:rFonts w:ascii="Times New Roman" w:hAnsi="Times New Roman"/>
                <w:sz w:val="20"/>
                <w:szCs w:val="20"/>
              </w:rPr>
            </w:pPr>
          </w:p>
        </w:tc>
      </w:tr>
      <w:tr w:rsidR="00F303C8" w:rsidRPr="001973DA" w14:paraId="784E0776" w14:textId="77777777" w:rsidTr="00F3186D">
        <w:trPr>
          <w:trHeight w:val="290"/>
        </w:trPr>
        <w:tc>
          <w:tcPr>
            <w:tcW w:w="1680" w:type="dxa"/>
            <w:tcBorders>
              <w:left w:val="single" w:sz="18" w:space="0" w:color="auto"/>
              <w:bottom w:val="single" w:sz="18" w:space="0" w:color="auto"/>
              <w:right w:val="single" w:sz="18" w:space="0" w:color="auto"/>
            </w:tcBorders>
            <w:shd w:val="clear" w:color="auto" w:fill="auto"/>
            <w:noWrap/>
            <w:vAlign w:val="bottom"/>
            <w:hideMark/>
          </w:tcPr>
          <w:p w14:paraId="05A52873"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Behavioural intentions</w:t>
            </w:r>
          </w:p>
        </w:tc>
        <w:tc>
          <w:tcPr>
            <w:tcW w:w="730" w:type="dxa"/>
            <w:tcBorders>
              <w:left w:val="single" w:sz="18" w:space="0" w:color="auto"/>
              <w:bottom w:val="single" w:sz="18" w:space="0" w:color="auto"/>
            </w:tcBorders>
            <w:shd w:val="clear" w:color="auto" w:fill="auto"/>
            <w:noWrap/>
            <w:vAlign w:val="bottom"/>
            <w:hideMark/>
          </w:tcPr>
          <w:p w14:paraId="2C0D6DF7"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3.61</w:t>
            </w:r>
          </w:p>
        </w:tc>
        <w:tc>
          <w:tcPr>
            <w:tcW w:w="1134" w:type="dxa"/>
            <w:tcBorders>
              <w:bottom w:val="single" w:sz="18" w:space="0" w:color="auto"/>
            </w:tcBorders>
            <w:shd w:val="clear" w:color="auto" w:fill="auto"/>
            <w:noWrap/>
            <w:vAlign w:val="bottom"/>
            <w:hideMark/>
          </w:tcPr>
          <w:p w14:paraId="1A405A53"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[3.42,3.80]</w:t>
            </w:r>
          </w:p>
        </w:tc>
        <w:tc>
          <w:tcPr>
            <w:tcW w:w="709" w:type="dxa"/>
            <w:tcBorders>
              <w:bottom w:val="single" w:sz="18" w:space="0" w:color="auto"/>
            </w:tcBorders>
            <w:shd w:val="clear" w:color="auto" w:fill="auto"/>
            <w:noWrap/>
            <w:vAlign w:val="bottom"/>
            <w:hideMark/>
          </w:tcPr>
          <w:p w14:paraId="31D5E178"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3.72</w:t>
            </w:r>
          </w:p>
        </w:tc>
        <w:tc>
          <w:tcPr>
            <w:tcW w:w="1276" w:type="dxa"/>
            <w:tcBorders>
              <w:bottom w:val="single" w:sz="18" w:space="0" w:color="auto"/>
              <w:right w:val="single" w:sz="18" w:space="0" w:color="auto"/>
            </w:tcBorders>
            <w:shd w:val="clear" w:color="auto" w:fill="auto"/>
            <w:noWrap/>
            <w:vAlign w:val="bottom"/>
            <w:hideMark/>
          </w:tcPr>
          <w:p w14:paraId="75377EB9"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[3.52,3.91]</w:t>
            </w:r>
          </w:p>
        </w:tc>
        <w:tc>
          <w:tcPr>
            <w:tcW w:w="1134" w:type="dxa"/>
            <w:tcBorders>
              <w:left w:val="single" w:sz="18" w:space="0" w:color="auto"/>
              <w:bottom w:val="single" w:sz="18" w:space="0" w:color="auto"/>
            </w:tcBorders>
            <w:shd w:val="clear" w:color="auto" w:fill="auto"/>
            <w:noWrap/>
            <w:vAlign w:val="bottom"/>
            <w:hideMark/>
          </w:tcPr>
          <w:p w14:paraId="6D058002"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-0.13</w:t>
            </w:r>
          </w:p>
        </w:tc>
        <w:tc>
          <w:tcPr>
            <w:tcW w:w="1275" w:type="dxa"/>
            <w:tcBorders>
              <w:bottom w:val="single" w:sz="18" w:space="0" w:color="auto"/>
            </w:tcBorders>
            <w:shd w:val="clear" w:color="auto" w:fill="auto"/>
            <w:noWrap/>
            <w:vAlign w:val="bottom"/>
            <w:hideMark/>
          </w:tcPr>
          <w:p w14:paraId="070CAFDC" w14:textId="77777777" w:rsidR="001973DA" w:rsidRPr="001973DA" w:rsidRDefault="001973DA" w:rsidP="001973DA">
            <w:pPr>
              <w:rPr>
                <w:rFonts w:ascii="Times New Roman" w:hAnsi="Times New Roman"/>
                <w:color w:val="000000"/>
                <w:sz w:val="20"/>
                <w:szCs w:val="20"/>
              </w:rPr>
            </w:pPr>
            <w:r w:rsidRPr="001973DA">
              <w:rPr>
                <w:rFonts w:ascii="Times New Roman" w:hAnsi="Times New Roman"/>
                <w:color w:val="000000"/>
                <w:sz w:val="20"/>
                <w:szCs w:val="20"/>
              </w:rPr>
              <w:t>[-0.38,0.17]</w:t>
            </w:r>
          </w:p>
        </w:tc>
        <w:tc>
          <w:tcPr>
            <w:tcW w:w="851" w:type="dxa"/>
            <w:tcBorders>
              <w:bottom w:val="single" w:sz="18" w:space="0" w:color="auto"/>
            </w:tcBorders>
            <w:shd w:val="clear" w:color="auto" w:fill="auto"/>
            <w:noWrap/>
            <w:vAlign w:val="bottom"/>
            <w:hideMark/>
          </w:tcPr>
          <w:p w14:paraId="0CC34A64"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 </w:t>
            </w:r>
          </w:p>
        </w:tc>
        <w:tc>
          <w:tcPr>
            <w:tcW w:w="853" w:type="dxa"/>
            <w:tcBorders>
              <w:bottom w:val="single" w:sz="18" w:space="0" w:color="auto"/>
              <w:right w:val="single" w:sz="18" w:space="0" w:color="auto"/>
            </w:tcBorders>
            <w:shd w:val="clear" w:color="auto" w:fill="auto"/>
            <w:noWrap/>
            <w:vAlign w:val="bottom"/>
            <w:hideMark/>
          </w:tcPr>
          <w:p w14:paraId="3B098C09" w14:textId="77777777" w:rsidR="001973DA" w:rsidRPr="001973DA" w:rsidRDefault="001973DA" w:rsidP="001973DA">
            <w:pPr>
              <w:jc w:val="center"/>
              <w:rPr>
                <w:rFonts w:ascii="Times New Roman" w:hAnsi="Times New Roman"/>
                <w:color w:val="000000"/>
                <w:sz w:val="20"/>
                <w:szCs w:val="20"/>
              </w:rPr>
            </w:pPr>
            <w:r w:rsidRPr="001973DA">
              <w:rPr>
                <w:rFonts w:ascii="Times New Roman" w:hAnsi="Times New Roman"/>
                <w:color w:val="000000"/>
                <w:sz w:val="20"/>
                <w:szCs w:val="20"/>
              </w:rPr>
              <w:t> </w:t>
            </w:r>
          </w:p>
        </w:tc>
      </w:tr>
    </w:tbl>
    <w:p w14:paraId="61FD82D6" w14:textId="77777777" w:rsidR="008F070D" w:rsidRPr="00B05509" w:rsidRDefault="008F070D" w:rsidP="007C3BBA">
      <w:pPr>
        <w:spacing w:line="480" w:lineRule="auto"/>
        <w:rPr>
          <w:rFonts w:ascii="Times New Roman" w:hAnsi="Times New Roman"/>
        </w:rPr>
      </w:pPr>
    </w:p>
    <w:p w14:paraId="319D0C0C" w14:textId="452BEFD7" w:rsidR="003F1F9E" w:rsidRPr="00B05509" w:rsidRDefault="00DA7ECD" w:rsidP="007C3BBA">
      <w:pPr>
        <w:spacing w:line="480" w:lineRule="auto"/>
        <w:rPr>
          <w:rFonts w:ascii="Times New Roman" w:hAnsi="Times New Roman"/>
          <w:color w:val="000000" w:themeColor="text1"/>
        </w:rPr>
      </w:pPr>
      <w:r>
        <w:rPr>
          <w:rFonts w:ascii="Times New Roman" w:hAnsi="Times New Roman"/>
          <w:noProof/>
          <w:color w:val="000000" w:themeColor="text1"/>
        </w:rPr>
        <w:lastRenderedPageBreak/>
        <w:drawing>
          <wp:inline distT="0" distB="0" distL="0" distR="0" wp14:anchorId="419CE971" wp14:editId="613ABF4A">
            <wp:extent cx="3331464" cy="8004048"/>
            <wp:effectExtent l="0" t="0" r="254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2.t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3331464" cy="8004048"/>
                    </a:xfrm>
                    <a:prstGeom prst="rect">
                      <a:avLst/>
                    </a:prstGeom>
                  </pic:spPr>
                </pic:pic>
              </a:graphicData>
            </a:graphic>
          </wp:inline>
        </w:drawing>
      </w:r>
    </w:p>
    <w:p w14:paraId="5CDB7C30" w14:textId="07480137" w:rsidR="00F94982" w:rsidRPr="00B05509" w:rsidRDefault="00F94982" w:rsidP="00B05509">
      <w:pPr>
        <w:rPr>
          <w:rFonts w:ascii="Times New Roman" w:hAnsi="Times New Roman"/>
          <w:sz w:val="22"/>
          <w:szCs w:val="22"/>
        </w:rPr>
      </w:pPr>
      <w:r w:rsidRPr="00B05509">
        <w:rPr>
          <w:rFonts w:ascii="Times New Roman" w:hAnsi="Times New Roman"/>
          <w:b/>
          <w:sz w:val="22"/>
          <w:szCs w:val="22"/>
        </w:rPr>
        <w:t>Fig 2</w:t>
      </w:r>
      <w:r>
        <w:rPr>
          <w:rFonts w:ascii="Times New Roman" w:hAnsi="Times New Roman"/>
          <w:b/>
          <w:sz w:val="22"/>
          <w:szCs w:val="22"/>
        </w:rPr>
        <w:t>.</w:t>
      </w:r>
      <w:r w:rsidRPr="00B05509">
        <w:rPr>
          <w:rFonts w:ascii="Times New Roman" w:hAnsi="Times New Roman"/>
          <w:b/>
          <w:sz w:val="22"/>
          <w:szCs w:val="22"/>
        </w:rPr>
        <w:t xml:space="preserve"> The effects of giving a </w:t>
      </w:r>
      <w:proofErr w:type="spellStart"/>
      <w:r w:rsidRPr="00B05509">
        <w:rPr>
          <w:rFonts w:ascii="Times New Roman" w:hAnsi="Times New Roman"/>
          <w:b/>
          <w:sz w:val="22"/>
          <w:szCs w:val="22"/>
        </w:rPr>
        <w:t>cue</w:t>
      </w:r>
      <w:proofErr w:type="spellEnd"/>
      <w:r w:rsidRPr="00B05509">
        <w:rPr>
          <w:rFonts w:ascii="Times New Roman" w:hAnsi="Times New Roman"/>
          <w:b/>
          <w:sz w:val="22"/>
          <w:szCs w:val="22"/>
        </w:rPr>
        <w:t xml:space="preserve"> as to the certainty/quality of evidence (</w:t>
      </w:r>
      <w:proofErr w:type="spellStart"/>
      <w:r w:rsidRPr="00B05509">
        <w:rPr>
          <w:rFonts w:ascii="Times New Roman" w:hAnsi="Times New Roman"/>
          <w:b/>
          <w:sz w:val="22"/>
          <w:szCs w:val="22"/>
        </w:rPr>
        <w:t>QoE</w:t>
      </w:r>
      <w:proofErr w:type="spellEnd"/>
      <w:r w:rsidRPr="00B05509">
        <w:rPr>
          <w:rFonts w:ascii="Times New Roman" w:hAnsi="Times New Roman"/>
          <w:b/>
          <w:sz w:val="22"/>
          <w:szCs w:val="22"/>
        </w:rPr>
        <w:t>) behind an effectiveness estimate on people’s perceptions of the trustworthiness of the information</w:t>
      </w:r>
      <w:r w:rsidR="0055549F">
        <w:rPr>
          <w:rFonts w:ascii="Times New Roman" w:hAnsi="Times New Roman"/>
          <w:b/>
          <w:sz w:val="22"/>
          <w:szCs w:val="22"/>
        </w:rPr>
        <w:t xml:space="preserve"> (</w:t>
      </w:r>
      <w:r w:rsidR="00B55220">
        <w:rPr>
          <w:rFonts w:ascii="Times New Roman" w:hAnsi="Times New Roman"/>
          <w:b/>
          <w:sz w:val="22"/>
          <w:szCs w:val="22"/>
        </w:rPr>
        <w:t>A</w:t>
      </w:r>
      <w:r w:rsidR="0055549F">
        <w:rPr>
          <w:rFonts w:ascii="Times New Roman" w:hAnsi="Times New Roman"/>
          <w:b/>
          <w:sz w:val="22"/>
          <w:szCs w:val="22"/>
        </w:rPr>
        <w:t>)</w:t>
      </w:r>
      <w:r w:rsidRPr="00B05509">
        <w:rPr>
          <w:rFonts w:ascii="Times New Roman" w:hAnsi="Times New Roman"/>
          <w:b/>
          <w:sz w:val="22"/>
          <w:szCs w:val="22"/>
        </w:rPr>
        <w:t>, the perceived effectiveness of the intervention</w:t>
      </w:r>
      <w:r w:rsidR="0055549F">
        <w:rPr>
          <w:rFonts w:ascii="Times New Roman" w:hAnsi="Times New Roman"/>
          <w:b/>
          <w:sz w:val="22"/>
          <w:szCs w:val="22"/>
        </w:rPr>
        <w:t xml:space="preserve"> (</w:t>
      </w:r>
      <w:r w:rsidR="00B55220">
        <w:rPr>
          <w:rFonts w:ascii="Times New Roman" w:hAnsi="Times New Roman"/>
          <w:b/>
          <w:sz w:val="22"/>
          <w:szCs w:val="22"/>
        </w:rPr>
        <w:t>B</w:t>
      </w:r>
      <w:r w:rsidR="0055549F">
        <w:rPr>
          <w:rFonts w:ascii="Times New Roman" w:hAnsi="Times New Roman"/>
          <w:b/>
          <w:sz w:val="22"/>
          <w:szCs w:val="22"/>
        </w:rPr>
        <w:t>)</w:t>
      </w:r>
      <w:r w:rsidRPr="00B05509">
        <w:rPr>
          <w:rFonts w:ascii="Times New Roman" w:hAnsi="Times New Roman"/>
          <w:b/>
          <w:sz w:val="22"/>
          <w:szCs w:val="22"/>
        </w:rPr>
        <w:t>, and the likelihood of them adopting it</w:t>
      </w:r>
      <w:r w:rsidR="0055549F">
        <w:rPr>
          <w:rFonts w:ascii="Times New Roman" w:hAnsi="Times New Roman"/>
          <w:b/>
          <w:sz w:val="22"/>
          <w:szCs w:val="22"/>
        </w:rPr>
        <w:t xml:space="preserve"> (</w:t>
      </w:r>
      <w:r w:rsidR="00B55220">
        <w:rPr>
          <w:rFonts w:ascii="Times New Roman" w:hAnsi="Times New Roman"/>
          <w:b/>
          <w:sz w:val="22"/>
          <w:szCs w:val="22"/>
        </w:rPr>
        <w:t>C</w:t>
      </w:r>
      <w:r w:rsidR="0055549F">
        <w:rPr>
          <w:rFonts w:ascii="Times New Roman" w:hAnsi="Times New Roman"/>
          <w:b/>
          <w:sz w:val="22"/>
          <w:szCs w:val="22"/>
        </w:rPr>
        <w:t>)</w:t>
      </w:r>
      <w:r w:rsidRPr="00B05509">
        <w:rPr>
          <w:rFonts w:ascii="Times New Roman" w:hAnsi="Times New Roman"/>
          <w:b/>
          <w:sz w:val="22"/>
          <w:szCs w:val="22"/>
        </w:rPr>
        <w:t xml:space="preserve">. </w:t>
      </w:r>
      <w:r w:rsidR="0055549F">
        <w:rPr>
          <w:rFonts w:ascii="Times New Roman" w:hAnsi="Times New Roman"/>
          <w:sz w:val="22"/>
          <w:szCs w:val="22"/>
        </w:rPr>
        <w:t xml:space="preserve">All dependent variables were measured on 7 point Likert scales ranging from 1-low to 7-high (please see </w:t>
      </w:r>
      <w:r w:rsidR="0055549F">
        <w:rPr>
          <w:rFonts w:ascii="Times New Roman" w:hAnsi="Times New Roman"/>
          <w:sz w:val="22"/>
          <w:szCs w:val="22"/>
        </w:rPr>
        <w:lastRenderedPageBreak/>
        <w:t>Methods section for exact wording details for all measures). The three plots show mean effects and associated 95% confidence intervals (black horizontal lines and error bars), as well as underlying observed data distributions (coloured dotted points; red</w:t>
      </w:r>
      <w:r w:rsidR="00E650E9">
        <w:rPr>
          <w:rFonts w:ascii="Times New Roman" w:hAnsi="Times New Roman"/>
          <w:sz w:val="22"/>
          <w:szCs w:val="22"/>
        </w:rPr>
        <w:t>/left column</w:t>
      </w:r>
      <w:r w:rsidR="0055549F">
        <w:rPr>
          <w:rFonts w:ascii="Times New Roman" w:hAnsi="Times New Roman"/>
          <w:sz w:val="22"/>
          <w:szCs w:val="22"/>
        </w:rPr>
        <w:t xml:space="preserve"> = observations for high </w:t>
      </w:r>
      <w:proofErr w:type="spellStart"/>
      <w:r w:rsidR="0055549F">
        <w:rPr>
          <w:rFonts w:ascii="Times New Roman" w:hAnsi="Times New Roman"/>
          <w:sz w:val="22"/>
          <w:szCs w:val="22"/>
        </w:rPr>
        <w:t>QoE</w:t>
      </w:r>
      <w:proofErr w:type="spellEnd"/>
      <w:r w:rsidR="0055549F">
        <w:rPr>
          <w:rFonts w:ascii="Times New Roman" w:hAnsi="Times New Roman"/>
          <w:sz w:val="22"/>
          <w:szCs w:val="22"/>
        </w:rPr>
        <w:t xml:space="preserve"> groups, blue</w:t>
      </w:r>
      <w:r w:rsidR="00E650E9">
        <w:rPr>
          <w:rFonts w:ascii="Times New Roman" w:hAnsi="Times New Roman"/>
          <w:sz w:val="22"/>
          <w:szCs w:val="22"/>
        </w:rPr>
        <w:t>/right column</w:t>
      </w:r>
      <w:r w:rsidR="0055549F">
        <w:rPr>
          <w:rFonts w:ascii="Times New Roman" w:hAnsi="Times New Roman"/>
          <w:sz w:val="22"/>
          <w:szCs w:val="22"/>
        </w:rPr>
        <w:t xml:space="preserve"> = observations for low </w:t>
      </w:r>
      <w:proofErr w:type="spellStart"/>
      <w:r w:rsidR="0055549F">
        <w:rPr>
          <w:rFonts w:ascii="Times New Roman" w:hAnsi="Times New Roman"/>
          <w:sz w:val="22"/>
          <w:szCs w:val="22"/>
        </w:rPr>
        <w:t>QoE</w:t>
      </w:r>
      <w:proofErr w:type="spellEnd"/>
      <w:r w:rsidR="0055549F">
        <w:rPr>
          <w:rFonts w:ascii="Times New Roman" w:hAnsi="Times New Roman"/>
          <w:sz w:val="22"/>
          <w:szCs w:val="22"/>
        </w:rPr>
        <w:t xml:space="preserve"> groups).</w:t>
      </w:r>
      <w:r w:rsidRPr="00B05509">
        <w:rPr>
          <w:rFonts w:ascii="Times New Roman" w:hAnsi="Times New Roman"/>
          <w:sz w:val="22"/>
          <w:szCs w:val="22"/>
        </w:rPr>
        <w:t xml:space="preserve"> Data</w:t>
      </w:r>
      <w:r w:rsidR="0055549F">
        <w:rPr>
          <w:rFonts w:ascii="Times New Roman" w:hAnsi="Times New Roman"/>
          <w:sz w:val="22"/>
          <w:szCs w:val="22"/>
        </w:rPr>
        <w:t xml:space="preserve"> for all plots</w:t>
      </w:r>
      <w:r w:rsidRPr="00B05509">
        <w:rPr>
          <w:rFonts w:ascii="Times New Roman" w:hAnsi="Times New Roman"/>
          <w:sz w:val="22"/>
          <w:szCs w:val="22"/>
        </w:rPr>
        <w:t xml:space="preserve"> is depicted collapsed across wording conditions (quality/certainty).</w:t>
      </w:r>
    </w:p>
    <w:p w14:paraId="4BA1116C" w14:textId="4A6FD777" w:rsidR="00F94982" w:rsidRDefault="00F94982" w:rsidP="007C3BBA">
      <w:pPr>
        <w:keepNext/>
        <w:spacing w:line="480" w:lineRule="auto"/>
        <w:rPr>
          <w:rFonts w:ascii="Times New Roman" w:hAnsi="Times New Roman"/>
          <w:i/>
        </w:rPr>
      </w:pPr>
    </w:p>
    <w:p w14:paraId="3FA9C7E6" w14:textId="0D03DA0F" w:rsidR="00E650E9" w:rsidRPr="00B05509" w:rsidRDefault="00E650E9" w:rsidP="007C3BBA">
      <w:pPr>
        <w:keepNext/>
        <w:spacing w:line="480" w:lineRule="auto"/>
        <w:rPr>
          <w:rFonts w:ascii="Times New Roman" w:hAnsi="Times New Roman"/>
          <w:i/>
        </w:rPr>
      </w:pPr>
    </w:p>
    <w:p w14:paraId="3019B4B5" w14:textId="4A23EA7C" w:rsidR="003F1F9E" w:rsidRPr="00B05509" w:rsidRDefault="00233C58" w:rsidP="007C3BBA">
      <w:pPr>
        <w:spacing w:line="480" w:lineRule="auto"/>
        <w:rPr>
          <w:rFonts w:ascii="Times New Roman" w:hAnsi="Times New Roman"/>
          <w:b/>
          <w:sz w:val="32"/>
          <w:szCs w:val="32"/>
        </w:rPr>
      </w:pPr>
      <w:r w:rsidRPr="00B05509">
        <w:rPr>
          <w:rFonts w:ascii="Times New Roman" w:hAnsi="Times New Roman"/>
          <w:b/>
          <w:sz w:val="32"/>
          <w:szCs w:val="32"/>
        </w:rPr>
        <w:t>Secondary analysis: understanding</w:t>
      </w:r>
    </w:p>
    <w:p w14:paraId="5671D2C8" w14:textId="7FE1E1F4" w:rsidR="003F1F9E" w:rsidRDefault="00FF467A" w:rsidP="007C3BBA">
      <w:pPr>
        <w:spacing w:line="480" w:lineRule="auto"/>
        <w:rPr>
          <w:rFonts w:ascii="Times New Roman" w:hAnsi="Times New Roman"/>
          <w:color w:val="000000" w:themeColor="text1"/>
        </w:rPr>
      </w:pPr>
      <w:r w:rsidRPr="00B05509">
        <w:rPr>
          <w:rFonts w:ascii="Times New Roman" w:hAnsi="Times New Roman"/>
          <w:color w:val="000000" w:themeColor="text1"/>
        </w:rPr>
        <w:t>W</w:t>
      </w:r>
      <w:r w:rsidR="003F1F9E" w:rsidRPr="00B05509">
        <w:rPr>
          <w:rFonts w:ascii="Times New Roman" w:hAnsi="Times New Roman"/>
          <w:color w:val="000000" w:themeColor="text1"/>
        </w:rPr>
        <w:t xml:space="preserve">e pre-registered </w:t>
      </w:r>
      <w:r w:rsidRPr="00B05509">
        <w:rPr>
          <w:rFonts w:ascii="Times New Roman" w:hAnsi="Times New Roman"/>
          <w:color w:val="000000" w:themeColor="text1"/>
        </w:rPr>
        <w:t>a secondary analysis to</w:t>
      </w:r>
      <w:r w:rsidR="003F1F9E" w:rsidRPr="00B05509">
        <w:rPr>
          <w:rFonts w:ascii="Times New Roman" w:hAnsi="Times New Roman"/>
          <w:color w:val="000000" w:themeColor="text1"/>
        </w:rPr>
        <w:t xml:space="preserve"> explore whether the difference in wording</w:t>
      </w:r>
      <w:r w:rsidRPr="00B05509">
        <w:rPr>
          <w:rFonts w:ascii="Times New Roman" w:hAnsi="Times New Roman"/>
          <w:color w:val="000000" w:themeColor="text1"/>
        </w:rPr>
        <w:t xml:space="preserve"> (</w:t>
      </w:r>
      <w:r w:rsidR="003F1F9E" w:rsidRPr="00B05509">
        <w:rPr>
          <w:rFonts w:ascii="Times New Roman" w:hAnsi="Times New Roman"/>
          <w:color w:val="000000" w:themeColor="text1"/>
        </w:rPr>
        <w:t>‘quality’ versus ‘certainty’</w:t>
      </w:r>
      <w:r w:rsidRPr="00B05509">
        <w:rPr>
          <w:rFonts w:ascii="Times New Roman" w:hAnsi="Times New Roman"/>
          <w:color w:val="000000" w:themeColor="text1"/>
        </w:rPr>
        <w:t>)</w:t>
      </w:r>
      <w:r w:rsidR="003F1F9E" w:rsidRPr="00B05509">
        <w:rPr>
          <w:rFonts w:ascii="Times New Roman" w:hAnsi="Times New Roman"/>
          <w:color w:val="000000" w:themeColor="text1"/>
        </w:rPr>
        <w:t xml:space="preserve"> affect</w:t>
      </w:r>
      <w:r w:rsidRPr="00B05509">
        <w:rPr>
          <w:rFonts w:ascii="Times New Roman" w:hAnsi="Times New Roman"/>
          <w:color w:val="000000" w:themeColor="text1"/>
        </w:rPr>
        <w:t>ed</w:t>
      </w:r>
      <w:r w:rsidR="003F1F9E" w:rsidRPr="00B05509">
        <w:rPr>
          <w:rFonts w:ascii="Times New Roman" w:hAnsi="Times New Roman"/>
          <w:color w:val="000000" w:themeColor="text1"/>
        </w:rPr>
        <w:t xml:space="preserve"> people’s understanding of the infographic. Understanding was measured via an index item of reported ease and completeness of comprehension of the effectiveness information in the infographic, as well as self-reported effort invested in understanding the effectiveness information (both measured on a 7 point Likert scale; see </w:t>
      </w:r>
      <w:r w:rsidR="00885913">
        <w:rPr>
          <w:rFonts w:ascii="Times New Roman" w:hAnsi="Times New Roman"/>
        </w:rPr>
        <w:t>S1 supporting information file</w:t>
      </w:r>
      <w:r w:rsidR="00885913" w:rsidRPr="00885913" w:rsidDel="00885913">
        <w:rPr>
          <w:rFonts w:ascii="Times New Roman" w:hAnsi="Times New Roman"/>
          <w:color w:val="000000" w:themeColor="text1"/>
        </w:rPr>
        <w:t xml:space="preserve"> </w:t>
      </w:r>
      <w:r w:rsidR="003F1F9E" w:rsidRPr="00B05509">
        <w:rPr>
          <w:rFonts w:ascii="Times New Roman" w:hAnsi="Times New Roman"/>
          <w:color w:val="000000" w:themeColor="text1"/>
        </w:rPr>
        <w:t xml:space="preserve">for details). An independent samples t-test revealed </w:t>
      </w:r>
      <w:r w:rsidR="005C6D9F">
        <w:rPr>
          <w:rFonts w:ascii="Times New Roman" w:hAnsi="Times New Roman"/>
          <w:color w:val="000000" w:themeColor="text1"/>
        </w:rPr>
        <w:t xml:space="preserve">a small effect </w:t>
      </w:r>
      <w:r w:rsidR="00892F05">
        <w:rPr>
          <w:rFonts w:ascii="Times New Roman" w:hAnsi="Times New Roman"/>
          <w:color w:val="000000" w:themeColor="text1"/>
        </w:rPr>
        <w:t>indicating</w:t>
      </w:r>
      <w:r w:rsidR="005C6D9F">
        <w:rPr>
          <w:rFonts w:ascii="Times New Roman" w:hAnsi="Times New Roman"/>
          <w:color w:val="000000" w:themeColor="text1"/>
        </w:rPr>
        <w:t xml:space="preserve"> </w:t>
      </w:r>
      <w:r w:rsidR="003F1F9E" w:rsidRPr="00B05509">
        <w:rPr>
          <w:rFonts w:ascii="Times New Roman" w:hAnsi="Times New Roman"/>
          <w:color w:val="000000" w:themeColor="text1"/>
        </w:rPr>
        <w:t xml:space="preserve">that ‘quality of evidence’ was </w:t>
      </w:r>
      <w:r w:rsidR="00CF0A8D">
        <w:rPr>
          <w:rFonts w:ascii="Times New Roman" w:hAnsi="Times New Roman"/>
        </w:rPr>
        <w:t>statistically</w:t>
      </w:r>
      <w:r w:rsidR="00CF0A8D" w:rsidRPr="00CF0A8D">
        <w:rPr>
          <w:rFonts w:ascii="Times New Roman" w:hAnsi="Times New Roman"/>
          <w:color w:val="000000" w:themeColor="text1"/>
        </w:rPr>
        <w:t xml:space="preserve"> </w:t>
      </w:r>
      <w:r w:rsidR="003F1F9E" w:rsidRPr="00B05509">
        <w:rPr>
          <w:rFonts w:ascii="Times New Roman" w:hAnsi="Times New Roman"/>
          <w:color w:val="000000" w:themeColor="text1"/>
        </w:rPr>
        <w:t>significantly easier to understand for people compared to ‘certainty of evidence’</w:t>
      </w:r>
      <w:r w:rsidR="00DA7ECD">
        <w:rPr>
          <w:rFonts w:ascii="Times New Roman" w:hAnsi="Times New Roman"/>
          <w:color w:val="000000" w:themeColor="text1"/>
        </w:rPr>
        <w:t xml:space="preserve">. </w:t>
      </w:r>
      <w:r w:rsidR="00DA7ECD" w:rsidRPr="00A54F98">
        <w:rPr>
          <w:rFonts w:ascii="Times New Roman" w:hAnsi="Times New Roman"/>
          <w:color w:val="000000" w:themeColor="text1"/>
        </w:rPr>
        <w:t>Since the distribution of the measure was skewed, the parametric analysis was complemented by non-parametric testing for robustness purposes. Mann-Whitney test results were in line with the parametric findings</w:t>
      </w:r>
      <w:r w:rsidR="00B01F41">
        <w:rPr>
          <w:rFonts w:ascii="Times New Roman" w:hAnsi="Times New Roman"/>
          <w:color w:val="000000" w:themeColor="text1"/>
        </w:rPr>
        <w:t xml:space="preserve"> </w:t>
      </w:r>
      <w:r w:rsidR="00892F05">
        <w:rPr>
          <w:rFonts w:ascii="Times New Roman" w:hAnsi="Times New Roman"/>
          <w:color w:val="000000" w:themeColor="text1"/>
        </w:rPr>
        <w:t>(Table 5)</w:t>
      </w:r>
      <w:r w:rsidR="003F1F9E" w:rsidRPr="00B05509">
        <w:rPr>
          <w:rFonts w:ascii="Times New Roman" w:hAnsi="Times New Roman"/>
          <w:color w:val="000000" w:themeColor="text1"/>
        </w:rPr>
        <w:t>. Although descriptively people on average reported lower invested effort for the ‘quality’ wording compared to the ‘certainty’ wording, this difference was not statistically significant</w:t>
      </w:r>
      <w:r w:rsidR="00B01F41">
        <w:rPr>
          <w:rFonts w:ascii="Times New Roman" w:hAnsi="Times New Roman"/>
          <w:color w:val="000000" w:themeColor="text1"/>
        </w:rPr>
        <w:t xml:space="preserve"> as indicated by an</w:t>
      </w:r>
      <w:r w:rsidR="00D05156">
        <w:rPr>
          <w:rFonts w:ascii="Times New Roman" w:hAnsi="Times New Roman"/>
          <w:color w:val="000000" w:themeColor="text1"/>
        </w:rPr>
        <w:t xml:space="preserve"> </w:t>
      </w:r>
      <w:r w:rsidR="003F1F9E" w:rsidRPr="00B05509">
        <w:rPr>
          <w:rFonts w:ascii="Times New Roman" w:hAnsi="Times New Roman"/>
          <w:color w:val="000000" w:themeColor="text1"/>
        </w:rPr>
        <w:t>independent samples t-test</w:t>
      </w:r>
      <w:r w:rsidR="00B01F41">
        <w:rPr>
          <w:rFonts w:ascii="Times New Roman" w:hAnsi="Times New Roman"/>
          <w:color w:val="000000" w:themeColor="text1"/>
        </w:rPr>
        <w:t xml:space="preserve"> with Mann-Whitney non-parametric follow-up</w:t>
      </w:r>
      <w:r w:rsidR="00D05156">
        <w:rPr>
          <w:rFonts w:ascii="Times New Roman" w:hAnsi="Times New Roman"/>
          <w:color w:val="000000" w:themeColor="text1"/>
        </w:rPr>
        <w:t xml:space="preserve"> </w:t>
      </w:r>
      <w:r w:rsidR="00B01F41">
        <w:rPr>
          <w:rFonts w:ascii="Times New Roman" w:hAnsi="Times New Roman"/>
          <w:color w:val="000000" w:themeColor="text1"/>
        </w:rPr>
        <w:t xml:space="preserve">(Table </w:t>
      </w:r>
      <w:r w:rsidR="00532C3A">
        <w:rPr>
          <w:rFonts w:ascii="Times New Roman" w:hAnsi="Times New Roman"/>
          <w:color w:val="000000" w:themeColor="text1"/>
        </w:rPr>
        <w:t>5</w:t>
      </w:r>
      <w:r w:rsidR="00B01F41">
        <w:rPr>
          <w:rFonts w:ascii="Times New Roman" w:hAnsi="Times New Roman"/>
          <w:color w:val="000000" w:themeColor="text1"/>
        </w:rPr>
        <w:t>).</w:t>
      </w:r>
    </w:p>
    <w:p w14:paraId="5A98096B" w14:textId="77777777" w:rsidR="00B01F41" w:rsidRPr="00B05509" w:rsidRDefault="00B01F41" w:rsidP="007C3BBA">
      <w:pPr>
        <w:spacing w:line="480" w:lineRule="auto"/>
        <w:rPr>
          <w:rFonts w:ascii="Times New Roman" w:hAnsi="Times New Roman"/>
          <w:color w:val="000000" w:themeColor="text1"/>
        </w:rPr>
      </w:pPr>
    </w:p>
    <w:p w14:paraId="6CC308F7" w14:textId="34C629F2" w:rsidR="003F1F9E" w:rsidRPr="00532C3A" w:rsidRDefault="008F070D" w:rsidP="007C3BBA">
      <w:pPr>
        <w:spacing w:line="480" w:lineRule="auto"/>
        <w:rPr>
          <w:rFonts w:ascii="Times New Roman" w:hAnsi="Times New Roman"/>
          <w:b/>
        </w:rPr>
      </w:pPr>
      <w:r w:rsidRPr="00532C3A">
        <w:rPr>
          <w:rFonts w:ascii="Times New Roman" w:hAnsi="Times New Roman"/>
          <w:b/>
        </w:rPr>
        <w:t xml:space="preserve">Table </w:t>
      </w:r>
      <w:r w:rsidR="00F3186D" w:rsidRPr="00532C3A">
        <w:rPr>
          <w:rFonts w:ascii="Times New Roman" w:hAnsi="Times New Roman"/>
          <w:b/>
        </w:rPr>
        <w:t>5</w:t>
      </w:r>
      <w:r w:rsidRPr="00532C3A">
        <w:rPr>
          <w:rFonts w:ascii="Times New Roman" w:hAnsi="Times New Roman"/>
          <w:b/>
        </w:rPr>
        <w:t>. Quality versus certainty of evidence wording on understanding (Experiment 1)</w:t>
      </w:r>
    </w:p>
    <w:tbl>
      <w:tblPr>
        <w:tblW w:w="10315"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560"/>
        <w:gridCol w:w="737"/>
        <w:gridCol w:w="1134"/>
        <w:gridCol w:w="709"/>
        <w:gridCol w:w="1276"/>
        <w:gridCol w:w="1032"/>
        <w:gridCol w:w="1236"/>
        <w:gridCol w:w="1105"/>
        <w:gridCol w:w="666"/>
        <w:gridCol w:w="860"/>
      </w:tblGrid>
      <w:tr w:rsidR="008200BD" w:rsidRPr="008F070D" w14:paraId="0AF65C03" w14:textId="77777777" w:rsidTr="00F3186D">
        <w:trPr>
          <w:trHeight w:val="290"/>
        </w:trPr>
        <w:tc>
          <w:tcPr>
            <w:tcW w:w="1560" w:type="dxa"/>
            <w:tcBorders>
              <w:top w:val="single" w:sz="18" w:space="0" w:color="auto"/>
              <w:bottom w:val="nil"/>
              <w:right w:val="single" w:sz="18" w:space="0" w:color="auto"/>
            </w:tcBorders>
            <w:shd w:val="clear" w:color="auto" w:fill="auto"/>
            <w:noWrap/>
            <w:vAlign w:val="bottom"/>
            <w:hideMark/>
          </w:tcPr>
          <w:p w14:paraId="048D74C8" w14:textId="77777777" w:rsidR="008F070D" w:rsidRPr="008F070D" w:rsidRDefault="008F070D" w:rsidP="008F070D">
            <w:pPr>
              <w:rPr>
                <w:rFonts w:ascii="Times New Roman" w:hAnsi="Times New Roman"/>
              </w:rPr>
            </w:pPr>
          </w:p>
        </w:tc>
        <w:tc>
          <w:tcPr>
            <w:tcW w:w="1871" w:type="dxa"/>
            <w:gridSpan w:val="2"/>
            <w:tcBorders>
              <w:top w:val="single" w:sz="18" w:space="0" w:color="auto"/>
              <w:left w:val="single" w:sz="18" w:space="0" w:color="auto"/>
              <w:bottom w:val="nil"/>
            </w:tcBorders>
            <w:shd w:val="clear" w:color="auto" w:fill="auto"/>
            <w:noWrap/>
            <w:vAlign w:val="bottom"/>
            <w:hideMark/>
          </w:tcPr>
          <w:p w14:paraId="41C5D05B"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Quality of evidence</w:t>
            </w:r>
          </w:p>
        </w:tc>
        <w:tc>
          <w:tcPr>
            <w:tcW w:w="1985" w:type="dxa"/>
            <w:gridSpan w:val="2"/>
            <w:tcBorders>
              <w:top w:val="single" w:sz="18" w:space="0" w:color="auto"/>
              <w:bottom w:val="nil"/>
              <w:right w:val="single" w:sz="18" w:space="0" w:color="auto"/>
            </w:tcBorders>
            <w:shd w:val="clear" w:color="auto" w:fill="auto"/>
            <w:noWrap/>
            <w:vAlign w:val="bottom"/>
            <w:hideMark/>
          </w:tcPr>
          <w:p w14:paraId="5CD719A2"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Certainty of evidence</w:t>
            </w:r>
          </w:p>
        </w:tc>
        <w:tc>
          <w:tcPr>
            <w:tcW w:w="1032" w:type="dxa"/>
            <w:tcBorders>
              <w:top w:val="single" w:sz="18" w:space="0" w:color="auto"/>
              <w:left w:val="single" w:sz="18" w:space="0" w:color="auto"/>
              <w:bottom w:val="nil"/>
            </w:tcBorders>
            <w:shd w:val="clear" w:color="auto" w:fill="auto"/>
            <w:noWrap/>
            <w:vAlign w:val="bottom"/>
            <w:hideMark/>
          </w:tcPr>
          <w:p w14:paraId="42FF4F3E" w14:textId="77777777" w:rsidR="008F070D" w:rsidRPr="008F070D" w:rsidRDefault="008F070D" w:rsidP="008F070D">
            <w:pPr>
              <w:jc w:val="center"/>
              <w:rPr>
                <w:rFonts w:ascii="Times New Roman" w:hAnsi="Times New Roman"/>
                <w:color w:val="000000"/>
                <w:sz w:val="20"/>
                <w:szCs w:val="20"/>
              </w:rPr>
            </w:pPr>
          </w:p>
        </w:tc>
        <w:tc>
          <w:tcPr>
            <w:tcW w:w="1236" w:type="dxa"/>
            <w:tcBorders>
              <w:top w:val="single" w:sz="18" w:space="0" w:color="auto"/>
              <w:bottom w:val="nil"/>
            </w:tcBorders>
            <w:shd w:val="clear" w:color="auto" w:fill="auto"/>
            <w:noWrap/>
            <w:vAlign w:val="bottom"/>
            <w:hideMark/>
          </w:tcPr>
          <w:p w14:paraId="578FCCDF" w14:textId="77777777" w:rsidR="008F070D" w:rsidRPr="008F070D" w:rsidRDefault="008F070D" w:rsidP="008F070D">
            <w:pPr>
              <w:rPr>
                <w:rFonts w:ascii="Times New Roman" w:hAnsi="Times New Roman"/>
                <w:sz w:val="20"/>
                <w:szCs w:val="20"/>
              </w:rPr>
            </w:pPr>
          </w:p>
        </w:tc>
        <w:tc>
          <w:tcPr>
            <w:tcW w:w="1105" w:type="dxa"/>
            <w:tcBorders>
              <w:top w:val="single" w:sz="18" w:space="0" w:color="auto"/>
              <w:bottom w:val="nil"/>
            </w:tcBorders>
            <w:shd w:val="clear" w:color="auto" w:fill="auto"/>
            <w:noWrap/>
            <w:vAlign w:val="bottom"/>
            <w:hideMark/>
          </w:tcPr>
          <w:p w14:paraId="42B36E90" w14:textId="77777777" w:rsidR="008F070D" w:rsidRPr="008F070D" w:rsidRDefault="008F070D" w:rsidP="008F070D">
            <w:pPr>
              <w:rPr>
                <w:rFonts w:ascii="Times New Roman" w:hAnsi="Times New Roman"/>
                <w:sz w:val="20"/>
                <w:szCs w:val="20"/>
              </w:rPr>
            </w:pPr>
          </w:p>
        </w:tc>
        <w:tc>
          <w:tcPr>
            <w:tcW w:w="666" w:type="dxa"/>
            <w:tcBorders>
              <w:top w:val="single" w:sz="18" w:space="0" w:color="auto"/>
              <w:bottom w:val="nil"/>
            </w:tcBorders>
            <w:shd w:val="clear" w:color="auto" w:fill="auto"/>
            <w:noWrap/>
            <w:vAlign w:val="bottom"/>
            <w:hideMark/>
          </w:tcPr>
          <w:p w14:paraId="78A56533" w14:textId="77777777" w:rsidR="008F070D" w:rsidRPr="008F070D" w:rsidRDefault="008F070D" w:rsidP="008F070D">
            <w:pPr>
              <w:rPr>
                <w:rFonts w:ascii="Times New Roman" w:hAnsi="Times New Roman"/>
                <w:sz w:val="20"/>
                <w:szCs w:val="20"/>
              </w:rPr>
            </w:pPr>
          </w:p>
        </w:tc>
        <w:tc>
          <w:tcPr>
            <w:tcW w:w="860" w:type="dxa"/>
            <w:tcBorders>
              <w:top w:val="single" w:sz="18" w:space="0" w:color="auto"/>
              <w:bottom w:val="nil"/>
            </w:tcBorders>
            <w:shd w:val="clear" w:color="auto" w:fill="auto"/>
            <w:noWrap/>
            <w:vAlign w:val="bottom"/>
            <w:hideMark/>
          </w:tcPr>
          <w:p w14:paraId="7C283C07" w14:textId="77777777" w:rsidR="008F070D" w:rsidRPr="008F070D" w:rsidRDefault="008F070D" w:rsidP="008F070D">
            <w:pPr>
              <w:rPr>
                <w:rFonts w:ascii="Times New Roman" w:hAnsi="Times New Roman"/>
                <w:sz w:val="20"/>
                <w:szCs w:val="20"/>
              </w:rPr>
            </w:pPr>
          </w:p>
        </w:tc>
      </w:tr>
      <w:tr w:rsidR="00546965" w:rsidRPr="008F070D" w14:paraId="4EF5FE81" w14:textId="77777777" w:rsidTr="00546965">
        <w:trPr>
          <w:trHeight w:val="560"/>
        </w:trPr>
        <w:tc>
          <w:tcPr>
            <w:tcW w:w="1560" w:type="dxa"/>
            <w:tcBorders>
              <w:top w:val="nil"/>
              <w:bottom w:val="single" w:sz="18" w:space="0" w:color="auto"/>
              <w:right w:val="single" w:sz="18" w:space="0" w:color="auto"/>
            </w:tcBorders>
            <w:shd w:val="clear" w:color="auto" w:fill="auto"/>
            <w:noWrap/>
            <w:vAlign w:val="bottom"/>
            <w:hideMark/>
          </w:tcPr>
          <w:p w14:paraId="75F80B46"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737" w:type="dxa"/>
            <w:tcBorders>
              <w:top w:val="nil"/>
              <w:left w:val="single" w:sz="18" w:space="0" w:color="auto"/>
              <w:bottom w:val="single" w:sz="18" w:space="0" w:color="auto"/>
            </w:tcBorders>
            <w:shd w:val="clear" w:color="auto" w:fill="auto"/>
            <w:noWrap/>
            <w:vAlign w:val="bottom"/>
            <w:hideMark/>
          </w:tcPr>
          <w:p w14:paraId="47D56A93"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Mean</w:t>
            </w:r>
          </w:p>
        </w:tc>
        <w:tc>
          <w:tcPr>
            <w:tcW w:w="1134" w:type="dxa"/>
            <w:tcBorders>
              <w:top w:val="nil"/>
              <w:bottom w:val="single" w:sz="18" w:space="0" w:color="auto"/>
            </w:tcBorders>
            <w:shd w:val="clear" w:color="auto" w:fill="auto"/>
            <w:noWrap/>
            <w:vAlign w:val="bottom"/>
            <w:hideMark/>
          </w:tcPr>
          <w:p w14:paraId="616663D7"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95% CI</w:t>
            </w:r>
          </w:p>
        </w:tc>
        <w:tc>
          <w:tcPr>
            <w:tcW w:w="709" w:type="dxa"/>
            <w:tcBorders>
              <w:top w:val="nil"/>
              <w:bottom w:val="single" w:sz="18" w:space="0" w:color="auto"/>
            </w:tcBorders>
            <w:shd w:val="clear" w:color="auto" w:fill="auto"/>
            <w:noWrap/>
            <w:vAlign w:val="bottom"/>
            <w:hideMark/>
          </w:tcPr>
          <w:p w14:paraId="30111229"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Mean</w:t>
            </w:r>
          </w:p>
        </w:tc>
        <w:tc>
          <w:tcPr>
            <w:tcW w:w="1276" w:type="dxa"/>
            <w:tcBorders>
              <w:top w:val="nil"/>
              <w:bottom w:val="single" w:sz="18" w:space="0" w:color="auto"/>
              <w:right w:val="single" w:sz="18" w:space="0" w:color="auto"/>
            </w:tcBorders>
            <w:shd w:val="clear" w:color="auto" w:fill="auto"/>
            <w:noWrap/>
            <w:vAlign w:val="bottom"/>
            <w:hideMark/>
          </w:tcPr>
          <w:p w14:paraId="19F28DAE"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95% CI</w:t>
            </w:r>
          </w:p>
        </w:tc>
        <w:tc>
          <w:tcPr>
            <w:tcW w:w="1032" w:type="dxa"/>
            <w:tcBorders>
              <w:top w:val="nil"/>
              <w:left w:val="single" w:sz="18" w:space="0" w:color="auto"/>
              <w:bottom w:val="single" w:sz="18" w:space="0" w:color="auto"/>
            </w:tcBorders>
            <w:shd w:val="clear" w:color="auto" w:fill="auto"/>
            <w:vAlign w:val="bottom"/>
            <w:hideMark/>
          </w:tcPr>
          <w:p w14:paraId="09321D70"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Mean difference</w:t>
            </w:r>
          </w:p>
        </w:tc>
        <w:tc>
          <w:tcPr>
            <w:tcW w:w="1236" w:type="dxa"/>
            <w:tcBorders>
              <w:top w:val="nil"/>
              <w:bottom w:val="single" w:sz="18" w:space="0" w:color="auto"/>
            </w:tcBorders>
            <w:shd w:val="clear" w:color="auto" w:fill="auto"/>
            <w:noWrap/>
            <w:vAlign w:val="bottom"/>
            <w:hideMark/>
          </w:tcPr>
          <w:p w14:paraId="62A00144"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95% CI</w:t>
            </w:r>
          </w:p>
        </w:tc>
        <w:tc>
          <w:tcPr>
            <w:tcW w:w="1105" w:type="dxa"/>
            <w:tcBorders>
              <w:top w:val="nil"/>
              <w:bottom w:val="single" w:sz="18" w:space="0" w:color="auto"/>
            </w:tcBorders>
            <w:shd w:val="clear" w:color="auto" w:fill="auto"/>
            <w:noWrap/>
            <w:vAlign w:val="bottom"/>
            <w:hideMark/>
          </w:tcPr>
          <w:p w14:paraId="2F5D74A8"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666" w:type="dxa"/>
            <w:tcBorders>
              <w:top w:val="nil"/>
              <w:bottom w:val="single" w:sz="18" w:space="0" w:color="auto"/>
            </w:tcBorders>
            <w:shd w:val="clear" w:color="auto" w:fill="auto"/>
            <w:noWrap/>
            <w:vAlign w:val="bottom"/>
            <w:hideMark/>
          </w:tcPr>
          <w:p w14:paraId="2F511A8A"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p</w:t>
            </w:r>
          </w:p>
        </w:tc>
        <w:tc>
          <w:tcPr>
            <w:tcW w:w="860" w:type="dxa"/>
            <w:tcBorders>
              <w:top w:val="nil"/>
              <w:bottom w:val="single" w:sz="18" w:space="0" w:color="auto"/>
            </w:tcBorders>
            <w:shd w:val="clear" w:color="auto" w:fill="auto"/>
            <w:noWrap/>
            <w:vAlign w:val="bottom"/>
            <w:hideMark/>
          </w:tcPr>
          <w:p w14:paraId="5573DAE0"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Cohen's d</w:t>
            </w:r>
          </w:p>
        </w:tc>
      </w:tr>
      <w:tr w:rsidR="00546965" w:rsidRPr="008F070D" w14:paraId="4543369B" w14:textId="77777777" w:rsidTr="00546965">
        <w:trPr>
          <w:trHeight w:val="530"/>
        </w:trPr>
        <w:tc>
          <w:tcPr>
            <w:tcW w:w="1560" w:type="dxa"/>
            <w:tcBorders>
              <w:top w:val="single" w:sz="18" w:space="0" w:color="auto"/>
              <w:bottom w:val="single" w:sz="4" w:space="0" w:color="auto"/>
              <w:right w:val="single" w:sz="18" w:space="0" w:color="auto"/>
            </w:tcBorders>
            <w:shd w:val="clear" w:color="auto" w:fill="auto"/>
            <w:vAlign w:val="bottom"/>
            <w:hideMark/>
          </w:tcPr>
          <w:p w14:paraId="2711FDC1"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xml:space="preserve">Ease and completeness of comprehension </w:t>
            </w:r>
          </w:p>
        </w:tc>
        <w:tc>
          <w:tcPr>
            <w:tcW w:w="737" w:type="dxa"/>
            <w:tcBorders>
              <w:top w:val="single" w:sz="18" w:space="0" w:color="auto"/>
              <w:left w:val="single" w:sz="18" w:space="0" w:color="auto"/>
              <w:bottom w:val="single" w:sz="4" w:space="0" w:color="auto"/>
            </w:tcBorders>
            <w:shd w:val="clear" w:color="auto" w:fill="auto"/>
            <w:noWrap/>
            <w:vAlign w:val="bottom"/>
            <w:hideMark/>
          </w:tcPr>
          <w:p w14:paraId="7840A150"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5.68</w:t>
            </w:r>
          </w:p>
        </w:tc>
        <w:tc>
          <w:tcPr>
            <w:tcW w:w="1134" w:type="dxa"/>
            <w:tcBorders>
              <w:top w:val="single" w:sz="18" w:space="0" w:color="auto"/>
              <w:bottom w:val="single" w:sz="4" w:space="0" w:color="auto"/>
            </w:tcBorders>
            <w:shd w:val="clear" w:color="auto" w:fill="auto"/>
            <w:noWrap/>
            <w:vAlign w:val="bottom"/>
            <w:hideMark/>
          </w:tcPr>
          <w:p w14:paraId="62796FD9"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[5.56,5.80]</w:t>
            </w:r>
          </w:p>
        </w:tc>
        <w:tc>
          <w:tcPr>
            <w:tcW w:w="709" w:type="dxa"/>
            <w:tcBorders>
              <w:top w:val="single" w:sz="18" w:space="0" w:color="auto"/>
              <w:bottom w:val="single" w:sz="4" w:space="0" w:color="auto"/>
            </w:tcBorders>
            <w:shd w:val="clear" w:color="auto" w:fill="auto"/>
            <w:noWrap/>
            <w:vAlign w:val="bottom"/>
            <w:hideMark/>
          </w:tcPr>
          <w:p w14:paraId="67C4C659"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5.47</w:t>
            </w:r>
          </w:p>
        </w:tc>
        <w:tc>
          <w:tcPr>
            <w:tcW w:w="1276" w:type="dxa"/>
            <w:tcBorders>
              <w:top w:val="single" w:sz="18" w:space="0" w:color="auto"/>
              <w:bottom w:val="single" w:sz="4" w:space="0" w:color="auto"/>
              <w:right w:val="single" w:sz="18" w:space="0" w:color="auto"/>
            </w:tcBorders>
            <w:shd w:val="clear" w:color="auto" w:fill="auto"/>
            <w:noWrap/>
            <w:vAlign w:val="bottom"/>
            <w:hideMark/>
          </w:tcPr>
          <w:p w14:paraId="02FA4177"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[5.34,5.60]</w:t>
            </w:r>
          </w:p>
        </w:tc>
        <w:tc>
          <w:tcPr>
            <w:tcW w:w="1032" w:type="dxa"/>
            <w:tcBorders>
              <w:top w:val="single" w:sz="18" w:space="0" w:color="auto"/>
              <w:left w:val="single" w:sz="18" w:space="0" w:color="auto"/>
              <w:bottom w:val="single" w:sz="4" w:space="0" w:color="auto"/>
            </w:tcBorders>
            <w:shd w:val="clear" w:color="auto" w:fill="auto"/>
            <w:noWrap/>
            <w:vAlign w:val="bottom"/>
            <w:hideMark/>
          </w:tcPr>
          <w:p w14:paraId="55AE32BE"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0.21</w:t>
            </w:r>
          </w:p>
        </w:tc>
        <w:tc>
          <w:tcPr>
            <w:tcW w:w="1236" w:type="dxa"/>
            <w:tcBorders>
              <w:top w:val="single" w:sz="18" w:space="0" w:color="auto"/>
              <w:bottom w:val="single" w:sz="4" w:space="0" w:color="auto"/>
            </w:tcBorders>
            <w:shd w:val="clear" w:color="auto" w:fill="auto"/>
            <w:noWrap/>
            <w:vAlign w:val="bottom"/>
            <w:hideMark/>
          </w:tcPr>
          <w:p w14:paraId="16DD8BEE"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[0.03,0.38]</w:t>
            </w:r>
          </w:p>
        </w:tc>
        <w:tc>
          <w:tcPr>
            <w:tcW w:w="1105" w:type="dxa"/>
            <w:tcBorders>
              <w:top w:val="single" w:sz="18" w:space="0" w:color="auto"/>
              <w:bottom w:val="single" w:sz="4" w:space="0" w:color="auto"/>
            </w:tcBorders>
            <w:shd w:val="clear" w:color="auto" w:fill="auto"/>
            <w:noWrap/>
            <w:vAlign w:val="bottom"/>
            <w:hideMark/>
          </w:tcPr>
          <w:p w14:paraId="4C4DD8F7" w14:textId="77777777" w:rsidR="008F070D" w:rsidRPr="008F070D" w:rsidRDefault="008F070D" w:rsidP="008F070D">
            <w:pPr>
              <w:rPr>
                <w:rFonts w:ascii="Times New Roman" w:hAnsi="Times New Roman"/>
                <w:i/>
                <w:iCs/>
                <w:color w:val="000000"/>
                <w:sz w:val="20"/>
                <w:szCs w:val="20"/>
              </w:rPr>
            </w:pPr>
            <w:r w:rsidRPr="008F070D">
              <w:rPr>
                <w:rFonts w:ascii="Times New Roman" w:hAnsi="Times New Roman"/>
                <w:i/>
                <w:iCs/>
                <w:color w:val="000000"/>
                <w:sz w:val="20"/>
                <w:szCs w:val="20"/>
              </w:rPr>
              <w:t>t</w:t>
            </w:r>
            <w:r w:rsidRPr="008F070D">
              <w:rPr>
                <w:rFonts w:ascii="Times New Roman" w:hAnsi="Times New Roman"/>
                <w:color w:val="000000"/>
                <w:sz w:val="20"/>
                <w:szCs w:val="20"/>
              </w:rPr>
              <w:t>(939.1) = 2.26</w:t>
            </w:r>
          </w:p>
        </w:tc>
        <w:tc>
          <w:tcPr>
            <w:tcW w:w="666" w:type="dxa"/>
            <w:tcBorders>
              <w:top w:val="single" w:sz="18" w:space="0" w:color="auto"/>
              <w:bottom w:val="single" w:sz="4" w:space="0" w:color="auto"/>
            </w:tcBorders>
            <w:shd w:val="clear" w:color="auto" w:fill="auto"/>
            <w:noWrap/>
            <w:vAlign w:val="bottom"/>
            <w:hideMark/>
          </w:tcPr>
          <w:p w14:paraId="61895BB6"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0.024</w:t>
            </w:r>
          </w:p>
        </w:tc>
        <w:tc>
          <w:tcPr>
            <w:tcW w:w="860" w:type="dxa"/>
            <w:tcBorders>
              <w:top w:val="single" w:sz="18" w:space="0" w:color="auto"/>
              <w:bottom w:val="single" w:sz="4" w:space="0" w:color="auto"/>
            </w:tcBorders>
            <w:shd w:val="clear" w:color="auto" w:fill="auto"/>
            <w:noWrap/>
            <w:vAlign w:val="bottom"/>
            <w:hideMark/>
          </w:tcPr>
          <w:p w14:paraId="6D90491B"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0.15</w:t>
            </w:r>
          </w:p>
        </w:tc>
      </w:tr>
      <w:tr w:rsidR="00546965" w:rsidRPr="008F070D" w14:paraId="3E65275F" w14:textId="77777777" w:rsidTr="00546965">
        <w:trPr>
          <w:trHeight w:val="290"/>
        </w:trPr>
        <w:tc>
          <w:tcPr>
            <w:tcW w:w="1560" w:type="dxa"/>
            <w:tcBorders>
              <w:top w:val="single" w:sz="4" w:space="0" w:color="auto"/>
              <w:bottom w:val="single" w:sz="18" w:space="0" w:color="auto"/>
              <w:right w:val="single" w:sz="18" w:space="0" w:color="auto"/>
            </w:tcBorders>
            <w:shd w:val="clear" w:color="auto" w:fill="auto"/>
            <w:noWrap/>
            <w:vAlign w:val="bottom"/>
            <w:hideMark/>
          </w:tcPr>
          <w:p w14:paraId="767DA827"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lastRenderedPageBreak/>
              <w:t>Mann-Whitney test</w:t>
            </w:r>
          </w:p>
        </w:tc>
        <w:tc>
          <w:tcPr>
            <w:tcW w:w="737" w:type="dxa"/>
            <w:tcBorders>
              <w:top w:val="single" w:sz="4" w:space="0" w:color="auto"/>
              <w:left w:val="single" w:sz="18" w:space="0" w:color="auto"/>
              <w:bottom w:val="single" w:sz="18" w:space="0" w:color="auto"/>
            </w:tcBorders>
            <w:shd w:val="clear" w:color="auto" w:fill="auto"/>
            <w:noWrap/>
            <w:vAlign w:val="bottom"/>
            <w:hideMark/>
          </w:tcPr>
          <w:p w14:paraId="4DA8C505" w14:textId="77777777" w:rsidR="008F070D" w:rsidRPr="008F070D" w:rsidRDefault="008F070D" w:rsidP="008F070D">
            <w:pPr>
              <w:rPr>
                <w:rFonts w:ascii="Times New Roman" w:hAnsi="Times New Roman"/>
                <w:color w:val="000000"/>
                <w:sz w:val="20"/>
                <w:szCs w:val="20"/>
              </w:rPr>
            </w:pPr>
          </w:p>
        </w:tc>
        <w:tc>
          <w:tcPr>
            <w:tcW w:w="1134" w:type="dxa"/>
            <w:tcBorders>
              <w:top w:val="single" w:sz="4" w:space="0" w:color="auto"/>
              <w:bottom w:val="single" w:sz="18" w:space="0" w:color="auto"/>
            </w:tcBorders>
            <w:shd w:val="clear" w:color="auto" w:fill="auto"/>
            <w:noWrap/>
            <w:vAlign w:val="bottom"/>
            <w:hideMark/>
          </w:tcPr>
          <w:p w14:paraId="5E9B3D89" w14:textId="77777777" w:rsidR="008F070D" w:rsidRPr="008F070D" w:rsidRDefault="008F070D" w:rsidP="008F070D">
            <w:pPr>
              <w:rPr>
                <w:rFonts w:ascii="Times New Roman" w:hAnsi="Times New Roman"/>
                <w:sz w:val="20"/>
                <w:szCs w:val="20"/>
              </w:rPr>
            </w:pPr>
          </w:p>
        </w:tc>
        <w:tc>
          <w:tcPr>
            <w:tcW w:w="709" w:type="dxa"/>
            <w:tcBorders>
              <w:top w:val="single" w:sz="4" w:space="0" w:color="auto"/>
              <w:bottom w:val="single" w:sz="18" w:space="0" w:color="auto"/>
            </w:tcBorders>
            <w:shd w:val="clear" w:color="auto" w:fill="auto"/>
            <w:noWrap/>
            <w:vAlign w:val="bottom"/>
            <w:hideMark/>
          </w:tcPr>
          <w:p w14:paraId="0494A01E" w14:textId="77777777" w:rsidR="008F070D" w:rsidRPr="008F070D" w:rsidRDefault="008F070D" w:rsidP="008F070D">
            <w:pPr>
              <w:rPr>
                <w:rFonts w:ascii="Times New Roman" w:hAnsi="Times New Roman"/>
                <w:sz w:val="20"/>
                <w:szCs w:val="20"/>
              </w:rPr>
            </w:pPr>
          </w:p>
        </w:tc>
        <w:tc>
          <w:tcPr>
            <w:tcW w:w="1276" w:type="dxa"/>
            <w:tcBorders>
              <w:top w:val="single" w:sz="4" w:space="0" w:color="auto"/>
              <w:bottom w:val="single" w:sz="18" w:space="0" w:color="auto"/>
              <w:right w:val="single" w:sz="18" w:space="0" w:color="auto"/>
            </w:tcBorders>
            <w:shd w:val="clear" w:color="auto" w:fill="auto"/>
            <w:noWrap/>
            <w:vAlign w:val="bottom"/>
            <w:hideMark/>
          </w:tcPr>
          <w:p w14:paraId="54CF4F3A" w14:textId="77777777" w:rsidR="008F070D" w:rsidRPr="008F070D" w:rsidRDefault="008F070D" w:rsidP="008F070D">
            <w:pPr>
              <w:rPr>
                <w:rFonts w:ascii="Times New Roman" w:hAnsi="Times New Roman"/>
                <w:sz w:val="20"/>
                <w:szCs w:val="20"/>
              </w:rPr>
            </w:pPr>
          </w:p>
        </w:tc>
        <w:tc>
          <w:tcPr>
            <w:tcW w:w="1032" w:type="dxa"/>
            <w:tcBorders>
              <w:top w:val="single" w:sz="4" w:space="0" w:color="auto"/>
              <w:left w:val="single" w:sz="18" w:space="0" w:color="auto"/>
              <w:bottom w:val="single" w:sz="18" w:space="0" w:color="auto"/>
            </w:tcBorders>
            <w:shd w:val="clear" w:color="auto" w:fill="auto"/>
            <w:noWrap/>
            <w:vAlign w:val="bottom"/>
            <w:hideMark/>
          </w:tcPr>
          <w:p w14:paraId="301F43FB" w14:textId="77777777" w:rsidR="008F070D" w:rsidRPr="008F070D" w:rsidRDefault="008F070D" w:rsidP="008F070D">
            <w:pPr>
              <w:rPr>
                <w:rFonts w:ascii="Times New Roman" w:hAnsi="Times New Roman"/>
                <w:sz w:val="20"/>
                <w:szCs w:val="20"/>
              </w:rPr>
            </w:pPr>
          </w:p>
        </w:tc>
        <w:tc>
          <w:tcPr>
            <w:tcW w:w="1236" w:type="dxa"/>
            <w:tcBorders>
              <w:top w:val="single" w:sz="4" w:space="0" w:color="auto"/>
              <w:bottom w:val="single" w:sz="18" w:space="0" w:color="auto"/>
            </w:tcBorders>
            <w:shd w:val="clear" w:color="auto" w:fill="auto"/>
            <w:noWrap/>
            <w:vAlign w:val="bottom"/>
            <w:hideMark/>
          </w:tcPr>
          <w:p w14:paraId="3A7FBAD7" w14:textId="77777777" w:rsidR="008F070D" w:rsidRPr="008F070D" w:rsidRDefault="008F070D" w:rsidP="008F070D">
            <w:pPr>
              <w:jc w:val="center"/>
              <w:rPr>
                <w:rFonts w:ascii="Times New Roman" w:hAnsi="Times New Roman"/>
                <w:sz w:val="20"/>
                <w:szCs w:val="20"/>
              </w:rPr>
            </w:pPr>
          </w:p>
        </w:tc>
        <w:tc>
          <w:tcPr>
            <w:tcW w:w="1105" w:type="dxa"/>
            <w:tcBorders>
              <w:top w:val="single" w:sz="4" w:space="0" w:color="auto"/>
              <w:bottom w:val="single" w:sz="18" w:space="0" w:color="auto"/>
            </w:tcBorders>
            <w:shd w:val="clear" w:color="auto" w:fill="auto"/>
            <w:noWrap/>
            <w:vAlign w:val="bottom"/>
            <w:hideMark/>
          </w:tcPr>
          <w:p w14:paraId="512FAEF5"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W = 121759</w:t>
            </w:r>
          </w:p>
        </w:tc>
        <w:tc>
          <w:tcPr>
            <w:tcW w:w="666" w:type="dxa"/>
            <w:tcBorders>
              <w:top w:val="single" w:sz="4" w:space="0" w:color="auto"/>
              <w:bottom w:val="single" w:sz="18" w:space="0" w:color="auto"/>
            </w:tcBorders>
            <w:shd w:val="clear" w:color="auto" w:fill="auto"/>
            <w:noWrap/>
            <w:vAlign w:val="bottom"/>
            <w:hideMark/>
          </w:tcPr>
          <w:p w14:paraId="2D57D994"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0.026</w:t>
            </w:r>
          </w:p>
        </w:tc>
        <w:tc>
          <w:tcPr>
            <w:tcW w:w="860" w:type="dxa"/>
            <w:tcBorders>
              <w:top w:val="single" w:sz="4" w:space="0" w:color="auto"/>
              <w:bottom w:val="single" w:sz="18" w:space="0" w:color="auto"/>
            </w:tcBorders>
            <w:shd w:val="clear" w:color="auto" w:fill="auto"/>
            <w:noWrap/>
            <w:vAlign w:val="bottom"/>
            <w:hideMark/>
          </w:tcPr>
          <w:p w14:paraId="1E42BDD0" w14:textId="77777777" w:rsidR="008F070D" w:rsidRPr="008F070D" w:rsidRDefault="008F070D" w:rsidP="008F070D">
            <w:pPr>
              <w:jc w:val="center"/>
              <w:rPr>
                <w:rFonts w:ascii="Times New Roman" w:hAnsi="Times New Roman"/>
                <w:color w:val="000000"/>
                <w:sz w:val="20"/>
                <w:szCs w:val="20"/>
              </w:rPr>
            </w:pPr>
          </w:p>
        </w:tc>
      </w:tr>
      <w:tr w:rsidR="0083591F" w:rsidRPr="008F070D" w14:paraId="1A258A57" w14:textId="77777777" w:rsidTr="00F3186D">
        <w:trPr>
          <w:trHeight w:val="510"/>
        </w:trPr>
        <w:tc>
          <w:tcPr>
            <w:tcW w:w="1560" w:type="dxa"/>
            <w:tcBorders>
              <w:top w:val="single" w:sz="18" w:space="0" w:color="auto"/>
              <w:right w:val="single" w:sz="18" w:space="0" w:color="auto"/>
            </w:tcBorders>
            <w:shd w:val="clear" w:color="auto" w:fill="auto"/>
            <w:vAlign w:val="bottom"/>
            <w:hideMark/>
          </w:tcPr>
          <w:p w14:paraId="08CB3084"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Effort invested in understanding</w:t>
            </w:r>
          </w:p>
        </w:tc>
        <w:tc>
          <w:tcPr>
            <w:tcW w:w="737" w:type="dxa"/>
            <w:tcBorders>
              <w:top w:val="single" w:sz="18" w:space="0" w:color="auto"/>
              <w:left w:val="single" w:sz="18" w:space="0" w:color="auto"/>
            </w:tcBorders>
            <w:shd w:val="clear" w:color="auto" w:fill="auto"/>
            <w:noWrap/>
            <w:vAlign w:val="bottom"/>
            <w:hideMark/>
          </w:tcPr>
          <w:p w14:paraId="7610DF4A"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3.79</w:t>
            </w:r>
          </w:p>
        </w:tc>
        <w:tc>
          <w:tcPr>
            <w:tcW w:w="1134" w:type="dxa"/>
            <w:tcBorders>
              <w:top w:val="single" w:sz="18" w:space="0" w:color="auto"/>
            </w:tcBorders>
            <w:shd w:val="clear" w:color="auto" w:fill="auto"/>
            <w:noWrap/>
            <w:vAlign w:val="bottom"/>
            <w:hideMark/>
          </w:tcPr>
          <w:p w14:paraId="00530D17"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[3.62,3.97]</w:t>
            </w:r>
          </w:p>
        </w:tc>
        <w:tc>
          <w:tcPr>
            <w:tcW w:w="709" w:type="dxa"/>
            <w:tcBorders>
              <w:top w:val="single" w:sz="18" w:space="0" w:color="auto"/>
            </w:tcBorders>
            <w:shd w:val="clear" w:color="auto" w:fill="auto"/>
            <w:noWrap/>
            <w:vAlign w:val="bottom"/>
            <w:hideMark/>
          </w:tcPr>
          <w:p w14:paraId="0D29D625"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3.95</w:t>
            </w:r>
          </w:p>
        </w:tc>
        <w:tc>
          <w:tcPr>
            <w:tcW w:w="1276" w:type="dxa"/>
            <w:tcBorders>
              <w:top w:val="single" w:sz="18" w:space="0" w:color="auto"/>
              <w:right w:val="single" w:sz="18" w:space="0" w:color="auto"/>
            </w:tcBorders>
            <w:shd w:val="clear" w:color="auto" w:fill="auto"/>
            <w:noWrap/>
            <w:vAlign w:val="bottom"/>
            <w:hideMark/>
          </w:tcPr>
          <w:p w14:paraId="1908F20F"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[3.78,4.13]</w:t>
            </w:r>
          </w:p>
        </w:tc>
        <w:tc>
          <w:tcPr>
            <w:tcW w:w="1032" w:type="dxa"/>
            <w:tcBorders>
              <w:top w:val="single" w:sz="18" w:space="0" w:color="auto"/>
              <w:left w:val="single" w:sz="18" w:space="0" w:color="auto"/>
            </w:tcBorders>
            <w:shd w:val="clear" w:color="auto" w:fill="auto"/>
            <w:noWrap/>
            <w:vAlign w:val="bottom"/>
            <w:hideMark/>
          </w:tcPr>
          <w:p w14:paraId="073AD62D"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-0.14</w:t>
            </w:r>
          </w:p>
        </w:tc>
        <w:tc>
          <w:tcPr>
            <w:tcW w:w="1236" w:type="dxa"/>
            <w:tcBorders>
              <w:top w:val="single" w:sz="18" w:space="0" w:color="auto"/>
            </w:tcBorders>
            <w:shd w:val="clear" w:color="auto" w:fill="auto"/>
            <w:noWrap/>
            <w:vAlign w:val="bottom"/>
            <w:hideMark/>
          </w:tcPr>
          <w:p w14:paraId="7737316E"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[-0.40,0.09]</w:t>
            </w:r>
          </w:p>
        </w:tc>
        <w:tc>
          <w:tcPr>
            <w:tcW w:w="1105" w:type="dxa"/>
            <w:tcBorders>
              <w:top w:val="single" w:sz="18" w:space="0" w:color="auto"/>
            </w:tcBorders>
            <w:shd w:val="clear" w:color="auto" w:fill="auto"/>
            <w:noWrap/>
            <w:vAlign w:val="bottom"/>
            <w:hideMark/>
          </w:tcPr>
          <w:p w14:paraId="1B70508C" w14:textId="77777777" w:rsidR="008F070D" w:rsidRPr="008F070D" w:rsidRDefault="008F070D" w:rsidP="008F070D">
            <w:pPr>
              <w:rPr>
                <w:rFonts w:ascii="Times New Roman" w:hAnsi="Times New Roman"/>
                <w:i/>
                <w:iCs/>
                <w:color w:val="000000"/>
                <w:sz w:val="20"/>
                <w:szCs w:val="20"/>
              </w:rPr>
            </w:pPr>
            <w:r w:rsidRPr="008F070D">
              <w:rPr>
                <w:rFonts w:ascii="Times New Roman" w:hAnsi="Times New Roman"/>
                <w:i/>
                <w:iCs/>
                <w:color w:val="000000"/>
                <w:sz w:val="20"/>
                <w:szCs w:val="20"/>
              </w:rPr>
              <w:t>t</w:t>
            </w:r>
            <w:r w:rsidRPr="008F070D">
              <w:rPr>
                <w:rFonts w:ascii="Times New Roman" w:hAnsi="Times New Roman"/>
                <w:color w:val="000000"/>
                <w:sz w:val="20"/>
                <w:szCs w:val="20"/>
              </w:rPr>
              <w:t>(946) = -1.26</w:t>
            </w:r>
          </w:p>
        </w:tc>
        <w:tc>
          <w:tcPr>
            <w:tcW w:w="666" w:type="dxa"/>
            <w:tcBorders>
              <w:top w:val="single" w:sz="18" w:space="0" w:color="auto"/>
            </w:tcBorders>
            <w:shd w:val="clear" w:color="auto" w:fill="auto"/>
            <w:noWrap/>
            <w:vAlign w:val="bottom"/>
            <w:hideMark/>
          </w:tcPr>
          <w:p w14:paraId="3ECEC53B"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0.209</w:t>
            </w:r>
          </w:p>
        </w:tc>
        <w:tc>
          <w:tcPr>
            <w:tcW w:w="860" w:type="dxa"/>
            <w:tcBorders>
              <w:top w:val="single" w:sz="18" w:space="0" w:color="auto"/>
            </w:tcBorders>
            <w:shd w:val="clear" w:color="auto" w:fill="auto"/>
            <w:noWrap/>
            <w:vAlign w:val="bottom"/>
            <w:hideMark/>
          </w:tcPr>
          <w:p w14:paraId="1D712F05" w14:textId="77777777" w:rsidR="008F070D" w:rsidRPr="008F070D" w:rsidRDefault="008F070D" w:rsidP="008F070D">
            <w:pPr>
              <w:jc w:val="center"/>
              <w:rPr>
                <w:rFonts w:ascii="Times New Roman" w:hAnsi="Times New Roman"/>
                <w:color w:val="000000"/>
                <w:sz w:val="20"/>
                <w:szCs w:val="20"/>
              </w:rPr>
            </w:pPr>
          </w:p>
        </w:tc>
      </w:tr>
      <w:tr w:rsidR="00546965" w:rsidRPr="008F070D" w14:paraId="6907D4B8" w14:textId="77777777" w:rsidTr="00546965">
        <w:trPr>
          <w:trHeight w:val="290"/>
        </w:trPr>
        <w:tc>
          <w:tcPr>
            <w:tcW w:w="1560" w:type="dxa"/>
            <w:tcBorders>
              <w:bottom w:val="single" w:sz="18" w:space="0" w:color="auto"/>
              <w:right w:val="single" w:sz="18" w:space="0" w:color="auto"/>
            </w:tcBorders>
            <w:shd w:val="clear" w:color="auto" w:fill="auto"/>
            <w:noWrap/>
            <w:vAlign w:val="bottom"/>
            <w:hideMark/>
          </w:tcPr>
          <w:p w14:paraId="2D38F5F0"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Mann-Whitney test</w:t>
            </w:r>
          </w:p>
        </w:tc>
        <w:tc>
          <w:tcPr>
            <w:tcW w:w="737" w:type="dxa"/>
            <w:tcBorders>
              <w:left w:val="single" w:sz="18" w:space="0" w:color="auto"/>
            </w:tcBorders>
            <w:shd w:val="clear" w:color="auto" w:fill="auto"/>
            <w:noWrap/>
            <w:vAlign w:val="bottom"/>
            <w:hideMark/>
          </w:tcPr>
          <w:p w14:paraId="7D3FB2DA"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1134" w:type="dxa"/>
            <w:shd w:val="clear" w:color="auto" w:fill="auto"/>
            <w:noWrap/>
            <w:vAlign w:val="bottom"/>
            <w:hideMark/>
          </w:tcPr>
          <w:p w14:paraId="0FBD5E05"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709" w:type="dxa"/>
            <w:shd w:val="clear" w:color="auto" w:fill="auto"/>
            <w:noWrap/>
            <w:vAlign w:val="bottom"/>
            <w:hideMark/>
          </w:tcPr>
          <w:p w14:paraId="6ECC8D00"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1276" w:type="dxa"/>
            <w:tcBorders>
              <w:bottom w:val="single" w:sz="18" w:space="0" w:color="auto"/>
              <w:right w:val="single" w:sz="18" w:space="0" w:color="auto"/>
            </w:tcBorders>
            <w:shd w:val="clear" w:color="auto" w:fill="auto"/>
            <w:noWrap/>
            <w:vAlign w:val="bottom"/>
            <w:hideMark/>
          </w:tcPr>
          <w:p w14:paraId="384A3921"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1032" w:type="dxa"/>
            <w:tcBorders>
              <w:left w:val="single" w:sz="18" w:space="0" w:color="auto"/>
            </w:tcBorders>
            <w:shd w:val="clear" w:color="auto" w:fill="auto"/>
            <w:noWrap/>
            <w:vAlign w:val="bottom"/>
            <w:hideMark/>
          </w:tcPr>
          <w:p w14:paraId="127E71D8"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1236" w:type="dxa"/>
            <w:shd w:val="clear" w:color="auto" w:fill="auto"/>
            <w:noWrap/>
            <w:vAlign w:val="bottom"/>
            <w:hideMark/>
          </w:tcPr>
          <w:p w14:paraId="17E2308E"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 </w:t>
            </w:r>
          </w:p>
        </w:tc>
        <w:tc>
          <w:tcPr>
            <w:tcW w:w="1105" w:type="dxa"/>
            <w:shd w:val="clear" w:color="auto" w:fill="auto"/>
            <w:noWrap/>
            <w:vAlign w:val="bottom"/>
            <w:hideMark/>
          </w:tcPr>
          <w:p w14:paraId="5B6D7D31" w14:textId="77777777" w:rsidR="008F070D" w:rsidRPr="008F070D" w:rsidRDefault="008F070D" w:rsidP="008F070D">
            <w:pPr>
              <w:rPr>
                <w:rFonts w:ascii="Times New Roman" w:hAnsi="Times New Roman"/>
                <w:color w:val="000000"/>
                <w:sz w:val="20"/>
                <w:szCs w:val="20"/>
              </w:rPr>
            </w:pPr>
            <w:r w:rsidRPr="008F070D">
              <w:rPr>
                <w:rFonts w:ascii="Times New Roman" w:hAnsi="Times New Roman"/>
                <w:color w:val="000000"/>
                <w:sz w:val="20"/>
                <w:szCs w:val="20"/>
              </w:rPr>
              <w:t>W = 107393</w:t>
            </w:r>
          </w:p>
        </w:tc>
        <w:tc>
          <w:tcPr>
            <w:tcW w:w="666" w:type="dxa"/>
            <w:shd w:val="clear" w:color="auto" w:fill="auto"/>
            <w:noWrap/>
            <w:vAlign w:val="bottom"/>
            <w:hideMark/>
          </w:tcPr>
          <w:p w14:paraId="1268B731"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0.218</w:t>
            </w:r>
          </w:p>
        </w:tc>
        <w:tc>
          <w:tcPr>
            <w:tcW w:w="860" w:type="dxa"/>
            <w:shd w:val="clear" w:color="auto" w:fill="auto"/>
            <w:noWrap/>
            <w:vAlign w:val="bottom"/>
            <w:hideMark/>
          </w:tcPr>
          <w:p w14:paraId="564885FA" w14:textId="77777777" w:rsidR="008F070D" w:rsidRPr="008F070D" w:rsidRDefault="008F070D" w:rsidP="008F070D">
            <w:pPr>
              <w:jc w:val="center"/>
              <w:rPr>
                <w:rFonts w:ascii="Times New Roman" w:hAnsi="Times New Roman"/>
                <w:color w:val="000000"/>
                <w:sz w:val="20"/>
                <w:szCs w:val="20"/>
              </w:rPr>
            </w:pPr>
            <w:r w:rsidRPr="008F070D">
              <w:rPr>
                <w:rFonts w:ascii="Times New Roman" w:hAnsi="Times New Roman"/>
                <w:color w:val="000000"/>
                <w:sz w:val="20"/>
                <w:szCs w:val="20"/>
              </w:rPr>
              <w:t> </w:t>
            </w:r>
          </w:p>
        </w:tc>
      </w:tr>
    </w:tbl>
    <w:p w14:paraId="46BCE1A0" w14:textId="77777777" w:rsidR="008F070D" w:rsidRPr="00B05509" w:rsidRDefault="008F070D" w:rsidP="007C3BBA">
      <w:pPr>
        <w:spacing w:line="480" w:lineRule="auto"/>
        <w:rPr>
          <w:rFonts w:ascii="Times New Roman" w:hAnsi="Times New Roman"/>
        </w:rPr>
      </w:pPr>
    </w:p>
    <w:p w14:paraId="6E97F502" w14:textId="65058520" w:rsidR="00233C58" w:rsidRPr="00B05509" w:rsidRDefault="00233C58" w:rsidP="007C3BBA">
      <w:pPr>
        <w:spacing w:line="480" w:lineRule="auto"/>
        <w:rPr>
          <w:rFonts w:ascii="Times New Roman" w:hAnsi="Times New Roman"/>
          <w:b/>
          <w:sz w:val="32"/>
          <w:szCs w:val="32"/>
        </w:rPr>
      </w:pPr>
      <w:r w:rsidRPr="00B05509">
        <w:rPr>
          <w:rFonts w:ascii="Times New Roman" w:hAnsi="Times New Roman"/>
          <w:b/>
          <w:sz w:val="32"/>
          <w:szCs w:val="32"/>
        </w:rPr>
        <w:t>Mediation analysis</w:t>
      </w:r>
    </w:p>
    <w:p w14:paraId="65365DE4" w14:textId="77777777" w:rsidR="003F1F9E" w:rsidRPr="00B05509" w:rsidRDefault="003F1F9E" w:rsidP="007C3BBA">
      <w:pPr>
        <w:spacing w:line="480" w:lineRule="auto"/>
        <w:rPr>
          <w:rFonts w:ascii="Times New Roman" w:hAnsi="Times New Roman"/>
        </w:rPr>
      </w:pPr>
      <w:r w:rsidRPr="00B05509">
        <w:rPr>
          <w:rFonts w:ascii="Times New Roman" w:hAnsi="Times New Roman"/>
        </w:rPr>
        <w:t xml:space="preserve">We had hypothesized that communicating the quality of evidence level would influence people’s perceived trustworthiness of the presented information, which could in turn affect people’s intentions whether to wear eye protection. Specifically, we predicted that providing people with low (versus high) quality of evidence information would decrease people’s trust and hence lead to lower intentions to wear eye protection. To formally test this hypothesis, we pre-registered a mediation analysis of perceived trustworthiness on behavioural uptake intentions.  </w:t>
      </w:r>
    </w:p>
    <w:p w14:paraId="71BCE15F" w14:textId="77777777" w:rsidR="003F1F9E" w:rsidRPr="00B05509" w:rsidRDefault="003F1F9E" w:rsidP="007C3BBA">
      <w:pPr>
        <w:spacing w:line="480" w:lineRule="auto"/>
        <w:rPr>
          <w:rFonts w:ascii="Times New Roman" w:hAnsi="Times New Roman"/>
        </w:rPr>
      </w:pPr>
    </w:p>
    <w:p w14:paraId="761EE8C7" w14:textId="4135BC2B" w:rsidR="003F1F9E" w:rsidRPr="00B05509" w:rsidRDefault="003F1F9E" w:rsidP="007C3BBA">
      <w:pPr>
        <w:spacing w:line="480" w:lineRule="auto"/>
        <w:rPr>
          <w:rFonts w:ascii="Times New Roman" w:hAnsi="Times New Roman"/>
        </w:rPr>
      </w:pPr>
      <w:r w:rsidRPr="00B05509">
        <w:rPr>
          <w:rFonts w:ascii="Times New Roman" w:hAnsi="Times New Roman"/>
        </w:rPr>
        <w:t>Mediation analysis was conducted using the mediation package in R</w:t>
      </w:r>
      <w:r w:rsidR="009A2168" w:rsidRPr="00B05509">
        <w:rPr>
          <w:rFonts w:ascii="Times New Roman" w:hAnsi="Times New Roman"/>
        </w:rPr>
        <w:t xml:space="preserve"> </w:t>
      </w:r>
      <w:r w:rsidR="009A2168" w:rsidRPr="00B05509">
        <w:rPr>
          <w:rFonts w:ascii="Times New Roman" w:hAnsi="Times New Roman"/>
        </w:rPr>
        <w:fldChar w:fldCharType="begin" w:fldLock="1"/>
      </w:r>
      <w:r w:rsidR="00DA7ECD">
        <w:rPr>
          <w:rFonts w:ascii="Times New Roman" w:hAnsi="Times New Roman"/>
        </w:rPr>
        <w:instrText>ADDIN CSL_CITATION {"citationItems":[{"id":"ITEM-1","itemData":{"DOI":"10.18637/jss.v059.i05","ISSN":"15487660","abstract":"In this paper, we describe the R package mediation for conducting causal mediation analysis in applied empirical research. In many scientific disciplines, the goal of researchers is not only estimating causal effects of a treatment but also understanding the process in which the treatment causally affects the outcome. Causal mediation analysis is frequently used to assess potential causal mechanisms. The mediation package implements a comprehensive suite of statistical tools for conducting such an analysis. The package is organized into two distinct approaches. Using the model-based approach, researchers can estimate causal mediation effects and conduct sensitivity analysis under the standard research design. Furthermore, the design-based approach provides several analysis tools that are applicable under different experimental designs. This approach requires weaker assumptions than the model-based approach. We also implement a statistical method for dealing with multiple (causally dependent) mediators, which are often encountered in practice. Finally, the package also offers a methodology for assessing causal mediation in the presence of treatment noncompliance, a common problem in randomized trials.","author":[{"dropping-particle":"","family":"Tingley","given":"Dustin","non-dropping-particle":"","parse-names":false,"suffix":""},{"dropping-particle":"","family":"Yamamoto","given":"Teppei","non-dropping-particle":"","parse-names":false,"suffix":""},{"dropping-particle":"","family":"Hirose","given":"Kentaro","non-dropping-particle":"","parse-names":false,"suffix":""},{"dropping-particle":"","family":"Keele","given":"Luke","non-dropping-particle":"","parse-names":false,"suffix":""},{"dropping-particle":"","family":"Imai","given":"Kosuke","non-dropping-particle":"","parse-names":false,"suffix":""}],"container-title":"Journal of Statistical Software","id":"ITEM-1","issue":"5","issued":{"date-parts":[["2014"]]},"page":"1-38","title":"Mediation: R package for causal mediation analysis","type":"article-journal","volume":"59"},"uris":["http://www.mendeley.com/documents/?uuid=dd375aca-21a8-4622-a017-df25f8701cef"]}],"mendeley":{"formattedCitation":"[58]","plainTextFormattedCitation":"[58]","previouslyFormattedCitation":"[57]"},"properties":{"noteIndex":0},"schema":"https://github.com/citation-style-language/schema/raw/master/csl-citation.json"}</w:instrText>
      </w:r>
      <w:r w:rsidR="009A2168" w:rsidRPr="00B05509">
        <w:rPr>
          <w:rFonts w:ascii="Times New Roman" w:hAnsi="Times New Roman"/>
        </w:rPr>
        <w:fldChar w:fldCharType="separate"/>
      </w:r>
      <w:r w:rsidR="00DA7ECD" w:rsidRPr="00DA7ECD">
        <w:rPr>
          <w:rFonts w:ascii="Times New Roman" w:hAnsi="Times New Roman"/>
          <w:noProof/>
        </w:rPr>
        <w:t>[58]</w:t>
      </w:r>
      <w:r w:rsidR="009A2168" w:rsidRPr="00B05509">
        <w:rPr>
          <w:rFonts w:ascii="Times New Roman" w:hAnsi="Times New Roman"/>
        </w:rPr>
        <w:fldChar w:fldCharType="end"/>
      </w:r>
      <w:r w:rsidRPr="00B05509">
        <w:rPr>
          <w:rFonts w:ascii="Times New Roman" w:hAnsi="Times New Roman"/>
        </w:rPr>
        <w:t>, with parameter estimates</w:t>
      </w:r>
      <w:r w:rsidR="00F91CA5" w:rsidRPr="00B05509">
        <w:rPr>
          <w:rFonts w:ascii="Times New Roman" w:hAnsi="Times New Roman"/>
        </w:rPr>
        <w:t xml:space="preserve"> based on 5</w:t>
      </w:r>
      <w:r w:rsidRPr="00B05509">
        <w:rPr>
          <w:rFonts w:ascii="Times New Roman" w:hAnsi="Times New Roman"/>
        </w:rPr>
        <w:t xml:space="preserve">000 bootstrapped samples for all reported results. Results support our hypothesis: There was a </w:t>
      </w:r>
      <w:r w:rsidR="00CF0A8D">
        <w:rPr>
          <w:rFonts w:ascii="Times New Roman" w:hAnsi="Times New Roman"/>
        </w:rPr>
        <w:t>statistically</w:t>
      </w:r>
      <w:r w:rsidR="00CF0A8D" w:rsidRPr="00CF0A8D">
        <w:rPr>
          <w:rFonts w:ascii="Times New Roman" w:hAnsi="Times New Roman"/>
        </w:rPr>
        <w:t xml:space="preserve"> </w:t>
      </w:r>
      <w:r w:rsidRPr="00B05509">
        <w:rPr>
          <w:rFonts w:ascii="Times New Roman" w:hAnsi="Times New Roman"/>
        </w:rPr>
        <w:t>significant direct effect of experimental condition on uptake intentions (b</w:t>
      </w:r>
      <w:r w:rsidR="00A616EC" w:rsidRPr="00B05509">
        <w:rPr>
          <w:rFonts w:ascii="Times New Roman" w:hAnsi="Times New Roman"/>
        </w:rPr>
        <w:t xml:space="preserve"> </w:t>
      </w:r>
      <w:r w:rsidRPr="00B05509">
        <w:rPr>
          <w:rFonts w:ascii="Times New Roman" w:hAnsi="Times New Roman"/>
        </w:rPr>
        <w:t xml:space="preserve">= </w:t>
      </w:r>
      <w:r w:rsidR="00F91CA5" w:rsidRPr="00B05509">
        <w:rPr>
          <w:rFonts w:ascii="Times New Roman" w:hAnsi="Times New Roman"/>
        </w:rPr>
        <w:t>-0</w:t>
      </w:r>
      <w:r w:rsidR="00502682" w:rsidRPr="00B05509">
        <w:rPr>
          <w:rFonts w:ascii="Times New Roman" w:hAnsi="Times New Roman"/>
        </w:rPr>
        <w:t>.</w:t>
      </w:r>
      <w:r w:rsidRPr="00B05509">
        <w:rPr>
          <w:rFonts w:ascii="Times New Roman" w:hAnsi="Times New Roman"/>
        </w:rPr>
        <w:t>39</w:t>
      </w:r>
      <w:r w:rsidR="00F91CA5" w:rsidRPr="00B05509">
        <w:rPr>
          <w:rFonts w:ascii="Times New Roman" w:hAnsi="Times New Roman"/>
        </w:rPr>
        <w:t>, CI [-0</w:t>
      </w:r>
      <w:r w:rsidR="00502682" w:rsidRPr="00B05509">
        <w:rPr>
          <w:rFonts w:ascii="Times New Roman" w:hAnsi="Times New Roman"/>
        </w:rPr>
        <w:t>.</w:t>
      </w:r>
      <w:r w:rsidRPr="00B05509">
        <w:rPr>
          <w:rFonts w:ascii="Times New Roman" w:hAnsi="Times New Roman"/>
        </w:rPr>
        <w:t>66, -0</w:t>
      </w:r>
      <w:r w:rsidR="00502682" w:rsidRPr="00B05509">
        <w:rPr>
          <w:rFonts w:ascii="Times New Roman" w:hAnsi="Times New Roman"/>
        </w:rPr>
        <w:t>.</w:t>
      </w:r>
      <w:r w:rsidRPr="00B05509">
        <w:rPr>
          <w:rFonts w:ascii="Times New Roman" w:hAnsi="Times New Roman"/>
        </w:rPr>
        <w:t xml:space="preserve">12], p = </w:t>
      </w:r>
      <w:r w:rsidR="00502682" w:rsidRPr="00B05509">
        <w:rPr>
          <w:rFonts w:ascii="Times New Roman" w:hAnsi="Times New Roman"/>
        </w:rPr>
        <w:t>.</w:t>
      </w:r>
      <w:r w:rsidRPr="00B05509">
        <w:rPr>
          <w:rFonts w:ascii="Times New Roman" w:hAnsi="Times New Roman"/>
        </w:rPr>
        <w:t>003) which was no longer</w:t>
      </w:r>
      <w:r w:rsidR="00CF0A8D" w:rsidRPr="00CF0A8D">
        <w:rPr>
          <w:rFonts w:ascii="Times New Roman" w:hAnsi="Times New Roman"/>
        </w:rPr>
        <w:t xml:space="preserve"> </w:t>
      </w:r>
      <w:r w:rsidR="00CF0A8D">
        <w:rPr>
          <w:rFonts w:ascii="Times New Roman" w:hAnsi="Times New Roman"/>
        </w:rPr>
        <w:t>statistically</w:t>
      </w:r>
      <w:r w:rsidRPr="00B05509">
        <w:rPr>
          <w:rFonts w:ascii="Times New Roman" w:hAnsi="Times New Roman"/>
        </w:rPr>
        <w:t xml:space="preserve"> significant once the mediator was accounted for (b</w:t>
      </w:r>
      <w:r w:rsidR="00A616EC" w:rsidRPr="00B05509">
        <w:rPr>
          <w:rFonts w:ascii="Times New Roman" w:hAnsi="Times New Roman"/>
        </w:rPr>
        <w:t xml:space="preserve"> </w:t>
      </w:r>
      <w:r w:rsidRPr="00B05509">
        <w:rPr>
          <w:rFonts w:ascii="Times New Roman" w:hAnsi="Times New Roman"/>
        </w:rPr>
        <w:t xml:space="preserve">= </w:t>
      </w:r>
      <w:r w:rsidR="00F91CA5" w:rsidRPr="00B05509">
        <w:rPr>
          <w:rFonts w:ascii="Times New Roman" w:hAnsi="Times New Roman"/>
        </w:rPr>
        <w:t>0</w:t>
      </w:r>
      <w:r w:rsidR="00502682" w:rsidRPr="00B05509">
        <w:rPr>
          <w:rFonts w:ascii="Times New Roman" w:hAnsi="Times New Roman"/>
        </w:rPr>
        <w:t>.</w:t>
      </w:r>
      <w:r w:rsidRPr="00B05509">
        <w:rPr>
          <w:rFonts w:ascii="Times New Roman" w:hAnsi="Times New Roman"/>
        </w:rPr>
        <w:t>09</w:t>
      </w:r>
      <w:r w:rsidR="00F91CA5" w:rsidRPr="00B05509">
        <w:rPr>
          <w:rFonts w:ascii="Times New Roman" w:hAnsi="Times New Roman"/>
        </w:rPr>
        <w:t>, CI [-0</w:t>
      </w:r>
      <w:r w:rsidR="00502682" w:rsidRPr="00B05509">
        <w:rPr>
          <w:rFonts w:ascii="Times New Roman" w:hAnsi="Times New Roman"/>
        </w:rPr>
        <w:t>.</w:t>
      </w:r>
      <w:r w:rsidRPr="00B05509">
        <w:rPr>
          <w:rFonts w:ascii="Times New Roman" w:hAnsi="Times New Roman"/>
        </w:rPr>
        <w:t>13</w:t>
      </w:r>
      <w:r w:rsidR="00F91CA5" w:rsidRPr="00B05509">
        <w:rPr>
          <w:rFonts w:ascii="Times New Roman" w:hAnsi="Times New Roman"/>
        </w:rPr>
        <w:t>, 0</w:t>
      </w:r>
      <w:r w:rsidR="00502682" w:rsidRPr="00B05509">
        <w:rPr>
          <w:rFonts w:ascii="Times New Roman" w:hAnsi="Times New Roman"/>
        </w:rPr>
        <w:t>.</w:t>
      </w:r>
      <w:r w:rsidRPr="00B05509">
        <w:rPr>
          <w:rFonts w:ascii="Times New Roman" w:hAnsi="Times New Roman"/>
        </w:rPr>
        <w:t>31</w:t>
      </w:r>
      <w:r w:rsidR="00F91CA5" w:rsidRPr="00B05509">
        <w:rPr>
          <w:rFonts w:ascii="Times New Roman" w:hAnsi="Times New Roman"/>
        </w:rPr>
        <w:t xml:space="preserve">], p = </w:t>
      </w:r>
      <w:r w:rsidR="00502682" w:rsidRPr="00B05509">
        <w:rPr>
          <w:rFonts w:ascii="Times New Roman" w:hAnsi="Times New Roman"/>
        </w:rPr>
        <w:t>.</w:t>
      </w:r>
      <w:r w:rsidRPr="00B05509">
        <w:rPr>
          <w:rFonts w:ascii="Times New Roman" w:hAnsi="Times New Roman"/>
        </w:rPr>
        <w:t xml:space="preserve">418). Importantly, the indirect effect of condition, i.e. low quality of evidence compared to high quality of evidence, on behaviour via perceived trustworthiness </w:t>
      </w:r>
      <w:r w:rsidR="00F91CA5" w:rsidRPr="00B05509">
        <w:rPr>
          <w:rFonts w:ascii="Times New Roman" w:hAnsi="Times New Roman"/>
        </w:rPr>
        <w:t xml:space="preserve">was </w:t>
      </w:r>
      <w:r w:rsidR="00CF0A8D">
        <w:rPr>
          <w:rFonts w:ascii="Times New Roman" w:hAnsi="Times New Roman"/>
        </w:rPr>
        <w:t>statistically</w:t>
      </w:r>
      <w:r w:rsidR="00CF0A8D" w:rsidRPr="00CF0A8D">
        <w:rPr>
          <w:rFonts w:ascii="Times New Roman" w:hAnsi="Times New Roman"/>
        </w:rPr>
        <w:t xml:space="preserve"> </w:t>
      </w:r>
      <w:r w:rsidR="00F91CA5" w:rsidRPr="00B05509">
        <w:rPr>
          <w:rFonts w:ascii="Times New Roman" w:hAnsi="Times New Roman"/>
        </w:rPr>
        <w:t>significant (b</w:t>
      </w:r>
      <w:r w:rsidR="00A616EC" w:rsidRPr="00B05509">
        <w:rPr>
          <w:rFonts w:ascii="Times New Roman" w:hAnsi="Times New Roman"/>
        </w:rPr>
        <w:t xml:space="preserve"> </w:t>
      </w:r>
      <w:r w:rsidR="00F91CA5" w:rsidRPr="00B05509">
        <w:rPr>
          <w:rFonts w:ascii="Times New Roman" w:hAnsi="Times New Roman"/>
        </w:rPr>
        <w:t>=</w:t>
      </w:r>
      <w:r w:rsidR="00A616EC" w:rsidRPr="00B05509">
        <w:rPr>
          <w:rFonts w:ascii="Times New Roman" w:hAnsi="Times New Roman"/>
        </w:rPr>
        <w:t xml:space="preserve"> </w:t>
      </w:r>
      <w:r w:rsidR="00F91CA5" w:rsidRPr="00B05509">
        <w:rPr>
          <w:rFonts w:ascii="Times New Roman" w:hAnsi="Times New Roman"/>
        </w:rPr>
        <w:t>-0</w:t>
      </w:r>
      <w:r w:rsidR="00502682" w:rsidRPr="00B05509">
        <w:rPr>
          <w:rFonts w:ascii="Times New Roman" w:hAnsi="Times New Roman"/>
        </w:rPr>
        <w:t>.</w:t>
      </w:r>
      <w:r w:rsidRPr="00B05509">
        <w:rPr>
          <w:rFonts w:ascii="Times New Roman" w:hAnsi="Times New Roman"/>
        </w:rPr>
        <w:t>48, CI</w:t>
      </w:r>
      <w:r w:rsidR="00F91CA5" w:rsidRPr="00B05509">
        <w:rPr>
          <w:rFonts w:ascii="Times New Roman" w:hAnsi="Times New Roman"/>
        </w:rPr>
        <w:t xml:space="preserve"> [-0</w:t>
      </w:r>
      <w:r w:rsidR="00502682" w:rsidRPr="00B05509">
        <w:rPr>
          <w:rFonts w:ascii="Times New Roman" w:hAnsi="Times New Roman"/>
        </w:rPr>
        <w:t>.</w:t>
      </w:r>
      <w:r w:rsidRPr="00B05509">
        <w:rPr>
          <w:rFonts w:ascii="Times New Roman" w:hAnsi="Times New Roman"/>
        </w:rPr>
        <w:t>64</w:t>
      </w:r>
      <w:r w:rsidR="00F91CA5" w:rsidRPr="00B05509">
        <w:rPr>
          <w:rFonts w:ascii="Times New Roman" w:hAnsi="Times New Roman"/>
        </w:rPr>
        <w:t>, -0</w:t>
      </w:r>
      <w:r w:rsidR="00502682" w:rsidRPr="00B05509">
        <w:rPr>
          <w:rFonts w:ascii="Times New Roman" w:hAnsi="Times New Roman"/>
        </w:rPr>
        <w:t>.</w:t>
      </w:r>
      <w:r w:rsidRPr="00B05509">
        <w:rPr>
          <w:rFonts w:ascii="Times New Roman" w:hAnsi="Times New Roman"/>
        </w:rPr>
        <w:t>32</w:t>
      </w:r>
      <w:r w:rsidR="00F91CA5" w:rsidRPr="00B05509">
        <w:rPr>
          <w:rFonts w:ascii="Times New Roman" w:hAnsi="Times New Roman"/>
        </w:rPr>
        <w:t xml:space="preserve">], p &lt; </w:t>
      </w:r>
      <w:r w:rsidR="00502682" w:rsidRPr="00B05509">
        <w:rPr>
          <w:rFonts w:ascii="Times New Roman" w:hAnsi="Times New Roman"/>
        </w:rPr>
        <w:t>.</w:t>
      </w:r>
      <w:r w:rsidRPr="00B05509">
        <w:rPr>
          <w:rFonts w:ascii="Times New Roman" w:hAnsi="Times New Roman"/>
        </w:rPr>
        <w:t>001).</w:t>
      </w:r>
    </w:p>
    <w:p w14:paraId="125607A4" w14:textId="1FD111AB" w:rsidR="004D3A36" w:rsidRPr="00B05509" w:rsidRDefault="004D3A36" w:rsidP="007C3BBA">
      <w:pPr>
        <w:spacing w:line="480" w:lineRule="auto"/>
        <w:rPr>
          <w:rFonts w:ascii="Times New Roman" w:hAnsi="Times New Roman"/>
        </w:rPr>
      </w:pPr>
    </w:p>
    <w:p w14:paraId="329F8CF6" w14:textId="64F42415" w:rsidR="00233C58" w:rsidRPr="00B05509" w:rsidRDefault="00233C58" w:rsidP="007C3BBA">
      <w:pPr>
        <w:spacing w:line="480" w:lineRule="auto"/>
        <w:rPr>
          <w:rFonts w:ascii="Times New Roman" w:hAnsi="Times New Roman"/>
          <w:b/>
          <w:sz w:val="32"/>
          <w:szCs w:val="32"/>
        </w:rPr>
      </w:pPr>
      <w:r w:rsidRPr="00B05509">
        <w:rPr>
          <w:rFonts w:ascii="Times New Roman" w:hAnsi="Times New Roman"/>
          <w:b/>
          <w:sz w:val="32"/>
          <w:szCs w:val="32"/>
        </w:rPr>
        <w:t>Additional secondary analyses</w:t>
      </w:r>
    </w:p>
    <w:p w14:paraId="23BCC47B" w14:textId="666E46C6" w:rsidR="004D3A36" w:rsidRPr="00B05509" w:rsidRDefault="004D3A36" w:rsidP="007C3BBA">
      <w:pPr>
        <w:spacing w:line="480" w:lineRule="auto"/>
        <w:rPr>
          <w:rFonts w:ascii="Times New Roman" w:hAnsi="Times New Roman"/>
        </w:rPr>
      </w:pPr>
      <w:r w:rsidRPr="00B05509">
        <w:rPr>
          <w:rFonts w:ascii="Times New Roman" w:hAnsi="Times New Roman"/>
        </w:rPr>
        <w:t xml:space="preserve">We also ran a range of </w:t>
      </w:r>
      <w:r w:rsidR="007B25D9" w:rsidRPr="00B05509">
        <w:rPr>
          <w:rFonts w:ascii="Times New Roman" w:hAnsi="Times New Roman"/>
        </w:rPr>
        <w:t xml:space="preserve">other </w:t>
      </w:r>
      <w:r w:rsidRPr="00B05509">
        <w:rPr>
          <w:rFonts w:ascii="Times New Roman" w:hAnsi="Times New Roman"/>
        </w:rPr>
        <w:t xml:space="preserve">secondary and exploratory analyses as detailed in the pre-registration. These include the role of reported priors of effectiveness and quality of evidence </w:t>
      </w:r>
      <w:r w:rsidRPr="00B05509">
        <w:rPr>
          <w:rFonts w:ascii="Times New Roman" w:hAnsi="Times New Roman"/>
        </w:rPr>
        <w:lastRenderedPageBreak/>
        <w:t xml:space="preserve">perception for eye protection, (in-)congruency between priors and presented information, self-reported shifts in trust and behavioural intentions due to the infographic, effects of additional exploratory outcome variables, exploratory interaction analysis between experimental groups, and potential moderators of the observed experimental effects. The results of these additional exploratory analyses can be found in the </w:t>
      </w:r>
      <w:r w:rsidR="00885913">
        <w:rPr>
          <w:rFonts w:ascii="Times New Roman" w:hAnsi="Times New Roman"/>
        </w:rPr>
        <w:t>S1 supporting information file</w:t>
      </w:r>
      <w:r w:rsidRPr="00B05509">
        <w:rPr>
          <w:rFonts w:ascii="Times New Roman" w:hAnsi="Times New Roman"/>
        </w:rPr>
        <w:t>.</w:t>
      </w:r>
      <w:r w:rsidR="00070F38" w:rsidRPr="00B05509">
        <w:rPr>
          <w:rFonts w:ascii="Times New Roman" w:hAnsi="Times New Roman"/>
        </w:rPr>
        <w:t xml:space="preserve"> As one of these results, we found an interaction between numeracy and </w:t>
      </w:r>
      <w:r w:rsidR="004B5DE0" w:rsidRPr="00B05509">
        <w:rPr>
          <w:rFonts w:ascii="Times New Roman" w:hAnsi="Times New Roman"/>
        </w:rPr>
        <w:t>quality of evidence level on perceived trustworthiness and effectiveness</w:t>
      </w:r>
      <w:r w:rsidR="00A95C83">
        <w:rPr>
          <w:rFonts w:ascii="Times New Roman" w:hAnsi="Times New Roman"/>
        </w:rPr>
        <w:t>, indicating that the effect of quality of evidence information on these outcomes depends to an extent on people’s numeracy level</w:t>
      </w:r>
      <w:r w:rsidR="00892F05">
        <w:rPr>
          <w:rFonts w:ascii="Times New Roman" w:hAnsi="Times New Roman"/>
        </w:rPr>
        <w:t xml:space="preserve">. For participants with higher </w:t>
      </w:r>
      <w:r w:rsidR="00A95C83" w:rsidRPr="00A95C83">
        <w:rPr>
          <w:rFonts w:ascii="Times New Roman" w:hAnsi="Times New Roman"/>
        </w:rPr>
        <w:t>numeracy</w:t>
      </w:r>
      <w:r w:rsidR="00A95C83">
        <w:rPr>
          <w:rFonts w:ascii="Times New Roman" w:hAnsi="Times New Roman"/>
        </w:rPr>
        <w:t xml:space="preserve"> level</w:t>
      </w:r>
      <w:r w:rsidR="00892F05">
        <w:rPr>
          <w:rFonts w:ascii="Times New Roman" w:hAnsi="Times New Roman"/>
        </w:rPr>
        <w:t xml:space="preserve">s, we saw </w:t>
      </w:r>
      <w:r w:rsidR="00A95C83" w:rsidRPr="00A95C83">
        <w:rPr>
          <w:rFonts w:ascii="Times New Roman" w:hAnsi="Times New Roman"/>
        </w:rPr>
        <w:t xml:space="preserve">more pronounced </w:t>
      </w:r>
      <w:r w:rsidR="00591756">
        <w:rPr>
          <w:rFonts w:ascii="Times New Roman" w:hAnsi="Times New Roman"/>
        </w:rPr>
        <w:t>difference</w:t>
      </w:r>
      <w:r w:rsidR="00892F05">
        <w:rPr>
          <w:rFonts w:ascii="Times New Roman" w:hAnsi="Times New Roman"/>
        </w:rPr>
        <w:t xml:space="preserve">s in their responses to </w:t>
      </w:r>
      <w:r w:rsidR="00591756">
        <w:rPr>
          <w:rFonts w:ascii="Times New Roman" w:hAnsi="Times New Roman"/>
        </w:rPr>
        <w:t>low</w:t>
      </w:r>
      <w:r w:rsidR="00892F05">
        <w:rPr>
          <w:rFonts w:ascii="Times New Roman" w:hAnsi="Times New Roman"/>
        </w:rPr>
        <w:t xml:space="preserve"> versus</w:t>
      </w:r>
      <w:r w:rsidR="00591756">
        <w:rPr>
          <w:rFonts w:ascii="Times New Roman" w:hAnsi="Times New Roman"/>
        </w:rPr>
        <w:t xml:space="preserve"> high quality of evidence levels</w:t>
      </w:r>
      <w:r w:rsidR="003466B2">
        <w:rPr>
          <w:rFonts w:ascii="Times New Roman" w:hAnsi="Times New Roman"/>
        </w:rPr>
        <w:t>. This could hint at</w:t>
      </w:r>
      <w:r w:rsidR="00070F38" w:rsidRPr="00B05509">
        <w:rPr>
          <w:rFonts w:ascii="Times New Roman" w:hAnsi="Times New Roman"/>
        </w:rPr>
        <w:t xml:space="preserve"> different levels of engagement with, or understanding of, the cues</w:t>
      </w:r>
      <w:r w:rsidR="00DF6CA7" w:rsidRPr="00B05509">
        <w:rPr>
          <w:rFonts w:ascii="Times New Roman" w:hAnsi="Times New Roman"/>
        </w:rPr>
        <w:t xml:space="preserve"> in the infographic between higher numeracy and lower numeracy participants</w:t>
      </w:r>
      <w:r w:rsidR="00070F38" w:rsidRPr="00B05509">
        <w:rPr>
          <w:rFonts w:ascii="Times New Roman" w:hAnsi="Times New Roman"/>
        </w:rPr>
        <w:t>.</w:t>
      </w:r>
      <w:r w:rsidR="00591756">
        <w:rPr>
          <w:rFonts w:ascii="Times New Roman" w:hAnsi="Times New Roman"/>
        </w:rPr>
        <w:t xml:space="preserve"> </w:t>
      </w:r>
      <w:r w:rsidR="004B5DE0" w:rsidRPr="00B05509">
        <w:rPr>
          <w:rFonts w:ascii="Times New Roman" w:hAnsi="Times New Roman"/>
        </w:rPr>
        <w:t>This partially motivated the design of Experiment 2.</w:t>
      </w:r>
    </w:p>
    <w:p w14:paraId="2CC40561" w14:textId="1C3B6318" w:rsidR="003F1F9E" w:rsidRPr="00B05509" w:rsidRDefault="003F1F9E" w:rsidP="007C3BBA">
      <w:pPr>
        <w:spacing w:line="480" w:lineRule="auto"/>
        <w:rPr>
          <w:rFonts w:ascii="Times New Roman" w:hAnsi="Times New Roman"/>
        </w:rPr>
      </w:pPr>
    </w:p>
    <w:p w14:paraId="3DEB0536" w14:textId="77777777" w:rsidR="003F1F9E" w:rsidRPr="00B05509" w:rsidRDefault="003F1F9E"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Experiment 1: Discussion</w:t>
      </w:r>
    </w:p>
    <w:p w14:paraId="690E104B" w14:textId="3F37D7D1" w:rsidR="003F1F9E" w:rsidRPr="00B05509" w:rsidRDefault="003F1F9E" w:rsidP="007C3BBA">
      <w:pPr>
        <w:spacing w:line="480" w:lineRule="auto"/>
        <w:rPr>
          <w:rFonts w:ascii="Times New Roman" w:hAnsi="Times New Roman"/>
        </w:rPr>
      </w:pPr>
      <w:r w:rsidRPr="00B05509">
        <w:rPr>
          <w:rFonts w:ascii="Times New Roman" w:hAnsi="Times New Roman"/>
        </w:rPr>
        <w:t xml:space="preserve">Experiment 1 </w:t>
      </w:r>
      <w:r w:rsidR="00233C58" w:rsidRPr="00B05509">
        <w:rPr>
          <w:rFonts w:ascii="Times New Roman" w:hAnsi="Times New Roman"/>
        </w:rPr>
        <w:t xml:space="preserve">suggested </w:t>
      </w:r>
      <w:r w:rsidR="004B5DE0" w:rsidRPr="00B05509">
        <w:rPr>
          <w:rFonts w:ascii="Times New Roman" w:hAnsi="Times New Roman"/>
        </w:rPr>
        <w:t>no</w:t>
      </w:r>
      <w:r w:rsidRPr="00B05509">
        <w:rPr>
          <w:rFonts w:ascii="Times New Roman" w:hAnsi="Times New Roman"/>
        </w:rPr>
        <w:t xml:space="preserve"> difference between participants’ reactions to the words ‘quality’ and ‘certainty’ when used to describe the underlying evidence base behind the use of eye protection in protecting against COVID-19 infection</w:t>
      </w:r>
      <w:r w:rsidR="009B1E10">
        <w:rPr>
          <w:rFonts w:ascii="Times New Roman" w:hAnsi="Times New Roman"/>
        </w:rPr>
        <w:t xml:space="preserve"> with regards to effects of perceived trustworthiness, perceived effectiveness or behavioural intentions</w:t>
      </w:r>
      <w:r w:rsidRPr="00B05509">
        <w:rPr>
          <w:rFonts w:ascii="Times New Roman" w:hAnsi="Times New Roman"/>
        </w:rPr>
        <w:t xml:space="preserve">. </w:t>
      </w:r>
      <w:r w:rsidR="002C6349">
        <w:rPr>
          <w:rFonts w:ascii="Times New Roman" w:hAnsi="Times New Roman"/>
        </w:rPr>
        <w:t xml:space="preserve">This is despite </w:t>
      </w:r>
      <w:r w:rsidR="00F06330" w:rsidRPr="00B05509">
        <w:rPr>
          <w:rFonts w:ascii="Times New Roman" w:hAnsi="Times New Roman"/>
        </w:rPr>
        <w:t>the</w:t>
      </w:r>
      <w:r w:rsidR="002C6349">
        <w:rPr>
          <w:rFonts w:ascii="Times New Roman" w:hAnsi="Times New Roman"/>
        </w:rPr>
        <w:t xml:space="preserve"> fact that the </w:t>
      </w:r>
      <w:r w:rsidR="00F06330" w:rsidRPr="00B05509">
        <w:rPr>
          <w:rFonts w:ascii="Times New Roman" w:hAnsi="Times New Roman"/>
        </w:rPr>
        <w:t>phrase ‘quality’ could be seen as a more judgemental term (e.g. ‘low quality’ is more pejorative)</w:t>
      </w:r>
      <w:r w:rsidR="002C6349">
        <w:rPr>
          <w:rFonts w:ascii="Times New Roman" w:hAnsi="Times New Roman"/>
        </w:rPr>
        <w:t>.</w:t>
      </w:r>
    </w:p>
    <w:p w14:paraId="5B940475" w14:textId="229CD4AB" w:rsidR="003F1F9E" w:rsidRPr="00B05509" w:rsidRDefault="009B1E10" w:rsidP="007C3BBA">
      <w:pPr>
        <w:spacing w:line="480" w:lineRule="auto"/>
        <w:rPr>
          <w:rFonts w:ascii="Times New Roman" w:hAnsi="Times New Roman"/>
        </w:rPr>
      </w:pPr>
      <w:r>
        <w:rPr>
          <w:rFonts w:ascii="Times New Roman" w:hAnsi="Times New Roman"/>
        </w:rPr>
        <w:t>However, important differences arose</w:t>
      </w:r>
      <w:r w:rsidR="002C6349">
        <w:rPr>
          <w:rFonts w:ascii="Times New Roman" w:hAnsi="Times New Roman"/>
        </w:rPr>
        <w:t xml:space="preserve"> in responses to the expressed quality or certainty </w:t>
      </w:r>
      <w:r>
        <w:rPr>
          <w:rFonts w:ascii="Times New Roman" w:hAnsi="Times New Roman"/>
        </w:rPr>
        <w:t xml:space="preserve">level. </w:t>
      </w:r>
      <w:r w:rsidR="003F1F9E" w:rsidRPr="00B05509">
        <w:rPr>
          <w:rFonts w:ascii="Times New Roman" w:hAnsi="Times New Roman"/>
        </w:rPr>
        <w:t xml:space="preserve">A statement </w:t>
      </w:r>
      <w:r w:rsidR="002C6349">
        <w:rPr>
          <w:rFonts w:ascii="Times New Roman" w:hAnsi="Times New Roman"/>
        </w:rPr>
        <w:t xml:space="preserve">indicating </w:t>
      </w:r>
      <w:r w:rsidR="003F1F9E" w:rsidRPr="00B05509">
        <w:rPr>
          <w:rFonts w:ascii="Times New Roman" w:hAnsi="Times New Roman"/>
        </w:rPr>
        <w:t>high quality or certainty of evidence led to the information being trusted more than for a statement of low quality or certainty.</w:t>
      </w:r>
      <w:r w:rsidR="00913645" w:rsidRPr="00B05509">
        <w:rPr>
          <w:rFonts w:ascii="Times New Roman" w:hAnsi="Times New Roman"/>
        </w:rPr>
        <w:t xml:space="preserve"> </w:t>
      </w:r>
      <w:r w:rsidR="00087DC4" w:rsidRPr="00B05509">
        <w:rPr>
          <w:rFonts w:ascii="Times New Roman" w:hAnsi="Times New Roman"/>
        </w:rPr>
        <w:t>Likewise,</w:t>
      </w:r>
      <w:r w:rsidR="00913645" w:rsidRPr="00B05509">
        <w:rPr>
          <w:rFonts w:ascii="Times New Roman" w:hAnsi="Times New Roman"/>
        </w:rPr>
        <w:t xml:space="preserve"> a statement of high quality or certainty led to people perceiving eye protection as more effective and indicating </w:t>
      </w:r>
      <w:r w:rsidR="00913645" w:rsidRPr="00B05509">
        <w:rPr>
          <w:rFonts w:ascii="Times New Roman" w:hAnsi="Times New Roman"/>
        </w:rPr>
        <w:lastRenderedPageBreak/>
        <w:t xml:space="preserve">higher likelihood of wearing eye protection, than for a statement of low quality or certainty. Additionally, the difference in trust for the high compared to the low quality/certainty condition, </w:t>
      </w:r>
      <w:r w:rsidR="0000017F" w:rsidRPr="00B05509">
        <w:rPr>
          <w:rFonts w:ascii="Times New Roman" w:hAnsi="Times New Roman"/>
        </w:rPr>
        <w:t>appeared to influence</w:t>
      </w:r>
      <w:r w:rsidR="003F1F9E" w:rsidRPr="00B05509">
        <w:rPr>
          <w:rFonts w:ascii="Times New Roman" w:hAnsi="Times New Roman"/>
        </w:rPr>
        <w:t xml:space="preserve"> the likelihood people said they would wear eye protection.</w:t>
      </w:r>
    </w:p>
    <w:p w14:paraId="056B308E" w14:textId="7C327D91" w:rsidR="0000017F" w:rsidRPr="00B05509" w:rsidRDefault="0000017F" w:rsidP="007C3BBA">
      <w:pPr>
        <w:spacing w:line="480" w:lineRule="auto"/>
        <w:rPr>
          <w:rFonts w:ascii="Times New Roman" w:hAnsi="Times New Roman"/>
        </w:rPr>
      </w:pPr>
    </w:p>
    <w:p w14:paraId="0F287331" w14:textId="6A730EEB" w:rsidR="00DF6CA7" w:rsidRDefault="002C6349" w:rsidP="007C3BBA">
      <w:pPr>
        <w:spacing w:line="480" w:lineRule="auto"/>
        <w:rPr>
          <w:rFonts w:ascii="Times New Roman" w:hAnsi="Times New Roman"/>
        </w:rPr>
      </w:pPr>
      <w:r>
        <w:rPr>
          <w:rFonts w:ascii="Times New Roman" w:hAnsi="Times New Roman"/>
        </w:rPr>
        <w:t>These results informed the design of</w:t>
      </w:r>
      <w:r w:rsidRPr="00B05509">
        <w:rPr>
          <w:rFonts w:ascii="Times New Roman" w:hAnsi="Times New Roman"/>
        </w:rPr>
        <w:t xml:space="preserve"> </w:t>
      </w:r>
      <w:r w:rsidR="00262896" w:rsidRPr="00B05509">
        <w:rPr>
          <w:rFonts w:ascii="Times New Roman" w:hAnsi="Times New Roman"/>
        </w:rPr>
        <w:t xml:space="preserve">Experiment 2, </w:t>
      </w:r>
      <w:r>
        <w:rPr>
          <w:rFonts w:ascii="Times New Roman" w:hAnsi="Times New Roman"/>
        </w:rPr>
        <w:t xml:space="preserve">in which we left </w:t>
      </w:r>
      <w:r w:rsidR="00262896" w:rsidRPr="00B05509">
        <w:rPr>
          <w:rFonts w:ascii="Times New Roman" w:hAnsi="Times New Roman"/>
        </w:rPr>
        <w:t>aside the ‘certainty’ wording and concentrat</w:t>
      </w:r>
      <w:r>
        <w:rPr>
          <w:rFonts w:ascii="Times New Roman" w:hAnsi="Times New Roman"/>
        </w:rPr>
        <w:t>ed</w:t>
      </w:r>
      <w:r w:rsidR="00262896" w:rsidRPr="00B05509">
        <w:rPr>
          <w:rFonts w:ascii="Times New Roman" w:hAnsi="Times New Roman"/>
        </w:rPr>
        <w:t xml:space="preserve"> on</w:t>
      </w:r>
      <w:r w:rsidR="009C3CB6" w:rsidRPr="00B05509">
        <w:rPr>
          <w:rFonts w:ascii="Times New Roman" w:hAnsi="Times New Roman"/>
        </w:rPr>
        <w:t xml:space="preserve"> investigating the effects of quality of evidence information</w:t>
      </w:r>
      <w:r>
        <w:rPr>
          <w:rFonts w:ascii="Times New Roman" w:hAnsi="Times New Roman"/>
        </w:rPr>
        <w:t xml:space="preserve">, adding </w:t>
      </w:r>
      <w:r w:rsidR="009C3CB6" w:rsidRPr="00B05509">
        <w:rPr>
          <w:rFonts w:ascii="Times New Roman" w:hAnsi="Times New Roman"/>
        </w:rPr>
        <w:t>a condition in which</w:t>
      </w:r>
      <w:r w:rsidR="00262896" w:rsidRPr="00B05509">
        <w:rPr>
          <w:rFonts w:ascii="Times New Roman" w:hAnsi="Times New Roman"/>
        </w:rPr>
        <w:t xml:space="preserve"> </w:t>
      </w:r>
      <w:r>
        <w:rPr>
          <w:rFonts w:ascii="Times New Roman" w:hAnsi="Times New Roman"/>
        </w:rPr>
        <w:t xml:space="preserve">participants </w:t>
      </w:r>
      <w:r w:rsidR="009C3CB6" w:rsidRPr="00B05509">
        <w:rPr>
          <w:rFonts w:ascii="Times New Roman" w:hAnsi="Times New Roman"/>
        </w:rPr>
        <w:t xml:space="preserve">were not </w:t>
      </w:r>
      <w:r w:rsidR="00262896" w:rsidRPr="00B05509">
        <w:rPr>
          <w:rFonts w:ascii="Times New Roman" w:hAnsi="Times New Roman"/>
        </w:rPr>
        <w:t xml:space="preserve">given </w:t>
      </w:r>
      <w:r w:rsidR="009C3CB6" w:rsidRPr="00B05509">
        <w:rPr>
          <w:rFonts w:ascii="Times New Roman" w:hAnsi="Times New Roman"/>
        </w:rPr>
        <w:t>any</w:t>
      </w:r>
      <w:r w:rsidR="00262896" w:rsidRPr="00B05509">
        <w:rPr>
          <w:rFonts w:ascii="Times New Roman" w:hAnsi="Times New Roman"/>
        </w:rPr>
        <w:t xml:space="preserve"> cues as to the quality of the evidence. </w:t>
      </w:r>
    </w:p>
    <w:p w14:paraId="2D5556AD" w14:textId="0235D2B2" w:rsidR="003F1F9E" w:rsidRPr="00B05509" w:rsidRDefault="002C6349" w:rsidP="007C3BBA">
      <w:pPr>
        <w:spacing w:line="480" w:lineRule="auto"/>
        <w:rPr>
          <w:rFonts w:ascii="Times New Roman" w:hAnsi="Times New Roman"/>
        </w:rPr>
      </w:pPr>
      <w:r>
        <w:rPr>
          <w:rFonts w:ascii="Times New Roman" w:hAnsi="Times New Roman"/>
        </w:rPr>
        <w:t xml:space="preserve">The finding that higher numeracy participants may be more sensitive to differences in stated quality of evidence is interesting. Expert clinical guideline panels have been found to be more likely to make strong recommendations when the quality of the evidence is high </w:t>
      </w:r>
      <w:r w:rsidR="000F68A7">
        <w:rPr>
          <w:rFonts w:ascii="Times New Roman" w:hAnsi="Times New Roman"/>
        </w:rPr>
        <w:fldChar w:fldCharType="begin" w:fldLock="1"/>
      </w:r>
      <w:r w:rsidR="00DA7ECD">
        <w:rPr>
          <w:rFonts w:ascii="Times New Roman" w:hAnsi="Times New Roman"/>
        </w:rPr>
        <w:instrText>ADDIN CSL_CITATION {"citationItems":[{"id":"ITEM-1","itemData":{"DOI":"10.1016/j.jclinepi.2021.02.025","ISSN":"18785921","PMID":"33662511","abstract":"Objective: Many factors are postulated to affect guidelines developments. We set out to identify the key determinants. Study design and setting: a) Web-based survey of 12 panels of 153 “voting” members who issued 2941 recommendations; b) qualitative analysis of 13 panels of 311 attendees (panel members, systematic review teams and observers). Results: Compared with “no recommendations”, when intervention's benefit outweigh harms (BH-balance), probability of issuing strong recommendations in favor of intervention was 0.22 (95%CI: 0.08 to 0.36) when certainty of evidence (CoE) was very low; 0.5 (95%CI:0.36 to 0.63) when low; 0.74 (95%CI 0.61 to 0.87) when moderate and 0.85 (95%CI:0.71 to 1.00) when high. No other postulated factor significantly affected recommendations. The findings are consistent with a J- curve model when recommendations are issued in favor but not against an intervention. Panelists often changed their judgments as a result of the meeting discussion (67% for CoE to 92% for balance between benefits and harms). The panels spent over 50% of their time debating CoE; the chairs and co-chairs dominated discussion. Conclusions: CoE and BH-balance are key determinants of recommendations in favor of an intervention. Chairs and co-chairs dominate discussion. Panelists often change their judgments as a result of panel deliberation.","author":[{"dropping-particle":"","family":"Djulbegovic","given":"Benjamin","non-dropping-particle":"","parse-names":false,"suffix":""},{"dropping-particle":"","family":"Hozo","given":"Iztok","non-dropping-particle":"","parse-names":false,"suffix":""},{"dropping-particle":"","family":"Li","given":"Shelly Anne","non-dropping-particle":"","parse-names":false,"suffix":""},{"dropping-particle":"","family":"Razavi","given":"Marianne","non-dropping-particle":"","parse-names":false,"suffix":""},{"dropping-particle":"","family":"Cuker","given":"Adam","non-dropping-particle":"","parse-names":false,"suffix":""},{"dropping-particle":"","family":"Guyatt","given":"Gordon","non-dropping-particle":"","parse-names":false,"suffix":""}],"container-title":"Journal of Clinical Epidemiology","id":"ITEM-1","issued":{"date-parts":[["2021"]]},"page":"1-9","publisher":"Elsevier Inc.","title":"Certainty of evidence and intervention's benefits and harms are key determinants of guidelines’ recommendations","type":"article-journal","volume":"136"},"uris":["http://www.mendeley.com/documents/?uuid=035f254e-ae43-4245-a238-2926b126060c"]}],"mendeley":{"formattedCitation":"[59]","plainTextFormattedCitation":"[59]","previouslyFormattedCitation":"[58]"},"properties":{"noteIndex":0},"schema":"https://github.com/citation-style-language/schema/raw/master/csl-citation.json"}</w:instrText>
      </w:r>
      <w:r w:rsidR="000F68A7">
        <w:rPr>
          <w:rFonts w:ascii="Times New Roman" w:hAnsi="Times New Roman"/>
        </w:rPr>
        <w:fldChar w:fldCharType="separate"/>
      </w:r>
      <w:r w:rsidR="00DA7ECD" w:rsidRPr="00DA7ECD">
        <w:rPr>
          <w:rFonts w:ascii="Times New Roman" w:hAnsi="Times New Roman"/>
          <w:noProof/>
        </w:rPr>
        <w:t>[59]</w:t>
      </w:r>
      <w:r w:rsidR="000F68A7">
        <w:rPr>
          <w:rFonts w:ascii="Times New Roman" w:hAnsi="Times New Roman"/>
        </w:rPr>
        <w:fldChar w:fldCharType="end"/>
      </w:r>
      <w:r>
        <w:rPr>
          <w:rFonts w:ascii="Times New Roman" w:hAnsi="Times New Roman"/>
        </w:rPr>
        <w:t>, indicating that quality of evidence level plays a strong role in their decision making, and this may reflect a similar effect.</w:t>
      </w:r>
      <w:r w:rsidR="006A31EE">
        <w:rPr>
          <w:rFonts w:ascii="Times New Roman" w:hAnsi="Times New Roman"/>
        </w:rPr>
        <w:t xml:space="preserve"> </w:t>
      </w:r>
      <w:r w:rsidR="00262896" w:rsidRPr="00B05509">
        <w:rPr>
          <w:rFonts w:ascii="Times New Roman" w:hAnsi="Times New Roman"/>
        </w:rPr>
        <w:t>We were keen to assess</w:t>
      </w:r>
      <w:r>
        <w:rPr>
          <w:rFonts w:ascii="Times New Roman" w:hAnsi="Times New Roman"/>
        </w:rPr>
        <w:t xml:space="preserve"> further</w:t>
      </w:r>
      <w:r w:rsidR="006A31EE">
        <w:rPr>
          <w:rFonts w:ascii="Times New Roman" w:hAnsi="Times New Roman"/>
        </w:rPr>
        <w:t xml:space="preserve"> </w:t>
      </w:r>
      <w:r w:rsidR="00DF6CA7" w:rsidRPr="00B05509">
        <w:rPr>
          <w:rFonts w:ascii="Times New Roman" w:hAnsi="Times New Roman"/>
        </w:rPr>
        <w:t xml:space="preserve">the effects of </w:t>
      </w:r>
      <w:r>
        <w:rPr>
          <w:rFonts w:ascii="Times New Roman" w:hAnsi="Times New Roman"/>
        </w:rPr>
        <w:t>comprehension</w:t>
      </w:r>
      <w:r w:rsidR="00952B57" w:rsidRPr="00B05509">
        <w:rPr>
          <w:rFonts w:ascii="Times New Roman" w:hAnsi="Times New Roman"/>
        </w:rPr>
        <w:t xml:space="preserve"> </w:t>
      </w:r>
      <w:r w:rsidR="00DF6CA7" w:rsidRPr="00B05509">
        <w:rPr>
          <w:rFonts w:ascii="Times New Roman" w:hAnsi="Times New Roman"/>
        </w:rPr>
        <w:t xml:space="preserve">on </w:t>
      </w:r>
      <w:r w:rsidR="00262896" w:rsidRPr="00B05509">
        <w:rPr>
          <w:rFonts w:ascii="Times New Roman" w:hAnsi="Times New Roman"/>
        </w:rPr>
        <w:t>weight</w:t>
      </w:r>
      <w:r w:rsidR="00DF6CA7" w:rsidRPr="00B05509">
        <w:rPr>
          <w:rFonts w:ascii="Times New Roman" w:hAnsi="Times New Roman"/>
        </w:rPr>
        <w:t>ing of</w:t>
      </w:r>
      <w:r>
        <w:rPr>
          <w:rFonts w:ascii="Times New Roman" w:hAnsi="Times New Roman"/>
        </w:rPr>
        <w:t xml:space="preserve"> the </w:t>
      </w:r>
      <w:r w:rsidR="00E26327" w:rsidRPr="00B05509">
        <w:rPr>
          <w:rFonts w:ascii="Times New Roman" w:hAnsi="Times New Roman"/>
        </w:rPr>
        <w:t>information presented in the infographic (i.e. the estimated effectiveness of eye protection and the quality of the evidence the estimate was based on)</w:t>
      </w:r>
      <w:r w:rsidR="00DF6CA7" w:rsidRPr="00B05509">
        <w:rPr>
          <w:rFonts w:ascii="Times New Roman" w:hAnsi="Times New Roman"/>
        </w:rPr>
        <w:t xml:space="preserve"> given the differences in </w:t>
      </w:r>
      <w:r w:rsidR="009C3CB6" w:rsidRPr="00B05509">
        <w:rPr>
          <w:rFonts w:ascii="Times New Roman" w:hAnsi="Times New Roman"/>
        </w:rPr>
        <w:t>results</w:t>
      </w:r>
      <w:r w:rsidR="00DF6CA7" w:rsidRPr="00B05509">
        <w:rPr>
          <w:rFonts w:ascii="Times New Roman" w:hAnsi="Times New Roman"/>
        </w:rPr>
        <w:t xml:space="preserve"> seen between higher and lower numeracy participants. In reporting health </w:t>
      </w:r>
      <w:r w:rsidR="00087DC4" w:rsidRPr="00B05509">
        <w:rPr>
          <w:rFonts w:ascii="Times New Roman" w:hAnsi="Times New Roman"/>
        </w:rPr>
        <w:t>information,</w:t>
      </w:r>
      <w:r w:rsidR="00DF6CA7" w:rsidRPr="00B05509">
        <w:rPr>
          <w:rFonts w:ascii="Times New Roman" w:hAnsi="Times New Roman"/>
        </w:rPr>
        <w:t xml:space="preserve"> it is very common to use numbers (such as percentages) for the effectiveness estimates</w:t>
      </w:r>
      <w:r w:rsidR="00262896" w:rsidRPr="00B05509">
        <w:rPr>
          <w:rFonts w:ascii="Times New Roman" w:hAnsi="Times New Roman"/>
        </w:rPr>
        <w:t xml:space="preserve"> </w:t>
      </w:r>
      <w:r w:rsidR="00DF6CA7" w:rsidRPr="00B05509">
        <w:rPr>
          <w:rFonts w:ascii="Times New Roman" w:hAnsi="Times New Roman"/>
        </w:rPr>
        <w:t xml:space="preserve">but </w:t>
      </w:r>
      <w:r w:rsidR="00262896" w:rsidRPr="00B05509">
        <w:rPr>
          <w:rFonts w:ascii="Times New Roman" w:hAnsi="Times New Roman"/>
        </w:rPr>
        <w:t>simple</w:t>
      </w:r>
      <w:r w:rsidR="00DF6CA7" w:rsidRPr="00B05509">
        <w:rPr>
          <w:rFonts w:ascii="Times New Roman" w:hAnsi="Times New Roman"/>
        </w:rPr>
        <w:t>r,</w:t>
      </w:r>
      <w:r w:rsidR="00262896" w:rsidRPr="00B05509">
        <w:rPr>
          <w:rFonts w:ascii="Times New Roman" w:hAnsi="Times New Roman"/>
        </w:rPr>
        <w:t xml:space="preserve"> verbal</w:t>
      </w:r>
      <w:r w:rsidR="00DF6CA7" w:rsidRPr="00B05509">
        <w:rPr>
          <w:rFonts w:ascii="Times New Roman" w:hAnsi="Times New Roman"/>
        </w:rPr>
        <w:t xml:space="preserve"> cues for the </w:t>
      </w:r>
      <w:r w:rsidR="00262896" w:rsidRPr="00B05509">
        <w:rPr>
          <w:rFonts w:ascii="Times New Roman" w:hAnsi="Times New Roman"/>
        </w:rPr>
        <w:t>quality of evidence information</w:t>
      </w:r>
      <w:r w:rsidR="00DF6CA7" w:rsidRPr="00B05509">
        <w:rPr>
          <w:rFonts w:ascii="Times New Roman" w:hAnsi="Times New Roman"/>
        </w:rPr>
        <w:t>.</w:t>
      </w:r>
      <w:r>
        <w:rPr>
          <w:rFonts w:ascii="Times New Roman" w:hAnsi="Times New Roman"/>
        </w:rPr>
        <w:t xml:space="preserve"> It could be that differential levels of understanding of these cues affects their weighting in decision-making. We therefore wanted to attempt an experimental manipulation of the comprehensibility of the information to see whether this would in turn affect its perceived trustworthiness or the effect of the quality of evidence rating on perceived efficacy.</w:t>
      </w:r>
      <w:r w:rsidR="00DF6CA7" w:rsidRPr="00B05509">
        <w:rPr>
          <w:rFonts w:ascii="Times New Roman" w:hAnsi="Times New Roman"/>
        </w:rPr>
        <w:t xml:space="preserve"> In the infographic</w:t>
      </w:r>
      <w:r>
        <w:rPr>
          <w:rFonts w:ascii="Times New Roman" w:hAnsi="Times New Roman"/>
        </w:rPr>
        <w:t xml:space="preserve"> we tested</w:t>
      </w:r>
      <w:r w:rsidR="00DF6CA7" w:rsidRPr="00B05509">
        <w:rPr>
          <w:rFonts w:ascii="Times New Roman" w:hAnsi="Times New Roman"/>
        </w:rPr>
        <w:t xml:space="preserve">, lower numeracy participants’ understanding of the numbers </w:t>
      </w:r>
      <w:r w:rsidR="00591756">
        <w:rPr>
          <w:rFonts w:ascii="Times New Roman" w:hAnsi="Times New Roman"/>
        </w:rPr>
        <w:t xml:space="preserve">might have been </w:t>
      </w:r>
      <w:r w:rsidR="00DF6CA7" w:rsidRPr="00B05509">
        <w:rPr>
          <w:rFonts w:ascii="Times New Roman" w:hAnsi="Times New Roman"/>
        </w:rPr>
        <w:t>supported by graphics in the form of icon arrays</w:t>
      </w:r>
      <w:r>
        <w:rPr>
          <w:rFonts w:ascii="Times New Roman" w:hAnsi="Times New Roman"/>
        </w:rPr>
        <w:t xml:space="preserve"> (although one that </w:t>
      </w:r>
      <w:r w:rsidR="00591756">
        <w:rPr>
          <w:rFonts w:ascii="Times New Roman" w:hAnsi="Times New Roman"/>
        </w:rPr>
        <w:t xml:space="preserve">visualized the </w:t>
      </w:r>
      <w:r w:rsidR="00C543DF">
        <w:rPr>
          <w:rFonts w:ascii="Times New Roman" w:hAnsi="Times New Roman"/>
        </w:rPr>
        <w:t xml:space="preserve">percentages as number of people out of a </w:t>
      </w:r>
      <w:r w:rsidR="00591756">
        <w:rPr>
          <w:rFonts w:ascii="Times New Roman" w:hAnsi="Times New Roman"/>
        </w:rPr>
        <w:t xml:space="preserve">total </w:t>
      </w:r>
      <w:r w:rsidR="00C543DF">
        <w:rPr>
          <w:rFonts w:ascii="Times New Roman" w:hAnsi="Times New Roman"/>
        </w:rPr>
        <w:t>of</w:t>
      </w:r>
      <w:r w:rsidR="00591756">
        <w:rPr>
          <w:rFonts w:ascii="Times New Roman" w:hAnsi="Times New Roman"/>
        </w:rPr>
        <w:t xml:space="preserve"> 50 people instead of 100, </w:t>
      </w:r>
      <w:r w:rsidR="00C543DF">
        <w:rPr>
          <w:rFonts w:ascii="Times New Roman" w:hAnsi="Times New Roman"/>
        </w:rPr>
        <w:t xml:space="preserve">hence going </w:t>
      </w:r>
      <w:r w:rsidR="00C543DF">
        <w:rPr>
          <w:rFonts w:ascii="Times New Roman" w:hAnsi="Times New Roman"/>
        </w:rPr>
        <w:lastRenderedPageBreak/>
        <w:t xml:space="preserve">counter the </w:t>
      </w:r>
      <w:r w:rsidR="00591756">
        <w:rPr>
          <w:rFonts w:ascii="Times New Roman" w:hAnsi="Times New Roman"/>
        </w:rPr>
        <w:t>presumably most intuitive visualization of a percentage</w:t>
      </w:r>
      <w:r>
        <w:rPr>
          <w:rFonts w:ascii="Times New Roman" w:hAnsi="Times New Roman"/>
        </w:rPr>
        <w:t>).</w:t>
      </w:r>
      <w:r w:rsidR="00DF6CA7" w:rsidRPr="00B05509">
        <w:rPr>
          <w:rFonts w:ascii="Times New Roman" w:hAnsi="Times New Roman"/>
        </w:rPr>
        <w:t xml:space="preserve"> We </w:t>
      </w:r>
      <w:r>
        <w:rPr>
          <w:rFonts w:ascii="Times New Roman" w:hAnsi="Times New Roman"/>
        </w:rPr>
        <w:t xml:space="preserve">therefore planned a condition in which this icon array was removed, to see whether this affected comprehension of the efficacy information and, in turn, people’s assessment of that information. </w:t>
      </w:r>
    </w:p>
    <w:p w14:paraId="55B08603" w14:textId="77777777" w:rsidR="00104207" w:rsidRPr="00B05509" w:rsidRDefault="00104207" w:rsidP="007C3BBA">
      <w:pPr>
        <w:spacing w:line="480" w:lineRule="auto"/>
        <w:rPr>
          <w:rFonts w:ascii="Times New Roman" w:hAnsi="Times New Roman"/>
        </w:rPr>
      </w:pPr>
    </w:p>
    <w:p w14:paraId="3582DE9D" w14:textId="7A57F32C" w:rsidR="007A16CF" w:rsidRPr="00B05509" w:rsidRDefault="00951130"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Experiment</w:t>
      </w:r>
      <w:r w:rsidR="007A16CF" w:rsidRPr="00B05509">
        <w:rPr>
          <w:rFonts w:ascii="Times New Roman" w:hAnsi="Times New Roman" w:cs="Times New Roman"/>
          <w:b/>
          <w:color w:val="auto"/>
          <w:sz w:val="36"/>
          <w:szCs w:val="36"/>
        </w:rPr>
        <w:t xml:space="preserve"> 2:</w:t>
      </w:r>
      <w:r w:rsidR="00FC196B" w:rsidRPr="00B05509">
        <w:rPr>
          <w:rFonts w:ascii="Times New Roman" w:hAnsi="Times New Roman" w:cs="Times New Roman"/>
          <w:b/>
          <w:color w:val="auto"/>
          <w:sz w:val="36"/>
          <w:szCs w:val="36"/>
        </w:rPr>
        <w:t xml:space="preserve"> Additional </w:t>
      </w:r>
      <w:r w:rsidR="007E4C91" w:rsidRPr="00B05509">
        <w:rPr>
          <w:rFonts w:ascii="Times New Roman" w:hAnsi="Times New Roman" w:cs="Times New Roman"/>
          <w:b/>
          <w:color w:val="auto"/>
          <w:sz w:val="36"/>
          <w:szCs w:val="36"/>
        </w:rPr>
        <w:t>materials and m</w:t>
      </w:r>
      <w:r w:rsidR="00FC196B" w:rsidRPr="00B05509">
        <w:rPr>
          <w:rFonts w:ascii="Times New Roman" w:hAnsi="Times New Roman" w:cs="Times New Roman"/>
          <w:b/>
          <w:color w:val="auto"/>
          <w:sz w:val="36"/>
          <w:szCs w:val="36"/>
        </w:rPr>
        <w:t>ethods</w:t>
      </w:r>
    </w:p>
    <w:p w14:paraId="49E9A5BC" w14:textId="3D563E9C" w:rsidR="00C131B2" w:rsidRPr="00B05509" w:rsidRDefault="0022642E" w:rsidP="007C3BBA">
      <w:pPr>
        <w:spacing w:line="480" w:lineRule="auto"/>
        <w:rPr>
          <w:rFonts w:ascii="Times New Roman" w:hAnsi="Times New Roman"/>
        </w:rPr>
      </w:pPr>
      <w:r w:rsidRPr="00B05509">
        <w:rPr>
          <w:rFonts w:ascii="Times New Roman" w:hAnsi="Times New Roman"/>
        </w:rPr>
        <w:t xml:space="preserve">This experiment </w:t>
      </w:r>
      <w:r w:rsidR="00254BD2" w:rsidRPr="00B05509">
        <w:rPr>
          <w:rFonts w:ascii="Times New Roman" w:hAnsi="Times New Roman"/>
        </w:rPr>
        <w:t xml:space="preserve">had two aims. Firstly, </w:t>
      </w:r>
      <w:r w:rsidRPr="00B05509">
        <w:rPr>
          <w:rFonts w:ascii="Times New Roman" w:hAnsi="Times New Roman"/>
        </w:rPr>
        <w:t xml:space="preserve">to test </w:t>
      </w:r>
      <w:r w:rsidR="00262896" w:rsidRPr="00B05509">
        <w:rPr>
          <w:rFonts w:ascii="Times New Roman" w:hAnsi="Times New Roman"/>
        </w:rPr>
        <w:t>how participants assessed evidence quality when there was</w:t>
      </w:r>
      <w:r w:rsidR="009B1B8F" w:rsidRPr="00B05509">
        <w:rPr>
          <w:rFonts w:ascii="Times New Roman" w:hAnsi="Times New Roman"/>
        </w:rPr>
        <w:t xml:space="preserve"> no</w:t>
      </w:r>
      <w:r w:rsidR="00EC0F42" w:rsidRPr="00B05509">
        <w:rPr>
          <w:rFonts w:ascii="Times New Roman" w:hAnsi="Times New Roman"/>
        </w:rPr>
        <w:t xml:space="preserve"> </w:t>
      </w:r>
      <w:r w:rsidR="009B1B8F" w:rsidRPr="00B05509">
        <w:rPr>
          <w:rFonts w:ascii="Times New Roman" w:hAnsi="Times New Roman"/>
        </w:rPr>
        <w:t xml:space="preserve">statement regarding </w:t>
      </w:r>
      <w:r w:rsidR="00262896" w:rsidRPr="00B05509">
        <w:rPr>
          <w:rFonts w:ascii="Times New Roman" w:hAnsi="Times New Roman"/>
        </w:rPr>
        <w:t>it, compared to evidence with an overt ‘high’ or ‘low’ quality label</w:t>
      </w:r>
      <w:r w:rsidR="00C131B2" w:rsidRPr="00B05509">
        <w:rPr>
          <w:rFonts w:ascii="Times New Roman" w:hAnsi="Times New Roman"/>
        </w:rPr>
        <w:t xml:space="preserve">. </w:t>
      </w:r>
      <w:r w:rsidR="00254BD2" w:rsidRPr="00B05509">
        <w:rPr>
          <w:rFonts w:ascii="Times New Roman" w:hAnsi="Times New Roman"/>
        </w:rPr>
        <w:t>Secondly,</w:t>
      </w:r>
      <w:r w:rsidR="00C131B2" w:rsidRPr="00B05509">
        <w:rPr>
          <w:rFonts w:ascii="Times New Roman" w:hAnsi="Times New Roman"/>
        </w:rPr>
        <w:t xml:space="preserve"> to assess </w:t>
      </w:r>
      <w:r w:rsidR="009B1B8F" w:rsidRPr="00B05509">
        <w:rPr>
          <w:rFonts w:ascii="Times New Roman" w:hAnsi="Times New Roman"/>
        </w:rPr>
        <w:t xml:space="preserve">whether </w:t>
      </w:r>
      <w:r w:rsidR="00C131B2" w:rsidRPr="00B05509">
        <w:rPr>
          <w:rFonts w:ascii="Times New Roman" w:hAnsi="Times New Roman"/>
        </w:rPr>
        <w:t xml:space="preserve">participants’ </w:t>
      </w:r>
      <w:r w:rsidR="00DF6CA7" w:rsidRPr="00B05509">
        <w:rPr>
          <w:rFonts w:ascii="Times New Roman" w:hAnsi="Times New Roman"/>
        </w:rPr>
        <w:t>reactions to the two</w:t>
      </w:r>
      <w:r w:rsidR="007B30BA" w:rsidRPr="00B05509">
        <w:rPr>
          <w:rFonts w:ascii="Times New Roman" w:hAnsi="Times New Roman"/>
        </w:rPr>
        <w:t xml:space="preserve"> quality</w:t>
      </w:r>
      <w:r w:rsidR="00DF6CA7" w:rsidRPr="00B05509">
        <w:rPr>
          <w:rFonts w:ascii="Times New Roman" w:hAnsi="Times New Roman"/>
        </w:rPr>
        <w:t xml:space="preserve"> cues was altered when the icon array was removed, making the efficacy information purely numeric</w:t>
      </w:r>
      <w:r w:rsidR="00F311D8" w:rsidRPr="00B05509">
        <w:rPr>
          <w:rFonts w:ascii="Times New Roman" w:hAnsi="Times New Roman"/>
        </w:rPr>
        <w:t>, potentially affecting participants’ understanding.</w:t>
      </w:r>
    </w:p>
    <w:p w14:paraId="33E6F6F4" w14:textId="77777777" w:rsidR="00C131B2" w:rsidRPr="00B05509" w:rsidRDefault="00C131B2" w:rsidP="007C3BBA">
      <w:pPr>
        <w:spacing w:line="480" w:lineRule="auto"/>
        <w:rPr>
          <w:rFonts w:ascii="Times New Roman" w:hAnsi="Times New Roman"/>
        </w:rPr>
      </w:pPr>
    </w:p>
    <w:p w14:paraId="3EBBE024" w14:textId="48704DFC" w:rsidR="009424EA" w:rsidRPr="00B05509" w:rsidRDefault="00C131B2" w:rsidP="007C3BBA">
      <w:pPr>
        <w:spacing w:line="480" w:lineRule="auto"/>
        <w:rPr>
          <w:rFonts w:ascii="Times New Roman" w:hAnsi="Times New Roman"/>
        </w:rPr>
      </w:pPr>
      <w:r w:rsidRPr="00B05509">
        <w:rPr>
          <w:rFonts w:ascii="Times New Roman" w:hAnsi="Times New Roman"/>
        </w:rPr>
        <w:t>W</w:t>
      </w:r>
      <w:r w:rsidR="009B1B8F" w:rsidRPr="00B05509">
        <w:rPr>
          <w:rFonts w:ascii="Times New Roman" w:hAnsi="Times New Roman"/>
        </w:rPr>
        <w:t xml:space="preserve">e </w:t>
      </w:r>
      <w:r w:rsidRPr="00B05509">
        <w:rPr>
          <w:rFonts w:ascii="Times New Roman" w:hAnsi="Times New Roman"/>
        </w:rPr>
        <w:t>therefore</w:t>
      </w:r>
      <w:r w:rsidR="009B1B8F" w:rsidRPr="00B05509">
        <w:rPr>
          <w:rFonts w:ascii="Times New Roman" w:hAnsi="Times New Roman"/>
        </w:rPr>
        <w:t xml:space="preserve"> used a 3 x 2 factorial design</w:t>
      </w:r>
      <w:r w:rsidRPr="00B05509">
        <w:rPr>
          <w:rFonts w:ascii="Times New Roman" w:hAnsi="Times New Roman"/>
        </w:rPr>
        <w:t>: three conditions of evidence quality cue (</w:t>
      </w:r>
      <w:r w:rsidR="009B1B8F" w:rsidRPr="00B05509">
        <w:rPr>
          <w:rFonts w:ascii="Times New Roman" w:hAnsi="Times New Roman"/>
        </w:rPr>
        <w:t>‘high’ versus ‘low’ versus no statement</w:t>
      </w:r>
      <w:r w:rsidRPr="00B05509">
        <w:rPr>
          <w:rFonts w:ascii="Times New Roman" w:hAnsi="Times New Roman"/>
        </w:rPr>
        <w:t>) and two conditions</w:t>
      </w:r>
      <w:r w:rsidR="00DF6CA7" w:rsidRPr="00B05509">
        <w:rPr>
          <w:rFonts w:ascii="Times New Roman" w:hAnsi="Times New Roman"/>
        </w:rPr>
        <w:t xml:space="preserve"> of information presentation</w:t>
      </w:r>
      <w:r w:rsidR="007F3697" w:rsidRPr="00B05509">
        <w:rPr>
          <w:rFonts w:ascii="Times New Roman" w:hAnsi="Times New Roman"/>
        </w:rPr>
        <w:t xml:space="preserve"> formats</w:t>
      </w:r>
      <w:r w:rsidR="00DF6CA7" w:rsidRPr="00B05509">
        <w:rPr>
          <w:rFonts w:ascii="Times New Roman" w:hAnsi="Times New Roman"/>
        </w:rPr>
        <w:t xml:space="preserve"> (with and without icon array)</w:t>
      </w:r>
      <w:r w:rsidRPr="00B05509">
        <w:rPr>
          <w:rFonts w:ascii="Times New Roman" w:hAnsi="Times New Roman"/>
        </w:rPr>
        <w:t xml:space="preserve">. </w:t>
      </w:r>
      <w:r w:rsidR="007B25D9" w:rsidRPr="00B05509">
        <w:rPr>
          <w:rFonts w:ascii="Times New Roman" w:hAnsi="Times New Roman"/>
        </w:rPr>
        <w:t>See Fig 3.</w:t>
      </w:r>
      <w:r w:rsidR="00F6200E">
        <w:rPr>
          <w:rFonts w:ascii="Times New Roman" w:hAnsi="Times New Roman"/>
        </w:rPr>
        <w:t xml:space="preserve"> </w:t>
      </w:r>
      <w:r w:rsidR="00F6200E" w:rsidRPr="00A54F98">
        <w:rPr>
          <w:rFonts w:ascii="Times New Roman" w:hAnsi="Times New Roman"/>
        </w:rPr>
        <w:t xml:space="preserve">The infographics depicted are in the format in which participants saw them. Please refer to </w:t>
      </w:r>
      <w:r w:rsidR="00F6200E">
        <w:rPr>
          <w:rFonts w:ascii="Times New Roman" w:hAnsi="Times New Roman"/>
        </w:rPr>
        <w:t xml:space="preserve">the materials and methods section of Experiment 1 </w:t>
      </w:r>
      <w:r w:rsidR="00F6200E" w:rsidRPr="00A54F98">
        <w:rPr>
          <w:rFonts w:ascii="Times New Roman" w:hAnsi="Times New Roman"/>
        </w:rPr>
        <w:t>for an elaboration on the graphical error that occurred in the production of the infographics, as well as the limitations section of the General Discussion for further discussion</w:t>
      </w:r>
      <w:r w:rsidR="00F6200E">
        <w:rPr>
          <w:rFonts w:ascii="Times New Roman" w:hAnsi="Times New Roman"/>
        </w:rPr>
        <w:t>.</w:t>
      </w:r>
    </w:p>
    <w:p w14:paraId="6FC7E969" w14:textId="219F9DA2" w:rsidR="00A12EFC" w:rsidRPr="00B05509" w:rsidRDefault="00A12EFC" w:rsidP="007C3BBA">
      <w:pPr>
        <w:keepNext/>
        <w:spacing w:line="480" w:lineRule="auto"/>
        <w:rPr>
          <w:rFonts w:ascii="Times New Roman" w:hAnsi="Times New Roman"/>
        </w:rPr>
      </w:pPr>
    </w:p>
    <w:p w14:paraId="19B1FC21" w14:textId="2C80477D" w:rsidR="00624AAA" w:rsidRDefault="00F6200E" w:rsidP="007C3BBA">
      <w:pPr>
        <w:keepNext/>
        <w:spacing w:line="480" w:lineRule="auto"/>
        <w:rPr>
          <w:rFonts w:ascii="Times New Roman" w:hAnsi="Times New Roman"/>
          <w:i/>
        </w:rPr>
      </w:pPr>
      <w:r>
        <w:rPr>
          <w:rFonts w:ascii="Times New Roman" w:hAnsi="Times New Roman"/>
          <w:i/>
          <w:noProof/>
        </w:rPr>
        <w:drawing>
          <wp:inline distT="0" distB="0" distL="0" distR="0" wp14:anchorId="50434FC4" wp14:editId="728207BC">
            <wp:extent cx="5727700" cy="5135880"/>
            <wp:effectExtent l="0" t="0" r="6350" b="762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e 3.tif"/>
                    <pic:cNvPicPr/>
                  </pic:nvPicPr>
                  <pic:blipFill>
                    <a:blip r:embed="rId10" cstate="hqprint">
                      <a:extLst>
                        <a:ext uri="{28A0092B-C50C-407E-A947-70E740481C1C}">
                          <a14:useLocalDpi xmlns:a14="http://schemas.microsoft.com/office/drawing/2010/main" val="0"/>
                        </a:ext>
                      </a:extLst>
                    </a:blip>
                    <a:stretch>
                      <a:fillRect/>
                    </a:stretch>
                  </pic:blipFill>
                  <pic:spPr>
                    <a:xfrm>
                      <a:off x="0" y="0"/>
                      <a:ext cx="5727700" cy="5135880"/>
                    </a:xfrm>
                    <a:prstGeom prst="rect">
                      <a:avLst/>
                    </a:prstGeom>
                  </pic:spPr>
                </pic:pic>
              </a:graphicData>
            </a:graphic>
          </wp:inline>
        </w:drawing>
      </w:r>
    </w:p>
    <w:p w14:paraId="6A0D7ED7" w14:textId="66006FE7" w:rsidR="00F94982" w:rsidRPr="00B05509" w:rsidRDefault="00F94982" w:rsidP="00B05509">
      <w:pPr>
        <w:rPr>
          <w:rFonts w:ascii="Times New Roman" w:hAnsi="Times New Roman"/>
          <w:sz w:val="22"/>
          <w:szCs w:val="22"/>
        </w:rPr>
      </w:pPr>
      <w:r w:rsidRPr="00B05509">
        <w:rPr>
          <w:rFonts w:ascii="Times New Roman" w:hAnsi="Times New Roman"/>
          <w:b/>
          <w:sz w:val="22"/>
          <w:szCs w:val="22"/>
        </w:rPr>
        <w:t>Fig 3</w:t>
      </w:r>
      <w:r>
        <w:rPr>
          <w:rFonts w:ascii="Times New Roman" w:hAnsi="Times New Roman"/>
          <w:b/>
          <w:sz w:val="22"/>
          <w:szCs w:val="22"/>
        </w:rPr>
        <w:t>.</w:t>
      </w:r>
      <w:r w:rsidRPr="00B05509">
        <w:rPr>
          <w:rFonts w:ascii="Times New Roman" w:hAnsi="Times New Roman"/>
          <w:b/>
          <w:sz w:val="22"/>
          <w:szCs w:val="22"/>
        </w:rPr>
        <w:t xml:space="preserve"> </w:t>
      </w:r>
      <w:r w:rsidR="00BA52E5">
        <w:rPr>
          <w:rFonts w:ascii="Times New Roman" w:hAnsi="Times New Roman"/>
          <w:b/>
          <w:sz w:val="22"/>
          <w:szCs w:val="22"/>
        </w:rPr>
        <w:t>I</w:t>
      </w:r>
      <w:r w:rsidRPr="00B05509">
        <w:rPr>
          <w:rFonts w:ascii="Times New Roman" w:hAnsi="Times New Roman"/>
          <w:b/>
          <w:sz w:val="22"/>
          <w:szCs w:val="22"/>
        </w:rPr>
        <w:t>nfographics used in Experiment 2</w:t>
      </w:r>
      <w:r w:rsidR="00BA52E5">
        <w:rPr>
          <w:rFonts w:ascii="Times New Roman" w:hAnsi="Times New Roman"/>
          <w:b/>
          <w:sz w:val="22"/>
          <w:szCs w:val="22"/>
        </w:rPr>
        <w:t xml:space="preserve"> showing</w:t>
      </w:r>
      <w:r w:rsidR="00BA52E5" w:rsidRPr="00BA52E5">
        <w:rPr>
          <w:rFonts w:ascii="Times New Roman" w:hAnsi="Times New Roman"/>
          <w:b/>
          <w:sz w:val="22"/>
          <w:szCs w:val="22"/>
        </w:rPr>
        <w:t xml:space="preserve"> </w:t>
      </w:r>
      <w:r w:rsidR="00BA52E5">
        <w:rPr>
          <w:rFonts w:ascii="Times New Roman" w:hAnsi="Times New Roman"/>
          <w:b/>
          <w:sz w:val="22"/>
          <w:szCs w:val="22"/>
        </w:rPr>
        <w:t>the chance of infection or transmission of COVID-19 without and with eye protection</w:t>
      </w:r>
      <w:r w:rsidR="008E1656">
        <w:rPr>
          <w:rFonts w:ascii="Times New Roman" w:hAnsi="Times New Roman"/>
          <w:b/>
          <w:sz w:val="22"/>
          <w:szCs w:val="22"/>
        </w:rPr>
        <w:t xml:space="preserve"> (in two information presentation formats)</w:t>
      </w:r>
      <w:r w:rsidR="00BA52E5">
        <w:rPr>
          <w:rFonts w:ascii="Times New Roman" w:hAnsi="Times New Roman"/>
          <w:b/>
          <w:sz w:val="22"/>
          <w:szCs w:val="22"/>
        </w:rPr>
        <w:t xml:space="preserve"> along with information on the underlying quality of evidence levels</w:t>
      </w:r>
      <w:r w:rsidRPr="00B05509">
        <w:rPr>
          <w:rFonts w:ascii="Times New Roman" w:hAnsi="Times New Roman"/>
          <w:b/>
          <w:sz w:val="22"/>
          <w:szCs w:val="22"/>
        </w:rPr>
        <w:t xml:space="preserve">. </w:t>
      </w:r>
      <w:r w:rsidR="00BA52E5">
        <w:rPr>
          <w:rFonts w:ascii="Times New Roman" w:hAnsi="Times New Roman"/>
          <w:sz w:val="22"/>
          <w:szCs w:val="22"/>
        </w:rPr>
        <w:t>The six panels</w:t>
      </w:r>
      <w:r w:rsidR="004420E4">
        <w:rPr>
          <w:rFonts w:ascii="Times New Roman" w:hAnsi="Times New Roman"/>
          <w:sz w:val="22"/>
          <w:szCs w:val="22"/>
        </w:rPr>
        <w:t xml:space="preserve"> </w:t>
      </w:r>
      <w:r w:rsidR="00BA52E5">
        <w:rPr>
          <w:rFonts w:ascii="Times New Roman" w:hAnsi="Times New Roman"/>
          <w:sz w:val="22"/>
          <w:szCs w:val="22"/>
        </w:rPr>
        <w:t xml:space="preserve">depict the </w:t>
      </w:r>
      <w:r w:rsidR="00BA52E5" w:rsidRPr="00BA52E5">
        <w:rPr>
          <w:rFonts w:ascii="Times New Roman" w:hAnsi="Times New Roman"/>
          <w:sz w:val="22"/>
          <w:szCs w:val="22"/>
        </w:rPr>
        <w:t xml:space="preserve">infographics used for the </w:t>
      </w:r>
      <w:r w:rsidR="00BA52E5">
        <w:rPr>
          <w:rFonts w:ascii="Times New Roman" w:hAnsi="Times New Roman"/>
          <w:sz w:val="22"/>
          <w:szCs w:val="22"/>
        </w:rPr>
        <w:t>six</w:t>
      </w:r>
      <w:r w:rsidR="00BA52E5" w:rsidRPr="00BA52E5">
        <w:rPr>
          <w:rFonts w:ascii="Times New Roman" w:hAnsi="Times New Roman"/>
          <w:sz w:val="22"/>
          <w:szCs w:val="22"/>
        </w:rPr>
        <w:t xml:space="preserve"> experimental conditions</w:t>
      </w:r>
      <w:r w:rsidR="00BA52E5">
        <w:rPr>
          <w:rFonts w:ascii="Times New Roman" w:hAnsi="Times New Roman"/>
          <w:sz w:val="22"/>
          <w:szCs w:val="22"/>
        </w:rPr>
        <w:t xml:space="preserve">. </w:t>
      </w:r>
      <w:r w:rsidRPr="00B05509">
        <w:rPr>
          <w:rFonts w:ascii="Times New Roman" w:hAnsi="Times New Roman"/>
          <w:sz w:val="22"/>
          <w:szCs w:val="22"/>
        </w:rPr>
        <w:t xml:space="preserve">(A) infographic shown to participants in the </w:t>
      </w:r>
      <w:r w:rsidR="00997B9A">
        <w:rPr>
          <w:rFonts w:ascii="Times New Roman" w:hAnsi="Times New Roman"/>
          <w:sz w:val="22"/>
          <w:szCs w:val="22"/>
        </w:rPr>
        <w:t>‘</w:t>
      </w:r>
      <w:r w:rsidR="008E1656">
        <w:rPr>
          <w:rFonts w:ascii="Times New Roman" w:hAnsi="Times New Roman"/>
          <w:sz w:val="22"/>
          <w:szCs w:val="22"/>
        </w:rPr>
        <w:t>With Icon Array</w:t>
      </w:r>
      <w:r w:rsidRPr="00B05509">
        <w:rPr>
          <w:rFonts w:ascii="Times New Roman" w:hAnsi="Times New Roman"/>
          <w:sz w:val="22"/>
          <w:szCs w:val="22"/>
        </w:rPr>
        <w:t xml:space="preserve"> </w:t>
      </w:r>
      <w:r w:rsidR="00B55220">
        <w:rPr>
          <w:rFonts w:ascii="Times New Roman" w:hAnsi="Times New Roman"/>
          <w:sz w:val="22"/>
          <w:szCs w:val="22"/>
        </w:rPr>
        <w:t>High</w:t>
      </w:r>
      <w:r w:rsidRPr="00B05509">
        <w:rPr>
          <w:rFonts w:ascii="Times New Roman" w:hAnsi="Times New Roman"/>
          <w:sz w:val="22"/>
          <w:szCs w:val="22"/>
        </w:rPr>
        <w:t xml:space="preserve"> Quality of Evidence</w:t>
      </w:r>
      <w:r w:rsidR="00997B9A">
        <w:rPr>
          <w:rFonts w:ascii="Times New Roman" w:hAnsi="Times New Roman"/>
          <w:sz w:val="22"/>
          <w:szCs w:val="22"/>
        </w:rPr>
        <w:t>’</w:t>
      </w:r>
      <w:r w:rsidRPr="00B05509">
        <w:rPr>
          <w:rFonts w:ascii="Times New Roman" w:hAnsi="Times New Roman"/>
          <w:sz w:val="22"/>
          <w:szCs w:val="22"/>
        </w:rPr>
        <w:t xml:space="preserve"> </w:t>
      </w:r>
      <w:r w:rsidR="008E1656">
        <w:rPr>
          <w:rFonts w:ascii="Times New Roman" w:hAnsi="Times New Roman"/>
          <w:sz w:val="22"/>
          <w:szCs w:val="22"/>
        </w:rPr>
        <w:t>condition</w:t>
      </w:r>
      <w:r w:rsidRPr="00B05509">
        <w:rPr>
          <w:rFonts w:ascii="Times New Roman" w:hAnsi="Times New Roman"/>
          <w:sz w:val="22"/>
          <w:szCs w:val="22"/>
        </w:rPr>
        <w:t xml:space="preserve">, (B) </w:t>
      </w:r>
      <w:r w:rsidR="00997B9A">
        <w:rPr>
          <w:rFonts w:ascii="Times New Roman" w:hAnsi="Times New Roman"/>
          <w:sz w:val="22"/>
          <w:szCs w:val="22"/>
        </w:rPr>
        <w:t>‘</w:t>
      </w:r>
      <w:r w:rsidRPr="00B05509">
        <w:rPr>
          <w:rFonts w:ascii="Times New Roman" w:hAnsi="Times New Roman"/>
          <w:sz w:val="22"/>
          <w:szCs w:val="22"/>
        </w:rPr>
        <w:t>With</w:t>
      </w:r>
      <w:r w:rsidR="00B55220">
        <w:rPr>
          <w:rFonts w:ascii="Times New Roman" w:hAnsi="Times New Roman"/>
          <w:sz w:val="22"/>
          <w:szCs w:val="22"/>
        </w:rPr>
        <w:t>out</w:t>
      </w:r>
      <w:r w:rsidRPr="00B05509">
        <w:rPr>
          <w:rFonts w:ascii="Times New Roman" w:hAnsi="Times New Roman"/>
          <w:sz w:val="22"/>
          <w:szCs w:val="22"/>
        </w:rPr>
        <w:t xml:space="preserve"> </w:t>
      </w:r>
      <w:r w:rsidR="008E1656">
        <w:rPr>
          <w:rFonts w:ascii="Times New Roman" w:hAnsi="Times New Roman"/>
          <w:sz w:val="22"/>
          <w:szCs w:val="22"/>
        </w:rPr>
        <w:t>Icon Array</w:t>
      </w:r>
      <w:r w:rsidRPr="00B05509">
        <w:rPr>
          <w:rFonts w:ascii="Times New Roman" w:hAnsi="Times New Roman"/>
          <w:sz w:val="22"/>
          <w:szCs w:val="22"/>
        </w:rPr>
        <w:t xml:space="preserve"> High Quality of Evidence</w:t>
      </w:r>
      <w:r w:rsidR="00997B9A">
        <w:rPr>
          <w:rFonts w:ascii="Times New Roman" w:hAnsi="Times New Roman"/>
          <w:sz w:val="22"/>
          <w:szCs w:val="22"/>
        </w:rPr>
        <w:t>’</w:t>
      </w:r>
      <w:r w:rsidRPr="00B05509">
        <w:rPr>
          <w:rFonts w:ascii="Times New Roman" w:hAnsi="Times New Roman"/>
          <w:sz w:val="22"/>
          <w:szCs w:val="22"/>
        </w:rPr>
        <w:t xml:space="preserve"> </w:t>
      </w:r>
      <w:r w:rsidR="008E1656">
        <w:rPr>
          <w:rFonts w:ascii="Times New Roman" w:hAnsi="Times New Roman"/>
          <w:sz w:val="22"/>
          <w:szCs w:val="22"/>
        </w:rPr>
        <w:t>condition</w:t>
      </w:r>
      <w:r w:rsidRPr="00B05509">
        <w:rPr>
          <w:rFonts w:ascii="Times New Roman" w:hAnsi="Times New Roman"/>
          <w:sz w:val="22"/>
          <w:szCs w:val="22"/>
        </w:rPr>
        <w:t xml:space="preserve">, (C) </w:t>
      </w:r>
      <w:r w:rsidR="00997B9A">
        <w:rPr>
          <w:rFonts w:ascii="Times New Roman" w:hAnsi="Times New Roman"/>
          <w:sz w:val="22"/>
          <w:szCs w:val="22"/>
        </w:rPr>
        <w:t>‘</w:t>
      </w:r>
      <w:r w:rsidRPr="00B05509">
        <w:rPr>
          <w:rFonts w:ascii="Times New Roman" w:hAnsi="Times New Roman"/>
          <w:sz w:val="22"/>
          <w:szCs w:val="22"/>
        </w:rPr>
        <w:t xml:space="preserve">With </w:t>
      </w:r>
      <w:r w:rsidR="008E1656">
        <w:rPr>
          <w:rFonts w:ascii="Times New Roman" w:hAnsi="Times New Roman"/>
          <w:sz w:val="22"/>
          <w:szCs w:val="22"/>
        </w:rPr>
        <w:t>Icon Array</w:t>
      </w:r>
      <w:r w:rsidRPr="00B05509">
        <w:rPr>
          <w:rFonts w:ascii="Times New Roman" w:hAnsi="Times New Roman"/>
          <w:sz w:val="22"/>
          <w:szCs w:val="22"/>
        </w:rPr>
        <w:t xml:space="preserve"> Low Quality of Evidence</w:t>
      </w:r>
      <w:r w:rsidR="00997B9A">
        <w:rPr>
          <w:rFonts w:ascii="Times New Roman" w:hAnsi="Times New Roman"/>
          <w:sz w:val="22"/>
          <w:szCs w:val="22"/>
        </w:rPr>
        <w:t>’</w:t>
      </w:r>
      <w:r w:rsidRPr="00B05509">
        <w:rPr>
          <w:rFonts w:ascii="Times New Roman" w:hAnsi="Times New Roman"/>
          <w:sz w:val="22"/>
          <w:szCs w:val="22"/>
        </w:rPr>
        <w:t xml:space="preserve"> </w:t>
      </w:r>
      <w:r w:rsidR="008E1656">
        <w:rPr>
          <w:rFonts w:ascii="Times New Roman" w:hAnsi="Times New Roman"/>
          <w:sz w:val="22"/>
          <w:szCs w:val="22"/>
        </w:rPr>
        <w:t>condition</w:t>
      </w:r>
      <w:r w:rsidRPr="00B05509">
        <w:rPr>
          <w:rFonts w:ascii="Times New Roman" w:hAnsi="Times New Roman"/>
          <w:sz w:val="22"/>
          <w:szCs w:val="22"/>
        </w:rPr>
        <w:t xml:space="preserve">, (D) </w:t>
      </w:r>
      <w:r w:rsidR="00997B9A">
        <w:rPr>
          <w:rFonts w:ascii="Times New Roman" w:hAnsi="Times New Roman"/>
          <w:sz w:val="22"/>
          <w:szCs w:val="22"/>
        </w:rPr>
        <w:t>‘</w:t>
      </w:r>
      <w:r w:rsidRPr="00B05509">
        <w:rPr>
          <w:rFonts w:ascii="Times New Roman" w:hAnsi="Times New Roman"/>
          <w:sz w:val="22"/>
          <w:szCs w:val="22"/>
        </w:rPr>
        <w:t xml:space="preserve">Without </w:t>
      </w:r>
      <w:r w:rsidR="008E1656">
        <w:rPr>
          <w:rFonts w:ascii="Times New Roman" w:hAnsi="Times New Roman"/>
          <w:sz w:val="22"/>
          <w:szCs w:val="22"/>
        </w:rPr>
        <w:t>Icon Array</w:t>
      </w:r>
      <w:r w:rsidRPr="00B05509">
        <w:rPr>
          <w:rFonts w:ascii="Times New Roman" w:hAnsi="Times New Roman"/>
          <w:sz w:val="22"/>
          <w:szCs w:val="22"/>
        </w:rPr>
        <w:t xml:space="preserve"> </w:t>
      </w:r>
      <w:r w:rsidR="00B55220">
        <w:rPr>
          <w:rFonts w:ascii="Times New Roman" w:hAnsi="Times New Roman"/>
          <w:sz w:val="22"/>
          <w:szCs w:val="22"/>
        </w:rPr>
        <w:t>Low</w:t>
      </w:r>
      <w:r w:rsidRPr="00B05509">
        <w:rPr>
          <w:rFonts w:ascii="Times New Roman" w:hAnsi="Times New Roman"/>
          <w:sz w:val="22"/>
          <w:szCs w:val="22"/>
        </w:rPr>
        <w:t xml:space="preserve"> Quality of Evidence</w:t>
      </w:r>
      <w:r w:rsidR="00997B9A">
        <w:rPr>
          <w:rFonts w:ascii="Times New Roman" w:hAnsi="Times New Roman"/>
          <w:sz w:val="22"/>
          <w:szCs w:val="22"/>
        </w:rPr>
        <w:t>’</w:t>
      </w:r>
      <w:r w:rsidRPr="00B05509">
        <w:rPr>
          <w:rFonts w:ascii="Times New Roman" w:hAnsi="Times New Roman"/>
          <w:sz w:val="22"/>
          <w:szCs w:val="22"/>
        </w:rPr>
        <w:t xml:space="preserve"> </w:t>
      </w:r>
      <w:r w:rsidR="008E1656">
        <w:rPr>
          <w:rFonts w:ascii="Times New Roman" w:hAnsi="Times New Roman"/>
          <w:sz w:val="22"/>
          <w:szCs w:val="22"/>
        </w:rPr>
        <w:t>condition</w:t>
      </w:r>
      <w:r w:rsidRPr="00B05509">
        <w:rPr>
          <w:rFonts w:ascii="Times New Roman" w:hAnsi="Times New Roman"/>
          <w:sz w:val="22"/>
          <w:szCs w:val="22"/>
        </w:rPr>
        <w:t xml:space="preserve">, (E) </w:t>
      </w:r>
      <w:r w:rsidR="00997B9A">
        <w:rPr>
          <w:rFonts w:ascii="Times New Roman" w:hAnsi="Times New Roman"/>
          <w:sz w:val="22"/>
          <w:szCs w:val="22"/>
        </w:rPr>
        <w:t>‘</w:t>
      </w:r>
      <w:r w:rsidRPr="00B05509">
        <w:rPr>
          <w:rFonts w:ascii="Times New Roman" w:hAnsi="Times New Roman"/>
          <w:sz w:val="22"/>
          <w:szCs w:val="22"/>
        </w:rPr>
        <w:t xml:space="preserve">With </w:t>
      </w:r>
      <w:r w:rsidR="008E1656">
        <w:rPr>
          <w:rFonts w:ascii="Times New Roman" w:hAnsi="Times New Roman"/>
          <w:sz w:val="22"/>
          <w:szCs w:val="22"/>
        </w:rPr>
        <w:t>Icon Array</w:t>
      </w:r>
      <w:r w:rsidRPr="00B05509">
        <w:rPr>
          <w:rFonts w:ascii="Times New Roman" w:hAnsi="Times New Roman"/>
          <w:sz w:val="22"/>
          <w:szCs w:val="22"/>
        </w:rPr>
        <w:t xml:space="preserve"> </w:t>
      </w:r>
      <w:r w:rsidR="00B55220">
        <w:rPr>
          <w:rFonts w:ascii="Times New Roman" w:hAnsi="Times New Roman"/>
          <w:sz w:val="22"/>
          <w:szCs w:val="22"/>
        </w:rPr>
        <w:t>No</w:t>
      </w:r>
      <w:r w:rsidR="00B55220" w:rsidRPr="00B05509">
        <w:rPr>
          <w:rFonts w:ascii="Times New Roman" w:hAnsi="Times New Roman"/>
          <w:sz w:val="22"/>
          <w:szCs w:val="22"/>
        </w:rPr>
        <w:t xml:space="preserve"> </w:t>
      </w:r>
      <w:r w:rsidRPr="00B05509">
        <w:rPr>
          <w:rFonts w:ascii="Times New Roman" w:hAnsi="Times New Roman"/>
          <w:sz w:val="22"/>
          <w:szCs w:val="22"/>
        </w:rPr>
        <w:t>Quality of Evidence</w:t>
      </w:r>
      <w:r w:rsidR="00997B9A">
        <w:rPr>
          <w:rFonts w:ascii="Times New Roman" w:hAnsi="Times New Roman"/>
          <w:sz w:val="22"/>
          <w:szCs w:val="22"/>
        </w:rPr>
        <w:t>’</w:t>
      </w:r>
      <w:r w:rsidRPr="00B05509">
        <w:rPr>
          <w:rFonts w:ascii="Times New Roman" w:hAnsi="Times New Roman"/>
          <w:sz w:val="22"/>
          <w:szCs w:val="22"/>
        </w:rPr>
        <w:t xml:space="preserve"> </w:t>
      </w:r>
      <w:r w:rsidR="008E1656">
        <w:rPr>
          <w:rFonts w:ascii="Times New Roman" w:hAnsi="Times New Roman"/>
          <w:sz w:val="22"/>
          <w:szCs w:val="22"/>
        </w:rPr>
        <w:t>condition</w:t>
      </w:r>
      <w:r w:rsidRPr="00B05509">
        <w:rPr>
          <w:rFonts w:ascii="Times New Roman" w:hAnsi="Times New Roman"/>
          <w:sz w:val="22"/>
          <w:szCs w:val="22"/>
        </w:rPr>
        <w:t xml:space="preserve">, (F) </w:t>
      </w:r>
      <w:r w:rsidR="00997B9A">
        <w:rPr>
          <w:rFonts w:ascii="Times New Roman" w:hAnsi="Times New Roman"/>
          <w:sz w:val="22"/>
          <w:szCs w:val="22"/>
        </w:rPr>
        <w:t>‘</w:t>
      </w:r>
      <w:r w:rsidRPr="00B05509">
        <w:rPr>
          <w:rFonts w:ascii="Times New Roman" w:hAnsi="Times New Roman"/>
          <w:sz w:val="22"/>
          <w:szCs w:val="22"/>
        </w:rPr>
        <w:t xml:space="preserve">Without </w:t>
      </w:r>
      <w:r w:rsidR="008E1656">
        <w:rPr>
          <w:rFonts w:ascii="Times New Roman" w:hAnsi="Times New Roman"/>
          <w:sz w:val="22"/>
          <w:szCs w:val="22"/>
        </w:rPr>
        <w:t>Icon Array</w:t>
      </w:r>
      <w:r w:rsidRPr="00B05509">
        <w:rPr>
          <w:rFonts w:ascii="Times New Roman" w:hAnsi="Times New Roman"/>
          <w:sz w:val="22"/>
          <w:szCs w:val="22"/>
        </w:rPr>
        <w:t xml:space="preserve"> </w:t>
      </w:r>
      <w:r w:rsidR="00B55220">
        <w:rPr>
          <w:rFonts w:ascii="Times New Roman" w:hAnsi="Times New Roman"/>
          <w:sz w:val="22"/>
          <w:szCs w:val="22"/>
        </w:rPr>
        <w:t>No</w:t>
      </w:r>
      <w:r w:rsidR="00B55220" w:rsidRPr="00B05509">
        <w:rPr>
          <w:rFonts w:ascii="Times New Roman" w:hAnsi="Times New Roman"/>
          <w:sz w:val="22"/>
          <w:szCs w:val="22"/>
        </w:rPr>
        <w:t xml:space="preserve"> </w:t>
      </w:r>
      <w:r w:rsidRPr="00B05509">
        <w:rPr>
          <w:rFonts w:ascii="Times New Roman" w:hAnsi="Times New Roman"/>
          <w:sz w:val="22"/>
          <w:szCs w:val="22"/>
        </w:rPr>
        <w:t>Quality of Evidence</w:t>
      </w:r>
      <w:r w:rsidR="00997B9A">
        <w:rPr>
          <w:rFonts w:ascii="Times New Roman" w:hAnsi="Times New Roman"/>
          <w:sz w:val="22"/>
          <w:szCs w:val="22"/>
        </w:rPr>
        <w:t>’</w:t>
      </w:r>
      <w:r w:rsidRPr="00B05509">
        <w:rPr>
          <w:rFonts w:ascii="Times New Roman" w:hAnsi="Times New Roman"/>
          <w:sz w:val="22"/>
          <w:szCs w:val="22"/>
        </w:rPr>
        <w:t xml:space="preserve"> </w:t>
      </w:r>
      <w:r w:rsidR="008E1656">
        <w:rPr>
          <w:rFonts w:ascii="Times New Roman" w:hAnsi="Times New Roman"/>
          <w:sz w:val="22"/>
          <w:szCs w:val="22"/>
        </w:rPr>
        <w:t>condition</w:t>
      </w:r>
      <w:r w:rsidRPr="00B05509">
        <w:rPr>
          <w:rFonts w:ascii="Times New Roman" w:hAnsi="Times New Roman"/>
          <w:sz w:val="22"/>
          <w:szCs w:val="22"/>
        </w:rPr>
        <w:t>.</w:t>
      </w:r>
    </w:p>
    <w:p w14:paraId="220F25A3" w14:textId="1D74BF91" w:rsidR="00F94982" w:rsidRDefault="00F94982" w:rsidP="007C3BBA">
      <w:pPr>
        <w:keepNext/>
        <w:spacing w:line="480" w:lineRule="auto"/>
        <w:rPr>
          <w:rFonts w:ascii="Times New Roman" w:hAnsi="Times New Roman"/>
          <w:i/>
        </w:rPr>
      </w:pPr>
    </w:p>
    <w:p w14:paraId="22E5CC5C" w14:textId="016AA965" w:rsidR="00E650E9" w:rsidRPr="00B05509" w:rsidRDefault="00E650E9" w:rsidP="007C3BBA">
      <w:pPr>
        <w:keepNext/>
        <w:spacing w:line="480" w:lineRule="auto"/>
        <w:rPr>
          <w:rFonts w:ascii="Times New Roman" w:hAnsi="Times New Roman"/>
          <w:i/>
        </w:rPr>
      </w:pPr>
    </w:p>
    <w:p w14:paraId="0A1D4522" w14:textId="6BC95EE3" w:rsidR="009B1B8F" w:rsidRPr="00B05509" w:rsidRDefault="0004641D" w:rsidP="007C3BBA">
      <w:pPr>
        <w:spacing w:line="480" w:lineRule="auto"/>
        <w:rPr>
          <w:rFonts w:ascii="Times New Roman" w:hAnsi="Times New Roman"/>
        </w:rPr>
      </w:pPr>
      <w:r w:rsidRPr="00B05509">
        <w:rPr>
          <w:rFonts w:ascii="Times New Roman" w:hAnsi="Times New Roman"/>
        </w:rPr>
        <w:t>After randomisation, by contrast with Experiment 1, p</w:t>
      </w:r>
      <w:r w:rsidR="009B1B8F" w:rsidRPr="00B05509">
        <w:rPr>
          <w:rFonts w:ascii="Times New Roman" w:hAnsi="Times New Roman"/>
        </w:rPr>
        <w:t>articipants were shown the infographic above the questions on each page in this experiment</w:t>
      </w:r>
      <w:r w:rsidR="005069DC" w:rsidRPr="00B05509">
        <w:rPr>
          <w:rFonts w:ascii="Times New Roman" w:hAnsi="Times New Roman"/>
        </w:rPr>
        <w:t xml:space="preserve"> to ensure that all participants had the information in front of them when indicating their responses, reducing potential of a memory</w:t>
      </w:r>
      <w:r w:rsidR="00B34A65" w:rsidRPr="00B05509">
        <w:rPr>
          <w:rFonts w:ascii="Times New Roman" w:hAnsi="Times New Roman"/>
        </w:rPr>
        <w:t xml:space="preserve"> </w:t>
      </w:r>
      <w:r w:rsidR="005069DC" w:rsidRPr="00B05509">
        <w:rPr>
          <w:rFonts w:ascii="Times New Roman" w:hAnsi="Times New Roman"/>
        </w:rPr>
        <w:lastRenderedPageBreak/>
        <w:t xml:space="preserve">recall </w:t>
      </w:r>
      <w:r w:rsidR="00B34A65" w:rsidRPr="00B05509">
        <w:rPr>
          <w:rFonts w:ascii="Times New Roman" w:hAnsi="Times New Roman"/>
        </w:rPr>
        <w:t xml:space="preserve">or </w:t>
      </w:r>
      <w:r w:rsidR="005069DC" w:rsidRPr="00B05509">
        <w:rPr>
          <w:rFonts w:ascii="Times New Roman" w:hAnsi="Times New Roman"/>
        </w:rPr>
        <w:t>ability bias</w:t>
      </w:r>
      <w:r w:rsidR="009B1B8F" w:rsidRPr="00B05509">
        <w:rPr>
          <w:rFonts w:ascii="Times New Roman" w:hAnsi="Times New Roman"/>
        </w:rPr>
        <w:t xml:space="preserve">. Key </w:t>
      </w:r>
      <w:r w:rsidR="005C5EA2" w:rsidRPr="00B05509">
        <w:rPr>
          <w:rFonts w:ascii="Times New Roman" w:hAnsi="Times New Roman"/>
        </w:rPr>
        <w:t xml:space="preserve">dependent </w:t>
      </w:r>
      <w:r w:rsidR="009B1B8F" w:rsidRPr="00B05509">
        <w:rPr>
          <w:rFonts w:ascii="Times New Roman" w:hAnsi="Times New Roman"/>
        </w:rPr>
        <w:t xml:space="preserve">measures were </w:t>
      </w:r>
      <w:r w:rsidR="00C34340" w:rsidRPr="00B05509">
        <w:rPr>
          <w:rFonts w:ascii="Times New Roman" w:hAnsi="Times New Roman"/>
        </w:rPr>
        <w:t xml:space="preserve">the same as in </w:t>
      </w:r>
      <w:r w:rsidR="001B6BA5" w:rsidRPr="00B05509">
        <w:rPr>
          <w:rFonts w:ascii="Times New Roman" w:hAnsi="Times New Roman"/>
        </w:rPr>
        <w:t xml:space="preserve">Experiment </w:t>
      </w:r>
      <w:r w:rsidR="00C34340" w:rsidRPr="00B05509">
        <w:rPr>
          <w:rFonts w:ascii="Times New Roman" w:hAnsi="Times New Roman"/>
        </w:rPr>
        <w:t>1</w:t>
      </w:r>
      <w:r w:rsidR="00FF467A" w:rsidRPr="00B05509">
        <w:rPr>
          <w:rFonts w:ascii="Times New Roman" w:hAnsi="Times New Roman"/>
        </w:rPr>
        <w:t xml:space="preserve"> </w:t>
      </w:r>
      <w:r w:rsidR="004F16C1" w:rsidRPr="00B05509">
        <w:rPr>
          <w:rFonts w:ascii="Times New Roman" w:hAnsi="Times New Roman"/>
        </w:rPr>
        <w:t>(</w:t>
      </w:r>
      <w:r w:rsidR="00FF467A" w:rsidRPr="00B05509">
        <w:rPr>
          <w:rFonts w:ascii="Times New Roman" w:hAnsi="Times New Roman"/>
        </w:rPr>
        <w:t xml:space="preserve">see </w:t>
      </w:r>
      <w:r w:rsidR="00012846" w:rsidRPr="00B05509">
        <w:rPr>
          <w:rFonts w:ascii="Times New Roman" w:hAnsi="Times New Roman"/>
        </w:rPr>
        <w:fldChar w:fldCharType="begin"/>
      </w:r>
      <w:r w:rsidR="00012846" w:rsidRPr="00B05509">
        <w:rPr>
          <w:rFonts w:ascii="Times New Roman" w:hAnsi="Times New Roman"/>
        </w:rPr>
        <w:instrText xml:space="preserve"> REF _Ref66629555 </w:instrText>
      </w:r>
      <w:r w:rsidR="00F94982">
        <w:rPr>
          <w:rFonts w:ascii="Times New Roman" w:hAnsi="Times New Roman"/>
        </w:rPr>
        <w:instrText xml:space="preserve"> \* MERGEFORMAT </w:instrText>
      </w:r>
      <w:r w:rsidR="00012846" w:rsidRPr="00B05509">
        <w:rPr>
          <w:rFonts w:ascii="Times New Roman" w:hAnsi="Times New Roman"/>
        </w:rPr>
        <w:fldChar w:fldCharType="separate"/>
      </w:r>
      <w:r w:rsidR="00815DCF" w:rsidRPr="00B05509">
        <w:rPr>
          <w:rFonts w:ascii="Times New Roman" w:hAnsi="Times New Roman"/>
        </w:rPr>
        <w:t xml:space="preserve">Table </w:t>
      </w:r>
      <w:r w:rsidR="00815DCF" w:rsidRPr="00B05509">
        <w:rPr>
          <w:rFonts w:ascii="Times New Roman" w:hAnsi="Times New Roman"/>
          <w:noProof/>
        </w:rPr>
        <w:t>1</w:t>
      </w:r>
      <w:r w:rsidR="00012846" w:rsidRPr="00B05509">
        <w:rPr>
          <w:rFonts w:ascii="Times New Roman" w:hAnsi="Times New Roman"/>
          <w:noProof/>
        </w:rPr>
        <w:fldChar w:fldCharType="end"/>
      </w:r>
      <w:r w:rsidR="004F16C1" w:rsidRPr="00B05509">
        <w:rPr>
          <w:rFonts w:ascii="Times New Roman" w:hAnsi="Times New Roman"/>
        </w:rPr>
        <w:t>)</w:t>
      </w:r>
      <w:r w:rsidR="00002DDB" w:rsidRPr="00B05509">
        <w:rPr>
          <w:rFonts w:ascii="Times New Roman" w:hAnsi="Times New Roman"/>
        </w:rPr>
        <w:t>.</w:t>
      </w:r>
      <w:r w:rsidR="004F16C1" w:rsidRPr="00B05509">
        <w:rPr>
          <w:rFonts w:ascii="Times New Roman" w:hAnsi="Times New Roman"/>
        </w:rPr>
        <w:t xml:space="preserve"> </w:t>
      </w:r>
    </w:p>
    <w:p w14:paraId="2C5506AD" w14:textId="77777777" w:rsidR="0004641D" w:rsidRPr="00B05509" w:rsidRDefault="0004641D" w:rsidP="007C3BBA">
      <w:pPr>
        <w:spacing w:line="480" w:lineRule="auto"/>
        <w:rPr>
          <w:rFonts w:ascii="Times New Roman" w:hAnsi="Times New Roman"/>
        </w:rPr>
      </w:pPr>
    </w:p>
    <w:p w14:paraId="0319C494" w14:textId="548A15B2" w:rsidR="004F16C1" w:rsidRPr="00B05509" w:rsidRDefault="004F16C1" w:rsidP="007C3BBA">
      <w:pPr>
        <w:spacing w:line="480" w:lineRule="auto"/>
        <w:rPr>
          <w:rFonts w:ascii="Times New Roman" w:eastAsiaTheme="minorHAnsi" w:hAnsi="Times New Roman"/>
          <w:lang w:eastAsia="en-US"/>
        </w:rPr>
      </w:pPr>
      <w:r w:rsidRPr="00B05509">
        <w:rPr>
          <w:rFonts w:ascii="Times New Roman" w:eastAsiaTheme="minorHAnsi" w:hAnsi="Times New Roman"/>
          <w:lang w:eastAsia="en-US"/>
        </w:rPr>
        <w:t>As for Experiment 1, we hypothesized that people’s trust in the information, their perception of the effectiveness of the intervention, and their likelihood of behavioural uptake would be higher for the group that is shown</w:t>
      </w:r>
      <w:r w:rsidR="00A861A4">
        <w:rPr>
          <w:rFonts w:ascii="Times New Roman" w:eastAsiaTheme="minorHAnsi" w:hAnsi="Times New Roman"/>
          <w:lang w:eastAsia="en-US"/>
        </w:rPr>
        <w:t xml:space="preserve"> the infographic with</w:t>
      </w:r>
      <w:r w:rsidRPr="00B05509">
        <w:rPr>
          <w:rFonts w:ascii="Times New Roman" w:eastAsiaTheme="minorHAnsi" w:hAnsi="Times New Roman"/>
          <w:lang w:eastAsia="en-US"/>
        </w:rPr>
        <w:t xml:space="preserve"> ‘high quality of evidence</w:t>
      </w:r>
      <w:r w:rsidR="00A861A4">
        <w:rPr>
          <w:rFonts w:ascii="Times New Roman" w:eastAsiaTheme="minorHAnsi" w:hAnsi="Times New Roman"/>
          <w:lang w:eastAsia="en-US"/>
        </w:rPr>
        <w:t xml:space="preserve">’ </w:t>
      </w:r>
      <w:r w:rsidRPr="00B05509">
        <w:rPr>
          <w:rFonts w:ascii="Times New Roman" w:eastAsiaTheme="minorHAnsi" w:hAnsi="Times New Roman"/>
          <w:lang w:eastAsia="en-US"/>
        </w:rPr>
        <w:t>compared to the group that is shown</w:t>
      </w:r>
      <w:r w:rsidR="00997B9A">
        <w:rPr>
          <w:rFonts w:ascii="Times New Roman" w:eastAsiaTheme="minorHAnsi" w:hAnsi="Times New Roman"/>
          <w:lang w:eastAsia="en-US"/>
        </w:rPr>
        <w:t xml:space="preserve"> the infographic with</w:t>
      </w:r>
      <w:r w:rsidRPr="00B05509">
        <w:rPr>
          <w:rFonts w:ascii="Times New Roman" w:eastAsiaTheme="minorHAnsi" w:hAnsi="Times New Roman"/>
          <w:lang w:eastAsia="en-US"/>
        </w:rPr>
        <w:t xml:space="preserve"> ‘low quality of evidence</w:t>
      </w:r>
      <w:r w:rsidR="00A861A4">
        <w:rPr>
          <w:rFonts w:ascii="Times New Roman" w:eastAsiaTheme="minorHAnsi" w:hAnsi="Times New Roman"/>
          <w:lang w:eastAsia="en-US"/>
        </w:rPr>
        <w:t>’</w:t>
      </w:r>
      <w:r w:rsidR="00532C3A">
        <w:rPr>
          <w:rFonts w:ascii="Times New Roman" w:eastAsiaTheme="minorHAnsi" w:hAnsi="Times New Roman"/>
          <w:lang w:eastAsia="en-US"/>
        </w:rPr>
        <w:t>.</w:t>
      </w:r>
      <w:r w:rsidRPr="00B05509">
        <w:rPr>
          <w:rFonts w:ascii="Times New Roman" w:eastAsiaTheme="minorHAnsi" w:hAnsi="Times New Roman"/>
          <w:lang w:eastAsia="en-US"/>
        </w:rPr>
        <w:t xml:space="preserve"> </w:t>
      </w:r>
      <w:r w:rsidR="00A861A4">
        <w:rPr>
          <w:rFonts w:ascii="Times New Roman" w:eastAsiaTheme="minorHAnsi" w:hAnsi="Times New Roman"/>
          <w:lang w:eastAsia="en-US"/>
        </w:rPr>
        <w:t>W</w:t>
      </w:r>
      <w:r w:rsidRPr="00B05509">
        <w:rPr>
          <w:rFonts w:ascii="Times New Roman" w:eastAsiaTheme="minorHAnsi" w:hAnsi="Times New Roman"/>
          <w:lang w:eastAsia="en-US"/>
        </w:rPr>
        <w:t xml:space="preserve">e cautiously hypothesized, based on </w:t>
      </w:r>
      <w:r w:rsidR="00A5552A" w:rsidRPr="00B05509">
        <w:rPr>
          <w:rFonts w:ascii="Times New Roman" w:eastAsiaTheme="minorHAnsi" w:hAnsi="Times New Roman"/>
          <w:lang w:eastAsia="en-US"/>
        </w:rPr>
        <w:t>our experience of ongoing experiments</w:t>
      </w:r>
      <w:r w:rsidRPr="00B05509">
        <w:rPr>
          <w:rFonts w:ascii="Times New Roman" w:eastAsiaTheme="minorHAnsi" w:hAnsi="Times New Roman"/>
          <w:lang w:eastAsia="en-US"/>
        </w:rPr>
        <w:t xml:space="preserve"> in a different context, that</w:t>
      </w:r>
      <w:r w:rsidR="00A861A4">
        <w:rPr>
          <w:rFonts w:ascii="Times New Roman" w:eastAsiaTheme="minorHAnsi" w:hAnsi="Times New Roman"/>
          <w:lang w:eastAsia="en-US"/>
        </w:rPr>
        <w:t xml:space="preserve"> the </w:t>
      </w:r>
      <w:r w:rsidRPr="00B05509">
        <w:rPr>
          <w:rFonts w:ascii="Times New Roman" w:eastAsiaTheme="minorHAnsi" w:hAnsi="Times New Roman"/>
          <w:lang w:eastAsia="en-US"/>
        </w:rPr>
        <w:t xml:space="preserve">effects of the ‘no quality of evidence’ control group </w:t>
      </w:r>
      <w:r w:rsidR="00997B9A">
        <w:rPr>
          <w:rFonts w:ascii="Times New Roman" w:eastAsiaTheme="minorHAnsi" w:hAnsi="Times New Roman"/>
          <w:lang w:eastAsia="en-US"/>
        </w:rPr>
        <w:t xml:space="preserve">infographic </w:t>
      </w:r>
      <w:r w:rsidRPr="00B05509">
        <w:rPr>
          <w:rFonts w:ascii="Times New Roman" w:eastAsiaTheme="minorHAnsi" w:hAnsi="Times New Roman"/>
          <w:lang w:eastAsia="en-US"/>
        </w:rPr>
        <w:t>would be closer to the ‘high quality of evidence</w:t>
      </w:r>
      <w:r w:rsidR="00997B9A">
        <w:rPr>
          <w:rFonts w:ascii="Times New Roman" w:eastAsiaTheme="minorHAnsi" w:hAnsi="Times New Roman"/>
          <w:lang w:eastAsia="en-US"/>
        </w:rPr>
        <w:t>’</w:t>
      </w:r>
      <w:r w:rsidRPr="00B05509">
        <w:rPr>
          <w:rFonts w:ascii="Times New Roman" w:eastAsiaTheme="minorHAnsi" w:hAnsi="Times New Roman"/>
          <w:lang w:eastAsia="en-US"/>
        </w:rPr>
        <w:t xml:space="preserve"> group compared to the ‘low quality of evidence</w:t>
      </w:r>
      <w:r w:rsidR="00997B9A">
        <w:rPr>
          <w:rFonts w:ascii="Times New Roman" w:eastAsiaTheme="minorHAnsi" w:hAnsi="Times New Roman"/>
          <w:lang w:eastAsia="en-US"/>
        </w:rPr>
        <w:t>’</w:t>
      </w:r>
      <w:r w:rsidRPr="00B05509">
        <w:rPr>
          <w:rFonts w:ascii="Times New Roman" w:eastAsiaTheme="minorHAnsi" w:hAnsi="Times New Roman"/>
          <w:lang w:eastAsia="en-US"/>
        </w:rPr>
        <w:t xml:space="preserve"> group (see pre-registration).</w:t>
      </w:r>
    </w:p>
    <w:p w14:paraId="1D3C5E3D" w14:textId="77777777" w:rsidR="00445D98" w:rsidRPr="00B05509" w:rsidRDefault="00445D98" w:rsidP="007C3BBA">
      <w:pPr>
        <w:spacing w:line="480" w:lineRule="auto"/>
        <w:rPr>
          <w:rFonts w:ascii="Times New Roman" w:hAnsi="Times New Roman"/>
        </w:rPr>
      </w:pPr>
    </w:p>
    <w:p w14:paraId="11EEAEB6" w14:textId="3F15181E" w:rsidR="00BA502A" w:rsidRPr="00B05509" w:rsidRDefault="005C5EA2" w:rsidP="007C3BBA">
      <w:pPr>
        <w:spacing w:line="480" w:lineRule="auto"/>
        <w:rPr>
          <w:rFonts w:ascii="Times New Roman" w:hAnsi="Times New Roman"/>
        </w:rPr>
      </w:pPr>
      <w:r w:rsidRPr="00B05509">
        <w:rPr>
          <w:rFonts w:ascii="Times New Roman" w:hAnsi="Times New Roman"/>
        </w:rPr>
        <w:t xml:space="preserve">We sampled </w:t>
      </w:r>
      <w:r w:rsidR="009B1B8F" w:rsidRPr="00B05509">
        <w:rPr>
          <w:rFonts w:ascii="Times New Roman" w:hAnsi="Times New Roman"/>
        </w:rPr>
        <w:t xml:space="preserve">1191 participants </w:t>
      </w:r>
      <w:r w:rsidRPr="00B05509">
        <w:rPr>
          <w:rFonts w:ascii="Times New Roman" w:hAnsi="Times New Roman"/>
        </w:rPr>
        <w:t>providing</w:t>
      </w:r>
      <w:r w:rsidR="009B1B8F" w:rsidRPr="00B05509">
        <w:rPr>
          <w:rFonts w:ascii="Times New Roman" w:hAnsi="Times New Roman"/>
        </w:rPr>
        <w:t xml:space="preserve"> 95% power, at alpha le</w:t>
      </w:r>
      <w:r w:rsidR="00F91CA5" w:rsidRPr="00B05509">
        <w:rPr>
          <w:rFonts w:ascii="Times New Roman" w:hAnsi="Times New Roman"/>
        </w:rPr>
        <w:t>vel 0</w:t>
      </w:r>
      <w:r w:rsidR="00502682" w:rsidRPr="00B05509">
        <w:rPr>
          <w:rFonts w:ascii="Times New Roman" w:hAnsi="Times New Roman"/>
        </w:rPr>
        <w:t>.</w:t>
      </w:r>
      <w:r w:rsidR="00F91CA5" w:rsidRPr="00B05509">
        <w:rPr>
          <w:rFonts w:ascii="Times New Roman" w:hAnsi="Times New Roman"/>
        </w:rPr>
        <w:t>05 for small effects (f=0</w:t>
      </w:r>
      <w:r w:rsidR="00502682" w:rsidRPr="00B05509">
        <w:rPr>
          <w:rFonts w:ascii="Times New Roman" w:hAnsi="Times New Roman"/>
        </w:rPr>
        <w:t>.</w:t>
      </w:r>
      <w:r w:rsidR="009B1B8F" w:rsidRPr="00B05509">
        <w:rPr>
          <w:rFonts w:ascii="Times New Roman" w:hAnsi="Times New Roman"/>
        </w:rPr>
        <w:t xml:space="preserve">13, based on </w:t>
      </w:r>
      <w:r w:rsidR="00866847" w:rsidRPr="00B05509">
        <w:rPr>
          <w:rFonts w:ascii="Times New Roman" w:hAnsi="Times New Roman"/>
        </w:rPr>
        <w:t xml:space="preserve">the results of </w:t>
      </w:r>
      <w:r w:rsidR="00132248" w:rsidRPr="00B05509">
        <w:rPr>
          <w:rFonts w:ascii="Times New Roman" w:hAnsi="Times New Roman"/>
        </w:rPr>
        <w:t>E</w:t>
      </w:r>
      <w:r w:rsidR="00866847" w:rsidRPr="00B05509">
        <w:rPr>
          <w:rFonts w:ascii="Times New Roman" w:hAnsi="Times New Roman"/>
        </w:rPr>
        <w:t>xperiment 1</w:t>
      </w:r>
      <w:r w:rsidR="009B1B8F" w:rsidRPr="00B05509">
        <w:rPr>
          <w:rFonts w:ascii="Times New Roman" w:hAnsi="Times New Roman"/>
        </w:rPr>
        <w:t>).</w:t>
      </w:r>
      <w:r w:rsidR="00D920A3" w:rsidRPr="00B05509">
        <w:rPr>
          <w:rFonts w:ascii="Times New Roman" w:hAnsi="Times New Roman"/>
        </w:rPr>
        <w:t xml:space="preserve"> </w:t>
      </w:r>
      <w:r w:rsidR="00E51C2E" w:rsidRPr="00B05509">
        <w:rPr>
          <w:rFonts w:ascii="Times New Roman" w:hAnsi="Times New Roman"/>
        </w:rPr>
        <w:t xml:space="preserve">We implemented the same real-time sampling procedure checking for attention check fails as described in </w:t>
      </w:r>
      <w:r w:rsidR="0094184A" w:rsidRPr="00B05509">
        <w:rPr>
          <w:rFonts w:ascii="Times New Roman" w:hAnsi="Times New Roman"/>
        </w:rPr>
        <w:t xml:space="preserve">Experiment </w:t>
      </w:r>
      <w:r w:rsidR="00E51C2E" w:rsidRPr="00B05509">
        <w:rPr>
          <w:rFonts w:ascii="Times New Roman" w:hAnsi="Times New Roman"/>
        </w:rPr>
        <w:t xml:space="preserve">1. </w:t>
      </w:r>
      <w:r w:rsidR="00D920A3" w:rsidRPr="00B05509">
        <w:rPr>
          <w:rFonts w:ascii="Times New Roman" w:hAnsi="Times New Roman"/>
        </w:rPr>
        <w:t xml:space="preserve">The final number of participants </w:t>
      </w:r>
      <w:r w:rsidR="00E51C2E" w:rsidRPr="00B05509">
        <w:rPr>
          <w:rFonts w:ascii="Times New Roman" w:hAnsi="Times New Roman"/>
        </w:rPr>
        <w:t xml:space="preserve">for our analytic sample </w:t>
      </w:r>
      <w:r w:rsidR="00D920A3" w:rsidRPr="00B05509">
        <w:rPr>
          <w:rFonts w:ascii="Times New Roman" w:hAnsi="Times New Roman"/>
        </w:rPr>
        <w:t>was</w:t>
      </w:r>
      <w:r w:rsidR="00E51C2E" w:rsidRPr="00B05509">
        <w:rPr>
          <w:rFonts w:ascii="Times New Roman" w:hAnsi="Times New Roman"/>
        </w:rPr>
        <w:t xml:space="preserve"> therefore </w:t>
      </w:r>
      <w:r w:rsidRPr="00B05509">
        <w:rPr>
          <w:rFonts w:ascii="Times New Roman" w:hAnsi="Times New Roman"/>
        </w:rPr>
        <w:t xml:space="preserve">the full </w:t>
      </w:r>
      <w:r w:rsidR="00E5241E" w:rsidRPr="00B05509">
        <w:rPr>
          <w:rFonts w:ascii="Times New Roman" w:hAnsi="Times New Roman"/>
        </w:rPr>
        <w:t xml:space="preserve">pre-registered </w:t>
      </w:r>
      <w:r w:rsidRPr="00B05509">
        <w:rPr>
          <w:rFonts w:ascii="Times New Roman" w:hAnsi="Times New Roman"/>
        </w:rPr>
        <w:t>sample</w:t>
      </w:r>
      <w:r w:rsidR="00E5241E" w:rsidRPr="00B05509">
        <w:rPr>
          <w:rFonts w:ascii="Times New Roman" w:hAnsi="Times New Roman"/>
        </w:rPr>
        <w:t>.</w:t>
      </w:r>
      <w:r w:rsidRPr="00B05509">
        <w:rPr>
          <w:rFonts w:ascii="Times New Roman" w:hAnsi="Times New Roman"/>
        </w:rPr>
        <w:t xml:space="preserve"> </w:t>
      </w:r>
    </w:p>
    <w:p w14:paraId="3E840DBD" w14:textId="23BB3367" w:rsidR="00323D58" w:rsidRPr="00B05509" w:rsidRDefault="00323D58" w:rsidP="007C3BBA">
      <w:pPr>
        <w:spacing w:line="480" w:lineRule="auto"/>
        <w:rPr>
          <w:rFonts w:ascii="Times New Roman" w:hAnsi="Times New Roman"/>
        </w:rPr>
      </w:pPr>
    </w:p>
    <w:p w14:paraId="2A099A58" w14:textId="4F93ABAA" w:rsidR="00AF33DF" w:rsidRPr="00B05509" w:rsidRDefault="00BE7120"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Experiment</w:t>
      </w:r>
      <w:r w:rsidR="00790883" w:rsidRPr="00B05509">
        <w:rPr>
          <w:rFonts w:ascii="Times New Roman" w:hAnsi="Times New Roman" w:cs="Times New Roman"/>
          <w:b/>
          <w:color w:val="auto"/>
          <w:sz w:val="36"/>
          <w:szCs w:val="36"/>
        </w:rPr>
        <w:t xml:space="preserve"> 2</w:t>
      </w:r>
      <w:r w:rsidR="00FC196B" w:rsidRPr="00B05509">
        <w:rPr>
          <w:rFonts w:ascii="Times New Roman" w:hAnsi="Times New Roman" w:cs="Times New Roman"/>
          <w:b/>
          <w:color w:val="auto"/>
          <w:sz w:val="36"/>
          <w:szCs w:val="36"/>
        </w:rPr>
        <w:t>: Results</w:t>
      </w:r>
    </w:p>
    <w:p w14:paraId="4DD637D3" w14:textId="6ADFDD85" w:rsidR="00AF33DF" w:rsidRDefault="00E5241E" w:rsidP="007C3BBA">
      <w:pPr>
        <w:spacing w:line="480" w:lineRule="auto"/>
        <w:rPr>
          <w:rFonts w:ascii="Times New Roman" w:hAnsi="Times New Roman"/>
        </w:rPr>
      </w:pPr>
      <w:r w:rsidRPr="00B05509">
        <w:rPr>
          <w:rFonts w:ascii="Times New Roman" w:hAnsi="Times New Roman"/>
        </w:rPr>
        <w:t xml:space="preserve">We </w:t>
      </w:r>
      <w:r w:rsidR="00A861A4">
        <w:rPr>
          <w:rFonts w:ascii="Times New Roman" w:hAnsi="Times New Roman"/>
        </w:rPr>
        <w:t>analysed the results from</w:t>
      </w:r>
      <w:r w:rsidR="00A861A4" w:rsidRPr="00B05509">
        <w:rPr>
          <w:rFonts w:ascii="Times New Roman" w:hAnsi="Times New Roman"/>
        </w:rPr>
        <w:t xml:space="preserve"> </w:t>
      </w:r>
      <w:r w:rsidRPr="00B05509">
        <w:rPr>
          <w:rFonts w:ascii="Times New Roman" w:hAnsi="Times New Roman"/>
        </w:rPr>
        <w:t>1191participants (48</w:t>
      </w:r>
      <w:r w:rsidR="00502682" w:rsidRPr="00B05509">
        <w:rPr>
          <w:rFonts w:ascii="Times New Roman" w:hAnsi="Times New Roman"/>
        </w:rPr>
        <w:t>.</w:t>
      </w:r>
      <w:r w:rsidRPr="00B05509">
        <w:rPr>
          <w:rFonts w:ascii="Times New Roman" w:hAnsi="Times New Roman"/>
        </w:rPr>
        <w:t>53% male, 51</w:t>
      </w:r>
      <w:r w:rsidR="00502682" w:rsidRPr="00B05509">
        <w:rPr>
          <w:rFonts w:ascii="Times New Roman" w:hAnsi="Times New Roman"/>
        </w:rPr>
        <w:t>.</w:t>
      </w:r>
      <w:r w:rsidRPr="00B05509">
        <w:rPr>
          <w:rFonts w:ascii="Times New Roman" w:hAnsi="Times New Roman"/>
        </w:rPr>
        <w:t xml:space="preserve">47% female, </w:t>
      </w:r>
      <w:r w:rsidRPr="00B05509">
        <w:rPr>
          <w:rFonts w:ascii="Times New Roman" w:hAnsi="Times New Roman"/>
          <w:i/>
        </w:rPr>
        <w:t>M</w:t>
      </w:r>
      <w:r w:rsidRPr="00B05509">
        <w:rPr>
          <w:rFonts w:ascii="Times New Roman" w:hAnsi="Times New Roman"/>
          <w:vertAlign w:val="subscript"/>
        </w:rPr>
        <w:t>age</w:t>
      </w:r>
      <w:r w:rsidRPr="00B05509">
        <w:rPr>
          <w:rFonts w:ascii="Times New Roman" w:hAnsi="Times New Roman"/>
        </w:rPr>
        <w:t xml:space="preserve"> = 45</w:t>
      </w:r>
      <w:r w:rsidR="00502682" w:rsidRPr="00B05509">
        <w:rPr>
          <w:rFonts w:ascii="Times New Roman" w:hAnsi="Times New Roman"/>
        </w:rPr>
        <w:t>.</w:t>
      </w:r>
      <w:r w:rsidRPr="00B05509">
        <w:rPr>
          <w:rFonts w:ascii="Times New Roman" w:hAnsi="Times New Roman"/>
        </w:rPr>
        <w:t xml:space="preserve">31, </w:t>
      </w:r>
      <w:proofErr w:type="spellStart"/>
      <w:r w:rsidRPr="00B05509">
        <w:rPr>
          <w:rFonts w:ascii="Times New Roman" w:hAnsi="Times New Roman"/>
          <w:i/>
        </w:rPr>
        <w:t>SD</w:t>
      </w:r>
      <w:r w:rsidRPr="00B05509">
        <w:rPr>
          <w:rFonts w:ascii="Times New Roman" w:hAnsi="Times New Roman"/>
          <w:vertAlign w:val="subscript"/>
        </w:rPr>
        <w:t>age</w:t>
      </w:r>
      <w:proofErr w:type="spellEnd"/>
      <w:r w:rsidRPr="00B05509">
        <w:rPr>
          <w:rFonts w:ascii="Times New Roman" w:hAnsi="Times New Roman"/>
        </w:rPr>
        <w:t xml:space="preserve"> = 16</w:t>
      </w:r>
      <w:r w:rsidR="00502682" w:rsidRPr="00B05509">
        <w:rPr>
          <w:rFonts w:ascii="Times New Roman" w:hAnsi="Times New Roman"/>
        </w:rPr>
        <w:t>.</w:t>
      </w:r>
      <w:r w:rsidRPr="00B05509">
        <w:rPr>
          <w:rFonts w:ascii="Times New Roman" w:hAnsi="Times New Roman"/>
        </w:rPr>
        <w:t>43; see further demographic details</w:t>
      </w:r>
      <w:r w:rsidR="00A861A4">
        <w:rPr>
          <w:rFonts w:ascii="Times New Roman" w:hAnsi="Times New Roman"/>
        </w:rPr>
        <w:t xml:space="preserve"> in Table 6</w:t>
      </w:r>
      <w:r w:rsidRPr="00B05509">
        <w:rPr>
          <w:rFonts w:ascii="Times New Roman" w:hAnsi="Times New Roman"/>
        </w:rPr>
        <w:t xml:space="preserve">). </w:t>
      </w:r>
      <w:r w:rsidR="00AF33DF" w:rsidRPr="00B05509">
        <w:rPr>
          <w:rFonts w:ascii="Times New Roman" w:hAnsi="Times New Roman"/>
        </w:rPr>
        <w:t>As in Experiment 1, we pre-registered to test for main effects of quality of evidence level and format for our various outcome measures.</w:t>
      </w:r>
    </w:p>
    <w:p w14:paraId="4B2D2FA3" w14:textId="77777777" w:rsidR="005A53D7" w:rsidRDefault="005A53D7" w:rsidP="00A861A4">
      <w:pPr>
        <w:pStyle w:val="Caption"/>
        <w:keepNext/>
        <w:rPr>
          <w:rFonts w:ascii="Times New Roman" w:hAnsi="Times New Roman"/>
          <w:b/>
          <w:i w:val="0"/>
          <w:sz w:val="24"/>
          <w:szCs w:val="24"/>
        </w:rPr>
      </w:pPr>
    </w:p>
    <w:p w14:paraId="32B098DF" w14:textId="3BE7EAF3" w:rsidR="00A861A4" w:rsidRDefault="00A861A4" w:rsidP="00A861A4">
      <w:pPr>
        <w:pStyle w:val="Caption"/>
        <w:keepNext/>
        <w:rPr>
          <w:rFonts w:ascii="Times New Roman" w:hAnsi="Times New Roman"/>
          <w:b/>
          <w:i w:val="0"/>
          <w:sz w:val="24"/>
          <w:szCs w:val="24"/>
        </w:rPr>
      </w:pPr>
      <w:r w:rsidRPr="00532C3A">
        <w:rPr>
          <w:rFonts w:ascii="Times New Roman" w:hAnsi="Times New Roman"/>
          <w:b/>
          <w:i w:val="0"/>
          <w:sz w:val="24"/>
          <w:szCs w:val="24"/>
        </w:rPr>
        <w:t xml:space="preserve">Table </w:t>
      </w:r>
      <w:r>
        <w:rPr>
          <w:rFonts w:ascii="Times New Roman" w:hAnsi="Times New Roman"/>
          <w:b/>
          <w:i w:val="0"/>
          <w:sz w:val="24"/>
          <w:szCs w:val="24"/>
        </w:rPr>
        <w:t>6</w:t>
      </w:r>
      <w:r w:rsidRPr="00532C3A">
        <w:rPr>
          <w:rFonts w:ascii="Times New Roman" w:hAnsi="Times New Roman"/>
          <w:b/>
          <w:i w:val="0"/>
          <w:sz w:val="24"/>
          <w:szCs w:val="24"/>
        </w:rPr>
        <w:t>: Demographic details of participants in Experiment 2</w:t>
      </w:r>
    </w:p>
    <w:tbl>
      <w:tblPr>
        <w:tblW w:w="5000" w:type="pct"/>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000" w:firstRow="0" w:lastRow="0" w:firstColumn="0" w:lastColumn="0" w:noHBand="0" w:noVBand="0"/>
      </w:tblPr>
      <w:tblGrid>
        <w:gridCol w:w="1692"/>
        <w:gridCol w:w="1043"/>
        <w:gridCol w:w="1043"/>
        <w:gridCol w:w="1043"/>
        <w:gridCol w:w="1039"/>
        <w:gridCol w:w="1039"/>
        <w:gridCol w:w="1039"/>
        <w:gridCol w:w="1036"/>
      </w:tblGrid>
      <w:tr w:rsidR="00A861A4" w:rsidRPr="004B6E39" w14:paraId="3E59237E" w14:textId="77777777" w:rsidTr="00A861A4">
        <w:trPr>
          <w:trHeight w:val="264"/>
        </w:trPr>
        <w:tc>
          <w:tcPr>
            <w:tcW w:w="943" w:type="pct"/>
            <w:tcBorders>
              <w:top w:val="single" w:sz="18" w:space="0" w:color="auto"/>
              <w:bottom w:val="single" w:sz="18" w:space="0" w:color="auto"/>
              <w:right w:val="single" w:sz="18" w:space="0" w:color="auto"/>
            </w:tcBorders>
            <w:shd w:val="clear" w:color="auto" w:fill="auto"/>
            <w:noWrap/>
            <w:vAlign w:val="center"/>
          </w:tcPr>
          <w:p w14:paraId="6ECFF586" w14:textId="77777777" w:rsidR="00A861A4" w:rsidRPr="004B6E39" w:rsidRDefault="00A861A4" w:rsidP="003E0FF6">
            <w:pPr>
              <w:spacing w:line="276" w:lineRule="auto"/>
              <w:rPr>
                <w:rFonts w:ascii="Times New Roman" w:eastAsia="Calibri" w:hAnsi="Times New Roman"/>
                <w:sz w:val="20"/>
                <w:szCs w:val="20"/>
              </w:rPr>
            </w:pPr>
            <w:r w:rsidRPr="004B6E39">
              <w:rPr>
                <w:rFonts w:ascii="Times New Roman" w:eastAsia="Calibri" w:hAnsi="Times New Roman"/>
                <w:sz w:val="20"/>
                <w:szCs w:val="20"/>
              </w:rPr>
              <w:t>Variable</w:t>
            </w:r>
          </w:p>
        </w:tc>
        <w:tc>
          <w:tcPr>
            <w:tcW w:w="581" w:type="pct"/>
            <w:tcBorders>
              <w:top w:val="single" w:sz="18" w:space="0" w:color="auto"/>
              <w:left w:val="single" w:sz="18" w:space="0" w:color="auto"/>
              <w:bottom w:val="single" w:sz="18" w:space="0" w:color="auto"/>
              <w:right w:val="single" w:sz="18" w:space="0" w:color="auto"/>
            </w:tcBorders>
            <w:shd w:val="clear" w:color="auto" w:fill="auto"/>
            <w:noWrap/>
          </w:tcPr>
          <w:p w14:paraId="3B0AFFDB"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Overall</w:t>
            </w:r>
          </w:p>
          <w:p w14:paraId="300636DF" w14:textId="77777777" w:rsidR="00A861A4" w:rsidRPr="004B6E39" w:rsidRDefault="00A861A4" w:rsidP="003E0FF6">
            <w:pPr>
              <w:spacing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w:t>
            </w:r>
            <w:r w:rsidRPr="004B6E39">
              <w:rPr>
                <w:rFonts w:ascii="Times New Roman" w:eastAsia="Calibri" w:hAnsi="Times New Roman"/>
                <w:i/>
                <w:sz w:val="20"/>
                <w:szCs w:val="20"/>
              </w:rPr>
              <w:t xml:space="preserve">N </w:t>
            </w:r>
            <w:r w:rsidRPr="004B6E39">
              <w:rPr>
                <w:rFonts w:ascii="Times New Roman" w:eastAsia="Calibri" w:hAnsi="Times New Roman"/>
                <w:sz w:val="20"/>
                <w:szCs w:val="20"/>
              </w:rPr>
              <w:t>= 1,191)</w:t>
            </w:r>
          </w:p>
        </w:tc>
        <w:tc>
          <w:tcPr>
            <w:tcW w:w="581" w:type="pct"/>
            <w:tcBorders>
              <w:top w:val="single" w:sz="18" w:space="0" w:color="auto"/>
              <w:left w:val="single" w:sz="18" w:space="0" w:color="auto"/>
              <w:bottom w:val="single" w:sz="18" w:space="0" w:color="auto"/>
            </w:tcBorders>
          </w:tcPr>
          <w:p w14:paraId="7973D955"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High </w:t>
            </w:r>
            <w:proofErr w:type="spellStart"/>
            <w:r>
              <w:rPr>
                <w:rFonts w:ascii="Times New Roman" w:eastAsia="Calibri" w:hAnsi="Times New Roman"/>
                <w:b/>
                <w:sz w:val="20"/>
                <w:szCs w:val="20"/>
              </w:rPr>
              <w:t>QoE</w:t>
            </w:r>
            <w:proofErr w:type="spellEnd"/>
            <w:r>
              <w:rPr>
                <w:rFonts w:ascii="Times New Roman" w:eastAsia="Calibri" w:hAnsi="Times New Roman"/>
                <w:b/>
                <w:sz w:val="20"/>
                <w:szCs w:val="20"/>
              </w:rPr>
              <w:t xml:space="preserve"> – with icon array group </w:t>
            </w:r>
            <w:r w:rsidRPr="00F6200E">
              <w:rPr>
                <w:rFonts w:ascii="Times New Roman" w:eastAsia="Calibri" w:hAnsi="Times New Roman"/>
                <w:sz w:val="20"/>
                <w:szCs w:val="20"/>
              </w:rPr>
              <w:t>(N=202)</w:t>
            </w:r>
          </w:p>
        </w:tc>
        <w:tc>
          <w:tcPr>
            <w:tcW w:w="581" w:type="pct"/>
            <w:tcBorders>
              <w:top w:val="single" w:sz="18" w:space="0" w:color="auto"/>
              <w:bottom w:val="single" w:sz="18" w:space="0" w:color="auto"/>
            </w:tcBorders>
          </w:tcPr>
          <w:p w14:paraId="6C65874A"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Low </w:t>
            </w:r>
            <w:proofErr w:type="spellStart"/>
            <w:r>
              <w:rPr>
                <w:rFonts w:ascii="Times New Roman" w:eastAsia="Calibri" w:hAnsi="Times New Roman"/>
                <w:b/>
                <w:sz w:val="20"/>
                <w:szCs w:val="20"/>
              </w:rPr>
              <w:t>QoE</w:t>
            </w:r>
            <w:proofErr w:type="spellEnd"/>
            <w:r>
              <w:rPr>
                <w:rFonts w:ascii="Times New Roman" w:eastAsia="Calibri" w:hAnsi="Times New Roman"/>
                <w:b/>
                <w:sz w:val="20"/>
                <w:szCs w:val="20"/>
              </w:rPr>
              <w:t xml:space="preserve"> – with icon array group </w:t>
            </w:r>
            <w:r w:rsidRPr="00F6200E">
              <w:rPr>
                <w:rFonts w:ascii="Times New Roman" w:eastAsia="Calibri" w:hAnsi="Times New Roman"/>
                <w:sz w:val="20"/>
                <w:szCs w:val="20"/>
              </w:rPr>
              <w:t>(N=198)</w:t>
            </w:r>
          </w:p>
        </w:tc>
        <w:tc>
          <w:tcPr>
            <w:tcW w:w="579" w:type="pct"/>
            <w:tcBorders>
              <w:top w:val="single" w:sz="18" w:space="0" w:color="auto"/>
              <w:bottom w:val="single" w:sz="18" w:space="0" w:color="auto"/>
              <w:right w:val="single" w:sz="8" w:space="0" w:color="auto"/>
            </w:tcBorders>
          </w:tcPr>
          <w:p w14:paraId="0E041401"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No </w:t>
            </w:r>
            <w:proofErr w:type="spellStart"/>
            <w:r>
              <w:rPr>
                <w:rFonts w:ascii="Times New Roman" w:eastAsia="Calibri" w:hAnsi="Times New Roman"/>
                <w:b/>
                <w:sz w:val="20"/>
                <w:szCs w:val="20"/>
              </w:rPr>
              <w:t>QoE</w:t>
            </w:r>
            <w:proofErr w:type="spellEnd"/>
            <w:r>
              <w:rPr>
                <w:rFonts w:ascii="Times New Roman" w:eastAsia="Calibri" w:hAnsi="Times New Roman"/>
                <w:b/>
                <w:sz w:val="20"/>
                <w:szCs w:val="20"/>
              </w:rPr>
              <w:t xml:space="preserve"> – with icon array group </w:t>
            </w:r>
            <w:r w:rsidRPr="00F6200E">
              <w:rPr>
                <w:rFonts w:ascii="Times New Roman" w:eastAsia="Calibri" w:hAnsi="Times New Roman"/>
                <w:sz w:val="20"/>
                <w:szCs w:val="20"/>
              </w:rPr>
              <w:t>(N=200)</w:t>
            </w:r>
          </w:p>
        </w:tc>
        <w:tc>
          <w:tcPr>
            <w:tcW w:w="579" w:type="pct"/>
            <w:tcBorders>
              <w:top w:val="single" w:sz="18" w:space="0" w:color="auto"/>
              <w:left w:val="single" w:sz="8" w:space="0" w:color="auto"/>
              <w:bottom w:val="single" w:sz="18" w:space="0" w:color="auto"/>
            </w:tcBorders>
          </w:tcPr>
          <w:p w14:paraId="4D80100D"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High </w:t>
            </w:r>
            <w:proofErr w:type="spellStart"/>
            <w:r>
              <w:rPr>
                <w:rFonts w:ascii="Times New Roman" w:eastAsia="Calibri" w:hAnsi="Times New Roman"/>
                <w:b/>
                <w:sz w:val="20"/>
                <w:szCs w:val="20"/>
              </w:rPr>
              <w:t>QoE</w:t>
            </w:r>
            <w:proofErr w:type="spellEnd"/>
            <w:r>
              <w:rPr>
                <w:rFonts w:ascii="Times New Roman" w:eastAsia="Calibri" w:hAnsi="Times New Roman"/>
                <w:b/>
                <w:sz w:val="20"/>
                <w:szCs w:val="20"/>
              </w:rPr>
              <w:t xml:space="preserve"> – without icon array group </w:t>
            </w:r>
            <w:r w:rsidRPr="00F6200E">
              <w:rPr>
                <w:rFonts w:ascii="Times New Roman" w:eastAsia="Calibri" w:hAnsi="Times New Roman"/>
                <w:sz w:val="20"/>
                <w:szCs w:val="20"/>
              </w:rPr>
              <w:t>(N=196)</w:t>
            </w:r>
          </w:p>
        </w:tc>
        <w:tc>
          <w:tcPr>
            <w:tcW w:w="579" w:type="pct"/>
            <w:tcBorders>
              <w:top w:val="single" w:sz="18" w:space="0" w:color="auto"/>
              <w:bottom w:val="single" w:sz="18" w:space="0" w:color="auto"/>
            </w:tcBorders>
          </w:tcPr>
          <w:p w14:paraId="44F4AA93"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Low </w:t>
            </w:r>
            <w:proofErr w:type="spellStart"/>
            <w:r>
              <w:rPr>
                <w:rFonts w:ascii="Times New Roman" w:eastAsia="Calibri" w:hAnsi="Times New Roman"/>
                <w:b/>
                <w:sz w:val="20"/>
                <w:szCs w:val="20"/>
              </w:rPr>
              <w:t>QoE</w:t>
            </w:r>
            <w:proofErr w:type="spellEnd"/>
            <w:r>
              <w:rPr>
                <w:rFonts w:ascii="Times New Roman" w:eastAsia="Calibri" w:hAnsi="Times New Roman"/>
                <w:b/>
                <w:sz w:val="20"/>
                <w:szCs w:val="20"/>
              </w:rPr>
              <w:t xml:space="preserve"> – without icon array group </w:t>
            </w:r>
            <w:r w:rsidRPr="00F6200E">
              <w:rPr>
                <w:rFonts w:ascii="Times New Roman" w:eastAsia="Calibri" w:hAnsi="Times New Roman"/>
                <w:sz w:val="20"/>
                <w:szCs w:val="20"/>
              </w:rPr>
              <w:t>(N=204)</w:t>
            </w:r>
          </w:p>
        </w:tc>
        <w:tc>
          <w:tcPr>
            <w:tcW w:w="579" w:type="pct"/>
            <w:tcBorders>
              <w:top w:val="single" w:sz="18" w:space="0" w:color="auto"/>
              <w:bottom w:val="single" w:sz="18" w:space="0" w:color="auto"/>
            </w:tcBorders>
          </w:tcPr>
          <w:p w14:paraId="794099CC" w14:textId="77777777" w:rsidR="00A861A4" w:rsidRPr="004B6E39" w:rsidRDefault="00A861A4" w:rsidP="003E0FF6">
            <w:pPr>
              <w:spacing w:after="40" w:line="276" w:lineRule="auto"/>
              <w:jc w:val="center"/>
              <w:rPr>
                <w:rFonts w:ascii="Times New Roman" w:eastAsia="Calibri" w:hAnsi="Times New Roman"/>
                <w:b/>
                <w:sz w:val="20"/>
                <w:szCs w:val="20"/>
              </w:rPr>
            </w:pPr>
            <w:r>
              <w:rPr>
                <w:rFonts w:ascii="Times New Roman" w:eastAsia="Calibri" w:hAnsi="Times New Roman"/>
                <w:b/>
                <w:sz w:val="20"/>
                <w:szCs w:val="20"/>
              </w:rPr>
              <w:t xml:space="preserve">No </w:t>
            </w:r>
            <w:proofErr w:type="spellStart"/>
            <w:r>
              <w:rPr>
                <w:rFonts w:ascii="Times New Roman" w:eastAsia="Calibri" w:hAnsi="Times New Roman"/>
                <w:b/>
                <w:sz w:val="20"/>
                <w:szCs w:val="20"/>
              </w:rPr>
              <w:t>QoE</w:t>
            </w:r>
            <w:proofErr w:type="spellEnd"/>
            <w:r>
              <w:rPr>
                <w:rFonts w:ascii="Times New Roman" w:eastAsia="Calibri" w:hAnsi="Times New Roman"/>
                <w:b/>
                <w:sz w:val="20"/>
                <w:szCs w:val="20"/>
              </w:rPr>
              <w:t xml:space="preserve"> – without icon array group </w:t>
            </w:r>
            <w:r w:rsidRPr="00F6200E">
              <w:rPr>
                <w:rFonts w:ascii="Times New Roman" w:eastAsia="Calibri" w:hAnsi="Times New Roman"/>
                <w:sz w:val="20"/>
                <w:szCs w:val="20"/>
              </w:rPr>
              <w:t>(N=191)</w:t>
            </w:r>
          </w:p>
        </w:tc>
      </w:tr>
      <w:tr w:rsidR="00A861A4" w:rsidRPr="004B6E39" w14:paraId="5CCDCACD" w14:textId="77777777" w:rsidTr="00A861A4">
        <w:trPr>
          <w:trHeight w:val="242"/>
        </w:trPr>
        <w:tc>
          <w:tcPr>
            <w:tcW w:w="943" w:type="pct"/>
            <w:tcBorders>
              <w:top w:val="single" w:sz="18" w:space="0" w:color="auto"/>
              <w:right w:val="single" w:sz="18" w:space="0" w:color="auto"/>
            </w:tcBorders>
            <w:shd w:val="clear" w:color="auto" w:fill="auto"/>
            <w:noWrap/>
            <w:vAlign w:val="center"/>
          </w:tcPr>
          <w:p w14:paraId="7CB36054"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Gender, %</w:t>
            </w:r>
          </w:p>
        </w:tc>
        <w:tc>
          <w:tcPr>
            <w:tcW w:w="581" w:type="pct"/>
            <w:tcBorders>
              <w:top w:val="single" w:sz="18" w:space="0" w:color="auto"/>
              <w:left w:val="single" w:sz="18" w:space="0" w:color="auto"/>
              <w:right w:val="single" w:sz="18" w:space="0" w:color="auto"/>
            </w:tcBorders>
            <w:shd w:val="clear" w:color="auto" w:fill="auto"/>
            <w:noWrap/>
            <w:vAlign w:val="center"/>
          </w:tcPr>
          <w:p w14:paraId="08836244"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81" w:type="pct"/>
            <w:tcBorders>
              <w:top w:val="single" w:sz="18" w:space="0" w:color="auto"/>
              <w:left w:val="single" w:sz="18" w:space="0" w:color="auto"/>
            </w:tcBorders>
          </w:tcPr>
          <w:p w14:paraId="335D85F9"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81" w:type="pct"/>
            <w:tcBorders>
              <w:top w:val="single" w:sz="18" w:space="0" w:color="auto"/>
            </w:tcBorders>
          </w:tcPr>
          <w:p w14:paraId="25E96EEF"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79" w:type="pct"/>
            <w:tcBorders>
              <w:top w:val="single" w:sz="18" w:space="0" w:color="auto"/>
              <w:right w:val="single" w:sz="8" w:space="0" w:color="auto"/>
            </w:tcBorders>
          </w:tcPr>
          <w:p w14:paraId="075199A0"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79" w:type="pct"/>
            <w:tcBorders>
              <w:top w:val="single" w:sz="18" w:space="0" w:color="auto"/>
              <w:left w:val="single" w:sz="8" w:space="0" w:color="auto"/>
            </w:tcBorders>
          </w:tcPr>
          <w:p w14:paraId="607F3796"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79" w:type="pct"/>
            <w:tcBorders>
              <w:top w:val="single" w:sz="18" w:space="0" w:color="auto"/>
            </w:tcBorders>
          </w:tcPr>
          <w:p w14:paraId="0B8452A2"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79" w:type="pct"/>
            <w:tcBorders>
              <w:top w:val="single" w:sz="18" w:space="0" w:color="auto"/>
            </w:tcBorders>
          </w:tcPr>
          <w:p w14:paraId="6E62BBDC" w14:textId="77777777" w:rsidR="00A861A4" w:rsidRPr="004B6E39" w:rsidRDefault="00A861A4" w:rsidP="003E0FF6">
            <w:pPr>
              <w:spacing w:before="40" w:after="40" w:line="276" w:lineRule="auto"/>
              <w:jc w:val="center"/>
              <w:rPr>
                <w:rFonts w:ascii="Times New Roman" w:eastAsia="Calibri" w:hAnsi="Times New Roman"/>
                <w:sz w:val="20"/>
                <w:szCs w:val="20"/>
              </w:rPr>
            </w:pPr>
          </w:p>
        </w:tc>
      </w:tr>
      <w:tr w:rsidR="00A861A4" w:rsidRPr="004B6E39" w14:paraId="147A6C4E" w14:textId="77777777" w:rsidTr="00532C3A">
        <w:trPr>
          <w:trHeight w:val="243"/>
        </w:trPr>
        <w:tc>
          <w:tcPr>
            <w:tcW w:w="943" w:type="pct"/>
            <w:tcBorders>
              <w:right w:val="single" w:sz="18" w:space="0" w:color="auto"/>
            </w:tcBorders>
            <w:shd w:val="clear" w:color="auto" w:fill="auto"/>
            <w:noWrap/>
            <w:vAlign w:val="center"/>
          </w:tcPr>
          <w:p w14:paraId="5DE9F941"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Females</w:t>
            </w:r>
          </w:p>
        </w:tc>
        <w:tc>
          <w:tcPr>
            <w:tcW w:w="581" w:type="pct"/>
            <w:tcBorders>
              <w:left w:val="single" w:sz="18" w:space="0" w:color="auto"/>
              <w:right w:val="single" w:sz="18" w:space="0" w:color="auto"/>
            </w:tcBorders>
            <w:shd w:val="clear" w:color="auto" w:fill="auto"/>
            <w:noWrap/>
            <w:vAlign w:val="center"/>
          </w:tcPr>
          <w:p w14:paraId="740C2A32"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51.47</w:t>
            </w:r>
          </w:p>
        </w:tc>
        <w:tc>
          <w:tcPr>
            <w:tcW w:w="581" w:type="pct"/>
            <w:tcBorders>
              <w:left w:val="single" w:sz="18" w:space="0" w:color="auto"/>
            </w:tcBorders>
            <w:vAlign w:val="center"/>
          </w:tcPr>
          <w:p w14:paraId="11BBBC79"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50.00</w:t>
            </w:r>
          </w:p>
        </w:tc>
        <w:tc>
          <w:tcPr>
            <w:tcW w:w="581" w:type="pct"/>
            <w:vAlign w:val="center"/>
          </w:tcPr>
          <w:p w14:paraId="6A3A2E9E"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55.05</w:t>
            </w:r>
          </w:p>
        </w:tc>
        <w:tc>
          <w:tcPr>
            <w:tcW w:w="579" w:type="pct"/>
            <w:tcBorders>
              <w:right w:val="single" w:sz="8" w:space="0" w:color="auto"/>
            </w:tcBorders>
            <w:vAlign w:val="center"/>
          </w:tcPr>
          <w:p w14:paraId="551B5A3C"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55.50</w:t>
            </w:r>
          </w:p>
        </w:tc>
        <w:tc>
          <w:tcPr>
            <w:tcW w:w="579" w:type="pct"/>
            <w:tcBorders>
              <w:left w:val="single" w:sz="8" w:space="0" w:color="auto"/>
            </w:tcBorders>
            <w:vAlign w:val="center"/>
          </w:tcPr>
          <w:p w14:paraId="15618CC9"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52.04</w:t>
            </w:r>
          </w:p>
        </w:tc>
        <w:tc>
          <w:tcPr>
            <w:tcW w:w="579" w:type="pct"/>
            <w:vAlign w:val="center"/>
          </w:tcPr>
          <w:p w14:paraId="5A62BE74"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52.45</w:t>
            </w:r>
          </w:p>
        </w:tc>
        <w:tc>
          <w:tcPr>
            <w:tcW w:w="579" w:type="pct"/>
            <w:vAlign w:val="center"/>
          </w:tcPr>
          <w:p w14:paraId="19315444"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43.46</w:t>
            </w:r>
          </w:p>
        </w:tc>
      </w:tr>
      <w:tr w:rsidR="00A861A4" w:rsidRPr="004B6E39" w14:paraId="6DBDC17C" w14:textId="77777777" w:rsidTr="00532C3A">
        <w:trPr>
          <w:trHeight w:val="100"/>
        </w:trPr>
        <w:tc>
          <w:tcPr>
            <w:tcW w:w="943" w:type="pct"/>
            <w:tcBorders>
              <w:right w:val="single" w:sz="18" w:space="0" w:color="auto"/>
            </w:tcBorders>
            <w:shd w:val="clear" w:color="auto" w:fill="auto"/>
            <w:noWrap/>
            <w:vAlign w:val="center"/>
          </w:tcPr>
          <w:p w14:paraId="37999745"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Males</w:t>
            </w:r>
          </w:p>
        </w:tc>
        <w:tc>
          <w:tcPr>
            <w:tcW w:w="581" w:type="pct"/>
            <w:tcBorders>
              <w:left w:val="single" w:sz="18" w:space="0" w:color="auto"/>
              <w:right w:val="single" w:sz="18" w:space="0" w:color="auto"/>
            </w:tcBorders>
            <w:shd w:val="clear" w:color="auto" w:fill="auto"/>
            <w:noWrap/>
            <w:vAlign w:val="center"/>
          </w:tcPr>
          <w:p w14:paraId="1A4D0EFB"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48.53</w:t>
            </w:r>
          </w:p>
        </w:tc>
        <w:tc>
          <w:tcPr>
            <w:tcW w:w="581" w:type="pct"/>
            <w:tcBorders>
              <w:left w:val="single" w:sz="18" w:space="0" w:color="auto"/>
            </w:tcBorders>
            <w:vAlign w:val="center"/>
          </w:tcPr>
          <w:p w14:paraId="19446FA7"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50.00</w:t>
            </w:r>
          </w:p>
        </w:tc>
        <w:tc>
          <w:tcPr>
            <w:tcW w:w="581" w:type="pct"/>
            <w:vAlign w:val="center"/>
          </w:tcPr>
          <w:p w14:paraId="717C238B"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44.95</w:t>
            </w:r>
          </w:p>
        </w:tc>
        <w:tc>
          <w:tcPr>
            <w:tcW w:w="579" w:type="pct"/>
            <w:tcBorders>
              <w:right w:val="single" w:sz="8" w:space="0" w:color="auto"/>
            </w:tcBorders>
            <w:vAlign w:val="center"/>
          </w:tcPr>
          <w:p w14:paraId="426C8F72"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44.50</w:t>
            </w:r>
          </w:p>
        </w:tc>
        <w:tc>
          <w:tcPr>
            <w:tcW w:w="579" w:type="pct"/>
            <w:tcBorders>
              <w:left w:val="single" w:sz="8" w:space="0" w:color="auto"/>
            </w:tcBorders>
            <w:vAlign w:val="center"/>
          </w:tcPr>
          <w:p w14:paraId="59C7DD4E"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47.96</w:t>
            </w:r>
          </w:p>
        </w:tc>
        <w:tc>
          <w:tcPr>
            <w:tcW w:w="579" w:type="pct"/>
            <w:vAlign w:val="center"/>
          </w:tcPr>
          <w:p w14:paraId="6381F1D2"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47.55</w:t>
            </w:r>
          </w:p>
        </w:tc>
        <w:tc>
          <w:tcPr>
            <w:tcW w:w="579" w:type="pct"/>
            <w:vAlign w:val="center"/>
          </w:tcPr>
          <w:p w14:paraId="0B26E221"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56.54</w:t>
            </w:r>
          </w:p>
        </w:tc>
      </w:tr>
      <w:tr w:rsidR="00A861A4" w:rsidRPr="004B6E39" w14:paraId="59AF8EE9" w14:textId="77777777" w:rsidTr="00532C3A">
        <w:trPr>
          <w:trHeight w:val="264"/>
        </w:trPr>
        <w:tc>
          <w:tcPr>
            <w:tcW w:w="943" w:type="pct"/>
            <w:tcBorders>
              <w:right w:val="single" w:sz="18" w:space="0" w:color="auto"/>
            </w:tcBorders>
            <w:shd w:val="clear" w:color="auto" w:fill="auto"/>
            <w:noWrap/>
            <w:vAlign w:val="center"/>
          </w:tcPr>
          <w:p w14:paraId="23B4A66A"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Age, </w:t>
            </w:r>
            <w:r w:rsidRPr="004B6E39">
              <w:rPr>
                <w:rFonts w:ascii="Times New Roman" w:eastAsia="Calibri" w:hAnsi="Times New Roman"/>
                <w:i/>
                <w:sz w:val="20"/>
                <w:szCs w:val="20"/>
              </w:rPr>
              <w:t>M</w:t>
            </w:r>
            <w:r>
              <w:rPr>
                <w:rFonts w:ascii="Times New Roman" w:eastAsia="Calibri" w:hAnsi="Times New Roman"/>
                <w:i/>
                <w:sz w:val="20"/>
                <w:szCs w:val="20"/>
              </w:rPr>
              <w:t>ean</w:t>
            </w:r>
            <w:r w:rsidRPr="004B6E39">
              <w:rPr>
                <w:rFonts w:ascii="Times New Roman" w:eastAsia="Calibri" w:hAnsi="Times New Roman"/>
                <w:sz w:val="20"/>
                <w:szCs w:val="20"/>
              </w:rPr>
              <w:t xml:space="preserve"> (</w:t>
            </w:r>
            <w:r w:rsidRPr="004B6E39">
              <w:rPr>
                <w:rFonts w:ascii="Times New Roman" w:eastAsia="Calibri" w:hAnsi="Times New Roman"/>
                <w:i/>
                <w:sz w:val="20"/>
                <w:szCs w:val="20"/>
              </w:rPr>
              <w:t>SD</w:t>
            </w:r>
            <w:r w:rsidRPr="004B6E39">
              <w:rPr>
                <w:rFonts w:ascii="Times New Roman" w:eastAsia="Calibri" w:hAnsi="Times New Roman"/>
                <w:sz w:val="20"/>
                <w:szCs w:val="20"/>
              </w:rPr>
              <w:t>)</w:t>
            </w:r>
          </w:p>
        </w:tc>
        <w:tc>
          <w:tcPr>
            <w:tcW w:w="581" w:type="pct"/>
            <w:tcBorders>
              <w:left w:val="single" w:sz="18" w:space="0" w:color="auto"/>
              <w:right w:val="single" w:sz="18" w:space="0" w:color="auto"/>
            </w:tcBorders>
            <w:shd w:val="clear" w:color="auto" w:fill="auto"/>
            <w:noWrap/>
            <w:vAlign w:val="center"/>
          </w:tcPr>
          <w:p w14:paraId="6460E76E" w14:textId="77777777" w:rsidR="00A861A4" w:rsidRPr="004B6E39" w:rsidRDefault="00A861A4" w:rsidP="003E0FF6">
            <w:pPr>
              <w:spacing w:before="40" w:after="40" w:line="276" w:lineRule="auto"/>
              <w:jc w:val="center"/>
              <w:rPr>
                <w:rFonts w:ascii="Times New Roman" w:eastAsia="Calibri" w:hAnsi="Times New Roman"/>
                <w:sz w:val="20"/>
                <w:szCs w:val="20"/>
                <w:highlight w:val="yellow"/>
              </w:rPr>
            </w:pPr>
            <w:r w:rsidRPr="004B6E39">
              <w:rPr>
                <w:rFonts w:ascii="Times New Roman" w:eastAsia="Calibri" w:hAnsi="Times New Roman"/>
                <w:sz w:val="20"/>
                <w:szCs w:val="20"/>
              </w:rPr>
              <w:t>45.31 (16.43)</w:t>
            </w:r>
          </w:p>
        </w:tc>
        <w:tc>
          <w:tcPr>
            <w:tcW w:w="581" w:type="pct"/>
            <w:tcBorders>
              <w:left w:val="single" w:sz="18" w:space="0" w:color="auto"/>
            </w:tcBorders>
            <w:vAlign w:val="center"/>
          </w:tcPr>
          <w:p w14:paraId="749B4644"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45.74 (16.32)</w:t>
            </w:r>
          </w:p>
        </w:tc>
        <w:tc>
          <w:tcPr>
            <w:tcW w:w="581" w:type="pct"/>
            <w:vAlign w:val="center"/>
          </w:tcPr>
          <w:p w14:paraId="03E3A0B5"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46.12 (15.98)</w:t>
            </w:r>
          </w:p>
        </w:tc>
        <w:tc>
          <w:tcPr>
            <w:tcW w:w="579" w:type="pct"/>
            <w:tcBorders>
              <w:right w:val="single" w:sz="8" w:space="0" w:color="auto"/>
            </w:tcBorders>
            <w:vAlign w:val="center"/>
          </w:tcPr>
          <w:p w14:paraId="4E98F8EC"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43.55 (15.52)</w:t>
            </w:r>
          </w:p>
        </w:tc>
        <w:tc>
          <w:tcPr>
            <w:tcW w:w="579" w:type="pct"/>
            <w:tcBorders>
              <w:left w:val="single" w:sz="8" w:space="0" w:color="auto"/>
            </w:tcBorders>
            <w:vAlign w:val="center"/>
          </w:tcPr>
          <w:p w14:paraId="5D926646"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44.36 (16.26)</w:t>
            </w:r>
          </w:p>
        </w:tc>
        <w:tc>
          <w:tcPr>
            <w:tcW w:w="579" w:type="pct"/>
            <w:vAlign w:val="center"/>
          </w:tcPr>
          <w:p w14:paraId="546A84E3"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46.96 (17.02)</w:t>
            </w:r>
          </w:p>
        </w:tc>
        <w:tc>
          <w:tcPr>
            <w:tcW w:w="579" w:type="pct"/>
            <w:vAlign w:val="center"/>
          </w:tcPr>
          <w:p w14:paraId="1578E32A"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45.06 (17.44)</w:t>
            </w:r>
          </w:p>
        </w:tc>
      </w:tr>
      <w:tr w:rsidR="00A861A4" w:rsidRPr="004B6E39" w14:paraId="6F42D135" w14:textId="77777777" w:rsidTr="00532C3A">
        <w:trPr>
          <w:trHeight w:val="242"/>
        </w:trPr>
        <w:tc>
          <w:tcPr>
            <w:tcW w:w="943" w:type="pct"/>
            <w:tcBorders>
              <w:right w:val="single" w:sz="18" w:space="0" w:color="auto"/>
            </w:tcBorders>
            <w:shd w:val="clear" w:color="auto" w:fill="auto"/>
            <w:noWrap/>
            <w:vAlign w:val="center"/>
          </w:tcPr>
          <w:p w14:paraId="3F0A5384"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Education, %</w:t>
            </w:r>
          </w:p>
        </w:tc>
        <w:tc>
          <w:tcPr>
            <w:tcW w:w="581" w:type="pct"/>
            <w:tcBorders>
              <w:left w:val="single" w:sz="18" w:space="0" w:color="auto"/>
              <w:right w:val="single" w:sz="18" w:space="0" w:color="auto"/>
            </w:tcBorders>
            <w:shd w:val="clear" w:color="auto" w:fill="auto"/>
            <w:noWrap/>
            <w:vAlign w:val="center"/>
          </w:tcPr>
          <w:p w14:paraId="0A32C4C0" w14:textId="77777777" w:rsidR="00A861A4" w:rsidRPr="004B6E39" w:rsidRDefault="00A861A4" w:rsidP="003E0FF6">
            <w:pPr>
              <w:spacing w:before="40" w:after="40" w:line="276" w:lineRule="auto"/>
              <w:jc w:val="center"/>
              <w:rPr>
                <w:rFonts w:ascii="Times New Roman" w:eastAsia="Calibri" w:hAnsi="Times New Roman"/>
                <w:sz w:val="20"/>
                <w:szCs w:val="20"/>
              </w:rPr>
            </w:pPr>
          </w:p>
        </w:tc>
        <w:tc>
          <w:tcPr>
            <w:tcW w:w="581" w:type="pct"/>
            <w:tcBorders>
              <w:left w:val="single" w:sz="18" w:space="0" w:color="auto"/>
            </w:tcBorders>
            <w:vAlign w:val="center"/>
          </w:tcPr>
          <w:p w14:paraId="58B2AC66" w14:textId="77777777" w:rsidR="00A861A4" w:rsidRPr="004B6E39" w:rsidRDefault="00A861A4" w:rsidP="00532C3A">
            <w:pPr>
              <w:spacing w:before="40" w:after="40" w:line="276" w:lineRule="auto"/>
              <w:jc w:val="center"/>
              <w:rPr>
                <w:rFonts w:ascii="Times New Roman" w:eastAsia="Calibri" w:hAnsi="Times New Roman"/>
                <w:sz w:val="20"/>
                <w:szCs w:val="20"/>
              </w:rPr>
            </w:pPr>
          </w:p>
        </w:tc>
        <w:tc>
          <w:tcPr>
            <w:tcW w:w="581" w:type="pct"/>
            <w:vAlign w:val="center"/>
          </w:tcPr>
          <w:p w14:paraId="598CBD2A" w14:textId="77777777" w:rsidR="00A861A4" w:rsidRPr="004B6E39" w:rsidRDefault="00A861A4" w:rsidP="00532C3A">
            <w:pPr>
              <w:spacing w:before="40" w:after="40" w:line="276" w:lineRule="auto"/>
              <w:jc w:val="center"/>
              <w:rPr>
                <w:rFonts w:ascii="Times New Roman" w:eastAsia="Calibri" w:hAnsi="Times New Roman"/>
                <w:sz w:val="20"/>
                <w:szCs w:val="20"/>
              </w:rPr>
            </w:pPr>
          </w:p>
        </w:tc>
        <w:tc>
          <w:tcPr>
            <w:tcW w:w="579" w:type="pct"/>
            <w:tcBorders>
              <w:right w:val="single" w:sz="8" w:space="0" w:color="auto"/>
            </w:tcBorders>
            <w:vAlign w:val="center"/>
          </w:tcPr>
          <w:p w14:paraId="0741D49F" w14:textId="77777777" w:rsidR="00A861A4" w:rsidRPr="004B6E39" w:rsidRDefault="00A861A4" w:rsidP="00532C3A">
            <w:pPr>
              <w:spacing w:before="40" w:after="40" w:line="276" w:lineRule="auto"/>
              <w:jc w:val="center"/>
              <w:rPr>
                <w:rFonts w:ascii="Times New Roman" w:eastAsia="Calibri" w:hAnsi="Times New Roman"/>
                <w:sz w:val="20"/>
                <w:szCs w:val="20"/>
              </w:rPr>
            </w:pPr>
          </w:p>
        </w:tc>
        <w:tc>
          <w:tcPr>
            <w:tcW w:w="579" w:type="pct"/>
            <w:tcBorders>
              <w:left w:val="single" w:sz="8" w:space="0" w:color="auto"/>
            </w:tcBorders>
            <w:vAlign w:val="center"/>
          </w:tcPr>
          <w:p w14:paraId="03867B82" w14:textId="77777777" w:rsidR="00A861A4" w:rsidRPr="004B6E39" w:rsidRDefault="00A861A4" w:rsidP="00532C3A">
            <w:pPr>
              <w:spacing w:before="40" w:after="40" w:line="276" w:lineRule="auto"/>
              <w:jc w:val="center"/>
              <w:rPr>
                <w:rFonts w:ascii="Times New Roman" w:eastAsia="Calibri" w:hAnsi="Times New Roman"/>
                <w:sz w:val="20"/>
                <w:szCs w:val="20"/>
              </w:rPr>
            </w:pPr>
          </w:p>
        </w:tc>
        <w:tc>
          <w:tcPr>
            <w:tcW w:w="579" w:type="pct"/>
            <w:vAlign w:val="center"/>
          </w:tcPr>
          <w:p w14:paraId="593CCFFD" w14:textId="77777777" w:rsidR="00A861A4" w:rsidRPr="004B6E39" w:rsidRDefault="00A861A4" w:rsidP="00532C3A">
            <w:pPr>
              <w:spacing w:before="40" w:after="40" w:line="276" w:lineRule="auto"/>
              <w:jc w:val="center"/>
              <w:rPr>
                <w:rFonts w:ascii="Times New Roman" w:eastAsia="Calibri" w:hAnsi="Times New Roman"/>
                <w:sz w:val="20"/>
                <w:szCs w:val="20"/>
              </w:rPr>
            </w:pPr>
          </w:p>
        </w:tc>
        <w:tc>
          <w:tcPr>
            <w:tcW w:w="579" w:type="pct"/>
            <w:vAlign w:val="center"/>
          </w:tcPr>
          <w:p w14:paraId="0D040BBC" w14:textId="77777777" w:rsidR="00A861A4" w:rsidRPr="004B6E39" w:rsidRDefault="00A861A4" w:rsidP="00532C3A">
            <w:pPr>
              <w:spacing w:before="40" w:after="40" w:line="276" w:lineRule="auto"/>
              <w:jc w:val="center"/>
              <w:rPr>
                <w:rFonts w:ascii="Times New Roman" w:eastAsia="Calibri" w:hAnsi="Times New Roman"/>
                <w:sz w:val="20"/>
                <w:szCs w:val="20"/>
              </w:rPr>
            </w:pPr>
          </w:p>
        </w:tc>
      </w:tr>
      <w:tr w:rsidR="00A861A4" w:rsidRPr="004B6E39" w14:paraId="3B565A51" w14:textId="77777777" w:rsidTr="00532C3A">
        <w:trPr>
          <w:trHeight w:val="243"/>
        </w:trPr>
        <w:tc>
          <w:tcPr>
            <w:tcW w:w="943" w:type="pct"/>
            <w:tcBorders>
              <w:right w:val="single" w:sz="18" w:space="0" w:color="auto"/>
            </w:tcBorders>
            <w:shd w:val="clear" w:color="auto" w:fill="auto"/>
            <w:noWrap/>
            <w:vAlign w:val="center"/>
          </w:tcPr>
          <w:p w14:paraId="7160DB02"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Did not complete high school</w:t>
            </w:r>
          </w:p>
        </w:tc>
        <w:tc>
          <w:tcPr>
            <w:tcW w:w="581" w:type="pct"/>
            <w:tcBorders>
              <w:left w:val="single" w:sz="18" w:space="0" w:color="auto"/>
              <w:right w:val="single" w:sz="18" w:space="0" w:color="auto"/>
            </w:tcBorders>
            <w:shd w:val="clear" w:color="auto" w:fill="auto"/>
            <w:noWrap/>
            <w:vAlign w:val="center"/>
          </w:tcPr>
          <w:p w14:paraId="2BBEC634"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2.18</w:t>
            </w:r>
          </w:p>
        </w:tc>
        <w:tc>
          <w:tcPr>
            <w:tcW w:w="581" w:type="pct"/>
            <w:tcBorders>
              <w:left w:val="single" w:sz="18" w:space="0" w:color="auto"/>
            </w:tcBorders>
            <w:vAlign w:val="center"/>
          </w:tcPr>
          <w:p w14:paraId="50C670B6"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2.48</w:t>
            </w:r>
          </w:p>
        </w:tc>
        <w:tc>
          <w:tcPr>
            <w:tcW w:w="581" w:type="pct"/>
            <w:vAlign w:val="center"/>
          </w:tcPr>
          <w:p w14:paraId="67DEDC51"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2.02</w:t>
            </w:r>
          </w:p>
        </w:tc>
        <w:tc>
          <w:tcPr>
            <w:tcW w:w="579" w:type="pct"/>
            <w:tcBorders>
              <w:right w:val="single" w:sz="8" w:space="0" w:color="auto"/>
            </w:tcBorders>
            <w:vAlign w:val="center"/>
          </w:tcPr>
          <w:p w14:paraId="6BB70656"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1.00</w:t>
            </w:r>
          </w:p>
        </w:tc>
        <w:tc>
          <w:tcPr>
            <w:tcW w:w="579" w:type="pct"/>
            <w:tcBorders>
              <w:left w:val="single" w:sz="8" w:space="0" w:color="auto"/>
            </w:tcBorders>
            <w:vAlign w:val="center"/>
          </w:tcPr>
          <w:p w14:paraId="677AF532"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1.53</w:t>
            </w:r>
          </w:p>
        </w:tc>
        <w:tc>
          <w:tcPr>
            <w:tcW w:w="579" w:type="pct"/>
            <w:vAlign w:val="center"/>
          </w:tcPr>
          <w:p w14:paraId="731D64FD"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1.96</w:t>
            </w:r>
          </w:p>
        </w:tc>
        <w:tc>
          <w:tcPr>
            <w:tcW w:w="579" w:type="pct"/>
            <w:vAlign w:val="center"/>
          </w:tcPr>
          <w:p w14:paraId="49B83858"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4.19</w:t>
            </w:r>
          </w:p>
        </w:tc>
      </w:tr>
      <w:tr w:rsidR="00A861A4" w:rsidRPr="004B6E39" w14:paraId="73877780" w14:textId="77777777" w:rsidTr="00532C3A">
        <w:trPr>
          <w:trHeight w:val="100"/>
        </w:trPr>
        <w:tc>
          <w:tcPr>
            <w:tcW w:w="943" w:type="pct"/>
            <w:tcBorders>
              <w:right w:val="single" w:sz="18" w:space="0" w:color="auto"/>
            </w:tcBorders>
            <w:shd w:val="clear" w:color="auto" w:fill="auto"/>
            <w:noWrap/>
            <w:vAlign w:val="center"/>
          </w:tcPr>
          <w:p w14:paraId="7AD3A0CD"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High school degree or equivalent</w:t>
            </w:r>
          </w:p>
        </w:tc>
        <w:tc>
          <w:tcPr>
            <w:tcW w:w="581" w:type="pct"/>
            <w:tcBorders>
              <w:left w:val="single" w:sz="18" w:space="0" w:color="auto"/>
              <w:right w:val="single" w:sz="18" w:space="0" w:color="auto"/>
            </w:tcBorders>
            <w:shd w:val="clear" w:color="auto" w:fill="auto"/>
            <w:noWrap/>
            <w:vAlign w:val="center"/>
          </w:tcPr>
          <w:p w14:paraId="23CCCE56"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38.20</w:t>
            </w:r>
          </w:p>
        </w:tc>
        <w:tc>
          <w:tcPr>
            <w:tcW w:w="581" w:type="pct"/>
            <w:tcBorders>
              <w:left w:val="single" w:sz="18" w:space="0" w:color="auto"/>
            </w:tcBorders>
            <w:vAlign w:val="center"/>
          </w:tcPr>
          <w:p w14:paraId="03148872"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39.11</w:t>
            </w:r>
          </w:p>
        </w:tc>
        <w:tc>
          <w:tcPr>
            <w:tcW w:w="581" w:type="pct"/>
            <w:vAlign w:val="center"/>
          </w:tcPr>
          <w:p w14:paraId="45C330AA"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47.47</w:t>
            </w:r>
          </w:p>
        </w:tc>
        <w:tc>
          <w:tcPr>
            <w:tcW w:w="579" w:type="pct"/>
            <w:tcBorders>
              <w:right w:val="single" w:sz="8" w:space="0" w:color="auto"/>
            </w:tcBorders>
            <w:vAlign w:val="center"/>
          </w:tcPr>
          <w:p w14:paraId="6C2ECCE3"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30.00</w:t>
            </w:r>
          </w:p>
        </w:tc>
        <w:tc>
          <w:tcPr>
            <w:tcW w:w="579" w:type="pct"/>
            <w:tcBorders>
              <w:left w:val="single" w:sz="8" w:space="0" w:color="auto"/>
            </w:tcBorders>
            <w:vAlign w:val="center"/>
          </w:tcPr>
          <w:p w14:paraId="5A771D38"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37.24</w:t>
            </w:r>
          </w:p>
        </w:tc>
        <w:tc>
          <w:tcPr>
            <w:tcW w:w="579" w:type="pct"/>
            <w:vAlign w:val="center"/>
          </w:tcPr>
          <w:p w14:paraId="26A8D7D2"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38.73</w:t>
            </w:r>
          </w:p>
        </w:tc>
        <w:tc>
          <w:tcPr>
            <w:tcW w:w="579" w:type="pct"/>
            <w:vAlign w:val="center"/>
          </w:tcPr>
          <w:p w14:paraId="366C4B09"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36.65</w:t>
            </w:r>
          </w:p>
        </w:tc>
      </w:tr>
      <w:tr w:rsidR="00A861A4" w:rsidRPr="004B6E39" w14:paraId="6726886C" w14:textId="77777777" w:rsidTr="00532C3A">
        <w:trPr>
          <w:trHeight w:val="100"/>
        </w:trPr>
        <w:tc>
          <w:tcPr>
            <w:tcW w:w="943" w:type="pct"/>
            <w:tcBorders>
              <w:right w:val="single" w:sz="18" w:space="0" w:color="auto"/>
            </w:tcBorders>
            <w:shd w:val="clear" w:color="auto" w:fill="auto"/>
            <w:noWrap/>
            <w:vAlign w:val="center"/>
          </w:tcPr>
          <w:p w14:paraId="2F006489"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Associate's degree</w:t>
            </w:r>
          </w:p>
        </w:tc>
        <w:tc>
          <w:tcPr>
            <w:tcW w:w="581" w:type="pct"/>
            <w:tcBorders>
              <w:left w:val="single" w:sz="18" w:space="0" w:color="auto"/>
              <w:right w:val="single" w:sz="18" w:space="0" w:color="auto"/>
            </w:tcBorders>
            <w:shd w:val="clear" w:color="auto" w:fill="auto"/>
            <w:noWrap/>
            <w:vAlign w:val="center"/>
          </w:tcPr>
          <w:p w14:paraId="3D1D9923"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15.28</w:t>
            </w:r>
          </w:p>
        </w:tc>
        <w:tc>
          <w:tcPr>
            <w:tcW w:w="581" w:type="pct"/>
            <w:tcBorders>
              <w:left w:val="single" w:sz="18" w:space="0" w:color="auto"/>
            </w:tcBorders>
            <w:vAlign w:val="center"/>
          </w:tcPr>
          <w:p w14:paraId="3388A47D"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13.37</w:t>
            </w:r>
          </w:p>
        </w:tc>
        <w:tc>
          <w:tcPr>
            <w:tcW w:w="581" w:type="pct"/>
            <w:vAlign w:val="center"/>
          </w:tcPr>
          <w:p w14:paraId="1C1B21E9"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16.16</w:t>
            </w:r>
          </w:p>
        </w:tc>
        <w:tc>
          <w:tcPr>
            <w:tcW w:w="579" w:type="pct"/>
            <w:tcBorders>
              <w:right w:val="single" w:sz="8" w:space="0" w:color="auto"/>
            </w:tcBorders>
            <w:vAlign w:val="center"/>
          </w:tcPr>
          <w:p w14:paraId="57F09A98"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18.00</w:t>
            </w:r>
          </w:p>
        </w:tc>
        <w:tc>
          <w:tcPr>
            <w:tcW w:w="579" w:type="pct"/>
            <w:tcBorders>
              <w:left w:val="single" w:sz="8" w:space="0" w:color="auto"/>
            </w:tcBorders>
            <w:vAlign w:val="center"/>
          </w:tcPr>
          <w:p w14:paraId="4467A6D7"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14.29</w:t>
            </w:r>
          </w:p>
        </w:tc>
        <w:tc>
          <w:tcPr>
            <w:tcW w:w="579" w:type="pct"/>
            <w:vAlign w:val="center"/>
          </w:tcPr>
          <w:p w14:paraId="577855FA"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14.22</w:t>
            </w:r>
          </w:p>
        </w:tc>
        <w:tc>
          <w:tcPr>
            <w:tcW w:w="579" w:type="pct"/>
            <w:vAlign w:val="center"/>
          </w:tcPr>
          <w:p w14:paraId="3E8749C9"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15.71</w:t>
            </w:r>
          </w:p>
        </w:tc>
      </w:tr>
      <w:tr w:rsidR="00A861A4" w:rsidRPr="004B6E39" w14:paraId="70281F22" w14:textId="77777777" w:rsidTr="00532C3A">
        <w:trPr>
          <w:trHeight w:val="100"/>
        </w:trPr>
        <w:tc>
          <w:tcPr>
            <w:tcW w:w="943" w:type="pct"/>
            <w:tcBorders>
              <w:right w:val="single" w:sz="18" w:space="0" w:color="auto"/>
            </w:tcBorders>
            <w:shd w:val="clear" w:color="auto" w:fill="auto"/>
            <w:noWrap/>
            <w:vAlign w:val="center"/>
          </w:tcPr>
          <w:p w14:paraId="4C4C805C"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Bachelor's degree</w:t>
            </w:r>
          </w:p>
        </w:tc>
        <w:tc>
          <w:tcPr>
            <w:tcW w:w="581" w:type="pct"/>
            <w:tcBorders>
              <w:left w:val="single" w:sz="18" w:space="0" w:color="auto"/>
              <w:right w:val="single" w:sz="18" w:space="0" w:color="auto"/>
            </w:tcBorders>
            <w:shd w:val="clear" w:color="auto" w:fill="auto"/>
            <w:noWrap/>
            <w:vAlign w:val="center"/>
          </w:tcPr>
          <w:p w14:paraId="2DE51D31"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29.39</w:t>
            </w:r>
          </w:p>
        </w:tc>
        <w:tc>
          <w:tcPr>
            <w:tcW w:w="581" w:type="pct"/>
            <w:tcBorders>
              <w:left w:val="single" w:sz="18" w:space="0" w:color="auto"/>
            </w:tcBorders>
            <w:vAlign w:val="center"/>
          </w:tcPr>
          <w:p w14:paraId="499DBD7D"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29.70</w:t>
            </w:r>
          </w:p>
        </w:tc>
        <w:tc>
          <w:tcPr>
            <w:tcW w:w="581" w:type="pct"/>
            <w:vAlign w:val="center"/>
          </w:tcPr>
          <w:p w14:paraId="437B3256"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21.21</w:t>
            </w:r>
          </w:p>
        </w:tc>
        <w:tc>
          <w:tcPr>
            <w:tcW w:w="579" w:type="pct"/>
            <w:tcBorders>
              <w:right w:val="single" w:sz="8" w:space="0" w:color="auto"/>
            </w:tcBorders>
            <w:vAlign w:val="center"/>
          </w:tcPr>
          <w:p w14:paraId="6846E37C"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34.50</w:t>
            </w:r>
          </w:p>
        </w:tc>
        <w:tc>
          <w:tcPr>
            <w:tcW w:w="579" w:type="pct"/>
            <w:tcBorders>
              <w:left w:val="single" w:sz="8" w:space="0" w:color="auto"/>
            </w:tcBorders>
            <w:vAlign w:val="center"/>
          </w:tcPr>
          <w:p w14:paraId="0291E883"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33.67</w:t>
            </w:r>
          </w:p>
        </w:tc>
        <w:tc>
          <w:tcPr>
            <w:tcW w:w="579" w:type="pct"/>
            <w:vAlign w:val="center"/>
          </w:tcPr>
          <w:p w14:paraId="3291A29D"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27.45</w:t>
            </w:r>
          </w:p>
        </w:tc>
        <w:tc>
          <w:tcPr>
            <w:tcW w:w="579" w:type="pct"/>
            <w:vAlign w:val="center"/>
          </w:tcPr>
          <w:p w14:paraId="18181D48"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29.84</w:t>
            </w:r>
          </w:p>
        </w:tc>
      </w:tr>
      <w:tr w:rsidR="00A861A4" w:rsidRPr="004B6E39" w14:paraId="22E19E29" w14:textId="77777777" w:rsidTr="00532C3A">
        <w:trPr>
          <w:trHeight w:val="100"/>
        </w:trPr>
        <w:tc>
          <w:tcPr>
            <w:tcW w:w="943" w:type="pct"/>
            <w:tcBorders>
              <w:right w:val="single" w:sz="18" w:space="0" w:color="auto"/>
            </w:tcBorders>
            <w:shd w:val="clear" w:color="auto" w:fill="auto"/>
            <w:noWrap/>
            <w:vAlign w:val="center"/>
          </w:tcPr>
          <w:p w14:paraId="4E3F3C3C"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    Graduate or Professional degree</w:t>
            </w:r>
          </w:p>
        </w:tc>
        <w:tc>
          <w:tcPr>
            <w:tcW w:w="581" w:type="pct"/>
            <w:tcBorders>
              <w:left w:val="single" w:sz="18" w:space="0" w:color="auto"/>
              <w:right w:val="single" w:sz="18" w:space="0" w:color="auto"/>
            </w:tcBorders>
            <w:shd w:val="clear" w:color="auto" w:fill="auto"/>
            <w:noWrap/>
            <w:vAlign w:val="center"/>
          </w:tcPr>
          <w:p w14:paraId="6AF69E63" w14:textId="77777777" w:rsidR="00A861A4" w:rsidRPr="004B6E39" w:rsidRDefault="00A861A4" w:rsidP="003E0FF6">
            <w:pPr>
              <w:spacing w:before="40" w:after="40" w:line="276" w:lineRule="auto"/>
              <w:jc w:val="center"/>
              <w:rPr>
                <w:rFonts w:ascii="Times New Roman" w:eastAsia="Calibri" w:hAnsi="Times New Roman"/>
                <w:sz w:val="20"/>
                <w:szCs w:val="20"/>
              </w:rPr>
            </w:pPr>
            <w:r w:rsidRPr="004B6E39">
              <w:rPr>
                <w:rFonts w:ascii="Times New Roman" w:eastAsia="Calibri" w:hAnsi="Times New Roman"/>
                <w:sz w:val="20"/>
                <w:szCs w:val="20"/>
              </w:rPr>
              <w:t>14.95</w:t>
            </w:r>
          </w:p>
        </w:tc>
        <w:tc>
          <w:tcPr>
            <w:tcW w:w="581" w:type="pct"/>
            <w:tcBorders>
              <w:left w:val="single" w:sz="18" w:space="0" w:color="auto"/>
            </w:tcBorders>
            <w:vAlign w:val="center"/>
          </w:tcPr>
          <w:p w14:paraId="12273EF1"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15.35</w:t>
            </w:r>
          </w:p>
        </w:tc>
        <w:tc>
          <w:tcPr>
            <w:tcW w:w="581" w:type="pct"/>
            <w:vAlign w:val="center"/>
          </w:tcPr>
          <w:p w14:paraId="06A66A83"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13.13</w:t>
            </w:r>
          </w:p>
        </w:tc>
        <w:tc>
          <w:tcPr>
            <w:tcW w:w="579" w:type="pct"/>
            <w:tcBorders>
              <w:right w:val="single" w:sz="8" w:space="0" w:color="auto"/>
            </w:tcBorders>
            <w:vAlign w:val="center"/>
          </w:tcPr>
          <w:p w14:paraId="3950D797"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16.50</w:t>
            </w:r>
          </w:p>
        </w:tc>
        <w:tc>
          <w:tcPr>
            <w:tcW w:w="579" w:type="pct"/>
            <w:tcBorders>
              <w:left w:val="single" w:sz="8" w:space="0" w:color="auto"/>
            </w:tcBorders>
            <w:vAlign w:val="center"/>
          </w:tcPr>
          <w:p w14:paraId="6D6B97F1"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13.27</w:t>
            </w:r>
          </w:p>
        </w:tc>
        <w:tc>
          <w:tcPr>
            <w:tcW w:w="579" w:type="pct"/>
            <w:vAlign w:val="center"/>
          </w:tcPr>
          <w:p w14:paraId="53B0DB75"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17.65</w:t>
            </w:r>
          </w:p>
        </w:tc>
        <w:tc>
          <w:tcPr>
            <w:tcW w:w="579" w:type="pct"/>
            <w:vAlign w:val="center"/>
          </w:tcPr>
          <w:p w14:paraId="42DFE85A"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13.61</w:t>
            </w:r>
          </w:p>
        </w:tc>
      </w:tr>
      <w:tr w:rsidR="00A861A4" w:rsidRPr="004B6E39" w14:paraId="30C21732" w14:textId="77777777" w:rsidTr="00532C3A">
        <w:trPr>
          <w:trHeight w:val="264"/>
        </w:trPr>
        <w:tc>
          <w:tcPr>
            <w:tcW w:w="943" w:type="pct"/>
            <w:tcBorders>
              <w:right w:val="single" w:sz="18" w:space="0" w:color="auto"/>
            </w:tcBorders>
            <w:shd w:val="clear" w:color="auto" w:fill="auto"/>
            <w:noWrap/>
            <w:vAlign w:val="center"/>
          </w:tcPr>
          <w:p w14:paraId="447D6017" w14:textId="77777777" w:rsidR="00A861A4" w:rsidRPr="004B6E39" w:rsidRDefault="00A861A4" w:rsidP="003E0FF6">
            <w:pPr>
              <w:spacing w:before="40" w:after="40" w:line="276" w:lineRule="auto"/>
              <w:rPr>
                <w:rFonts w:ascii="Times New Roman" w:eastAsia="Calibri" w:hAnsi="Times New Roman"/>
                <w:sz w:val="20"/>
                <w:szCs w:val="20"/>
              </w:rPr>
            </w:pPr>
            <w:r w:rsidRPr="004B6E39">
              <w:rPr>
                <w:rFonts w:ascii="Times New Roman" w:eastAsia="Calibri" w:hAnsi="Times New Roman"/>
                <w:sz w:val="20"/>
                <w:szCs w:val="20"/>
              </w:rPr>
              <w:t xml:space="preserve">Political views, </w:t>
            </w:r>
            <w:r w:rsidRPr="004B6E39">
              <w:rPr>
                <w:rFonts w:ascii="Times New Roman" w:eastAsia="Calibri" w:hAnsi="Times New Roman"/>
                <w:i/>
                <w:sz w:val="20"/>
                <w:szCs w:val="20"/>
              </w:rPr>
              <w:t>M</w:t>
            </w:r>
            <w:r>
              <w:rPr>
                <w:rFonts w:ascii="Times New Roman" w:eastAsia="Calibri" w:hAnsi="Times New Roman"/>
                <w:i/>
                <w:sz w:val="20"/>
                <w:szCs w:val="20"/>
              </w:rPr>
              <w:t>ean</w:t>
            </w:r>
            <w:r w:rsidRPr="004B6E39">
              <w:rPr>
                <w:rFonts w:ascii="Times New Roman" w:eastAsia="Calibri" w:hAnsi="Times New Roman"/>
                <w:sz w:val="20"/>
                <w:szCs w:val="20"/>
              </w:rPr>
              <w:t xml:space="preserve"> (</w:t>
            </w:r>
            <w:r w:rsidRPr="004B6E39">
              <w:rPr>
                <w:rFonts w:ascii="Times New Roman" w:eastAsia="Calibri" w:hAnsi="Times New Roman"/>
                <w:i/>
                <w:sz w:val="20"/>
                <w:szCs w:val="20"/>
              </w:rPr>
              <w:t>SD</w:t>
            </w:r>
            <w:r w:rsidRPr="004B6E39">
              <w:rPr>
                <w:rFonts w:ascii="Times New Roman" w:eastAsia="Calibri" w:hAnsi="Times New Roman"/>
                <w:sz w:val="20"/>
                <w:szCs w:val="20"/>
              </w:rPr>
              <w:t>)</w:t>
            </w:r>
            <w:r>
              <w:rPr>
                <w:rFonts w:ascii="Times New Roman" w:eastAsia="Calibri" w:hAnsi="Times New Roman"/>
                <w:sz w:val="20"/>
                <w:szCs w:val="20"/>
              </w:rPr>
              <w:t>*</w:t>
            </w:r>
          </w:p>
        </w:tc>
        <w:tc>
          <w:tcPr>
            <w:tcW w:w="581" w:type="pct"/>
            <w:tcBorders>
              <w:left w:val="single" w:sz="18" w:space="0" w:color="auto"/>
              <w:right w:val="single" w:sz="18" w:space="0" w:color="auto"/>
            </w:tcBorders>
            <w:shd w:val="clear" w:color="auto" w:fill="auto"/>
            <w:noWrap/>
            <w:vAlign w:val="center"/>
          </w:tcPr>
          <w:p w14:paraId="18DC19FD" w14:textId="77777777" w:rsidR="00A861A4" w:rsidRPr="004B6E39" w:rsidRDefault="00A861A4" w:rsidP="003E0FF6">
            <w:pPr>
              <w:spacing w:before="40" w:after="40" w:line="276" w:lineRule="auto"/>
              <w:jc w:val="center"/>
              <w:rPr>
                <w:rFonts w:ascii="Times New Roman" w:eastAsia="Calibri" w:hAnsi="Times New Roman"/>
                <w:sz w:val="20"/>
                <w:szCs w:val="20"/>
                <w:highlight w:val="yellow"/>
              </w:rPr>
            </w:pPr>
            <w:r w:rsidRPr="004B6E39">
              <w:rPr>
                <w:rFonts w:ascii="Times New Roman" w:eastAsia="Calibri" w:hAnsi="Times New Roman"/>
                <w:sz w:val="20"/>
                <w:szCs w:val="20"/>
              </w:rPr>
              <w:t>3.99 (1.62)</w:t>
            </w:r>
          </w:p>
        </w:tc>
        <w:tc>
          <w:tcPr>
            <w:tcW w:w="581" w:type="pct"/>
            <w:tcBorders>
              <w:left w:val="single" w:sz="18" w:space="0" w:color="auto"/>
            </w:tcBorders>
            <w:vAlign w:val="center"/>
          </w:tcPr>
          <w:p w14:paraId="4EDDCB43"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3.88 (1.62)</w:t>
            </w:r>
          </w:p>
        </w:tc>
        <w:tc>
          <w:tcPr>
            <w:tcW w:w="581" w:type="pct"/>
            <w:vAlign w:val="center"/>
          </w:tcPr>
          <w:p w14:paraId="2DCBA6B4"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4.11 (1.69)</w:t>
            </w:r>
          </w:p>
        </w:tc>
        <w:tc>
          <w:tcPr>
            <w:tcW w:w="579" w:type="pct"/>
            <w:tcBorders>
              <w:right w:val="single" w:sz="8" w:space="0" w:color="auto"/>
            </w:tcBorders>
            <w:vAlign w:val="center"/>
          </w:tcPr>
          <w:p w14:paraId="78C7074D"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4.06 (1.63)</w:t>
            </w:r>
          </w:p>
        </w:tc>
        <w:tc>
          <w:tcPr>
            <w:tcW w:w="579" w:type="pct"/>
            <w:tcBorders>
              <w:left w:val="single" w:sz="8" w:space="0" w:color="auto"/>
            </w:tcBorders>
            <w:vAlign w:val="center"/>
          </w:tcPr>
          <w:p w14:paraId="067012DB"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3.87 (1.65)</w:t>
            </w:r>
          </w:p>
        </w:tc>
        <w:tc>
          <w:tcPr>
            <w:tcW w:w="579" w:type="pct"/>
            <w:vAlign w:val="center"/>
          </w:tcPr>
          <w:p w14:paraId="14901508"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4.01 (1.56)</w:t>
            </w:r>
          </w:p>
        </w:tc>
        <w:tc>
          <w:tcPr>
            <w:tcW w:w="579" w:type="pct"/>
            <w:vAlign w:val="center"/>
          </w:tcPr>
          <w:p w14:paraId="76839398" w14:textId="77777777" w:rsidR="00A861A4" w:rsidRPr="004B6E39"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3.98 (1.60)</w:t>
            </w:r>
          </w:p>
        </w:tc>
      </w:tr>
      <w:tr w:rsidR="00A861A4" w:rsidRPr="004B6E39" w14:paraId="505669D5" w14:textId="77777777" w:rsidTr="00532C3A">
        <w:trPr>
          <w:trHeight w:val="264"/>
        </w:trPr>
        <w:tc>
          <w:tcPr>
            <w:tcW w:w="943" w:type="pct"/>
            <w:tcBorders>
              <w:bottom w:val="single" w:sz="18" w:space="0" w:color="auto"/>
              <w:right w:val="single" w:sz="18" w:space="0" w:color="auto"/>
            </w:tcBorders>
            <w:shd w:val="clear" w:color="auto" w:fill="auto"/>
            <w:noWrap/>
            <w:vAlign w:val="center"/>
          </w:tcPr>
          <w:p w14:paraId="21009F13" w14:textId="77777777" w:rsidR="00A861A4" w:rsidRPr="004B6E39" w:rsidRDefault="00A861A4" w:rsidP="003E0FF6">
            <w:pPr>
              <w:spacing w:before="40" w:after="40" w:line="276" w:lineRule="auto"/>
              <w:rPr>
                <w:rFonts w:ascii="Times New Roman" w:eastAsia="Calibri" w:hAnsi="Times New Roman"/>
                <w:sz w:val="20"/>
                <w:szCs w:val="20"/>
              </w:rPr>
            </w:pPr>
            <w:r>
              <w:rPr>
                <w:rFonts w:ascii="Times New Roman" w:eastAsia="Calibri" w:hAnsi="Times New Roman"/>
                <w:sz w:val="20"/>
                <w:szCs w:val="20"/>
              </w:rPr>
              <w:t xml:space="preserve">Numeracy, </w:t>
            </w:r>
            <w:r w:rsidRPr="00F9528F">
              <w:rPr>
                <w:rFonts w:ascii="Times New Roman" w:eastAsia="Calibri" w:hAnsi="Times New Roman"/>
                <w:i/>
                <w:sz w:val="20"/>
                <w:szCs w:val="20"/>
              </w:rPr>
              <w:t>M</w:t>
            </w:r>
            <w:r>
              <w:rPr>
                <w:rFonts w:ascii="Times New Roman" w:eastAsia="Calibri" w:hAnsi="Times New Roman"/>
                <w:i/>
                <w:sz w:val="20"/>
                <w:szCs w:val="20"/>
              </w:rPr>
              <w:t>ean</w:t>
            </w:r>
            <w:r w:rsidRPr="00F9528F">
              <w:rPr>
                <w:rFonts w:ascii="Times New Roman" w:eastAsia="Calibri" w:hAnsi="Times New Roman"/>
                <w:i/>
                <w:sz w:val="20"/>
                <w:szCs w:val="20"/>
              </w:rPr>
              <w:t xml:space="preserve"> (SD)</w:t>
            </w:r>
            <w:r w:rsidRPr="00F9528F">
              <w:rPr>
                <w:rFonts w:ascii="Times New Roman" w:eastAsia="Calibri" w:hAnsi="Times New Roman"/>
                <w:i/>
                <w:sz w:val="20"/>
                <w:szCs w:val="20"/>
                <w:vertAlign w:val="superscript"/>
              </w:rPr>
              <w:t>+</w:t>
            </w:r>
          </w:p>
        </w:tc>
        <w:tc>
          <w:tcPr>
            <w:tcW w:w="581" w:type="pct"/>
            <w:tcBorders>
              <w:left w:val="single" w:sz="18" w:space="0" w:color="auto"/>
              <w:bottom w:val="single" w:sz="18" w:space="0" w:color="auto"/>
              <w:right w:val="single" w:sz="18" w:space="0" w:color="auto"/>
            </w:tcBorders>
            <w:shd w:val="clear" w:color="auto" w:fill="auto"/>
            <w:noWrap/>
            <w:vAlign w:val="center"/>
          </w:tcPr>
          <w:p w14:paraId="2FE36170" w14:textId="77777777" w:rsidR="00A861A4" w:rsidRPr="004B6E39" w:rsidRDefault="00A861A4" w:rsidP="003E0FF6">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4.34 (1.76)</w:t>
            </w:r>
          </w:p>
        </w:tc>
        <w:tc>
          <w:tcPr>
            <w:tcW w:w="581" w:type="pct"/>
            <w:tcBorders>
              <w:left w:val="single" w:sz="18" w:space="0" w:color="auto"/>
            </w:tcBorders>
            <w:vAlign w:val="center"/>
          </w:tcPr>
          <w:p w14:paraId="411DCEBE" w14:textId="77777777" w:rsidR="00A861A4"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4.35 (1.76)</w:t>
            </w:r>
          </w:p>
        </w:tc>
        <w:tc>
          <w:tcPr>
            <w:tcW w:w="581" w:type="pct"/>
            <w:vAlign w:val="center"/>
          </w:tcPr>
          <w:p w14:paraId="2F912CAF" w14:textId="77777777" w:rsidR="00A861A4"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4.18 (1.74)</w:t>
            </w:r>
          </w:p>
        </w:tc>
        <w:tc>
          <w:tcPr>
            <w:tcW w:w="579" w:type="pct"/>
            <w:tcBorders>
              <w:bottom w:val="single" w:sz="18" w:space="0" w:color="auto"/>
              <w:right w:val="single" w:sz="8" w:space="0" w:color="auto"/>
            </w:tcBorders>
            <w:vAlign w:val="center"/>
          </w:tcPr>
          <w:p w14:paraId="6F6C115C" w14:textId="77777777" w:rsidR="00A861A4"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4.36 (1.67)</w:t>
            </w:r>
          </w:p>
        </w:tc>
        <w:tc>
          <w:tcPr>
            <w:tcW w:w="579" w:type="pct"/>
            <w:tcBorders>
              <w:left w:val="single" w:sz="8" w:space="0" w:color="auto"/>
            </w:tcBorders>
            <w:vAlign w:val="center"/>
          </w:tcPr>
          <w:p w14:paraId="1FE2E3D2" w14:textId="77777777" w:rsidR="00A861A4"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4.34 (1.82)</w:t>
            </w:r>
          </w:p>
        </w:tc>
        <w:tc>
          <w:tcPr>
            <w:tcW w:w="579" w:type="pct"/>
            <w:vAlign w:val="center"/>
          </w:tcPr>
          <w:p w14:paraId="5E4AAA42" w14:textId="77777777" w:rsidR="00A861A4"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4.43 (1.78)</w:t>
            </w:r>
          </w:p>
        </w:tc>
        <w:tc>
          <w:tcPr>
            <w:tcW w:w="579" w:type="pct"/>
            <w:vAlign w:val="center"/>
          </w:tcPr>
          <w:p w14:paraId="71727DF1" w14:textId="77777777" w:rsidR="00A861A4" w:rsidRDefault="00A861A4" w:rsidP="00532C3A">
            <w:pPr>
              <w:spacing w:before="40" w:after="40" w:line="276" w:lineRule="auto"/>
              <w:jc w:val="center"/>
              <w:rPr>
                <w:rFonts w:ascii="Times New Roman" w:eastAsia="Calibri" w:hAnsi="Times New Roman"/>
                <w:sz w:val="20"/>
                <w:szCs w:val="20"/>
              </w:rPr>
            </w:pPr>
            <w:r>
              <w:rPr>
                <w:rFonts w:ascii="Times New Roman" w:eastAsia="Calibri" w:hAnsi="Times New Roman"/>
                <w:sz w:val="20"/>
                <w:szCs w:val="20"/>
              </w:rPr>
              <w:t>4.40 (1.80)</w:t>
            </w:r>
          </w:p>
        </w:tc>
      </w:tr>
    </w:tbl>
    <w:p w14:paraId="509AF940" w14:textId="7691608C" w:rsidR="00A861A4" w:rsidRDefault="00A861A4" w:rsidP="00C5758C">
      <w:pPr>
        <w:rPr>
          <w:rFonts w:ascii="Times New Roman" w:hAnsi="Times New Roman"/>
          <w:sz w:val="20"/>
        </w:rPr>
      </w:pPr>
      <w:r w:rsidRPr="004B6E39">
        <w:rPr>
          <w:rFonts w:ascii="Times New Roman" w:hAnsi="Times New Roman"/>
          <w:sz w:val="20"/>
        </w:rPr>
        <w:t xml:space="preserve">*Political views </w:t>
      </w:r>
      <w:r>
        <w:rPr>
          <w:rFonts w:ascii="Times New Roman" w:hAnsi="Times New Roman"/>
          <w:sz w:val="20"/>
        </w:rPr>
        <w:t xml:space="preserve">on 7-point scale </w:t>
      </w:r>
      <w:r w:rsidRPr="004B6E39">
        <w:rPr>
          <w:rFonts w:ascii="Times New Roman" w:hAnsi="Times New Roman"/>
          <w:sz w:val="20"/>
        </w:rPr>
        <w:t>on spectrum from</w:t>
      </w:r>
      <w:r w:rsidRPr="004B6E39">
        <w:rPr>
          <w:rFonts w:ascii="Times New Roman" w:hAnsi="Times New Roman"/>
        </w:rPr>
        <w:t xml:space="preserve"> </w:t>
      </w:r>
      <w:r w:rsidRPr="004B6E39">
        <w:rPr>
          <w:rFonts w:ascii="Times New Roman" w:hAnsi="Times New Roman"/>
          <w:sz w:val="20"/>
        </w:rPr>
        <w:t>very left wing (or liberal)</w:t>
      </w:r>
      <w:r>
        <w:rPr>
          <w:rFonts w:ascii="Times New Roman" w:hAnsi="Times New Roman"/>
          <w:sz w:val="20"/>
        </w:rPr>
        <w:t xml:space="preserve"> (1)</w:t>
      </w:r>
      <w:r w:rsidRPr="004B6E39">
        <w:rPr>
          <w:rFonts w:ascii="Times New Roman" w:hAnsi="Times New Roman"/>
          <w:sz w:val="20"/>
        </w:rPr>
        <w:t xml:space="preserve"> to very right wing (or conservative) </w:t>
      </w:r>
      <w:r>
        <w:rPr>
          <w:rFonts w:ascii="Times New Roman" w:hAnsi="Times New Roman"/>
          <w:sz w:val="20"/>
        </w:rPr>
        <w:t>(7)</w:t>
      </w:r>
      <w:r w:rsidR="00532C3A">
        <w:rPr>
          <w:rFonts w:ascii="Times New Roman" w:hAnsi="Times New Roman"/>
          <w:sz w:val="20"/>
        </w:rPr>
        <w:t>.</w:t>
      </w:r>
    </w:p>
    <w:p w14:paraId="4E73E009" w14:textId="39BE4051" w:rsidR="00FF467A" w:rsidRPr="00B05509" w:rsidRDefault="00C123D3" w:rsidP="00532C3A">
      <w:pPr>
        <w:rPr>
          <w:rFonts w:ascii="Times New Roman" w:hAnsi="Times New Roman"/>
          <w:u w:val="single"/>
        </w:rPr>
      </w:pPr>
      <w:r w:rsidRPr="00F9528F">
        <w:rPr>
          <w:rFonts w:ascii="Times New Roman" w:hAnsi="Times New Roman"/>
          <w:sz w:val="20"/>
          <w:szCs w:val="20"/>
          <w:vertAlign w:val="superscript"/>
        </w:rPr>
        <w:t>+</w:t>
      </w:r>
      <w:r w:rsidRPr="00F9528F">
        <w:rPr>
          <w:sz w:val="20"/>
          <w:szCs w:val="20"/>
        </w:rPr>
        <w:t xml:space="preserve"> </w:t>
      </w:r>
      <w:r w:rsidRPr="00F9528F">
        <w:rPr>
          <w:rFonts w:ascii="Times New Roman" w:hAnsi="Times New Roman"/>
          <w:sz w:val="20"/>
          <w:szCs w:val="20"/>
        </w:rPr>
        <w:t xml:space="preserve">Numeracy was measured using the sum of the scores of a combination of items (see supplementary information file for more details). The final 8-point scale ranges from low numeracy </w:t>
      </w:r>
      <w:r>
        <w:rPr>
          <w:rFonts w:ascii="Times New Roman" w:hAnsi="Times New Roman"/>
          <w:sz w:val="20"/>
          <w:szCs w:val="20"/>
        </w:rPr>
        <w:t xml:space="preserve">(1) </w:t>
      </w:r>
      <w:r w:rsidRPr="00F9528F">
        <w:rPr>
          <w:rFonts w:ascii="Times New Roman" w:hAnsi="Times New Roman"/>
          <w:sz w:val="20"/>
          <w:szCs w:val="20"/>
        </w:rPr>
        <w:t>to high numeracy</w:t>
      </w:r>
      <w:r>
        <w:rPr>
          <w:rFonts w:ascii="Times New Roman" w:hAnsi="Times New Roman"/>
          <w:sz w:val="20"/>
          <w:szCs w:val="20"/>
        </w:rPr>
        <w:t xml:space="preserve"> (8)</w:t>
      </w:r>
      <w:r w:rsidRPr="00F9528F">
        <w:rPr>
          <w:rFonts w:ascii="Times New Roman" w:hAnsi="Times New Roman"/>
          <w:sz w:val="20"/>
          <w:szCs w:val="20"/>
        </w:rPr>
        <w:t>.</w:t>
      </w:r>
    </w:p>
    <w:p w14:paraId="348BFCFC" w14:textId="77777777" w:rsidR="00532C3A" w:rsidRDefault="00532C3A" w:rsidP="007C3BBA">
      <w:pPr>
        <w:spacing w:line="480" w:lineRule="auto"/>
        <w:rPr>
          <w:rFonts w:ascii="Times New Roman" w:hAnsi="Times New Roman"/>
        </w:rPr>
      </w:pPr>
    </w:p>
    <w:p w14:paraId="27241491" w14:textId="62D61AA6" w:rsidR="00FF467A" w:rsidRDefault="00CC4EC5" w:rsidP="007C3BBA">
      <w:pPr>
        <w:spacing w:line="480" w:lineRule="auto"/>
        <w:rPr>
          <w:rFonts w:ascii="Times New Roman" w:hAnsi="Times New Roman"/>
        </w:rPr>
      </w:pPr>
      <w:r w:rsidRPr="00B05509">
        <w:rPr>
          <w:rFonts w:ascii="Times New Roman" w:hAnsi="Times New Roman"/>
        </w:rPr>
        <w:t xml:space="preserve">Two-way analysis of variance </w:t>
      </w:r>
      <w:r w:rsidR="003C4EB5" w:rsidRPr="00B05509">
        <w:rPr>
          <w:rFonts w:ascii="Times New Roman" w:hAnsi="Times New Roman"/>
        </w:rPr>
        <w:t>using Tukey HSD</w:t>
      </w:r>
      <w:r w:rsidR="007714A3" w:rsidRPr="00B05509">
        <w:rPr>
          <w:rFonts w:ascii="Times New Roman" w:hAnsi="Times New Roman"/>
        </w:rPr>
        <w:t xml:space="preserve"> </w:t>
      </w:r>
      <w:r w:rsidR="003C4EB5" w:rsidRPr="00B05509">
        <w:rPr>
          <w:rFonts w:ascii="Times New Roman" w:hAnsi="Times New Roman"/>
        </w:rPr>
        <w:t xml:space="preserve">revealed a main effect of quality of evidence level </w:t>
      </w:r>
      <w:r w:rsidR="00801DD2" w:rsidRPr="00B05509">
        <w:rPr>
          <w:rFonts w:ascii="Times New Roman" w:hAnsi="Times New Roman"/>
        </w:rPr>
        <w:t>on perceived trustworthiness of the information</w:t>
      </w:r>
      <w:r w:rsidR="00FA24FC">
        <w:rPr>
          <w:rFonts w:ascii="Times New Roman" w:hAnsi="Times New Roman"/>
        </w:rPr>
        <w:t xml:space="preserve"> and perceived effectiveness of eye protection (Table </w:t>
      </w:r>
      <w:r w:rsidR="00A861A4">
        <w:rPr>
          <w:rFonts w:ascii="Times New Roman" w:hAnsi="Times New Roman"/>
        </w:rPr>
        <w:t>7</w:t>
      </w:r>
      <w:r w:rsidR="00FA24FC">
        <w:rPr>
          <w:rFonts w:ascii="Times New Roman" w:hAnsi="Times New Roman"/>
        </w:rPr>
        <w:t>)</w:t>
      </w:r>
      <w:r w:rsidR="003C4EB5" w:rsidRPr="00B05509">
        <w:rPr>
          <w:rFonts w:ascii="Times New Roman" w:hAnsi="Times New Roman"/>
        </w:rPr>
        <w:t xml:space="preserve">, such that participants in the </w:t>
      </w:r>
      <w:r w:rsidR="00997B9A">
        <w:rPr>
          <w:rFonts w:ascii="Times New Roman" w:hAnsi="Times New Roman"/>
        </w:rPr>
        <w:t>‘</w:t>
      </w:r>
      <w:r w:rsidR="003C4EB5" w:rsidRPr="00B05509">
        <w:rPr>
          <w:rFonts w:ascii="Times New Roman" w:hAnsi="Times New Roman"/>
        </w:rPr>
        <w:t>low quality of evidence</w:t>
      </w:r>
      <w:r w:rsidR="00997B9A">
        <w:rPr>
          <w:rFonts w:ascii="Times New Roman" w:hAnsi="Times New Roman"/>
        </w:rPr>
        <w:t>’ infographic</w:t>
      </w:r>
      <w:r w:rsidR="003C4EB5" w:rsidRPr="00B05509">
        <w:rPr>
          <w:rFonts w:ascii="Times New Roman" w:hAnsi="Times New Roman"/>
        </w:rPr>
        <w:t xml:space="preserve"> group indicated </w:t>
      </w:r>
      <w:r w:rsidR="00CF0A8D">
        <w:rPr>
          <w:rFonts w:ascii="Times New Roman" w:hAnsi="Times New Roman"/>
        </w:rPr>
        <w:t>statistically</w:t>
      </w:r>
      <w:r w:rsidR="00CF0A8D" w:rsidRPr="00CF0A8D">
        <w:rPr>
          <w:rFonts w:ascii="Times New Roman" w:hAnsi="Times New Roman"/>
        </w:rPr>
        <w:t xml:space="preserve"> </w:t>
      </w:r>
      <w:r w:rsidR="003C4EB5" w:rsidRPr="00B05509">
        <w:rPr>
          <w:rFonts w:ascii="Times New Roman" w:hAnsi="Times New Roman"/>
        </w:rPr>
        <w:t xml:space="preserve">significantly lower levels of perceived trustworthiness </w:t>
      </w:r>
      <w:r w:rsidR="00FA24FC">
        <w:rPr>
          <w:rFonts w:ascii="Times New Roman" w:hAnsi="Times New Roman"/>
        </w:rPr>
        <w:t xml:space="preserve">and </w:t>
      </w:r>
      <w:r w:rsidR="00FA24FC">
        <w:rPr>
          <w:rFonts w:ascii="Times New Roman" w:hAnsi="Times New Roman"/>
        </w:rPr>
        <w:lastRenderedPageBreak/>
        <w:t xml:space="preserve">effectiveness </w:t>
      </w:r>
      <w:r w:rsidR="003C4EB5" w:rsidRPr="00B05509">
        <w:rPr>
          <w:rFonts w:ascii="Times New Roman" w:hAnsi="Times New Roman"/>
        </w:rPr>
        <w:t>compared to</w:t>
      </w:r>
      <w:r w:rsidR="00134304" w:rsidRPr="00B05509">
        <w:rPr>
          <w:rFonts w:ascii="Times New Roman" w:hAnsi="Times New Roman"/>
        </w:rPr>
        <w:t xml:space="preserve"> participants in</w:t>
      </w:r>
      <w:r w:rsidR="003C4EB5" w:rsidRPr="00B05509">
        <w:rPr>
          <w:rFonts w:ascii="Times New Roman" w:hAnsi="Times New Roman"/>
        </w:rPr>
        <w:t xml:space="preserve"> the group that did not present quality of evidence information at all, as well as compared to</w:t>
      </w:r>
      <w:r w:rsidR="00134304" w:rsidRPr="00B05509">
        <w:rPr>
          <w:rFonts w:ascii="Times New Roman" w:hAnsi="Times New Roman"/>
        </w:rPr>
        <w:t xml:space="preserve"> those in</w:t>
      </w:r>
      <w:r w:rsidR="003C4EB5" w:rsidRPr="00B05509">
        <w:rPr>
          <w:rFonts w:ascii="Times New Roman" w:hAnsi="Times New Roman"/>
        </w:rPr>
        <w:t xml:space="preserve"> the </w:t>
      </w:r>
      <w:r w:rsidR="00997B9A">
        <w:rPr>
          <w:rFonts w:ascii="Times New Roman" w:hAnsi="Times New Roman"/>
        </w:rPr>
        <w:t>‘</w:t>
      </w:r>
      <w:r w:rsidR="003C4EB5" w:rsidRPr="00B05509">
        <w:rPr>
          <w:rFonts w:ascii="Times New Roman" w:hAnsi="Times New Roman"/>
        </w:rPr>
        <w:t>high quality of evidence</w:t>
      </w:r>
      <w:r w:rsidR="00997B9A">
        <w:rPr>
          <w:rFonts w:ascii="Times New Roman" w:hAnsi="Times New Roman"/>
        </w:rPr>
        <w:t>’</w:t>
      </w:r>
      <w:r w:rsidR="003C4EB5" w:rsidRPr="00B05509">
        <w:rPr>
          <w:rFonts w:ascii="Times New Roman" w:hAnsi="Times New Roman"/>
        </w:rPr>
        <w:t xml:space="preserve"> group. </w:t>
      </w:r>
      <w:r w:rsidR="00134304" w:rsidRPr="00B05509">
        <w:rPr>
          <w:rFonts w:ascii="Times New Roman" w:hAnsi="Times New Roman"/>
        </w:rPr>
        <w:t>Participants in t</w:t>
      </w:r>
      <w:r w:rsidR="003C4EB5" w:rsidRPr="00B05509">
        <w:rPr>
          <w:rFonts w:ascii="Times New Roman" w:hAnsi="Times New Roman"/>
        </w:rPr>
        <w:t xml:space="preserve">he </w:t>
      </w:r>
      <w:r w:rsidR="00997B9A">
        <w:rPr>
          <w:rFonts w:ascii="Times New Roman" w:hAnsi="Times New Roman"/>
        </w:rPr>
        <w:t>‘</w:t>
      </w:r>
      <w:r w:rsidR="003C4EB5" w:rsidRPr="00B05509">
        <w:rPr>
          <w:rFonts w:ascii="Times New Roman" w:hAnsi="Times New Roman"/>
        </w:rPr>
        <w:t>high quality of evidence</w:t>
      </w:r>
      <w:r w:rsidR="00997B9A">
        <w:rPr>
          <w:rFonts w:ascii="Times New Roman" w:hAnsi="Times New Roman"/>
        </w:rPr>
        <w:t>’ infographic</w:t>
      </w:r>
      <w:r w:rsidR="003C4EB5" w:rsidRPr="00B05509">
        <w:rPr>
          <w:rFonts w:ascii="Times New Roman" w:hAnsi="Times New Roman"/>
        </w:rPr>
        <w:t xml:space="preserve"> group </w:t>
      </w:r>
      <w:r w:rsidR="00134304" w:rsidRPr="00B05509">
        <w:rPr>
          <w:rFonts w:ascii="Times New Roman" w:hAnsi="Times New Roman"/>
        </w:rPr>
        <w:t xml:space="preserve">did not </w:t>
      </w:r>
      <w:r w:rsidR="00CF0A8D">
        <w:rPr>
          <w:rFonts w:ascii="Times New Roman" w:hAnsi="Times New Roman"/>
        </w:rPr>
        <w:t>statistically</w:t>
      </w:r>
      <w:r w:rsidR="00CF0A8D" w:rsidRPr="00CF0A8D">
        <w:rPr>
          <w:rFonts w:ascii="Times New Roman" w:hAnsi="Times New Roman"/>
        </w:rPr>
        <w:t xml:space="preserve"> </w:t>
      </w:r>
      <w:r w:rsidR="003C4EB5" w:rsidRPr="00B05509">
        <w:rPr>
          <w:rFonts w:ascii="Times New Roman" w:hAnsi="Times New Roman"/>
        </w:rPr>
        <w:t>significantly differ</w:t>
      </w:r>
      <w:r w:rsidR="00134304" w:rsidRPr="00B05509">
        <w:rPr>
          <w:rFonts w:ascii="Times New Roman" w:hAnsi="Times New Roman"/>
        </w:rPr>
        <w:t xml:space="preserve"> in their trust</w:t>
      </w:r>
      <w:r w:rsidR="00FA24FC">
        <w:rPr>
          <w:rFonts w:ascii="Times New Roman" w:hAnsi="Times New Roman"/>
        </w:rPr>
        <w:t xml:space="preserve"> or effectiveness perception</w:t>
      </w:r>
      <w:r w:rsidR="003C4EB5" w:rsidRPr="00B05509">
        <w:rPr>
          <w:rFonts w:ascii="Times New Roman" w:hAnsi="Times New Roman"/>
        </w:rPr>
        <w:t xml:space="preserve"> from </w:t>
      </w:r>
      <w:r w:rsidR="00134304" w:rsidRPr="00B05509">
        <w:rPr>
          <w:rFonts w:ascii="Times New Roman" w:hAnsi="Times New Roman"/>
        </w:rPr>
        <w:t>those in the group that did not receive quality of evidence information</w:t>
      </w:r>
      <w:r w:rsidR="00A861A4">
        <w:rPr>
          <w:rFonts w:ascii="Times New Roman" w:hAnsi="Times New Roman"/>
        </w:rPr>
        <w:t xml:space="preserve"> (Table 8 </w:t>
      </w:r>
      <w:r w:rsidR="00FA24FC">
        <w:rPr>
          <w:rFonts w:ascii="Times New Roman" w:hAnsi="Times New Roman"/>
        </w:rPr>
        <w:t>and Fig 4)</w:t>
      </w:r>
      <w:r w:rsidR="003C4EB5" w:rsidRPr="00B05509">
        <w:rPr>
          <w:rFonts w:ascii="Times New Roman" w:hAnsi="Times New Roman"/>
        </w:rPr>
        <w:t xml:space="preserve">. </w:t>
      </w:r>
    </w:p>
    <w:p w14:paraId="556E6DDF" w14:textId="5F9DC15D" w:rsidR="003569AC" w:rsidRPr="00B05509" w:rsidRDefault="00FA24FC" w:rsidP="007C3BBA">
      <w:pPr>
        <w:spacing w:line="480" w:lineRule="auto"/>
        <w:rPr>
          <w:rFonts w:ascii="Times New Roman" w:hAnsi="Times New Roman"/>
        </w:rPr>
      </w:pPr>
      <w:r w:rsidRPr="0080700C">
        <w:rPr>
          <w:rFonts w:ascii="Times New Roman" w:hAnsi="Times New Roman"/>
        </w:rPr>
        <w:t xml:space="preserve">No </w:t>
      </w:r>
      <w:r>
        <w:rPr>
          <w:rFonts w:ascii="Times New Roman" w:hAnsi="Times New Roman"/>
        </w:rPr>
        <w:t>statistically</w:t>
      </w:r>
      <w:r w:rsidRPr="00CF0A8D">
        <w:rPr>
          <w:rFonts w:ascii="Times New Roman" w:hAnsi="Times New Roman"/>
        </w:rPr>
        <w:t xml:space="preserve"> </w:t>
      </w:r>
      <w:r w:rsidRPr="0080700C">
        <w:rPr>
          <w:rFonts w:ascii="Times New Roman" w:hAnsi="Times New Roman"/>
        </w:rPr>
        <w:t xml:space="preserve">significant effects </w:t>
      </w:r>
      <w:r>
        <w:rPr>
          <w:rFonts w:ascii="Times New Roman" w:hAnsi="Times New Roman"/>
        </w:rPr>
        <w:t xml:space="preserve">of quality of evidence level </w:t>
      </w:r>
      <w:r w:rsidRPr="0080700C">
        <w:rPr>
          <w:rFonts w:ascii="Times New Roman" w:hAnsi="Times New Roman"/>
        </w:rPr>
        <w:t>emerged for the behavioural uptake measure</w:t>
      </w:r>
      <w:r w:rsidR="00A861A4">
        <w:rPr>
          <w:rFonts w:ascii="Times New Roman" w:hAnsi="Times New Roman"/>
        </w:rPr>
        <w:t xml:space="preserve"> (Table 7).</w:t>
      </w:r>
    </w:p>
    <w:p w14:paraId="56A87BD1" w14:textId="336E8284" w:rsidR="003C4EB5" w:rsidRDefault="003C4EB5" w:rsidP="007C3BBA">
      <w:pPr>
        <w:spacing w:line="480" w:lineRule="auto"/>
        <w:rPr>
          <w:rFonts w:ascii="Times New Roman" w:hAnsi="Times New Roman"/>
        </w:rPr>
      </w:pPr>
      <w:r w:rsidRPr="00B05509">
        <w:rPr>
          <w:rFonts w:ascii="Times New Roman" w:hAnsi="Times New Roman"/>
        </w:rPr>
        <w:t xml:space="preserve">No main effect of </w:t>
      </w:r>
      <w:r w:rsidR="00FA24FC">
        <w:rPr>
          <w:rFonts w:ascii="Times New Roman" w:hAnsi="Times New Roman"/>
        </w:rPr>
        <w:t xml:space="preserve">presentation </w:t>
      </w:r>
      <w:r w:rsidRPr="00B05509">
        <w:rPr>
          <w:rFonts w:ascii="Times New Roman" w:hAnsi="Times New Roman"/>
        </w:rPr>
        <w:t xml:space="preserve">format </w:t>
      </w:r>
      <w:r w:rsidR="00997B9A">
        <w:rPr>
          <w:rFonts w:ascii="Times New Roman" w:hAnsi="Times New Roman"/>
        </w:rPr>
        <w:t>(</w:t>
      </w:r>
      <w:r w:rsidR="00997B9A" w:rsidRPr="00737150">
        <w:rPr>
          <w:rFonts w:ascii="Times New Roman" w:hAnsi="Times New Roman"/>
        </w:rPr>
        <w:t>with and without icon array</w:t>
      </w:r>
      <w:r w:rsidR="00997B9A">
        <w:rPr>
          <w:rFonts w:ascii="Times New Roman" w:hAnsi="Times New Roman"/>
        </w:rPr>
        <w:t>)</w:t>
      </w:r>
      <w:r w:rsidR="00997B9A" w:rsidRPr="00997B9A">
        <w:rPr>
          <w:rFonts w:ascii="Times New Roman" w:hAnsi="Times New Roman"/>
        </w:rPr>
        <w:t xml:space="preserve"> </w:t>
      </w:r>
      <w:r w:rsidRPr="00B05509">
        <w:rPr>
          <w:rFonts w:ascii="Times New Roman" w:hAnsi="Times New Roman"/>
        </w:rPr>
        <w:t>emerged</w:t>
      </w:r>
      <w:r w:rsidR="00FA24FC">
        <w:rPr>
          <w:rFonts w:ascii="Times New Roman" w:hAnsi="Times New Roman"/>
        </w:rPr>
        <w:t xml:space="preserve">, for </w:t>
      </w:r>
      <w:r w:rsidR="00A861A4">
        <w:rPr>
          <w:rFonts w:ascii="Times New Roman" w:hAnsi="Times New Roman"/>
        </w:rPr>
        <w:t xml:space="preserve">any </w:t>
      </w:r>
      <w:r w:rsidR="00FA24FC">
        <w:rPr>
          <w:rFonts w:ascii="Times New Roman" w:hAnsi="Times New Roman"/>
        </w:rPr>
        <w:t>of the three outcome measures (</w:t>
      </w:r>
      <w:r w:rsidR="00A861A4">
        <w:rPr>
          <w:rFonts w:ascii="Times New Roman" w:hAnsi="Times New Roman"/>
        </w:rPr>
        <w:t>Table 7</w:t>
      </w:r>
      <w:r w:rsidR="00FA24FC">
        <w:rPr>
          <w:rFonts w:ascii="Times New Roman" w:hAnsi="Times New Roman"/>
        </w:rPr>
        <w:t>).</w:t>
      </w:r>
    </w:p>
    <w:p w14:paraId="3D3C5439" w14:textId="77777777" w:rsidR="00A861A4" w:rsidRPr="00F9528F" w:rsidRDefault="00A861A4" w:rsidP="00A861A4">
      <w:pPr>
        <w:pStyle w:val="Caption"/>
        <w:keepNext/>
        <w:rPr>
          <w:rFonts w:ascii="Times New Roman" w:hAnsi="Times New Roman"/>
          <w:b/>
          <w:i w:val="0"/>
          <w:sz w:val="24"/>
          <w:szCs w:val="24"/>
        </w:rPr>
      </w:pPr>
      <w:r w:rsidRPr="00F9528F">
        <w:rPr>
          <w:rFonts w:ascii="Times New Roman" w:hAnsi="Times New Roman"/>
          <w:b/>
          <w:i w:val="0"/>
          <w:sz w:val="24"/>
          <w:szCs w:val="24"/>
        </w:rPr>
        <w:t xml:space="preserve">Table </w:t>
      </w:r>
      <w:r>
        <w:rPr>
          <w:rFonts w:ascii="Times New Roman" w:hAnsi="Times New Roman"/>
          <w:b/>
          <w:i w:val="0"/>
          <w:sz w:val="24"/>
          <w:szCs w:val="24"/>
        </w:rPr>
        <w:t>7</w:t>
      </w:r>
      <w:r w:rsidRPr="00F9528F">
        <w:rPr>
          <w:rFonts w:ascii="Times New Roman" w:hAnsi="Times New Roman"/>
          <w:b/>
          <w:i w:val="0"/>
          <w:sz w:val="24"/>
          <w:szCs w:val="24"/>
        </w:rPr>
        <w:t>: Analysis of variance results for all outcome measures (Experiment 2)</w:t>
      </w:r>
    </w:p>
    <w:tbl>
      <w:tblPr>
        <w:tblW w:w="9072"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ook w:val="04A0" w:firstRow="1" w:lastRow="0" w:firstColumn="1" w:lastColumn="0" w:noHBand="0" w:noVBand="1"/>
      </w:tblPr>
      <w:tblGrid>
        <w:gridCol w:w="2694"/>
        <w:gridCol w:w="3543"/>
        <w:gridCol w:w="2835"/>
      </w:tblGrid>
      <w:tr w:rsidR="00C84A4F" w:rsidRPr="00C84A4F" w14:paraId="6CA8AFF4" w14:textId="77777777" w:rsidTr="00CE2E14">
        <w:trPr>
          <w:trHeight w:val="290"/>
        </w:trPr>
        <w:tc>
          <w:tcPr>
            <w:tcW w:w="2694" w:type="dxa"/>
            <w:tcBorders>
              <w:top w:val="single" w:sz="18" w:space="0" w:color="auto"/>
              <w:bottom w:val="single" w:sz="18" w:space="0" w:color="auto"/>
              <w:right w:val="single" w:sz="18" w:space="0" w:color="auto"/>
            </w:tcBorders>
            <w:shd w:val="clear" w:color="auto" w:fill="auto"/>
            <w:noWrap/>
            <w:vAlign w:val="bottom"/>
            <w:hideMark/>
          </w:tcPr>
          <w:p w14:paraId="4F122B47"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 </w:t>
            </w:r>
          </w:p>
        </w:tc>
        <w:tc>
          <w:tcPr>
            <w:tcW w:w="3543" w:type="dxa"/>
            <w:tcBorders>
              <w:top w:val="single" w:sz="18" w:space="0" w:color="auto"/>
              <w:left w:val="single" w:sz="18" w:space="0" w:color="auto"/>
              <w:bottom w:val="single" w:sz="18" w:space="0" w:color="auto"/>
            </w:tcBorders>
            <w:shd w:val="clear" w:color="auto" w:fill="auto"/>
            <w:noWrap/>
            <w:vAlign w:val="bottom"/>
            <w:hideMark/>
          </w:tcPr>
          <w:p w14:paraId="07133403"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Quality level</w:t>
            </w:r>
          </w:p>
        </w:tc>
        <w:tc>
          <w:tcPr>
            <w:tcW w:w="2835" w:type="dxa"/>
            <w:tcBorders>
              <w:top w:val="single" w:sz="18" w:space="0" w:color="auto"/>
              <w:bottom w:val="single" w:sz="18" w:space="0" w:color="auto"/>
            </w:tcBorders>
            <w:shd w:val="clear" w:color="auto" w:fill="auto"/>
            <w:noWrap/>
            <w:vAlign w:val="bottom"/>
            <w:hideMark/>
          </w:tcPr>
          <w:p w14:paraId="06BF1C2D"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Presentation format</w:t>
            </w:r>
          </w:p>
        </w:tc>
      </w:tr>
      <w:tr w:rsidR="00C84A4F" w:rsidRPr="00C84A4F" w14:paraId="5D68A441" w14:textId="77777777" w:rsidTr="00CE2E14">
        <w:trPr>
          <w:trHeight w:val="330"/>
        </w:trPr>
        <w:tc>
          <w:tcPr>
            <w:tcW w:w="2694" w:type="dxa"/>
            <w:tcBorders>
              <w:top w:val="single" w:sz="18" w:space="0" w:color="auto"/>
              <w:right w:val="single" w:sz="18" w:space="0" w:color="auto"/>
            </w:tcBorders>
            <w:shd w:val="clear" w:color="auto" w:fill="auto"/>
            <w:noWrap/>
            <w:vAlign w:val="bottom"/>
            <w:hideMark/>
          </w:tcPr>
          <w:p w14:paraId="1E731A08"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Perceived trustworthiness</w:t>
            </w:r>
          </w:p>
        </w:tc>
        <w:tc>
          <w:tcPr>
            <w:tcW w:w="3543" w:type="dxa"/>
            <w:tcBorders>
              <w:top w:val="single" w:sz="18" w:space="0" w:color="auto"/>
              <w:left w:val="single" w:sz="18" w:space="0" w:color="auto"/>
            </w:tcBorders>
            <w:shd w:val="clear" w:color="auto" w:fill="auto"/>
            <w:noWrap/>
            <w:vAlign w:val="bottom"/>
            <w:hideMark/>
          </w:tcPr>
          <w:p w14:paraId="40BA5815" w14:textId="4CEB593B" w:rsidR="00C84A4F" w:rsidRPr="00C84A4F" w:rsidRDefault="00C84A4F" w:rsidP="009228BB">
            <w:pPr>
              <w:rPr>
                <w:rFonts w:ascii="Times New Roman" w:hAnsi="Times New Roman"/>
                <w:color w:val="000000"/>
                <w:sz w:val="20"/>
                <w:szCs w:val="20"/>
              </w:rPr>
            </w:pPr>
            <w:r w:rsidRPr="00C84A4F">
              <w:rPr>
                <w:rFonts w:ascii="Times New Roman" w:hAnsi="Times New Roman"/>
                <w:color w:val="000000"/>
                <w:sz w:val="20"/>
                <w:szCs w:val="20"/>
              </w:rPr>
              <w:t>F(2,1187) = 15.05, p &lt; .001, η</w:t>
            </w:r>
            <w:r w:rsidR="009228BB">
              <w:rPr>
                <w:rFonts w:ascii="Times New Roman" w:hAnsi="Times New Roman"/>
                <w:color w:val="000000"/>
                <w:sz w:val="20"/>
                <w:szCs w:val="20"/>
                <w:vertAlign w:val="subscript"/>
              </w:rPr>
              <w:t>P</w:t>
            </w:r>
            <w:r w:rsidRPr="00C84A4F">
              <w:rPr>
                <w:rFonts w:ascii="Times New Roman" w:hAnsi="Times New Roman"/>
                <w:color w:val="000000"/>
                <w:sz w:val="20"/>
                <w:szCs w:val="20"/>
                <w:vertAlign w:val="superscript"/>
              </w:rPr>
              <w:t>2</w:t>
            </w:r>
            <w:r w:rsidRPr="00C84A4F">
              <w:rPr>
                <w:rFonts w:ascii="Times New Roman" w:hAnsi="Times New Roman"/>
                <w:color w:val="000000"/>
                <w:sz w:val="20"/>
                <w:szCs w:val="20"/>
              </w:rPr>
              <w:t xml:space="preserve">  = 0.025</w:t>
            </w:r>
          </w:p>
        </w:tc>
        <w:tc>
          <w:tcPr>
            <w:tcW w:w="2835" w:type="dxa"/>
            <w:tcBorders>
              <w:top w:val="single" w:sz="18" w:space="0" w:color="auto"/>
            </w:tcBorders>
            <w:shd w:val="clear" w:color="auto" w:fill="auto"/>
            <w:noWrap/>
            <w:vAlign w:val="bottom"/>
            <w:hideMark/>
          </w:tcPr>
          <w:p w14:paraId="47D1F9CA"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F(1,1187) = 0.53, p = .465</w:t>
            </w:r>
          </w:p>
        </w:tc>
      </w:tr>
      <w:tr w:rsidR="00C84A4F" w:rsidRPr="00C84A4F" w14:paraId="7C6C4932" w14:textId="77777777" w:rsidTr="00CE2E14">
        <w:trPr>
          <w:trHeight w:val="330"/>
        </w:trPr>
        <w:tc>
          <w:tcPr>
            <w:tcW w:w="2694" w:type="dxa"/>
            <w:tcBorders>
              <w:right w:val="single" w:sz="18" w:space="0" w:color="auto"/>
            </w:tcBorders>
            <w:shd w:val="clear" w:color="auto" w:fill="auto"/>
            <w:noWrap/>
            <w:vAlign w:val="bottom"/>
            <w:hideMark/>
          </w:tcPr>
          <w:p w14:paraId="127244B5"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Perceived effectiveness</w:t>
            </w:r>
          </w:p>
        </w:tc>
        <w:tc>
          <w:tcPr>
            <w:tcW w:w="3543" w:type="dxa"/>
            <w:tcBorders>
              <w:left w:val="single" w:sz="18" w:space="0" w:color="auto"/>
            </w:tcBorders>
            <w:shd w:val="clear" w:color="auto" w:fill="auto"/>
            <w:noWrap/>
            <w:vAlign w:val="bottom"/>
            <w:hideMark/>
          </w:tcPr>
          <w:p w14:paraId="44C2873B" w14:textId="2811C489" w:rsidR="00C84A4F" w:rsidRPr="00C84A4F" w:rsidRDefault="00C84A4F" w:rsidP="009228BB">
            <w:pPr>
              <w:rPr>
                <w:rFonts w:ascii="Times New Roman" w:hAnsi="Times New Roman"/>
                <w:color w:val="000000"/>
                <w:sz w:val="20"/>
                <w:szCs w:val="20"/>
              </w:rPr>
            </w:pPr>
            <w:r w:rsidRPr="00C84A4F">
              <w:rPr>
                <w:rFonts w:ascii="Times New Roman" w:hAnsi="Times New Roman"/>
                <w:color w:val="000000"/>
                <w:sz w:val="20"/>
                <w:szCs w:val="20"/>
              </w:rPr>
              <w:t>F(2,1187) = 9.98, p &lt; .001, η</w:t>
            </w:r>
            <w:r w:rsidR="009228BB" w:rsidRPr="00532C3A">
              <w:rPr>
                <w:rFonts w:ascii="Times New Roman" w:hAnsi="Times New Roman"/>
                <w:color w:val="000000"/>
                <w:sz w:val="20"/>
                <w:szCs w:val="20"/>
                <w:vertAlign w:val="subscript"/>
              </w:rPr>
              <w:t>P</w:t>
            </w:r>
            <w:r w:rsidRPr="00C84A4F">
              <w:rPr>
                <w:rFonts w:ascii="Times New Roman" w:hAnsi="Times New Roman"/>
                <w:color w:val="000000"/>
                <w:sz w:val="20"/>
                <w:szCs w:val="20"/>
                <w:vertAlign w:val="superscript"/>
              </w:rPr>
              <w:t>2</w:t>
            </w:r>
            <w:r w:rsidRPr="00C84A4F">
              <w:rPr>
                <w:rFonts w:ascii="Times New Roman" w:hAnsi="Times New Roman"/>
                <w:color w:val="000000"/>
                <w:sz w:val="20"/>
                <w:szCs w:val="20"/>
              </w:rPr>
              <w:t xml:space="preserve">  = 0.017</w:t>
            </w:r>
          </w:p>
        </w:tc>
        <w:tc>
          <w:tcPr>
            <w:tcW w:w="2835" w:type="dxa"/>
            <w:shd w:val="clear" w:color="auto" w:fill="auto"/>
            <w:noWrap/>
            <w:vAlign w:val="bottom"/>
            <w:hideMark/>
          </w:tcPr>
          <w:p w14:paraId="75CAB41A"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F(1,1187) = 2.68, p = .102</w:t>
            </w:r>
          </w:p>
        </w:tc>
      </w:tr>
      <w:tr w:rsidR="00C84A4F" w:rsidRPr="00C84A4F" w14:paraId="27EBE71A" w14:textId="77777777" w:rsidTr="00CE2E14">
        <w:trPr>
          <w:trHeight w:val="290"/>
        </w:trPr>
        <w:tc>
          <w:tcPr>
            <w:tcW w:w="2694" w:type="dxa"/>
            <w:tcBorders>
              <w:right w:val="single" w:sz="18" w:space="0" w:color="auto"/>
            </w:tcBorders>
            <w:shd w:val="clear" w:color="auto" w:fill="auto"/>
            <w:noWrap/>
            <w:vAlign w:val="bottom"/>
            <w:hideMark/>
          </w:tcPr>
          <w:p w14:paraId="6140F7D3"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Behavioural intentions</w:t>
            </w:r>
          </w:p>
        </w:tc>
        <w:tc>
          <w:tcPr>
            <w:tcW w:w="3543" w:type="dxa"/>
            <w:tcBorders>
              <w:left w:val="single" w:sz="18" w:space="0" w:color="auto"/>
            </w:tcBorders>
            <w:shd w:val="clear" w:color="auto" w:fill="auto"/>
            <w:noWrap/>
            <w:vAlign w:val="bottom"/>
            <w:hideMark/>
          </w:tcPr>
          <w:p w14:paraId="147052D0"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F(2,1187) = 1.28, p = .279</w:t>
            </w:r>
          </w:p>
        </w:tc>
        <w:tc>
          <w:tcPr>
            <w:tcW w:w="2835" w:type="dxa"/>
            <w:shd w:val="clear" w:color="auto" w:fill="auto"/>
            <w:noWrap/>
            <w:vAlign w:val="bottom"/>
            <w:hideMark/>
          </w:tcPr>
          <w:p w14:paraId="3425C463"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F(1,1187) = 0.46, p = .496</w:t>
            </w:r>
          </w:p>
        </w:tc>
      </w:tr>
      <w:tr w:rsidR="00C84A4F" w:rsidRPr="00C84A4F" w14:paraId="74F6301C" w14:textId="77777777" w:rsidTr="00CE2E14">
        <w:trPr>
          <w:trHeight w:val="800"/>
        </w:trPr>
        <w:tc>
          <w:tcPr>
            <w:tcW w:w="2694" w:type="dxa"/>
            <w:tcBorders>
              <w:bottom w:val="single" w:sz="18" w:space="0" w:color="auto"/>
              <w:right w:val="single" w:sz="18" w:space="0" w:color="auto"/>
            </w:tcBorders>
            <w:shd w:val="clear" w:color="auto" w:fill="auto"/>
            <w:vAlign w:val="bottom"/>
            <w:hideMark/>
          </w:tcPr>
          <w:p w14:paraId="200DA1D2"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Behavioural intentions - non-parametric aligned ranks transformation ANOVA</w:t>
            </w:r>
          </w:p>
        </w:tc>
        <w:tc>
          <w:tcPr>
            <w:tcW w:w="3543" w:type="dxa"/>
            <w:tcBorders>
              <w:left w:val="single" w:sz="18" w:space="0" w:color="auto"/>
            </w:tcBorders>
            <w:shd w:val="clear" w:color="auto" w:fill="auto"/>
            <w:noWrap/>
            <w:vAlign w:val="bottom"/>
            <w:hideMark/>
          </w:tcPr>
          <w:p w14:paraId="4605B2CE"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F(2,1185) = 1.17, p = .311</w:t>
            </w:r>
          </w:p>
        </w:tc>
        <w:tc>
          <w:tcPr>
            <w:tcW w:w="2835" w:type="dxa"/>
            <w:shd w:val="clear" w:color="auto" w:fill="auto"/>
            <w:noWrap/>
            <w:vAlign w:val="bottom"/>
            <w:hideMark/>
          </w:tcPr>
          <w:p w14:paraId="63A9678B" w14:textId="77777777" w:rsidR="00C84A4F" w:rsidRPr="00C84A4F" w:rsidRDefault="00C84A4F" w:rsidP="00C84A4F">
            <w:pPr>
              <w:rPr>
                <w:rFonts w:ascii="Times New Roman" w:hAnsi="Times New Roman"/>
                <w:color w:val="000000"/>
                <w:sz w:val="20"/>
                <w:szCs w:val="20"/>
              </w:rPr>
            </w:pPr>
            <w:r w:rsidRPr="00C84A4F">
              <w:rPr>
                <w:rFonts w:ascii="Times New Roman" w:hAnsi="Times New Roman"/>
                <w:color w:val="000000"/>
                <w:sz w:val="20"/>
                <w:szCs w:val="20"/>
              </w:rPr>
              <w:t>F(1,1185) = 0.01, p = .905</w:t>
            </w:r>
          </w:p>
        </w:tc>
      </w:tr>
    </w:tbl>
    <w:p w14:paraId="3B5FDDD5" w14:textId="5F371527" w:rsidR="00C84A4F" w:rsidRDefault="00C84A4F" w:rsidP="00C84A4F">
      <w:pPr>
        <w:spacing w:line="480" w:lineRule="auto"/>
        <w:rPr>
          <w:rFonts w:ascii="Times New Roman" w:hAnsi="Times New Roman"/>
        </w:rPr>
      </w:pPr>
    </w:p>
    <w:p w14:paraId="19ED38C1" w14:textId="77777777" w:rsidR="005A53D7" w:rsidRDefault="005A53D7" w:rsidP="001520F5">
      <w:pPr>
        <w:rPr>
          <w:rFonts w:ascii="Times New Roman" w:hAnsi="Times New Roman"/>
          <w:b/>
        </w:rPr>
      </w:pPr>
    </w:p>
    <w:p w14:paraId="558A807E" w14:textId="77777777" w:rsidR="005A53D7" w:rsidRDefault="005A53D7" w:rsidP="001520F5">
      <w:pPr>
        <w:rPr>
          <w:rFonts w:ascii="Times New Roman" w:hAnsi="Times New Roman"/>
          <w:b/>
        </w:rPr>
      </w:pPr>
    </w:p>
    <w:p w14:paraId="0F978C49" w14:textId="77777777" w:rsidR="005A53D7" w:rsidRDefault="005A53D7" w:rsidP="001520F5">
      <w:pPr>
        <w:rPr>
          <w:rFonts w:ascii="Times New Roman" w:hAnsi="Times New Roman"/>
          <w:b/>
        </w:rPr>
      </w:pPr>
    </w:p>
    <w:p w14:paraId="4FB9CF19" w14:textId="77777777" w:rsidR="005A53D7" w:rsidRDefault="005A53D7" w:rsidP="001520F5">
      <w:pPr>
        <w:rPr>
          <w:rFonts w:ascii="Times New Roman" w:hAnsi="Times New Roman"/>
          <w:b/>
        </w:rPr>
      </w:pPr>
    </w:p>
    <w:p w14:paraId="560DBB31" w14:textId="77777777" w:rsidR="005A53D7" w:rsidRDefault="005A53D7" w:rsidP="001520F5">
      <w:pPr>
        <w:rPr>
          <w:rFonts w:ascii="Times New Roman" w:hAnsi="Times New Roman"/>
          <w:b/>
        </w:rPr>
      </w:pPr>
    </w:p>
    <w:p w14:paraId="5889EEA6" w14:textId="77777777" w:rsidR="005A53D7" w:rsidRDefault="005A53D7" w:rsidP="001520F5">
      <w:pPr>
        <w:rPr>
          <w:rFonts w:ascii="Times New Roman" w:hAnsi="Times New Roman"/>
          <w:b/>
        </w:rPr>
      </w:pPr>
    </w:p>
    <w:p w14:paraId="437DE9BD" w14:textId="77777777" w:rsidR="005A53D7" w:rsidRDefault="005A53D7" w:rsidP="001520F5">
      <w:pPr>
        <w:rPr>
          <w:rFonts w:ascii="Times New Roman" w:hAnsi="Times New Roman"/>
          <w:b/>
        </w:rPr>
      </w:pPr>
    </w:p>
    <w:p w14:paraId="4B907CAB" w14:textId="77777777" w:rsidR="005A53D7" w:rsidRDefault="005A53D7" w:rsidP="001520F5">
      <w:pPr>
        <w:rPr>
          <w:rFonts w:ascii="Times New Roman" w:hAnsi="Times New Roman"/>
          <w:b/>
        </w:rPr>
      </w:pPr>
    </w:p>
    <w:p w14:paraId="02721BC4" w14:textId="77777777" w:rsidR="005A53D7" w:rsidRDefault="005A53D7" w:rsidP="001520F5">
      <w:pPr>
        <w:rPr>
          <w:rFonts w:ascii="Times New Roman" w:hAnsi="Times New Roman"/>
          <w:b/>
        </w:rPr>
      </w:pPr>
    </w:p>
    <w:p w14:paraId="7994B684" w14:textId="77777777" w:rsidR="005A53D7" w:rsidRDefault="005A53D7" w:rsidP="001520F5">
      <w:pPr>
        <w:rPr>
          <w:rFonts w:ascii="Times New Roman" w:hAnsi="Times New Roman"/>
          <w:b/>
        </w:rPr>
      </w:pPr>
    </w:p>
    <w:p w14:paraId="23187B13" w14:textId="77777777" w:rsidR="005A53D7" w:rsidRDefault="005A53D7" w:rsidP="001520F5">
      <w:pPr>
        <w:rPr>
          <w:rFonts w:ascii="Times New Roman" w:hAnsi="Times New Roman"/>
          <w:b/>
        </w:rPr>
      </w:pPr>
    </w:p>
    <w:p w14:paraId="658333CA" w14:textId="77777777" w:rsidR="005A53D7" w:rsidRDefault="005A53D7" w:rsidP="001520F5">
      <w:pPr>
        <w:rPr>
          <w:rFonts w:ascii="Times New Roman" w:hAnsi="Times New Roman"/>
          <w:b/>
        </w:rPr>
      </w:pPr>
    </w:p>
    <w:p w14:paraId="148F046D" w14:textId="77777777" w:rsidR="005A53D7" w:rsidRDefault="005A53D7" w:rsidP="001520F5">
      <w:pPr>
        <w:rPr>
          <w:rFonts w:ascii="Times New Roman" w:hAnsi="Times New Roman"/>
          <w:b/>
        </w:rPr>
      </w:pPr>
    </w:p>
    <w:p w14:paraId="0E95EADE" w14:textId="77777777" w:rsidR="005A53D7" w:rsidRDefault="005A53D7" w:rsidP="001520F5">
      <w:pPr>
        <w:rPr>
          <w:rFonts w:ascii="Times New Roman" w:hAnsi="Times New Roman"/>
          <w:b/>
        </w:rPr>
      </w:pPr>
    </w:p>
    <w:p w14:paraId="011667D4" w14:textId="77777777" w:rsidR="005A53D7" w:rsidRDefault="005A53D7" w:rsidP="001520F5">
      <w:pPr>
        <w:rPr>
          <w:rFonts w:ascii="Times New Roman" w:hAnsi="Times New Roman"/>
          <w:b/>
        </w:rPr>
      </w:pPr>
    </w:p>
    <w:p w14:paraId="46A8C439" w14:textId="77777777" w:rsidR="005A53D7" w:rsidRDefault="005A53D7" w:rsidP="001520F5">
      <w:pPr>
        <w:rPr>
          <w:rFonts w:ascii="Times New Roman" w:hAnsi="Times New Roman"/>
          <w:b/>
        </w:rPr>
      </w:pPr>
    </w:p>
    <w:p w14:paraId="540D8D56" w14:textId="77777777" w:rsidR="005A53D7" w:rsidRDefault="005A53D7" w:rsidP="001520F5">
      <w:pPr>
        <w:rPr>
          <w:rFonts w:ascii="Times New Roman" w:hAnsi="Times New Roman"/>
          <w:b/>
        </w:rPr>
      </w:pPr>
    </w:p>
    <w:p w14:paraId="631DB444" w14:textId="77777777" w:rsidR="005A53D7" w:rsidRDefault="005A53D7" w:rsidP="001520F5">
      <w:pPr>
        <w:rPr>
          <w:rFonts w:ascii="Times New Roman" w:hAnsi="Times New Roman"/>
          <w:b/>
        </w:rPr>
      </w:pPr>
    </w:p>
    <w:p w14:paraId="3259D8C7" w14:textId="77777777" w:rsidR="005A53D7" w:rsidRDefault="005A53D7" w:rsidP="001520F5">
      <w:pPr>
        <w:rPr>
          <w:rFonts w:ascii="Times New Roman" w:hAnsi="Times New Roman"/>
          <w:b/>
        </w:rPr>
      </w:pPr>
    </w:p>
    <w:p w14:paraId="32CD3781" w14:textId="179B0D4C" w:rsidR="00034643" w:rsidRPr="009029FB" w:rsidRDefault="00A861A4" w:rsidP="001520F5">
      <w:pPr>
        <w:rPr>
          <w:rFonts w:ascii="Times New Roman" w:hAnsi="Times New Roman"/>
          <w:b/>
          <w:i/>
        </w:rPr>
      </w:pPr>
      <w:r w:rsidRPr="00532C3A">
        <w:rPr>
          <w:rFonts w:ascii="Times New Roman" w:hAnsi="Times New Roman"/>
          <w:b/>
        </w:rPr>
        <w:lastRenderedPageBreak/>
        <w:t>Table 8: Post hoc results for main effects of quality of evidence level and presentation format (Experiment 2)</w:t>
      </w:r>
    </w:p>
    <w:tbl>
      <w:tblPr>
        <w:tblW w:w="10116" w:type="dxa"/>
        <w:tblBorders>
          <w:top w:val="single" w:sz="18" w:space="0" w:color="auto"/>
          <w:left w:val="single" w:sz="18" w:space="0" w:color="auto"/>
          <w:bottom w:val="single" w:sz="18" w:space="0" w:color="auto"/>
          <w:right w:val="single" w:sz="18" w:space="0" w:color="auto"/>
          <w:insideH w:val="single" w:sz="4" w:space="0" w:color="auto"/>
          <w:insideV w:val="single" w:sz="4" w:space="0" w:color="auto"/>
        </w:tblBorders>
        <w:tblLayout w:type="fixed"/>
        <w:tblLook w:val="04A0" w:firstRow="1" w:lastRow="0" w:firstColumn="1" w:lastColumn="0" w:noHBand="0" w:noVBand="1"/>
      </w:tblPr>
      <w:tblGrid>
        <w:gridCol w:w="1537"/>
        <w:gridCol w:w="635"/>
        <w:gridCol w:w="684"/>
        <w:gridCol w:w="683"/>
        <w:gridCol w:w="685"/>
        <w:gridCol w:w="684"/>
        <w:gridCol w:w="685"/>
        <w:gridCol w:w="1047"/>
        <w:gridCol w:w="1134"/>
        <w:gridCol w:w="853"/>
        <w:gridCol w:w="665"/>
        <w:gridCol w:w="824"/>
      </w:tblGrid>
      <w:tr w:rsidR="00EA4257" w:rsidRPr="001520F5" w14:paraId="3C024CE8" w14:textId="77777777" w:rsidTr="00F6200E">
        <w:trPr>
          <w:trHeight w:val="284"/>
        </w:trPr>
        <w:tc>
          <w:tcPr>
            <w:tcW w:w="1537" w:type="dxa"/>
            <w:tcBorders>
              <w:top w:val="single" w:sz="18" w:space="0" w:color="auto"/>
              <w:bottom w:val="nil"/>
              <w:right w:val="single" w:sz="18" w:space="0" w:color="auto"/>
            </w:tcBorders>
            <w:shd w:val="clear" w:color="auto" w:fill="auto"/>
            <w:noWrap/>
            <w:vAlign w:val="bottom"/>
            <w:hideMark/>
          </w:tcPr>
          <w:p w14:paraId="0B892925" w14:textId="77777777" w:rsidR="00FA24FC" w:rsidRPr="001520F5" w:rsidRDefault="00FA24FC" w:rsidP="00FA24FC">
            <w:pPr>
              <w:rPr>
                <w:rFonts w:ascii="Times New Roman" w:hAnsi="Times New Roman"/>
                <w:sz w:val="18"/>
                <w:szCs w:val="18"/>
              </w:rPr>
            </w:pPr>
          </w:p>
        </w:tc>
        <w:tc>
          <w:tcPr>
            <w:tcW w:w="1319" w:type="dxa"/>
            <w:gridSpan w:val="2"/>
            <w:tcBorders>
              <w:top w:val="single" w:sz="18" w:space="0" w:color="auto"/>
              <w:left w:val="single" w:sz="18" w:space="0" w:color="auto"/>
              <w:bottom w:val="nil"/>
            </w:tcBorders>
            <w:shd w:val="clear" w:color="auto" w:fill="auto"/>
            <w:noWrap/>
            <w:vAlign w:val="bottom"/>
            <w:hideMark/>
          </w:tcPr>
          <w:p w14:paraId="27FC2352"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xml:space="preserve">Low </w:t>
            </w:r>
            <w:proofErr w:type="spellStart"/>
            <w:r w:rsidRPr="001520F5">
              <w:rPr>
                <w:rFonts w:ascii="Times New Roman" w:hAnsi="Times New Roman"/>
                <w:color w:val="000000"/>
                <w:sz w:val="18"/>
                <w:szCs w:val="18"/>
              </w:rPr>
              <w:t>QoE</w:t>
            </w:r>
            <w:proofErr w:type="spellEnd"/>
          </w:p>
        </w:tc>
        <w:tc>
          <w:tcPr>
            <w:tcW w:w="1368" w:type="dxa"/>
            <w:gridSpan w:val="2"/>
            <w:tcBorders>
              <w:top w:val="single" w:sz="18" w:space="0" w:color="auto"/>
              <w:bottom w:val="nil"/>
            </w:tcBorders>
            <w:shd w:val="clear" w:color="auto" w:fill="auto"/>
            <w:noWrap/>
            <w:vAlign w:val="bottom"/>
            <w:hideMark/>
          </w:tcPr>
          <w:p w14:paraId="0EE3CC95"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xml:space="preserve">High </w:t>
            </w:r>
            <w:proofErr w:type="spellStart"/>
            <w:r w:rsidRPr="001520F5">
              <w:rPr>
                <w:rFonts w:ascii="Times New Roman" w:hAnsi="Times New Roman"/>
                <w:color w:val="000000"/>
                <w:sz w:val="18"/>
                <w:szCs w:val="18"/>
              </w:rPr>
              <w:t>QoE</w:t>
            </w:r>
            <w:proofErr w:type="spellEnd"/>
          </w:p>
        </w:tc>
        <w:tc>
          <w:tcPr>
            <w:tcW w:w="1369" w:type="dxa"/>
            <w:gridSpan w:val="2"/>
            <w:tcBorders>
              <w:top w:val="single" w:sz="18" w:space="0" w:color="auto"/>
              <w:bottom w:val="nil"/>
            </w:tcBorders>
            <w:shd w:val="clear" w:color="auto" w:fill="auto"/>
            <w:noWrap/>
            <w:vAlign w:val="bottom"/>
            <w:hideMark/>
          </w:tcPr>
          <w:p w14:paraId="542C2C68"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xml:space="preserve">No </w:t>
            </w:r>
            <w:proofErr w:type="spellStart"/>
            <w:r w:rsidRPr="001520F5">
              <w:rPr>
                <w:rFonts w:ascii="Times New Roman" w:hAnsi="Times New Roman"/>
                <w:color w:val="000000"/>
                <w:sz w:val="18"/>
                <w:szCs w:val="18"/>
              </w:rPr>
              <w:t>QoE</w:t>
            </w:r>
            <w:proofErr w:type="spellEnd"/>
          </w:p>
        </w:tc>
        <w:tc>
          <w:tcPr>
            <w:tcW w:w="1047" w:type="dxa"/>
            <w:tcBorders>
              <w:top w:val="single" w:sz="18" w:space="0" w:color="auto"/>
              <w:bottom w:val="nil"/>
            </w:tcBorders>
            <w:shd w:val="clear" w:color="auto" w:fill="auto"/>
            <w:noWrap/>
            <w:vAlign w:val="bottom"/>
            <w:hideMark/>
          </w:tcPr>
          <w:p w14:paraId="3DB083C9" w14:textId="77777777" w:rsidR="00FA24FC" w:rsidRPr="001520F5" w:rsidRDefault="00FA24FC" w:rsidP="00FA24FC">
            <w:pPr>
              <w:jc w:val="center"/>
              <w:rPr>
                <w:rFonts w:ascii="Times New Roman" w:hAnsi="Times New Roman"/>
                <w:color w:val="000000"/>
                <w:sz w:val="18"/>
                <w:szCs w:val="18"/>
              </w:rPr>
            </w:pPr>
          </w:p>
        </w:tc>
        <w:tc>
          <w:tcPr>
            <w:tcW w:w="1987" w:type="dxa"/>
            <w:gridSpan w:val="2"/>
            <w:tcBorders>
              <w:top w:val="single" w:sz="18" w:space="0" w:color="auto"/>
              <w:bottom w:val="nil"/>
            </w:tcBorders>
            <w:shd w:val="clear" w:color="auto" w:fill="auto"/>
            <w:noWrap/>
            <w:vAlign w:val="bottom"/>
            <w:hideMark/>
          </w:tcPr>
          <w:p w14:paraId="37BC8AB0" w14:textId="77777777" w:rsidR="00FA24FC" w:rsidRPr="001520F5" w:rsidRDefault="00FA24FC" w:rsidP="00FA24FC">
            <w:pPr>
              <w:jc w:val="center"/>
              <w:rPr>
                <w:rFonts w:ascii="Times New Roman" w:hAnsi="Times New Roman"/>
                <w:sz w:val="18"/>
                <w:szCs w:val="18"/>
              </w:rPr>
            </w:pPr>
          </w:p>
        </w:tc>
        <w:tc>
          <w:tcPr>
            <w:tcW w:w="665" w:type="dxa"/>
            <w:tcBorders>
              <w:top w:val="single" w:sz="18" w:space="0" w:color="auto"/>
              <w:bottom w:val="nil"/>
            </w:tcBorders>
            <w:shd w:val="clear" w:color="auto" w:fill="auto"/>
            <w:noWrap/>
            <w:vAlign w:val="bottom"/>
            <w:hideMark/>
          </w:tcPr>
          <w:p w14:paraId="57216584" w14:textId="77777777" w:rsidR="00FA24FC" w:rsidRPr="001520F5" w:rsidRDefault="00FA24FC" w:rsidP="00FA24FC">
            <w:pPr>
              <w:jc w:val="center"/>
              <w:rPr>
                <w:rFonts w:ascii="Times New Roman" w:hAnsi="Times New Roman"/>
                <w:sz w:val="18"/>
                <w:szCs w:val="18"/>
              </w:rPr>
            </w:pPr>
          </w:p>
        </w:tc>
        <w:tc>
          <w:tcPr>
            <w:tcW w:w="824" w:type="dxa"/>
            <w:tcBorders>
              <w:top w:val="single" w:sz="18" w:space="0" w:color="auto"/>
              <w:bottom w:val="nil"/>
            </w:tcBorders>
            <w:shd w:val="clear" w:color="auto" w:fill="auto"/>
            <w:noWrap/>
            <w:vAlign w:val="bottom"/>
            <w:hideMark/>
          </w:tcPr>
          <w:p w14:paraId="37406227" w14:textId="77777777" w:rsidR="00FA24FC" w:rsidRPr="001520F5" w:rsidRDefault="00FA24FC" w:rsidP="00FA24FC">
            <w:pPr>
              <w:rPr>
                <w:rFonts w:ascii="Times New Roman" w:hAnsi="Times New Roman"/>
                <w:sz w:val="18"/>
                <w:szCs w:val="18"/>
              </w:rPr>
            </w:pPr>
          </w:p>
        </w:tc>
      </w:tr>
      <w:tr w:rsidR="009029FB" w:rsidRPr="001520F5" w14:paraId="31F9D35A" w14:textId="77777777" w:rsidTr="00F6200E">
        <w:trPr>
          <w:trHeight w:val="520"/>
        </w:trPr>
        <w:tc>
          <w:tcPr>
            <w:tcW w:w="1537" w:type="dxa"/>
            <w:tcBorders>
              <w:top w:val="nil"/>
              <w:bottom w:val="single" w:sz="18" w:space="0" w:color="auto"/>
              <w:right w:val="single" w:sz="18" w:space="0" w:color="auto"/>
            </w:tcBorders>
            <w:shd w:val="clear" w:color="auto" w:fill="auto"/>
            <w:noWrap/>
            <w:vAlign w:val="bottom"/>
            <w:hideMark/>
          </w:tcPr>
          <w:p w14:paraId="3F4D38D9"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635" w:type="dxa"/>
            <w:tcBorders>
              <w:top w:val="nil"/>
              <w:left w:val="single" w:sz="18" w:space="0" w:color="auto"/>
              <w:bottom w:val="single" w:sz="18" w:space="0" w:color="auto"/>
            </w:tcBorders>
            <w:shd w:val="clear" w:color="auto" w:fill="auto"/>
            <w:noWrap/>
            <w:vAlign w:val="bottom"/>
            <w:hideMark/>
          </w:tcPr>
          <w:p w14:paraId="108AAB2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w:t>
            </w:r>
          </w:p>
        </w:tc>
        <w:tc>
          <w:tcPr>
            <w:tcW w:w="684" w:type="dxa"/>
            <w:tcBorders>
              <w:top w:val="nil"/>
              <w:bottom w:val="single" w:sz="18" w:space="0" w:color="auto"/>
            </w:tcBorders>
            <w:shd w:val="clear" w:color="auto" w:fill="auto"/>
            <w:noWrap/>
            <w:vAlign w:val="bottom"/>
            <w:hideMark/>
          </w:tcPr>
          <w:p w14:paraId="32D40A1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683" w:type="dxa"/>
            <w:tcBorders>
              <w:top w:val="nil"/>
              <w:bottom w:val="single" w:sz="18" w:space="0" w:color="auto"/>
            </w:tcBorders>
            <w:shd w:val="clear" w:color="auto" w:fill="auto"/>
            <w:noWrap/>
            <w:vAlign w:val="bottom"/>
            <w:hideMark/>
          </w:tcPr>
          <w:p w14:paraId="0B9342C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w:t>
            </w:r>
          </w:p>
        </w:tc>
        <w:tc>
          <w:tcPr>
            <w:tcW w:w="685" w:type="dxa"/>
            <w:tcBorders>
              <w:top w:val="nil"/>
              <w:bottom w:val="single" w:sz="18" w:space="0" w:color="auto"/>
            </w:tcBorders>
            <w:shd w:val="clear" w:color="auto" w:fill="auto"/>
            <w:noWrap/>
            <w:vAlign w:val="bottom"/>
            <w:hideMark/>
          </w:tcPr>
          <w:p w14:paraId="2B74EDBC"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684" w:type="dxa"/>
            <w:tcBorders>
              <w:top w:val="nil"/>
              <w:bottom w:val="single" w:sz="18" w:space="0" w:color="auto"/>
            </w:tcBorders>
            <w:shd w:val="clear" w:color="auto" w:fill="auto"/>
            <w:noWrap/>
            <w:vAlign w:val="bottom"/>
            <w:hideMark/>
          </w:tcPr>
          <w:p w14:paraId="3FD1164B"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w:t>
            </w:r>
          </w:p>
        </w:tc>
        <w:tc>
          <w:tcPr>
            <w:tcW w:w="685" w:type="dxa"/>
            <w:tcBorders>
              <w:top w:val="nil"/>
              <w:bottom w:val="single" w:sz="18" w:space="0" w:color="auto"/>
            </w:tcBorders>
            <w:shd w:val="clear" w:color="auto" w:fill="auto"/>
            <w:noWrap/>
            <w:vAlign w:val="bottom"/>
            <w:hideMark/>
          </w:tcPr>
          <w:p w14:paraId="535122A5"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1047" w:type="dxa"/>
            <w:tcBorders>
              <w:top w:val="nil"/>
              <w:bottom w:val="single" w:sz="18" w:space="0" w:color="auto"/>
            </w:tcBorders>
            <w:shd w:val="clear" w:color="auto" w:fill="auto"/>
            <w:noWrap/>
            <w:vAlign w:val="bottom"/>
            <w:hideMark/>
          </w:tcPr>
          <w:p w14:paraId="6AAB0741"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Contrast</w:t>
            </w:r>
          </w:p>
        </w:tc>
        <w:tc>
          <w:tcPr>
            <w:tcW w:w="1134" w:type="dxa"/>
            <w:tcBorders>
              <w:top w:val="nil"/>
              <w:bottom w:val="single" w:sz="18" w:space="0" w:color="auto"/>
            </w:tcBorders>
            <w:shd w:val="clear" w:color="auto" w:fill="auto"/>
            <w:vAlign w:val="bottom"/>
            <w:hideMark/>
          </w:tcPr>
          <w:p w14:paraId="3E42375C"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 difference</w:t>
            </w:r>
          </w:p>
        </w:tc>
        <w:tc>
          <w:tcPr>
            <w:tcW w:w="853" w:type="dxa"/>
            <w:tcBorders>
              <w:top w:val="nil"/>
              <w:bottom w:val="single" w:sz="18" w:space="0" w:color="auto"/>
            </w:tcBorders>
            <w:shd w:val="clear" w:color="auto" w:fill="auto"/>
            <w:noWrap/>
            <w:vAlign w:val="bottom"/>
            <w:hideMark/>
          </w:tcPr>
          <w:p w14:paraId="0D5289BC"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665" w:type="dxa"/>
            <w:tcBorders>
              <w:top w:val="nil"/>
              <w:bottom w:val="single" w:sz="18" w:space="0" w:color="auto"/>
            </w:tcBorders>
            <w:shd w:val="clear" w:color="auto" w:fill="auto"/>
            <w:noWrap/>
            <w:vAlign w:val="bottom"/>
            <w:hideMark/>
          </w:tcPr>
          <w:p w14:paraId="327AA573"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p</w:t>
            </w:r>
          </w:p>
        </w:tc>
        <w:tc>
          <w:tcPr>
            <w:tcW w:w="824" w:type="dxa"/>
            <w:tcBorders>
              <w:top w:val="nil"/>
              <w:bottom w:val="single" w:sz="18" w:space="0" w:color="auto"/>
            </w:tcBorders>
            <w:shd w:val="clear" w:color="auto" w:fill="auto"/>
            <w:noWrap/>
            <w:vAlign w:val="bottom"/>
            <w:hideMark/>
          </w:tcPr>
          <w:p w14:paraId="2629F071"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Cohen's d</w:t>
            </w:r>
          </w:p>
        </w:tc>
      </w:tr>
      <w:tr w:rsidR="009029FB" w:rsidRPr="001520F5" w14:paraId="2C797D0F" w14:textId="77777777" w:rsidTr="00F6200E">
        <w:trPr>
          <w:trHeight w:val="284"/>
        </w:trPr>
        <w:tc>
          <w:tcPr>
            <w:tcW w:w="1537" w:type="dxa"/>
            <w:tcBorders>
              <w:top w:val="single" w:sz="18" w:space="0" w:color="auto"/>
              <w:right w:val="single" w:sz="18" w:space="0" w:color="auto"/>
            </w:tcBorders>
            <w:shd w:val="clear" w:color="auto" w:fill="auto"/>
            <w:noWrap/>
            <w:vAlign w:val="bottom"/>
            <w:hideMark/>
          </w:tcPr>
          <w:p w14:paraId="582DF54B"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Perceived trustworthiness</w:t>
            </w:r>
          </w:p>
        </w:tc>
        <w:tc>
          <w:tcPr>
            <w:tcW w:w="635" w:type="dxa"/>
            <w:tcBorders>
              <w:top w:val="single" w:sz="18" w:space="0" w:color="auto"/>
              <w:left w:val="single" w:sz="18" w:space="0" w:color="auto"/>
            </w:tcBorders>
            <w:shd w:val="clear" w:color="auto" w:fill="auto"/>
            <w:noWrap/>
            <w:vAlign w:val="bottom"/>
            <w:hideMark/>
          </w:tcPr>
          <w:p w14:paraId="762810AA"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4.07</w:t>
            </w:r>
          </w:p>
        </w:tc>
        <w:tc>
          <w:tcPr>
            <w:tcW w:w="684" w:type="dxa"/>
            <w:tcBorders>
              <w:top w:val="single" w:sz="18" w:space="0" w:color="auto"/>
            </w:tcBorders>
            <w:shd w:val="clear" w:color="auto" w:fill="auto"/>
            <w:noWrap/>
            <w:vAlign w:val="bottom"/>
            <w:hideMark/>
          </w:tcPr>
          <w:p w14:paraId="7A144277"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[3.91,4.24]</w:t>
            </w:r>
          </w:p>
        </w:tc>
        <w:tc>
          <w:tcPr>
            <w:tcW w:w="683" w:type="dxa"/>
            <w:tcBorders>
              <w:top w:val="single" w:sz="18" w:space="0" w:color="auto"/>
            </w:tcBorders>
            <w:shd w:val="clear" w:color="auto" w:fill="auto"/>
            <w:noWrap/>
            <w:vAlign w:val="bottom"/>
            <w:hideMark/>
          </w:tcPr>
          <w:p w14:paraId="7646C10B"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4.68</w:t>
            </w:r>
          </w:p>
        </w:tc>
        <w:tc>
          <w:tcPr>
            <w:tcW w:w="685" w:type="dxa"/>
            <w:tcBorders>
              <w:top w:val="single" w:sz="18" w:space="0" w:color="auto"/>
            </w:tcBorders>
            <w:shd w:val="clear" w:color="auto" w:fill="auto"/>
            <w:noWrap/>
            <w:vAlign w:val="bottom"/>
            <w:hideMark/>
          </w:tcPr>
          <w:p w14:paraId="1368BFE8"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[4.53,4.84]</w:t>
            </w:r>
          </w:p>
        </w:tc>
        <w:tc>
          <w:tcPr>
            <w:tcW w:w="684" w:type="dxa"/>
            <w:tcBorders>
              <w:top w:val="single" w:sz="18" w:space="0" w:color="auto"/>
            </w:tcBorders>
            <w:shd w:val="clear" w:color="auto" w:fill="auto"/>
            <w:noWrap/>
            <w:vAlign w:val="bottom"/>
            <w:hideMark/>
          </w:tcPr>
          <w:p w14:paraId="3496D2F7"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4.48</w:t>
            </w:r>
          </w:p>
        </w:tc>
        <w:tc>
          <w:tcPr>
            <w:tcW w:w="685" w:type="dxa"/>
            <w:tcBorders>
              <w:top w:val="single" w:sz="18" w:space="0" w:color="auto"/>
            </w:tcBorders>
            <w:shd w:val="clear" w:color="auto" w:fill="auto"/>
            <w:noWrap/>
            <w:vAlign w:val="bottom"/>
            <w:hideMark/>
          </w:tcPr>
          <w:p w14:paraId="1928239A"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[4.32,4.63]</w:t>
            </w:r>
          </w:p>
        </w:tc>
        <w:tc>
          <w:tcPr>
            <w:tcW w:w="1047" w:type="dxa"/>
            <w:tcBorders>
              <w:top w:val="single" w:sz="18" w:space="0" w:color="auto"/>
            </w:tcBorders>
            <w:shd w:val="clear" w:color="auto" w:fill="auto"/>
            <w:noWrap/>
            <w:vAlign w:val="bottom"/>
            <w:hideMark/>
          </w:tcPr>
          <w:p w14:paraId="33EA8491"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low - no</w:t>
            </w:r>
          </w:p>
        </w:tc>
        <w:tc>
          <w:tcPr>
            <w:tcW w:w="1134" w:type="dxa"/>
            <w:tcBorders>
              <w:top w:val="single" w:sz="18" w:space="0" w:color="auto"/>
            </w:tcBorders>
            <w:shd w:val="clear" w:color="auto" w:fill="auto"/>
            <w:noWrap/>
            <w:vAlign w:val="bottom"/>
            <w:hideMark/>
          </w:tcPr>
          <w:p w14:paraId="46EC7C4D"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0.43</w:t>
            </w:r>
          </w:p>
        </w:tc>
        <w:tc>
          <w:tcPr>
            <w:tcW w:w="853" w:type="dxa"/>
            <w:tcBorders>
              <w:top w:val="single" w:sz="18" w:space="0" w:color="auto"/>
            </w:tcBorders>
            <w:shd w:val="clear" w:color="auto" w:fill="auto"/>
            <w:noWrap/>
            <w:vAlign w:val="bottom"/>
            <w:hideMark/>
          </w:tcPr>
          <w:p w14:paraId="4FD8100F"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[0.18,</w:t>
            </w:r>
          </w:p>
          <w:p w14:paraId="796976B4" w14:textId="3C2E1B3F"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0.63]</w:t>
            </w:r>
          </w:p>
        </w:tc>
        <w:tc>
          <w:tcPr>
            <w:tcW w:w="665" w:type="dxa"/>
            <w:tcBorders>
              <w:top w:val="single" w:sz="18" w:space="0" w:color="auto"/>
            </w:tcBorders>
            <w:shd w:val="clear" w:color="auto" w:fill="auto"/>
            <w:noWrap/>
            <w:vAlign w:val="bottom"/>
            <w:hideMark/>
          </w:tcPr>
          <w:p w14:paraId="5DFBC456" w14:textId="77777777" w:rsidR="00FA24FC" w:rsidRPr="001520F5" w:rsidRDefault="00FA24FC" w:rsidP="00FA24FC">
            <w:pPr>
              <w:jc w:val="right"/>
              <w:rPr>
                <w:rFonts w:ascii="Times New Roman" w:hAnsi="Times New Roman"/>
                <w:color w:val="000000"/>
                <w:sz w:val="18"/>
                <w:szCs w:val="18"/>
              </w:rPr>
            </w:pPr>
            <w:r w:rsidRPr="001520F5">
              <w:rPr>
                <w:rFonts w:ascii="Times New Roman" w:hAnsi="Times New Roman"/>
                <w:color w:val="000000"/>
                <w:sz w:val="18"/>
                <w:szCs w:val="18"/>
              </w:rPr>
              <w:t>0.001</w:t>
            </w:r>
          </w:p>
        </w:tc>
        <w:tc>
          <w:tcPr>
            <w:tcW w:w="824" w:type="dxa"/>
            <w:tcBorders>
              <w:top w:val="single" w:sz="18" w:space="0" w:color="auto"/>
            </w:tcBorders>
            <w:shd w:val="clear" w:color="auto" w:fill="auto"/>
            <w:noWrap/>
            <w:vAlign w:val="bottom"/>
            <w:hideMark/>
          </w:tcPr>
          <w:p w14:paraId="1EA7F548" w14:textId="77777777" w:rsidR="00FA24FC" w:rsidRPr="001520F5" w:rsidRDefault="00FA24FC" w:rsidP="00FA24FC">
            <w:pPr>
              <w:jc w:val="right"/>
              <w:rPr>
                <w:rFonts w:ascii="Times New Roman" w:hAnsi="Times New Roman"/>
                <w:color w:val="000000"/>
                <w:sz w:val="18"/>
                <w:szCs w:val="18"/>
              </w:rPr>
            </w:pPr>
            <w:r w:rsidRPr="001520F5">
              <w:rPr>
                <w:rFonts w:ascii="Times New Roman" w:hAnsi="Times New Roman"/>
                <w:color w:val="000000"/>
                <w:sz w:val="18"/>
                <w:szCs w:val="18"/>
              </w:rPr>
              <w:t>0.25</w:t>
            </w:r>
          </w:p>
        </w:tc>
      </w:tr>
      <w:tr w:rsidR="009029FB" w:rsidRPr="001520F5" w14:paraId="60FC6F02" w14:textId="77777777" w:rsidTr="00F6200E">
        <w:trPr>
          <w:trHeight w:val="284"/>
        </w:trPr>
        <w:tc>
          <w:tcPr>
            <w:tcW w:w="1537" w:type="dxa"/>
            <w:tcBorders>
              <w:bottom w:val="single" w:sz="4" w:space="0" w:color="auto"/>
              <w:right w:val="single" w:sz="18" w:space="0" w:color="auto"/>
            </w:tcBorders>
            <w:shd w:val="clear" w:color="auto" w:fill="auto"/>
            <w:noWrap/>
            <w:vAlign w:val="bottom"/>
            <w:hideMark/>
          </w:tcPr>
          <w:p w14:paraId="4BBF813D" w14:textId="77777777" w:rsidR="00FA24FC" w:rsidRPr="001520F5" w:rsidRDefault="00FA24FC" w:rsidP="00FA24FC">
            <w:pPr>
              <w:jc w:val="right"/>
              <w:rPr>
                <w:rFonts w:ascii="Times New Roman" w:hAnsi="Times New Roman"/>
                <w:color w:val="000000"/>
                <w:sz w:val="18"/>
                <w:szCs w:val="18"/>
              </w:rPr>
            </w:pPr>
          </w:p>
        </w:tc>
        <w:tc>
          <w:tcPr>
            <w:tcW w:w="635" w:type="dxa"/>
            <w:tcBorders>
              <w:left w:val="single" w:sz="18" w:space="0" w:color="auto"/>
            </w:tcBorders>
            <w:shd w:val="clear" w:color="auto" w:fill="auto"/>
            <w:noWrap/>
            <w:vAlign w:val="bottom"/>
            <w:hideMark/>
          </w:tcPr>
          <w:p w14:paraId="0CCDE45E"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51BEB081" w14:textId="77777777" w:rsidR="00FA24FC" w:rsidRPr="001520F5" w:rsidRDefault="00FA24FC" w:rsidP="00FA24FC">
            <w:pPr>
              <w:rPr>
                <w:rFonts w:ascii="Times New Roman" w:hAnsi="Times New Roman"/>
                <w:sz w:val="18"/>
                <w:szCs w:val="18"/>
              </w:rPr>
            </w:pPr>
          </w:p>
        </w:tc>
        <w:tc>
          <w:tcPr>
            <w:tcW w:w="683" w:type="dxa"/>
            <w:shd w:val="clear" w:color="auto" w:fill="auto"/>
            <w:noWrap/>
            <w:vAlign w:val="bottom"/>
            <w:hideMark/>
          </w:tcPr>
          <w:p w14:paraId="1B863436"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068DABF3"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040A42D4"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18B25F50" w14:textId="77777777" w:rsidR="00FA24FC" w:rsidRPr="001520F5" w:rsidRDefault="00FA24FC" w:rsidP="00FA24FC">
            <w:pPr>
              <w:rPr>
                <w:rFonts w:ascii="Times New Roman" w:hAnsi="Times New Roman"/>
                <w:sz w:val="18"/>
                <w:szCs w:val="18"/>
              </w:rPr>
            </w:pPr>
          </w:p>
        </w:tc>
        <w:tc>
          <w:tcPr>
            <w:tcW w:w="1047" w:type="dxa"/>
            <w:shd w:val="clear" w:color="auto" w:fill="auto"/>
            <w:noWrap/>
            <w:vAlign w:val="bottom"/>
            <w:hideMark/>
          </w:tcPr>
          <w:p w14:paraId="0DFF3E8E"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low - high</w:t>
            </w:r>
          </w:p>
        </w:tc>
        <w:tc>
          <w:tcPr>
            <w:tcW w:w="1134" w:type="dxa"/>
            <w:shd w:val="clear" w:color="auto" w:fill="auto"/>
            <w:noWrap/>
            <w:vAlign w:val="bottom"/>
            <w:hideMark/>
          </w:tcPr>
          <w:p w14:paraId="140F93CC"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0.61</w:t>
            </w:r>
          </w:p>
        </w:tc>
        <w:tc>
          <w:tcPr>
            <w:tcW w:w="853" w:type="dxa"/>
            <w:shd w:val="clear" w:color="auto" w:fill="auto"/>
            <w:noWrap/>
            <w:vAlign w:val="bottom"/>
            <w:hideMark/>
          </w:tcPr>
          <w:p w14:paraId="72025B0A"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[0.39,</w:t>
            </w:r>
          </w:p>
          <w:p w14:paraId="34A5B427" w14:textId="43ECE462"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0.84]</w:t>
            </w:r>
          </w:p>
        </w:tc>
        <w:tc>
          <w:tcPr>
            <w:tcW w:w="665" w:type="dxa"/>
            <w:shd w:val="clear" w:color="auto" w:fill="auto"/>
            <w:noWrap/>
            <w:vAlign w:val="bottom"/>
            <w:hideMark/>
          </w:tcPr>
          <w:p w14:paraId="53FD1B1A"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&lt; .001</w:t>
            </w:r>
          </w:p>
        </w:tc>
        <w:tc>
          <w:tcPr>
            <w:tcW w:w="824" w:type="dxa"/>
            <w:shd w:val="clear" w:color="auto" w:fill="auto"/>
            <w:noWrap/>
            <w:vAlign w:val="bottom"/>
            <w:hideMark/>
          </w:tcPr>
          <w:p w14:paraId="3005939B" w14:textId="77777777" w:rsidR="00FA24FC" w:rsidRPr="001520F5" w:rsidRDefault="00FA24FC" w:rsidP="00FA24FC">
            <w:pPr>
              <w:jc w:val="right"/>
              <w:rPr>
                <w:rFonts w:ascii="Times New Roman" w:hAnsi="Times New Roman"/>
                <w:color w:val="000000"/>
                <w:sz w:val="18"/>
                <w:szCs w:val="18"/>
              </w:rPr>
            </w:pPr>
            <w:r w:rsidRPr="001520F5">
              <w:rPr>
                <w:rFonts w:ascii="Times New Roman" w:hAnsi="Times New Roman"/>
                <w:color w:val="000000"/>
                <w:sz w:val="18"/>
                <w:szCs w:val="18"/>
              </w:rPr>
              <w:t>0.38</w:t>
            </w:r>
          </w:p>
        </w:tc>
      </w:tr>
      <w:tr w:rsidR="009029FB" w:rsidRPr="001520F5" w14:paraId="7DEF1D10"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4F3B876D" w14:textId="77777777" w:rsidR="00FA24FC" w:rsidRPr="001520F5" w:rsidRDefault="00FA24FC" w:rsidP="00FA24FC">
            <w:pPr>
              <w:jc w:val="right"/>
              <w:rPr>
                <w:rFonts w:ascii="Times New Roman" w:hAnsi="Times New Roman"/>
                <w:color w:val="000000"/>
                <w:sz w:val="18"/>
                <w:szCs w:val="18"/>
              </w:rPr>
            </w:pPr>
          </w:p>
        </w:tc>
        <w:tc>
          <w:tcPr>
            <w:tcW w:w="635" w:type="dxa"/>
            <w:tcBorders>
              <w:left w:val="single" w:sz="18" w:space="0" w:color="auto"/>
            </w:tcBorders>
            <w:shd w:val="clear" w:color="auto" w:fill="auto"/>
            <w:noWrap/>
            <w:vAlign w:val="bottom"/>
            <w:hideMark/>
          </w:tcPr>
          <w:p w14:paraId="39C7496C"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2D58927F" w14:textId="77777777" w:rsidR="00FA24FC" w:rsidRPr="001520F5" w:rsidRDefault="00FA24FC" w:rsidP="00FA24FC">
            <w:pPr>
              <w:rPr>
                <w:rFonts w:ascii="Times New Roman" w:hAnsi="Times New Roman"/>
                <w:sz w:val="18"/>
                <w:szCs w:val="18"/>
              </w:rPr>
            </w:pPr>
          </w:p>
        </w:tc>
        <w:tc>
          <w:tcPr>
            <w:tcW w:w="683" w:type="dxa"/>
            <w:shd w:val="clear" w:color="auto" w:fill="auto"/>
            <w:noWrap/>
            <w:vAlign w:val="bottom"/>
            <w:hideMark/>
          </w:tcPr>
          <w:p w14:paraId="39F8D8F2"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1AA78858"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282655F0"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61BB93FB" w14:textId="77777777" w:rsidR="00FA24FC" w:rsidRPr="001520F5" w:rsidRDefault="00FA24FC" w:rsidP="00FA24FC">
            <w:pPr>
              <w:rPr>
                <w:rFonts w:ascii="Times New Roman" w:hAnsi="Times New Roman"/>
                <w:sz w:val="18"/>
                <w:szCs w:val="18"/>
              </w:rPr>
            </w:pPr>
          </w:p>
        </w:tc>
        <w:tc>
          <w:tcPr>
            <w:tcW w:w="1047" w:type="dxa"/>
            <w:shd w:val="clear" w:color="auto" w:fill="auto"/>
            <w:noWrap/>
            <w:vAlign w:val="bottom"/>
            <w:hideMark/>
          </w:tcPr>
          <w:p w14:paraId="7428DC1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high - no</w:t>
            </w:r>
          </w:p>
        </w:tc>
        <w:tc>
          <w:tcPr>
            <w:tcW w:w="1134" w:type="dxa"/>
            <w:shd w:val="clear" w:color="auto" w:fill="auto"/>
            <w:noWrap/>
            <w:vAlign w:val="bottom"/>
            <w:hideMark/>
          </w:tcPr>
          <w:p w14:paraId="5E8FA136"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-0.19</w:t>
            </w:r>
          </w:p>
        </w:tc>
        <w:tc>
          <w:tcPr>
            <w:tcW w:w="853" w:type="dxa"/>
            <w:shd w:val="clear" w:color="auto" w:fill="auto"/>
            <w:noWrap/>
            <w:vAlign w:val="bottom"/>
            <w:hideMark/>
          </w:tcPr>
          <w:p w14:paraId="3357A242"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[-0.42,</w:t>
            </w:r>
          </w:p>
          <w:p w14:paraId="47288C6D" w14:textId="338C95B2"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0.01]</w:t>
            </w:r>
          </w:p>
        </w:tc>
        <w:tc>
          <w:tcPr>
            <w:tcW w:w="665" w:type="dxa"/>
            <w:shd w:val="clear" w:color="auto" w:fill="auto"/>
            <w:noWrap/>
            <w:vAlign w:val="bottom"/>
            <w:hideMark/>
          </w:tcPr>
          <w:p w14:paraId="79A01C71" w14:textId="272E09EF" w:rsidR="00FA24FC" w:rsidRPr="001520F5" w:rsidRDefault="00FA24FC" w:rsidP="00F6200E">
            <w:pPr>
              <w:jc w:val="right"/>
              <w:rPr>
                <w:rFonts w:ascii="Times New Roman" w:hAnsi="Times New Roman"/>
                <w:color w:val="000000"/>
                <w:sz w:val="18"/>
                <w:szCs w:val="18"/>
              </w:rPr>
            </w:pPr>
            <w:r w:rsidRPr="001520F5">
              <w:rPr>
                <w:rFonts w:ascii="Times New Roman" w:hAnsi="Times New Roman"/>
                <w:color w:val="000000"/>
                <w:sz w:val="18"/>
                <w:szCs w:val="18"/>
              </w:rPr>
              <w:t>0.1</w:t>
            </w:r>
            <w:r w:rsidR="00F6200E" w:rsidRPr="001520F5">
              <w:rPr>
                <w:rFonts w:ascii="Times New Roman" w:hAnsi="Times New Roman"/>
                <w:color w:val="000000"/>
                <w:sz w:val="18"/>
                <w:szCs w:val="18"/>
              </w:rPr>
              <w:t>70</w:t>
            </w:r>
          </w:p>
        </w:tc>
        <w:tc>
          <w:tcPr>
            <w:tcW w:w="824" w:type="dxa"/>
            <w:shd w:val="clear" w:color="auto" w:fill="auto"/>
            <w:noWrap/>
            <w:vAlign w:val="bottom"/>
            <w:hideMark/>
          </w:tcPr>
          <w:p w14:paraId="0E701C01" w14:textId="77777777" w:rsidR="00FA24FC" w:rsidRPr="001520F5" w:rsidRDefault="00FA24FC" w:rsidP="00FA24FC">
            <w:pPr>
              <w:jc w:val="right"/>
              <w:rPr>
                <w:rFonts w:ascii="Times New Roman" w:hAnsi="Times New Roman"/>
                <w:color w:val="000000"/>
                <w:sz w:val="18"/>
                <w:szCs w:val="18"/>
              </w:rPr>
            </w:pPr>
          </w:p>
        </w:tc>
      </w:tr>
      <w:tr w:rsidR="009029FB" w:rsidRPr="001520F5" w14:paraId="054C1426"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593AF2AF"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Perceived effectiveness</w:t>
            </w:r>
          </w:p>
        </w:tc>
        <w:tc>
          <w:tcPr>
            <w:tcW w:w="635" w:type="dxa"/>
            <w:tcBorders>
              <w:left w:val="single" w:sz="18" w:space="0" w:color="auto"/>
            </w:tcBorders>
            <w:shd w:val="clear" w:color="auto" w:fill="auto"/>
            <w:noWrap/>
            <w:vAlign w:val="bottom"/>
            <w:hideMark/>
          </w:tcPr>
          <w:p w14:paraId="457D17CA"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4.11</w:t>
            </w:r>
          </w:p>
        </w:tc>
        <w:tc>
          <w:tcPr>
            <w:tcW w:w="684" w:type="dxa"/>
            <w:shd w:val="clear" w:color="auto" w:fill="auto"/>
            <w:noWrap/>
            <w:vAlign w:val="bottom"/>
            <w:hideMark/>
          </w:tcPr>
          <w:p w14:paraId="6B066FA8"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[3.94, 4.29]</w:t>
            </w:r>
          </w:p>
        </w:tc>
        <w:tc>
          <w:tcPr>
            <w:tcW w:w="683" w:type="dxa"/>
            <w:shd w:val="clear" w:color="auto" w:fill="auto"/>
            <w:noWrap/>
            <w:vAlign w:val="bottom"/>
            <w:hideMark/>
          </w:tcPr>
          <w:p w14:paraId="70F6609C"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4.65</w:t>
            </w:r>
          </w:p>
        </w:tc>
        <w:tc>
          <w:tcPr>
            <w:tcW w:w="685" w:type="dxa"/>
            <w:shd w:val="clear" w:color="auto" w:fill="auto"/>
            <w:noWrap/>
            <w:vAlign w:val="bottom"/>
            <w:hideMark/>
          </w:tcPr>
          <w:p w14:paraId="36E5461F"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[4.49, 4.81]</w:t>
            </w:r>
          </w:p>
        </w:tc>
        <w:tc>
          <w:tcPr>
            <w:tcW w:w="684" w:type="dxa"/>
            <w:shd w:val="clear" w:color="auto" w:fill="auto"/>
            <w:noWrap/>
            <w:vAlign w:val="bottom"/>
            <w:hideMark/>
          </w:tcPr>
          <w:p w14:paraId="14BFDA1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4.45</w:t>
            </w:r>
          </w:p>
        </w:tc>
        <w:tc>
          <w:tcPr>
            <w:tcW w:w="685" w:type="dxa"/>
            <w:shd w:val="clear" w:color="auto" w:fill="auto"/>
            <w:noWrap/>
            <w:vAlign w:val="bottom"/>
            <w:hideMark/>
          </w:tcPr>
          <w:p w14:paraId="1F1DB0F8"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[4.27, 4.62]</w:t>
            </w:r>
          </w:p>
        </w:tc>
        <w:tc>
          <w:tcPr>
            <w:tcW w:w="1047" w:type="dxa"/>
            <w:shd w:val="clear" w:color="auto" w:fill="auto"/>
            <w:noWrap/>
            <w:vAlign w:val="bottom"/>
            <w:hideMark/>
          </w:tcPr>
          <w:p w14:paraId="511AD80F"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low - no</w:t>
            </w:r>
          </w:p>
        </w:tc>
        <w:tc>
          <w:tcPr>
            <w:tcW w:w="1134" w:type="dxa"/>
            <w:shd w:val="clear" w:color="auto" w:fill="auto"/>
            <w:noWrap/>
            <w:vAlign w:val="bottom"/>
            <w:hideMark/>
          </w:tcPr>
          <w:p w14:paraId="0DDF999C"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0.35</w:t>
            </w:r>
          </w:p>
        </w:tc>
        <w:tc>
          <w:tcPr>
            <w:tcW w:w="853" w:type="dxa"/>
            <w:shd w:val="clear" w:color="auto" w:fill="auto"/>
            <w:noWrap/>
            <w:vAlign w:val="bottom"/>
            <w:hideMark/>
          </w:tcPr>
          <w:p w14:paraId="748654AE"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[0.09,</w:t>
            </w:r>
          </w:p>
          <w:p w14:paraId="5614A733" w14:textId="05F0735C"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0.57]</w:t>
            </w:r>
          </w:p>
        </w:tc>
        <w:tc>
          <w:tcPr>
            <w:tcW w:w="665" w:type="dxa"/>
            <w:shd w:val="clear" w:color="auto" w:fill="auto"/>
            <w:noWrap/>
            <w:vAlign w:val="bottom"/>
            <w:hideMark/>
          </w:tcPr>
          <w:p w14:paraId="715F2BD6" w14:textId="77777777" w:rsidR="00FA24FC" w:rsidRPr="001520F5" w:rsidRDefault="00FA24FC" w:rsidP="00FA24FC">
            <w:pPr>
              <w:jc w:val="right"/>
              <w:rPr>
                <w:rFonts w:ascii="Times New Roman" w:hAnsi="Times New Roman"/>
                <w:color w:val="000000"/>
                <w:sz w:val="18"/>
                <w:szCs w:val="18"/>
              </w:rPr>
            </w:pPr>
            <w:r w:rsidRPr="001520F5">
              <w:rPr>
                <w:rFonts w:ascii="Times New Roman" w:hAnsi="Times New Roman"/>
                <w:color w:val="000000"/>
                <w:sz w:val="18"/>
                <w:szCs w:val="18"/>
              </w:rPr>
              <w:t>0.018</w:t>
            </w:r>
          </w:p>
        </w:tc>
        <w:tc>
          <w:tcPr>
            <w:tcW w:w="824" w:type="dxa"/>
            <w:shd w:val="clear" w:color="auto" w:fill="auto"/>
            <w:noWrap/>
            <w:vAlign w:val="bottom"/>
            <w:hideMark/>
          </w:tcPr>
          <w:p w14:paraId="6B21A88D" w14:textId="77777777" w:rsidR="00FA24FC" w:rsidRPr="001520F5" w:rsidRDefault="00FA24FC" w:rsidP="00FA24FC">
            <w:pPr>
              <w:jc w:val="right"/>
              <w:rPr>
                <w:rFonts w:ascii="Times New Roman" w:hAnsi="Times New Roman"/>
                <w:color w:val="000000"/>
                <w:sz w:val="18"/>
                <w:szCs w:val="18"/>
              </w:rPr>
            </w:pPr>
            <w:r w:rsidRPr="001520F5">
              <w:rPr>
                <w:rFonts w:ascii="Times New Roman" w:hAnsi="Times New Roman"/>
                <w:color w:val="000000"/>
                <w:sz w:val="18"/>
                <w:szCs w:val="18"/>
              </w:rPr>
              <w:t>0.19</w:t>
            </w:r>
          </w:p>
        </w:tc>
      </w:tr>
      <w:tr w:rsidR="009029FB" w:rsidRPr="001520F5" w14:paraId="63575CF0"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52ADB112" w14:textId="77777777" w:rsidR="00FA24FC" w:rsidRPr="001520F5" w:rsidRDefault="00FA24FC" w:rsidP="00FA24FC">
            <w:pPr>
              <w:jc w:val="right"/>
              <w:rPr>
                <w:rFonts w:ascii="Times New Roman" w:hAnsi="Times New Roman"/>
                <w:color w:val="000000"/>
                <w:sz w:val="18"/>
                <w:szCs w:val="18"/>
              </w:rPr>
            </w:pPr>
          </w:p>
        </w:tc>
        <w:tc>
          <w:tcPr>
            <w:tcW w:w="635" w:type="dxa"/>
            <w:tcBorders>
              <w:left w:val="single" w:sz="18" w:space="0" w:color="auto"/>
            </w:tcBorders>
            <w:shd w:val="clear" w:color="auto" w:fill="auto"/>
            <w:noWrap/>
            <w:vAlign w:val="bottom"/>
            <w:hideMark/>
          </w:tcPr>
          <w:p w14:paraId="6C6EF360"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777BA308" w14:textId="77777777" w:rsidR="00FA24FC" w:rsidRPr="001520F5" w:rsidRDefault="00FA24FC" w:rsidP="00FA24FC">
            <w:pPr>
              <w:rPr>
                <w:rFonts w:ascii="Times New Roman" w:hAnsi="Times New Roman"/>
                <w:sz w:val="18"/>
                <w:szCs w:val="18"/>
              </w:rPr>
            </w:pPr>
          </w:p>
        </w:tc>
        <w:tc>
          <w:tcPr>
            <w:tcW w:w="683" w:type="dxa"/>
            <w:shd w:val="clear" w:color="auto" w:fill="auto"/>
            <w:noWrap/>
            <w:vAlign w:val="bottom"/>
            <w:hideMark/>
          </w:tcPr>
          <w:p w14:paraId="5D2A5F2B"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3D91D8CD"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1F3704B2"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1CBBDA70" w14:textId="77777777" w:rsidR="00FA24FC" w:rsidRPr="001520F5" w:rsidRDefault="00FA24FC" w:rsidP="00FA24FC">
            <w:pPr>
              <w:rPr>
                <w:rFonts w:ascii="Times New Roman" w:hAnsi="Times New Roman"/>
                <w:sz w:val="18"/>
                <w:szCs w:val="18"/>
              </w:rPr>
            </w:pPr>
          </w:p>
        </w:tc>
        <w:tc>
          <w:tcPr>
            <w:tcW w:w="1047" w:type="dxa"/>
            <w:shd w:val="clear" w:color="auto" w:fill="auto"/>
            <w:noWrap/>
            <w:vAlign w:val="bottom"/>
            <w:hideMark/>
          </w:tcPr>
          <w:p w14:paraId="6DB7AFE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low - high</w:t>
            </w:r>
          </w:p>
        </w:tc>
        <w:tc>
          <w:tcPr>
            <w:tcW w:w="1134" w:type="dxa"/>
            <w:shd w:val="clear" w:color="auto" w:fill="auto"/>
            <w:noWrap/>
            <w:vAlign w:val="bottom"/>
            <w:hideMark/>
          </w:tcPr>
          <w:p w14:paraId="3AE36FF5"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0.53</w:t>
            </w:r>
          </w:p>
        </w:tc>
        <w:tc>
          <w:tcPr>
            <w:tcW w:w="853" w:type="dxa"/>
            <w:shd w:val="clear" w:color="auto" w:fill="auto"/>
            <w:noWrap/>
            <w:vAlign w:val="bottom"/>
            <w:hideMark/>
          </w:tcPr>
          <w:p w14:paraId="23362C41"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[0.30,</w:t>
            </w:r>
          </w:p>
          <w:p w14:paraId="424AD169" w14:textId="1797521F"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0.78]</w:t>
            </w:r>
          </w:p>
        </w:tc>
        <w:tc>
          <w:tcPr>
            <w:tcW w:w="665" w:type="dxa"/>
            <w:shd w:val="clear" w:color="auto" w:fill="auto"/>
            <w:noWrap/>
            <w:vAlign w:val="bottom"/>
            <w:hideMark/>
          </w:tcPr>
          <w:p w14:paraId="4B5086F4"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&lt; .001</w:t>
            </w:r>
          </w:p>
        </w:tc>
        <w:tc>
          <w:tcPr>
            <w:tcW w:w="824" w:type="dxa"/>
            <w:shd w:val="clear" w:color="auto" w:fill="auto"/>
            <w:noWrap/>
            <w:vAlign w:val="bottom"/>
            <w:hideMark/>
          </w:tcPr>
          <w:p w14:paraId="6B56285D" w14:textId="6A072645" w:rsidR="00FA24FC" w:rsidRPr="001520F5" w:rsidRDefault="00FA24FC" w:rsidP="00D1645A">
            <w:pPr>
              <w:jc w:val="right"/>
              <w:rPr>
                <w:rFonts w:ascii="Times New Roman" w:hAnsi="Times New Roman"/>
                <w:color w:val="000000"/>
                <w:sz w:val="18"/>
                <w:szCs w:val="18"/>
              </w:rPr>
            </w:pPr>
            <w:r w:rsidRPr="001520F5">
              <w:rPr>
                <w:rFonts w:ascii="Times New Roman" w:hAnsi="Times New Roman"/>
                <w:color w:val="000000"/>
                <w:sz w:val="18"/>
                <w:szCs w:val="18"/>
              </w:rPr>
              <w:t>0.3</w:t>
            </w:r>
            <w:r w:rsidR="00D1645A" w:rsidRPr="001520F5">
              <w:rPr>
                <w:rFonts w:ascii="Times New Roman" w:hAnsi="Times New Roman"/>
                <w:color w:val="000000"/>
                <w:sz w:val="18"/>
                <w:szCs w:val="18"/>
              </w:rPr>
              <w:t>2</w:t>
            </w:r>
          </w:p>
        </w:tc>
      </w:tr>
      <w:tr w:rsidR="009029FB" w:rsidRPr="001520F5" w14:paraId="306636EA"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2995456C" w14:textId="77777777" w:rsidR="00FA24FC" w:rsidRPr="001520F5" w:rsidRDefault="00FA24FC" w:rsidP="00FA24FC">
            <w:pPr>
              <w:jc w:val="right"/>
              <w:rPr>
                <w:rFonts w:ascii="Times New Roman" w:hAnsi="Times New Roman"/>
                <w:color w:val="000000"/>
                <w:sz w:val="18"/>
                <w:szCs w:val="18"/>
              </w:rPr>
            </w:pPr>
          </w:p>
        </w:tc>
        <w:tc>
          <w:tcPr>
            <w:tcW w:w="635" w:type="dxa"/>
            <w:tcBorders>
              <w:left w:val="single" w:sz="18" w:space="0" w:color="auto"/>
            </w:tcBorders>
            <w:shd w:val="clear" w:color="auto" w:fill="auto"/>
            <w:noWrap/>
            <w:vAlign w:val="bottom"/>
            <w:hideMark/>
          </w:tcPr>
          <w:p w14:paraId="5E94F8BB"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1416F621" w14:textId="77777777" w:rsidR="00FA24FC" w:rsidRPr="001520F5" w:rsidRDefault="00FA24FC" w:rsidP="00FA24FC">
            <w:pPr>
              <w:rPr>
                <w:rFonts w:ascii="Times New Roman" w:hAnsi="Times New Roman"/>
                <w:sz w:val="18"/>
                <w:szCs w:val="18"/>
              </w:rPr>
            </w:pPr>
          </w:p>
        </w:tc>
        <w:tc>
          <w:tcPr>
            <w:tcW w:w="683" w:type="dxa"/>
            <w:shd w:val="clear" w:color="auto" w:fill="auto"/>
            <w:noWrap/>
            <w:vAlign w:val="bottom"/>
            <w:hideMark/>
          </w:tcPr>
          <w:p w14:paraId="4FECFB72"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51772BBD"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63D5DE01"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1EB2BF3B" w14:textId="77777777" w:rsidR="00FA24FC" w:rsidRPr="001520F5" w:rsidRDefault="00FA24FC" w:rsidP="00FA24FC">
            <w:pPr>
              <w:rPr>
                <w:rFonts w:ascii="Times New Roman" w:hAnsi="Times New Roman"/>
                <w:sz w:val="18"/>
                <w:szCs w:val="18"/>
              </w:rPr>
            </w:pPr>
          </w:p>
        </w:tc>
        <w:tc>
          <w:tcPr>
            <w:tcW w:w="1047" w:type="dxa"/>
            <w:shd w:val="clear" w:color="auto" w:fill="auto"/>
            <w:noWrap/>
            <w:vAlign w:val="bottom"/>
            <w:hideMark/>
          </w:tcPr>
          <w:p w14:paraId="4A5EFF5E"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high - no</w:t>
            </w:r>
          </w:p>
        </w:tc>
        <w:tc>
          <w:tcPr>
            <w:tcW w:w="1134" w:type="dxa"/>
            <w:shd w:val="clear" w:color="auto" w:fill="auto"/>
            <w:noWrap/>
            <w:vAlign w:val="bottom"/>
            <w:hideMark/>
          </w:tcPr>
          <w:p w14:paraId="3977972F" w14:textId="15D9CA3D"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-0.2</w:t>
            </w:r>
            <w:r w:rsidR="00F6200E" w:rsidRPr="001520F5">
              <w:rPr>
                <w:rFonts w:ascii="Times New Roman" w:hAnsi="Times New Roman"/>
                <w:color w:val="000000"/>
                <w:sz w:val="18"/>
                <w:szCs w:val="18"/>
              </w:rPr>
              <w:t>0</w:t>
            </w:r>
          </w:p>
        </w:tc>
        <w:tc>
          <w:tcPr>
            <w:tcW w:w="853" w:type="dxa"/>
            <w:shd w:val="clear" w:color="auto" w:fill="auto"/>
            <w:noWrap/>
            <w:vAlign w:val="bottom"/>
            <w:hideMark/>
          </w:tcPr>
          <w:p w14:paraId="71951BFA"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[-0.44,</w:t>
            </w:r>
          </w:p>
          <w:p w14:paraId="3BEFBE57" w14:textId="5B128C16"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0.03]</w:t>
            </w:r>
          </w:p>
        </w:tc>
        <w:tc>
          <w:tcPr>
            <w:tcW w:w="665" w:type="dxa"/>
            <w:shd w:val="clear" w:color="auto" w:fill="auto"/>
            <w:noWrap/>
            <w:vAlign w:val="bottom"/>
            <w:hideMark/>
          </w:tcPr>
          <w:p w14:paraId="7765E864" w14:textId="77777777" w:rsidR="00FA24FC" w:rsidRPr="001520F5" w:rsidRDefault="00FA24FC" w:rsidP="00FA24FC">
            <w:pPr>
              <w:jc w:val="right"/>
              <w:rPr>
                <w:rFonts w:ascii="Times New Roman" w:hAnsi="Times New Roman"/>
                <w:color w:val="000000"/>
                <w:sz w:val="18"/>
                <w:szCs w:val="18"/>
              </w:rPr>
            </w:pPr>
            <w:r w:rsidRPr="001520F5">
              <w:rPr>
                <w:rFonts w:ascii="Times New Roman" w:hAnsi="Times New Roman"/>
                <w:color w:val="000000"/>
                <w:sz w:val="18"/>
                <w:szCs w:val="18"/>
              </w:rPr>
              <w:t>0.203</w:t>
            </w:r>
          </w:p>
        </w:tc>
        <w:tc>
          <w:tcPr>
            <w:tcW w:w="824" w:type="dxa"/>
            <w:shd w:val="clear" w:color="auto" w:fill="auto"/>
            <w:noWrap/>
            <w:vAlign w:val="bottom"/>
            <w:hideMark/>
          </w:tcPr>
          <w:p w14:paraId="1B914DE6" w14:textId="77777777" w:rsidR="00FA24FC" w:rsidRPr="001520F5" w:rsidRDefault="00FA24FC" w:rsidP="00FA24FC">
            <w:pPr>
              <w:jc w:val="right"/>
              <w:rPr>
                <w:rFonts w:ascii="Times New Roman" w:hAnsi="Times New Roman"/>
                <w:color w:val="000000"/>
                <w:sz w:val="18"/>
                <w:szCs w:val="18"/>
              </w:rPr>
            </w:pPr>
          </w:p>
        </w:tc>
      </w:tr>
      <w:tr w:rsidR="009029FB" w:rsidRPr="001520F5" w14:paraId="055ECDEF"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5C5577FD"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Behavioural intentions</w:t>
            </w:r>
          </w:p>
        </w:tc>
        <w:tc>
          <w:tcPr>
            <w:tcW w:w="635" w:type="dxa"/>
            <w:tcBorders>
              <w:left w:val="single" w:sz="18" w:space="0" w:color="auto"/>
            </w:tcBorders>
            <w:shd w:val="clear" w:color="auto" w:fill="auto"/>
            <w:noWrap/>
            <w:vAlign w:val="bottom"/>
            <w:hideMark/>
          </w:tcPr>
          <w:p w14:paraId="55E8FB9A"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3.48</w:t>
            </w:r>
          </w:p>
        </w:tc>
        <w:tc>
          <w:tcPr>
            <w:tcW w:w="684" w:type="dxa"/>
            <w:shd w:val="clear" w:color="auto" w:fill="auto"/>
            <w:noWrap/>
            <w:vAlign w:val="bottom"/>
            <w:hideMark/>
          </w:tcPr>
          <w:p w14:paraId="660922DA"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[3.27,3.69]</w:t>
            </w:r>
          </w:p>
        </w:tc>
        <w:tc>
          <w:tcPr>
            <w:tcW w:w="683" w:type="dxa"/>
            <w:shd w:val="clear" w:color="auto" w:fill="auto"/>
            <w:noWrap/>
            <w:vAlign w:val="bottom"/>
            <w:hideMark/>
          </w:tcPr>
          <w:p w14:paraId="078AF238"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3.72</w:t>
            </w:r>
          </w:p>
        </w:tc>
        <w:tc>
          <w:tcPr>
            <w:tcW w:w="685" w:type="dxa"/>
            <w:shd w:val="clear" w:color="auto" w:fill="auto"/>
            <w:noWrap/>
            <w:vAlign w:val="bottom"/>
            <w:hideMark/>
          </w:tcPr>
          <w:p w14:paraId="787B0CD5"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[3.50,3.93]</w:t>
            </w:r>
          </w:p>
        </w:tc>
        <w:tc>
          <w:tcPr>
            <w:tcW w:w="684" w:type="dxa"/>
            <w:shd w:val="clear" w:color="auto" w:fill="auto"/>
            <w:noWrap/>
            <w:vAlign w:val="bottom"/>
            <w:hideMark/>
          </w:tcPr>
          <w:p w14:paraId="23A833F4"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3.55</w:t>
            </w:r>
          </w:p>
        </w:tc>
        <w:tc>
          <w:tcPr>
            <w:tcW w:w="685" w:type="dxa"/>
            <w:shd w:val="clear" w:color="auto" w:fill="auto"/>
            <w:noWrap/>
            <w:vAlign w:val="bottom"/>
            <w:hideMark/>
          </w:tcPr>
          <w:p w14:paraId="06DDD2C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[3.34,3.76]</w:t>
            </w:r>
          </w:p>
        </w:tc>
        <w:tc>
          <w:tcPr>
            <w:tcW w:w="1047" w:type="dxa"/>
            <w:shd w:val="clear" w:color="auto" w:fill="auto"/>
            <w:noWrap/>
            <w:vAlign w:val="bottom"/>
            <w:hideMark/>
          </w:tcPr>
          <w:p w14:paraId="06EB426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low - no</w:t>
            </w:r>
          </w:p>
        </w:tc>
        <w:tc>
          <w:tcPr>
            <w:tcW w:w="1134" w:type="dxa"/>
            <w:shd w:val="clear" w:color="auto" w:fill="auto"/>
            <w:noWrap/>
            <w:vAlign w:val="bottom"/>
            <w:hideMark/>
          </w:tcPr>
          <w:p w14:paraId="0A5E5E48" w14:textId="64228EEE"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0.1</w:t>
            </w:r>
            <w:r w:rsidR="00F6200E" w:rsidRPr="001520F5">
              <w:rPr>
                <w:rFonts w:ascii="Times New Roman" w:hAnsi="Times New Roman"/>
                <w:color w:val="000000"/>
                <w:sz w:val="18"/>
                <w:szCs w:val="18"/>
              </w:rPr>
              <w:t>0</w:t>
            </w:r>
          </w:p>
        </w:tc>
        <w:tc>
          <w:tcPr>
            <w:tcW w:w="853" w:type="dxa"/>
            <w:shd w:val="clear" w:color="auto" w:fill="auto"/>
            <w:noWrap/>
            <w:vAlign w:val="bottom"/>
            <w:hideMark/>
          </w:tcPr>
          <w:p w14:paraId="13043F19"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[-0.23,</w:t>
            </w:r>
          </w:p>
          <w:p w14:paraId="615397DE" w14:textId="5C570FC1"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0.36]</w:t>
            </w:r>
          </w:p>
        </w:tc>
        <w:tc>
          <w:tcPr>
            <w:tcW w:w="665" w:type="dxa"/>
            <w:shd w:val="clear" w:color="auto" w:fill="auto"/>
            <w:noWrap/>
            <w:vAlign w:val="bottom"/>
            <w:hideMark/>
          </w:tcPr>
          <w:p w14:paraId="5EF603D3" w14:textId="77777777" w:rsidR="00FA24FC" w:rsidRPr="001520F5" w:rsidRDefault="00FA24FC" w:rsidP="00FA24FC">
            <w:pPr>
              <w:rPr>
                <w:rFonts w:ascii="Times New Roman" w:hAnsi="Times New Roman"/>
                <w:color w:val="000000"/>
                <w:sz w:val="18"/>
                <w:szCs w:val="18"/>
              </w:rPr>
            </w:pPr>
          </w:p>
        </w:tc>
        <w:tc>
          <w:tcPr>
            <w:tcW w:w="824" w:type="dxa"/>
            <w:shd w:val="clear" w:color="auto" w:fill="auto"/>
            <w:noWrap/>
            <w:vAlign w:val="bottom"/>
            <w:hideMark/>
          </w:tcPr>
          <w:p w14:paraId="1EFDB03D" w14:textId="77777777" w:rsidR="00FA24FC" w:rsidRPr="001520F5" w:rsidRDefault="00FA24FC" w:rsidP="00FA24FC">
            <w:pPr>
              <w:jc w:val="center"/>
              <w:rPr>
                <w:rFonts w:ascii="Times New Roman" w:hAnsi="Times New Roman"/>
                <w:sz w:val="18"/>
                <w:szCs w:val="18"/>
              </w:rPr>
            </w:pPr>
          </w:p>
        </w:tc>
      </w:tr>
      <w:tr w:rsidR="009029FB" w:rsidRPr="001520F5" w14:paraId="6CE3441F"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210EFF07" w14:textId="77777777" w:rsidR="00FA24FC" w:rsidRPr="001520F5" w:rsidRDefault="00FA24FC" w:rsidP="00FA24FC">
            <w:pPr>
              <w:jc w:val="center"/>
              <w:rPr>
                <w:rFonts w:ascii="Times New Roman" w:hAnsi="Times New Roman"/>
                <w:sz w:val="18"/>
                <w:szCs w:val="18"/>
              </w:rPr>
            </w:pPr>
          </w:p>
        </w:tc>
        <w:tc>
          <w:tcPr>
            <w:tcW w:w="635" w:type="dxa"/>
            <w:tcBorders>
              <w:left w:val="single" w:sz="18" w:space="0" w:color="auto"/>
            </w:tcBorders>
            <w:shd w:val="clear" w:color="auto" w:fill="auto"/>
            <w:noWrap/>
            <w:vAlign w:val="bottom"/>
            <w:hideMark/>
          </w:tcPr>
          <w:p w14:paraId="575A61AB"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4161CAD1" w14:textId="77777777" w:rsidR="00FA24FC" w:rsidRPr="001520F5" w:rsidRDefault="00FA24FC" w:rsidP="00FA24FC">
            <w:pPr>
              <w:rPr>
                <w:rFonts w:ascii="Times New Roman" w:hAnsi="Times New Roman"/>
                <w:sz w:val="18"/>
                <w:szCs w:val="18"/>
              </w:rPr>
            </w:pPr>
          </w:p>
        </w:tc>
        <w:tc>
          <w:tcPr>
            <w:tcW w:w="683" w:type="dxa"/>
            <w:shd w:val="clear" w:color="auto" w:fill="auto"/>
            <w:noWrap/>
            <w:vAlign w:val="bottom"/>
            <w:hideMark/>
          </w:tcPr>
          <w:p w14:paraId="5FAE8AC4"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460E6F0C" w14:textId="77777777" w:rsidR="00FA24FC" w:rsidRPr="001520F5" w:rsidRDefault="00FA24FC" w:rsidP="00FA24FC">
            <w:pPr>
              <w:rPr>
                <w:rFonts w:ascii="Times New Roman" w:hAnsi="Times New Roman"/>
                <w:sz w:val="18"/>
                <w:szCs w:val="18"/>
              </w:rPr>
            </w:pPr>
          </w:p>
        </w:tc>
        <w:tc>
          <w:tcPr>
            <w:tcW w:w="684" w:type="dxa"/>
            <w:shd w:val="clear" w:color="auto" w:fill="auto"/>
            <w:noWrap/>
            <w:vAlign w:val="bottom"/>
            <w:hideMark/>
          </w:tcPr>
          <w:p w14:paraId="32C70424" w14:textId="77777777" w:rsidR="00FA24FC" w:rsidRPr="001520F5" w:rsidRDefault="00FA24FC" w:rsidP="00FA24FC">
            <w:pPr>
              <w:rPr>
                <w:rFonts w:ascii="Times New Roman" w:hAnsi="Times New Roman"/>
                <w:sz w:val="18"/>
                <w:szCs w:val="18"/>
              </w:rPr>
            </w:pPr>
          </w:p>
        </w:tc>
        <w:tc>
          <w:tcPr>
            <w:tcW w:w="685" w:type="dxa"/>
            <w:shd w:val="clear" w:color="auto" w:fill="auto"/>
            <w:noWrap/>
            <w:vAlign w:val="bottom"/>
            <w:hideMark/>
          </w:tcPr>
          <w:p w14:paraId="17F69852" w14:textId="77777777" w:rsidR="00FA24FC" w:rsidRPr="001520F5" w:rsidRDefault="00FA24FC" w:rsidP="00FA24FC">
            <w:pPr>
              <w:rPr>
                <w:rFonts w:ascii="Times New Roman" w:hAnsi="Times New Roman"/>
                <w:sz w:val="18"/>
                <w:szCs w:val="18"/>
              </w:rPr>
            </w:pPr>
          </w:p>
        </w:tc>
        <w:tc>
          <w:tcPr>
            <w:tcW w:w="1047" w:type="dxa"/>
            <w:shd w:val="clear" w:color="auto" w:fill="auto"/>
            <w:noWrap/>
            <w:vAlign w:val="bottom"/>
            <w:hideMark/>
          </w:tcPr>
          <w:p w14:paraId="6A3E40F4"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low - high</w:t>
            </w:r>
          </w:p>
        </w:tc>
        <w:tc>
          <w:tcPr>
            <w:tcW w:w="1134" w:type="dxa"/>
            <w:shd w:val="clear" w:color="auto" w:fill="auto"/>
            <w:noWrap/>
            <w:vAlign w:val="bottom"/>
            <w:hideMark/>
          </w:tcPr>
          <w:p w14:paraId="714EAF33"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0.23</w:t>
            </w:r>
          </w:p>
        </w:tc>
        <w:tc>
          <w:tcPr>
            <w:tcW w:w="853" w:type="dxa"/>
            <w:shd w:val="clear" w:color="auto" w:fill="auto"/>
            <w:noWrap/>
            <w:vAlign w:val="bottom"/>
            <w:hideMark/>
          </w:tcPr>
          <w:p w14:paraId="714EA8FD"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[-0.06,</w:t>
            </w:r>
          </w:p>
          <w:p w14:paraId="72A41A35" w14:textId="76CB537C"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0.53]</w:t>
            </w:r>
          </w:p>
        </w:tc>
        <w:tc>
          <w:tcPr>
            <w:tcW w:w="665" w:type="dxa"/>
            <w:shd w:val="clear" w:color="auto" w:fill="auto"/>
            <w:noWrap/>
            <w:vAlign w:val="bottom"/>
            <w:hideMark/>
          </w:tcPr>
          <w:p w14:paraId="1C8E45A3" w14:textId="77777777" w:rsidR="00FA24FC" w:rsidRPr="001520F5" w:rsidRDefault="00FA24FC" w:rsidP="00FA24FC">
            <w:pPr>
              <w:rPr>
                <w:rFonts w:ascii="Times New Roman" w:hAnsi="Times New Roman"/>
                <w:color w:val="000000"/>
                <w:sz w:val="18"/>
                <w:szCs w:val="18"/>
              </w:rPr>
            </w:pPr>
          </w:p>
        </w:tc>
        <w:tc>
          <w:tcPr>
            <w:tcW w:w="824" w:type="dxa"/>
            <w:shd w:val="clear" w:color="auto" w:fill="auto"/>
            <w:noWrap/>
            <w:vAlign w:val="bottom"/>
            <w:hideMark/>
          </w:tcPr>
          <w:p w14:paraId="191244BA" w14:textId="77777777" w:rsidR="00FA24FC" w:rsidRPr="001520F5" w:rsidRDefault="00FA24FC" w:rsidP="00FA24FC">
            <w:pPr>
              <w:jc w:val="center"/>
              <w:rPr>
                <w:rFonts w:ascii="Times New Roman" w:hAnsi="Times New Roman"/>
                <w:sz w:val="18"/>
                <w:szCs w:val="18"/>
              </w:rPr>
            </w:pPr>
          </w:p>
        </w:tc>
      </w:tr>
      <w:tr w:rsidR="009029FB" w:rsidRPr="001520F5" w14:paraId="79BB89FF" w14:textId="77777777" w:rsidTr="00F6200E">
        <w:trPr>
          <w:trHeight w:val="284"/>
        </w:trPr>
        <w:tc>
          <w:tcPr>
            <w:tcW w:w="1537" w:type="dxa"/>
            <w:tcBorders>
              <w:top w:val="single" w:sz="4" w:space="0" w:color="auto"/>
              <w:bottom w:val="single" w:sz="18" w:space="0" w:color="auto"/>
              <w:right w:val="single" w:sz="18" w:space="0" w:color="auto"/>
            </w:tcBorders>
            <w:shd w:val="clear" w:color="auto" w:fill="auto"/>
            <w:noWrap/>
            <w:vAlign w:val="bottom"/>
            <w:hideMark/>
          </w:tcPr>
          <w:p w14:paraId="65B94E13" w14:textId="77777777" w:rsidR="00FA24FC" w:rsidRPr="001520F5" w:rsidRDefault="00FA24FC" w:rsidP="00FA24FC">
            <w:pPr>
              <w:jc w:val="center"/>
              <w:rPr>
                <w:rFonts w:ascii="Times New Roman" w:hAnsi="Times New Roman"/>
                <w:sz w:val="18"/>
                <w:szCs w:val="18"/>
              </w:rPr>
            </w:pPr>
          </w:p>
        </w:tc>
        <w:tc>
          <w:tcPr>
            <w:tcW w:w="635" w:type="dxa"/>
            <w:tcBorders>
              <w:left w:val="single" w:sz="18" w:space="0" w:color="auto"/>
              <w:bottom w:val="single" w:sz="18" w:space="0" w:color="auto"/>
            </w:tcBorders>
            <w:shd w:val="clear" w:color="auto" w:fill="auto"/>
            <w:noWrap/>
            <w:vAlign w:val="bottom"/>
            <w:hideMark/>
          </w:tcPr>
          <w:p w14:paraId="10F50FA3" w14:textId="77777777" w:rsidR="00FA24FC" w:rsidRPr="001520F5" w:rsidRDefault="00FA24FC" w:rsidP="00FA24FC">
            <w:pPr>
              <w:rPr>
                <w:rFonts w:ascii="Times New Roman" w:hAnsi="Times New Roman"/>
                <w:sz w:val="18"/>
                <w:szCs w:val="18"/>
              </w:rPr>
            </w:pPr>
          </w:p>
        </w:tc>
        <w:tc>
          <w:tcPr>
            <w:tcW w:w="684" w:type="dxa"/>
            <w:tcBorders>
              <w:bottom w:val="single" w:sz="18" w:space="0" w:color="auto"/>
            </w:tcBorders>
            <w:shd w:val="clear" w:color="auto" w:fill="auto"/>
            <w:noWrap/>
            <w:vAlign w:val="bottom"/>
            <w:hideMark/>
          </w:tcPr>
          <w:p w14:paraId="2465A6CD" w14:textId="77777777" w:rsidR="00FA24FC" w:rsidRPr="001520F5" w:rsidRDefault="00FA24FC" w:rsidP="00FA24FC">
            <w:pPr>
              <w:rPr>
                <w:rFonts w:ascii="Times New Roman" w:hAnsi="Times New Roman"/>
                <w:sz w:val="18"/>
                <w:szCs w:val="18"/>
              </w:rPr>
            </w:pPr>
          </w:p>
        </w:tc>
        <w:tc>
          <w:tcPr>
            <w:tcW w:w="683" w:type="dxa"/>
            <w:tcBorders>
              <w:bottom w:val="single" w:sz="18" w:space="0" w:color="auto"/>
            </w:tcBorders>
            <w:shd w:val="clear" w:color="auto" w:fill="auto"/>
            <w:noWrap/>
            <w:vAlign w:val="bottom"/>
            <w:hideMark/>
          </w:tcPr>
          <w:p w14:paraId="6ABCBDFE" w14:textId="77777777" w:rsidR="00FA24FC" w:rsidRPr="001520F5" w:rsidRDefault="00FA24FC" w:rsidP="00FA24FC">
            <w:pPr>
              <w:rPr>
                <w:rFonts w:ascii="Times New Roman" w:hAnsi="Times New Roman"/>
                <w:sz w:val="18"/>
                <w:szCs w:val="18"/>
              </w:rPr>
            </w:pPr>
          </w:p>
        </w:tc>
        <w:tc>
          <w:tcPr>
            <w:tcW w:w="685" w:type="dxa"/>
            <w:tcBorders>
              <w:bottom w:val="single" w:sz="18" w:space="0" w:color="auto"/>
            </w:tcBorders>
            <w:shd w:val="clear" w:color="auto" w:fill="auto"/>
            <w:noWrap/>
            <w:vAlign w:val="bottom"/>
            <w:hideMark/>
          </w:tcPr>
          <w:p w14:paraId="65D1A9F7" w14:textId="77777777" w:rsidR="00FA24FC" w:rsidRPr="001520F5" w:rsidRDefault="00FA24FC" w:rsidP="00FA24FC">
            <w:pPr>
              <w:rPr>
                <w:rFonts w:ascii="Times New Roman" w:hAnsi="Times New Roman"/>
                <w:sz w:val="18"/>
                <w:szCs w:val="18"/>
              </w:rPr>
            </w:pPr>
          </w:p>
        </w:tc>
        <w:tc>
          <w:tcPr>
            <w:tcW w:w="684" w:type="dxa"/>
            <w:tcBorders>
              <w:bottom w:val="single" w:sz="18" w:space="0" w:color="auto"/>
            </w:tcBorders>
            <w:shd w:val="clear" w:color="auto" w:fill="auto"/>
            <w:noWrap/>
            <w:vAlign w:val="bottom"/>
            <w:hideMark/>
          </w:tcPr>
          <w:p w14:paraId="377249C3" w14:textId="77777777" w:rsidR="00FA24FC" w:rsidRPr="001520F5" w:rsidRDefault="00FA24FC" w:rsidP="00FA24FC">
            <w:pPr>
              <w:rPr>
                <w:rFonts w:ascii="Times New Roman" w:hAnsi="Times New Roman"/>
                <w:sz w:val="18"/>
                <w:szCs w:val="18"/>
              </w:rPr>
            </w:pPr>
          </w:p>
        </w:tc>
        <w:tc>
          <w:tcPr>
            <w:tcW w:w="685" w:type="dxa"/>
            <w:tcBorders>
              <w:bottom w:val="single" w:sz="18" w:space="0" w:color="auto"/>
            </w:tcBorders>
            <w:shd w:val="clear" w:color="auto" w:fill="auto"/>
            <w:noWrap/>
            <w:vAlign w:val="bottom"/>
            <w:hideMark/>
          </w:tcPr>
          <w:p w14:paraId="3684A04C" w14:textId="77777777" w:rsidR="00FA24FC" w:rsidRPr="001520F5" w:rsidRDefault="00FA24FC" w:rsidP="00FA24FC">
            <w:pPr>
              <w:rPr>
                <w:rFonts w:ascii="Times New Roman" w:hAnsi="Times New Roman"/>
                <w:sz w:val="18"/>
                <w:szCs w:val="18"/>
              </w:rPr>
            </w:pPr>
          </w:p>
        </w:tc>
        <w:tc>
          <w:tcPr>
            <w:tcW w:w="1047" w:type="dxa"/>
            <w:tcBorders>
              <w:bottom w:val="single" w:sz="18" w:space="0" w:color="auto"/>
            </w:tcBorders>
            <w:shd w:val="clear" w:color="auto" w:fill="auto"/>
            <w:noWrap/>
            <w:vAlign w:val="bottom"/>
            <w:hideMark/>
          </w:tcPr>
          <w:p w14:paraId="1906510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high - no</w:t>
            </w:r>
          </w:p>
        </w:tc>
        <w:tc>
          <w:tcPr>
            <w:tcW w:w="1134" w:type="dxa"/>
            <w:tcBorders>
              <w:bottom w:val="single" w:sz="18" w:space="0" w:color="auto"/>
            </w:tcBorders>
            <w:shd w:val="clear" w:color="auto" w:fill="auto"/>
            <w:noWrap/>
            <w:vAlign w:val="bottom"/>
            <w:hideMark/>
          </w:tcPr>
          <w:p w14:paraId="225EABEB"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-0.15</w:t>
            </w:r>
          </w:p>
        </w:tc>
        <w:tc>
          <w:tcPr>
            <w:tcW w:w="853" w:type="dxa"/>
            <w:tcBorders>
              <w:bottom w:val="single" w:sz="18" w:space="0" w:color="auto"/>
            </w:tcBorders>
            <w:shd w:val="clear" w:color="auto" w:fill="auto"/>
            <w:noWrap/>
            <w:vAlign w:val="bottom"/>
            <w:hideMark/>
          </w:tcPr>
          <w:p w14:paraId="457C1877"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[-0.46,</w:t>
            </w:r>
          </w:p>
          <w:p w14:paraId="24F62952" w14:textId="6CB70D0A"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0.13]</w:t>
            </w:r>
          </w:p>
        </w:tc>
        <w:tc>
          <w:tcPr>
            <w:tcW w:w="665" w:type="dxa"/>
            <w:tcBorders>
              <w:bottom w:val="single" w:sz="18" w:space="0" w:color="auto"/>
            </w:tcBorders>
            <w:shd w:val="clear" w:color="auto" w:fill="auto"/>
            <w:noWrap/>
            <w:vAlign w:val="bottom"/>
            <w:hideMark/>
          </w:tcPr>
          <w:p w14:paraId="129BE531" w14:textId="77777777" w:rsidR="00FA24FC" w:rsidRPr="001520F5" w:rsidRDefault="00FA24FC" w:rsidP="00FA24FC">
            <w:pPr>
              <w:rPr>
                <w:rFonts w:ascii="Times New Roman" w:hAnsi="Times New Roman"/>
                <w:color w:val="000000"/>
                <w:sz w:val="18"/>
                <w:szCs w:val="18"/>
              </w:rPr>
            </w:pPr>
          </w:p>
        </w:tc>
        <w:tc>
          <w:tcPr>
            <w:tcW w:w="824" w:type="dxa"/>
            <w:tcBorders>
              <w:bottom w:val="single" w:sz="18" w:space="0" w:color="auto"/>
            </w:tcBorders>
            <w:shd w:val="clear" w:color="auto" w:fill="auto"/>
            <w:noWrap/>
            <w:vAlign w:val="bottom"/>
            <w:hideMark/>
          </w:tcPr>
          <w:p w14:paraId="01B43756" w14:textId="77777777" w:rsidR="00FA24FC" w:rsidRPr="001520F5" w:rsidRDefault="00FA24FC" w:rsidP="00FA24FC">
            <w:pPr>
              <w:jc w:val="center"/>
              <w:rPr>
                <w:rFonts w:ascii="Times New Roman" w:hAnsi="Times New Roman"/>
                <w:sz w:val="18"/>
                <w:szCs w:val="18"/>
              </w:rPr>
            </w:pPr>
          </w:p>
        </w:tc>
      </w:tr>
      <w:tr w:rsidR="00EA4257" w:rsidRPr="001520F5" w14:paraId="54E27BC1" w14:textId="77777777" w:rsidTr="00F6200E">
        <w:trPr>
          <w:trHeight w:val="284"/>
        </w:trPr>
        <w:tc>
          <w:tcPr>
            <w:tcW w:w="1537" w:type="dxa"/>
            <w:tcBorders>
              <w:top w:val="single" w:sz="18" w:space="0" w:color="auto"/>
              <w:bottom w:val="nil"/>
              <w:right w:val="single" w:sz="18" w:space="0" w:color="auto"/>
            </w:tcBorders>
            <w:shd w:val="clear" w:color="auto" w:fill="auto"/>
            <w:noWrap/>
            <w:vAlign w:val="bottom"/>
            <w:hideMark/>
          </w:tcPr>
          <w:p w14:paraId="2AA9FED7"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1319" w:type="dxa"/>
            <w:gridSpan w:val="2"/>
            <w:tcBorders>
              <w:top w:val="single" w:sz="18" w:space="0" w:color="auto"/>
              <w:left w:val="single" w:sz="18" w:space="0" w:color="auto"/>
              <w:bottom w:val="nil"/>
            </w:tcBorders>
            <w:shd w:val="clear" w:color="auto" w:fill="auto"/>
            <w:noWrap/>
            <w:vAlign w:val="bottom"/>
            <w:hideMark/>
          </w:tcPr>
          <w:p w14:paraId="56A24A9B"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With icon array</w:t>
            </w:r>
          </w:p>
        </w:tc>
        <w:tc>
          <w:tcPr>
            <w:tcW w:w="1368" w:type="dxa"/>
            <w:gridSpan w:val="2"/>
            <w:tcBorders>
              <w:top w:val="single" w:sz="18" w:space="0" w:color="auto"/>
              <w:bottom w:val="nil"/>
            </w:tcBorders>
            <w:shd w:val="clear" w:color="auto" w:fill="auto"/>
            <w:noWrap/>
            <w:vAlign w:val="bottom"/>
            <w:hideMark/>
          </w:tcPr>
          <w:p w14:paraId="2B15079C"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Without icon array</w:t>
            </w:r>
          </w:p>
        </w:tc>
        <w:tc>
          <w:tcPr>
            <w:tcW w:w="684" w:type="dxa"/>
            <w:tcBorders>
              <w:top w:val="single" w:sz="18" w:space="0" w:color="auto"/>
              <w:bottom w:val="nil"/>
            </w:tcBorders>
            <w:shd w:val="clear" w:color="auto" w:fill="auto"/>
            <w:noWrap/>
            <w:vAlign w:val="bottom"/>
            <w:hideMark/>
          </w:tcPr>
          <w:p w14:paraId="60D1A358"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c>
          <w:tcPr>
            <w:tcW w:w="685" w:type="dxa"/>
            <w:tcBorders>
              <w:top w:val="single" w:sz="18" w:space="0" w:color="auto"/>
              <w:bottom w:val="nil"/>
            </w:tcBorders>
            <w:shd w:val="clear" w:color="auto" w:fill="auto"/>
            <w:noWrap/>
            <w:vAlign w:val="bottom"/>
            <w:hideMark/>
          </w:tcPr>
          <w:p w14:paraId="65743F3B"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c>
          <w:tcPr>
            <w:tcW w:w="1047" w:type="dxa"/>
            <w:tcBorders>
              <w:top w:val="single" w:sz="18" w:space="0" w:color="auto"/>
              <w:bottom w:val="nil"/>
            </w:tcBorders>
            <w:shd w:val="clear" w:color="auto" w:fill="auto"/>
            <w:noWrap/>
            <w:vAlign w:val="bottom"/>
            <w:hideMark/>
          </w:tcPr>
          <w:p w14:paraId="37AAB996"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c>
          <w:tcPr>
            <w:tcW w:w="1987" w:type="dxa"/>
            <w:gridSpan w:val="2"/>
            <w:tcBorders>
              <w:top w:val="single" w:sz="18" w:space="0" w:color="auto"/>
              <w:bottom w:val="nil"/>
            </w:tcBorders>
            <w:shd w:val="clear" w:color="auto" w:fill="auto"/>
            <w:noWrap/>
            <w:vAlign w:val="bottom"/>
            <w:hideMark/>
          </w:tcPr>
          <w:p w14:paraId="2B9E92B3"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c>
          <w:tcPr>
            <w:tcW w:w="665" w:type="dxa"/>
            <w:tcBorders>
              <w:top w:val="single" w:sz="18" w:space="0" w:color="auto"/>
              <w:bottom w:val="nil"/>
            </w:tcBorders>
            <w:shd w:val="clear" w:color="auto" w:fill="auto"/>
            <w:noWrap/>
            <w:vAlign w:val="bottom"/>
            <w:hideMark/>
          </w:tcPr>
          <w:p w14:paraId="7D6EA36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824" w:type="dxa"/>
            <w:tcBorders>
              <w:top w:val="single" w:sz="18" w:space="0" w:color="auto"/>
              <w:bottom w:val="nil"/>
            </w:tcBorders>
            <w:shd w:val="clear" w:color="auto" w:fill="auto"/>
            <w:noWrap/>
            <w:vAlign w:val="bottom"/>
            <w:hideMark/>
          </w:tcPr>
          <w:p w14:paraId="187ED5F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r>
      <w:tr w:rsidR="009029FB" w:rsidRPr="001520F5" w14:paraId="4F1F18B0" w14:textId="77777777" w:rsidTr="00F6200E">
        <w:trPr>
          <w:trHeight w:val="520"/>
        </w:trPr>
        <w:tc>
          <w:tcPr>
            <w:tcW w:w="1537" w:type="dxa"/>
            <w:tcBorders>
              <w:top w:val="nil"/>
              <w:bottom w:val="single" w:sz="18" w:space="0" w:color="auto"/>
              <w:right w:val="single" w:sz="18" w:space="0" w:color="auto"/>
            </w:tcBorders>
            <w:shd w:val="clear" w:color="auto" w:fill="auto"/>
            <w:noWrap/>
            <w:vAlign w:val="bottom"/>
            <w:hideMark/>
          </w:tcPr>
          <w:p w14:paraId="0FB288F6"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635" w:type="dxa"/>
            <w:tcBorders>
              <w:top w:val="nil"/>
              <w:left w:val="single" w:sz="18" w:space="0" w:color="auto"/>
              <w:bottom w:val="single" w:sz="18" w:space="0" w:color="auto"/>
            </w:tcBorders>
            <w:shd w:val="clear" w:color="auto" w:fill="auto"/>
            <w:noWrap/>
            <w:vAlign w:val="bottom"/>
            <w:hideMark/>
          </w:tcPr>
          <w:p w14:paraId="4F3D03C8"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w:t>
            </w:r>
          </w:p>
        </w:tc>
        <w:tc>
          <w:tcPr>
            <w:tcW w:w="684" w:type="dxa"/>
            <w:tcBorders>
              <w:top w:val="nil"/>
              <w:bottom w:val="single" w:sz="18" w:space="0" w:color="auto"/>
            </w:tcBorders>
            <w:shd w:val="clear" w:color="auto" w:fill="auto"/>
            <w:noWrap/>
            <w:vAlign w:val="bottom"/>
            <w:hideMark/>
          </w:tcPr>
          <w:p w14:paraId="72C6F54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683" w:type="dxa"/>
            <w:tcBorders>
              <w:top w:val="nil"/>
              <w:bottom w:val="single" w:sz="18" w:space="0" w:color="auto"/>
            </w:tcBorders>
            <w:shd w:val="clear" w:color="auto" w:fill="auto"/>
            <w:noWrap/>
            <w:vAlign w:val="bottom"/>
            <w:hideMark/>
          </w:tcPr>
          <w:p w14:paraId="55BBCA81"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w:t>
            </w:r>
          </w:p>
        </w:tc>
        <w:tc>
          <w:tcPr>
            <w:tcW w:w="685" w:type="dxa"/>
            <w:tcBorders>
              <w:top w:val="nil"/>
              <w:bottom w:val="single" w:sz="18" w:space="0" w:color="auto"/>
            </w:tcBorders>
            <w:shd w:val="clear" w:color="auto" w:fill="auto"/>
            <w:noWrap/>
            <w:vAlign w:val="bottom"/>
            <w:hideMark/>
          </w:tcPr>
          <w:p w14:paraId="20549580"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684" w:type="dxa"/>
            <w:tcBorders>
              <w:top w:val="nil"/>
              <w:bottom w:val="single" w:sz="18" w:space="0" w:color="auto"/>
            </w:tcBorders>
            <w:shd w:val="clear" w:color="auto" w:fill="auto"/>
            <w:noWrap/>
            <w:vAlign w:val="bottom"/>
            <w:hideMark/>
          </w:tcPr>
          <w:p w14:paraId="67F812C9"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685" w:type="dxa"/>
            <w:tcBorders>
              <w:top w:val="nil"/>
              <w:bottom w:val="single" w:sz="18" w:space="0" w:color="auto"/>
            </w:tcBorders>
            <w:shd w:val="clear" w:color="auto" w:fill="auto"/>
            <w:noWrap/>
            <w:vAlign w:val="bottom"/>
            <w:hideMark/>
          </w:tcPr>
          <w:p w14:paraId="32F58735"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1047" w:type="dxa"/>
            <w:tcBorders>
              <w:top w:val="nil"/>
              <w:bottom w:val="single" w:sz="18" w:space="0" w:color="auto"/>
            </w:tcBorders>
            <w:shd w:val="clear" w:color="auto" w:fill="auto"/>
            <w:noWrap/>
            <w:vAlign w:val="bottom"/>
            <w:hideMark/>
          </w:tcPr>
          <w:p w14:paraId="1050BC19"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1134" w:type="dxa"/>
            <w:tcBorders>
              <w:top w:val="nil"/>
              <w:bottom w:val="single" w:sz="18" w:space="0" w:color="auto"/>
            </w:tcBorders>
            <w:shd w:val="clear" w:color="auto" w:fill="auto"/>
            <w:vAlign w:val="bottom"/>
            <w:hideMark/>
          </w:tcPr>
          <w:p w14:paraId="044CB545"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Mean difference</w:t>
            </w:r>
          </w:p>
        </w:tc>
        <w:tc>
          <w:tcPr>
            <w:tcW w:w="853" w:type="dxa"/>
            <w:tcBorders>
              <w:top w:val="nil"/>
              <w:bottom w:val="single" w:sz="18" w:space="0" w:color="auto"/>
            </w:tcBorders>
            <w:shd w:val="clear" w:color="auto" w:fill="auto"/>
            <w:noWrap/>
            <w:vAlign w:val="bottom"/>
            <w:hideMark/>
          </w:tcPr>
          <w:p w14:paraId="0DD2D5A9"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95% CI</w:t>
            </w:r>
          </w:p>
        </w:tc>
        <w:tc>
          <w:tcPr>
            <w:tcW w:w="665" w:type="dxa"/>
            <w:tcBorders>
              <w:top w:val="nil"/>
              <w:bottom w:val="single" w:sz="18" w:space="0" w:color="auto"/>
            </w:tcBorders>
            <w:shd w:val="clear" w:color="auto" w:fill="auto"/>
            <w:noWrap/>
            <w:vAlign w:val="bottom"/>
            <w:hideMark/>
          </w:tcPr>
          <w:p w14:paraId="6C5B73B5"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c>
          <w:tcPr>
            <w:tcW w:w="824" w:type="dxa"/>
            <w:tcBorders>
              <w:top w:val="nil"/>
              <w:bottom w:val="single" w:sz="18" w:space="0" w:color="auto"/>
            </w:tcBorders>
            <w:shd w:val="clear" w:color="auto" w:fill="auto"/>
            <w:noWrap/>
            <w:vAlign w:val="bottom"/>
            <w:hideMark/>
          </w:tcPr>
          <w:p w14:paraId="0B72D341"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r>
      <w:tr w:rsidR="009029FB" w:rsidRPr="001520F5" w14:paraId="13962A7E" w14:textId="77777777" w:rsidTr="00F6200E">
        <w:trPr>
          <w:trHeight w:val="284"/>
        </w:trPr>
        <w:tc>
          <w:tcPr>
            <w:tcW w:w="1537" w:type="dxa"/>
            <w:tcBorders>
              <w:top w:val="single" w:sz="18" w:space="0" w:color="auto"/>
              <w:bottom w:val="single" w:sz="4" w:space="0" w:color="auto"/>
              <w:right w:val="single" w:sz="18" w:space="0" w:color="auto"/>
            </w:tcBorders>
            <w:shd w:val="clear" w:color="auto" w:fill="auto"/>
            <w:noWrap/>
            <w:vAlign w:val="bottom"/>
            <w:hideMark/>
          </w:tcPr>
          <w:p w14:paraId="7702FAFD"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Perceived trustworthiness</w:t>
            </w:r>
          </w:p>
        </w:tc>
        <w:tc>
          <w:tcPr>
            <w:tcW w:w="635" w:type="dxa"/>
            <w:tcBorders>
              <w:top w:val="single" w:sz="18" w:space="0" w:color="auto"/>
              <w:left w:val="single" w:sz="18" w:space="0" w:color="auto"/>
            </w:tcBorders>
            <w:shd w:val="clear" w:color="auto" w:fill="auto"/>
            <w:noWrap/>
            <w:vAlign w:val="bottom"/>
            <w:hideMark/>
          </w:tcPr>
          <w:p w14:paraId="4863C10F"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4.45</w:t>
            </w:r>
          </w:p>
        </w:tc>
        <w:tc>
          <w:tcPr>
            <w:tcW w:w="684" w:type="dxa"/>
            <w:tcBorders>
              <w:top w:val="single" w:sz="18" w:space="0" w:color="auto"/>
            </w:tcBorders>
            <w:shd w:val="clear" w:color="auto" w:fill="auto"/>
            <w:noWrap/>
            <w:vAlign w:val="bottom"/>
            <w:hideMark/>
          </w:tcPr>
          <w:p w14:paraId="35F22DBF"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[4.32,4.58]</w:t>
            </w:r>
          </w:p>
        </w:tc>
        <w:tc>
          <w:tcPr>
            <w:tcW w:w="683" w:type="dxa"/>
            <w:tcBorders>
              <w:top w:val="single" w:sz="18" w:space="0" w:color="auto"/>
            </w:tcBorders>
            <w:shd w:val="clear" w:color="auto" w:fill="auto"/>
            <w:noWrap/>
            <w:vAlign w:val="bottom"/>
            <w:hideMark/>
          </w:tcPr>
          <w:p w14:paraId="26D1D54D"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4.37</w:t>
            </w:r>
          </w:p>
        </w:tc>
        <w:tc>
          <w:tcPr>
            <w:tcW w:w="685" w:type="dxa"/>
            <w:tcBorders>
              <w:top w:val="single" w:sz="18" w:space="0" w:color="auto"/>
            </w:tcBorders>
            <w:shd w:val="clear" w:color="auto" w:fill="auto"/>
            <w:noWrap/>
            <w:vAlign w:val="bottom"/>
            <w:hideMark/>
          </w:tcPr>
          <w:p w14:paraId="5AF0A770"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[4.24,4.50]</w:t>
            </w:r>
          </w:p>
        </w:tc>
        <w:tc>
          <w:tcPr>
            <w:tcW w:w="684" w:type="dxa"/>
            <w:tcBorders>
              <w:top w:val="single" w:sz="18" w:space="0" w:color="auto"/>
            </w:tcBorders>
            <w:shd w:val="clear" w:color="auto" w:fill="auto"/>
            <w:noWrap/>
            <w:vAlign w:val="bottom"/>
            <w:hideMark/>
          </w:tcPr>
          <w:p w14:paraId="5D5463EE" w14:textId="77777777" w:rsidR="00FA24FC" w:rsidRPr="001520F5" w:rsidRDefault="00FA24FC" w:rsidP="00FA24FC">
            <w:pPr>
              <w:rPr>
                <w:rFonts w:ascii="Times New Roman" w:hAnsi="Times New Roman"/>
                <w:color w:val="000000"/>
                <w:sz w:val="18"/>
                <w:szCs w:val="18"/>
              </w:rPr>
            </w:pPr>
          </w:p>
        </w:tc>
        <w:tc>
          <w:tcPr>
            <w:tcW w:w="685" w:type="dxa"/>
            <w:tcBorders>
              <w:top w:val="single" w:sz="18" w:space="0" w:color="auto"/>
            </w:tcBorders>
            <w:shd w:val="clear" w:color="auto" w:fill="auto"/>
            <w:noWrap/>
            <w:vAlign w:val="bottom"/>
            <w:hideMark/>
          </w:tcPr>
          <w:p w14:paraId="098A7F0D" w14:textId="77777777" w:rsidR="00FA24FC" w:rsidRPr="001520F5" w:rsidRDefault="00FA24FC" w:rsidP="00FA24FC">
            <w:pPr>
              <w:rPr>
                <w:rFonts w:ascii="Times New Roman" w:hAnsi="Times New Roman"/>
                <w:sz w:val="18"/>
                <w:szCs w:val="18"/>
              </w:rPr>
            </w:pPr>
          </w:p>
        </w:tc>
        <w:tc>
          <w:tcPr>
            <w:tcW w:w="1047" w:type="dxa"/>
            <w:tcBorders>
              <w:top w:val="single" w:sz="18" w:space="0" w:color="auto"/>
            </w:tcBorders>
            <w:shd w:val="clear" w:color="auto" w:fill="auto"/>
            <w:noWrap/>
            <w:vAlign w:val="bottom"/>
            <w:hideMark/>
          </w:tcPr>
          <w:p w14:paraId="2138C42E" w14:textId="77777777" w:rsidR="00FA24FC" w:rsidRPr="001520F5" w:rsidRDefault="00FA24FC" w:rsidP="00FA24FC">
            <w:pPr>
              <w:rPr>
                <w:rFonts w:ascii="Times New Roman" w:hAnsi="Times New Roman"/>
                <w:sz w:val="18"/>
                <w:szCs w:val="18"/>
              </w:rPr>
            </w:pPr>
          </w:p>
        </w:tc>
        <w:tc>
          <w:tcPr>
            <w:tcW w:w="1134" w:type="dxa"/>
            <w:tcBorders>
              <w:top w:val="single" w:sz="18" w:space="0" w:color="auto"/>
            </w:tcBorders>
            <w:shd w:val="clear" w:color="auto" w:fill="auto"/>
            <w:noWrap/>
            <w:vAlign w:val="bottom"/>
            <w:hideMark/>
          </w:tcPr>
          <w:p w14:paraId="19CAE3DE"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0.07</w:t>
            </w:r>
          </w:p>
        </w:tc>
        <w:tc>
          <w:tcPr>
            <w:tcW w:w="853" w:type="dxa"/>
            <w:tcBorders>
              <w:top w:val="single" w:sz="18" w:space="0" w:color="auto"/>
            </w:tcBorders>
            <w:shd w:val="clear" w:color="auto" w:fill="auto"/>
            <w:noWrap/>
            <w:vAlign w:val="bottom"/>
            <w:hideMark/>
          </w:tcPr>
          <w:p w14:paraId="44C66517"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[-0.11,</w:t>
            </w:r>
          </w:p>
          <w:p w14:paraId="1794763F" w14:textId="6A9A83FD"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0.26]</w:t>
            </w:r>
          </w:p>
        </w:tc>
        <w:tc>
          <w:tcPr>
            <w:tcW w:w="665" w:type="dxa"/>
            <w:tcBorders>
              <w:top w:val="single" w:sz="18" w:space="0" w:color="auto"/>
            </w:tcBorders>
            <w:shd w:val="clear" w:color="auto" w:fill="auto"/>
            <w:noWrap/>
            <w:vAlign w:val="bottom"/>
            <w:hideMark/>
          </w:tcPr>
          <w:p w14:paraId="35890403" w14:textId="77777777" w:rsidR="00FA24FC" w:rsidRPr="001520F5" w:rsidRDefault="00FA24FC" w:rsidP="00FA24FC">
            <w:pPr>
              <w:rPr>
                <w:rFonts w:ascii="Times New Roman" w:hAnsi="Times New Roman"/>
                <w:color w:val="000000"/>
                <w:sz w:val="18"/>
                <w:szCs w:val="18"/>
              </w:rPr>
            </w:pPr>
          </w:p>
        </w:tc>
        <w:tc>
          <w:tcPr>
            <w:tcW w:w="824" w:type="dxa"/>
            <w:tcBorders>
              <w:top w:val="single" w:sz="18" w:space="0" w:color="auto"/>
            </w:tcBorders>
            <w:shd w:val="clear" w:color="auto" w:fill="auto"/>
            <w:noWrap/>
            <w:vAlign w:val="bottom"/>
            <w:hideMark/>
          </w:tcPr>
          <w:p w14:paraId="646BB89C" w14:textId="77777777" w:rsidR="00FA24FC" w:rsidRPr="001520F5" w:rsidRDefault="00FA24FC" w:rsidP="00FA24FC">
            <w:pPr>
              <w:jc w:val="center"/>
              <w:rPr>
                <w:rFonts w:ascii="Times New Roman" w:hAnsi="Times New Roman"/>
                <w:sz w:val="18"/>
                <w:szCs w:val="18"/>
              </w:rPr>
            </w:pPr>
          </w:p>
        </w:tc>
      </w:tr>
      <w:tr w:rsidR="009029FB" w:rsidRPr="001520F5" w14:paraId="2C0F5978" w14:textId="77777777" w:rsidTr="00F6200E">
        <w:trPr>
          <w:trHeight w:val="284"/>
        </w:trPr>
        <w:tc>
          <w:tcPr>
            <w:tcW w:w="1537" w:type="dxa"/>
            <w:tcBorders>
              <w:top w:val="single" w:sz="4" w:space="0" w:color="auto"/>
              <w:bottom w:val="single" w:sz="4" w:space="0" w:color="auto"/>
              <w:right w:val="single" w:sz="18" w:space="0" w:color="auto"/>
            </w:tcBorders>
            <w:shd w:val="clear" w:color="auto" w:fill="auto"/>
            <w:noWrap/>
            <w:vAlign w:val="bottom"/>
            <w:hideMark/>
          </w:tcPr>
          <w:p w14:paraId="02E8D3E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Perceived effectiveness</w:t>
            </w:r>
          </w:p>
        </w:tc>
        <w:tc>
          <w:tcPr>
            <w:tcW w:w="635" w:type="dxa"/>
            <w:tcBorders>
              <w:left w:val="single" w:sz="18" w:space="0" w:color="auto"/>
            </w:tcBorders>
            <w:shd w:val="clear" w:color="auto" w:fill="auto"/>
            <w:noWrap/>
            <w:vAlign w:val="bottom"/>
            <w:hideMark/>
          </w:tcPr>
          <w:p w14:paraId="391529BE"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4.49</w:t>
            </w:r>
          </w:p>
        </w:tc>
        <w:tc>
          <w:tcPr>
            <w:tcW w:w="684" w:type="dxa"/>
            <w:shd w:val="clear" w:color="auto" w:fill="auto"/>
            <w:noWrap/>
            <w:vAlign w:val="bottom"/>
            <w:hideMark/>
          </w:tcPr>
          <w:p w14:paraId="7BEF310B"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[4.35,4.62]</w:t>
            </w:r>
          </w:p>
        </w:tc>
        <w:tc>
          <w:tcPr>
            <w:tcW w:w="683" w:type="dxa"/>
            <w:shd w:val="clear" w:color="auto" w:fill="auto"/>
            <w:noWrap/>
            <w:vAlign w:val="bottom"/>
            <w:hideMark/>
          </w:tcPr>
          <w:p w14:paraId="22396DBB"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4.32</w:t>
            </w:r>
          </w:p>
        </w:tc>
        <w:tc>
          <w:tcPr>
            <w:tcW w:w="685" w:type="dxa"/>
            <w:shd w:val="clear" w:color="auto" w:fill="auto"/>
            <w:noWrap/>
            <w:vAlign w:val="bottom"/>
            <w:hideMark/>
          </w:tcPr>
          <w:p w14:paraId="103366CB"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[4.18,4.46]</w:t>
            </w:r>
          </w:p>
        </w:tc>
        <w:tc>
          <w:tcPr>
            <w:tcW w:w="684" w:type="dxa"/>
            <w:shd w:val="clear" w:color="auto" w:fill="auto"/>
            <w:noWrap/>
            <w:vAlign w:val="bottom"/>
            <w:hideMark/>
          </w:tcPr>
          <w:p w14:paraId="1EFB34A4" w14:textId="77777777" w:rsidR="00FA24FC" w:rsidRPr="001520F5" w:rsidRDefault="00FA24FC" w:rsidP="00FA24FC">
            <w:pPr>
              <w:rPr>
                <w:rFonts w:ascii="Times New Roman" w:hAnsi="Times New Roman"/>
                <w:color w:val="000000"/>
                <w:sz w:val="18"/>
                <w:szCs w:val="18"/>
              </w:rPr>
            </w:pPr>
          </w:p>
        </w:tc>
        <w:tc>
          <w:tcPr>
            <w:tcW w:w="685" w:type="dxa"/>
            <w:shd w:val="clear" w:color="auto" w:fill="auto"/>
            <w:noWrap/>
            <w:vAlign w:val="bottom"/>
            <w:hideMark/>
          </w:tcPr>
          <w:p w14:paraId="261F4894" w14:textId="77777777" w:rsidR="00FA24FC" w:rsidRPr="001520F5" w:rsidRDefault="00FA24FC" w:rsidP="00FA24FC">
            <w:pPr>
              <w:rPr>
                <w:rFonts w:ascii="Times New Roman" w:hAnsi="Times New Roman"/>
                <w:sz w:val="18"/>
                <w:szCs w:val="18"/>
              </w:rPr>
            </w:pPr>
          </w:p>
        </w:tc>
        <w:tc>
          <w:tcPr>
            <w:tcW w:w="1047" w:type="dxa"/>
            <w:shd w:val="clear" w:color="auto" w:fill="auto"/>
            <w:noWrap/>
            <w:vAlign w:val="bottom"/>
            <w:hideMark/>
          </w:tcPr>
          <w:p w14:paraId="193016CE" w14:textId="77777777" w:rsidR="00FA24FC" w:rsidRPr="001520F5" w:rsidRDefault="00FA24FC" w:rsidP="00FA24FC">
            <w:pPr>
              <w:rPr>
                <w:rFonts w:ascii="Times New Roman" w:hAnsi="Times New Roman"/>
                <w:sz w:val="18"/>
                <w:szCs w:val="18"/>
              </w:rPr>
            </w:pPr>
          </w:p>
        </w:tc>
        <w:tc>
          <w:tcPr>
            <w:tcW w:w="1134" w:type="dxa"/>
            <w:shd w:val="clear" w:color="auto" w:fill="auto"/>
            <w:noWrap/>
            <w:vAlign w:val="bottom"/>
            <w:hideMark/>
          </w:tcPr>
          <w:p w14:paraId="64E7A9C9"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0.16</w:t>
            </w:r>
          </w:p>
        </w:tc>
        <w:tc>
          <w:tcPr>
            <w:tcW w:w="853" w:type="dxa"/>
            <w:shd w:val="clear" w:color="auto" w:fill="auto"/>
            <w:noWrap/>
            <w:vAlign w:val="bottom"/>
            <w:hideMark/>
          </w:tcPr>
          <w:p w14:paraId="7A2FB745"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[-0.03,</w:t>
            </w:r>
          </w:p>
          <w:p w14:paraId="266972C4" w14:textId="4AAA168B"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0.36]</w:t>
            </w:r>
          </w:p>
        </w:tc>
        <w:tc>
          <w:tcPr>
            <w:tcW w:w="665" w:type="dxa"/>
            <w:shd w:val="clear" w:color="auto" w:fill="auto"/>
            <w:noWrap/>
            <w:vAlign w:val="bottom"/>
            <w:hideMark/>
          </w:tcPr>
          <w:p w14:paraId="36648E83" w14:textId="77777777" w:rsidR="00FA24FC" w:rsidRPr="001520F5" w:rsidRDefault="00FA24FC" w:rsidP="00FA24FC">
            <w:pPr>
              <w:rPr>
                <w:rFonts w:ascii="Times New Roman" w:hAnsi="Times New Roman"/>
                <w:color w:val="000000"/>
                <w:sz w:val="18"/>
                <w:szCs w:val="18"/>
              </w:rPr>
            </w:pPr>
          </w:p>
        </w:tc>
        <w:tc>
          <w:tcPr>
            <w:tcW w:w="824" w:type="dxa"/>
            <w:shd w:val="clear" w:color="auto" w:fill="auto"/>
            <w:noWrap/>
            <w:vAlign w:val="bottom"/>
            <w:hideMark/>
          </w:tcPr>
          <w:p w14:paraId="4ABC121A" w14:textId="77777777" w:rsidR="00FA24FC" w:rsidRPr="001520F5" w:rsidRDefault="00FA24FC" w:rsidP="00FA24FC">
            <w:pPr>
              <w:jc w:val="center"/>
              <w:rPr>
                <w:rFonts w:ascii="Times New Roman" w:hAnsi="Times New Roman"/>
                <w:sz w:val="18"/>
                <w:szCs w:val="18"/>
              </w:rPr>
            </w:pPr>
          </w:p>
        </w:tc>
      </w:tr>
      <w:tr w:rsidR="009029FB" w:rsidRPr="001520F5" w14:paraId="57FE8935" w14:textId="77777777" w:rsidTr="00F6200E">
        <w:trPr>
          <w:trHeight w:val="284"/>
        </w:trPr>
        <w:tc>
          <w:tcPr>
            <w:tcW w:w="1537" w:type="dxa"/>
            <w:tcBorders>
              <w:top w:val="single" w:sz="4" w:space="0" w:color="auto"/>
              <w:bottom w:val="single" w:sz="18" w:space="0" w:color="auto"/>
              <w:right w:val="single" w:sz="18" w:space="0" w:color="auto"/>
            </w:tcBorders>
            <w:shd w:val="clear" w:color="auto" w:fill="auto"/>
            <w:noWrap/>
            <w:vAlign w:val="bottom"/>
            <w:hideMark/>
          </w:tcPr>
          <w:p w14:paraId="63E82B41"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Behavioural intentions</w:t>
            </w:r>
          </w:p>
        </w:tc>
        <w:tc>
          <w:tcPr>
            <w:tcW w:w="635" w:type="dxa"/>
            <w:tcBorders>
              <w:left w:val="single" w:sz="18" w:space="0" w:color="auto"/>
            </w:tcBorders>
            <w:shd w:val="clear" w:color="auto" w:fill="auto"/>
            <w:noWrap/>
            <w:vAlign w:val="bottom"/>
            <w:hideMark/>
          </w:tcPr>
          <w:p w14:paraId="5CD0549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3.63</w:t>
            </w:r>
          </w:p>
        </w:tc>
        <w:tc>
          <w:tcPr>
            <w:tcW w:w="684" w:type="dxa"/>
            <w:shd w:val="clear" w:color="auto" w:fill="auto"/>
            <w:noWrap/>
            <w:vAlign w:val="bottom"/>
            <w:hideMark/>
          </w:tcPr>
          <w:p w14:paraId="3F495DD3"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[3.46,3.79]</w:t>
            </w:r>
          </w:p>
        </w:tc>
        <w:tc>
          <w:tcPr>
            <w:tcW w:w="683" w:type="dxa"/>
            <w:shd w:val="clear" w:color="auto" w:fill="auto"/>
            <w:noWrap/>
            <w:vAlign w:val="bottom"/>
            <w:hideMark/>
          </w:tcPr>
          <w:p w14:paraId="7CA139FF"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3.54</w:t>
            </w:r>
          </w:p>
        </w:tc>
        <w:tc>
          <w:tcPr>
            <w:tcW w:w="685" w:type="dxa"/>
            <w:shd w:val="clear" w:color="auto" w:fill="auto"/>
            <w:noWrap/>
            <w:vAlign w:val="bottom"/>
            <w:hideMark/>
          </w:tcPr>
          <w:p w14:paraId="503ADD61"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[3.37,3.71]</w:t>
            </w:r>
          </w:p>
        </w:tc>
        <w:tc>
          <w:tcPr>
            <w:tcW w:w="684" w:type="dxa"/>
            <w:shd w:val="clear" w:color="auto" w:fill="auto"/>
            <w:noWrap/>
            <w:vAlign w:val="bottom"/>
            <w:hideMark/>
          </w:tcPr>
          <w:p w14:paraId="7D4BA1E2"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685" w:type="dxa"/>
            <w:shd w:val="clear" w:color="auto" w:fill="auto"/>
            <w:noWrap/>
            <w:vAlign w:val="bottom"/>
            <w:hideMark/>
          </w:tcPr>
          <w:p w14:paraId="598E5E86"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1047" w:type="dxa"/>
            <w:shd w:val="clear" w:color="auto" w:fill="auto"/>
            <w:noWrap/>
            <w:vAlign w:val="bottom"/>
            <w:hideMark/>
          </w:tcPr>
          <w:p w14:paraId="45CD2B99" w14:textId="77777777"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 </w:t>
            </w:r>
          </w:p>
        </w:tc>
        <w:tc>
          <w:tcPr>
            <w:tcW w:w="1134" w:type="dxa"/>
            <w:shd w:val="clear" w:color="auto" w:fill="auto"/>
            <w:noWrap/>
            <w:vAlign w:val="bottom"/>
            <w:hideMark/>
          </w:tcPr>
          <w:p w14:paraId="6B0E5C27"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0.07</w:t>
            </w:r>
          </w:p>
        </w:tc>
        <w:tc>
          <w:tcPr>
            <w:tcW w:w="853" w:type="dxa"/>
            <w:shd w:val="clear" w:color="auto" w:fill="auto"/>
            <w:noWrap/>
            <w:vAlign w:val="bottom"/>
            <w:hideMark/>
          </w:tcPr>
          <w:p w14:paraId="772577D8" w14:textId="77777777" w:rsidR="00EA4257"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[-0.16,</w:t>
            </w:r>
          </w:p>
          <w:p w14:paraId="20F240A0" w14:textId="42955D34" w:rsidR="00FA24FC" w:rsidRPr="001520F5" w:rsidRDefault="00FA24FC" w:rsidP="00FA24FC">
            <w:pPr>
              <w:rPr>
                <w:rFonts w:ascii="Times New Roman" w:hAnsi="Times New Roman"/>
                <w:color w:val="000000"/>
                <w:sz w:val="18"/>
                <w:szCs w:val="18"/>
              </w:rPr>
            </w:pPr>
            <w:r w:rsidRPr="001520F5">
              <w:rPr>
                <w:rFonts w:ascii="Times New Roman" w:hAnsi="Times New Roman"/>
                <w:color w:val="000000"/>
                <w:sz w:val="18"/>
                <w:szCs w:val="18"/>
              </w:rPr>
              <w:t>0.33]</w:t>
            </w:r>
          </w:p>
        </w:tc>
        <w:tc>
          <w:tcPr>
            <w:tcW w:w="665" w:type="dxa"/>
            <w:shd w:val="clear" w:color="auto" w:fill="auto"/>
            <w:noWrap/>
            <w:vAlign w:val="bottom"/>
            <w:hideMark/>
          </w:tcPr>
          <w:p w14:paraId="08A608BA"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c>
          <w:tcPr>
            <w:tcW w:w="824" w:type="dxa"/>
            <w:shd w:val="clear" w:color="auto" w:fill="auto"/>
            <w:noWrap/>
            <w:vAlign w:val="bottom"/>
            <w:hideMark/>
          </w:tcPr>
          <w:p w14:paraId="64A98FCD" w14:textId="77777777" w:rsidR="00FA24FC" w:rsidRPr="001520F5" w:rsidRDefault="00FA24FC" w:rsidP="00FA24FC">
            <w:pPr>
              <w:jc w:val="center"/>
              <w:rPr>
                <w:rFonts w:ascii="Times New Roman" w:hAnsi="Times New Roman"/>
                <w:color w:val="000000"/>
                <w:sz w:val="18"/>
                <w:szCs w:val="18"/>
              </w:rPr>
            </w:pPr>
            <w:r w:rsidRPr="001520F5">
              <w:rPr>
                <w:rFonts w:ascii="Times New Roman" w:hAnsi="Times New Roman"/>
                <w:color w:val="000000"/>
                <w:sz w:val="18"/>
                <w:szCs w:val="18"/>
              </w:rPr>
              <w:t> </w:t>
            </w:r>
          </w:p>
        </w:tc>
      </w:tr>
    </w:tbl>
    <w:p w14:paraId="104C6A75" w14:textId="77777777" w:rsidR="00FA24FC" w:rsidRDefault="00FA24FC" w:rsidP="00C50B93">
      <w:pPr>
        <w:spacing w:line="480" w:lineRule="auto"/>
        <w:rPr>
          <w:rFonts w:ascii="Times New Roman" w:hAnsi="Times New Roman"/>
        </w:rPr>
      </w:pPr>
    </w:p>
    <w:p w14:paraId="69C5719F" w14:textId="5EACC855" w:rsidR="00F6200E" w:rsidRDefault="00F6200E" w:rsidP="00B05509">
      <w:pPr>
        <w:rPr>
          <w:rFonts w:ascii="Times New Roman" w:hAnsi="Times New Roman"/>
          <w:b/>
          <w:sz w:val="22"/>
          <w:szCs w:val="22"/>
        </w:rPr>
      </w:pPr>
      <w:r>
        <w:rPr>
          <w:rFonts w:ascii="Times New Roman" w:hAnsi="Times New Roman"/>
          <w:b/>
          <w:noProof/>
          <w:sz w:val="22"/>
          <w:szCs w:val="22"/>
        </w:rPr>
        <w:lastRenderedPageBreak/>
        <w:drawing>
          <wp:inline distT="0" distB="0" distL="0" distR="0" wp14:anchorId="258E4C82" wp14:editId="3C4FBDF8">
            <wp:extent cx="3331464" cy="5361432"/>
            <wp:effectExtent l="0" t="0" r="254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4.tif"/>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331464" cy="5361432"/>
                    </a:xfrm>
                    <a:prstGeom prst="rect">
                      <a:avLst/>
                    </a:prstGeom>
                  </pic:spPr>
                </pic:pic>
              </a:graphicData>
            </a:graphic>
          </wp:inline>
        </w:drawing>
      </w:r>
    </w:p>
    <w:p w14:paraId="52FA8226" w14:textId="29DEF764" w:rsidR="00F94982" w:rsidRPr="00B05509" w:rsidRDefault="00F94982" w:rsidP="00B05509">
      <w:pPr>
        <w:rPr>
          <w:rFonts w:ascii="Times New Roman" w:hAnsi="Times New Roman"/>
          <w:b/>
          <w:sz w:val="22"/>
          <w:szCs w:val="22"/>
        </w:rPr>
      </w:pPr>
      <w:r w:rsidRPr="00B05509">
        <w:rPr>
          <w:rFonts w:ascii="Times New Roman" w:hAnsi="Times New Roman"/>
          <w:b/>
          <w:sz w:val="22"/>
          <w:szCs w:val="22"/>
        </w:rPr>
        <w:t>Fig 4</w:t>
      </w:r>
      <w:r>
        <w:rPr>
          <w:rFonts w:ascii="Times New Roman" w:hAnsi="Times New Roman"/>
          <w:b/>
          <w:sz w:val="22"/>
          <w:szCs w:val="22"/>
        </w:rPr>
        <w:t>.</w:t>
      </w:r>
      <w:r w:rsidRPr="00B05509">
        <w:rPr>
          <w:rFonts w:ascii="Times New Roman" w:hAnsi="Times New Roman"/>
          <w:b/>
          <w:sz w:val="22"/>
          <w:szCs w:val="22"/>
        </w:rPr>
        <w:t xml:space="preserve"> The effects of giving a </w:t>
      </w:r>
      <w:proofErr w:type="spellStart"/>
      <w:r w:rsidRPr="00B05509">
        <w:rPr>
          <w:rFonts w:ascii="Times New Roman" w:hAnsi="Times New Roman"/>
          <w:b/>
          <w:sz w:val="22"/>
          <w:szCs w:val="22"/>
        </w:rPr>
        <w:t>cue</w:t>
      </w:r>
      <w:proofErr w:type="spellEnd"/>
      <w:r w:rsidRPr="00B05509">
        <w:rPr>
          <w:rFonts w:ascii="Times New Roman" w:hAnsi="Times New Roman"/>
          <w:b/>
          <w:sz w:val="22"/>
          <w:szCs w:val="22"/>
        </w:rPr>
        <w:t xml:space="preserve"> as to the quality of evidence (</w:t>
      </w:r>
      <w:proofErr w:type="spellStart"/>
      <w:r w:rsidRPr="00B05509">
        <w:rPr>
          <w:rFonts w:ascii="Times New Roman" w:hAnsi="Times New Roman"/>
          <w:b/>
          <w:sz w:val="22"/>
          <w:szCs w:val="22"/>
        </w:rPr>
        <w:t>QoE</w:t>
      </w:r>
      <w:proofErr w:type="spellEnd"/>
      <w:r w:rsidRPr="00B05509">
        <w:rPr>
          <w:rFonts w:ascii="Times New Roman" w:hAnsi="Times New Roman"/>
          <w:b/>
          <w:sz w:val="22"/>
          <w:szCs w:val="22"/>
        </w:rPr>
        <w:t xml:space="preserve">) behind an effectiveness estimate on people’s perceptions of the trustworthiness of the information </w:t>
      </w:r>
      <w:r w:rsidR="008E1656">
        <w:rPr>
          <w:rFonts w:ascii="Times New Roman" w:hAnsi="Times New Roman"/>
          <w:b/>
          <w:sz w:val="22"/>
          <w:szCs w:val="22"/>
        </w:rPr>
        <w:t>(</w:t>
      </w:r>
      <w:r w:rsidR="00E327CA">
        <w:rPr>
          <w:rFonts w:ascii="Times New Roman" w:hAnsi="Times New Roman"/>
          <w:b/>
          <w:sz w:val="22"/>
          <w:szCs w:val="22"/>
        </w:rPr>
        <w:t>A</w:t>
      </w:r>
      <w:r w:rsidR="008E1656">
        <w:rPr>
          <w:rFonts w:ascii="Times New Roman" w:hAnsi="Times New Roman"/>
          <w:b/>
          <w:sz w:val="22"/>
          <w:szCs w:val="22"/>
        </w:rPr>
        <w:t xml:space="preserve">) </w:t>
      </w:r>
      <w:r w:rsidRPr="00B05509">
        <w:rPr>
          <w:rFonts w:ascii="Times New Roman" w:hAnsi="Times New Roman"/>
          <w:b/>
          <w:sz w:val="22"/>
          <w:szCs w:val="22"/>
        </w:rPr>
        <w:t>and the perceived effectiveness of the intervention</w:t>
      </w:r>
      <w:r w:rsidR="008E1656">
        <w:rPr>
          <w:rFonts w:ascii="Times New Roman" w:hAnsi="Times New Roman"/>
          <w:b/>
          <w:sz w:val="22"/>
          <w:szCs w:val="22"/>
        </w:rPr>
        <w:t xml:space="preserve"> (</w:t>
      </w:r>
      <w:r w:rsidR="00E327CA">
        <w:rPr>
          <w:rFonts w:ascii="Times New Roman" w:hAnsi="Times New Roman"/>
          <w:b/>
          <w:sz w:val="22"/>
          <w:szCs w:val="22"/>
        </w:rPr>
        <w:t>B</w:t>
      </w:r>
      <w:r w:rsidR="008E1656">
        <w:rPr>
          <w:rFonts w:ascii="Times New Roman" w:hAnsi="Times New Roman"/>
          <w:b/>
          <w:sz w:val="22"/>
          <w:szCs w:val="22"/>
        </w:rPr>
        <w:t>)</w:t>
      </w:r>
      <w:r w:rsidRPr="00B05509">
        <w:rPr>
          <w:rFonts w:ascii="Times New Roman" w:hAnsi="Times New Roman"/>
          <w:b/>
          <w:sz w:val="22"/>
          <w:szCs w:val="22"/>
        </w:rPr>
        <w:t xml:space="preserve">. </w:t>
      </w:r>
      <w:r w:rsidR="008E1656">
        <w:rPr>
          <w:rFonts w:ascii="Times New Roman" w:hAnsi="Times New Roman"/>
          <w:sz w:val="22"/>
          <w:szCs w:val="22"/>
        </w:rPr>
        <w:t xml:space="preserve">All dependent variables were measured on 7 point Likert scales ranging from 1-low to 7-high (please see Methods section for exact wording details for all measures). The two plots show mean effects and associated 95% confidence intervals (black horizontal lines and error bars), as well as underlying observed data distributions (coloured dotted points; red/left column = observations for high </w:t>
      </w:r>
      <w:proofErr w:type="spellStart"/>
      <w:r w:rsidR="008E1656">
        <w:rPr>
          <w:rFonts w:ascii="Times New Roman" w:hAnsi="Times New Roman"/>
          <w:sz w:val="22"/>
          <w:szCs w:val="22"/>
        </w:rPr>
        <w:t>QoE</w:t>
      </w:r>
      <w:proofErr w:type="spellEnd"/>
      <w:r w:rsidR="008E1656">
        <w:rPr>
          <w:rFonts w:ascii="Times New Roman" w:hAnsi="Times New Roman"/>
          <w:sz w:val="22"/>
          <w:szCs w:val="22"/>
        </w:rPr>
        <w:t xml:space="preserve"> groups, blue/middle column = observations for low </w:t>
      </w:r>
      <w:proofErr w:type="spellStart"/>
      <w:r w:rsidR="008E1656">
        <w:rPr>
          <w:rFonts w:ascii="Times New Roman" w:hAnsi="Times New Roman"/>
          <w:sz w:val="22"/>
          <w:szCs w:val="22"/>
        </w:rPr>
        <w:t>QoE</w:t>
      </w:r>
      <w:proofErr w:type="spellEnd"/>
      <w:r w:rsidR="008E1656">
        <w:rPr>
          <w:rFonts w:ascii="Times New Roman" w:hAnsi="Times New Roman"/>
          <w:sz w:val="22"/>
          <w:szCs w:val="22"/>
        </w:rPr>
        <w:t xml:space="preserve"> groups, green/right column = observations for no </w:t>
      </w:r>
      <w:proofErr w:type="spellStart"/>
      <w:r w:rsidR="008E1656">
        <w:rPr>
          <w:rFonts w:ascii="Times New Roman" w:hAnsi="Times New Roman"/>
          <w:sz w:val="22"/>
          <w:szCs w:val="22"/>
        </w:rPr>
        <w:t>QoE</w:t>
      </w:r>
      <w:proofErr w:type="spellEnd"/>
      <w:r w:rsidR="008E1656">
        <w:rPr>
          <w:rFonts w:ascii="Times New Roman" w:hAnsi="Times New Roman"/>
          <w:sz w:val="22"/>
          <w:szCs w:val="22"/>
        </w:rPr>
        <w:t xml:space="preserve"> groups).</w:t>
      </w:r>
      <w:r w:rsidRPr="00B05509">
        <w:rPr>
          <w:rFonts w:ascii="Times New Roman" w:hAnsi="Times New Roman"/>
          <w:sz w:val="22"/>
          <w:szCs w:val="22"/>
        </w:rPr>
        <w:t xml:space="preserve"> Data</w:t>
      </w:r>
      <w:r w:rsidR="00E650E9">
        <w:rPr>
          <w:rFonts w:ascii="Times New Roman" w:hAnsi="Times New Roman"/>
          <w:sz w:val="22"/>
          <w:szCs w:val="22"/>
        </w:rPr>
        <w:t xml:space="preserve"> for both plots</w:t>
      </w:r>
      <w:r w:rsidRPr="00B05509">
        <w:rPr>
          <w:rFonts w:ascii="Times New Roman" w:hAnsi="Times New Roman"/>
          <w:sz w:val="22"/>
          <w:szCs w:val="22"/>
        </w:rPr>
        <w:t xml:space="preserve"> is depicted collapsed across formatting conditions (</w:t>
      </w:r>
      <w:r w:rsidR="00E650E9">
        <w:rPr>
          <w:rFonts w:ascii="Times New Roman" w:hAnsi="Times New Roman"/>
          <w:sz w:val="22"/>
          <w:szCs w:val="22"/>
        </w:rPr>
        <w:t>with/without icon arrays</w:t>
      </w:r>
      <w:r w:rsidRPr="00B05509">
        <w:rPr>
          <w:rFonts w:ascii="Times New Roman" w:hAnsi="Times New Roman"/>
          <w:sz w:val="22"/>
          <w:szCs w:val="22"/>
        </w:rPr>
        <w:t>).</w:t>
      </w:r>
    </w:p>
    <w:p w14:paraId="4229A93A" w14:textId="547EF398" w:rsidR="00433384" w:rsidRDefault="00433384" w:rsidP="007C3BBA">
      <w:pPr>
        <w:spacing w:line="480" w:lineRule="auto"/>
        <w:rPr>
          <w:rFonts w:ascii="Times New Roman" w:hAnsi="Times New Roman"/>
          <w:u w:val="single"/>
        </w:rPr>
      </w:pPr>
    </w:p>
    <w:p w14:paraId="2554031C" w14:textId="02C7A367" w:rsidR="00E650E9" w:rsidRPr="00B05509" w:rsidRDefault="00E650E9" w:rsidP="007C3BBA">
      <w:pPr>
        <w:spacing w:line="480" w:lineRule="auto"/>
        <w:rPr>
          <w:rFonts w:ascii="Times New Roman" w:hAnsi="Times New Roman"/>
          <w:u w:val="single"/>
        </w:rPr>
      </w:pPr>
    </w:p>
    <w:p w14:paraId="3CA90F8B" w14:textId="77777777" w:rsidR="001520F5" w:rsidRDefault="001520F5" w:rsidP="007C3BBA">
      <w:pPr>
        <w:spacing w:line="480" w:lineRule="auto"/>
        <w:rPr>
          <w:rFonts w:ascii="Times New Roman" w:hAnsi="Times New Roman"/>
          <w:b/>
          <w:sz w:val="32"/>
          <w:szCs w:val="32"/>
        </w:rPr>
      </w:pPr>
    </w:p>
    <w:p w14:paraId="0C171EE2" w14:textId="77777777" w:rsidR="005A53D7" w:rsidRDefault="005A53D7" w:rsidP="007C3BBA">
      <w:pPr>
        <w:spacing w:line="480" w:lineRule="auto"/>
        <w:rPr>
          <w:rFonts w:ascii="Times New Roman" w:hAnsi="Times New Roman"/>
          <w:b/>
          <w:sz w:val="32"/>
          <w:szCs w:val="32"/>
        </w:rPr>
      </w:pPr>
    </w:p>
    <w:p w14:paraId="149A9ADF" w14:textId="77777777" w:rsidR="005A53D7" w:rsidRDefault="005A53D7" w:rsidP="007C3BBA">
      <w:pPr>
        <w:spacing w:line="480" w:lineRule="auto"/>
        <w:rPr>
          <w:rFonts w:ascii="Times New Roman" w:hAnsi="Times New Roman"/>
          <w:b/>
          <w:sz w:val="32"/>
          <w:szCs w:val="32"/>
        </w:rPr>
      </w:pPr>
    </w:p>
    <w:p w14:paraId="731D4ABB" w14:textId="380AE25B" w:rsidR="0011671A" w:rsidRPr="00B05509" w:rsidRDefault="00FF467A" w:rsidP="007C3BBA">
      <w:pPr>
        <w:spacing w:line="480" w:lineRule="auto"/>
        <w:rPr>
          <w:rFonts w:ascii="Times New Roman" w:hAnsi="Times New Roman"/>
          <w:b/>
          <w:sz w:val="32"/>
          <w:szCs w:val="32"/>
        </w:rPr>
      </w:pPr>
      <w:bookmarkStart w:id="1" w:name="_GoBack"/>
      <w:bookmarkEnd w:id="1"/>
      <w:r w:rsidRPr="00B05509">
        <w:rPr>
          <w:rFonts w:ascii="Times New Roman" w:hAnsi="Times New Roman"/>
          <w:b/>
          <w:sz w:val="32"/>
          <w:szCs w:val="32"/>
        </w:rPr>
        <w:lastRenderedPageBreak/>
        <w:t>Understanding</w:t>
      </w:r>
    </w:p>
    <w:p w14:paraId="031DFB83" w14:textId="32EA6536" w:rsidR="003C4CFC" w:rsidRPr="00B05509" w:rsidRDefault="003C4CFC" w:rsidP="007C3BBA">
      <w:pPr>
        <w:spacing w:line="480" w:lineRule="auto"/>
        <w:rPr>
          <w:rFonts w:ascii="Times New Roman" w:hAnsi="Times New Roman"/>
        </w:rPr>
      </w:pPr>
      <w:r w:rsidRPr="00B05509">
        <w:rPr>
          <w:rFonts w:ascii="Times New Roman" w:hAnsi="Times New Roman"/>
        </w:rPr>
        <w:t>We had hoped to</w:t>
      </w:r>
      <w:r w:rsidR="001F20FB" w:rsidRPr="00B05509">
        <w:rPr>
          <w:rFonts w:ascii="Times New Roman" w:hAnsi="Times New Roman"/>
        </w:rPr>
        <w:t xml:space="preserve"> explore the potential influence of people’s understanding of the information given in the infographic</w:t>
      </w:r>
      <w:r w:rsidR="008F6283">
        <w:rPr>
          <w:rFonts w:ascii="Times New Roman" w:hAnsi="Times New Roman"/>
        </w:rPr>
        <w:t xml:space="preserve"> (through having the two presentation formats represent different difficulty levels)</w:t>
      </w:r>
      <w:r w:rsidR="001F20FB" w:rsidRPr="00B05509">
        <w:rPr>
          <w:rFonts w:ascii="Times New Roman" w:hAnsi="Times New Roman"/>
        </w:rPr>
        <w:t xml:space="preserve">, especially its role in shaping the effects of the various levels of quality of evidence information on trust, perceived effectiveness and behaviour. </w:t>
      </w:r>
      <w:r w:rsidRPr="00B05509">
        <w:rPr>
          <w:rFonts w:ascii="Times New Roman" w:hAnsi="Times New Roman"/>
        </w:rPr>
        <w:t xml:space="preserve">However, a check to see whether our experimental manipulation of the infographic (removal of the icon array) had made a </w:t>
      </w:r>
      <w:r w:rsidR="00CF0A8D">
        <w:rPr>
          <w:rFonts w:ascii="Times New Roman" w:hAnsi="Times New Roman"/>
        </w:rPr>
        <w:t>statistically</w:t>
      </w:r>
      <w:r w:rsidR="00CF0A8D" w:rsidRPr="00CF0A8D">
        <w:rPr>
          <w:rFonts w:ascii="Times New Roman" w:hAnsi="Times New Roman"/>
        </w:rPr>
        <w:t xml:space="preserve"> </w:t>
      </w:r>
      <w:r w:rsidRPr="00B05509">
        <w:rPr>
          <w:rFonts w:ascii="Times New Roman" w:hAnsi="Times New Roman"/>
        </w:rPr>
        <w:t xml:space="preserve">significant difference to participants’ </w:t>
      </w:r>
      <w:r w:rsidR="007B2085" w:rsidRPr="00B05509">
        <w:rPr>
          <w:rFonts w:ascii="Times New Roman" w:hAnsi="Times New Roman"/>
        </w:rPr>
        <w:t xml:space="preserve">self-reported </w:t>
      </w:r>
      <w:r w:rsidRPr="00B05509">
        <w:rPr>
          <w:rFonts w:ascii="Times New Roman" w:hAnsi="Times New Roman"/>
        </w:rPr>
        <w:t xml:space="preserve">understanding of the information </w:t>
      </w:r>
      <w:r w:rsidR="00D143DF" w:rsidRPr="00B05509">
        <w:rPr>
          <w:rFonts w:ascii="Times New Roman" w:hAnsi="Times New Roman"/>
        </w:rPr>
        <w:t>(</w:t>
      </w:r>
      <w:r w:rsidR="00D143DF" w:rsidRPr="00B05509">
        <w:rPr>
          <w:rFonts w:ascii="Times New Roman" w:hAnsi="Times New Roman"/>
          <w:color w:val="000000" w:themeColor="text1"/>
        </w:rPr>
        <w:t>index item of reported ease and completeness of comprehension of the effectiveness information in the infographic)</w:t>
      </w:r>
      <w:r w:rsidR="00D143DF" w:rsidRPr="00B05509">
        <w:rPr>
          <w:rFonts w:ascii="Times New Roman" w:hAnsi="Times New Roman"/>
        </w:rPr>
        <w:t xml:space="preserve"> </w:t>
      </w:r>
      <w:r w:rsidRPr="00B05509">
        <w:rPr>
          <w:rFonts w:ascii="Times New Roman" w:hAnsi="Times New Roman"/>
        </w:rPr>
        <w:t>revealed that it had not (</w:t>
      </w:r>
      <w:proofErr w:type="gramStart"/>
      <w:r w:rsidRPr="00B05509">
        <w:rPr>
          <w:rFonts w:ascii="Times New Roman" w:hAnsi="Times New Roman"/>
          <w:i/>
        </w:rPr>
        <w:t>t</w:t>
      </w:r>
      <w:r w:rsidRPr="00B05509">
        <w:rPr>
          <w:rFonts w:ascii="Times New Roman" w:hAnsi="Times New Roman"/>
        </w:rPr>
        <w:t>(</w:t>
      </w:r>
      <w:proofErr w:type="gramEnd"/>
      <w:r w:rsidR="00F91CA5" w:rsidRPr="00B05509">
        <w:rPr>
          <w:rFonts w:ascii="Times New Roman" w:hAnsi="Times New Roman"/>
        </w:rPr>
        <w:t>1188</w:t>
      </w:r>
      <w:r w:rsidR="00502682" w:rsidRPr="00B05509">
        <w:rPr>
          <w:rFonts w:ascii="Times New Roman" w:hAnsi="Times New Roman"/>
        </w:rPr>
        <w:t>.</w:t>
      </w:r>
      <w:r w:rsidRPr="00B05509">
        <w:rPr>
          <w:rFonts w:ascii="Times New Roman" w:hAnsi="Times New Roman"/>
        </w:rPr>
        <w:t>9)</w:t>
      </w:r>
      <w:r w:rsidR="00974A5E" w:rsidRPr="00B05509">
        <w:rPr>
          <w:rFonts w:ascii="Times New Roman" w:hAnsi="Times New Roman"/>
        </w:rPr>
        <w:t xml:space="preserve"> </w:t>
      </w:r>
      <w:r w:rsidRPr="00B05509">
        <w:rPr>
          <w:rFonts w:ascii="Times New Roman" w:hAnsi="Times New Roman"/>
        </w:rPr>
        <w:t>=</w:t>
      </w:r>
      <w:r w:rsidR="00974A5E" w:rsidRPr="00B05509">
        <w:rPr>
          <w:rFonts w:ascii="Times New Roman" w:hAnsi="Times New Roman"/>
        </w:rPr>
        <w:t xml:space="preserve"> </w:t>
      </w:r>
      <w:r w:rsidR="00F91CA5" w:rsidRPr="00B05509">
        <w:rPr>
          <w:rFonts w:ascii="Times New Roman" w:hAnsi="Times New Roman"/>
        </w:rPr>
        <w:t>0</w:t>
      </w:r>
      <w:r w:rsidR="00502682" w:rsidRPr="00B05509">
        <w:rPr>
          <w:rFonts w:ascii="Times New Roman" w:hAnsi="Times New Roman"/>
        </w:rPr>
        <w:t>.</w:t>
      </w:r>
      <w:r w:rsidRPr="00B05509">
        <w:rPr>
          <w:rFonts w:ascii="Times New Roman" w:hAnsi="Times New Roman"/>
        </w:rPr>
        <w:t>04, p</w:t>
      </w:r>
      <w:r w:rsidR="001C4C4A" w:rsidRPr="00B05509">
        <w:rPr>
          <w:rFonts w:ascii="Times New Roman" w:hAnsi="Times New Roman"/>
          <w:i/>
        </w:rPr>
        <w:t xml:space="preserve"> </w:t>
      </w:r>
      <w:r w:rsidRPr="00B05509">
        <w:rPr>
          <w:rFonts w:ascii="Times New Roman" w:hAnsi="Times New Roman"/>
        </w:rPr>
        <w:t xml:space="preserve">= </w:t>
      </w:r>
      <w:r w:rsidR="00502682" w:rsidRPr="00B05509">
        <w:rPr>
          <w:rFonts w:ascii="Times New Roman" w:hAnsi="Times New Roman"/>
        </w:rPr>
        <w:t>.</w:t>
      </w:r>
      <w:r w:rsidRPr="00B05509">
        <w:rPr>
          <w:rFonts w:ascii="Times New Roman" w:hAnsi="Times New Roman"/>
        </w:rPr>
        <w:t>970; Wilcoxon rank sum test, W</w:t>
      </w:r>
      <w:r w:rsidR="00974A5E" w:rsidRPr="00B05509">
        <w:rPr>
          <w:rFonts w:ascii="Times New Roman" w:hAnsi="Times New Roman"/>
        </w:rPr>
        <w:t xml:space="preserve"> </w:t>
      </w:r>
      <w:r w:rsidRPr="00B05509">
        <w:rPr>
          <w:rFonts w:ascii="Times New Roman" w:hAnsi="Times New Roman"/>
        </w:rPr>
        <w:t>=</w:t>
      </w:r>
      <w:r w:rsidR="00974A5E" w:rsidRPr="00B05509">
        <w:rPr>
          <w:rFonts w:ascii="Times New Roman" w:hAnsi="Times New Roman"/>
        </w:rPr>
        <w:t xml:space="preserve"> </w:t>
      </w:r>
      <w:r w:rsidRPr="00B05509">
        <w:rPr>
          <w:rFonts w:ascii="Times New Roman" w:hAnsi="Times New Roman"/>
        </w:rPr>
        <w:t>177244, p</w:t>
      </w:r>
      <w:r w:rsidR="001C4C4A" w:rsidRPr="00B05509">
        <w:rPr>
          <w:rFonts w:ascii="Times New Roman" w:hAnsi="Times New Roman"/>
        </w:rPr>
        <w:t xml:space="preserve"> </w:t>
      </w:r>
      <w:r w:rsidRPr="00B05509">
        <w:rPr>
          <w:rFonts w:ascii="Times New Roman" w:hAnsi="Times New Roman"/>
        </w:rPr>
        <w:t xml:space="preserve">= </w:t>
      </w:r>
      <w:r w:rsidR="00502682" w:rsidRPr="00B05509">
        <w:rPr>
          <w:rFonts w:ascii="Times New Roman" w:hAnsi="Times New Roman"/>
        </w:rPr>
        <w:t>.</w:t>
      </w:r>
      <w:r w:rsidRPr="00B05509">
        <w:rPr>
          <w:rFonts w:ascii="Times New Roman" w:hAnsi="Times New Roman"/>
        </w:rPr>
        <w:t>992).</w:t>
      </w:r>
    </w:p>
    <w:p w14:paraId="02A55D2E" w14:textId="77777777" w:rsidR="003C4CFC" w:rsidRPr="00B05509" w:rsidRDefault="003C4CFC" w:rsidP="007C3BBA">
      <w:pPr>
        <w:spacing w:line="480" w:lineRule="auto"/>
        <w:rPr>
          <w:rFonts w:ascii="Times New Roman" w:hAnsi="Times New Roman"/>
        </w:rPr>
      </w:pPr>
    </w:p>
    <w:p w14:paraId="57FB31F9" w14:textId="6F97B38E" w:rsidR="00F57502" w:rsidRPr="00B05509" w:rsidRDefault="003C4CFC" w:rsidP="007C3BBA">
      <w:pPr>
        <w:spacing w:line="480" w:lineRule="auto"/>
        <w:rPr>
          <w:rFonts w:ascii="Times New Roman" w:hAnsi="Times New Roman"/>
        </w:rPr>
      </w:pPr>
      <w:r w:rsidRPr="00B05509">
        <w:rPr>
          <w:rFonts w:ascii="Times New Roman" w:hAnsi="Times New Roman"/>
        </w:rPr>
        <w:t>For completeness, we still ran our</w:t>
      </w:r>
      <w:r w:rsidR="001F20FB" w:rsidRPr="00B05509">
        <w:rPr>
          <w:rFonts w:ascii="Times New Roman" w:hAnsi="Times New Roman"/>
        </w:rPr>
        <w:t xml:space="preserve"> pre-registered interaction analyses</w:t>
      </w:r>
      <w:r w:rsidR="00D57F4E" w:rsidRPr="00B05509">
        <w:rPr>
          <w:rFonts w:ascii="Times New Roman" w:hAnsi="Times New Roman"/>
        </w:rPr>
        <w:t xml:space="preserve"> between quality of evidence level and format, as well as self-reported understanding. We investigated</w:t>
      </w:r>
      <w:r w:rsidR="001F20FB" w:rsidRPr="00B05509">
        <w:rPr>
          <w:rFonts w:ascii="Times New Roman" w:hAnsi="Times New Roman"/>
        </w:rPr>
        <w:t xml:space="preserve"> people’s self-reported ease and completeness of understanding of the </w:t>
      </w:r>
      <w:r w:rsidR="007144EC" w:rsidRPr="00B05509">
        <w:rPr>
          <w:rFonts w:ascii="Times New Roman" w:hAnsi="Times New Roman"/>
        </w:rPr>
        <w:t xml:space="preserve">effectiveness </w:t>
      </w:r>
      <w:r w:rsidR="001F20FB" w:rsidRPr="00B05509">
        <w:rPr>
          <w:rFonts w:ascii="Times New Roman" w:hAnsi="Times New Roman"/>
        </w:rPr>
        <w:t>information</w:t>
      </w:r>
      <w:r w:rsidR="007144EC" w:rsidRPr="00B05509">
        <w:rPr>
          <w:rFonts w:ascii="Times New Roman" w:hAnsi="Times New Roman"/>
        </w:rPr>
        <w:t xml:space="preserve"> in the infographic</w:t>
      </w:r>
      <w:r w:rsidR="001F20FB" w:rsidRPr="00B05509">
        <w:rPr>
          <w:rFonts w:ascii="Times New Roman" w:hAnsi="Times New Roman"/>
        </w:rPr>
        <w:t>, their objective understanding of the numeric effectiveness information, as well as the amount of effort they reported to have invested in understanding the</w:t>
      </w:r>
      <w:r w:rsidR="007144EC" w:rsidRPr="00B05509">
        <w:rPr>
          <w:rFonts w:ascii="Times New Roman" w:hAnsi="Times New Roman"/>
        </w:rPr>
        <w:t xml:space="preserve"> information on the effectiveness of eye protection in the </w:t>
      </w:r>
      <w:r w:rsidR="001F20FB" w:rsidRPr="00B05509">
        <w:rPr>
          <w:rFonts w:ascii="Times New Roman" w:hAnsi="Times New Roman"/>
        </w:rPr>
        <w:t xml:space="preserve">infographic. We </w:t>
      </w:r>
      <w:r w:rsidRPr="00B05509">
        <w:rPr>
          <w:rFonts w:ascii="Times New Roman" w:hAnsi="Times New Roman"/>
        </w:rPr>
        <w:t xml:space="preserve">did </w:t>
      </w:r>
      <w:r w:rsidR="001F20FB" w:rsidRPr="00B05509">
        <w:rPr>
          <w:rFonts w:ascii="Times New Roman" w:hAnsi="Times New Roman"/>
        </w:rPr>
        <w:t xml:space="preserve">not find any </w:t>
      </w:r>
      <w:r w:rsidR="00CF0A8D">
        <w:rPr>
          <w:rFonts w:ascii="Times New Roman" w:hAnsi="Times New Roman"/>
        </w:rPr>
        <w:t>statistically</w:t>
      </w:r>
      <w:r w:rsidR="00CF0A8D" w:rsidRPr="00CF0A8D">
        <w:rPr>
          <w:rFonts w:ascii="Times New Roman" w:hAnsi="Times New Roman"/>
        </w:rPr>
        <w:t xml:space="preserve"> </w:t>
      </w:r>
      <w:r w:rsidR="001F20FB" w:rsidRPr="00B05509">
        <w:rPr>
          <w:rFonts w:ascii="Times New Roman" w:hAnsi="Times New Roman"/>
        </w:rPr>
        <w:t xml:space="preserve">significant interactions for </w:t>
      </w:r>
      <w:r w:rsidR="00CC4EC5" w:rsidRPr="00B05509">
        <w:rPr>
          <w:rFonts w:ascii="Times New Roman" w:hAnsi="Times New Roman"/>
        </w:rPr>
        <w:t xml:space="preserve">any </w:t>
      </w:r>
      <w:r w:rsidR="001F20FB" w:rsidRPr="00B05509">
        <w:rPr>
          <w:rFonts w:ascii="Times New Roman" w:hAnsi="Times New Roman"/>
        </w:rPr>
        <w:t>of the</w:t>
      </w:r>
      <w:r w:rsidR="00D57F4E" w:rsidRPr="00B05509">
        <w:rPr>
          <w:rFonts w:ascii="Times New Roman" w:hAnsi="Times New Roman"/>
        </w:rPr>
        <w:t>se</w:t>
      </w:r>
      <w:r w:rsidR="001F20FB" w:rsidRPr="00B05509">
        <w:rPr>
          <w:rFonts w:ascii="Times New Roman" w:hAnsi="Times New Roman"/>
        </w:rPr>
        <w:t xml:space="preserve"> potential moderators on </w:t>
      </w:r>
      <w:r w:rsidR="00CC4EC5" w:rsidRPr="00B05509">
        <w:rPr>
          <w:rFonts w:ascii="Times New Roman" w:hAnsi="Times New Roman"/>
        </w:rPr>
        <w:t xml:space="preserve">any </w:t>
      </w:r>
      <w:r w:rsidR="001F20FB" w:rsidRPr="00B05509">
        <w:rPr>
          <w:rFonts w:ascii="Times New Roman" w:hAnsi="Times New Roman"/>
        </w:rPr>
        <w:t xml:space="preserve">of our outcome measures. </w:t>
      </w:r>
      <w:r w:rsidR="00CC4EC5" w:rsidRPr="00B05509">
        <w:rPr>
          <w:rFonts w:ascii="Times New Roman" w:hAnsi="Times New Roman"/>
        </w:rPr>
        <w:t>Detailed r</w:t>
      </w:r>
      <w:r w:rsidR="001F20FB" w:rsidRPr="00B05509">
        <w:rPr>
          <w:rFonts w:ascii="Times New Roman" w:hAnsi="Times New Roman"/>
        </w:rPr>
        <w:t xml:space="preserve">esults </w:t>
      </w:r>
      <w:r w:rsidR="004D3A36" w:rsidRPr="00B05509">
        <w:rPr>
          <w:rFonts w:ascii="Times New Roman" w:hAnsi="Times New Roman"/>
        </w:rPr>
        <w:t xml:space="preserve">and those of further </w:t>
      </w:r>
      <w:r w:rsidR="00D57F4E" w:rsidRPr="00B05509">
        <w:rPr>
          <w:rFonts w:ascii="Times New Roman" w:hAnsi="Times New Roman"/>
        </w:rPr>
        <w:t xml:space="preserve">exploratory </w:t>
      </w:r>
      <w:r w:rsidR="004D3A36" w:rsidRPr="00B05509">
        <w:rPr>
          <w:rFonts w:ascii="Times New Roman" w:hAnsi="Times New Roman"/>
        </w:rPr>
        <w:t xml:space="preserve">analyses </w:t>
      </w:r>
      <w:r w:rsidR="001F20FB" w:rsidRPr="00B05509">
        <w:rPr>
          <w:rFonts w:ascii="Times New Roman" w:hAnsi="Times New Roman"/>
        </w:rPr>
        <w:t xml:space="preserve">are reported in the </w:t>
      </w:r>
      <w:r w:rsidR="00885913">
        <w:rPr>
          <w:rFonts w:ascii="Times New Roman" w:hAnsi="Times New Roman"/>
        </w:rPr>
        <w:t>S1 supporting information file</w:t>
      </w:r>
      <w:r w:rsidR="001F20FB" w:rsidRPr="00B05509">
        <w:rPr>
          <w:rFonts w:ascii="Times New Roman" w:hAnsi="Times New Roman"/>
        </w:rPr>
        <w:t>.</w:t>
      </w:r>
    </w:p>
    <w:p w14:paraId="5AE8C9BD" w14:textId="2F9046A1" w:rsidR="00A35975" w:rsidRPr="00B05509" w:rsidRDefault="00A35975" w:rsidP="007C3BBA">
      <w:pPr>
        <w:spacing w:line="480" w:lineRule="auto"/>
        <w:rPr>
          <w:rFonts w:ascii="Times New Roman" w:hAnsi="Times New Roman"/>
        </w:rPr>
      </w:pPr>
    </w:p>
    <w:p w14:paraId="621CFD7D" w14:textId="2BEB664D" w:rsidR="00436F38" w:rsidRPr="00B05509" w:rsidRDefault="00436F38" w:rsidP="007C3BBA">
      <w:pPr>
        <w:pStyle w:val="Heading2"/>
        <w:spacing w:line="480" w:lineRule="auto"/>
        <w:rPr>
          <w:rFonts w:ascii="Times New Roman" w:hAnsi="Times New Roman" w:cs="Times New Roman"/>
          <w:b/>
          <w:color w:val="auto"/>
          <w:sz w:val="36"/>
          <w:szCs w:val="36"/>
        </w:rPr>
      </w:pPr>
      <w:r w:rsidRPr="00B05509">
        <w:rPr>
          <w:rFonts w:ascii="Times New Roman" w:hAnsi="Times New Roman" w:cs="Times New Roman"/>
          <w:b/>
          <w:color w:val="auto"/>
          <w:sz w:val="36"/>
          <w:szCs w:val="36"/>
        </w:rPr>
        <w:t>Experiment 2: Discussion</w:t>
      </w:r>
    </w:p>
    <w:p w14:paraId="73C2AD0C" w14:textId="3DB66CB9" w:rsidR="00436F38" w:rsidRPr="00B05509" w:rsidRDefault="00436F38" w:rsidP="007C3BBA">
      <w:pPr>
        <w:spacing w:line="480" w:lineRule="auto"/>
        <w:rPr>
          <w:rFonts w:ascii="Times New Roman" w:hAnsi="Times New Roman"/>
        </w:rPr>
      </w:pPr>
      <w:r w:rsidRPr="00B05509">
        <w:rPr>
          <w:rFonts w:ascii="Times New Roman" w:hAnsi="Times New Roman"/>
        </w:rPr>
        <w:t>Experiment 2 replicated the main effects on two of our three dependent variables</w:t>
      </w:r>
      <w:r w:rsidR="00F62255" w:rsidRPr="00B05509">
        <w:rPr>
          <w:rFonts w:ascii="Times New Roman" w:hAnsi="Times New Roman"/>
        </w:rPr>
        <w:t>: t</w:t>
      </w:r>
      <w:r w:rsidRPr="00B05509">
        <w:rPr>
          <w:rFonts w:ascii="Times New Roman" w:hAnsi="Times New Roman"/>
        </w:rPr>
        <w:t xml:space="preserve">here was a </w:t>
      </w:r>
      <w:r w:rsidR="00CF0A8D">
        <w:rPr>
          <w:rFonts w:ascii="Times New Roman" w:hAnsi="Times New Roman"/>
        </w:rPr>
        <w:t>statistically</w:t>
      </w:r>
      <w:r w:rsidR="00CF0A8D" w:rsidRPr="00CF0A8D">
        <w:rPr>
          <w:rFonts w:ascii="Times New Roman" w:hAnsi="Times New Roman"/>
        </w:rPr>
        <w:t xml:space="preserve"> </w:t>
      </w:r>
      <w:r w:rsidRPr="00B05509">
        <w:rPr>
          <w:rFonts w:ascii="Times New Roman" w:hAnsi="Times New Roman"/>
        </w:rPr>
        <w:t xml:space="preserve">significant effect of giving quality of evidence information on both the perceived </w:t>
      </w:r>
      <w:r w:rsidRPr="00B05509">
        <w:rPr>
          <w:rFonts w:ascii="Times New Roman" w:hAnsi="Times New Roman"/>
        </w:rPr>
        <w:lastRenderedPageBreak/>
        <w:t xml:space="preserve">trustworthiness of the information and the perceived effectiveness of the intervention. No </w:t>
      </w:r>
      <w:r w:rsidR="00CF0A8D">
        <w:rPr>
          <w:rFonts w:ascii="Times New Roman" w:hAnsi="Times New Roman"/>
        </w:rPr>
        <w:t>statistically</w:t>
      </w:r>
      <w:r w:rsidR="00CF0A8D" w:rsidRPr="00CF0A8D">
        <w:rPr>
          <w:rFonts w:ascii="Times New Roman" w:hAnsi="Times New Roman"/>
        </w:rPr>
        <w:t xml:space="preserve"> </w:t>
      </w:r>
      <w:r w:rsidRPr="00B05509">
        <w:rPr>
          <w:rFonts w:ascii="Times New Roman" w:hAnsi="Times New Roman"/>
        </w:rPr>
        <w:t xml:space="preserve">significant differences emerged for the behavioural uptake measure. </w:t>
      </w:r>
    </w:p>
    <w:p w14:paraId="58539B4B" w14:textId="77777777" w:rsidR="00F62255" w:rsidRPr="00B05509" w:rsidRDefault="00F62255" w:rsidP="007C3BBA">
      <w:pPr>
        <w:spacing w:line="480" w:lineRule="auto"/>
        <w:rPr>
          <w:rFonts w:ascii="Times New Roman" w:hAnsi="Times New Roman"/>
        </w:rPr>
      </w:pPr>
    </w:p>
    <w:p w14:paraId="0E75A710" w14:textId="260CC435" w:rsidR="00436F38" w:rsidRPr="00B05509" w:rsidRDefault="00436F38" w:rsidP="007C3BBA">
      <w:pPr>
        <w:spacing w:line="480" w:lineRule="auto"/>
        <w:rPr>
          <w:rFonts w:ascii="Times New Roman" w:hAnsi="Times New Roman"/>
        </w:rPr>
      </w:pPr>
      <w:r w:rsidRPr="00B05509">
        <w:rPr>
          <w:rFonts w:ascii="Times New Roman" w:hAnsi="Times New Roman"/>
        </w:rPr>
        <w:t xml:space="preserve">Experiment 2 furthermore extended </w:t>
      </w:r>
      <w:r w:rsidR="00F62255" w:rsidRPr="00B05509">
        <w:rPr>
          <w:rFonts w:ascii="Times New Roman" w:hAnsi="Times New Roman"/>
        </w:rPr>
        <w:t xml:space="preserve">the </w:t>
      </w:r>
      <w:r w:rsidRPr="00B05509">
        <w:rPr>
          <w:rFonts w:ascii="Times New Roman" w:hAnsi="Times New Roman"/>
        </w:rPr>
        <w:t>findings from Experiment 1</w:t>
      </w:r>
      <w:r w:rsidR="00A5683F">
        <w:rPr>
          <w:rFonts w:ascii="Times New Roman" w:hAnsi="Times New Roman"/>
        </w:rPr>
        <w:t>:</w:t>
      </w:r>
      <w:r w:rsidRPr="00B05509">
        <w:rPr>
          <w:rFonts w:ascii="Times New Roman" w:hAnsi="Times New Roman"/>
        </w:rPr>
        <w:t xml:space="preserve"> </w:t>
      </w:r>
      <w:r w:rsidR="00A5683F">
        <w:rPr>
          <w:rFonts w:ascii="Times New Roman" w:hAnsi="Times New Roman"/>
        </w:rPr>
        <w:t>a</w:t>
      </w:r>
      <w:r w:rsidRPr="00B05509">
        <w:rPr>
          <w:rFonts w:ascii="Times New Roman" w:hAnsi="Times New Roman"/>
        </w:rPr>
        <w:t>s hypothesized</w:t>
      </w:r>
      <w:r w:rsidR="00F62255" w:rsidRPr="00B05509">
        <w:rPr>
          <w:rFonts w:ascii="Times New Roman" w:hAnsi="Times New Roman"/>
        </w:rPr>
        <w:t>,</w:t>
      </w:r>
      <w:r w:rsidRPr="00B05509">
        <w:rPr>
          <w:rFonts w:ascii="Times New Roman" w:hAnsi="Times New Roman"/>
        </w:rPr>
        <w:t xml:space="preserve"> we found that </w:t>
      </w:r>
      <w:r w:rsidR="00F62255" w:rsidRPr="00B05509">
        <w:rPr>
          <w:rFonts w:ascii="Times New Roman" w:hAnsi="Times New Roman"/>
        </w:rPr>
        <w:t xml:space="preserve">the </w:t>
      </w:r>
      <w:r w:rsidRPr="00B05509">
        <w:rPr>
          <w:rFonts w:ascii="Times New Roman" w:hAnsi="Times New Roman"/>
        </w:rPr>
        <w:t>effects of not giving people indication</w:t>
      </w:r>
      <w:r w:rsidR="00F62255" w:rsidRPr="00B05509">
        <w:rPr>
          <w:rFonts w:ascii="Times New Roman" w:hAnsi="Times New Roman"/>
        </w:rPr>
        <w:t>s</w:t>
      </w:r>
      <w:r w:rsidRPr="00B05509">
        <w:rPr>
          <w:rFonts w:ascii="Times New Roman" w:hAnsi="Times New Roman"/>
        </w:rPr>
        <w:t xml:space="preserve"> </w:t>
      </w:r>
      <w:r w:rsidR="00F62255" w:rsidRPr="00B05509">
        <w:rPr>
          <w:rFonts w:ascii="Times New Roman" w:hAnsi="Times New Roman"/>
        </w:rPr>
        <w:t>of</w:t>
      </w:r>
      <w:r w:rsidRPr="00B05509">
        <w:rPr>
          <w:rFonts w:ascii="Times New Roman" w:hAnsi="Times New Roman"/>
        </w:rPr>
        <w:t xml:space="preserve"> the quality level of the evidence were similar to those </w:t>
      </w:r>
      <w:r w:rsidR="00F62255" w:rsidRPr="00B05509">
        <w:rPr>
          <w:rFonts w:ascii="Times New Roman" w:hAnsi="Times New Roman"/>
        </w:rPr>
        <w:t>seen in</w:t>
      </w:r>
      <w:r w:rsidRPr="00B05509">
        <w:rPr>
          <w:rFonts w:ascii="Times New Roman" w:hAnsi="Times New Roman"/>
        </w:rPr>
        <w:t xml:space="preserve"> the </w:t>
      </w:r>
      <w:r w:rsidR="00997B9A">
        <w:rPr>
          <w:rFonts w:ascii="Times New Roman" w:hAnsi="Times New Roman"/>
        </w:rPr>
        <w:t>‘</w:t>
      </w:r>
      <w:r w:rsidRPr="00B05509">
        <w:rPr>
          <w:rFonts w:ascii="Times New Roman" w:hAnsi="Times New Roman"/>
        </w:rPr>
        <w:t>high quality of evidence</w:t>
      </w:r>
      <w:r w:rsidR="00997B9A">
        <w:rPr>
          <w:rFonts w:ascii="Times New Roman" w:hAnsi="Times New Roman"/>
        </w:rPr>
        <w:t>’ infographic</w:t>
      </w:r>
      <w:r w:rsidRPr="00B05509">
        <w:rPr>
          <w:rFonts w:ascii="Times New Roman" w:hAnsi="Times New Roman"/>
        </w:rPr>
        <w:t xml:space="preserve"> group, and</w:t>
      </w:r>
      <w:r w:rsidR="00CF0A8D" w:rsidRPr="00CF0A8D">
        <w:rPr>
          <w:rFonts w:ascii="Times New Roman" w:hAnsi="Times New Roman"/>
        </w:rPr>
        <w:t xml:space="preserve"> </w:t>
      </w:r>
      <w:r w:rsidR="00CF0A8D">
        <w:rPr>
          <w:rFonts w:ascii="Times New Roman" w:hAnsi="Times New Roman"/>
        </w:rPr>
        <w:t>statistically</w:t>
      </w:r>
      <w:r w:rsidRPr="00B05509">
        <w:rPr>
          <w:rFonts w:ascii="Times New Roman" w:hAnsi="Times New Roman"/>
        </w:rPr>
        <w:t xml:space="preserve"> significantly different from those of the </w:t>
      </w:r>
      <w:r w:rsidR="00997B9A">
        <w:rPr>
          <w:rFonts w:ascii="Times New Roman" w:hAnsi="Times New Roman"/>
        </w:rPr>
        <w:t>‘</w:t>
      </w:r>
      <w:r w:rsidRPr="00B05509">
        <w:rPr>
          <w:rFonts w:ascii="Times New Roman" w:hAnsi="Times New Roman"/>
        </w:rPr>
        <w:t>low quality of evidence</w:t>
      </w:r>
      <w:r w:rsidR="00997B9A">
        <w:rPr>
          <w:rFonts w:ascii="Times New Roman" w:hAnsi="Times New Roman"/>
        </w:rPr>
        <w:t>’</w:t>
      </w:r>
      <w:r w:rsidRPr="00B05509">
        <w:rPr>
          <w:rFonts w:ascii="Times New Roman" w:hAnsi="Times New Roman"/>
        </w:rPr>
        <w:t xml:space="preserve"> group. </w:t>
      </w:r>
    </w:p>
    <w:p w14:paraId="5296D479" w14:textId="77777777" w:rsidR="00436F38" w:rsidRPr="00B05509" w:rsidRDefault="00436F38" w:rsidP="007C3BBA">
      <w:pPr>
        <w:spacing w:line="480" w:lineRule="auto"/>
        <w:rPr>
          <w:rFonts w:ascii="Times New Roman" w:hAnsi="Times New Roman"/>
        </w:rPr>
      </w:pPr>
    </w:p>
    <w:p w14:paraId="27FBDBEA" w14:textId="5D3796AD" w:rsidR="00C76780" w:rsidRPr="00B05509" w:rsidRDefault="00F62255" w:rsidP="007C3BBA">
      <w:pPr>
        <w:spacing w:line="480" w:lineRule="auto"/>
        <w:rPr>
          <w:rFonts w:ascii="Times New Roman" w:hAnsi="Times New Roman"/>
        </w:rPr>
      </w:pPr>
      <w:r w:rsidRPr="00B05509">
        <w:rPr>
          <w:rFonts w:ascii="Times New Roman" w:hAnsi="Times New Roman"/>
        </w:rPr>
        <w:t>This</w:t>
      </w:r>
      <w:r w:rsidR="00436F38" w:rsidRPr="00B05509">
        <w:rPr>
          <w:rFonts w:ascii="Times New Roman" w:hAnsi="Times New Roman"/>
        </w:rPr>
        <w:t xml:space="preserve"> suggest</w:t>
      </w:r>
      <w:r w:rsidRPr="00B05509">
        <w:rPr>
          <w:rFonts w:ascii="Times New Roman" w:hAnsi="Times New Roman"/>
        </w:rPr>
        <w:t>s</w:t>
      </w:r>
      <w:r w:rsidR="00436F38" w:rsidRPr="00B05509">
        <w:rPr>
          <w:rFonts w:ascii="Times New Roman" w:hAnsi="Times New Roman"/>
        </w:rPr>
        <w:t xml:space="preserve"> that </w:t>
      </w:r>
      <w:r w:rsidR="009C5CFC" w:rsidRPr="00B05509">
        <w:rPr>
          <w:rFonts w:ascii="Times New Roman" w:hAnsi="Times New Roman"/>
        </w:rPr>
        <w:t xml:space="preserve">in the absence of </w:t>
      </w:r>
      <w:r w:rsidR="00A5683F">
        <w:rPr>
          <w:rFonts w:ascii="Times New Roman" w:hAnsi="Times New Roman"/>
        </w:rPr>
        <w:t>explicit</w:t>
      </w:r>
      <w:r w:rsidR="00F42756" w:rsidRPr="00B05509">
        <w:rPr>
          <w:rFonts w:ascii="Times New Roman" w:hAnsi="Times New Roman"/>
        </w:rPr>
        <w:t xml:space="preserve"> </w:t>
      </w:r>
      <w:r w:rsidR="009C5CFC" w:rsidRPr="00B05509">
        <w:rPr>
          <w:rFonts w:ascii="Times New Roman" w:hAnsi="Times New Roman"/>
        </w:rPr>
        <w:t>cues of the quality of the evidence, people respond</w:t>
      </w:r>
      <w:r w:rsidR="00C7584B" w:rsidRPr="00B05509">
        <w:rPr>
          <w:rFonts w:ascii="Times New Roman" w:hAnsi="Times New Roman"/>
        </w:rPr>
        <w:t>ed</w:t>
      </w:r>
      <w:r w:rsidR="009C5CFC" w:rsidRPr="00B05509">
        <w:rPr>
          <w:rFonts w:ascii="Times New Roman" w:hAnsi="Times New Roman"/>
        </w:rPr>
        <w:t xml:space="preserve"> to the information they </w:t>
      </w:r>
      <w:r w:rsidR="00C7584B" w:rsidRPr="00B05509">
        <w:rPr>
          <w:rFonts w:ascii="Times New Roman" w:hAnsi="Times New Roman"/>
        </w:rPr>
        <w:t>were</w:t>
      </w:r>
      <w:r w:rsidR="009C5CFC" w:rsidRPr="00B05509">
        <w:rPr>
          <w:rFonts w:ascii="Times New Roman" w:hAnsi="Times New Roman"/>
        </w:rPr>
        <w:t xml:space="preserve"> provided with as if it </w:t>
      </w:r>
      <w:r w:rsidR="00C7584B" w:rsidRPr="00B05509">
        <w:rPr>
          <w:rFonts w:ascii="Times New Roman" w:hAnsi="Times New Roman"/>
        </w:rPr>
        <w:t>was</w:t>
      </w:r>
      <w:r w:rsidR="009C5CFC" w:rsidRPr="00B05509">
        <w:rPr>
          <w:rFonts w:ascii="Times New Roman" w:hAnsi="Times New Roman"/>
        </w:rPr>
        <w:t xml:space="preserve"> high quality, and that only stating overtly that evidence is ‘low quality</w:t>
      </w:r>
      <w:r w:rsidR="00C7584B" w:rsidRPr="00B05509">
        <w:rPr>
          <w:rFonts w:ascii="Times New Roman" w:hAnsi="Times New Roman"/>
        </w:rPr>
        <w:t>’ could</w:t>
      </w:r>
      <w:r w:rsidR="009C5CFC" w:rsidRPr="00B05509">
        <w:rPr>
          <w:rFonts w:ascii="Times New Roman" w:hAnsi="Times New Roman"/>
        </w:rPr>
        <w:t xml:space="preserve"> significantly change people’s perceptions. This might be because people</w:t>
      </w:r>
      <w:r w:rsidR="00F75D53" w:rsidRPr="00B05509">
        <w:rPr>
          <w:rFonts w:ascii="Times New Roman" w:hAnsi="Times New Roman"/>
        </w:rPr>
        <w:t xml:space="preserve"> </w:t>
      </w:r>
      <w:r w:rsidR="00436F38" w:rsidRPr="00B05509">
        <w:rPr>
          <w:rFonts w:ascii="Times New Roman" w:hAnsi="Times New Roman"/>
        </w:rPr>
        <w:t>implicitly assume a re</w:t>
      </w:r>
      <w:r w:rsidR="007B2085" w:rsidRPr="00B05509">
        <w:rPr>
          <w:rFonts w:ascii="Times New Roman" w:hAnsi="Times New Roman"/>
        </w:rPr>
        <w:t>latively high level of quality of</w:t>
      </w:r>
      <w:r w:rsidR="00436F38" w:rsidRPr="00B05509">
        <w:rPr>
          <w:rFonts w:ascii="Times New Roman" w:hAnsi="Times New Roman"/>
        </w:rPr>
        <w:t xml:space="preserve"> evidence they are presented with in this kind of scenario</w:t>
      </w:r>
      <w:r w:rsidR="00A5683F">
        <w:rPr>
          <w:rFonts w:ascii="Times New Roman" w:hAnsi="Times New Roman"/>
        </w:rPr>
        <w:t xml:space="preserve"> (e.g. clearly presented estimates with no confidence intervals or cues of uncertainty in the evidence</w:t>
      </w:r>
      <w:r w:rsidR="00C92D44">
        <w:rPr>
          <w:rFonts w:ascii="Times New Roman" w:hAnsi="Times New Roman"/>
        </w:rPr>
        <w:t>)</w:t>
      </w:r>
      <w:r w:rsidR="00532C3A">
        <w:rPr>
          <w:rFonts w:ascii="Times New Roman" w:hAnsi="Times New Roman"/>
        </w:rPr>
        <w:t>.</w:t>
      </w:r>
      <w:r w:rsidR="00CA4E53">
        <w:rPr>
          <w:rFonts w:ascii="Times New Roman" w:hAnsi="Times New Roman"/>
        </w:rPr>
        <w:t xml:space="preserve"> </w:t>
      </w:r>
      <w:r w:rsidR="00532C3A">
        <w:rPr>
          <w:rFonts w:ascii="Times New Roman" w:hAnsi="Times New Roman"/>
        </w:rPr>
        <w:t>Alternatively,</w:t>
      </w:r>
      <w:r w:rsidR="00C92D44">
        <w:rPr>
          <w:rFonts w:ascii="Times New Roman" w:hAnsi="Times New Roman"/>
        </w:rPr>
        <w:t xml:space="preserve"> it might be </w:t>
      </w:r>
      <w:r w:rsidR="009C5CFC" w:rsidRPr="00B05509">
        <w:rPr>
          <w:rFonts w:ascii="Times New Roman" w:hAnsi="Times New Roman"/>
        </w:rPr>
        <w:t>because</w:t>
      </w:r>
      <w:r w:rsidR="00C92D44">
        <w:rPr>
          <w:rFonts w:ascii="Times New Roman" w:hAnsi="Times New Roman"/>
        </w:rPr>
        <w:t xml:space="preserve"> people’s implicit assumption is a ‘neutral’ level of evidence, which can be manipulated either up or down with an explicit cue, but that the cue of ‘low quality’ is much more salient, </w:t>
      </w:r>
      <w:r w:rsidR="00CE2E14">
        <w:rPr>
          <w:rFonts w:ascii="Times New Roman" w:hAnsi="Times New Roman"/>
        </w:rPr>
        <w:t>and people react to it more strongly</w:t>
      </w:r>
      <w:r w:rsidR="00761622">
        <w:rPr>
          <w:rFonts w:ascii="Times New Roman" w:hAnsi="Times New Roman"/>
        </w:rPr>
        <w:t xml:space="preserve"> compared to the ‘high quality’ cue</w:t>
      </w:r>
      <w:r w:rsidR="00DA1A8A">
        <w:rPr>
          <w:rFonts w:ascii="Times New Roman" w:hAnsi="Times New Roman"/>
        </w:rPr>
        <w:t>, which</w:t>
      </w:r>
      <w:r w:rsidR="00C92D44">
        <w:rPr>
          <w:rFonts w:ascii="Times New Roman" w:hAnsi="Times New Roman"/>
        </w:rPr>
        <w:t xml:space="preserve"> does not make a statistically significant difference. </w:t>
      </w:r>
      <w:r w:rsidR="00DA1A8A">
        <w:rPr>
          <w:rFonts w:ascii="Times New Roman" w:hAnsi="Times New Roman"/>
        </w:rPr>
        <w:t xml:space="preserve"> </w:t>
      </w:r>
      <w:r w:rsidR="009C5CFC" w:rsidRPr="00B05509">
        <w:rPr>
          <w:rFonts w:ascii="Times New Roman" w:hAnsi="Times New Roman"/>
        </w:rPr>
        <w:t xml:space="preserve">The latter could be an example of loss aversion. Psychological theory has shown that </w:t>
      </w:r>
      <w:r w:rsidR="00C76780" w:rsidRPr="00B05509">
        <w:rPr>
          <w:rFonts w:ascii="Times New Roman" w:hAnsi="Times New Roman"/>
        </w:rPr>
        <w:t xml:space="preserve">people are more sensitive to losses compared to gains, which may </w:t>
      </w:r>
      <w:r w:rsidR="00C92D44">
        <w:rPr>
          <w:rFonts w:ascii="Times New Roman" w:hAnsi="Times New Roman"/>
        </w:rPr>
        <w:t xml:space="preserve"> cause</w:t>
      </w:r>
      <w:r w:rsidR="00C76780" w:rsidRPr="00B05509">
        <w:rPr>
          <w:rFonts w:ascii="Times New Roman" w:hAnsi="Times New Roman"/>
        </w:rPr>
        <w:t xml:space="preserve"> low quality of evidence </w:t>
      </w:r>
      <w:r w:rsidR="00C92D44">
        <w:rPr>
          <w:rFonts w:ascii="Times New Roman" w:hAnsi="Times New Roman"/>
        </w:rPr>
        <w:t xml:space="preserve"> cues  to</w:t>
      </w:r>
      <w:r w:rsidR="00C76780" w:rsidRPr="00B05509">
        <w:rPr>
          <w:rFonts w:ascii="Times New Roman" w:hAnsi="Times New Roman"/>
        </w:rPr>
        <w:t xml:space="preserve"> pull effects downwards for the ‘low’ group</w:t>
      </w:r>
      <w:r w:rsidR="00C92D44">
        <w:rPr>
          <w:rFonts w:ascii="Times New Roman" w:hAnsi="Times New Roman"/>
        </w:rPr>
        <w:t xml:space="preserve"> more than high quality cues</w:t>
      </w:r>
      <w:r w:rsidR="00C92D44" w:rsidRPr="00B05509">
        <w:rPr>
          <w:rFonts w:ascii="Times New Roman" w:hAnsi="Times New Roman"/>
        </w:rPr>
        <w:t xml:space="preserve"> </w:t>
      </w:r>
      <w:r w:rsidR="00C92D44">
        <w:rPr>
          <w:rFonts w:ascii="Times New Roman" w:hAnsi="Times New Roman"/>
        </w:rPr>
        <w:t xml:space="preserve">push it up </w:t>
      </w:r>
      <w:r w:rsidR="00C76780" w:rsidRPr="00B05509">
        <w:rPr>
          <w:rFonts w:ascii="Times New Roman" w:hAnsi="Times New Roman"/>
        </w:rPr>
        <w:fldChar w:fldCharType="begin" w:fldLock="1"/>
      </w:r>
      <w:r w:rsidR="00DA7ECD">
        <w:rPr>
          <w:rFonts w:ascii="Times New Roman" w:hAnsi="Times New Roman"/>
        </w:rPr>
        <w:instrText>ADDIN CSL_CITATION {"citationItems":[{"id":"ITEM-1","itemData":{"ISSN":"0272-4987","abstract":"Much experimental evidence indicates that choice depends on the status quo or reference level: changes of reference point often lead to reversals of preference. We present a reference-dependent theory of consumer choice, which explains such effects by a deformation of indifference curves about the reference point. The central assumption of the theory is that losses and disadvantages have greater impact on preferences than gains and advantages. Implications of loss aversion for economic behavior are considered.","author":[{"dropping-particle":"","family":"Tversky","given":"Amos","non-dropping-particle":"","parse-names":false,"suffix":""},{"dropping-particle":"","family":"Kahneman","given":"Daniel","non-dropping-particle":"","parse-names":false,"suffix":""}],"container-title":"The Quarterly Journal of Economics","id":"ITEM-1","issue":"4","issued":{"date-parts":[["1991"]]},"page":"1039-1061","title":"Loss Aversion in Riskless Choice : A Reference-Dependent Model Author ( s ): Amos Tversky and Daniel Kahneman Published by : Oxford University Press","type":"article-journal","volume":"106"},"uris":["http://www.mendeley.com/documents/?uuid=2c97f438-e152-412a-b1d0-c68a10c88bcf"]},{"id":"ITEM-2","itemData":{"DOI":"10.1126/science.1134239","ISSN":"00368075","PMID":"17255512","abstract":"People typically exhibit greater sensitivity to losses than to equivalent gains when making decisions. We investigated neural correlates of loss aversion while individuals decided whether to accept or reject gambles that offered a 50/50 chance of gaining or losing money. A broad set of areas (including midbrain dopaminergic regions and their targets) showed increasing activity as potential gains increased. Potential losses were represented by decreasing activity in several of these same gain-sensitive areas. Finally, individual differences in behavioral loss aversion were predicted by a measure of neural loss aversion in several regions, including the ventral striatum and prefrontal cortex.","author":[{"dropping-particle":"","family":"Tom","given":"Sabrina M.","non-dropping-particle":"","parse-names":false,"suffix":""},{"dropping-particle":"","family":"Fox","given":"Craig R.","non-dropping-particle":"","parse-names":false,"suffix":""},{"dropping-particle":"","family":"Trepel","given":"Christopher","non-dropping-particle":"","parse-names":false,"suffix":""},{"dropping-particle":"","family":"Poldrack","given":"Russell A.","non-dropping-particle":"","parse-names":false,"suffix":""}],"container-title":"Science","id":"ITEM-2","issue":"5811","issued":{"date-parts":[["2007"]]},"page":"515-518","title":"The neural basis of loss aversion in decision-making under risk","type":"article-journal","volume":"315"},"uris":["http://www.mendeley.com/documents/?uuid=c175db74-f577-4842-a6bf-9b976f4ab8f5"]},{"id":"ITEM-3","itemData":{"ISBN":"0012-9682","ISSN":"00129682","PMID":"1914185","abstract":"This paper presents a critique of expected utility theory as a descriptive model of decision making under risk, and develops an alternative model, called prospect theory. Choices among risky prospects exhibit several pervasive effects that are inconsistent with the basic tenets of utility theory. In particular, people underweight outcomes that are merely probable in comparison with outcomes that are obtained with certainty. This tendency, called the certainty effect, contributes to risk aversion in choices involving sure gains and to risk seeking in choices involving sure losses. In addition, people generally discard components that are shared by all prospects under consideration. This tendency, called the isolation effect, leads to inconsistent preferences when the same choice is presented in different forms. An alternative theory of choice is developed, in which value is assigned to gains and losses rather than to final assets and in which probabilities are replaced by decision weights. The value function is normally concave for gains, commonly convex for losses, and is generally steeper for losses than for gains. Decision weights are generally lower than the corresponding probabilities, except in the range of low probabilities. Overweighting of low probabilities may contribute to the attractiveness of both insurance and gambling","author":[{"dropping-particle":"","family":"Kahneman","given":"Daniel","non-dropping-particle":"","parse-names":false,"suffix":""},{"dropping-particle":"","family":"Tversky","given":"Amos","non-dropping-particle":"","parse-names":false,"suffix":""}],"container-title":"Econometrica","id":"ITEM-3","issue":"2","issued":{"date-parts":[["1979"]]},"page":"263-292","title":"Prospect theory: An analysis of decision under risk. Econometrika, 47, 263-291.","type":"article-journal","volume":"47"},"uris":["http://www.mendeley.com/documents/?uuid=cabfb312-3a10-44b9-838d-8cdf90dd1742"]}],"mendeley":{"formattedCitation":"[60–62]","plainTextFormattedCitation":"[60–62]","previouslyFormattedCitation":"[59–61]"},"properties":{"noteIndex":0},"schema":"https://github.com/citation-style-language/schema/raw/master/csl-citation.json"}</w:instrText>
      </w:r>
      <w:r w:rsidR="00C76780" w:rsidRPr="00B05509">
        <w:rPr>
          <w:rFonts w:ascii="Times New Roman" w:hAnsi="Times New Roman"/>
        </w:rPr>
        <w:fldChar w:fldCharType="separate"/>
      </w:r>
      <w:r w:rsidR="00DA7ECD" w:rsidRPr="00DA7ECD">
        <w:rPr>
          <w:rFonts w:ascii="Times New Roman" w:hAnsi="Times New Roman"/>
          <w:noProof/>
        </w:rPr>
        <w:t>[60–62]</w:t>
      </w:r>
      <w:r w:rsidR="00C76780" w:rsidRPr="00B05509">
        <w:rPr>
          <w:rFonts w:ascii="Times New Roman" w:hAnsi="Times New Roman"/>
        </w:rPr>
        <w:fldChar w:fldCharType="end"/>
      </w:r>
      <w:r w:rsidR="00C76780" w:rsidRPr="00B05509">
        <w:rPr>
          <w:rFonts w:ascii="Times New Roman" w:hAnsi="Times New Roman"/>
        </w:rPr>
        <w:t>.</w:t>
      </w:r>
      <w:r w:rsidR="00AC75F4">
        <w:rPr>
          <w:rFonts w:ascii="Times New Roman" w:hAnsi="Times New Roman"/>
        </w:rPr>
        <w:t xml:space="preserve"> </w:t>
      </w:r>
    </w:p>
    <w:p w14:paraId="649012E9" w14:textId="163A34E9" w:rsidR="009C5CFC" w:rsidRPr="00B05509" w:rsidRDefault="009C5CFC" w:rsidP="007C3BBA">
      <w:pPr>
        <w:spacing w:line="480" w:lineRule="auto"/>
        <w:rPr>
          <w:rFonts w:ascii="Times New Roman" w:hAnsi="Times New Roman"/>
        </w:rPr>
      </w:pPr>
    </w:p>
    <w:p w14:paraId="3E361B71" w14:textId="7D91569A" w:rsidR="00D15D28" w:rsidRPr="00B05509" w:rsidRDefault="00A57699" w:rsidP="007C3BBA">
      <w:pPr>
        <w:spacing w:line="480" w:lineRule="auto"/>
        <w:rPr>
          <w:rFonts w:ascii="Times New Roman" w:hAnsi="Times New Roman"/>
        </w:rPr>
      </w:pPr>
      <w:r w:rsidRPr="00B05509">
        <w:rPr>
          <w:rFonts w:ascii="Times New Roman" w:hAnsi="Times New Roman"/>
        </w:rPr>
        <w:t xml:space="preserve">When looking at the effects of degree of understanding on weighting of cues, unfortunately our manipulation of the format did not make a </w:t>
      </w:r>
      <w:r w:rsidR="00CF0A8D">
        <w:rPr>
          <w:rFonts w:ascii="Times New Roman" w:hAnsi="Times New Roman"/>
        </w:rPr>
        <w:t>statistically</w:t>
      </w:r>
      <w:r w:rsidR="00CF0A8D" w:rsidRPr="00CF0A8D">
        <w:rPr>
          <w:rFonts w:ascii="Times New Roman" w:hAnsi="Times New Roman"/>
        </w:rPr>
        <w:t xml:space="preserve"> </w:t>
      </w:r>
      <w:r w:rsidRPr="00B05509">
        <w:rPr>
          <w:rFonts w:ascii="Times New Roman" w:hAnsi="Times New Roman"/>
        </w:rPr>
        <w:t xml:space="preserve">significant difference to the </w:t>
      </w:r>
      <w:proofErr w:type="spellStart"/>
      <w:r w:rsidRPr="00B05509">
        <w:rPr>
          <w:rFonts w:ascii="Times New Roman" w:hAnsi="Times New Roman"/>
        </w:rPr>
        <w:t>understandability</w:t>
      </w:r>
      <w:proofErr w:type="spellEnd"/>
      <w:r w:rsidRPr="00B05509">
        <w:rPr>
          <w:rFonts w:ascii="Times New Roman" w:hAnsi="Times New Roman"/>
        </w:rPr>
        <w:t xml:space="preserve"> of the numerical effectiveness information</w:t>
      </w:r>
      <w:r w:rsidR="00774E69" w:rsidRPr="00B05509">
        <w:rPr>
          <w:rFonts w:ascii="Times New Roman" w:hAnsi="Times New Roman"/>
        </w:rPr>
        <w:t xml:space="preserve">, which </w:t>
      </w:r>
      <w:r w:rsidR="006F33EF">
        <w:rPr>
          <w:rFonts w:ascii="Times New Roman" w:hAnsi="Times New Roman"/>
        </w:rPr>
        <w:t>could imply</w:t>
      </w:r>
      <w:r w:rsidR="00774E69" w:rsidRPr="00B05509">
        <w:rPr>
          <w:rFonts w:ascii="Times New Roman" w:hAnsi="Times New Roman"/>
        </w:rPr>
        <w:t xml:space="preserve"> that the icon </w:t>
      </w:r>
      <w:r w:rsidR="00774E69" w:rsidRPr="00B05509">
        <w:rPr>
          <w:rFonts w:ascii="Times New Roman" w:hAnsi="Times New Roman"/>
        </w:rPr>
        <w:lastRenderedPageBreak/>
        <w:t xml:space="preserve">arrays were not making </w:t>
      </w:r>
      <w:r w:rsidR="008F6283">
        <w:rPr>
          <w:rFonts w:ascii="Times New Roman" w:hAnsi="Times New Roman"/>
        </w:rPr>
        <w:t>a positive difference in</w:t>
      </w:r>
      <w:r w:rsidR="00774E69" w:rsidRPr="00B05509">
        <w:rPr>
          <w:rFonts w:ascii="Times New Roman" w:hAnsi="Times New Roman"/>
        </w:rPr>
        <w:t xml:space="preserve"> supporting the comprehension of the numbers presented</w:t>
      </w:r>
      <w:r w:rsidR="00C92D44">
        <w:rPr>
          <w:rFonts w:ascii="Times New Roman" w:hAnsi="Times New Roman"/>
        </w:rPr>
        <w:t>, potentially</w:t>
      </w:r>
      <w:r w:rsidR="008F6283">
        <w:rPr>
          <w:rFonts w:ascii="Times New Roman" w:hAnsi="Times New Roman"/>
        </w:rPr>
        <w:t xml:space="preserve"> due to shortcomings</w:t>
      </w:r>
      <w:r w:rsidR="00C92D44">
        <w:rPr>
          <w:rFonts w:ascii="Times New Roman" w:hAnsi="Times New Roman"/>
        </w:rPr>
        <w:t xml:space="preserve"> in the icon array (e.g.</w:t>
      </w:r>
      <w:r w:rsidR="008F6283">
        <w:rPr>
          <w:rFonts w:ascii="Times New Roman" w:hAnsi="Times New Roman"/>
        </w:rPr>
        <w:t xml:space="preserve"> that th</w:t>
      </w:r>
      <w:r w:rsidR="00C92D44">
        <w:rPr>
          <w:rFonts w:ascii="Times New Roman" w:hAnsi="Times New Roman"/>
        </w:rPr>
        <w:t>e denominator used was 50 rather than 100 people</w:t>
      </w:r>
      <w:r w:rsidR="00C07742">
        <w:rPr>
          <w:rFonts w:ascii="Times New Roman" w:hAnsi="Times New Roman"/>
        </w:rPr>
        <w:t>, hence showing the 16% ‘without eye protection’ as 8 coloured-in icons and the 5.5% ‘with eye protection’ as 2.75 coloured-in icons</w:t>
      </w:r>
      <w:r w:rsidR="00C92D44">
        <w:rPr>
          <w:rFonts w:ascii="Times New Roman" w:hAnsi="Times New Roman"/>
        </w:rPr>
        <w:t xml:space="preserve">), or that our measures of </w:t>
      </w:r>
      <w:proofErr w:type="spellStart"/>
      <w:r w:rsidR="00C92D44">
        <w:rPr>
          <w:rFonts w:ascii="Times New Roman" w:hAnsi="Times New Roman"/>
        </w:rPr>
        <w:t>understandability</w:t>
      </w:r>
      <w:proofErr w:type="spellEnd"/>
      <w:r w:rsidR="00C92D44">
        <w:rPr>
          <w:rFonts w:ascii="Times New Roman" w:hAnsi="Times New Roman"/>
        </w:rPr>
        <w:t xml:space="preserve"> were not sensitive </w:t>
      </w:r>
      <w:r w:rsidR="009029FB">
        <w:rPr>
          <w:rFonts w:ascii="Times New Roman" w:hAnsi="Times New Roman"/>
        </w:rPr>
        <w:t xml:space="preserve">enough </w:t>
      </w:r>
      <w:r w:rsidR="00C92D44">
        <w:rPr>
          <w:rFonts w:ascii="Times New Roman" w:hAnsi="Times New Roman"/>
        </w:rPr>
        <w:t>to any differences.</w:t>
      </w:r>
    </w:p>
    <w:p w14:paraId="15C7506C" w14:textId="77777777" w:rsidR="00E5241E" w:rsidRPr="00B05509" w:rsidRDefault="00E5241E" w:rsidP="007C3BBA">
      <w:pPr>
        <w:spacing w:line="480" w:lineRule="auto"/>
        <w:rPr>
          <w:rFonts w:ascii="Times New Roman" w:hAnsi="Times New Roman"/>
        </w:rPr>
      </w:pPr>
    </w:p>
    <w:p w14:paraId="305E672F" w14:textId="485A55E3" w:rsidR="00D16646" w:rsidRPr="00B05509" w:rsidRDefault="00221D5D" w:rsidP="007C3BBA">
      <w:pPr>
        <w:pStyle w:val="Heading2"/>
        <w:spacing w:line="480" w:lineRule="auto"/>
        <w:rPr>
          <w:rFonts w:ascii="Times New Roman" w:hAnsi="Times New Roman" w:cs="Times New Roman"/>
          <w:b/>
          <w:color w:val="auto"/>
          <w:sz w:val="36"/>
          <w:szCs w:val="36"/>
        </w:rPr>
      </w:pPr>
      <w:r>
        <w:rPr>
          <w:rFonts w:ascii="Times New Roman" w:hAnsi="Times New Roman" w:cs="Times New Roman"/>
          <w:b/>
          <w:color w:val="auto"/>
          <w:sz w:val="36"/>
          <w:szCs w:val="36"/>
        </w:rPr>
        <w:t>General Discussion</w:t>
      </w:r>
    </w:p>
    <w:p w14:paraId="23EBD6B1" w14:textId="557781D4" w:rsidR="0073271C" w:rsidRPr="00B05509" w:rsidRDefault="00874CBB" w:rsidP="007C3BBA">
      <w:pPr>
        <w:spacing w:line="480" w:lineRule="auto"/>
        <w:rPr>
          <w:rFonts w:ascii="Times New Roman" w:hAnsi="Times New Roman"/>
        </w:rPr>
      </w:pPr>
      <w:r w:rsidRPr="00B05509">
        <w:rPr>
          <w:rFonts w:ascii="Times New Roman" w:hAnsi="Times New Roman"/>
        </w:rPr>
        <w:t>Across two</w:t>
      </w:r>
      <w:r w:rsidR="006401C7" w:rsidRPr="00B05509">
        <w:rPr>
          <w:rFonts w:ascii="Times New Roman" w:hAnsi="Times New Roman"/>
        </w:rPr>
        <w:t xml:space="preserve"> large, randomised</w:t>
      </w:r>
      <w:r w:rsidRPr="00B05509">
        <w:rPr>
          <w:rFonts w:ascii="Times New Roman" w:hAnsi="Times New Roman"/>
        </w:rPr>
        <w:t xml:space="preserve"> experiments we show that </w:t>
      </w:r>
      <w:r w:rsidR="004E1B46" w:rsidRPr="00B05509">
        <w:rPr>
          <w:rFonts w:ascii="Times New Roman" w:hAnsi="Times New Roman"/>
        </w:rPr>
        <w:t>informatio</w:t>
      </w:r>
      <w:r w:rsidR="002C2B0F" w:rsidRPr="00B05509">
        <w:rPr>
          <w:rFonts w:ascii="Times New Roman" w:hAnsi="Times New Roman"/>
        </w:rPr>
        <w:t xml:space="preserve">n </w:t>
      </w:r>
      <w:r w:rsidR="006401C7" w:rsidRPr="00B05509">
        <w:rPr>
          <w:rFonts w:ascii="Times New Roman" w:hAnsi="Times New Roman"/>
        </w:rPr>
        <w:t>about the quality of underlying evidence changes</w:t>
      </w:r>
      <w:r w:rsidR="004E1B46" w:rsidRPr="00B05509">
        <w:rPr>
          <w:rFonts w:ascii="Times New Roman" w:hAnsi="Times New Roman"/>
        </w:rPr>
        <w:t xml:space="preserve"> </w:t>
      </w:r>
      <w:r w:rsidR="006401C7" w:rsidRPr="00B05509">
        <w:rPr>
          <w:rFonts w:ascii="Times New Roman" w:hAnsi="Times New Roman"/>
        </w:rPr>
        <w:t xml:space="preserve">public </w:t>
      </w:r>
      <w:r w:rsidR="004E1B46" w:rsidRPr="00B05509">
        <w:rPr>
          <w:rFonts w:ascii="Times New Roman" w:hAnsi="Times New Roman"/>
        </w:rPr>
        <w:t xml:space="preserve">perceptions of </w:t>
      </w:r>
      <w:r w:rsidR="0073271C" w:rsidRPr="00B05509">
        <w:rPr>
          <w:rFonts w:ascii="Times New Roman" w:hAnsi="Times New Roman"/>
        </w:rPr>
        <w:t xml:space="preserve">estimates of the effectiveness of </w:t>
      </w:r>
      <w:r w:rsidR="006401C7" w:rsidRPr="00B05509">
        <w:rPr>
          <w:rFonts w:ascii="Times New Roman" w:hAnsi="Times New Roman"/>
        </w:rPr>
        <w:t>public health measures</w:t>
      </w:r>
      <w:r w:rsidR="004E1B46" w:rsidRPr="00B05509">
        <w:rPr>
          <w:rFonts w:ascii="Times New Roman" w:hAnsi="Times New Roman"/>
        </w:rPr>
        <w:t>.</w:t>
      </w:r>
      <w:r w:rsidR="00032BDA" w:rsidRPr="00B05509">
        <w:rPr>
          <w:rFonts w:ascii="Times New Roman" w:hAnsi="Times New Roman"/>
        </w:rPr>
        <w:t xml:space="preserve"> </w:t>
      </w:r>
    </w:p>
    <w:p w14:paraId="7876F874" w14:textId="77777777" w:rsidR="0073271C" w:rsidRPr="00B05509" w:rsidRDefault="0073271C" w:rsidP="007C3BBA">
      <w:pPr>
        <w:spacing w:line="480" w:lineRule="auto"/>
        <w:rPr>
          <w:rFonts w:ascii="Times New Roman" w:hAnsi="Times New Roman"/>
        </w:rPr>
      </w:pPr>
    </w:p>
    <w:p w14:paraId="547ACAB8" w14:textId="4A0EAD39" w:rsidR="0073271C" w:rsidRPr="00B05509" w:rsidRDefault="00CD05B9" w:rsidP="007C3BBA">
      <w:pPr>
        <w:spacing w:line="480" w:lineRule="auto"/>
        <w:rPr>
          <w:rFonts w:ascii="Times New Roman" w:hAnsi="Times New Roman"/>
        </w:rPr>
      </w:pPr>
      <w:r w:rsidRPr="00B05509">
        <w:rPr>
          <w:rFonts w:ascii="Times New Roman" w:hAnsi="Times New Roman"/>
        </w:rPr>
        <w:t>In Experiment 1 we show that a statement of high quality or certainty of evidence led to the information being trusted more than for a statement of low quality or certainty. In the same way it also affected how effective people judged eye protection to be in reducing the chance of COVID-19 infection, and the likelihood to which people indicated they would wear eye protection.</w:t>
      </w:r>
      <w:r w:rsidR="00951779" w:rsidRPr="00B05509">
        <w:rPr>
          <w:rFonts w:ascii="Times New Roman" w:hAnsi="Times New Roman"/>
        </w:rPr>
        <w:t xml:space="preserve"> Moreover, we show that effects on trust mediate the relationship between quality of evidence information and downstream behaviour</w:t>
      </w:r>
      <w:r w:rsidR="003E0FF6">
        <w:rPr>
          <w:rFonts w:ascii="Times New Roman" w:hAnsi="Times New Roman"/>
        </w:rPr>
        <w:t xml:space="preserve"> (</w:t>
      </w:r>
      <w:r w:rsidR="00951779" w:rsidRPr="00B05509">
        <w:rPr>
          <w:rFonts w:ascii="Times New Roman" w:hAnsi="Times New Roman"/>
        </w:rPr>
        <w:t xml:space="preserve">providing people with </w:t>
      </w:r>
      <w:r w:rsidR="003E0FF6">
        <w:rPr>
          <w:rFonts w:ascii="Times New Roman" w:hAnsi="Times New Roman"/>
        </w:rPr>
        <w:t xml:space="preserve">a statement of </w:t>
      </w:r>
      <w:r w:rsidR="00951779" w:rsidRPr="00B05509">
        <w:rPr>
          <w:rFonts w:ascii="Times New Roman" w:hAnsi="Times New Roman"/>
        </w:rPr>
        <w:t>low quality of evidence decreased people’s trust and in turn lowered their intentions to wear eye protection</w:t>
      </w:r>
      <w:r w:rsidR="003E0FF6">
        <w:rPr>
          <w:rFonts w:ascii="Times New Roman" w:hAnsi="Times New Roman"/>
        </w:rPr>
        <w:t xml:space="preserve"> compared to a statement of high quality of evidence)</w:t>
      </w:r>
      <w:r w:rsidR="00951779" w:rsidRPr="00B05509">
        <w:rPr>
          <w:rFonts w:ascii="Times New Roman" w:hAnsi="Times New Roman"/>
        </w:rPr>
        <w:t>.</w:t>
      </w:r>
    </w:p>
    <w:p w14:paraId="7BDB3DD8" w14:textId="316C9FAB" w:rsidR="00EE4C0F" w:rsidRPr="00B05509" w:rsidRDefault="00EE4C0F" w:rsidP="007C3BBA">
      <w:pPr>
        <w:spacing w:line="480" w:lineRule="auto"/>
        <w:rPr>
          <w:rFonts w:ascii="Times New Roman" w:hAnsi="Times New Roman"/>
        </w:rPr>
      </w:pPr>
    </w:p>
    <w:p w14:paraId="2F362A3B" w14:textId="661D43D2" w:rsidR="00EE4C0F" w:rsidRPr="005F04BF" w:rsidRDefault="00EE4C0F" w:rsidP="007C3BBA">
      <w:pPr>
        <w:spacing w:line="480" w:lineRule="auto"/>
        <w:rPr>
          <w:rFonts w:ascii="Times New Roman" w:hAnsi="Times New Roman"/>
        </w:rPr>
      </w:pPr>
      <w:r w:rsidRPr="00B05509">
        <w:rPr>
          <w:rFonts w:ascii="Times New Roman" w:hAnsi="Times New Roman"/>
        </w:rPr>
        <w:t xml:space="preserve">Looking at different </w:t>
      </w:r>
      <w:r w:rsidR="003E0FF6">
        <w:rPr>
          <w:rFonts w:ascii="Times New Roman" w:hAnsi="Times New Roman"/>
        </w:rPr>
        <w:t>phrasing</w:t>
      </w:r>
      <w:r w:rsidRPr="00B05509">
        <w:rPr>
          <w:rFonts w:ascii="Times New Roman" w:hAnsi="Times New Roman"/>
        </w:rPr>
        <w:t xml:space="preserve"> (Experiment 1), we find no difference between participants’ reactions to the words ‘quality’ and ‘certainty’ on measures of trust, perceived effectiveness or behavioural uptake intentions</w:t>
      </w:r>
      <w:r w:rsidR="006401C7" w:rsidRPr="00B05509">
        <w:rPr>
          <w:rFonts w:ascii="Times New Roman" w:hAnsi="Times New Roman"/>
        </w:rPr>
        <w:t>, a</w:t>
      </w:r>
      <w:r w:rsidRPr="00B05509">
        <w:rPr>
          <w:rFonts w:ascii="Times New Roman" w:hAnsi="Times New Roman"/>
        </w:rPr>
        <w:t>lthough the two words are qualitatively different</w:t>
      </w:r>
      <w:r w:rsidR="006401C7" w:rsidRPr="00B05509">
        <w:rPr>
          <w:rFonts w:ascii="Times New Roman" w:hAnsi="Times New Roman"/>
        </w:rPr>
        <w:t xml:space="preserve">. </w:t>
      </w:r>
      <w:r w:rsidR="003E0FF6">
        <w:rPr>
          <w:rFonts w:ascii="Times New Roman" w:hAnsi="Times New Roman"/>
        </w:rPr>
        <w:t>I</w:t>
      </w:r>
      <w:r w:rsidR="00294751" w:rsidRPr="00B05509">
        <w:rPr>
          <w:rFonts w:ascii="Times New Roman" w:hAnsi="Times New Roman"/>
        </w:rPr>
        <w:t>t may be that</w:t>
      </w:r>
      <w:r w:rsidR="003E0FF6">
        <w:rPr>
          <w:rFonts w:ascii="Times New Roman" w:hAnsi="Times New Roman"/>
        </w:rPr>
        <w:t xml:space="preserve"> people</w:t>
      </w:r>
      <w:r w:rsidR="00E23AA3" w:rsidRPr="00B05509">
        <w:rPr>
          <w:rFonts w:ascii="Times New Roman" w:hAnsi="Times New Roman"/>
        </w:rPr>
        <w:t xml:space="preserve"> </w:t>
      </w:r>
      <w:r w:rsidRPr="00B05509">
        <w:rPr>
          <w:rFonts w:ascii="Times New Roman" w:hAnsi="Times New Roman"/>
        </w:rPr>
        <w:t>pay more attention to</w:t>
      </w:r>
      <w:r w:rsidR="006401C7" w:rsidRPr="00B05509">
        <w:rPr>
          <w:rFonts w:ascii="Times New Roman" w:hAnsi="Times New Roman"/>
        </w:rPr>
        <w:t>, or weight more,</w:t>
      </w:r>
      <w:r w:rsidRPr="00B05509">
        <w:rPr>
          <w:rFonts w:ascii="Times New Roman" w:hAnsi="Times New Roman"/>
        </w:rPr>
        <w:t xml:space="preserve"> the qualifier </w:t>
      </w:r>
      <w:r w:rsidR="006401C7" w:rsidRPr="00B05509">
        <w:rPr>
          <w:rFonts w:ascii="Times New Roman" w:hAnsi="Times New Roman"/>
        </w:rPr>
        <w:t xml:space="preserve">(e.g. ‘low’ or ‘high’) </w:t>
      </w:r>
      <w:r w:rsidRPr="00B05509">
        <w:rPr>
          <w:rFonts w:ascii="Times New Roman" w:hAnsi="Times New Roman"/>
        </w:rPr>
        <w:t>than the terminology of the measure. We d</w:t>
      </w:r>
      <w:r w:rsidR="009B1E10">
        <w:rPr>
          <w:rFonts w:ascii="Times New Roman" w:hAnsi="Times New Roman"/>
        </w:rPr>
        <w:t>id</w:t>
      </w:r>
      <w:r w:rsidRPr="00B05509">
        <w:rPr>
          <w:rFonts w:ascii="Times New Roman" w:hAnsi="Times New Roman"/>
        </w:rPr>
        <w:t xml:space="preserve"> find </w:t>
      </w:r>
      <w:r w:rsidR="009B1E10">
        <w:rPr>
          <w:rFonts w:ascii="Times New Roman" w:hAnsi="Times New Roman"/>
        </w:rPr>
        <w:t xml:space="preserve">a small </w:t>
      </w:r>
      <w:r w:rsidRPr="00B05509">
        <w:rPr>
          <w:rFonts w:ascii="Times New Roman" w:hAnsi="Times New Roman"/>
        </w:rPr>
        <w:t xml:space="preserve">effect on understanding, such that </w:t>
      </w:r>
      <w:r w:rsidRPr="00B05509">
        <w:rPr>
          <w:rFonts w:ascii="Times New Roman" w:hAnsi="Times New Roman"/>
        </w:rPr>
        <w:lastRenderedPageBreak/>
        <w:t>participants rated the term ‘quality of evidence’ to be easier to understand compared to ‘certainty of evidence’</w:t>
      </w:r>
      <w:r w:rsidR="005001FC">
        <w:rPr>
          <w:rFonts w:ascii="Times New Roman" w:hAnsi="Times New Roman"/>
        </w:rPr>
        <w:t xml:space="preserve">. </w:t>
      </w:r>
      <w:r w:rsidR="009B1E10">
        <w:rPr>
          <w:rFonts w:ascii="Times New Roman" w:hAnsi="Times New Roman"/>
        </w:rPr>
        <w:t>T</w:t>
      </w:r>
      <w:r w:rsidR="005001FC">
        <w:rPr>
          <w:rFonts w:ascii="Times New Roman" w:hAnsi="Times New Roman"/>
        </w:rPr>
        <w:t xml:space="preserve">hese empirical findings </w:t>
      </w:r>
      <w:r w:rsidR="009B1E10">
        <w:rPr>
          <w:rFonts w:ascii="Times New Roman" w:hAnsi="Times New Roman"/>
        </w:rPr>
        <w:t>suggest</w:t>
      </w:r>
      <w:r w:rsidR="00AB19E1" w:rsidRPr="00B05509">
        <w:rPr>
          <w:rFonts w:ascii="Times New Roman" w:hAnsi="Times New Roman"/>
        </w:rPr>
        <w:t xml:space="preserve"> that communicators </w:t>
      </w:r>
      <w:r w:rsidR="009B1E10">
        <w:rPr>
          <w:rFonts w:ascii="Times New Roman" w:hAnsi="Times New Roman"/>
        </w:rPr>
        <w:t xml:space="preserve">might want to </w:t>
      </w:r>
      <w:r w:rsidR="00AB19E1" w:rsidRPr="00B05509">
        <w:rPr>
          <w:rFonts w:ascii="Times New Roman" w:hAnsi="Times New Roman"/>
        </w:rPr>
        <w:t>use the term ‘quality’</w:t>
      </w:r>
      <w:r w:rsidR="005001FC">
        <w:rPr>
          <w:rFonts w:ascii="Times New Roman" w:hAnsi="Times New Roman"/>
        </w:rPr>
        <w:t>. We note however that</w:t>
      </w:r>
      <w:r w:rsidR="009B1E10">
        <w:rPr>
          <w:rFonts w:ascii="Times New Roman" w:hAnsi="Times New Roman"/>
        </w:rPr>
        <w:t xml:space="preserve"> (a) the effect size was small, (b) that</w:t>
      </w:r>
      <w:r w:rsidR="003E0FF6">
        <w:rPr>
          <w:rFonts w:ascii="Times New Roman" w:hAnsi="Times New Roman"/>
        </w:rPr>
        <w:t xml:space="preserve"> we were not testing what participants actually understood by the two terms and so further research is warranted before conclusions can be drawn over which word is more appropriate. </w:t>
      </w:r>
    </w:p>
    <w:p w14:paraId="022AACBB" w14:textId="5311D780" w:rsidR="00951779" w:rsidRPr="005F04BF" w:rsidRDefault="006A39D2" w:rsidP="007C3BBA">
      <w:pPr>
        <w:spacing w:line="480" w:lineRule="auto"/>
        <w:rPr>
          <w:rFonts w:ascii="Times New Roman" w:hAnsi="Times New Roman"/>
        </w:rPr>
      </w:pPr>
      <w:r w:rsidRPr="005F04BF">
        <w:rPr>
          <w:rFonts w:ascii="Times New Roman" w:hAnsi="Times New Roman"/>
        </w:rPr>
        <w:t xml:space="preserve">Understanding people’s reactions to public health communications gives important insights on factors affecting </w:t>
      </w:r>
      <w:r w:rsidR="003E0FF6">
        <w:rPr>
          <w:rFonts w:ascii="Times New Roman" w:hAnsi="Times New Roman"/>
        </w:rPr>
        <w:t xml:space="preserve">adoption </w:t>
      </w:r>
      <w:r w:rsidRPr="005F04BF">
        <w:rPr>
          <w:rFonts w:ascii="Times New Roman" w:hAnsi="Times New Roman"/>
        </w:rPr>
        <w:t xml:space="preserve">and ultimately the success of non-pharmaceutical interventions. </w:t>
      </w:r>
      <w:r w:rsidR="00951779" w:rsidRPr="005F04BF">
        <w:rPr>
          <w:rFonts w:ascii="Times New Roman" w:hAnsi="Times New Roman"/>
        </w:rPr>
        <w:t xml:space="preserve">Although several studies have assessed the effects of non-pharmaceutical interventions in the context of COVID-19 in various countries </w:t>
      </w:r>
      <w:r w:rsidR="00951779" w:rsidRPr="005F04BF">
        <w:rPr>
          <w:rFonts w:ascii="Times New Roman" w:hAnsi="Times New Roman"/>
        </w:rPr>
        <w:fldChar w:fldCharType="begin" w:fldLock="1"/>
      </w:r>
      <w:r w:rsidR="007E2086">
        <w:rPr>
          <w:rFonts w:ascii="Times New Roman" w:hAnsi="Times New Roman"/>
        </w:rPr>
        <w:instrText>ADDIN CSL_CITATION {"citationItems":[{"id":"ITEM-1","itemData":{"DOI":"10.1016/S2468-2667(20)30133-X","ISSN":"24682667","author":[{"dropping-particle":"","family":"Davies","given":"Nicholas G","non-dropping-particle":"","parse-names":false,"suffix":""},{"dropping-particle":"","family":"Kucharski","given":"Adam J","non-dropping-particle":"","parse-names":false,"suffix":""},{"dropping-particle":"","family":"Eggo","given":"Rosalind M","non-dropping-particle":"","parse-names":false,"suffix":""},{"dropping-particle":"","family":"Gimma","given":"Amy","non-dropping-particle":"","parse-names":false,"suffix":""},{"dropping-particle":"","family":"Edmunds","given":"W John","non-dropping-particle":"","parse-names":false,"suffix":""},{"dropping-particle":"","family":"Jombart","given":"Thibaut","non-dropping-particle":"","parse-names":false,"suffix":""},{"dropping-particle":"","family":"O'Reilly","given":"Kathleen","non-dropping-particle":"","parse-names":false,"suffix":""},{"dropping-particle":"","family":"Endo","given":"Akira","non-dropping-particle":"","parse-names":false,"suffix":""},{"dropping-particle":"","family":"Hellewell","given":"Joel","non-dropping-particle":"","parse-names":false,"suffix":""},{"dropping-particle":"","family":"Nightingale","given":"Emily S","non-dropping-particle":"","parse-names":false,"suffix":""},{"dropping-particle":"","family":"Quilty","given":"Billy J","non-dropping-particle":"","parse-names":false,"suffix":""},{"dropping-particle":"","family":"Jarvis","given":"Christopher I","non-dropping-particle":"","parse-names":false,"suffix":""},{"dropping-particle":"","family":"Russell","given":"Timothy W","non-dropping-particle":"","parse-names":false,"suffix":""},{"dropping-particle":"","family":"Klepac","given":"Petra","non-dropping-particle":"","parse-names":false,"suffix":""},{"dropping-particle":"","family":"Bosse","given":"Nikos I","non-dropping-particle":"","parse-names":false,"suffix":""},{"dropping-particle":"","family":"Funk","given":"Sebastian","non-dropping-particle":"","parse-names":false,"suffix":""},{"dropping-particle":"","family":"Abbott","given":"Sam","non-dropping-particle":"","parse-names":false,"suffix":""},{"dropping-particle":"","family":"Medley","given":"Graham F","non-dropping-particle":"","parse-names":false,"suffix":""},{"dropping-particle":"","family":"Gibbs","given":"Hamish","non-dropping-particle":"","parse-names":false,"suffix":""},{"dropping-particle":"","family":"Pearson","given":"Carl A B","non-dropping-particle":"","parse-names":false,"suffix":""},{"dropping-particle":"","family":"Flasche","given":"Stefan","non-dropping-particle":"","parse-names":false,"suffix":""},{"dropping-particle":"","family":"Jit","given":"Mark","non-dropping-particle":"","parse-names":false,"suffix":""},{"dropping-particle":"","family":"Clifford","given":"Samuel","non-dropping-particle":"","parse-names":false,"suffix":""},{"dropping-particle":"","family":"Prem","given":"Kiesha","non-dropping-particle":"","parse-names":false,"suffix":""},{"dropping-particle":"","family":"Diamond","given":"Charlie","non-dropping-particle":"","parse-names":false,"suffix":""},{"dropping-particle":"","family":"Emery","given":"Jon","non-dropping-particle":"","parse-names":false,"suffix":""},{"dropping-particle":"","family":"Deol","given":"Arminder K","non-dropping-particle":"","parse-names":false,"suffix":""},{"dropping-particle":"","family":"Procter","given":"Simon R","non-dropping-particle":"","parse-names":false,"suffix":""},{"dropping-particle":"","family":"Zandvoort","given":"Kevin","non-dropping-particle":"van","parse-names":false,"suffix":""},{"dropping-particle":"","family":"Sun","given":"Yueqian Fiona","non-dropping-particle":"","parse-names":false,"suffix":""},{"dropping-particle":"","family":"Munday","given":"James D","non-dropping-particle":"","parse-names":false,"suffix":""},{"dropping-particle":"","family":"Rosello","given":"Alicia","non-dropping-particle":"","parse-names":false,"suffix":""},{"dropping-particle":"","family":"Auzenbergs","given":"Megan","non-dropping-particle":"","parse-names":false,"suffix":""},{"dropping-particle":"","family":"Knight","given":"Gwen","non-dropping-particle":"","parse-names":false,"suffix":""},{"dropping-particle":"","family":"Houben","given":"Rein M G J","non-dropping-particle":"","parse-names":false,"suffix":""},{"dropping-particle":"","family":"Liu","given":"Yang","non-dropping-particle":"","parse-names":false,"suffix":""}],"container-title":"The Lancet Public Health","id":"ITEM-1","issue":"7","issued":{"date-parts":[["2020","7"]]},"page":"e375-e385","title":"Effects of non-pharmaceutical interventions on COVID-19 cases, deaths, and demand for hospital services in the UK: a modelling study","type":"article-journal","volume":"5"},"uris":["http://www.mendeley.com/documents/?uuid=0e161ebd-d847-46f4-b761-63a321bdd393"]},{"id":"ITEM-2","itemData":{"DOI":"10.1016/S2468-2667(20)30090-6","ISSN":"24682667","author":[{"dropping-particle":"","family":"Cowling","given":"Benjamin J","non-dropping-particle":"","parse-names":false,"suffix":""},{"dropping-particle":"","family":"Ali","given":"Sheikh Taslim","non-dropping-particle":"","parse-names":false,"suffix":""},{"dropping-particle":"","family":"Ng","given":"Tiffany W Y","non-dropping-particle":"","parse-names":false,"suffix":""},{"dropping-particle":"","family":"Tsang","given":"Tim K","non-dropping-particle":"","parse-names":false,"suffix":""},{"dropping-particle":"","family":"Li","given":"Julian C M","non-dropping-particle":"","parse-names":false,"suffix":""},{"dropping-particle":"","family":"Fong","given":"Min Whui","non-dropping-particle":"","parse-names":false,"suffix":""},{"dropping-particle":"","family":"Liao","given":"Qiuyan","non-dropping-particle":"","parse-names":false,"suffix":""},{"dropping-particle":"","family":"Kwan","given":"Mike YW","non-dropping-particle":"","parse-names":false,"suffix":""},{"dropping-particle":"","family":"Lee","given":"So Lun","non-dropping-particle":"","parse-names":false,"suffix":""},{"dropping-particle":"","family":"Chiu","given":"Susan S","non-dropping-particle":"","parse-names":false,"suffix":""},{"dropping-particle":"","family":"Wu","given":"Joseph T","non-dropping-particle":"","parse-names":false,"suffix":""},{"dropping-particle":"","family":"Wu","given":"Peng","non-dropping-particle":"","parse-names":false,"suffix":""},{"dropping-particle":"","family":"Leung","given":"Gabriel M","non-dropping-particle":"","parse-names":false,"suffix":""}],"container-title":"The Lancet Public Health","id":"ITEM-2","issue":"5","issued":{"date-parts":[["2020","5"]]},"page":"e279-e288","title":"Impact assessment of non-pharmaceutical interventions against coronavirus disease 2019 and influenza in Hong Kong: an observational study","type":"article-journal","volume":"5"},"uris":["http://www.mendeley.com/documents/?uuid=bf8b3735-9303-4cef-ae0e-31eff83da9f4"]},{"id":"ITEM-3","itemData":{"DOI":"10.1016/S1473-3099(20)30785-4","ISSN":"14733099","author":[{"dropping-particle":"","family":"Li","given":"You","non-dropping-particle":"","parse-names":false,"suffix":""},{"dropping-particle":"","family":"Campbell","given":"Harry","non-dropping-particle":"","parse-names":false,"suffix":""},{"dropping-particle":"","family":"Kulkarni","given":"Durga","non-dropping-particle":"","parse-names":false,"suffix":""},{"dropping-particle":"","family":"Harpur","given":"Alice","non-dropping-particle":"","parse-names":false,"suffix":""},{"dropping-particle":"","family":"Nundy","given":"Madhurima","non-dropping-particle":"","parse-names":false,"suffix":""},{"dropping-particle":"","family":"Wang","given":"Xin","non-dropping-particle":"","parse-names":false,"suffix":""},{"dropping-particle":"","family":"Nair","given":"Harish","non-dropping-particle":"","parse-names":false,"suffix":""}],"container-title":"The Lancet Infectious Diseases","id":"ITEM-3","issue":"2","issued":{"date-parts":[["2021","2"]]},"page":"193-202","title":"The temporal association of introducing and lifting non-pharmaceutical interventions with the time-varying reproduction number (R) of SARS-CoV-2: a modelling study across 131 countries","type":"article-journal","volume":"21"},"uris":["http://www.mendeley.com/documents/?uuid=409df0a2-30c3-449d-9ea3-30787557f1f3"]},{"id":"ITEM-4","itemData":{"DOI":"10.1016/S2468-2667(20)30237-1","ISSN":"24682667","author":[{"dropping-particle":"","family":"Robert","given":"Alexis","non-dropping-particle":"","parse-names":false,"suffix":""}],"container-title":"The Lancet Public Health","id":"ITEM-4","issue":"11","issued":{"date-parts":[["2020","11"]]},"page":"e569-e570","title":"Lessons from New Zealand's COVID-19 outbreak response","type":"article-journal","volume":"5"},"uris":["http://www.mendeley.com/documents/?uuid=f345d13f-8427-4dcd-8a74-244e2693fc36"]},{"id":"ITEM-5","itemData":{"DOI":"10.1038/s41586-020-2293-x","ISSN":"0028-0836","author":[{"dropping-particle":"","family":"Lai","given":"Shengjie","non-dropping-particle":"","parse-names":false,"suffix":""},{"dropping-particle":"","family":"Ruktanonchai","given":"Nick W.","non-dropping-particle":"","parse-names":false,"suffix":""},{"dropping-particle":"","family":"Zhou","given":"Liangcai","non-dropping-particle":"","parse-names":false,"suffix":""},{"dropping-particle":"","family":"Prosper","given":"Olivia","non-dropping-particle":"","parse-names":false,"suffix":""},{"dropping-particle":"","family":"Luo","given":"Wei","non-dropping-particle":"","parse-names":false,"suffix":""},{"dropping-particle":"","family":"Floyd","given":"Jessica R.","non-dropping-particle":"","parse-names":false,"suffix":""},{"dropping-particle":"","family":"Wesolowski","given":"Amy","non-dropping-particle":"","parse-names":false,"suffix":""},{"dropping-particle":"","family":"Santillana","given":"Mauricio","non-dropping-particle":"","parse-names":false,"suffix":""},{"dropping-particle":"","family":"Zhang","given":"Chi","non-dropping-particle":"","parse-names":false,"suffix":""},{"dropping-particle":"","family":"Du","given":"Xiangjun","non-dropping-particle":"","parse-names":false,"suffix":""},{"dropping-particle":"","family":"Yu","given":"Hongjie","non-dropping-particle":"","parse-names":false,"suffix":""},{"dropping-particle":"","family":"Tatem","given":"Andrew J.","non-dropping-particle":"","parse-names":false,"suffix":""}],"container-title":"Nature","id":"ITEM-5","issue":"7825","issued":{"date-parts":[["2020","9","17"]]},"page":"410-413","title":"Effect of non-pharmaceutical interventions to contain COVID-19 in China","type":"article-journal","volume":"585"},"uris":["http://www.mendeley.com/documents/?uuid=78eccc75-becb-4ca8-9881-da378e0f22aa"]},{"id":"ITEM-6","itemData":{"DOI":"10.1038/s41586-020-2405-7","ISSN":"0028-0836","author":[{"dropping-particle":"","family":"Flaxman","given":"Seth","non-dropping-particle":"","parse-names":false,"suffix":""},{"dropping-particle":"","family":"Mishra","given":"Swapnil","non-dropping-particle":"","parse-names":false,"suffix":""},{"dropping-particle":"","family":"Gandy","given":"Axel","non-dropping-particle":"","parse-names":false,"suffix":""},{"dropping-particle":"","family":"Unwin","given":"H. Juliette T.","non-dropping-particle":"","parse-names":false,"suffix":""},{"dropping-particle":"","family":"Mellan","given":"Thomas A.","non-dropping-particle":"","parse-names":false,"suffix":""},{"dropping-particle":"","family":"Coupland","given":"Helen","non-dropping-particle":"","parse-names":false,"suffix":""},{"dropping-particle":"","family":"Whittaker","given":"Charles","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W.","non-dropping-particle":"","parse-names":false,"suffix":""},{"dropping-particle":"","family":"Monod","given":"Mélodie","non-dropping-particle":"","parse-names":false,"suffix":""},{"dropping-particle":"","family":"Ghani","given":"Azra C.","non-dropping-particle":"","parse-names":false,"suffix":""},{"dropping-particle":"","family":"Donnelly","given":"Christl A.","non-dropping-particle":"","parse-names":false,"suffix":""},{"dropping-particle":"","family":"Riley","given":"Steven","non-dropping-particle":"","parse-names":false,"suffix":""},{"dropping-particle":"","family":"Vollmer","given":"Michaela A. C.","non-dropping-particle":"","parse-names":false,"suffix":""},{"dropping-particle":"","family":"Ferguson","given":"Neil M.","non-dropping-particle":"","parse-names":false,"suffix":""},{"dropping-particle":"","family":"Okell","given":"Lucy C.","non-dropping-particle":"","parse-names":false,"suffix":""},{"dropping-particle":"","family":"Bhatt","given":"Samir","non-dropping-particle":"","parse-names":false,"suffix":""}],"container-title":"Nature","id":"ITEM-6","issue":"7820","issued":{"date-parts":[["2020","8","13"]]},"page":"257-261","title":"Estimating the effects of non-pharmaceutical interventions on COVID-19 in Europe","type":"article-journal","volume":"584"},"uris":["http://www.mendeley.com/documents/?uuid=d0626eec-db7d-4217-8921-6a5fb440d358"]}],"mendeley":{"formattedCitation":"[11–16]","plainTextFormattedCitation":"[11–16]","previouslyFormattedCitation":"[11–16]"},"properties":{"noteIndex":0},"schema":"https://github.com/citation-style-language/schema/raw/master/csl-citation.json"}</w:instrText>
      </w:r>
      <w:r w:rsidR="00951779" w:rsidRPr="005F04BF">
        <w:rPr>
          <w:rFonts w:ascii="Times New Roman" w:hAnsi="Times New Roman"/>
        </w:rPr>
        <w:fldChar w:fldCharType="separate"/>
      </w:r>
      <w:r w:rsidR="007E2086" w:rsidRPr="007E2086">
        <w:rPr>
          <w:rFonts w:ascii="Times New Roman" w:hAnsi="Times New Roman"/>
          <w:noProof/>
        </w:rPr>
        <w:t>[11–16]</w:t>
      </w:r>
      <w:r w:rsidR="00951779" w:rsidRPr="005F04BF">
        <w:rPr>
          <w:rFonts w:ascii="Times New Roman" w:hAnsi="Times New Roman"/>
        </w:rPr>
        <w:fldChar w:fldCharType="end"/>
      </w:r>
      <w:r w:rsidR="00951779" w:rsidRPr="005F04BF">
        <w:rPr>
          <w:rFonts w:ascii="Times New Roman" w:hAnsi="Times New Roman"/>
        </w:rPr>
        <w:t xml:space="preserve">, these studies have </w:t>
      </w:r>
      <w:r w:rsidR="00032BDA" w:rsidRPr="005F04BF">
        <w:rPr>
          <w:rFonts w:ascii="Times New Roman" w:hAnsi="Times New Roman"/>
        </w:rPr>
        <w:t>largely</w:t>
      </w:r>
      <w:r w:rsidR="00951779" w:rsidRPr="005F04BF">
        <w:rPr>
          <w:rFonts w:ascii="Times New Roman" w:hAnsi="Times New Roman"/>
        </w:rPr>
        <w:t xml:space="preserve"> relied on modelling approaches using </w:t>
      </w:r>
      <w:r w:rsidR="00FA7A02" w:rsidRPr="005F04BF">
        <w:rPr>
          <w:rFonts w:ascii="Times New Roman" w:hAnsi="Times New Roman"/>
        </w:rPr>
        <w:t xml:space="preserve">observational </w:t>
      </w:r>
      <w:r w:rsidR="00951779" w:rsidRPr="005F04BF">
        <w:rPr>
          <w:rFonts w:ascii="Times New Roman" w:hAnsi="Times New Roman"/>
        </w:rPr>
        <w:t xml:space="preserve">data, such as information on lockdown measures and other imposed restrictions and measures of COVID-19 prevalence (e.g. reproduction rates) </w:t>
      </w:r>
      <w:r w:rsidR="00951779" w:rsidRPr="005F04BF">
        <w:rPr>
          <w:rFonts w:ascii="Times New Roman" w:hAnsi="Times New Roman"/>
        </w:rPr>
        <w:fldChar w:fldCharType="begin" w:fldLock="1"/>
      </w:r>
      <w:r w:rsidR="007E2086">
        <w:rPr>
          <w:rFonts w:ascii="Times New Roman" w:hAnsi="Times New Roman"/>
        </w:rPr>
        <w:instrText>ADDIN CSL_CITATION {"citationItems":[{"id":"ITEM-1","itemData":{"DOI":"10.1016/S2468-2667(20)30133-X","ISSN":"24682667","author":[{"dropping-particle":"","family":"Davies","given":"Nicholas G","non-dropping-particle":"","parse-names":false,"suffix":""},{"dropping-particle":"","family":"Kucharski","given":"Adam J","non-dropping-particle":"","parse-names":false,"suffix":""},{"dropping-particle":"","family":"Eggo","given":"Rosalind M","non-dropping-particle":"","parse-names":false,"suffix":""},{"dropping-particle":"","family":"Gimma","given":"Amy","non-dropping-particle":"","parse-names":false,"suffix":""},{"dropping-particle":"","family":"Edmunds","given":"W John","non-dropping-particle":"","parse-names":false,"suffix":""},{"dropping-particle":"","family":"Jombart","given":"Thibaut","non-dropping-particle":"","parse-names":false,"suffix":""},{"dropping-particle":"","family":"O'Reilly","given":"Kathleen","non-dropping-particle":"","parse-names":false,"suffix":""},{"dropping-particle":"","family":"Endo","given":"Akira","non-dropping-particle":"","parse-names":false,"suffix":""},{"dropping-particle":"","family":"Hellewell","given":"Joel","non-dropping-particle":"","parse-names":false,"suffix":""},{"dropping-particle":"","family":"Nightingale","given":"Emily S","non-dropping-particle":"","parse-names":false,"suffix":""},{"dropping-particle":"","family":"Quilty","given":"Billy J","non-dropping-particle":"","parse-names":false,"suffix":""},{"dropping-particle":"","family":"Jarvis","given":"Christopher I","non-dropping-particle":"","parse-names":false,"suffix":""},{"dropping-particle":"","family":"Russell","given":"Timothy W","non-dropping-particle":"","parse-names":false,"suffix":""},{"dropping-particle":"","family":"Klepac","given":"Petra","non-dropping-particle":"","parse-names":false,"suffix":""},{"dropping-particle":"","family":"Bosse","given":"Nikos I","non-dropping-particle":"","parse-names":false,"suffix":""},{"dropping-particle":"","family":"Funk","given":"Sebastian","non-dropping-particle":"","parse-names":false,"suffix":""},{"dropping-particle":"","family":"Abbott","given":"Sam","non-dropping-particle":"","parse-names":false,"suffix":""},{"dropping-particle":"","family":"Medley","given":"Graham F","non-dropping-particle":"","parse-names":false,"suffix":""},{"dropping-particle":"","family":"Gibbs","given":"Hamish","non-dropping-particle":"","parse-names":false,"suffix":""},{"dropping-particle":"","family":"Pearson","given":"Carl A B","non-dropping-particle":"","parse-names":false,"suffix":""},{"dropping-particle":"","family":"Flasche","given":"Stefan","non-dropping-particle":"","parse-names":false,"suffix":""},{"dropping-particle":"","family":"Jit","given":"Mark","non-dropping-particle":"","parse-names":false,"suffix":""},{"dropping-particle":"","family":"Clifford","given":"Samuel","non-dropping-particle":"","parse-names":false,"suffix":""},{"dropping-particle":"","family":"Prem","given":"Kiesha","non-dropping-particle":"","parse-names":false,"suffix":""},{"dropping-particle":"","family":"Diamond","given":"Charlie","non-dropping-particle":"","parse-names":false,"suffix":""},{"dropping-particle":"","family":"Emery","given":"Jon","non-dropping-particle":"","parse-names":false,"suffix":""},{"dropping-particle":"","family":"Deol","given":"Arminder K","non-dropping-particle":"","parse-names":false,"suffix":""},{"dropping-particle":"","family":"Procter","given":"Simon R","non-dropping-particle":"","parse-names":false,"suffix":""},{"dropping-particle":"","family":"Zandvoort","given":"Kevin","non-dropping-particle":"van","parse-names":false,"suffix":""},{"dropping-particle":"","family":"Sun","given":"Yueqian Fiona","non-dropping-particle":"","parse-names":false,"suffix":""},{"dropping-particle":"","family":"Munday","given":"James D","non-dropping-particle":"","parse-names":false,"suffix":""},{"dropping-particle":"","family":"Rosello","given":"Alicia","non-dropping-particle":"","parse-names":false,"suffix":""},{"dropping-particle":"","family":"Auzenbergs","given":"Megan","non-dropping-particle":"","parse-names":false,"suffix":""},{"dropping-particle":"","family":"Knight","given":"Gwen","non-dropping-particle":"","parse-names":false,"suffix":""},{"dropping-particle":"","family":"Houben","given":"Rein M G J","non-dropping-particle":"","parse-names":false,"suffix":""},{"dropping-particle":"","family":"Liu","given":"Yang","non-dropping-particle":"","parse-names":false,"suffix":""}],"container-title":"The Lancet Public Health","id":"ITEM-1","issue":"7","issued":{"date-parts":[["2020","7"]]},"page":"e375-e385","title":"Effects of non-pharmaceutical interventions on COVID-19 cases, deaths, and demand for hospital services in the UK: a modelling study","type":"article-journal","volume":"5"},"uris":["http://www.mendeley.com/documents/?uuid=0e161ebd-d847-46f4-b761-63a321bdd393"]},{"id":"ITEM-2","itemData":{"DOI":"10.1016/S1473-3099(20)30785-4","ISSN":"14733099","author":[{"dropping-particle":"","family":"Li","given":"You","non-dropping-particle":"","parse-names":false,"suffix":""},{"dropping-particle":"","family":"Campbell","given":"Harry","non-dropping-particle":"","parse-names":false,"suffix":""},{"dropping-particle":"","family":"Kulkarni","given":"Durga","non-dropping-particle":"","parse-names":false,"suffix":""},{"dropping-particle":"","family":"Harpur","given":"Alice","non-dropping-particle":"","parse-names":false,"suffix":""},{"dropping-particle":"","family":"Nundy","given":"Madhurima","non-dropping-particle":"","parse-names":false,"suffix":""},{"dropping-particle":"","family":"Wang","given":"Xin","non-dropping-particle":"","parse-names":false,"suffix":""},{"dropping-particle":"","family":"Nair","given":"Harish","non-dropping-particle":"","parse-names":false,"suffix":""}],"container-title":"The Lancet Infectious Diseases","id":"ITEM-2","issue":"2","issued":{"date-parts":[["2021","2"]]},"page":"193-202","title":"The temporal association of introducing and lifting non-pharmaceutical interventions with the time-varying reproduction number (R) of SARS-CoV-2: a modelling study across 131 countries","type":"article-journal","volume":"21"},"uris":["http://www.mendeley.com/documents/?uuid=409df0a2-30c3-449d-9ea3-30787557f1f3"]},{"id":"ITEM-3","itemData":{"DOI":"10.1038/s41586-020-2293-x","ISSN":"0028-0836","author":[{"dropping-particle":"","family":"Lai","given":"Shengjie","non-dropping-particle":"","parse-names":false,"suffix":""},{"dropping-particle":"","family":"Ruktanonchai","given":"Nick W.","non-dropping-particle":"","parse-names":false,"suffix":""},{"dropping-particle":"","family":"Zhou","given":"Liangcai","non-dropping-particle":"","parse-names":false,"suffix":""},{"dropping-particle":"","family":"Prosper","given":"Olivia","non-dropping-particle":"","parse-names":false,"suffix":""},{"dropping-particle":"","family":"Luo","given":"Wei","non-dropping-particle":"","parse-names":false,"suffix":""},{"dropping-particle":"","family":"Floyd","given":"Jessica R.","non-dropping-particle":"","parse-names":false,"suffix":""},{"dropping-particle":"","family":"Wesolowski","given":"Amy","non-dropping-particle":"","parse-names":false,"suffix":""},{"dropping-particle":"","family":"Santillana","given":"Mauricio","non-dropping-particle":"","parse-names":false,"suffix":""},{"dropping-particle":"","family":"Zhang","given":"Chi","non-dropping-particle":"","parse-names":false,"suffix":""},{"dropping-particle":"","family":"Du","given":"Xiangjun","non-dropping-particle":"","parse-names":false,"suffix":""},{"dropping-particle":"","family":"Yu","given":"Hongjie","non-dropping-particle":"","parse-names":false,"suffix":""},{"dropping-particle":"","family":"Tatem","given":"Andrew J.","non-dropping-particle":"","parse-names":false,"suffix":""}],"container-title":"Nature","id":"ITEM-3","issue":"7825","issued":{"date-parts":[["2020","9","17"]]},"page":"410-413","title":"Effect of non-pharmaceutical interventions to contain COVID-19 in China","type":"article-journal","volume":"585"},"uris":["http://www.mendeley.com/documents/?uuid=78eccc75-becb-4ca8-9881-da378e0f22aa"]},{"id":"ITEM-4","itemData":{"DOI":"10.1038/s41586-020-2405-7","ISSN":"0028-0836","author":[{"dropping-particle":"","family":"Flaxman","given":"Seth","non-dropping-particle":"","parse-names":false,"suffix":""},{"dropping-particle":"","family":"Mishra","given":"Swapnil","non-dropping-particle":"","parse-names":false,"suffix":""},{"dropping-particle":"","family":"Gandy","given":"Axel","non-dropping-particle":"","parse-names":false,"suffix":""},{"dropping-particle":"","family":"Unwin","given":"H. Juliette T.","non-dropping-particle":"","parse-names":false,"suffix":""},{"dropping-particle":"","family":"Mellan","given":"Thomas A.","non-dropping-particle":"","parse-names":false,"suffix":""},{"dropping-particle":"","family":"Coupland","given":"Helen","non-dropping-particle":"","parse-names":false,"suffix":""},{"dropping-particle":"","family":"Whittaker","given":"Charles","non-dropping-particle":"","parse-names":false,"suffix":""},{"dropping-particle":"","family":"Zhu","given":"Harrison","non-dropping-particle":"","parse-names":false,"suffix":""},{"dropping-particle":"","family":"Berah","given":"Tresnia","non-dropping-particle":"","parse-names":false,"suffix":""},{"dropping-particle":"","family":"Eaton","given":"Jeffrey W.","non-dropping-particle":"","parse-names":false,"suffix":""},{"dropping-particle":"","family":"Monod","given":"Mélodie","non-dropping-particle":"","parse-names":false,"suffix":""},{"dropping-particle":"","family":"Ghani","given":"Azra C.","non-dropping-particle":"","parse-names":false,"suffix":""},{"dropping-particle":"","family":"Donnelly","given":"Christl A.","non-dropping-particle":"","parse-names":false,"suffix":""},{"dropping-particle":"","family":"Riley","given":"Steven","non-dropping-particle":"","parse-names":false,"suffix":""},{"dropping-particle":"","family":"Vollmer","given":"Michaela A. C.","non-dropping-particle":"","parse-names":false,"suffix":""},{"dropping-particle":"","family":"Ferguson","given":"Neil M.","non-dropping-particle":"","parse-names":false,"suffix":""},{"dropping-particle":"","family":"Okell","given":"Lucy C.","non-dropping-particle":"","parse-names":false,"suffix":""},{"dropping-particle":"","family":"Bhatt","given":"Samir","non-dropping-particle":"","parse-names":false,"suffix":""}],"container-title":"Nature","id":"ITEM-4","issue":"7820","issued":{"date-parts":[["2020","8","13"]]},"page":"257-261","title":"Estimating the effects of non-pharmaceutical interventions on COVID-19 in Europe","type":"article-journal","volume":"584"},"uris":["http://www.mendeley.com/documents/?uuid=d0626eec-db7d-4217-8921-6a5fb440d358"]}],"mendeley":{"formattedCitation":"[11, 12, 14, 16]","plainTextFormattedCitation":"[11, 12, 14, 16]","previouslyFormattedCitation":"[11, 12, 14, 16]"},"properties":{"noteIndex":0},"schema":"https://github.com/citation-style-language/schema/raw/master/csl-citation.json"}</w:instrText>
      </w:r>
      <w:r w:rsidR="00951779" w:rsidRPr="005F04BF">
        <w:rPr>
          <w:rFonts w:ascii="Times New Roman" w:hAnsi="Times New Roman"/>
        </w:rPr>
        <w:fldChar w:fldCharType="separate"/>
      </w:r>
      <w:r w:rsidR="007E2086" w:rsidRPr="007E2086">
        <w:rPr>
          <w:rFonts w:ascii="Times New Roman" w:hAnsi="Times New Roman"/>
          <w:noProof/>
        </w:rPr>
        <w:t>[11, 12, 14, 16]</w:t>
      </w:r>
      <w:r w:rsidR="00951779" w:rsidRPr="005F04BF">
        <w:rPr>
          <w:rFonts w:ascii="Times New Roman" w:hAnsi="Times New Roman"/>
        </w:rPr>
        <w:fldChar w:fldCharType="end"/>
      </w:r>
      <w:r w:rsidR="00951779" w:rsidRPr="005F04BF">
        <w:rPr>
          <w:rFonts w:ascii="Times New Roman" w:hAnsi="Times New Roman"/>
        </w:rPr>
        <w:t>. As we show</w:t>
      </w:r>
      <w:r w:rsidRPr="005F04BF">
        <w:rPr>
          <w:rFonts w:ascii="Times New Roman" w:hAnsi="Times New Roman"/>
        </w:rPr>
        <w:t xml:space="preserve"> through</w:t>
      </w:r>
      <w:r w:rsidR="00951779" w:rsidRPr="005F04BF">
        <w:rPr>
          <w:rFonts w:ascii="Times New Roman" w:hAnsi="Times New Roman"/>
        </w:rPr>
        <w:t xml:space="preserve"> </w:t>
      </w:r>
      <w:r w:rsidRPr="005F04BF">
        <w:rPr>
          <w:rFonts w:ascii="Times New Roman" w:hAnsi="Times New Roman"/>
        </w:rPr>
        <w:t xml:space="preserve">experimental randomised controlled trials, </w:t>
      </w:r>
      <w:r w:rsidR="00951779" w:rsidRPr="005F04BF">
        <w:rPr>
          <w:rFonts w:ascii="Times New Roman" w:hAnsi="Times New Roman"/>
        </w:rPr>
        <w:t xml:space="preserve">people’s reactions to </w:t>
      </w:r>
      <w:r w:rsidR="008E3B1D" w:rsidRPr="005F04BF">
        <w:rPr>
          <w:rFonts w:ascii="Times New Roman" w:hAnsi="Times New Roman"/>
        </w:rPr>
        <w:t>public</w:t>
      </w:r>
      <w:r w:rsidR="00951779" w:rsidRPr="005F04BF">
        <w:rPr>
          <w:rFonts w:ascii="Times New Roman" w:hAnsi="Times New Roman"/>
        </w:rPr>
        <w:t xml:space="preserve"> health communication critically depend on </w:t>
      </w:r>
      <w:r w:rsidR="00FA7A02" w:rsidRPr="005F04BF">
        <w:rPr>
          <w:rFonts w:ascii="Times New Roman" w:hAnsi="Times New Roman"/>
        </w:rPr>
        <w:t xml:space="preserve">their perceptions about </w:t>
      </w:r>
      <w:r w:rsidR="00951779" w:rsidRPr="005F04BF">
        <w:rPr>
          <w:rFonts w:ascii="Times New Roman" w:hAnsi="Times New Roman"/>
        </w:rPr>
        <w:t xml:space="preserve">whether they are being presented with high or low quality </w:t>
      </w:r>
      <w:r w:rsidR="008E3B1D" w:rsidRPr="005F04BF">
        <w:rPr>
          <w:rFonts w:ascii="Times New Roman" w:hAnsi="Times New Roman"/>
        </w:rPr>
        <w:t>information</w:t>
      </w:r>
      <w:r w:rsidR="00FA7A02" w:rsidRPr="005F04BF">
        <w:rPr>
          <w:rFonts w:ascii="Times New Roman" w:hAnsi="Times New Roman"/>
        </w:rPr>
        <w:t>, and this affects how</w:t>
      </w:r>
      <w:r w:rsidR="00EE4FA9">
        <w:rPr>
          <w:rFonts w:ascii="Times New Roman" w:hAnsi="Times New Roman"/>
        </w:rPr>
        <w:t xml:space="preserve"> much they trust the information, believe in the efficacy of the shown intervention, and</w:t>
      </w:r>
      <w:r w:rsidR="003E0FF6">
        <w:rPr>
          <w:rFonts w:ascii="Times New Roman" w:hAnsi="Times New Roman"/>
        </w:rPr>
        <w:t>,</w:t>
      </w:r>
      <w:r w:rsidR="00EE4FA9">
        <w:rPr>
          <w:rFonts w:ascii="Times New Roman" w:hAnsi="Times New Roman"/>
        </w:rPr>
        <w:t xml:space="preserve"> to an extent how</w:t>
      </w:r>
      <w:r w:rsidR="00FA7A02" w:rsidRPr="005F04BF">
        <w:rPr>
          <w:rFonts w:ascii="Times New Roman" w:hAnsi="Times New Roman"/>
        </w:rPr>
        <w:t xml:space="preserve"> likely they say they are to take action based on the communication</w:t>
      </w:r>
      <w:r w:rsidR="00951779" w:rsidRPr="005F04BF">
        <w:rPr>
          <w:rFonts w:ascii="Times New Roman" w:hAnsi="Times New Roman"/>
        </w:rPr>
        <w:t xml:space="preserve">. </w:t>
      </w:r>
    </w:p>
    <w:p w14:paraId="65C1C016" w14:textId="77777777" w:rsidR="0047339D" w:rsidRPr="005F04BF" w:rsidRDefault="0047339D" w:rsidP="007C3BBA">
      <w:pPr>
        <w:spacing w:line="480" w:lineRule="auto"/>
        <w:rPr>
          <w:rFonts w:ascii="Times New Roman" w:hAnsi="Times New Roman"/>
        </w:rPr>
      </w:pPr>
    </w:p>
    <w:p w14:paraId="5C83446B" w14:textId="2D65D03E" w:rsidR="0047339D" w:rsidRPr="005F04BF" w:rsidRDefault="006A39D2" w:rsidP="007C3BBA">
      <w:pPr>
        <w:spacing w:line="480" w:lineRule="auto"/>
        <w:rPr>
          <w:rFonts w:ascii="Times New Roman" w:hAnsi="Times New Roman"/>
        </w:rPr>
      </w:pPr>
      <w:r w:rsidRPr="005F04BF">
        <w:rPr>
          <w:rFonts w:ascii="Times New Roman" w:hAnsi="Times New Roman"/>
        </w:rPr>
        <w:t>By contrast with our findings here about</w:t>
      </w:r>
      <w:r w:rsidR="00396B9A">
        <w:rPr>
          <w:rFonts w:ascii="Times New Roman" w:hAnsi="Times New Roman"/>
        </w:rPr>
        <w:t xml:space="preserve"> the effects of</w:t>
      </w:r>
      <w:r w:rsidRPr="005F04BF">
        <w:rPr>
          <w:rFonts w:ascii="Times New Roman" w:hAnsi="Times New Roman"/>
        </w:rPr>
        <w:t xml:space="preserve"> ‘indirect’ uncertaint</w:t>
      </w:r>
      <w:r w:rsidR="00396B9A">
        <w:rPr>
          <w:rFonts w:ascii="Times New Roman" w:hAnsi="Times New Roman"/>
        </w:rPr>
        <w:t>y communication (</w:t>
      </w:r>
      <w:r w:rsidR="003E0FF6">
        <w:rPr>
          <w:rFonts w:ascii="Times New Roman" w:hAnsi="Times New Roman"/>
        </w:rPr>
        <w:t xml:space="preserve">as defined in </w:t>
      </w:r>
      <w:r w:rsidR="002A70B9">
        <w:rPr>
          <w:rFonts w:ascii="Times New Roman" w:hAnsi="Times New Roman"/>
        </w:rPr>
        <w:fldChar w:fldCharType="begin" w:fldLock="1"/>
      </w:r>
      <w:r w:rsidR="00DA7ECD">
        <w:rPr>
          <w:rFonts w:ascii="Times New Roman" w:hAnsi="Times New Roman"/>
        </w:rPr>
        <w:instrText>ADDIN CSL_CITATION {"citationItems":[{"id":"ITEM-1","itemData":{"DOI":"10.1098/rsos.181870","ISSN":"2054-5703","author":[{"dropping-particle":"","family":"Bles","given":"Anne Marthe","non-dropping-particle":"van der","parse-names":false,"suffix":""},{"dropping-particle":"","family":"Linden","given":"Sander","non-dropping-particle":"van der","parse-names":false,"suffix":""},{"dropping-particle":"","family":"Freeman","given":"Alexandra L. 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Science","id":"ITEM-1","issue":"5","issued":{"date-parts":[["2019","5","31"]]},"title":"Communicating uncertainty about facts, numbers and science","type":"article-journal","volume":"6"},"uris":["http://www.mendeley.com/documents/?uuid=80a6f5c5-d1bc-402f-985f-37d227a25626"]}],"mendeley":{"formattedCitation":"[29]","plainTextFormattedCitation":"[29]","previouslyFormattedCitation":"[29]"},"properties":{"noteIndex":0},"schema":"https://github.com/citation-style-language/schema/raw/master/csl-citation.json"}</w:instrText>
      </w:r>
      <w:r w:rsidR="002A70B9">
        <w:rPr>
          <w:rFonts w:ascii="Times New Roman" w:hAnsi="Times New Roman"/>
        </w:rPr>
        <w:fldChar w:fldCharType="separate"/>
      </w:r>
      <w:r w:rsidR="007E2086" w:rsidRPr="007E2086">
        <w:rPr>
          <w:rFonts w:ascii="Times New Roman" w:hAnsi="Times New Roman"/>
          <w:noProof/>
        </w:rPr>
        <w:t>[29]</w:t>
      </w:r>
      <w:r w:rsidR="002A70B9">
        <w:rPr>
          <w:rFonts w:ascii="Times New Roman" w:hAnsi="Times New Roman"/>
        </w:rPr>
        <w:fldChar w:fldCharType="end"/>
      </w:r>
      <w:r w:rsidR="003E0FF6">
        <w:rPr>
          <w:rFonts w:ascii="Times New Roman" w:hAnsi="Times New Roman"/>
        </w:rPr>
        <w:t xml:space="preserve"> as uncertainty about the </w:t>
      </w:r>
      <w:r w:rsidRPr="005F04BF">
        <w:rPr>
          <w:rFonts w:ascii="Times New Roman" w:hAnsi="Times New Roman"/>
        </w:rPr>
        <w:t>evidence underlying numerical estimates</w:t>
      </w:r>
      <w:r w:rsidR="00396B9A">
        <w:rPr>
          <w:rFonts w:ascii="Times New Roman" w:hAnsi="Times New Roman"/>
        </w:rPr>
        <w:t>)</w:t>
      </w:r>
      <w:r w:rsidRPr="005F04BF">
        <w:rPr>
          <w:rFonts w:ascii="Times New Roman" w:hAnsi="Times New Roman"/>
        </w:rPr>
        <w:t xml:space="preserve">, experiments on the communication of ‘direct’ uncertainty </w:t>
      </w:r>
      <w:r w:rsidR="00396B9A">
        <w:rPr>
          <w:rFonts w:ascii="Times New Roman" w:hAnsi="Times New Roman"/>
        </w:rPr>
        <w:t>(</w:t>
      </w:r>
      <w:r w:rsidR="003E0FF6">
        <w:rPr>
          <w:rFonts w:ascii="Times New Roman" w:hAnsi="Times New Roman"/>
        </w:rPr>
        <w:t xml:space="preserve">as defined in </w:t>
      </w:r>
      <w:r w:rsidR="00462E8C">
        <w:rPr>
          <w:rFonts w:ascii="Times New Roman" w:hAnsi="Times New Roman"/>
        </w:rPr>
        <w:fldChar w:fldCharType="begin" w:fldLock="1"/>
      </w:r>
      <w:r w:rsidR="00DA7ECD">
        <w:rPr>
          <w:rFonts w:ascii="Times New Roman" w:hAnsi="Times New Roman"/>
        </w:rPr>
        <w:instrText>ADDIN CSL_CITATION {"citationItems":[{"id":"ITEM-1","itemData":{"DOI":"10.1098/rsos.181870","ISSN":"2054-5703","author":[{"dropping-particle":"","family":"Bles","given":"Anne Marthe","non-dropping-particle":"van der","parse-names":false,"suffix":""},{"dropping-particle":"","family":"Linden","given":"Sander","non-dropping-particle":"van der","parse-names":false,"suffix":""},{"dropping-particle":"","family":"Freeman","given":"Alexandra L. J.","non-dropping-particle":"","parse-names":false,"suffix":""},{"dropping-particle":"","family":"Mitchell","given":"James","non-dropping-particle":"","parse-names":false,"suffix":""},{"dropping-particle":"","family":"Galvao","given":"Ana B.","non-dropping-particle":"","parse-names":false,"suffix":""},{"dropping-particle":"","family":"Zaval","given":"Lisa","non-dropping-particle":"","parse-names":false,"suffix":""},{"dropping-particle":"","family":"Spiegelhalter","given":"David J.","non-dropping-particle":"","parse-names":false,"suffix":""}],"container-title":"Royal Society Open Science","id":"ITEM-1","issue":"5","issued":{"date-parts":[["2019","5","31"]]},"title":"Communicating uncertainty about facts, numbers and science","type":"article-journal","volume":"6"},"uris":["http://www.mendeley.com/documents/?uuid=80a6f5c5-d1bc-402f-985f-37d227a25626"]}],"mendeley":{"formattedCitation":"[29]","plainTextFormattedCitation":"[29]","previouslyFormattedCitation":"[29]"},"properties":{"noteIndex":0},"schema":"https://github.com/citation-style-language/schema/raw/master/csl-citation.json"}</w:instrText>
      </w:r>
      <w:r w:rsidR="00462E8C">
        <w:rPr>
          <w:rFonts w:ascii="Times New Roman" w:hAnsi="Times New Roman"/>
        </w:rPr>
        <w:fldChar w:fldCharType="separate"/>
      </w:r>
      <w:r w:rsidR="007E2086" w:rsidRPr="007E2086">
        <w:rPr>
          <w:rFonts w:ascii="Times New Roman" w:hAnsi="Times New Roman"/>
          <w:noProof/>
        </w:rPr>
        <w:t>[29]</w:t>
      </w:r>
      <w:r w:rsidR="00462E8C">
        <w:rPr>
          <w:rFonts w:ascii="Times New Roman" w:hAnsi="Times New Roman"/>
        </w:rPr>
        <w:fldChar w:fldCharType="end"/>
      </w:r>
      <w:r w:rsidR="003E0FF6">
        <w:rPr>
          <w:rFonts w:ascii="Times New Roman" w:hAnsi="Times New Roman"/>
        </w:rPr>
        <w:t xml:space="preserve"> as </w:t>
      </w:r>
      <w:r w:rsidRPr="005F04BF">
        <w:rPr>
          <w:rFonts w:ascii="Times New Roman" w:hAnsi="Times New Roman"/>
        </w:rPr>
        <w:t xml:space="preserve">uncertainty </w:t>
      </w:r>
      <w:r w:rsidR="003E0FF6">
        <w:rPr>
          <w:rFonts w:ascii="Times New Roman" w:hAnsi="Times New Roman"/>
        </w:rPr>
        <w:t xml:space="preserve">about </w:t>
      </w:r>
      <w:r w:rsidRPr="005F04BF">
        <w:rPr>
          <w:rFonts w:ascii="Times New Roman" w:hAnsi="Times New Roman"/>
        </w:rPr>
        <w:t>the actual numerical estimate itself</w:t>
      </w:r>
      <w:r w:rsidR="00396B9A">
        <w:rPr>
          <w:rFonts w:ascii="Times New Roman" w:hAnsi="Times New Roman"/>
        </w:rPr>
        <w:t>),</w:t>
      </w:r>
      <w:r w:rsidR="009029FB">
        <w:rPr>
          <w:rFonts w:ascii="Times New Roman" w:hAnsi="Times New Roman"/>
        </w:rPr>
        <w:t xml:space="preserve"> </w:t>
      </w:r>
      <w:r w:rsidRPr="005F04BF">
        <w:rPr>
          <w:rFonts w:ascii="Times New Roman" w:hAnsi="Times New Roman"/>
        </w:rPr>
        <w:t xml:space="preserve">appears to have much less effect on trust, and full disclosure is preferred by the public </w:t>
      </w:r>
      <w:r w:rsidR="003D64C6" w:rsidRPr="005F04BF">
        <w:rPr>
          <w:rFonts w:ascii="Times New Roman" w:hAnsi="Times New Roman"/>
        </w:rPr>
        <w:fldChar w:fldCharType="begin" w:fldLock="1"/>
      </w:r>
      <w:r w:rsidR="00DA7ECD">
        <w:rPr>
          <w:rFonts w:ascii="Times New Roman" w:hAnsi="Times New Roman"/>
        </w:rPr>
        <w:instrText>ADDIN CSL_CITATION {"citationItems":[{"id":"ITEM-1","itemData":{"DOI":"10.1001/jamanetworkopen.2020.32335","ISSN":"2574-3805","PMID":"33301021","author":[{"dropping-particle":"","family":"Wegwarth","given":"Odette","non-dropping-particle":"","parse-names":false,"suffix":""},{"dropping-particle":"","family":"Wagner","given":"Gert G","non-dropping-particle":"","parse-names":false,"suffix":""},{"dropping-particle":"","family":"Spies","given":"Claudia","non-dropping-particle":"","parse-names":false,"suffix":""},{"dropping-particle":"","family":"Hertwig","given":"Ralph","non-dropping-particle":"","parse-names":false,"suffix":""}],"container-title":"JAMA network open","id":"ITEM-1","issue":"12","issued":{"date-parts":[["2020"]]},"page":"e2032335","title":"Assessment of German Public Attitudes Toward Health Communications With Varying Degrees of Scientific Uncertainty Regarding COVID-19.","type":"article-journal","volume":"3"},"uris":["http://www.mendeley.com/documents/?uuid=eb767077-63a8-4d07-8df9-3ef63b0ecae2"]},{"id":"ITEM-2","itemData":{"DOI":"10.1073/pnas.1913678117","ISSN":"10916490","PMID":"32205438","abstract":"Uncertainty is inherent to our knowledge about the state of the world yet often not communicated alongside scientific facts and numbers. In the “posttruth” era where facts are increasingly contested, a common assumption is that communicating uncertainty will reduce public trust. However, a lack of systematic research makes it difficult to evaluate such claims. We conducted five experiments-including one preregistered replication with a national sample and one field experiment on the BBC News website (total n = 5,780)-to examine whether communicating epistemic uncertainty about facts across different topics (e.g., global warming, immigration), formats (verbal vs. numeric), and magnitudes (high vs. low) influences public trust. Results show that whereas people do perceive greater uncertainty when it is communicated, we observed only a small decrease in trust in numbers and trustworthiness of the source, and mostly for verbal uncertainty communication. These results could help reassure all communicators of facts and science that they can be more open and transparent about the limits of human knowledge.","author":[{"dropping-particle":"","family":"Bles","given":"Anne Marthe","non-dropping-particle":"van der","parse-names":false,"suffix":""},{"dropping-particle":"","family":"Linden","given":"Sander","non-dropping-particle":"van der","parse-names":false,"suffix":""},{"dropping-particle":"","family":"Freeman","given":"Alexandra L.J. J","non-dropping-particle":"","parse-names":false,"suffix":""},{"dropping-particle":"","family":"Spiegelhalter","given":"David J.","non-dropping-particle":"","parse-names":false,"suffix":""}],"container-title":"Proceedings of the National Academy of Sciences of the United States of America","id":"ITEM-2","issue":"14","issued":{"date-parts":[["2020"]]},"page":"7672-7683","title":"The effects of communicating uncertainty on public trust in facts and numbers","type":"article-journal","volume":"117"},"uris":["http://www.mendeley.com/documents/?uuid=f3e60583-580a-45d2-b127-1d30b034c988"]}],"mendeley":{"formattedCitation":"[37, 40]","plainTextFormattedCitation":"[37, 40]","previouslyFormattedCitation":"[37, 40]"},"properties":{"noteIndex":0},"schema":"https://github.com/citation-style-language/schema/raw/master/csl-citation.json"}</w:instrText>
      </w:r>
      <w:r w:rsidR="003D64C6" w:rsidRPr="005F04BF">
        <w:rPr>
          <w:rFonts w:ascii="Times New Roman" w:hAnsi="Times New Roman"/>
        </w:rPr>
        <w:fldChar w:fldCharType="separate"/>
      </w:r>
      <w:r w:rsidR="007E2086" w:rsidRPr="007E2086">
        <w:rPr>
          <w:rFonts w:ascii="Times New Roman" w:hAnsi="Times New Roman"/>
          <w:noProof/>
        </w:rPr>
        <w:t>[37, 40]</w:t>
      </w:r>
      <w:r w:rsidR="003D64C6" w:rsidRPr="005F04BF">
        <w:rPr>
          <w:rFonts w:ascii="Times New Roman" w:hAnsi="Times New Roman"/>
        </w:rPr>
        <w:fldChar w:fldCharType="end"/>
      </w:r>
      <w:r w:rsidR="0047339D" w:rsidRPr="005F04BF">
        <w:rPr>
          <w:rFonts w:ascii="Times New Roman" w:hAnsi="Times New Roman"/>
        </w:rPr>
        <w:t xml:space="preserve">. </w:t>
      </w:r>
    </w:p>
    <w:p w14:paraId="132A74FE" w14:textId="77777777" w:rsidR="00A06219" w:rsidRPr="005F04BF" w:rsidRDefault="00A06219" w:rsidP="007C3BBA">
      <w:pPr>
        <w:spacing w:line="480" w:lineRule="auto"/>
        <w:rPr>
          <w:rFonts w:ascii="Times New Roman" w:hAnsi="Times New Roman"/>
        </w:rPr>
      </w:pPr>
    </w:p>
    <w:p w14:paraId="2D491B5E" w14:textId="3565A677" w:rsidR="00AD6925" w:rsidRDefault="0047339D" w:rsidP="007C3BBA">
      <w:pPr>
        <w:spacing w:line="480" w:lineRule="auto"/>
        <w:rPr>
          <w:rFonts w:ascii="Times New Roman" w:hAnsi="Times New Roman"/>
        </w:rPr>
      </w:pPr>
      <w:r w:rsidRPr="005F04BF">
        <w:rPr>
          <w:rFonts w:ascii="Times New Roman" w:hAnsi="Times New Roman"/>
        </w:rPr>
        <w:t>To our knowledge</w:t>
      </w:r>
      <w:r w:rsidR="006A39D2" w:rsidRPr="005F04BF">
        <w:rPr>
          <w:rFonts w:ascii="Times New Roman" w:hAnsi="Times New Roman"/>
        </w:rPr>
        <w:t>, this is the first published evidence on</w:t>
      </w:r>
      <w:r w:rsidRPr="005F04BF">
        <w:rPr>
          <w:rFonts w:ascii="Times New Roman" w:hAnsi="Times New Roman"/>
        </w:rPr>
        <w:t xml:space="preserve"> </w:t>
      </w:r>
      <w:r w:rsidR="006A39D2" w:rsidRPr="005F04BF">
        <w:rPr>
          <w:rFonts w:ascii="Times New Roman" w:hAnsi="Times New Roman"/>
        </w:rPr>
        <w:t>the effects of communicating ratings of the quality of evidence around health-related findings and as a result, an important</w:t>
      </w:r>
      <w:r w:rsidR="002A7771" w:rsidRPr="005F04BF">
        <w:rPr>
          <w:rFonts w:ascii="Times New Roman" w:hAnsi="Times New Roman"/>
        </w:rPr>
        <w:t xml:space="preserve"> </w:t>
      </w:r>
      <w:r w:rsidR="002A7771" w:rsidRPr="005F04BF">
        <w:rPr>
          <w:rFonts w:ascii="Times New Roman" w:hAnsi="Times New Roman"/>
        </w:rPr>
        <w:lastRenderedPageBreak/>
        <w:t>ethical issue emerges from our findings</w:t>
      </w:r>
      <w:r w:rsidR="006A39D2" w:rsidRPr="005F04BF">
        <w:rPr>
          <w:rFonts w:ascii="Times New Roman" w:hAnsi="Times New Roman"/>
        </w:rPr>
        <w:t>.</w:t>
      </w:r>
      <w:r w:rsidR="00C71B77" w:rsidRPr="005F04BF">
        <w:rPr>
          <w:rFonts w:ascii="Times New Roman" w:hAnsi="Times New Roman"/>
        </w:rPr>
        <w:t xml:space="preserve"> </w:t>
      </w:r>
      <w:r w:rsidR="003E0FF6">
        <w:rPr>
          <w:rFonts w:ascii="Times New Roman" w:hAnsi="Times New Roman"/>
        </w:rPr>
        <w:t>These experiments</w:t>
      </w:r>
      <w:r w:rsidR="008200BD">
        <w:rPr>
          <w:rFonts w:ascii="Times New Roman" w:hAnsi="Times New Roman"/>
        </w:rPr>
        <w:t xml:space="preserve"> </w:t>
      </w:r>
      <w:r w:rsidR="00AD6925" w:rsidRPr="005F04BF">
        <w:rPr>
          <w:rFonts w:ascii="Times New Roman" w:hAnsi="Times New Roman"/>
        </w:rPr>
        <w:t>suggest that</w:t>
      </w:r>
      <w:r w:rsidR="003E0FF6">
        <w:rPr>
          <w:rFonts w:ascii="Times New Roman" w:hAnsi="Times New Roman"/>
        </w:rPr>
        <w:t xml:space="preserve">, in the absence of statement to the contrary, </w:t>
      </w:r>
      <w:r w:rsidR="002A7771" w:rsidRPr="005F04BF">
        <w:rPr>
          <w:rFonts w:ascii="Times New Roman" w:hAnsi="Times New Roman"/>
        </w:rPr>
        <w:t>people</w:t>
      </w:r>
      <w:r w:rsidR="0061738D" w:rsidRPr="005F04BF">
        <w:rPr>
          <w:rFonts w:ascii="Times New Roman" w:hAnsi="Times New Roman"/>
        </w:rPr>
        <w:t xml:space="preserve"> </w:t>
      </w:r>
      <w:r w:rsidR="00C76780" w:rsidRPr="005F04BF">
        <w:rPr>
          <w:rFonts w:ascii="Times New Roman" w:hAnsi="Times New Roman"/>
        </w:rPr>
        <w:t xml:space="preserve">treat </w:t>
      </w:r>
      <w:r w:rsidR="00CD35FB" w:rsidRPr="005F04BF">
        <w:rPr>
          <w:rFonts w:ascii="Times New Roman" w:hAnsi="Times New Roman"/>
        </w:rPr>
        <w:t xml:space="preserve">information as if it is based on high quality </w:t>
      </w:r>
      <w:r w:rsidR="0061738D" w:rsidRPr="005F04BF">
        <w:rPr>
          <w:rFonts w:ascii="Times New Roman" w:hAnsi="Times New Roman"/>
        </w:rPr>
        <w:t>evidence</w:t>
      </w:r>
      <w:r w:rsidR="00C76780" w:rsidRPr="005F04BF">
        <w:rPr>
          <w:rFonts w:ascii="Times New Roman" w:hAnsi="Times New Roman"/>
        </w:rPr>
        <w:t>,</w:t>
      </w:r>
      <w:r w:rsidR="0061738D" w:rsidRPr="005F04BF">
        <w:rPr>
          <w:rFonts w:ascii="Times New Roman" w:hAnsi="Times New Roman"/>
        </w:rPr>
        <w:t xml:space="preserve"> </w:t>
      </w:r>
      <w:r w:rsidR="00AD6925" w:rsidRPr="005F04BF">
        <w:rPr>
          <w:rFonts w:ascii="Times New Roman" w:hAnsi="Times New Roman"/>
        </w:rPr>
        <w:t>and this affects their reactions to it</w:t>
      </w:r>
      <w:r w:rsidR="002A7771" w:rsidRPr="005F04BF">
        <w:rPr>
          <w:rFonts w:ascii="Times New Roman" w:hAnsi="Times New Roman"/>
        </w:rPr>
        <w:t xml:space="preserve">. If </w:t>
      </w:r>
      <w:r w:rsidR="003E0FF6">
        <w:rPr>
          <w:rFonts w:ascii="Times New Roman" w:hAnsi="Times New Roman"/>
        </w:rPr>
        <w:t xml:space="preserve">estimates </w:t>
      </w:r>
      <w:r w:rsidR="006A39D2" w:rsidRPr="005F04BF">
        <w:rPr>
          <w:rFonts w:ascii="Times New Roman" w:hAnsi="Times New Roman"/>
        </w:rPr>
        <w:t>being communicated to the public are</w:t>
      </w:r>
      <w:r w:rsidR="002A7771" w:rsidRPr="005F04BF">
        <w:rPr>
          <w:rFonts w:ascii="Times New Roman" w:hAnsi="Times New Roman"/>
        </w:rPr>
        <w:t xml:space="preserve"> </w:t>
      </w:r>
      <w:r w:rsidR="006A39D2" w:rsidRPr="005F04BF">
        <w:rPr>
          <w:rFonts w:ascii="Times New Roman" w:hAnsi="Times New Roman"/>
        </w:rPr>
        <w:t xml:space="preserve">actually based on </w:t>
      </w:r>
      <w:r w:rsidR="002A7771" w:rsidRPr="005F04BF">
        <w:rPr>
          <w:rFonts w:ascii="Times New Roman" w:hAnsi="Times New Roman"/>
        </w:rPr>
        <w:t>low quality</w:t>
      </w:r>
      <w:r w:rsidR="006A39D2" w:rsidRPr="005F04BF">
        <w:rPr>
          <w:rFonts w:ascii="Times New Roman" w:hAnsi="Times New Roman"/>
        </w:rPr>
        <w:t xml:space="preserve"> evidence</w:t>
      </w:r>
      <w:r w:rsidR="002A7771" w:rsidRPr="005F04BF">
        <w:rPr>
          <w:rFonts w:ascii="Times New Roman" w:hAnsi="Times New Roman"/>
        </w:rPr>
        <w:t xml:space="preserve">, </w:t>
      </w:r>
      <w:r w:rsidR="006A39D2" w:rsidRPr="005F04BF">
        <w:rPr>
          <w:rFonts w:ascii="Times New Roman" w:hAnsi="Times New Roman"/>
        </w:rPr>
        <w:t xml:space="preserve">lack of disclosure of this </w:t>
      </w:r>
      <w:r w:rsidR="00AD6925" w:rsidRPr="005F04BF">
        <w:rPr>
          <w:rFonts w:ascii="Times New Roman" w:hAnsi="Times New Roman"/>
        </w:rPr>
        <w:t>has implications</w:t>
      </w:r>
      <w:r w:rsidR="00294751" w:rsidRPr="005F04BF">
        <w:rPr>
          <w:rFonts w:ascii="Times New Roman" w:hAnsi="Times New Roman"/>
        </w:rPr>
        <w:t>: i</w:t>
      </w:r>
      <w:r w:rsidR="00AD6925" w:rsidRPr="005F04BF">
        <w:rPr>
          <w:rFonts w:ascii="Times New Roman" w:hAnsi="Times New Roman"/>
        </w:rPr>
        <w:t>t could be seen to be misleading.</w:t>
      </w:r>
      <w:r w:rsidR="003E0FF6">
        <w:rPr>
          <w:rFonts w:ascii="Times New Roman" w:hAnsi="Times New Roman"/>
        </w:rPr>
        <w:t xml:space="preserve"> The same could be considered true for non-numerical information, communicated as ‘facts’ or ‘advice’.</w:t>
      </w:r>
    </w:p>
    <w:p w14:paraId="0A9EC564" w14:textId="77777777" w:rsidR="008200BD" w:rsidRPr="005F04BF" w:rsidRDefault="008200BD" w:rsidP="007C3BBA">
      <w:pPr>
        <w:spacing w:line="480" w:lineRule="auto"/>
        <w:rPr>
          <w:rFonts w:ascii="Times New Roman" w:hAnsi="Times New Roman"/>
        </w:rPr>
      </w:pPr>
    </w:p>
    <w:p w14:paraId="11DA8152" w14:textId="2130B2CE" w:rsidR="002A7771" w:rsidRPr="005F04BF" w:rsidRDefault="00AD6925" w:rsidP="007C3BBA">
      <w:pPr>
        <w:spacing w:line="480" w:lineRule="auto"/>
        <w:rPr>
          <w:rFonts w:ascii="Times New Roman" w:hAnsi="Times New Roman"/>
        </w:rPr>
      </w:pPr>
      <w:r w:rsidRPr="005F04BF">
        <w:rPr>
          <w:rFonts w:ascii="Times New Roman" w:hAnsi="Times New Roman"/>
        </w:rPr>
        <w:t>In the case of individual medical decisions</w:t>
      </w:r>
      <w:r w:rsidR="007A7B37" w:rsidRPr="005F04BF">
        <w:rPr>
          <w:rFonts w:ascii="Times New Roman" w:hAnsi="Times New Roman"/>
        </w:rPr>
        <w:t>,</w:t>
      </w:r>
      <w:r w:rsidRPr="005F04BF">
        <w:rPr>
          <w:rFonts w:ascii="Times New Roman" w:hAnsi="Times New Roman"/>
        </w:rPr>
        <w:t xml:space="preserve"> where information is being given purely as a matter of informed consent or shared decision-making, the ethical (and sometimes legal) implications are clear: disclosure of the quality of the underlying evidence base is vital. However, in the realm of public health, where the mandate </w:t>
      </w:r>
      <w:r w:rsidR="00294751" w:rsidRPr="005F04BF">
        <w:rPr>
          <w:rFonts w:ascii="Times New Roman" w:hAnsi="Times New Roman"/>
        </w:rPr>
        <w:t>may be</w:t>
      </w:r>
      <w:r w:rsidRPr="005F04BF">
        <w:rPr>
          <w:rFonts w:ascii="Times New Roman" w:hAnsi="Times New Roman"/>
        </w:rPr>
        <w:t xml:space="preserve"> more to persuade than inform, </w:t>
      </w:r>
      <w:r w:rsidR="002A7771" w:rsidRPr="005F04BF">
        <w:rPr>
          <w:rFonts w:ascii="Times New Roman" w:hAnsi="Times New Roman"/>
        </w:rPr>
        <w:t>it may be tempting for communicators to not disclose the low quality of evidence levels</w:t>
      </w:r>
      <w:r w:rsidR="001D33B2">
        <w:rPr>
          <w:rFonts w:ascii="Times New Roman" w:hAnsi="Times New Roman"/>
        </w:rPr>
        <w:t xml:space="preserve"> in connection with a recommendation or advice</w:t>
      </w:r>
      <w:r w:rsidR="002A7771" w:rsidRPr="005F04BF">
        <w:rPr>
          <w:rFonts w:ascii="Times New Roman" w:hAnsi="Times New Roman"/>
        </w:rPr>
        <w:t xml:space="preserve"> in order to promote </w:t>
      </w:r>
      <w:r w:rsidR="008200BD">
        <w:rPr>
          <w:rFonts w:ascii="Times New Roman" w:hAnsi="Times New Roman"/>
        </w:rPr>
        <w:t>‘</w:t>
      </w:r>
      <w:r w:rsidR="002A7771" w:rsidRPr="005F04BF">
        <w:rPr>
          <w:rFonts w:ascii="Times New Roman" w:hAnsi="Times New Roman"/>
        </w:rPr>
        <w:t>compliance</w:t>
      </w:r>
      <w:r w:rsidR="008200BD">
        <w:rPr>
          <w:rFonts w:ascii="Times New Roman" w:hAnsi="Times New Roman"/>
        </w:rPr>
        <w:t>’</w:t>
      </w:r>
      <w:r w:rsidR="002A7771" w:rsidRPr="005F04BF">
        <w:rPr>
          <w:rFonts w:ascii="Times New Roman" w:hAnsi="Times New Roman"/>
        </w:rPr>
        <w:t xml:space="preserve">. However, </w:t>
      </w:r>
      <w:r w:rsidRPr="005F04BF">
        <w:rPr>
          <w:rFonts w:ascii="Times New Roman" w:hAnsi="Times New Roman"/>
        </w:rPr>
        <w:t>that is a decision that has to be made in the knowledge that that lack of disclosure is likely to affect people’s reactions to the information</w:t>
      </w:r>
      <w:r w:rsidR="00ED1D3B">
        <w:rPr>
          <w:rFonts w:ascii="Times New Roman" w:hAnsi="Times New Roman"/>
        </w:rPr>
        <w:t xml:space="preserve"> and may be seen as unethical and infringing </w:t>
      </w:r>
      <w:r w:rsidR="00280B69">
        <w:rPr>
          <w:rFonts w:ascii="Times New Roman" w:hAnsi="Times New Roman"/>
        </w:rPr>
        <w:t>on autonomy</w:t>
      </w:r>
      <w:r w:rsidRPr="005F04BF">
        <w:rPr>
          <w:rFonts w:ascii="Times New Roman" w:hAnsi="Times New Roman"/>
        </w:rPr>
        <w:t>.</w:t>
      </w:r>
      <w:r w:rsidR="00D734FD">
        <w:rPr>
          <w:rFonts w:ascii="Times New Roman" w:hAnsi="Times New Roman"/>
        </w:rPr>
        <w:t xml:space="preserve"> It has been argued that disclosure of uncertainties and honest communication of limitations to knowledge</w:t>
      </w:r>
      <w:r w:rsidR="003E0FF6">
        <w:rPr>
          <w:rFonts w:ascii="Times New Roman" w:hAnsi="Times New Roman"/>
        </w:rPr>
        <w:t xml:space="preserve"> </w:t>
      </w:r>
      <w:r w:rsidR="00D734FD">
        <w:rPr>
          <w:rFonts w:ascii="Times New Roman" w:hAnsi="Times New Roman"/>
        </w:rPr>
        <w:t xml:space="preserve">are vital for retaining public trust in the long run </w:t>
      </w:r>
      <w:r w:rsidR="001D33B2">
        <w:rPr>
          <w:rFonts w:ascii="Times New Roman" w:hAnsi="Times New Roman"/>
        </w:rPr>
        <w:t xml:space="preserve">and for ensuring ethical medical science communication </w:t>
      </w:r>
      <w:r w:rsidR="007507F6">
        <w:rPr>
          <w:rFonts w:ascii="Times New Roman" w:hAnsi="Times New Roman"/>
        </w:rPr>
        <w:fldChar w:fldCharType="begin" w:fldLock="1"/>
      </w:r>
      <w:r w:rsidR="00DA7ECD">
        <w:rPr>
          <w:rFonts w:ascii="Times New Roman" w:hAnsi="Times New Roman"/>
        </w:rPr>
        <w:instrText>ADDIN CSL_CITATION {"citationItems":[{"id":"ITEM-1","itemData":{"DOI":"10.1080/15265161.2020.1845861","ISSN":"15360075","PMID":"33373581","author":[{"dropping-particle":"","family":"Veit","given":"Walter","non-dropping-particle":"","parse-names":false,"suffix":""},{"dropping-particle":"","family":"Brown","given":"Rebecca","non-dropping-particle":"","parse-names":false,"suffix":""},{"dropping-particle":"","family":"Earp","given":"Brian D.","non-dropping-particle":"","parse-names":false,"suffix":""}],"container-title":"American Journal of Bioethics","id":"ITEM-1","issue":"1","issued":{"date-parts":[["2021"]]},"page":"22-24","publisher":"Taylor &amp; Francis","title":"In Science We Trust? Being Honest About the Limits of Medical Research During COVID-19","type":"article-journal","volume":"21"},"uris":["http://www.mendeley.com/documents/?uuid=533b411b-17b6-4fd3-9d20-bb0830753e49"]}],"mendeley":{"formattedCitation":"[63]","plainTextFormattedCitation":"[63]","previouslyFormattedCitation":"[62]"},"properties":{"noteIndex":0},"schema":"https://github.com/citation-style-language/schema/raw/master/csl-citation.json"}</w:instrText>
      </w:r>
      <w:r w:rsidR="007507F6">
        <w:rPr>
          <w:rFonts w:ascii="Times New Roman" w:hAnsi="Times New Roman"/>
        </w:rPr>
        <w:fldChar w:fldCharType="separate"/>
      </w:r>
      <w:r w:rsidR="00DA7ECD" w:rsidRPr="00DA7ECD">
        <w:rPr>
          <w:rFonts w:ascii="Times New Roman" w:hAnsi="Times New Roman"/>
          <w:noProof/>
        </w:rPr>
        <w:t>[63]</w:t>
      </w:r>
      <w:r w:rsidR="007507F6">
        <w:rPr>
          <w:rFonts w:ascii="Times New Roman" w:hAnsi="Times New Roman"/>
        </w:rPr>
        <w:fldChar w:fldCharType="end"/>
      </w:r>
      <w:r w:rsidR="009029FB">
        <w:rPr>
          <w:rFonts w:ascii="Times New Roman" w:hAnsi="Times New Roman"/>
        </w:rPr>
        <w:t>.</w:t>
      </w:r>
      <w:r w:rsidR="003E0FF6">
        <w:rPr>
          <w:rFonts w:ascii="Times New Roman" w:hAnsi="Times New Roman"/>
        </w:rPr>
        <w:t xml:space="preserve"> Recommendations and </w:t>
      </w:r>
      <w:r w:rsidR="001D33B2">
        <w:rPr>
          <w:rFonts w:ascii="Times New Roman" w:hAnsi="Times New Roman"/>
        </w:rPr>
        <w:t>public health advice</w:t>
      </w:r>
      <w:r w:rsidR="003E0FF6">
        <w:rPr>
          <w:rFonts w:ascii="Times New Roman" w:hAnsi="Times New Roman"/>
        </w:rPr>
        <w:t xml:space="preserve"> can be entirely justified even when there is a </w:t>
      </w:r>
      <w:r w:rsidR="00ED1D3B">
        <w:rPr>
          <w:rFonts w:ascii="Times New Roman" w:hAnsi="Times New Roman"/>
        </w:rPr>
        <w:t>low underlying quality of the evidence</w:t>
      </w:r>
      <w:r w:rsidR="003E0FF6">
        <w:rPr>
          <w:rFonts w:ascii="Times New Roman" w:hAnsi="Times New Roman"/>
        </w:rPr>
        <w:t xml:space="preserve"> (e.g. when there are also low risks to performing the action); </w:t>
      </w:r>
      <w:r w:rsidR="00ED1D3B">
        <w:rPr>
          <w:rFonts w:ascii="Times New Roman" w:hAnsi="Times New Roman"/>
        </w:rPr>
        <w:t>however, in such cases it could be argued that</w:t>
      </w:r>
      <w:r w:rsidR="003E0FF6">
        <w:rPr>
          <w:rFonts w:ascii="Times New Roman" w:hAnsi="Times New Roman"/>
        </w:rPr>
        <w:t xml:space="preserve"> the </w:t>
      </w:r>
      <w:r w:rsidR="00280B69">
        <w:rPr>
          <w:rFonts w:ascii="Times New Roman" w:hAnsi="Times New Roman"/>
        </w:rPr>
        <w:t>uncertainties should</w:t>
      </w:r>
      <w:r w:rsidR="003E0FF6">
        <w:rPr>
          <w:rFonts w:ascii="Times New Roman" w:hAnsi="Times New Roman"/>
        </w:rPr>
        <w:t xml:space="preserve"> still </w:t>
      </w:r>
      <w:r w:rsidR="00280B69">
        <w:rPr>
          <w:rFonts w:ascii="Times New Roman" w:hAnsi="Times New Roman"/>
        </w:rPr>
        <w:t>be acknowledge</w:t>
      </w:r>
      <w:r w:rsidR="003E0FF6">
        <w:rPr>
          <w:rFonts w:ascii="Times New Roman" w:hAnsi="Times New Roman"/>
        </w:rPr>
        <w:t>d,</w:t>
      </w:r>
      <w:r w:rsidR="00280B69">
        <w:rPr>
          <w:rFonts w:ascii="Times New Roman" w:hAnsi="Times New Roman"/>
        </w:rPr>
        <w:t xml:space="preserve"> and </w:t>
      </w:r>
      <w:r w:rsidR="003E0FF6">
        <w:rPr>
          <w:rFonts w:ascii="Times New Roman" w:hAnsi="Times New Roman"/>
        </w:rPr>
        <w:t>the advice justified in a clear way. S</w:t>
      </w:r>
      <w:r w:rsidR="00ED1D3B">
        <w:rPr>
          <w:rFonts w:ascii="Times New Roman" w:hAnsi="Times New Roman"/>
        </w:rPr>
        <w:t xml:space="preserve">uch </w:t>
      </w:r>
      <w:r w:rsidR="003E0FF6">
        <w:rPr>
          <w:rFonts w:ascii="Times New Roman" w:hAnsi="Times New Roman"/>
        </w:rPr>
        <w:t xml:space="preserve">an approach </w:t>
      </w:r>
      <w:r w:rsidR="00ED1D3B">
        <w:rPr>
          <w:rFonts w:ascii="Times New Roman" w:hAnsi="Times New Roman"/>
        </w:rPr>
        <w:t xml:space="preserve">may buffer </w:t>
      </w:r>
      <w:r w:rsidR="003E0FF6">
        <w:rPr>
          <w:rFonts w:ascii="Times New Roman" w:hAnsi="Times New Roman"/>
        </w:rPr>
        <w:t xml:space="preserve">any </w:t>
      </w:r>
      <w:r w:rsidR="00ED1D3B">
        <w:rPr>
          <w:rFonts w:ascii="Times New Roman" w:hAnsi="Times New Roman"/>
        </w:rPr>
        <w:t>negative effects of</w:t>
      </w:r>
      <w:r w:rsidR="003E0FF6">
        <w:rPr>
          <w:rFonts w:ascii="Times New Roman" w:hAnsi="Times New Roman"/>
        </w:rPr>
        <w:t xml:space="preserve"> the </w:t>
      </w:r>
      <w:r w:rsidR="00ED1D3B">
        <w:rPr>
          <w:rFonts w:ascii="Times New Roman" w:hAnsi="Times New Roman"/>
        </w:rPr>
        <w:t>disclosure of low quality of evidence. We encourage further research to</w:t>
      </w:r>
      <w:r w:rsidR="003E0FF6">
        <w:rPr>
          <w:rFonts w:ascii="Times New Roman" w:hAnsi="Times New Roman"/>
        </w:rPr>
        <w:t xml:space="preserve"> test such an approach empirically. In addition to the effects on a public audience, not acknowledging low quality of underlying evidence </w:t>
      </w:r>
      <w:r w:rsidR="00280B69">
        <w:rPr>
          <w:rFonts w:ascii="Times New Roman" w:hAnsi="Times New Roman"/>
        </w:rPr>
        <w:t>c</w:t>
      </w:r>
      <w:r w:rsidR="003E0FF6">
        <w:rPr>
          <w:rFonts w:ascii="Times New Roman" w:hAnsi="Times New Roman"/>
        </w:rPr>
        <w:t xml:space="preserve">ould inhibit further </w:t>
      </w:r>
      <w:r w:rsidR="00280B69">
        <w:rPr>
          <w:rFonts w:ascii="Times New Roman" w:hAnsi="Times New Roman"/>
        </w:rPr>
        <w:t>research to</w:t>
      </w:r>
      <w:r w:rsidR="003E0FF6">
        <w:rPr>
          <w:rFonts w:ascii="Times New Roman" w:hAnsi="Times New Roman"/>
        </w:rPr>
        <w:t xml:space="preserve"> improve the evidence base.</w:t>
      </w:r>
    </w:p>
    <w:p w14:paraId="3E89CD75" w14:textId="77777777" w:rsidR="0047339D" w:rsidRPr="005F04BF" w:rsidRDefault="0047339D" w:rsidP="007C3BBA">
      <w:pPr>
        <w:spacing w:line="480" w:lineRule="auto"/>
        <w:rPr>
          <w:rFonts w:ascii="Times New Roman" w:hAnsi="Times New Roman"/>
        </w:rPr>
      </w:pPr>
    </w:p>
    <w:p w14:paraId="432DF6B9" w14:textId="77C5175D" w:rsidR="00207320" w:rsidRDefault="00547938" w:rsidP="007C3BBA">
      <w:pPr>
        <w:spacing w:line="480" w:lineRule="auto"/>
        <w:rPr>
          <w:rFonts w:ascii="Times New Roman" w:hAnsi="Times New Roman"/>
        </w:rPr>
      </w:pPr>
      <w:r w:rsidRPr="005F04BF">
        <w:rPr>
          <w:rFonts w:ascii="Times New Roman" w:hAnsi="Times New Roman"/>
        </w:rPr>
        <w:t>This study is limited in that it tested only an online population in the US</w:t>
      </w:r>
      <w:r w:rsidR="00553DDD" w:rsidRPr="005F04BF">
        <w:rPr>
          <w:rFonts w:ascii="Times New Roman" w:hAnsi="Times New Roman"/>
        </w:rPr>
        <w:t xml:space="preserve"> (albeit quota sampled)</w:t>
      </w:r>
      <w:r w:rsidRPr="005F04BF">
        <w:rPr>
          <w:rFonts w:ascii="Times New Roman" w:hAnsi="Times New Roman"/>
        </w:rPr>
        <w:t xml:space="preserve">, and only one health intervention. Further research could broaden this population </w:t>
      </w:r>
      <w:r w:rsidR="00553DDD" w:rsidRPr="005F04BF">
        <w:rPr>
          <w:rFonts w:ascii="Times New Roman" w:hAnsi="Times New Roman"/>
        </w:rPr>
        <w:t xml:space="preserve">and </w:t>
      </w:r>
      <w:r w:rsidR="00D65579" w:rsidRPr="005F04BF">
        <w:rPr>
          <w:rFonts w:ascii="Times New Roman" w:hAnsi="Times New Roman"/>
        </w:rPr>
        <w:t>context</w:t>
      </w:r>
      <w:r w:rsidR="004420E4">
        <w:rPr>
          <w:rFonts w:ascii="Times New Roman" w:hAnsi="Times New Roman"/>
        </w:rPr>
        <w:t>, for example, by</w:t>
      </w:r>
      <w:r w:rsidR="00E4715E">
        <w:rPr>
          <w:rFonts w:ascii="Times New Roman" w:hAnsi="Times New Roman"/>
        </w:rPr>
        <w:t xml:space="preserve"> using true probability samples, collecting data in multiple countries,</w:t>
      </w:r>
      <w:r w:rsidR="004420E4">
        <w:rPr>
          <w:rFonts w:ascii="Times New Roman" w:hAnsi="Times New Roman"/>
        </w:rPr>
        <w:t xml:space="preserve"> engaging in field work, and </w:t>
      </w:r>
      <w:r w:rsidR="00E4715E">
        <w:rPr>
          <w:rFonts w:ascii="Times New Roman" w:hAnsi="Times New Roman"/>
        </w:rPr>
        <w:t>testing a range of public health interventions</w:t>
      </w:r>
      <w:r w:rsidR="004E3E56">
        <w:rPr>
          <w:rFonts w:ascii="Times New Roman" w:hAnsi="Times New Roman"/>
        </w:rPr>
        <w:t xml:space="preserve">. </w:t>
      </w:r>
      <w:r w:rsidR="00B5214C">
        <w:rPr>
          <w:rFonts w:ascii="Times New Roman" w:hAnsi="Times New Roman"/>
        </w:rPr>
        <w:t xml:space="preserve">A further limitation is that the quality of evidence information provided in this research was a simple indication of the level, without further details as to the exact reasons for the rating. </w:t>
      </w:r>
      <w:r w:rsidR="00553DDD" w:rsidRPr="005F04BF">
        <w:rPr>
          <w:rFonts w:ascii="Times New Roman" w:hAnsi="Times New Roman"/>
        </w:rPr>
        <w:t>It would be useful to</w:t>
      </w:r>
      <w:r w:rsidRPr="005F04BF">
        <w:rPr>
          <w:rFonts w:ascii="Times New Roman" w:hAnsi="Times New Roman"/>
        </w:rPr>
        <w:t xml:space="preserve"> examine the effects</w:t>
      </w:r>
      <w:r w:rsidR="00553DDD" w:rsidRPr="005F04BF">
        <w:rPr>
          <w:rFonts w:ascii="Times New Roman" w:hAnsi="Times New Roman"/>
        </w:rPr>
        <w:t xml:space="preserve"> </w:t>
      </w:r>
      <w:r w:rsidRPr="005F04BF">
        <w:rPr>
          <w:rFonts w:ascii="Times New Roman" w:hAnsi="Times New Roman"/>
        </w:rPr>
        <w:t>of providing greater nuance and detail on the quality rating,</w:t>
      </w:r>
      <w:r w:rsidR="00B5214C">
        <w:rPr>
          <w:rFonts w:ascii="Times New Roman" w:hAnsi="Times New Roman"/>
        </w:rPr>
        <w:t xml:space="preserve"> in addition to</w:t>
      </w:r>
      <w:r w:rsidR="003E0FF6">
        <w:rPr>
          <w:rFonts w:ascii="Times New Roman" w:hAnsi="Times New Roman"/>
        </w:rPr>
        <w:t xml:space="preserve"> the effects of adding an explanation for recommendations despite low quality of evidence</w:t>
      </w:r>
      <w:r w:rsidR="00B5214C">
        <w:rPr>
          <w:rFonts w:ascii="Times New Roman" w:hAnsi="Times New Roman"/>
        </w:rPr>
        <w:t xml:space="preserve"> as outlined above. Furthermore, our work only tested the provision of quality of evidence information in a text format. It is conceivable that providing a quality of evidence label in, for</w:t>
      </w:r>
      <w:r w:rsidR="004420E4">
        <w:rPr>
          <w:rFonts w:ascii="Times New Roman" w:hAnsi="Times New Roman"/>
        </w:rPr>
        <w:t xml:space="preserve"> example, a graphical format</w:t>
      </w:r>
      <w:r w:rsidR="00B5214C">
        <w:rPr>
          <w:rFonts w:ascii="Times New Roman" w:hAnsi="Times New Roman"/>
        </w:rPr>
        <w:t xml:space="preserve"> akin to star ratings, might have a different effect. Lastly, our studies were designed to test overall effects across a </w:t>
      </w:r>
      <w:r w:rsidR="004420E4">
        <w:rPr>
          <w:rFonts w:ascii="Times New Roman" w:hAnsi="Times New Roman"/>
        </w:rPr>
        <w:t>broad population</w:t>
      </w:r>
      <w:r w:rsidR="00B5214C">
        <w:rPr>
          <w:rFonts w:ascii="Times New Roman" w:hAnsi="Times New Roman"/>
        </w:rPr>
        <w:t>. Understanding potential differential effects on</w:t>
      </w:r>
      <w:r w:rsidRPr="005F04BF">
        <w:rPr>
          <w:rFonts w:ascii="Times New Roman" w:hAnsi="Times New Roman"/>
        </w:rPr>
        <w:t xml:space="preserve"> different subgroups of the population, such as low and high numeracy individuals</w:t>
      </w:r>
      <w:r w:rsidR="00102226">
        <w:rPr>
          <w:rFonts w:ascii="Times New Roman" w:hAnsi="Times New Roman"/>
        </w:rPr>
        <w:t xml:space="preserve">, would help to complement knowledge on the effects of quality of evidence communication more broadly, and we thus encourage further research to investigate </w:t>
      </w:r>
      <w:r w:rsidR="00DB675E">
        <w:rPr>
          <w:rFonts w:ascii="Times New Roman" w:hAnsi="Times New Roman"/>
        </w:rPr>
        <w:t xml:space="preserve">these </w:t>
      </w:r>
      <w:r w:rsidR="00102226">
        <w:rPr>
          <w:rFonts w:ascii="Times New Roman" w:hAnsi="Times New Roman"/>
        </w:rPr>
        <w:t>relationships more deeply</w:t>
      </w:r>
      <w:r w:rsidRPr="005F04BF">
        <w:rPr>
          <w:rFonts w:ascii="Times New Roman" w:hAnsi="Times New Roman"/>
        </w:rPr>
        <w:t>.</w:t>
      </w:r>
      <w:r w:rsidR="00553DDD" w:rsidRPr="005F04BF">
        <w:rPr>
          <w:rFonts w:ascii="Times New Roman" w:hAnsi="Times New Roman"/>
        </w:rPr>
        <w:t xml:space="preserve"> </w:t>
      </w:r>
    </w:p>
    <w:p w14:paraId="6F34E37E" w14:textId="77777777" w:rsidR="007B53BD" w:rsidRDefault="007B53BD" w:rsidP="007C3BBA">
      <w:pPr>
        <w:spacing w:line="480" w:lineRule="auto"/>
        <w:rPr>
          <w:rFonts w:ascii="Times New Roman" w:hAnsi="Times New Roman"/>
        </w:rPr>
      </w:pPr>
    </w:p>
    <w:p w14:paraId="6EF8AA91" w14:textId="6FA963E2" w:rsidR="007B53BD" w:rsidRDefault="007B53BD" w:rsidP="007C3BBA">
      <w:pPr>
        <w:spacing w:line="480" w:lineRule="auto"/>
        <w:rPr>
          <w:rFonts w:ascii="Times New Roman" w:hAnsi="Times New Roman"/>
        </w:rPr>
      </w:pPr>
      <w:r>
        <w:rPr>
          <w:rFonts w:ascii="Times New Roman" w:hAnsi="Times New Roman"/>
        </w:rPr>
        <w:t xml:space="preserve">As mentioned in footnote 3, the images shown to participants showed an icon array that had had some of its icons cropped erroneously. This error was consistent across all studies and conditions and hence unlikely to introduce systematic bias that would affect our results in study 1. </w:t>
      </w:r>
      <w:r w:rsidRPr="00207320">
        <w:rPr>
          <w:rFonts w:ascii="Times New Roman" w:hAnsi="Times New Roman"/>
        </w:rPr>
        <w:t>In study 2, where we tested in addition a difference in presentation format (with and without icon array display), a bias could have been introduced if participants noticed the varying amounts of light grey icons in the two icon array displays and were confused by it.</w:t>
      </w:r>
      <w:r>
        <w:rPr>
          <w:rFonts w:ascii="Times New Roman" w:hAnsi="Times New Roman"/>
        </w:rPr>
        <w:t xml:space="preserve"> W</w:t>
      </w:r>
      <w:r w:rsidRPr="00207320">
        <w:rPr>
          <w:rFonts w:ascii="Times New Roman" w:hAnsi="Times New Roman"/>
        </w:rPr>
        <w:t xml:space="preserve">e </w:t>
      </w:r>
      <w:r>
        <w:rPr>
          <w:rFonts w:ascii="Times New Roman" w:hAnsi="Times New Roman"/>
        </w:rPr>
        <w:t xml:space="preserve">hence </w:t>
      </w:r>
      <w:r w:rsidRPr="00207320">
        <w:rPr>
          <w:rFonts w:ascii="Times New Roman" w:hAnsi="Times New Roman"/>
        </w:rPr>
        <w:t>coded the free text responses that participants provided in both studies</w:t>
      </w:r>
      <w:r>
        <w:rPr>
          <w:rFonts w:ascii="Times New Roman" w:hAnsi="Times New Roman"/>
        </w:rPr>
        <w:t xml:space="preserve"> to identify </w:t>
      </w:r>
      <w:r>
        <w:rPr>
          <w:rFonts w:ascii="Times New Roman" w:hAnsi="Times New Roman"/>
        </w:rPr>
        <w:lastRenderedPageBreak/>
        <w:t xml:space="preserve">any comments about the icon arrays. </w:t>
      </w:r>
      <w:r w:rsidRPr="00207320">
        <w:rPr>
          <w:rFonts w:ascii="Times New Roman" w:hAnsi="Times New Roman"/>
        </w:rPr>
        <w:t xml:space="preserve">For </w:t>
      </w:r>
      <w:r>
        <w:rPr>
          <w:rFonts w:ascii="Times New Roman" w:hAnsi="Times New Roman"/>
        </w:rPr>
        <w:t>neither study were there comments relating to confusion about</w:t>
      </w:r>
      <w:r w:rsidRPr="00207320">
        <w:rPr>
          <w:rFonts w:ascii="Times New Roman" w:hAnsi="Times New Roman"/>
        </w:rPr>
        <w:t xml:space="preserve"> the icon arrays. </w:t>
      </w:r>
      <w:r>
        <w:rPr>
          <w:rFonts w:ascii="Times New Roman" w:hAnsi="Times New Roman"/>
        </w:rPr>
        <w:t>It therefore seems likely that participants did not notice the error, and we</w:t>
      </w:r>
      <w:r w:rsidRPr="00207320">
        <w:rPr>
          <w:rFonts w:ascii="Times New Roman" w:hAnsi="Times New Roman"/>
        </w:rPr>
        <w:t xml:space="preserve"> do not expect any influence </w:t>
      </w:r>
      <w:r>
        <w:rPr>
          <w:rFonts w:ascii="Times New Roman" w:hAnsi="Times New Roman"/>
        </w:rPr>
        <w:t xml:space="preserve">of it </w:t>
      </w:r>
      <w:r w:rsidRPr="00207320">
        <w:rPr>
          <w:rFonts w:ascii="Times New Roman" w:hAnsi="Times New Roman"/>
        </w:rPr>
        <w:t>on our observed effects.</w:t>
      </w:r>
    </w:p>
    <w:p w14:paraId="49C7D447" w14:textId="77777777" w:rsidR="00207320" w:rsidRDefault="00207320" w:rsidP="007C3BBA">
      <w:pPr>
        <w:spacing w:line="480" w:lineRule="auto"/>
        <w:rPr>
          <w:rFonts w:ascii="Times New Roman" w:hAnsi="Times New Roman"/>
        </w:rPr>
      </w:pPr>
    </w:p>
    <w:p w14:paraId="2C24ED42" w14:textId="731B766D" w:rsidR="006D2DF4" w:rsidRPr="005F04BF" w:rsidRDefault="00E64BD2" w:rsidP="007C3BBA">
      <w:pPr>
        <w:spacing w:line="480" w:lineRule="auto"/>
        <w:rPr>
          <w:rFonts w:ascii="Times New Roman" w:hAnsi="Times New Roman"/>
        </w:rPr>
      </w:pPr>
      <w:r w:rsidRPr="005F04BF">
        <w:rPr>
          <w:rFonts w:ascii="Times New Roman" w:hAnsi="Times New Roman"/>
        </w:rPr>
        <w:tab/>
      </w:r>
    </w:p>
    <w:p w14:paraId="10688DA1" w14:textId="77777777" w:rsidR="006D2DF4" w:rsidRPr="005F04BF" w:rsidRDefault="006D2DF4" w:rsidP="007C3BBA">
      <w:pPr>
        <w:spacing w:line="480" w:lineRule="auto"/>
        <w:rPr>
          <w:rFonts w:ascii="Times New Roman" w:hAnsi="Times New Roman"/>
        </w:rPr>
      </w:pPr>
    </w:p>
    <w:p w14:paraId="12E922DD" w14:textId="77777777" w:rsidR="00A601E2" w:rsidRDefault="00A601E2" w:rsidP="007C3BBA">
      <w:pPr>
        <w:pStyle w:val="Heading2"/>
        <w:spacing w:line="480" w:lineRule="auto"/>
        <w:rPr>
          <w:rFonts w:ascii="Times New Roman" w:hAnsi="Times New Roman" w:cs="Times New Roman"/>
          <w:b/>
          <w:color w:val="auto"/>
          <w:sz w:val="36"/>
          <w:szCs w:val="36"/>
        </w:rPr>
      </w:pPr>
      <w:r>
        <w:rPr>
          <w:rFonts w:ascii="Times New Roman" w:hAnsi="Times New Roman" w:cs="Times New Roman"/>
          <w:b/>
          <w:color w:val="auto"/>
          <w:sz w:val="36"/>
          <w:szCs w:val="36"/>
        </w:rPr>
        <w:br w:type="page"/>
      </w:r>
    </w:p>
    <w:p w14:paraId="3FB012DA" w14:textId="21EBE5B7" w:rsidR="00A601E2" w:rsidRDefault="00A601E2" w:rsidP="00A601E2">
      <w:pPr>
        <w:pStyle w:val="Heading2"/>
        <w:spacing w:line="480" w:lineRule="auto"/>
        <w:rPr>
          <w:rFonts w:ascii="Times New Roman" w:hAnsi="Times New Roman" w:cs="Times New Roman"/>
          <w:b/>
          <w:color w:val="auto"/>
          <w:sz w:val="36"/>
          <w:szCs w:val="36"/>
        </w:rPr>
      </w:pPr>
      <w:r>
        <w:rPr>
          <w:rFonts w:ascii="Times New Roman" w:hAnsi="Times New Roman" w:cs="Times New Roman"/>
          <w:b/>
          <w:color w:val="auto"/>
          <w:sz w:val="36"/>
          <w:szCs w:val="36"/>
        </w:rPr>
        <w:lastRenderedPageBreak/>
        <w:t>Acknowledgements</w:t>
      </w:r>
    </w:p>
    <w:p w14:paraId="71D8572C" w14:textId="3874B48A" w:rsidR="00A601E2" w:rsidRPr="00A601E2" w:rsidRDefault="00A601E2" w:rsidP="00A601E2">
      <w:pPr>
        <w:spacing w:line="480" w:lineRule="auto"/>
        <w:rPr>
          <w:rFonts w:ascii="Times New Roman" w:hAnsi="Times New Roman"/>
        </w:rPr>
      </w:pPr>
      <w:r w:rsidRPr="00A601E2">
        <w:rPr>
          <w:rFonts w:ascii="Times New Roman" w:hAnsi="Times New Roman"/>
        </w:rPr>
        <w:t>This project was carried out using core funding from The Winton Centre for Risk &amp; Evidence Communication, which comprises a donation from the David &amp; Claudia Harding Foundation.</w:t>
      </w:r>
    </w:p>
    <w:p w14:paraId="4B0F9A2B" w14:textId="77777777" w:rsidR="00A601E2" w:rsidRPr="00A601E2" w:rsidRDefault="00A601E2" w:rsidP="00A601E2"/>
    <w:p w14:paraId="1C73A3FC" w14:textId="59B24DFF" w:rsidR="006D2DF4" w:rsidRPr="005F04BF" w:rsidRDefault="006D2DF4" w:rsidP="007C3BBA">
      <w:pPr>
        <w:pStyle w:val="Heading2"/>
        <w:spacing w:line="480" w:lineRule="auto"/>
        <w:rPr>
          <w:rFonts w:ascii="Times New Roman" w:hAnsi="Times New Roman" w:cs="Times New Roman"/>
          <w:b/>
          <w:color w:val="auto"/>
          <w:sz w:val="36"/>
          <w:szCs w:val="36"/>
        </w:rPr>
      </w:pPr>
      <w:r w:rsidRPr="005F04BF">
        <w:rPr>
          <w:rFonts w:ascii="Times New Roman" w:hAnsi="Times New Roman" w:cs="Times New Roman"/>
          <w:b/>
          <w:color w:val="auto"/>
          <w:sz w:val="36"/>
          <w:szCs w:val="36"/>
        </w:rPr>
        <w:t>Data sharing statement</w:t>
      </w:r>
    </w:p>
    <w:p w14:paraId="45BD1451" w14:textId="042E8B8F" w:rsidR="00393D4B" w:rsidRPr="005F04BF" w:rsidRDefault="000D2DAD" w:rsidP="007C3BBA">
      <w:pPr>
        <w:spacing w:line="480" w:lineRule="auto"/>
        <w:rPr>
          <w:rFonts w:ascii="Times New Roman" w:hAnsi="Times New Roman"/>
        </w:rPr>
      </w:pPr>
      <w:r w:rsidRPr="005F04BF">
        <w:rPr>
          <w:rFonts w:ascii="Times New Roman" w:hAnsi="Times New Roman"/>
        </w:rPr>
        <w:t>All data collected for th</w:t>
      </w:r>
      <w:r w:rsidR="001B6BA5" w:rsidRPr="005F04BF">
        <w:rPr>
          <w:rFonts w:ascii="Times New Roman" w:hAnsi="Times New Roman"/>
        </w:rPr>
        <w:t>e reported studies</w:t>
      </w:r>
      <w:r w:rsidRPr="005F04BF">
        <w:rPr>
          <w:rFonts w:ascii="Times New Roman" w:hAnsi="Times New Roman"/>
        </w:rPr>
        <w:t xml:space="preserve"> (de-identified participant data)</w:t>
      </w:r>
      <w:r w:rsidR="007E1B30" w:rsidRPr="005F04BF">
        <w:rPr>
          <w:rFonts w:ascii="Times New Roman" w:hAnsi="Times New Roman"/>
        </w:rPr>
        <w:t>, along with the questionnaires used,</w:t>
      </w:r>
      <w:r w:rsidRPr="005F04BF">
        <w:rPr>
          <w:rFonts w:ascii="Times New Roman" w:hAnsi="Times New Roman"/>
        </w:rPr>
        <w:t xml:space="preserve"> </w:t>
      </w:r>
      <w:r w:rsidR="00393D4B" w:rsidRPr="005F04BF">
        <w:rPr>
          <w:rFonts w:ascii="Times New Roman" w:hAnsi="Times New Roman"/>
        </w:rPr>
        <w:t xml:space="preserve">is publicly available at </w:t>
      </w:r>
      <w:hyperlink r:id="rId12" w:history="1">
        <w:r w:rsidR="00393D4B" w:rsidRPr="005F04BF">
          <w:rPr>
            <w:rStyle w:val="Hyperlink"/>
            <w:rFonts w:ascii="Times New Roman" w:hAnsi="Times New Roman"/>
          </w:rPr>
          <w:t>https://osf.io/z6ps9/</w:t>
        </w:r>
      </w:hyperlink>
    </w:p>
    <w:p w14:paraId="56F9B9E9" w14:textId="77777777" w:rsidR="00393D4B" w:rsidRPr="005F04BF" w:rsidRDefault="00393D4B" w:rsidP="007C3BBA">
      <w:pPr>
        <w:spacing w:line="480" w:lineRule="auto"/>
        <w:rPr>
          <w:rFonts w:ascii="Times New Roman" w:hAnsi="Times New Roman"/>
        </w:rPr>
      </w:pPr>
    </w:p>
    <w:p w14:paraId="4E957585" w14:textId="1165D546" w:rsidR="009B64DE" w:rsidRPr="005F04BF" w:rsidRDefault="009B64DE" w:rsidP="007C3BBA">
      <w:pPr>
        <w:pStyle w:val="Heading2"/>
        <w:spacing w:line="480" w:lineRule="auto"/>
        <w:rPr>
          <w:rFonts w:ascii="Times New Roman" w:hAnsi="Times New Roman" w:cs="Times New Roman"/>
          <w:b/>
          <w:color w:val="auto"/>
          <w:sz w:val="36"/>
          <w:szCs w:val="36"/>
        </w:rPr>
      </w:pPr>
      <w:r w:rsidRPr="005F04BF">
        <w:rPr>
          <w:rFonts w:ascii="Times New Roman" w:hAnsi="Times New Roman" w:cs="Times New Roman"/>
          <w:b/>
          <w:color w:val="auto"/>
          <w:sz w:val="36"/>
          <w:szCs w:val="36"/>
        </w:rPr>
        <w:t>Authors’ contributions</w:t>
      </w:r>
    </w:p>
    <w:p w14:paraId="0AB3A910" w14:textId="4FF83BC2" w:rsidR="007E1B30" w:rsidRPr="005F04BF" w:rsidRDefault="007E1B30" w:rsidP="007C3BBA">
      <w:pPr>
        <w:spacing w:line="480" w:lineRule="auto"/>
        <w:rPr>
          <w:rFonts w:ascii="Times New Roman" w:hAnsi="Times New Roman"/>
        </w:rPr>
      </w:pPr>
      <w:r w:rsidRPr="005F04BF">
        <w:rPr>
          <w:rFonts w:ascii="Times New Roman" w:hAnsi="Times New Roman"/>
        </w:rPr>
        <w:t xml:space="preserve">Claudia R. Schneider: Conceptualization, Methodology, Data curation, Formal analysis, Investigation, Project administration, Validation, Visualization, </w:t>
      </w:r>
      <w:proofErr w:type="gramStart"/>
      <w:r w:rsidRPr="005F04BF">
        <w:rPr>
          <w:rFonts w:ascii="Times New Roman" w:hAnsi="Times New Roman"/>
        </w:rPr>
        <w:t>Writing</w:t>
      </w:r>
      <w:proofErr w:type="gramEnd"/>
      <w:r w:rsidRPr="005F04BF">
        <w:rPr>
          <w:rFonts w:ascii="Times New Roman" w:hAnsi="Times New Roman"/>
        </w:rPr>
        <w:t xml:space="preserve"> – original draft, </w:t>
      </w:r>
      <w:r w:rsidR="00270EEA" w:rsidRPr="005F04BF">
        <w:rPr>
          <w:rFonts w:ascii="Times New Roman" w:hAnsi="Times New Roman"/>
        </w:rPr>
        <w:t>Writing – review &amp; editing</w:t>
      </w:r>
    </w:p>
    <w:p w14:paraId="22636CCD" w14:textId="6513A4C2" w:rsidR="007E1B30" w:rsidRPr="005F04BF" w:rsidRDefault="007E1B30" w:rsidP="007C3BBA">
      <w:pPr>
        <w:spacing w:line="480" w:lineRule="auto"/>
        <w:rPr>
          <w:rFonts w:ascii="Times New Roman" w:hAnsi="Times New Roman"/>
        </w:rPr>
      </w:pPr>
      <w:r w:rsidRPr="005F04BF">
        <w:rPr>
          <w:rFonts w:ascii="Times New Roman" w:hAnsi="Times New Roman"/>
        </w:rPr>
        <w:t xml:space="preserve">Alexandra L. J. Freeman: Conceptualization, Methodology, </w:t>
      </w:r>
      <w:r w:rsidR="00A601E2" w:rsidRPr="005F04BF">
        <w:rPr>
          <w:rFonts w:ascii="Times New Roman" w:hAnsi="Times New Roman"/>
        </w:rPr>
        <w:t>Project administration</w:t>
      </w:r>
      <w:r w:rsidR="00A601E2">
        <w:rPr>
          <w:rFonts w:ascii="Times New Roman" w:hAnsi="Times New Roman"/>
        </w:rPr>
        <w:t>,</w:t>
      </w:r>
      <w:r w:rsidR="00A601E2" w:rsidRPr="005F04BF">
        <w:rPr>
          <w:rFonts w:ascii="Times New Roman" w:hAnsi="Times New Roman"/>
        </w:rPr>
        <w:t xml:space="preserve"> </w:t>
      </w:r>
      <w:r w:rsidRPr="005F04BF">
        <w:rPr>
          <w:rFonts w:ascii="Times New Roman" w:hAnsi="Times New Roman"/>
        </w:rPr>
        <w:t xml:space="preserve">Validation, </w:t>
      </w:r>
      <w:proofErr w:type="gramStart"/>
      <w:r w:rsidRPr="005F04BF">
        <w:rPr>
          <w:rFonts w:ascii="Times New Roman" w:hAnsi="Times New Roman"/>
        </w:rPr>
        <w:t>Writing</w:t>
      </w:r>
      <w:proofErr w:type="gramEnd"/>
      <w:r w:rsidRPr="005F04BF">
        <w:rPr>
          <w:rFonts w:ascii="Times New Roman" w:hAnsi="Times New Roman"/>
        </w:rPr>
        <w:t xml:space="preserve"> – original draft, </w:t>
      </w:r>
      <w:r w:rsidR="00270EEA" w:rsidRPr="005F04BF">
        <w:rPr>
          <w:rFonts w:ascii="Times New Roman" w:hAnsi="Times New Roman"/>
        </w:rPr>
        <w:t>Writing – review &amp; editing</w:t>
      </w:r>
    </w:p>
    <w:p w14:paraId="38013046" w14:textId="6219400B" w:rsidR="007E1B30" w:rsidRPr="005F04BF" w:rsidRDefault="007E1B30" w:rsidP="007C3BBA">
      <w:pPr>
        <w:spacing w:line="480" w:lineRule="auto"/>
        <w:rPr>
          <w:rFonts w:ascii="Times New Roman" w:hAnsi="Times New Roman"/>
        </w:rPr>
      </w:pPr>
      <w:r w:rsidRPr="005F04BF">
        <w:rPr>
          <w:rFonts w:ascii="Times New Roman" w:hAnsi="Times New Roman"/>
        </w:rPr>
        <w:t xml:space="preserve">David </w:t>
      </w:r>
      <w:proofErr w:type="spellStart"/>
      <w:r w:rsidRPr="005F04BF">
        <w:rPr>
          <w:rFonts w:ascii="Times New Roman" w:hAnsi="Times New Roman"/>
        </w:rPr>
        <w:t>Spiegelhalter</w:t>
      </w:r>
      <w:proofErr w:type="spellEnd"/>
      <w:r w:rsidRPr="005F04BF">
        <w:rPr>
          <w:rFonts w:ascii="Times New Roman" w:hAnsi="Times New Roman"/>
        </w:rPr>
        <w:t>: Conceptualization, Methodology,</w:t>
      </w:r>
      <w:r w:rsidR="00270EEA" w:rsidRPr="005F04BF">
        <w:rPr>
          <w:rFonts w:ascii="Times New Roman" w:hAnsi="Times New Roman"/>
        </w:rPr>
        <w:t xml:space="preserve"> Writing – review &amp; editing</w:t>
      </w:r>
    </w:p>
    <w:p w14:paraId="532805C9" w14:textId="658C87F9" w:rsidR="007E1B30" w:rsidRPr="005F04BF" w:rsidRDefault="007E1B30" w:rsidP="007C3BBA">
      <w:pPr>
        <w:spacing w:line="480" w:lineRule="auto"/>
        <w:rPr>
          <w:rFonts w:ascii="Times New Roman" w:hAnsi="Times New Roman"/>
        </w:rPr>
      </w:pPr>
      <w:r w:rsidRPr="005F04BF">
        <w:rPr>
          <w:rFonts w:ascii="Times New Roman" w:hAnsi="Times New Roman"/>
        </w:rPr>
        <w:t>Sander van der Linden: Conceptualization, Methodology, Validation,</w:t>
      </w:r>
      <w:r w:rsidR="00270EEA" w:rsidRPr="005F04BF">
        <w:rPr>
          <w:rFonts w:ascii="Times New Roman" w:hAnsi="Times New Roman"/>
        </w:rPr>
        <w:t xml:space="preserve"> Writing – review &amp; editing</w:t>
      </w:r>
    </w:p>
    <w:p w14:paraId="5B495510" w14:textId="77777777" w:rsidR="00624AAA" w:rsidRPr="005F04BF" w:rsidRDefault="00624AAA" w:rsidP="007C3BBA">
      <w:pPr>
        <w:spacing w:line="480" w:lineRule="auto"/>
        <w:rPr>
          <w:rFonts w:ascii="Times New Roman" w:hAnsi="Times New Roman"/>
        </w:rPr>
      </w:pPr>
    </w:p>
    <w:p w14:paraId="1DD9A923" w14:textId="132BB71C" w:rsidR="009B64DE" w:rsidRPr="005F04BF" w:rsidRDefault="0005166F" w:rsidP="007C3BBA">
      <w:pPr>
        <w:pStyle w:val="Heading2"/>
        <w:spacing w:line="480" w:lineRule="auto"/>
        <w:rPr>
          <w:rFonts w:ascii="Times New Roman" w:hAnsi="Times New Roman" w:cs="Times New Roman"/>
          <w:b/>
          <w:color w:val="auto"/>
          <w:sz w:val="36"/>
          <w:szCs w:val="36"/>
        </w:rPr>
      </w:pPr>
      <w:r w:rsidRPr="005F04BF">
        <w:rPr>
          <w:rFonts w:ascii="Times New Roman" w:hAnsi="Times New Roman" w:cs="Times New Roman"/>
          <w:b/>
          <w:color w:val="auto"/>
          <w:sz w:val="36"/>
          <w:szCs w:val="36"/>
        </w:rPr>
        <w:t>Declaration of interests</w:t>
      </w:r>
    </w:p>
    <w:p w14:paraId="40262A39" w14:textId="3E410036" w:rsidR="009B64DE" w:rsidRPr="005F04BF" w:rsidRDefault="009B64DE" w:rsidP="007C3BBA">
      <w:pPr>
        <w:spacing w:line="480" w:lineRule="auto"/>
        <w:rPr>
          <w:rFonts w:ascii="Times New Roman" w:hAnsi="Times New Roman"/>
        </w:rPr>
      </w:pPr>
      <w:r w:rsidRPr="005F04BF">
        <w:rPr>
          <w:rFonts w:ascii="Times New Roman" w:hAnsi="Times New Roman"/>
        </w:rPr>
        <w:t>The authors report no conflicts of interest.</w:t>
      </w:r>
    </w:p>
    <w:p w14:paraId="5EB1E5B1" w14:textId="77777777" w:rsidR="00E5241E" w:rsidRPr="005F04BF" w:rsidRDefault="00E5241E" w:rsidP="000662A5">
      <w:pPr>
        <w:rPr>
          <w:rFonts w:ascii="Times New Roman" w:hAnsi="Times New Roman"/>
        </w:rPr>
      </w:pPr>
    </w:p>
    <w:p w14:paraId="66C280AD" w14:textId="77777777" w:rsidR="00A601E2" w:rsidRDefault="00A601E2" w:rsidP="008A1349">
      <w:pPr>
        <w:pStyle w:val="Heading2"/>
        <w:rPr>
          <w:rFonts w:ascii="Times New Roman" w:hAnsi="Times New Roman" w:cs="Times New Roman"/>
          <w:b/>
          <w:color w:val="auto"/>
          <w:sz w:val="36"/>
          <w:szCs w:val="36"/>
        </w:rPr>
      </w:pPr>
      <w:r>
        <w:rPr>
          <w:rFonts w:ascii="Times New Roman" w:hAnsi="Times New Roman" w:cs="Times New Roman"/>
          <w:b/>
          <w:color w:val="auto"/>
          <w:sz w:val="36"/>
          <w:szCs w:val="36"/>
        </w:rPr>
        <w:br w:type="page"/>
      </w:r>
    </w:p>
    <w:p w14:paraId="6080D58C" w14:textId="7C370B89" w:rsidR="008A1349" w:rsidRPr="005F04BF" w:rsidRDefault="008A1349" w:rsidP="008A1349">
      <w:pPr>
        <w:pStyle w:val="Heading2"/>
        <w:rPr>
          <w:rFonts w:ascii="Times New Roman" w:hAnsi="Times New Roman" w:cs="Times New Roman"/>
          <w:b/>
          <w:color w:val="auto"/>
          <w:sz w:val="36"/>
          <w:szCs w:val="36"/>
        </w:rPr>
      </w:pPr>
      <w:r w:rsidRPr="005F04BF">
        <w:rPr>
          <w:rFonts w:ascii="Times New Roman" w:hAnsi="Times New Roman" w:cs="Times New Roman"/>
          <w:b/>
          <w:color w:val="auto"/>
          <w:sz w:val="36"/>
          <w:szCs w:val="36"/>
        </w:rPr>
        <w:lastRenderedPageBreak/>
        <w:t>References</w:t>
      </w:r>
    </w:p>
    <w:p w14:paraId="3B125DED" w14:textId="77777777" w:rsidR="008A1349" w:rsidRPr="005F04BF" w:rsidRDefault="008A1349" w:rsidP="00A352F9">
      <w:pPr>
        <w:rPr>
          <w:rFonts w:ascii="Times New Roman" w:hAnsi="Times New Roman"/>
        </w:rPr>
      </w:pPr>
    </w:p>
    <w:p w14:paraId="48C2E05C" w14:textId="749AFF75" w:rsidR="00DA7ECD" w:rsidRPr="00DA7ECD" w:rsidRDefault="007E4CFB" w:rsidP="00DA7ECD">
      <w:pPr>
        <w:widowControl w:val="0"/>
        <w:autoSpaceDE w:val="0"/>
        <w:autoSpaceDN w:val="0"/>
        <w:adjustRightInd w:val="0"/>
        <w:ind w:left="640" w:hanging="640"/>
        <w:rPr>
          <w:rFonts w:ascii="Times New Roman" w:hAnsi="Times New Roman"/>
          <w:noProof/>
        </w:rPr>
      </w:pPr>
      <w:r w:rsidRPr="005F04BF">
        <w:rPr>
          <w:rFonts w:ascii="Times New Roman" w:hAnsi="Times New Roman"/>
        </w:rPr>
        <w:fldChar w:fldCharType="begin" w:fldLock="1"/>
      </w:r>
      <w:r w:rsidRPr="005F04BF">
        <w:rPr>
          <w:rFonts w:ascii="Times New Roman" w:hAnsi="Times New Roman"/>
        </w:rPr>
        <w:instrText xml:space="preserve">ADDIN Mendeley Bibliography CSL_BIBLIOGRAPHY </w:instrText>
      </w:r>
      <w:r w:rsidRPr="005F04BF">
        <w:rPr>
          <w:rFonts w:ascii="Times New Roman" w:hAnsi="Times New Roman"/>
        </w:rPr>
        <w:fldChar w:fldCharType="separate"/>
      </w:r>
      <w:r w:rsidR="00DA7ECD" w:rsidRPr="00DA7ECD">
        <w:rPr>
          <w:rFonts w:ascii="Times New Roman" w:hAnsi="Times New Roman"/>
          <w:noProof/>
        </w:rPr>
        <w:t xml:space="preserve">1. </w:t>
      </w:r>
      <w:r w:rsidR="00DA7ECD" w:rsidRPr="00DA7ECD">
        <w:rPr>
          <w:rFonts w:ascii="Times New Roman" w:hAnsi="Times New Roman"/>
          <w:noProof/>
        </w:rPr>
        <w:tab/>
        <w:t>Trivedi MM, Das A (2021) Did the Timing of State Mandated Lockdown Affect the Spread of COVID-19 Infection ? A County-level Ecological Study in the United States. 238–244</w:t>
      </w:r>
    </w:p>
    <w:p w14:paraId="7726032F"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 </w:t>
      </w:r>
      <w:r w:rsidRPr="00DA7ECD">
        <w:rPr>
          <w:rFonts w:ascii="Times New Roman" w:hAnsi="Times New Roman"/>
          <w:noProof/>
        </w:rPr>
        <w:tab/>
        <w:t>Gibson J (2020) Government mandated lockdowns do not reduce Covid-19 deaths : implications for evaluating the stringent New Zealand response response. New Zeal Econ Pap. https://doi.org/10.1080/00779954.2020.1844786</w:t>
      </w:r>
    </w:p>
    <w:p w14:paraId="08551325"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 </w:t>
      </w:r>
      <w:r w:rsidRPr="00DA7ECD">
        <w:rPr>
          <w:rFonts w:ascii="Times New Roman" w:hAnsi="Times New Roman"/>
          <w:noProof/>
        </w:rPr>
        <w:tab/>
        <w:t>Bauer A, Weber E (2021) COVID-19 : how much unemployment was caused by the shutdown in Germany ? Appl Econ Lett 28:1053–1058</w:t>
      </w:r>
    </w:p>
    <w:p w14:paraId="42CC29AA"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 </w:t>
      </w:r>
      <w:r w:rsidRPr="00DA7ECD">
        <w:rPr>
          <w:rFonts w:ascii="Times New Roman" w:hAnsi="Times New Roman"/>
          <w:noProof/>
        </w:rPr>
        <w:tab/>
        <w:t>Zhu Z, Weber E, Strohsal T, Serhan D (2021) Sustainable border control policy in the COVID-19 pandemic : A math modeling study. Travel Med Infect Dis 41:102044</w:t>
      </w:r>
    </w:p>
    <w:p w14:paraId="2D673394"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 </w:t>
      </w:r>
      <w:r w:rsidRPr="00DA7ECD">
        <w:rPr>
          <w:rFonts w:ascii="Times New Roman" w:hAnsi="Times New Roman"/>
          <w:noProof/>
        </w:rPr>
        <w:tab/>
        <w:t>Kabir KMA, Tanimoto J (2020) Evolutionary game theory modelling to represent the behavioural dynamics of economic shutdowns and shield immunity in the COVID-19 pandemic: Economic shutdowns and shield immunity. R Soc Open Sci. https://doi.org/10.1098/rsos.201095</w:t>
      </w:r>
    </w:p>
    <w:p w14:paraId="6B327FEB"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6. </w:t>
      </w:r>
      <w:r w:rsidRPr="00DA7ECD">
        <w:rPr>
          <w:rFonts w:ascii="Times New Roman" w:hAnsi="Times New Roman"/>
          <w:noProof/>
        </w:rPr>
        <w:tab/>
        <w:t>Chu DK, Akl EA, Duda S, et al (2020) Physical distancing, face masks, and eye protection to prevent person-to-person transmission of SARS-CoV-2 and COVID-19: a systematic review and meta-analysis. Lancet 395:1973–1987</w:t>
      </w:r>
    </w:p>
    <w:p w14:paraId="0B623B55"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7. </w:t>
      </w:r>
      <w:r w:rsidRPr="00DA7ECD">
        <w:rPr>
          <w:rFonts w:ascii="Times New Roman" w:hAnsi="Times New Roman"/>
          <w:noProof/>
        </w:rPr>
        <w:tab/>
        <w:t>Shah Y, Kurelek JW, Peterson SD, Yarusevych S (2021) Experimental investigation of indoor aerosol dispersion and accumulation in the context of COVID-19: Effects of masks and ventilation. Phys Fluids. https://doi.org/10.1063/5.0057100</w:t>
      </w:r>
    </w:p>
    <w:p w14:paraId="528AE127"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8. </w:t>
      </w:r>
      <w:r w:rsidRPr="00DA7ECD">
        <w:rPr>
          <w:rFonts w:ascii="Times New Roman" w:hAnsi="Times New Roman"/>
          <w:noProof/>
        </w:rPr>
        <w:tab/>
        <w:t>Bavel JJ Van, Baicker K, Boggio PS, et al (2020) Using social and behavioural science to support COVID-19 pandemic response. Nat Hum Behav 4:460–471</w:t>
      </w:r>
    </w:p>
    <w:p w14:paraId="34EC74A1"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9. </w:t>
      </w:r>
      <w:r w:rsidRPr="00DA7ECD">
        <w:rPr>
          <w:rFonts w:ascii="Times New Roman" w:hAnsi="Times New Roman"/>
          <w:noProof/>
        </w:rPr>
        <w:tab/>
        <w:t>Flahault A (2020) COVID-19 cacophony: is there any orchestra conductor? Lancet 395:1037</w:t>
      </w:r>
    </w:p>
    <w:p w14:paraId="6E4307B2"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10. </w:t>
      </w:r>
      <w:r w:rsidRPr="00DA7ECD">
        <w:rPr>
          <w:rFonts w:ascii="Times New Roman" w:hAnsi="Times New Roman"/>
          <w:noProof/>
        </w:rPr>
        <w:tab/>
        <w:t>Lewnard JA, Lo NC (2020) Scientific and ethical basis for social-distancing interventions against COVID-19. Lancet Infect Dis 20:631–633</w:t>
      </w:r>
    </w:p>
    <w:p w14:paraId="1C8B353F"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11. </w:t>
      </w:r>
      <w:r w:rsidRPr="00DA7ECD">
        <w:rPr>
          <w:rFonts w:ascii="Times New Roman" w:hAnsi="Times New Roman"/>
          <w:noProof/>
        </w:rPr>
        <w:tab/>
        <w:t>Flaxman S, Mishra S, Gandy A, et al (2020) Estimating the effects of non-pharmaceutical interventions on COVID-19 in Europe. Nature 584:257–261</w:t>
      </w:r>
    </w:p>
    <w:p w14:paraId="238675D9"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12. </w:t>
      </w:r>
      <w:r w:rsidRPr="00DA7ECD">
        <w:rPr>
          <w:rFonts w:ascii="Times New Roman" w:hAnsi="Times New Roman"/>
          <w:noProof/>
        </w:rPr>
        <w:tab/>
        <w:t>Lai S, Ruktanonchai NW, Zhou L, et al (2020) Effect of non-pharmaceutical interventions to contain COVID-19 in China. Nature 585:410–413</w:t>
      </w:r>
    </w:p>
    <w:p w14:paraId="7863D601"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13. </w:t>
      </w:r>
      <w:r w:rsidRPr="00DA7ECD">
        <w:rPr>
          <w:rFonts w:ascii="Times New Roman" w:hAnsi="Times New Roman"/>
          <w:noProof/>
        </w:rPr>
        <w:tab/>
        <w:t>Robert A (2020) Lessons from New Zealand’s COVID-19 outbreak response. Lancet Public Heal 5:e569–e570</w:t>
      </w:r>
    </w:p>
    <w:p w14:paraId="2915CBD7"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14. </w:t>
      </w:r>
      <w:r w:rsidRPr="00DA7ECD">
        <w:rPr>
          <w:rFonts w:ascii="Times New Roman" w:hAnsi="Times New Roman"/>
          <w:noProof/>
        </w:rPr>
        <w:tab/>
        <w:t>Li Y, Campbell H, Kulkarni D, Harpur A, Nundy M, Wang X, Nair H (2021) The temporal association of introducing and lifting non-pharmaceutical interventions with the time-varying reproduction number (R) of SARS-CoV-2: a modelling study across 131 countries. Lancet Infect Dis 21:193–202</w:t>
      </w:r>
    </w:p>
    <w:p w14:paraId="4439CB1A"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15. </w:t>
      </w:r>
      <w:r w:rsidRPr="00DA7ECD">
        <w:rPr>
          <w:rFonts w:ascii="Times New Roman" w:hAnsi="Times New Roman"/>
          <w:noProof/>
        </w:rPr>
        <w:tab/>
        <w:t>Cowling BJ, Ali ST, Ng TWY, et al (2020) Impact assessment of non-pharmaceutical interventions against coronavirus disease 2019 and influenza in Hong Kong: an observational study. Lancet Public Heal 5:e279–e288</w:t>
      </w:r>
    </w:p>
    <w:p w14:paraId="78316FAC"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16. </w:t>
      </w:r>
      <w:r w:rsidRPr="00DA7ECD">
        <w:rPr>
          <w:rFonts w:ascii="Times New Roman" w:hAnsi="Times New Roman"/>
          <w:noProof/>
        </w:rPr>
        <w:tab/>
        <w:t>Davies NG, Kucharski AJ, Eggo RM, et al (2020) Effects of non-pharmaceutical interventions on COVID-19 cases, deaths, and demand for hospital services in the UK: a modelling study. Lancet Public Heal 5:e375–e385</w:t>
      </w:r>
    </w:p>
    <w:p w14:paraId="1B96016A"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17. </w:t>
      </w:r>
      <w:r w:rsidRPr="00DA7ECD">
        <w:rPr>
          <w:rFonts w:ascii="Times New Roman" w:hAnsi="Times New Roman"/>
          <w:noProof/>
        </w:rPr>
        <w:tab/>
        <w:t>Papageorge NW, Zahn M, Belot M, van den Broek-altenburg E, Choic S, Jamison J, Tripodi E (2021) Socio-demographic factors associated with self-protecting behavior during the Covid-19. J Popul Econ 34:691–738</w:t>
      </w:r>
    </w:p>
    <w:p w14:paraId="64C0F095"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18. </w:t>
      </w:r>
      <w:r w:rsidRPr="00DA7ECD">
        <w:rPr>
          <w:rFonts w:ascii="Times New Roman" w:hAnsi="Times New Roman"/>
          <w:noProof/>
        </w:rPr>
        <w:tab/>
        <w:t xml:space="preserve">Seale H, Dyer CEF, Abdi I, Rahman KM, Sun Y, Qureshi MO, Dowell-day A, Sward J, Islam MS (2020) Improving the impact of non- pharmaceutical interventions during COVID-19 : examining the factors that influence engagement and the impact on </w:t>
      </w:r>
      <w:r w:rsidRPr="00DA7ECD">
        <w:rPr>
          <w:rFonts w:ascii="Times New Roman" w:hAnsi="Times New Roman"/>
          <w:noProof/>
        </w:rPr>
        <w:lastRenderedPageBreak/>
        <w:t>individuals. BMC Infe 1–13</w:t>
      </w:r>
    </w:p>
    <w:p w14:paraId="58DA835B"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19. </w:t>
      </w:r>
      <w:r w:rsidRPr="00DA7ECD">
        <w:rPr>
          <w:rFonts w:ascii="Times New Roman" w:hAnsi="Times New Roman"/>
          <w:noProof/>
        </w:rPr>
        <w:tab/>
        <w:t>Wright AL, Sonin K, Driscoll J, Wilson J (2020) Poverty and economic dislocation reduce compliance with COVID-19 shelter-in-place protocols. J Econ Behav Organ 180:544–554</w:t>
      </w:r>
    </w:p>
    <w:p w14:paraId="51EE243B"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20. </w:t>
      </w:r>
      <w:r w:rsidRPr="00DA7ECD">
        <w:rPr>
          <w:rFonts w:ascii="Times New Roman" w:hAnsi="Times New Roman"/>
          <w:noProof/>
        </w:rPr>
        <w:tab/>
        <w:t>Nivette A, Ribeaud D, Murray A, Steinhoff A, Bechtiger L, Hepp U, Shanahan L, Eisner M (2021) Non-compliance with COVID-19-related public health measures among young adults in Switzerland: Insights from a longitudinal cohort study. Soc Sci Med 268:113370</w:t>
      </w:r>
    </w:p>
    <w:p w14:paraId="37F0D409"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21. </w:t>
      </w:r>
      <w:r w:rsidRPr="00DA7ECD">
        <w:rPr>
          <w:rFonts w:ascii="Times New Roman" w:hAnsi="Times New Roman"/>
          <w:noProof/>
        </w:rPr>
        <w:tab/>
        <w:t xml:space="preserve">Kim S, Kim S (2020) Analysis of the Impact of Health Beliefs and Resource Factors on Preventive Behaviors against the COVID-19 Pandemic. </w:t>
      </w:r>
    </w:p>
    <w:p w14:paraId="2D0326A0"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22. </w:t>
      </w:r>
      <w:r w:rsidRPr="00DA7ECD">
        <w:rPr>
          <w:rFonts w:ascii="Times New Roman" w:hAnsi="Times New Roman"/>
          <w:noProof/>
        </w:rPr>
        <w:tab/>
        <w:t xml:space="preserve">Zajenkowski M, Jonason PK, Leniarska M, Kozakiewicz Z (2020) Who complies with the restrictions to reduce the spread of COVID-19 ?: Personality and perceptions of the COVID-19 situation </w:t>
      </w:r>
      <w:r w:rsidRPr="00DA7ECD">
        <w:rPr>
          <w:rFonts w:ascii="Segoe UI Symbol" w:hAnsi="Segoe UI Symbol" w:cs="Segoe UI Symbol"/>
          <w:noProof/>
        </w:rPr>
        <w:t>☆</w:t>
      </w:r>
      <w:r w:rsidRPr="00DA7ECD">
        <w:rPr>
          <w:rFonts w:ascii="Times New Roman" w:hAnsi="Times New Roman"/>
          <w:noProof/>
        </w:rPr>
        <w:t>. Pers Individ Dif 166:110199</w:t>
      </w:r>
    </w:p>
    <w:p w14:paraId="6CED9B4B"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23. </w:t>
      </w:r>
      <w:r w:rsidRPr="00DA7ECD">
        <w:rPr>
          <w:rFonts w:ascii="Times New Roman" w:hAnsi="Times New Roman"/>
          <w:noProof/>
        </w:rPr>
        <w:tab/>
        <w:t xml:space="preserve">Mevorach T, Cohen J (2021) Keep Calm and Stay Safe : The Relationship between Anxiety and Other Psychological Factors , Media Exposure and Compliance with COVID-19 Regulations. </w:t>
      </w:r>
    </w:p>
    <w:p w14:paraId="726B7DE9"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24. </w:t>
      </w:r>
      <w:r w:rsidRPr="00DA7ECD">
        <w:rPr>
          <w:rFonts w:ascii="Times New Roman" w:hAnsi="Times New Roman"/>
          <w:noProof/>
        </w:rPr>
        <w:tab/>
        <w:t>Kabir KMA, Risa T, Tanimoto J (2021) Prosocial behavior of wearing a mask during an epidemic: an evolutionary explanation. Sci Rep 11:1–14</w:t>
      </w:r>
    </w:p>
    <w:p w14:paraId="20CA429E"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25. </w:t>
      </w:r>
      <w:r w:rsidRPr="00DA7ECD">
        <w:rPr>
          <w:rFonts w:ascii="Times New Roman" w:hAnsi="Times New Roman"/>
          <w:noProof/>
        </w:rPr>
        <w:tab/>
        <w:t>Broomell SB, Chapman GB, Downs JS (2020) Psychological predictors of prevention behaviors during the COVID-19 pandemic. Behav Sci Policy 6:43–50</w:t>
      </w:r>
    </w:p>
    <w:p w14:paraId="0A6A5B54"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26. </w:t>
      </w:r>
      <w:r w:rsidRPr="00DA7ECD">
        <w:rPr>
          <w:rFonts w:ascii="Times New Roman" w:hAnsi="Times New Roman"/>
          <w:noProof/>
        </w:rPr>
        <w:tab/>
        <w:t>Georgieva I, Lantta T, Lickiewicz J, Pekara J, Wikman S, Loseviˇ M, Mihai A, Lepping P (2021) Perceived Effectiveness , Restrictiveness , and Compliance with Containment Measures against the Covid-19 Pandemic : An International Comparative Study in 11 Countries. 1–16</w:t>
      </w:r>
    </w:p>
    <w:p w14:paraId="2D3E5446"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27. </w:t>
      </w:r>
      <w:r w:rsidRPr="00DA7ECD">
        <w:rPr>
          <w:rFonts w:ascii="Times New Roman" w:hAnsi="Times New Roman"/>
          <w:noProof/>
        </w:rPr>
        <w:tab/>
        <w:t xml:space="preserve">Gette JA, Stevens AK, Littlefield AK, Hayes KL, White HR, Jackson KM (2021) Individual and COVID-19-Specific Indicators of Compliance with Mask Use and Social Distancing : The Importance of Norms , Perceived Effectiveness , and State Response. </w:t>
      </w:r>
    </w:p>
    <w:p w14:paraId="4B33C218"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28. </w:t>
      </w:r>
      <w:r w:rsidRPr="00DA7ECD">
        <w:rPr>
          <w:rFonts w:ascii="Times New Roman" w:hAnsi="Times New Roman"/>
          <w:noProof/>
        </w:rPr>
        <w:tab/>
        <w:t>Wang D, Marmo-roman S, Krase K, Phanord L, Wang D, Marmo-roman S, Krase K, Phanord L (2021) Compliance with preventative measures during the COVID-19 pandemic in the USA and Canada : Results from an online survey ABSTRACT. Soc Work Health Care 60:240–255</w:t>
      </w:r>
    </w:p>
    <w:p w14:paraId="1BA9E332"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29. </w:t>
      </w:r>
      <w:r w:rsidRPr="00DA7ECD">
        <w:rPr>
          <w:rFonts w:ascii="Times New Roman" w:hAnsi="Times New Roman"/>
          <w:noProof/>
        </w:rPr>
        <w:tab/>
        <w:t>van der Bles AM, van der Linden S, Freeman ALJ, Mitchell J, Galvao AB, Zaval L, Spiegelhalter DJ (2019) Communicating uncertainty about facts, numbers and science. R Soc Open Sci. https://doi.org/10.1098/rsos.181870</w:t>
      </w:r>
    </w:p>
    <w:p w14:paraId="5F7DABC9"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30. </w:t>
      </w:r>
      <w:r w:rsidRPr="00DA7ECD">
        <w:rPr>
          <w:rFonts w:ascii="Times New Roman" w:hAnsi="Times New Roman"/>
          <w:noProof/>
        </w:rPr>
        <w:tab/>
        <w:t>Balshem H, Helfand M, Schünemann HJ, et al (2011) GRADE guidelines: 3. Rating the quality of evidence. J Clin Epidemiol 64:401–406</w:t>
      </w:r>
    </w:p>
    <w:p w14:paraId="733427D1"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31. </w:t>
      </w:r>
      <w:r w:rsidRPr="00DA7ECD">
        <w:rPr>
          <w:rFonts w:ascii="Times New Roman" w:hAnsi="Times New Roman"/>
          <w:noProof/>
        </w:rPr>
        <w:tab/>
        <w:t>Guyatt GH, Oxman AD, Vist GE, Kunz R, Falck-Ytter Y, Alonso-Coello P, Schünemann HJ (2008) GRADE: An emerging consensus on rating quality of evidence and strength of recommendations. BMJ 336:924–926</w:t>
      </w:r>
    </w:p>
    <w:p w14:paraId="32E8690C"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32. </w:t>
      </w:r>
      <w:r w:rsidRPr="00DA7ECD">
        <w:rPr>
          <w:rFonts w:ascii="Times New Roman" w:hAnsi="Times New Roman"/>
          <w:noProof/>
        </w:rPr>
        <w:tab/>
        <w:t>Oxman AD, Glenton C, Flottorp S, Lewin S, Rosenbaum S, Fretheim A (2020) Development of a checklist for people communicating evidence-based information about the effects of healthcare interventions: A mixed methods study. BMJ Open 10:1–9</w:t>
      </w:r>
    </w:p>
    <w:p w14:paraId="1912CF66"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33. </w:t>
      </w:r>
      <w:r w:rsidRPr="00DA7ECD">
        <w:rPr>
          <w:rFonts w:ascii="Times New Roman" w:hAnsi="Times New Roman"/>
          <w:noProof/>
        </w:rPr>
        <w:tab/>
        <w:t>Armijo-Olivo S, Stiles CR, Hagen NA, Biondo PD, Cummings GG (2012) Assessment of study quality for systematic reviews: A comparison of the Cochrane Collaboration Risk of Bias Tool and the Effective Public Health Practice Project Quality Assessment Tool: Methodological research. J Eval Clin Pract 18:12–18</w:t>
      </w:r>
    </w:p>
    <w:p w14:paraId="01AB2DF6"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34. </w:t>
      </w:r>
      <w:r w:rsidRPr="00DA7ECD">
        <w:rPr>
          <w:rFonts w:ascii="Times New Roman" w:hAnsi="Times New Roman"/>
          <w:noProof/>
        </w:rPr>
        <w:tab/>
        <w:t xml:space="preserve">Guyatt GH, Oxman AD, Vist GE, Kunz R, Falck-Ytter Y, Schünemann HJ (2008) Rating Quality of Evidence and Strength of Recommendations: GRADE: What Is </w:t>
      </w:r>
      <w:r w:rsidRPr="00DA7ECD">
        <w:rPr>
          <w:rFonts w:ascii="Times New Roman" w:hAnsi="Times New Roman"/>
          <w:noProof/>
        </w:rPr>
        <w:lastRenderedPageBreak/>
        <w:t>“Quality of Evidence” and Why Is It Important to Clinicians? Source BMJ Br Med J 336:995–998</w:t>
      </w:r>
    </w:p>
    <w:p w14:paraId="1F0EE8CC"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35. </w:t>
      </w:r>
      <w:r w:rsidRPr="00DA7ECD">
        <w:rPr>
          <w:rFonts w:ascii="Times New Roman" w:hAnsi="Times New Roman"/>
          <w:noProof/>
        </w:rPr>
        <w:tab/>
        <w:t>Geneen LJ, Moore RA, Clarke C, Martin D, Colvin LA, Smith BH (2017) Physical activity and exercise for chronic pain in adults: An overview of Cochrane Reviews. Cochrane Database Syst Rev. https://doi.org/10.1002/14651858.CD011279.pub3</w:t>
      </w:r>
    </w:p>
    <w:p w14:paraId="1A0596F5"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36. </w:t>
      </w:r>
      <w:r w:rsidRPr="00DA7ECD">
        <w:rPr>
          <w:rFonts w:ascii="Times New Roman" w:hAnsi="Times New Roman"/>
          <w:noProof/>
        </w:rPr>
        <w:tab/>
        <w:t>Blastland M, Freeman ALJ, Linden S Van Der, Marteau TM, Spiegelhalter D (2020) Five rules for evidence communication. Nature 587:362–364</w:t>
      </w:r>
    </w:p>
    <w:p w14:paraId="637CEC00"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37. </w:t>
      </w:r>
      <w:r w:rsidRPr="00DA7ECD">
        <w:rPr>
          <w:rFonts w:ascii="Times New Roman" w:hAnsi="Times New Roman"/>
          <w:noProof/>
        </w:rPr>
        <w:tab/>
        <w:t>Wegwarth O, Wagner GG, Spies C, Hertwig R (2020) Assessment of German Public Attitudes Toward Health Communications With Varying Degrees of Scientific Uncertainty Regarding COVID-19. JAMA Netw open 3:e2032335</w:t>
      </w:r>
    </w:p>
    <w:p w14:paraId="4A76A247"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38. </w:t>
      </w:r>
      <w:r w:rsidRPr="00DA7ECD">
        <w:rPr>
          <w:rFonts w:ascii="Times New Roman" w:hAnsi="Times New Roman"/>
          <w:noProof/>
        </w:rPr>
        <w:tab/>
        <w:t>Santesso N, Rader T, Nilsen ES, Glenton C, Rosenbaum S, Ciapponi A, Moja L, Pardo JP, Zhou Q, Schünemann HJ (2015) A summary to communicate evidence from systematic reviews to the public improved understanding and accessibility of information: a randomized controlled trial. J Clin Epidemiol 68:182–90</w:t>
      </w:r>
    </w:p>
    <w:p w14:paraId="443C554F"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39. </w:t>
      </w:r>
      <w:r w:rsidRPr="00DA7ECD">
        <w:rPr>
          <w:rFonts w:ascii="Times New Roman" w:hAnsi="Times New Roman"/>
          <w:noProof/>
        </w:rPr>
        <w:tab/>
        <w:t>Glenton C, Santesso N, Rosenbaum S, Nilsen ES, Rader T, Ciapponi A, Dilkes H (2010) Presenting the Results of Cochrane Systematic Reviews to a Consumer Audience: A Qualitative Study. Med Decis Mak 30:566–577</w:t>
      </w:r>
    </w:p>
    <w:p w14:paraId="59A19788"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40. </w:t>
      </w:r>
      <w:r w:rsidRPr="00DA7ECD">
        <w:rPr>
          <w:rFonts w:ascii="Times New Roman" w:hAnsi="Times New Roman"/>
          <w:noProof/>
        </w:rPr>
        <w:tab/>
        <w:t>van der Bles AM, van der Linden S, Freeman ALJJ, Spiegelhalter DJ (2020) The effects of communicating uncertainty on public trust in facts and numbers. Proc Natl Acad Sci U S A 117:7672–7683</w:t>
      </w:r>
    </w:p>
    <w:p w14:paraId="273F2276"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41. </w:t>
      </w:r>
      <w:r w:rsidRPr="00DA7ECD">
        <w:rPr>
          <w:rFonts w:ascii="Times New Roman" w:hAnsi="Times New Roman"/>
          <w:noProof/>
        </w:rPr>
        <w:tab/>
        <w:t>Gustafson A, Rice RE (2020) A review of the effects of uncertainty in public science communication. Public Underst Sci. https://doi.org/10.1177/0963662520942122</w:t>
      </w:r>
    </w:p>
    <w:p w14:paraId="3C19CB7B"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42. </w:t>
      </w:r>
      <w:r w:rsidRPr="00DA7ECD">
        <w:rPr>
          <w:rFonts w:ascii="Times New Roman" w:hAnsi="Times New Roman"/>
          <w:noProof/>
        </w:rPr>
        <w:tab/>
        <w:t>Akl EA, Maroun N, Guyatt G, Oxman AD, Alonso-coello P, Vist GE, Devereaux PJ, Montori VM, Schu HJ (2007) Symbols were superior to numbers for presenting strength of recommendations to health care consumers : a randomized trial. 60:1298–1305</w:t>
      </w:r>
    </w:p>
    <w:p w14:paraId="449FF384"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43. </w:t>
      </w:r>
      <w:r w:rsidRPr="00DA7ECD">
        <w:rPr>
          <w:rFonts w:ascii="Times New Roman" w:hAnsi="Times New Roman"/>
          <w:noProof/>
        </w:rPr>
        <w:tab/>
        <w:t>Buechter RB, Betsch C, Ehrlich M, Fechtelpeter D, Grouven U, Keller S, Meuer R, Rossmann C, Waltering A (2020) Communicating Uncertainty in Written Consumer Health Information to the Public:Parallel-Group, Web-Based Randomized Controlled Trial. J Med INTERNET Res 22:e15899</w:t>
      </w:r>
    </w:p>
    <w:p w14:paraId="474DF3E2"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44. </w:t>
      </w:r>
      <w:r w:rsidRPr="00DA7ECD">
        <w:rPr>
          <w:rFonts w:ascii="Times New Roman" w:hAnsi="Times New Roman"/>
          <w:noProof/>
        </w:rPr>
        <w:tab/>
        <w:t>Zipkin DA, Umscheid CA, Keating NL, et al (2014) Evidence-based risk communication: A systematic review. Ann Intern Med 161:270–280</w:t>
      </w:r>
    </w:p>
    <w:p w14:paraId="1491F248"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45. </w:t>
      </w:r>
      <w:r w:rsidRPr="00DA7ECD">
        <w:rPr>
          <w:rFonts w:ascii="Times New Roman" w:hAnsi="Times New Roman"/>
          <w:noProof/>
        </w:rPr>
        <w:tab/>
        <w:t>Ancker JS, Senathrajah Y, Kukafka R, Starren JB (2006) Design features of graphs in health risk communication : A systematic review. J Am Med Informatics Assoc 13:608–619</w:t>
      </w:r>
    </w:p>
    <w:p w14:paraId="3E086B14"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46. </w:t>
      </w:r>
      <w:r w:rsidRPr="00DA7ECD">
        <w:rPr>
          <w:rFonts w:ascii="Times New Roman" w:hAnsi="Times New Roman"/>
          <w:noProof/>
        </w:rPr>
        <w:tab/>
        <w:t>Tait AR, Voepel-lewis T, Zikmund-fisher BJ, Fagerlin A, Tait, A. R., Voepel-Lewis, T., Zikmund-Fisher, B. J., &amp; Fagerlin A (2012) Presenting research risks and benefits to parents: Does format matter? Anesth Analg 111:718–723</w:t>
      </w:r>
    </w:p>
    <w:p w14:paraId="6400BD93"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47. </w:t>
      </w:r>
      <w:r w:rsidRPr="00DA7ECD">
        <w:rPr>
          <w:rFonts w:ascii="Times New Roman" w:hAnsi="Times New Roman"/>
          <w:noProof/>
        </w:rPr>
        <w:tab/>
        <w:t>Hamstra DA, Johnson SB, Daignault S, Zikmund-Fisher BJ, Taylor JMG, Larkin K, Wood A, Fagerlin A (2015) The impact of numeracy on verbatim knowledge of the longitudinal risk for prostate cancer recurrence following radiation therapy. Med Decis Mak 35:27–36</w:t>
      </w:r>
    </w:p>
    <w:p w14:paraId="0B758C0B"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48. </w:t>
      </w:r>
      <w:r w:rsidRPr="00DA7ECD">
        <w:rPr>
          <w:rFonts w:ascii="Times New Roman" w:hAnsi="Times New Roman"/>
          <w:noProof/>
        </w:rPr>
        <w:tab/>
        <w:t>Meloncon L, Warner E (2017) Data visualizations: A literature review and opportunities for technical and professional communication. IEEE Int Prof Commun Conf. https://doi.org/10.1109/IPCC.2017.8013960</w:t>
      </w:r>
    </w:p>
    <w:p w14:paraId="378A3B18"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49. </w:t>
      </w:r>
      <w:r w:rsidRPr="00DA7ECD">
        <w:rPr>
          <w:rFonts w:ascii="Times New Roman" w:hAnsi="Times New Roman"/>
          <w:noProof/>
        </w:rPr>
        <w:tab/>
        <w:t>Hawley ST, Zikmund-Fisher B, Ubel P, Jancovic A, Lucas T, Fagerlin A (2008) The impact of the format of graphical presentation on health-related knowledge and treatment choices. Patient Educ Couns 73:448–455</w:t>
      </w:r>
    </w:p>
    <w:p w14:paraId="4D09CAEE"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50. </w:t>
      </w:r>
      <w:r w:rsidRPr="00DA7ECD">
        <w:rPr>
          <w:rFonts w:ascii="Times New Roman" w:hAnsi="Times New Roman"/>
          <w:noProof/>
        </w:rPr>
        <w:tab/>
        <w:t>Guyatt GH (2008) GRADE: what is “quality of evidence” and why is it important to clinicians? BMJ 336:995–998</w:t>
      </w:r>
    </w:p>
    <w:p w14:paraId="0BBAE3AE"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lastRenderedPageBreak/>
        <w:t xml:space="preserve">51. </w:t>
      </w:r>
      <w:r w:rsidRPr="00DA7ECD">
        <w:rPr>
          <w:rFonts w:ascii="Times New Roman" w:hAnsi="Times New Roman"/>
          <w:noProof/>
        </w:rPr>
        <w:tab/>
        <w:t>Atkins D, Eccles M, Flottorp S, et al (2004) Systems for grading the quality of evidence and the strength of recommendations I: Critical appraisal of existing approaches. BMC Health Serv Res 4:1–7</w:t>
      </w:r>
    </w:p>
    <w:p w14:paraId="1BBD4E2C"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52. </w:t>
      </w:r>
      <w:r w:rsidRPr="00DA7ECD">
        <w:rPr>
          <w:rFonts w:ascii="Times New Roman" w:hAnsi="Times New Roman"/>
          <w:noProof/>
        </w:rPr>
        <w:tab/>
        <w:t>Chen K, Bao L, Shao A, Ho P, Yang S, Wirz C, Brossard D, Brauer M, Diprete Brown L (2020) How public perceptions of social distancing evolved over a critical time period: communication lessons learnt from the American state of Wisconsin. J Sci Commun 19:A11</w:t>
      </w:r>
    </w:p>
    <w:p w14:paraId="486CBE28"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53. </w:t>
      </w:r>
      <w:r w:rsidRPr="00DA7ECD">
        <w:rPr>
          <w:rFonts w:ascii="Times New Roman" w:hAnsi="Times New Roman"/>
          <w:noProof/>
        </w:rPr>
        <w:tab/>
        <w:t xml:space="preserve">Dennis Thompson (2020) Mask Use by Americans Now Tops 90%, Poll Finds. Webmd </w:t>
      </w:r>
    </w:p>
    <w:p w14:paraId="0EC7EC03"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54. </w:t>
      </w:r>
      <w:r w:rsidRPr="00DA7ECD">
        <w:rPr>
          <w:rFonts w:ascii="Times New Roman" w:hAnsi="Times New Roman"/>
          <w:noProof/>
        </w:rPr>
        <w:tab/>
        <w:t xml:space="preserve">Nikolov P, Pape A, Tonguc O, Williams C (2020) Predictors of Social Distancing and MaskWearing Behavior: Panel Survey in Seven U.S. States. IZA Inst. Labor Econ. </w:t>
      </w:r>
    </w:p>
    <w:p w14:paraId="26B5DCA6"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55. </w:t>
      </w:r>
      <w:r w:rsidRPr="00DA7ECD">
        <w:rPr>
          <w:rFonts w:ascii="Times New Roman" w:hAnsi="Times New Roman"/>
          <w:noProof/>
        </w:rPr>
        <w:tab/>
        <w:t xml:space="preserve">Bennett S (2020) COVID-19 Prevention Behaviors Research Summary. </w:t>
      </w:r>
    </w:p>
    <w:p w14:paraId="29DE9091"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56. </w:t>
      </w:r>
      <w:r w:rsidRPr="00DA7ECD">
        <w:rPr>
          <w:rFonts w:ascii="Times New Roman" w:hAnsi="Times New Roman"/>
          <w:noProof/>
        </w:rPr>
        <w:tab/>
        <w:t>O’Neill O (2018) Linking Trust to Trustworthiness. Int J Philos Stud 26:293–300</w:t>
      </w:r>
    </w:p>
    <w:p w14:paraId="5A5CD05C"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57. </w:t>
      </w:r>
      <w:r w:rsidRPr="00DA7ECD">
        <w:rPr>
          <w:rFonts w:ascii="Times New Roman" w:hAnsi="Times New Roman"/>
          <w:noProof/>
        </w:rPr>
        <w:tab/>
        <w:t>Hultcrantz M, Rind D, Akl EA, et al (2017) The GRADE Working Group clarifies the construct of certainty of evidence. J Clin Epidemiol 87:4–13</w:t>
      </w:r>
    </w:p>
    <w:p w14:paraId="35B2306A"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58. </w:t>
      </w:r>
      <w:r w:rsidRPr="00DA7ECD">
        <w:rPr>
          <w:rFonts w:ascii="Times New Roman" w:hAnsi="Times New Roman"/>
          <w:noProof/>
        </w:rPr>
        <w:tab/>
        <w:t>Tingley D, Yamamoto T, Hirose K, Keele L, Imai K (2014) Mediation: R package for causal mediation analysis. J Stat Softw 59:1–38</w:t>
      </w:r>
    </w:p>
    <w:p w14:paraId="0FF827EE"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59. </w:t>
      </w:r>
      <w:r w:rsidRPr="00DA7ECD">
        <w:rPr>
          <w:rFonts w:ascii="Times New Roman" w:hAnsi="Times New Roman"/>
          <w:noProof/>
        </w:rPr>
        <w:tab/>
        <w:t>Djulbegovic B, Hozo I, Li SA, Razavi M, Cuker A, Guyatt G (2021) Certainty of evidence and intervention’s benefits and harms are key determinants of guidelines’ recommendations. J Clin Epidemiol 136:1–9</w:t>
      </w:r>
    </w:p>
    <w:p w14:paraId="3E208BA2"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60. </w:t>
      </w:r>
      <w:r w:rsidRPr="00DA7ECD">
        <w:rPr>
          <w:rFonts w:ascii="Times New Roman" w:hAnsi="Times New Roman"/>
          <w:noProof/>
        </w:rPr>
        <w:tab/>
        <w:t>Tversky A, Kahneman D (1991) Loss Aversion in Riskless Choice : A Reference-Dependent Model Author ( s ): Amos Tversky and Daniel Kahneman Published by : Oxford University Press. Q J Econ 106:1039–1061</w:t>
      </w:r>
    </w:p>
    <w:p w14:paraId="0199AC35"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61. </w:t>
      </w:r>
      <w:r w:rsidRPr="00DA7ECD">
        <w:rPr>
          <w:rFonts w:ascii="Times New Roman" w:hAnsi="Times New Roman"/>
          <w:noProof/>
        </w:rPr>
        <w:tab/>
        <w:t>Tom SM, Fox CR, Trepel C, Poldrack RA (2007) The neural basis of loss aversion in decision-making under risk. Science (80- ) 315:515–518</w:t>
      </w:r>
    </w:p>
    <w:p w14:paraId="7F70255F"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62. </w:t>
      </w:r>
      <w:r w:rsidRPr="00DA7ECD">
        <w:rPr>
          <w:rFonts w:ascii="Times New Roman" w:hAnsi="Times New Roman"/>
          <w:noProof/>
        </w:rPr>
        <w:tab/>
        <w:t>Kahneman D, Tversky A (1979) Prospect theory: An analysis of decision under risk. Econometrika, 47, 263-291. Econometrica 47:263–292</w:t>
      </w:r>
    </w:p>
    <w:p w14:paraId="0C56AF98" w14:textId="77777777" w:rsidR="00DA7ECD" w:rsidRPr="00DA7ECD" w:rsidRDefault="00DA7ECD" w:rsidP="00DA7ECD">
      <w:pPr>
        <w:widowControl w:val="0"/>
        <w:autoSpaceDE w:val="0"/>
        <w:autoSpaceDN w:val="0"/>
        <w:adjustRightInd w:val="0"/>
        <w:ind w:left="640" w:hanging="640"/>
        <w:rPr>
          <w:rFonts w:ascii="Times New Roman" w:hAnsi="Times New Roman"/>
          <w:noProof/>
        </w:rPr>
      </w:pPr>
      <w:r w:rsidRPr="00DA7ECD">
        <w:rPr>
          <w:rFonts w:ascii="Times New Roman" w:hAnsi="Times New Roman"/>
          <w:noProof/>
        </w:rPr>
        <w:t xml:space="preserve">63. </w:t>
      </w:r>
      <w:r w:rsidRPr="00DA7ECD">
        <w:rPr>
          <w:rFonts w:ascii="Times New Roman" w:hAnsi="Times New Roman"/>
          <w:noProof/>
        </w:rPr>
        <w:tab/>
        <w:t>Veit W, Brown R, Earp BD (2021) In Science We Trust? Being Honest About the Limits of Medical Research During COVID-19. Am J Bioeth 21:22–24</w:t>
      </w:r>
    </w:p>
    <w:p w14:paraId="7FEA05DE" w14:textId="69D0659B" w:rsidR="00885913" w:rsidRDefault="007E4CFB" w:rsidP="007507F6">
      <w:pPr>
        <w:widowControl w:val="0"/>
        <w:autoSpaceDE w:val="0"/>
        <w:autoSpaceDN w:val="0"/>
        <w:adjustRightInd w:val="0"/>
        <w:ind w:left="640" w:hanging="640"/>
        <w:rPr>
          <w:rFonts w:ascii="Times New Roman" w:hAnsi="Times New Roman"/>
        </w:rPr>
      </w:pPr>
      <w:r w:rsidRPr="005F04BF">
        <w:rPr>
          <w:rFonts w:ascii="Times New Roman" w:hAnsi="Times New Roman"/>
        </w:rPr>
        <w:fldChar w:fldCharType="end"/>
      </w:r>
    </w:p>
    <w:p w14:paraId="57EEACAD" w14:textId="77777777" w:rsidR="00885913" w:rsidRDefault="00885913" w:rsidP="005F04BF">
      <w:pPr>
        <w:widowControl w:val="0"/>
        <w:autoSpaceDE w:val="0"/>
        <w:autoSpaceDN w:val="0"/>
        <w:adjustRightInd w:val="0"/>
        <w:rPr>
          <w:rFonts w:ascii="Times New Roman" w:hAnsi="Times New Roman"/>
        </w:rPr>
      </w:pPr>
    </w:p>
    <w:p w14:paraId="771A20E2" w14:textId="77777777" w:rsidR="00885913" w:rsidRDefault="00885913" w:rsidP="005F04BF">
      <w:pPr>
        <w:widowControl w:val="0"/>
        <w:autoSpaceDE w:val="0"/>
        <w:autoSpaceDN w:val="0"/>
        <w:adjustRightInd w:val="0"/>
        <w:rPr>
          <w:rFonts w:ascii="Times New Roman" w:hAnsi="Times New Roman"/>
        </w:rPr>
      </w:pPr>
    </w:p>
    <w:p w14:paraId="47DED322" w14:textId="77777777" w:rsidR="00885913" w:rsidRDefault="00885913" w:rsidP="005F04BF">
      <w:pPr>
        <w:widowControl w:val="0"/>
        <w:autoSpaceDE w:val="0"/>
        <w:autoSpaceDN w:val="0"/>
        <w:adjustRightInd w:val="0"/>
        <w:rPr>
          <w:rFonts w:ascii="Times New Roman" w:hAnsi="Times New Roman"/>
        </w:rPr>
      </w:pPr>
    </w:p>
    <w:p w14:paraId="53A6A325" w14:textId="77777777" w:rsidR="00885913" w:rsidRDefault="00885913" w:rsidP="005F04BF">
      <w:pPr>
        <w:widowControl w:val="0"/>
        <w:autoSpaceDE w:val="0"/>
        <w:autoSpaceDN w:val="0"/>
        <w:adjustRightInd w:val="0"/>
        <w:rPr>
          <w:rFonts w:ascii="Times New Roman" w:hAnsi="Times New Roman"/>
        </w:rPr>
      </w:pPr>
    </w:p>
    <w:p w14:paraId="00C0AD67" w14:textId="77777777" w:rsidR="00885913" w:rsidRDefault="00885913" w:rsidP="005F04BF">
      <w:pPr>
        <w:widowControl w:val="0"/>
        <w:autoSpaceDE w:val="0"/>
        <w:autoSpaceDN w:val="0"/>
        <w:adjustRightInd w:val="0"/>
        <w:rPr>
          <w:rFonts w:ascii="Times New Roman" w:hAnsi="Times New Roman"/>
        </w:rPr>
      </w:pPr>
    </w:p>
    <w:p w14:paraId="0142B2BE" w14:textId="6C472974" w:rsidR="00885913" w:rsidRDefault="00885913" w:rsidP="00885913">
      <w:pPr>
        <w:pStyle w:val="Heading2"/>
        <w:rPr>
          <w:rFonts w:ascii="Times New Roman" w:hAnsi="Times New Roman" w:cs="Times New Roman"/>
          <w:b/>
          <w:color w:val="auto"/>
          <w:sz w:val="36"/>
          <w:szCs w:val="36"/>
        </w:rPr>
      </w:pPr>
      <w:r>
        <w:rPr>
          <w:rFonts w:ascii="Times New Roman" w:hAnsi="Times New Roman" w:cs="Times New Roman"/>
          <w:b/>
          <w:color w:val="auto"/>
          <w:sz w:val="36"/>
          <w:szCs w:val="36"/>
        </w:rPr>
        <w:t>Supporting information</w:t>
      </w:r>
    </w:p>
    <w:p w14:paraId="010E3E95" w14:textId="59FE8282" w:rsidR="00885913" w:rsidRDefault="00885913" w:rsidP="005F04BF"/>
    <w:p w14:paraId="13E19716" w14:textId="5F580577" w:rsidR="00885913" w:rsidRPr="005F04BF" w:rsidRDefault="00885913" w:rsidP="005F04BF">
      <w:pPr>
        <w:rPr>
          <w:rFonts w:ascii="Times New Roman" w:hAnsi="Times New Roman"/>
          <w:b/>
        </w:rPr>
      </w:pPr>
      <w:r w:rsidRPr="005F04BF">
        <w:rPr>
          <w:rFonts w:ascii="Times New Roman" w:hAnsi="Times New Roman"/>
          <w:b/>
        </w:rPr>
        <w:t>S1 File. Supporting information.</w:t>
      </w:r>
    </w:p>
    <w:sectPr w:rsidR="00885913" w:rsidRPr="005F04BF" w:rsidSect="00F23AE2">
      <w:footerReference w:type="default" r:id="rId13"/>
      <w:pgSz w:w="11900" w:h="16840"/>
      <w:pgMar w:top="1440" w:right="1440" w:bottom="1440" w:left="1440" w:header="720" w:footer="720" w:gutter="0"/>
      <w:cols w:space="720"/>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EAFA19" w16cex:dateUtc="2021-09-14T09:38:00Z"/>
  <w16cex:commentExtensible w16cex:durableId="24EAF9E7" w16cex:dateUtc="2021-09-14T09:37:00Z"/>
  <w16cex:commentExtensible w16cex:durableId="24EAFAFD" w16cex:dateUtc="2021-09-14T09:42: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73E7E485" w16cid:durableId="24F4239F"/>
  <w16cid:commentId w16cid:paraId="3D0CC2A3" w16cid:durableId="24EAFA19"/>
  <w16cid:commentId w16cid:paraId="20E32203" w16cid:durableId="24F423A1"/>
  <w16cid:commentId w16cid:paraId="043FB68B" w16cid:durableId="24F423A2"/>
  <w16cid:commentId w16cid:paraId="5A7514F6" w16cid:durableId="24EAF9E7"/>
  <w16cid:commentId w16cid:paraId="2FB9B10C" w16cid:durableId="24F423A4"/>
  <w16cid:commentId w16cid:paraId="003B6969" w16cid:durableId="24EAFAFD"/>
  <w16cid:commentId w16cid:paraId="5A24A264" w16cid:durableId="24F423A6"/>
  <w16cid:commentId w16cid:paraId="331988FB" w16cid:durableId="24F423A7"/>
  <w16cid:commentId w16cid:paraId="338EAB9A" w16cid:durableId="24EAF252"/>
  <w16cid:commentId w16cid:paraId="40F9B9AD" w16cid:durableId="24F423A9"/>
  <w16cid:commentId w16cid:paraId="3BC95168" w16cid:durableId="24F423AA"/>
  <w16cid:commentId w16cid:paraId="1E5E7885" w16cid:durableId="24EAF254"/>
  <w16cid:commentId w16cid:paraId="287CA419" w16cid:durableId="24EAF255"/>
</w16cid:commentsIds>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6BB44F2" w14:textId="77777777" w:rsidR="00252262" w:rsidRDefault="00252262" w:rsidP="009C6A1B">
      <w:r>
        <w:separator/>
      </w:r>
    </w:p>
  </w:endnote>
  <w:endnote w:type="continuationSeparator" w:id="0">
    <w:p w14:paraId="2963EF21" w14:textId="77777777" w:rsidR="00252262" w:rsidRDefault="00252262" w:rsidP="009C6A1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Calibri Light">
    <w:panose1 w:val="020F0302020204030204"/>
    <w:charset w:val="00"/>
    <w:family w:val="swiss"/>
    <w:pitch w:val="variable"/>
    <w:sig w:usb0="A0002AEF" w:usb1="4000207B" w:usb2="00000000" w:usb3="00000000" w:csb0="000001FF" w:csb1="00000000"/>
  </w:font>
  <w:font w:name="Shaker 2 Lancet Regular">
    <w:altName w:val="Shaker 2 Lancet Regular"/>
    <w:panose1 w:val="00000000000000000000"/>
    <w:charset w:val="00"/>
    <w:family w:val="swiss"/>
    <w:notTrueType/>
    <w:pitch w:val="default"/>
    <w:sig w:usb0="00000003" w:usb1="00000000" w:usb2="00000000" w:usb3="00000000" w:csb0="00000001"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145418"/>
      <w:docPartObj>
        <w:docPartGallery w:val="Page Numbers (Bottom of Page)"/>
        <w:docPartUnique/>
      </w:docPartObj>
    </w:sdtPr>
    <w:sdtEndPr>
      <w:rPr>
        <w:noProof/>
      </w:rPr>
    </w:sdtEndPr>
    <w:sdtContent>
      <w:p w14:paraId="3AA11674" w14:textId="752DFDB6" w:rsidR="00F6200E" w:rsidRDefault="00F6200E">
        <w:pPr>
          <w:pStyle w:val="Footer"/>
          <w:jc w:val="right"/>
        </w:pPr>
        <w:r w:rsidRPr="00BD0BFA">
          <w:rPr>
            <w:sz w:val="20"/>
            <w:szCs w:val="20"/>
          </w:rPr>
          <w:fldChar w:fldCharType="begin"/>
        </w:r>
        <w:r w:rsidRPr="00BD0BFA">
          <w:rPr>
            <w:sz w:val="20"/>
            <w:szCs w:val="20"/>
          </w:rPr>
          <w:instrText xml:space="preserve"> PAGE   \* MERGEFORMAT </w:instrText>
        </w:r>
        <w:r w:rsidRPr="00BD0BFA">
          <w:rPr>
            <w:sz w:val="20"/>
            <w:szCs w:val="20"/>
          </w:rPr>
          <w:fldChar w:fldCharType="separate"/>
        </w:r>
        <w:r w:rsidR="005A53D7">
          <w:rPr>
            <w:noProof/>
            <w:sz w:val="20"/>
            <w:szCs w:val="20"/>
          </w:rPr>
          <w:t>37</w:t>
        </w:r>
        <w:r w:rsidRPr="00BD0BFA">
          <w:rPr>
            <w:noProof/>
            <w:sz w:val="20"/>
            <w:szCs w:val="20"/>
          </w:rPr>
          <w:fldChar w:fldCharType="end"/>
        </w:r>
      </w:p>
    </w:sdtContent>
  </w:sdt>
  <w:p w14:paraId="20F79BDD" w14:textId="77777777" w:rsidR="00F6200E" w:rsidRDefault="00F6200E">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13D50F3" w14:textId="77777777" w:rsidR="00252262" w:rsidRDefault="00252262" w:rsidP="009C6A1B">
      <w:r>
        <w:separator/>
      </w:r>
    </w:p>
  </w:footnote>
  <w:footnote w:type="continuationSeparator" w:id="0">
    <w:p w14:paraId="7A680760" w14:textId="77777777" w:rsidR="00252262" w:rsidRDefault="00252262" w:rsidP="009C6A1B">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CEA0BF6"/>
    <w:multiLevelType w:val="multilevel"/>
    <w:tmpl w:val="0409001D"/>
    <w:numStyleLink w:val="Singlepunch"/>
  </w:abstractNum>
  <w:abstractNum w:abstractNumId="1" w15:restartNumberingAfterBreak="0">
    <w:nsid w:val="23B50FF6"/>
    <w:multiLevelType w:val="hybridMultilevel"/>
    <w:tmpl w:val="DF123224"/>
    <w:lvl w:ilvl="0" w:tplc="2C6468D2">
      <w:start w:val="15"/>
      <w:numFmt w:val="bullet"/>
      <w:lvlText w:val=""/>
      <w:lvlJc w:val="left"/>
      <w:pPr>
        <w:ind w:left="720" w:hanging="360"/>
      </w:pPr>
      <w:rPr>
        <w:rFonts w:ascii="Wingdings" w:eastAsia="Times New Roman" w:hAnsi="Wingdings" w:cs="Times New Roman" w:hint="default"/>
        <w:sz w:val="23"/>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30A8499E"/>
    <w:multiLevelType w:val="hybridMultilevel"/>
    <w:tmpl w:val="E7345946"/>
    <w:lvl w:ilvl="0" w:tplc="EBD033E2">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39D0239F"/>
    <w:multiLevelType w:val="hybridMultilevel"/>
    <w:tmpl w:val="BCDE3C14"/>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43C46D17"/>
    <w:multiLevelType w:val="hybridMultilevel"/>
    <w:tmpl w:val="2CA047B2"/>
    <w:lvl w:ilvl="0" w:tplc="38F80D64">
      <w:start w:val="1"/>
      <w:numFmt w:val="bullet"/>
      <w:lvlText w:val="-"/>
      <w:lvlJc w:val="left"/>
      <w:pPr>
        <w:ind w:left="720" w:hanging="360"/>
      </w:pPr>
      <w:rPr>
        <w:rFonts w:ascii="Calibri" w:eastAsiaTheme="minorHAnsi"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4A2778A6"/>
    <w:multiLevelType w:val="multilevel"/>
    <w:tmpl w:val="0409001D"/>
    <w:styleLink w:val="Singlepunch"/>
    <w:lvl w:ilvl="0">
      <w:start w:val="1"/>
      <w:numFmt w:val="bullet"/>
      <w:lvlText w:val="o"/>
      <w:lvlJc w:val="left"/>
      <w:pPr>
        <w:spacing w:before="120"/>
        <w:ind w:left="360"/>
      </w:pPr>
      <w:rPr>
        <w:rFonts w:ascii="Courier New" w:eastAsia="Courier New" w:hAnsi="Courier New" w:cs="Courier New"/>
        <w:color w:val="BFBFBF"/>
        <w:sz w:val="52"/>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6" w15:restartNumberingAfterBreak="0">
    <w:nsid w:val="75EC3DD8"/>
    <w:multiLevelType w:val="hybridMultilevel"/>
    <w:tmpl w:val="F4805F90"/>
    <w:lvl w:ilvl="0" w:tplc="3EE2E8AE">
      <w:start w:val="8"/>
      <w:numFmt w:val="bullet"/>
      <w:lvlText w:val="-"/>
      <w:lvlJc w:val="left"/>
      <w:pPr>
        <w:ind w:left="720" w:hanging="360"/>
      </w:pPr>
      <w:rPr>
        <w:rFonts w:ascii="Calibri" w:eastAsiaTheme="minorHAnsi" w:hAnsi="Calibri"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5"/>
  </w:num>
  <w:num w:numId="3">
    <w:abstractNumId w:val="0"/>
  </w:num>
  <w:num w:numId="4">
    <w:abstractNumId w:val="6"/>
  </w:num>
  <w:num w:numId="5">
    <w:abstractNumId w:val="2"/>
  </w:num>
  <w:num w:numId="6">
    <w:abstractNumId w:val="1"/>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4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A204D"/>
    <w:rsid w:val="0000017F"/>
    <w:rsid w:val="000004D5"/>
    <w:rsid w:val="00001753"/>
    <w:rsid w:val="00002DDB"/>
    <w:rsid w:val="00012846"/>
    <w:rsid w:val="00012CEC"/>
    <w:rsid w:val="0001645D"/>
    <w:rsid w:val="00017DBE"/>
    <w:rsid w:val="0002295A"/>
    <w:rsid w:val="000239B9"/>
    <w:rsid w:val="00025E1F"/>
    <w:rsid w:val="00032BDA"/>
    <w:rsid w:val="00034223"/>
    <w:rsid w:val="00034643"/>
    <w:rsid w:val="000436F3"/>
    <w:rsid w:val="0004641D"/>
    <w:rsid w:val="000508A9"/>
    <w:rsid w:val="00050D8C"/>
    <w:rsid w:val="0005166F"/>
    <w:rsid w:val="00053E9B"/>
    <w:rsid w:val="00054D5B"/>
    <w:rsid w:val="00060BC4"/>
    <w:rsid w:val="000611B7"/>
    <w:rsid w:val="000626B1"/>
    <w:rsid w:val="0006362F"/>
    <w:rsid w:val="00065BEB"/>
    <w:rsid w:val="000662A5"/>
    <w:rsid w:val="00070F38"/>
    <w:rsid w:val="000727B4"/>
    <w:rsid w:val="000728AD"/>
    <w:rsid w:val="0007375C"/>
    <w:rsid w:val="00073F5F"/>
    <w:rsid w:val="00074C72"/>
    <w:rsid w:val="0008004C"/>
    <w:rsid w:val="000810D3"/>
    <w:rsid w:val="0008120F"/>
    <w:rsid w:val="00081E69"/>
    <w:rsid w:val="00083108"/>
    <w:rsid w:val="00083BFB"/>
    <w:rsid w:val="00085165"/>
    <w:rsid w:val="0008660D"/>
    <w:rsid w:val="0008683C"/>
    <w:rsid w:val="00087DC4"/>
    <w:rsid w:val="00091BB8"/>
    <w:rsid w:val="00091F56"/>
    <w:rsid w:val="00093488"/>
    <w:rsid w:val="00093E0A"/>
    <w:rsid w:val="00094133"/>
    <w:rsid w:val="00095844"/>
    <w:rsid w:val="000958C8"/>
    <w:rsid w:val="000A2BA9"/>
    <w:rsid w:val="000A3AA2"/>
    <w:rsid w:val="000A57F2"/>
    <w:rsid w:val="000B23DB"/>
    <w:rsid w:val="000B374A"/>
    <w:rsid w:val="000C0CEF"/>
    <w:rsid w:val="000C1B89"/>
    <w:rsid w:val="000C2BAC"/>
    <w:rsid w:val="000C42C0"/>
    <w:rsid w:val="000C4363"/>
    <w:rsid w:val="000C78E1"/>
    <w:rsid w:val="000D2DAD"/>
    <w:rsid w:val="000D76DF"/>
    <w:rsid w:val="000E0A6B"/>
    <w:rsid w:val="000E1E81"/>
    <w:rsid w:val="000F1902"/>
    <w:rsid w:val="000F20CF"/>
    <w:rsid w:val="000F295E"/>
    <w:rsid w:val="000F33FE"/>
    <w:rsid w:val="000F50FA"/>
    <w:rsid w:val="000F68A7"/>
    <w:rsid w:val="000F6CE3"/>
    <w:rsid w:val="0010053A"/>
    <w:rsid w:val="0010136A"/>
    <w:rsid w:val="00102226"/>
    <w:rsid w:val="00103D90"/>
    <w:rsid w:val="00104207"/>
    <w:rsid w:val="00105807"/>
    <w:rsid w:val="00105C90"/>
    <w:rsid w:val="00105E57"/>
    <w:rsid w:val="00106505"/>
    <w:rsid w:val="00111E5E"/>
    <w:rsid w:val="0011671A"/>
    <w:rsid w:val="00120DA4"/>
    <w:rsid w:val="00120FCB"/>
    <w:rsid w:val="00123161"/>
    <w:rsid w:val="00123F0C"/>
    <w:rsid w:val="00125F45"/>
    <w:rsid w:val="00130DE9"/>
    <w:rsid w:val="0013114E"/>
    <w:rsid w:val="00132248"/>
    <w:rsid w:val="00132AAD"/>
    <w:rsid w:val="00134304"/>
    <w:rsid w:val="001376B7"/>
    <w:rsid w:val="00140610"/>
    <w:rsid w:val="001447B2"/>
    <w:rsid w:val="00147D20"/>
    <w:rsid w:val="001520F5"/>
    <w:rsid w:val="001569CF"/>
    <w:rsid w:val="00157073"/>
    <w:rsid w:val="00162F61"/>
    <w:rsid w:val="00165515"/>
    <w:rsid w:val="00166CDE"/>
    <w:rsid w:val="00167141"/>
    <w:rsid w:val="00170054"/>
    <w:rsid w:val="001711C6"/>
    <w:rsid w:val="0017396C"/>
    <w:rsid w:val="00175896"/>
    <w:rsid w:val="00177814"/>
    <w:rsid w:val="00177B97"/>
    <w:rsid w:val="00181E78"/>
    <w:rsid w:val="0019083A"/>
    <w:rsid w:val="001921E9"/>
    <w:rsid w:val="00194A77"/>
    <w:rsid w:val="00195A82"/>
    <w:rsid w:val="0019732D"/>
    <w:rsid w:val="001973DA"/>
    <w:rsid w:val="001A095D"/>
    <w:rsid w:val="001A2D53"/>
    <w:rsid w:val="001B07B3"/>
    <w:rsid w:val="001B2EE7"/>
    <w:rsid w:val="001B6468"/>
    <w:rsid w:val="001B6BA5"/>
    <w:rsid w:val="001C0460"/>
    <w:rsid w:val="001C3CC4"/>
    <w:rsid w:val="001C4C4A"/>
    <w:rsid w:val="001D21BD"/>
    <w:rsid w:val="001D33B2"/>
    <w:rsid w:val="001D6187"/>
    <w:rsid w:val="001E50C2"/>
    <w:rsid w:val="001E717A"/>
    <w:rsid w:val="001F0443"/>
    <w:rsid w:val="001F20FB"/>
    <w:rsid w:val="001F3F10"/>
    <w:rsid w:val="001F7B93"/>
    <w:rsid w:val="00202909"/>
    <w:rsid w:val="00204A4B"/>
    <w:rsid w:val="00207320"/>
    <w:rsid w:val="002111B8"/>
    <w:rsid w:val="002139D0"/>
    <w:rsid w:val="00213CB1"/>
    <w:rsid w:val="00215823"/>
    <w:rsid w:val="00216716"/>
    <w:rsid w:val="002201C2"/>
    <w:rsid w:val="00221018"/>
    <w:rsid w:val="00221640"/>
    <w:rsid w:val="00221D5D"/>
    <w:rsid w:val="00225101"/>
    <w:rsid w:val="0022642E"/>
    <w:rsid w:val="002322E9"/>
    <w:rsid w:val="00232E6E"/>
    <w:rsid w:val="00233C58"/>
    <w:rsid w:val="0023420B"/>
    <w:rsid w:val="0024025D"/>
    <w:rsid w:val="00242D46"/>
    <w:rsid w:val="00252262"/>
    <w:rsid w:val="0025365C"/>
    <w:rsid w:val="00254BD2"/>
    <w:rsid w:val="00255A9E"/>
    <w:rsid w:val="00262896"/>
    <w:rsid w:val="002637B0"/>
    <w:rsid w:val="00264282"/>
    <w:rsid w:val="00265199"/>
    <w:rsid w:val="00270EEA"/>
    <w:rsid w:val="00277693"/>
    <w:rsid w:val="00280695"/>
    <w:rsid w:val="00280B69"/>
    <w:rsid w:val="00281949"/>
    <w:rsid w:val="00281BB3"/>
    <w:rsid w:val="002821D5"/>
    <w:rsid w:val="00282207"/>
    <w:rsid w:val="00283F4C"/>
    <w:rsid w:val="002842C8"/>
    <w:rsid w:val="00284C28"/>
    <w:rsid w:val="00290A68"/>
    <w:rsid w:val="00294751"/>
    <w:rsid w:val="00295CBD"/>
    <w:rsid w:val="00297E5E"/>
    <w:rsid w:val="002A09E9"/>
    <w:rsid w:val="002A1F2D"/>
    <w:rsid w:val="002A3013"/>
    <w:rsid w:val="002A70B9"/>
    <w:rsid w:val="002A7771"/>
    <w:rsid w:val="002A7AFD"/>
    <w:rsid w:val="002B00FD"/>
    <w:rsid w:val="002B2385"/>
    <w:rsid w:val="002B2A38"/>
    <w:rsid w:val="002B4CB6"/>
    <w:rsid w:val="002B6ED6"/>
    <w:rsid w:val="002C2B0F"/>
    <w:rsid w:val="002C6349"/>
    <w:rsid w:val="002D05B6"/>
    <w:rsid w:val="002D152C"/>
    <w:rsid w:val="002D301E"/>
    <w:rsid w:val="002D6C24"/>
    <w:rsid w:val="002D7EC2"/>
    <w:rsid w:val="002E110F"/>
    <w:rsid w:val="002F3872"/>
    <w:rsid w:val="00305A0C"/>
    <w:rsid w:val="0030621E"/>
    <w:rsid w:val="0031282A"/>
    <w:rsid w:val="00312ADF"/>
    <w:rsid w:val="00321337"/>
    <w:rsid w:val="00322BD8"/>
    <w:rsid w:val="00323D58"/>
    <w:rsid w:val="00326BD8"/>
    <w:rsid w:val="0033122C"/>
    <w:rsid w:val="00333ED4"/>
    <w:rsid w:val="003466B2"/>
    <w:rsid w:val="00352603"/>
    <w:rsid w:val="00353957"/>
    <w:rsid w:val="0035502B"/>
    <w:rsid w:val="0035590E"/>
    <w:rsid w:val="00355A9E"/>
    <w:rsid w:val="003569AC"/>
    <w:rsid w:val="00362A36"/>
    <w:rsid w:val="00366513"/>
    <w:rsid w:val="00366960"/>
    <w:rsid w:val="003743BA"/>
    <w:rsid w:val="00381173"/>
    <w:rsid w:val="00382503"/>
    <w:rsid w:val="00383D1F"/>
    <w:rsid w:val="00386966"/>
    <w:rsid w:val="0038753C"/>
    <w:rsid w:val="00387638"/>
    <w:rsid w:val="003909EA"/>
    <w:rsid w:val="00393D4B"/>
    <w:rsid w:val="00396B9A"/>
    <w:rsid w:val="003A1189"/>
    <w:rsid w:val="003A36B8"/>
    <w:rsid w:val="003A3C7D"/>
    <w:rsid w:val="003A3E64"/>
    <w:rsid w:val="003A5B66"/>
    <w:rsid w:val="003A76C9"/>
    <w:rsid w:val="003B1DFD"/>
    <w:rsid w:val="003B22F6"/>
    <w:rsid w:val="003B24CE"/>
    <w:rsid w:val="003B652B"/>
    <w:rsid w:val="003C4CFC"/>
    <w:rsid w:val="003C4EB5"/>
    <w:rsid w:val="003C62CA"/>
    <w:rsid w:val="003C6DDB"/>
    <w:rsid w:val="003C75A5"/>
    <w:rsid w:val="003D3EAA"/>
    <w:rsid w:val="003D5766"/>
    <w:rsid w:val="003D6309"/>
    <w:rsid w:val="003D64C6"/>
    <w:rsid w:val="003D6B28"/>
    <w:rsid w:val="003E0350"/>
    <w:rsid w:val="003E0FF6"/>
    <w:rsid w:val="003E2DB6"/>
    <w:rsid w:val="003E35D4"/>
    <w:rsid w:val="003E378C"/>
    <w:rsid w:val="003E61CE"/>
    <w:rsid w:val="003F1F9E"/>
    <w:rsid w:val="003F21E1"/>
    <w:rsid w:val="003F24B5"/>
    <w:rsid w:val="003F418F"/>
    <w:rsid w:val="003F4757"/>
    <w:rsid w:val="003F4C5D"/>
    <w:rsid w:val="003F5ADB"/>
    <w:rsid w:val="004011B4"/>
    <w:rsid w:val="00401471"/>
    <w:rsid w:val="004028B2"/>
    <w:rsid w:val="004054F1"/>
    <w:rsid w:val="00406968"/>
    <w:rsid w:val="00410EA6"/>
    <w:rsid w:val="004168DF"/>
    <w:rsid w:val="0041743B"/>
    <w:rsid w:val="004202D6"/>
    <w:rsid w:val="004203C4"/>
    <w:rsid w:val="004216A9"/>
    <w:rsid w:val="00424282"/>
    <w:rsid w:val="00424D63"/>
    <w:rsid w:val="00425AFD"/>
    <w:rsid w:val="00425B82"/>
    <w:rsid w:val="004261F9"/>
    <w:rsid w:val="00433384"/>
    <w:rsid w:val="00435D3F"/>
    <w:rsid w:val="00435DFE"/>
    <w:rsid w:val="00436F38"/>
    <w:rsid w:val="004420E4"/>
    <w:rsid w:val="0044543F"/>
    <w:rsid w:val="00445D98"/>
    <w:rsid w:val="00461396"/>
    <w:rsid w:val="00462772"/>
    <w:rsid w:val="00462E8C"/>
    <w:rsid w:val="004729A9"/>
    <w:rsid w:val="0047339D"/>
    <w:rsid w:val="00474C11"/>
    <w:rsid w:val="004756A1"/>
    <w:rsid w:val="004766F4"/>
    <w:rsid w:val="00482A5D"/>
    <w:rsid w:val="0048358B"/>
    <w:rsid w:val="004840CF"/>
    <w:rsid w:val="00485269"/>
    <w:rsid w:val="004A0ADE"/>
    <w:rsid w:val="004A2920"/>
    <w:rsid w:val="004A5C3A"/>
    <w:rsid w:val="004A7C5C"/>
    <w:rsid w:val="004B1CCD"/>
    <w:rsid w:val="004B248E"/>
    <w:rsid w:val="004B5DE0"/>
    <w:rsid w:val="004B6254"/>
    <w:rsid w:val="004C0B89"/>
    <w:rsid w:val="004C56D9"/>
    <w:rsid w:val="004D3A36"/>
    <w:rsid w:val="004D4A22"/>
    <w:rsid w:val="004D4A7C"/>
    <w:rsid w:val="004E10B3"/>
    <w:rsid w:val="004E1B46"/>
    <w:rsid w:val="004E26B5"/>
    <w:rsid w:val="004E281B"/>
    <w:rsid w:val="004E3E56"/>
    <w:rsid w:val="004E4403"/>
    <w:rsid w:val="004E4895"/>
    <w:rsid w:val="004F16C1"/>
    <w:rsid w:val="004F7F85"/>
    <w:rsid w:val="005001FC"/>
    <w:rsid w:val="00501438"/>
    <w:rsid w:val="00502682"/>
    <w:rsid w:val="005069DC"/>
    <w:rsid w:val="00510050"/>
    <w:rsid w:val="005101C5"/>
    <w:rsid w:val="005123AC"/>
    <w:rsid w:val="00520A7D"/>
    <w:rsid w:val="00520B8D"/>
    <w:rsid w:val="005244E7"/>
    <w:rsid w:val="00530265"/>
    <w:rsid w:val="0053258E"/>
    <w:rsid w:val="00532C3A"/>
    <w:rsid w:val="005335B7"/>
    <w:rsid w:val="005438D4"/>
    <w:rsid w:val="005455B7"/>
    <w:rsid w:val="00546965"/>
    <w:rsid w:val="00547938"/>
    <w:rsid w:val="00550C6F"/>
    <w:rsid w:val="005525D5"/>
    <w:rsid w:val="005537FD"/>
    <w:rsid w:val="00553DDD"/>
    <w:rsid w:val="0055549F"/>
    <w:rsid w:val="00556922"/>
    <w:rsid w:val="00560E78"/>
    <w:rsid w:val="00562D26"/>
    <w:rsid w:val="00563D4A"/>
    <w:rsid w:val="005672F5"/>
    <w:rsid w:val="0056795B"/>
    <w:rsid w:val="00567F43"/>
    <w:rsid w:val="00571FD2"/>
    <w:rsid w:val="0057226F"/>
    <w:rsid w:val="00575AC2"/>
    <w:rsid w:val="00576C20"/>
    <w:rsid w:val="005772E2"/>
    <w:rsid w:val="00581FED"/>
    <w:rsid w:val="005823EF"/>
    <w:rsid w:val="00584E36"/>
    <w:rsid w:val="0058693D"/>
    <w:rsid w:val="005900C0"/>
    <w:rsid w:val="00591756"/>
    <w:rsid w:val="005937D7"/>
    <w:rsid w:val="005941D7"/>
    <w:rsid w:val="00595333"/>
    <w:rsid w:val="00595D7B"/>
    <w:rsid w:val="005A0F29"/>
    <w:rsid w:val="005A2121"/>
    <w:rsid w:val="005A2602"/>
    <w:rsid w:val="005A30C9"/>
    <w:rsid w:val="005A53D7"/>
    <w:rsid w:val="005B0352"/>
    <w:rsid w:val="005B0C22"/>
    <w:rsid w:val="005B160F"/>
    <w:rsid w:val="005B383C"/>
    <w:rsid w:val="005B399E"/>
    <w:rsid w:val="005B64E7"/>
    <w:rsid w:val="005C26A8"/>
    <w:rsid w:val="005C29C0"/>
    <w:rsid w:val="005C2D78"/>
    <w:rsid w:val="005C3803"/>
    <w:rsid w:val="005C4C3B"/>
    <w:rsid w:val="005C5EA2"/>
    <w:rsid w:val="005C6644"/>
    <w:rsid w:val="005C6D9F"/>
    <w:rsid w:val="005C702A"/>
    <w:rsid w:val="005D2244"/>
    <w:rsid w:val="005D2290"/>
    <w:rsid w:val="005D23E0"/>
    <w:rsid w:val="005D7290"/>
    <w:rsid w:val="005E0115"/>
    <w:rsid w:val="005E128C"/>
    <w:rsid w:val="005E3362"/>
    <w:rsid w:val="005E3D74"/>
    <w:rsid w:val="005E522A"/>
    <w:rsid w:val="005E5844"/>
    <w:rsid w:val="005E6C49"/>
    <w:rsid w:val="005F04BF"/>
    <w:rsid w:val="005F3CC7"/>
    <w:rsid w:val="005F5006"/>
    <w:rsid w:val="005F6D8C"/>
    <w:rsid w:val="00600881"/>
    <w:rsid w:val="006025CE"/>
    <w:rsid w:val="0060275C"/>
    <w:rsid w:val="0060328E"/>
    <w:rsid w:val="0060495C"/>
    <w:rsid w:val="00605C32"/>
    <w:rsid w:val="006150C4"/>
    <w:rsid w:val="00615DDC"/>
    <w:rsid w:val="00616C10"/>
    <w:rsid w:val="00616E3F"/>
    <w:rsid w:val="0061738D"/>
    <w:rsid w:val="00624AAA"/>
    <w:rsid w:val="00633413"/>
    <w:rsid w:val="006350ED"/>
    <w:rsid w:val="00637D15"/>
    <w:rsid w:val="006401C7"/>
    <w:rsid w:val="006402E4"/>
    <w:rsid w:val="00641DB5"/>
    <w:rsid w:val="00643541"/>
    <w:rsid w:val="006435D1"/>
    <w:rsid w:val="006514A7"/>
    <w:rsid w:val="006545D4"/>
    <w:rsid w:val="00654C8D"/>
    <w:rsid w:val="0065516F"/>
    <w:rsid w:val="0065652E"/>
    <w:rsid w:val="00663066"/>
    <w:rsid w:val="0066373C"/>
    <w:rsid w:val="006641CA"/>
    <w:rsid w:val="00671821"/>
    <w:rsid w:val="00671871"/>
    <w:rsid w:val="00680340"/>
    <w:rsid w:val="006806B6"/>
    <w:rsid w:val="00680B68"/>
    <w:rsid w:val="0068104D"/>
    <w:rsid w:val="00683DEA"/>
    <w:rsid w:val="006840FF"/>
    <w:rsid w:val="00684C6E"/>
    <w:rsid w:val="006863C4"/>
    <w:rsid w:val="0068676D"/>
    <w:rsid w:val="0068735F"/>
    <w:rsid w:val="00687568"/>
    <w:rsid w:val="0069153D"/>
    <w:rsid w:val="00692F3C"/>
    <w:rsid w:val="00695E1C"/>
    <w:rsid w:val="006A1DDE"/>
    <w:rsid w:val="006A31EE"/>
    <w:rsid w:val="006A39D2"/>
    <w:rsid w:val="006A58EE"/>
    <w:rsid w:val="006A6D17"/>
    <w:rsid w:val="006B07E9"/>
    <w:rsid w:val="006B133F"/>
    <w:rsid w:val="006B1D21"/>
    <w:rsid w:val="006B40C0"/>
    <w:rsid w:val="006C2985"/>
    <w:rsid w:val="006C3CE4"/>
    <w:rsid w:val="006C49BE"/>
    <w:rsid w:val="006C7A66"/>
    <w:rsid w:val="006D2DF4"/>
    <w:rsid w:val="006D326A"/>
    <w:rsid w:val="006D600C"/>
    <w:rsid w:val="006E3302"/>
    <w:rsid w:val="006E4459"/>
    <w:rsid w:val="006F23E6"/>
    <w:rsid w:val="006F33EF"/>
    <w:rsid w:val="00701994"/>
    <w:rsid w:val="00703C20"/>
    <w:rsid w:val="00713E34"/>
    <w:rsid w:val="00713FA3"/>
    <w:rsid w:val="007144EC"/>
    <w:rsid w:val="00714A26"/>
    <w:rsid w:val="00714B83"/>
    <w:rsid w:val="007152DA"/>
    <w:rsid w:val="00717E2B"/>
    <w:rsid w:val="00722427"/>
    <w:rsid w:val="00723AA8"/>
    <w:rsid w:val="00725F10"/>
    <w:rsid w:val="0072624B"/>
    <w:rsid w:val="0073147F"/>
    <w:rsid w:val="00731A0F"/>
    <w:rsid w:val="00732287"/>
    <w:rsid w:val="0073271C"/>
    <w:rsid w:val="00732B50"/>
    <w:rsid w:val="0073342E"/>
    <w:rsid w:val="007356F6"/>
    <w:rsid w:val="007373AF"/>
    <w:rsid w:val="00744727"/>
    <w:rsid w:val="00745519"/>
    <w:rsid w:val="007507F6"/>
    <w:rsid w:val="007530D9"/>
    <w:rsid w:val="00753BE1"/>
    <w:rsid w:val="00754194"/>
    <w:rsid w:val="00760EAB"/>
    <w:rsid w:val="00761622"/>
    <w:rsid w:val="007633D4"/>
    <w:rsid w:val="007673D6"/>
    <w:rsid w:val="007714A3"/>
    <w:rsid w:val="00771D45"/>
    <w:rsid w:val="00774E69"/>
    <w:rsid w:val="00775368"/>
    <w:rsid w:val="00776D19"/>
    <w:rsid w:val="00781058"/>
    <w:rsid w:val="00781D78"/>
    <w:rsid w:val="00785835"/>
    <w:rsid w:val="00786ADA"/>
    <w:rsid w:val="00786E06"/>
    <w:rsid w:val="00790853"/>
    <w:rsid w:val="00790883"/>
    <w:rsid w:val="007916BE"/>
    <w:rsid w:val="00794912"/>
    <w:rsid w:val="00797714"/>
    <w:rsid w:val="00797BFD"/>
    <w:rsid w:val="007A01F9"/>
    <w:rsid w:val="007A16CF"/>
    <w:rsid w:val="007A7B37"/>
    <w:rsid w:val="007B112C"/>
    <w:rsid w:val="007B2085"/>
    <w:rsid w:val="007B25D9"/>
    <w:rsid w:val="007B30BA"/>
    <w:rsid w:val="007B3514"/>
    <w:rsid w:val="007B3D7F"/>
    <w:rsid w:val="007B53BD"/>
    <w:rsid w:val="007B641B"/>
    <w:rsid w:val="007B7787"/>
    <w:rsid w:val="007C1C81"/>
    <w:rsid w:val="007C204A"/>
    <w:rsid w:val="007C3BBA"/>
    <w:rsid w:val="007D05DA"/>
    <w:rsid w:val="007D3339"/>
    <w:rsid w:val="007D7A9B"/>
    <w:rsid w:val="007E138F"/>
    <w:rsid w:val="007E1B30"/>
    <w:rsid w:val="007E1E12"/>
    <w:rsid w:val="007E2086"/>
    <w:rsid w:val="007E3AC1"/>
    <w:rsid w:val="007E4C91"/>
    <w:rsid w:val="007E4CFB"/>
    <w:rsid w:val="007F3697"/>
    <w:rsid w:val="007F78A7"/>
    <w:rsid w:val="00801CA7"/>
    <w:rsid w:val="00801DD2"/>
    <w:rsid w:val="00805877"/>
    <w:rsid w:val="00805D09"/>
    <w:rsid w:val="008071E1"/>
    <w:rsid w:val="00810594"/>
    <w:rsid w:val="00810A9F"/>
    <w:rsid w:val="00812405"/>
    <w:rsid w:val="008128DD"/>
    <w:rsid w:val="00812A22"/>
    <w:rsid w:val="008140A1"/>
    <w:rsid w:val="00815DCF"/>
    <w:rsid w:val="00817686"/>
    <w:rsid w:val="00820003"/>
    <w:rsid w:val="008200BD"/>
    <w:rsid w:val="008203A1"/>
    <w:rsid w:val="00822B88"/>
    <w:rsid w:val="00823EFF"/>
    <w:rsid w:val="00825257"/>
    <w:rsid w:val="008258BD"/>
    <w:rsid w:val="00833E6A"/>
    <w:rsid w:val="008358B0"/>
    <w:rsid w:val="0083591F"/>
    <w:rsid w:val="00835BB5"/>
    <w:rsid w:val="0083604A"/>
    <w:rsid w:val="00836451"/>
    <w:rsid w:val="00842151"/>
    <w:rsid w:val="008448AB"/>
    <w:rsid w:val="0084716E"/>
    <w:rsid w:val="00856A43"/>
    <w:rsid w:val="00856C40"/>
    <w:rsid w:val="00862987"/>
    <w:rsid w:val="0086386F"/>
    <w:rsid w:val="00864870"/>
    <w:rsid w:val="00866847"/>
    <w:rsid w:val="0087125B"/>
    <w:rsid w:val="008717D1"/>
    <w:rsid w:val="0087192C"/>
    <w:rsid w:val="00873F82"/>
    <w:rsid w:val="00874CBB"/>
    <w:rsid w:val="00875BEC"/>
    <w:rsid w:val="00875CD1"/>
    <w:rsid w:val="0087739B"/>
    <w:rsid w:val="008776A6"/>
    <w:rsid w:val="0088096F"/>
    <w:rsid w:val="008839F3"/>
    <w:rsid w:val="00885913"/>
    <w:rsid w:val="0088710D"/>
    <w:rsid w:val="00891CDE"/>
    <w:rsid w:val="00892F05"/>
    <w:rsid w:val="00896116"/>
    <w:rsid w:val="008A0F28"/>
    <w:rsid w:val="008A1349"/>
    <w:rsid w:val="008A38EF"/>
    <w:rsid w:val="008A5180"/>
    <w:rsid w:val="008A603B"/>
    <w:rsid w:val="008B20C3"/>
    <w:rsid w:val="008B2729"/>
    <w:rsid w:val="008B3D13"/>
    <w:rsid w:val="008B5134"/>
    <w:rsid w:val="008B6EAE"/>
    <w:rsid w:val="008B738F"/>
    <w:rsid w:val="008C214D"/>
    <w:rsid w:val="008C743B"/>
    <w:rsid w:val="008D3A93"/>
    <w:rsid w:val="008D6835"/>
    <w:rsid w:val="008D6947"/>
    <w:rsid w:val="008D697A"/>
    <w:rsid w:val="008D702A"/>
    <w:rsid w:val="008E069F"/>
    <w:rsid w:val="008E1656"/>
    <w:rsid w:val="008E3B1D"/>
    <w:rsid w:val="008E4D43"/>
    <w:rsid w:val="008E5F2A"/>
    <w:rsid w:val="008E6735"/>
    <w:rsid w:val="008F070D"/>
    <w:rsid w:val="008F5EB4"/>
    <w:rsid w:val="008F6046"/>
    <w:rsid w:val="008F6283"/>
    <w:rsid w:val="008F6DB6"/>
    <w:rsid w:val="008F7A8D"/>
    <w:rsid w:val="009006EF"/>
    <w:rsid w:val="00900A65"/>
    <w:rsid w:val="00900C6F"/>
    <w:rsid w:val="00901F33"/>
    <w:rsid w:val="009029FB"/>
    <w:rsid w:val="009049F5"/>
    <w:rsid w:val="00906FA9"/>
    <w:rsid w:val="00910DED"/>
    <w:rsid w:val="00913645"/>
    <w:rsid w:val="00920BE3"/>
    <w:rsid w:val="009218C8"/>
    <w:rsid w:val="009228BB"/>
    <w:rsid w:val="00923268"/>
    <w:rsid w:val="00923681"/>
    <w:rsid w:val="00924D1D"/>
    <w:rsid w:val="00925D4A"/>
    <w:rsid w:val="009278F1"/>
    <w:rsid w:val="00930CD2"/>
    <w:rsid w:val="009406DE"/>
    <w:rsid w:val="00941727"/>
    <w:rsid w:val="0094184A"/>
    <w:rsid w:val="009424EA"/>
    <w:rsid w:val="00943CE7"/>
    <w:rsid w:val="00951130"/>
    <w:rsid w:val="00951779"/>
    <w:rsid w:val="00952B57"/>
    <w:rsid w:val="00955203"/>
    <w:rsid w:val="00956561"/>
    <w:rsid w:val="00956E85"/>
    <w:rsid w:val="00961566"/>
    <w:rsid w:val="0096427A"/>
    <w:rsid w:val="00966592"/>
    <w:rsid w:val="00966776"/>
    <w:rsid w:val="00970915"/>
    <w:rsid w:val="00973557"/>
    <w:rsid w:val="00973C37"/>
    <w:rsid w:val="00974A5E"/>
    <w:rsid w:val="00975619"/>
    <w:rsid w:val="0097666E"/>
    <w:rsid w:val="00977BFC"/>
    <w:rsid w:val="00981C6B"/>
    <w:rsid w:val="00984291"/>
    <w:rsid w:val="009852EF"/>
    <w:rsid w:val="00993911"/>
    <w:rsid w:val="0099445D"/>
    <w:rsid w:val="00995F41"/>
    <w:rsid w:val="00997B9A"/>
    <w:rsid w:val="009A204D"/>
    <w:rsid w:val="009A2168"/>
    <w:rsid w:val="009A38F7"/>
    <w:rsid w:val="009A3EB0"/>
    <w:rsid w:val="009A7389"/>
    <w:rsid w:val="009B1B8F"/>
    <w:rsid w:val="009B1E10"/>
    <w:rsid w:val="009B64DE"/>
    <w:rsid w:val="009C0AB2"/>
    <w:rsid w:val="009C0D99"/>
    <w:rsid w:val="009C15F8"/>
    <w:rsid w:val="009C2AD1"/>
    <w:rsid w:val="009C2D94"/>
    <w:rsid w:val="009C3CB6"/>
    <w:rsid w:val="009C47E3"/>
    <w:rsid w:val="009C4DE3"/>
    <w:rsid w:val="009C5887"/>
    <w:rsid w:val="009C5CFC"/>
    <w:rsid w:val="009C6A1B"/>
    <w:rsid w:val="009C6F10"/>
    <w:rsid w:val="009D2636"/>
    <w:rsid w:val="009D48C5"/>
    <w:rsid w:val="009D4A00"/>
    <w:rsid w:val="009D5E31"/>
    <w:rsid w:val="009E083E"/>
    <w:rsid w:val="009E27B5"/>
    <w:rsid w:val="009E40CB"/>
    <w:rsid w:val="009E4B02"/>
    <w:rsid w:val="009F391D"/>
    <w:rsid w:val="009F3F5A"/>
    <w:rsid w:val="009F5A28"/>
    <w:rsid w:val="009F6AFA"/>
    <w:rsid w:val="00A02BBA"/>
    <w:rsid w:val="00A04ED0"/>
    <w:rsid w:val="00A06219"/>
    <w:rsid w:val="00A07FF0"/>
    <w:rsid w:val="00A115D5"/>
    <w:rsid w:val="00A12EFC"/>
    <w:rsid w:val="00A12F02"/>
    <w:rsid w:val="00A1319B"/>
    <w:rsid w:val="00A13B09"/>
    <w:rsid w:val="00A179B0"/>
    <w:rsid w:val="00A20044"/>
    <w:rsid w:val="00A21A1F"/>
    <w:rsid w:val="00A226F0"/>
    <w:rsid w:val="00A22862"/>
    <w:rsid w:val="00A22AB2"/>
    <w:rsid w:val="00A23A50"/>
    <w:rsid w:val="00A3039F"/>
    <w:rsid w:val="00A34E2A"/>
    <w:rsid w:val="00A35068"/>
    <w:rsid w:val="00A352F9"/>
    <w:rsid w:val="00A35975"/>
    <w:rsid w:val="00A364DB"/>
    <w:rsid w:val="00A37DEE"/>
    <w:rsid w:val="00A37E01"/>
    <w:rsid w:val="00A41BC9"/>
    <w:rsid w:val="00A41F64"/>
    <w:rsid w:val="00A46B3D"/>
    <w:rsid w:val="00A53A7B"/>
    <w:rsid w:val="00A5419B"/>
    <w:rsid w:val="00A54573"/>
    <w:rsid w:val="00A5513C"/>
    <w:rsid w:val="00A5552A"/>
    <w:rsid w:val="00A5683F"/>
    <w:rsid w:val="00A57699"/>
    <w:rsid w:val="00A601E2"/>
    <w:rsid w:val="00A603CA"/>
    <w:rsid w:val="00A616EC"/>
    <w:rsid w:val="00A64F1E"/>
    <w:rsid w:val="00A65EA6"/>
    <w:rsid w:val="00A66073"/>
    <w:rsid w:val="00A67C34"/>
    <w:rsid w:val="00A7658E"/>
    <w:rsid w:val="00A76F82"/>
    <w:rsid w:val="00A80B60"/>
    <w:rsid w:val="00A81F60"/>
    <w:rsid w:val="00A8323B"/>
    <w:rsid w:val="00A84A18"/>
    <w:rsid w:val="00A84EEC"/>
    <w:rsid w:val="00A861A4"/>
    <w:rsid w:val="00A86867"/>
    <w:rsid w:val="00A8783F"/>
    <w:rsid w:val="00A901D6"/>
    <w:rsid w:val="00A92F8F"/>
    <w:rsid w:val="00A93D74"/>
    <w:rsid w:val="00A94860"/>
    <w:rsid w:val="00A94EA0"/>
    <w:rsid w:val="00A956EA"/>
    <w:rsid w:val="00A95C83"/>
    <w:rsid w:val="00A97FA2"/>
    <w:rsid w:val="00AA0017"/>
    <w:rsid w:val="00AA1AA1"/>
    <w:rsid w:val="00AA3CB8"/>
    <w:rsid w:val="00AA4155"/>
    <w:rsid w:val="00AA7487"/>
    <w:rsid w:val="00AB00FC"/>
    <w:rsid w:val="00AB19E1"/>
    <w:rsid w:val="00AB235F"/>
    <w:rsid w:val="00AB3226"/>
    <w:rsid w:val="00AB6E64"/>
    <w:rsid w:val="00AC0214"/>
    <w:rsid w:val="00AC0433"/>
    <w:rsid w:val="00AC0881"/>
    <w:rsid w:val="00AC75F4"/>
    <w:rsid w:val="00AC78E2"/>
    <w:rsid w:val="00AD0227"/>
    <w:rsid w:val="00AD2EF1"/>
    <w:rsid w:val="00AD3798"/>
    <w:rsid w:val="00AD6925"/>
    <w:rsid w:val="00AE4142"/>
    <w:rsid w:val="00AE6EEE"/>
    <w:rsid w:val="00AF14A6"/>
    <w:rsid w:val="00AF2CAC"/>
    <w:rsid w:val="00AF33DF"/>
    <w:rsid w:val="00AF360B"/>
    <w:rsid w:val="00AF3E02"/>
    <w:rsid w:val="00AF4052"/>
    <w:rsid w:val="00B002A3"/>
    <w:rsid w:val="00B00597"/>
    <w:rsid w:val="00B01F41"/>
    <w:rsid w:val="00B02D08"/>
    <w:rsid w:val="00B02F12"/>
    <w:rsid w:val="00B05509"/>
    <w:rsid w:val="00B05DB0"/>
    <w:rsid w:val="00B10EA2"/>
    <w:rsid w:val="00B11982"/>
    <w:rsid w:val="00B129F9"/>
    <w:rsid w:val="00B15C17"/>
    <w:rsid w:val="00B15F1F"/>
    <w:rsid w:val="00B17C2F"/>
    <w:rsid w:val="00B200A2"/>
    <w:rsid w:val="00B203B9"/>
    <w:rsid w:val="00B203E4"/>
    <w:rsid w:val="00B219E0"/>
    <w:rsid w:val="00B262D9"/>
    <w:rsid w:val="00B27523"/>
    <w:rsid w:val="00B32E16"/>
    <w:rsid w:val="00B34A65"/>
    <w:rsid w:val="00B3721A"/>
    <w:rsid w:val="00B3737B"/>
    <w:rsid w:val="00B412AA"/>
    <w:rsid w:val="00B44747"/>
    <w:rsid w:val="00B5214C"/>
    <w:rsid w:val="00B5312D"/>
    <w:rsid w:val="00B55220"/>
    <w:rsid w:val="00B63927"/>
    <w:rsid w:val="00B72C16"/>
    <w:rsid w:val="00B802FA"/>
    <w:rsid w:val="00B812C3"/>
    <w:rsid w:val="00B81FCB"/>
    <w:rsid w:val="00B83114"/>
    <w:rsid w:val="00B84A0A"/>
    <w:rsid w:val="00B91BAB"/>
    <w:rsid w:val="00B93540"/>
    <w:rsid w:val="00B95310"/>
    <w:rsid w:val="00B97BB5"/>
    <w:rsid w:val="00BA0A50"/>
    <w:rsid w:val="00BA0F97"/>
    <w:rsid w:val="00BA247D"/>
    <w:rsid w:val="00BA502A"/>
    <w:rsid w:val="00BA52E5"/>
    <w:rsid w:val="00BA55AF"/>
    <w:rsid w:val="00BA7D21"/>
    <w:rsid w:val="00BB08AB"/>
    <w:rsid w:val="00BB51C5"/>
    <w:rsid w:val="00BB57D4"/>
    <w:rsid w:val="00BC02CB"/>
    <w:rsid w:val="00BC3581"/>
    <w:rsid w:val="00BC431E"/>
    <w:rsid w:val="00BC7D49"/>
    <w:rsid w:val="00BD0BFA"/>
    <w:rsid w:val="00BD108F"/>
    <w:rsid w:val="00BD10F7"/>
    <w:rsid w:val="00BD2150"/>
    <w:rsid w:val="00BD2E40"/>
    <w:rsid w:val="00BD5A6E"/>
    <w:rsid w:val="00BD7C23"/>
    <w:rsid w:val="00BE14DE"/>
    <w:rsid w:val="00BE3983"/>
    <w:rsid w:val="00BE5D97"/>
    <w:rsid w:val="00BE7120"/>
    <w:rsid w:val="00BE719E"/>
    <w:rsid w:val="00BF31CE"/>
    <w:rsid w:val="00BF373E"/>
    <w:rsid w:val="00BF521E"/>
    <w:rsid w:val="00BF6482"/>
    <w:rsid w:val="00BF680F"/>
    <w:rsid w:val="00C013CE"/>
    <w:rsid w:val="00C0215A"/>
    <w:rsid w:val="00C0334B"/>
    <w:rsid w:val="00C07742"/>
    <w:rsid w:val="00C119E9"/>
    <w:rsid w:val="00C123D3"/>
    <w:rsid w:val="00C124EA"/>
    <w:rsid w:val="00C131B2"/>
    <w:rsid w:val="00C14966"/>
    <w:rsid w:val="00C14BBF"/>
    <w:rsid w:val="00C1510C"/>
    <w:rsid w:val="00C15CF4"/>
    <w:rsid w:val="00C16604"/>
    <w:rsid w:val="00C21509"/>
    <w:rsid w:val="00C27697"/>
    <w:rsid w:val="00C277D6"/>
    <w:rsid w:val="00C306F6"/>
    <w:rsid w:val="00C30917"/>
    <w:rsid w:val="00C314FB"/>
    <w:rsid w:val="00C31DA3"/>
    <w:rsid w:val="00C329A8"/>
    <w:rsid w:val="00C33A7E"/>
    <w:rsid w:val="00C3417A"/>
    <w:rsid w:val="00C34340"/>
    <w:rsid w:val="00C34C7C"/>
    <w:rsid w:val="00C35FF1"/>
    <w:rsid w:val="00C3658F"/>
    <w:rsid w:val="00C37FBD"/>
    <w:rsid w:val="00C422F0"/>
    <w:rsid w:val="00C442DA"/>
    <w:rsid w:val="00C47848"/>
    <w:rsid w:val="00C47D58"/>
    <w:rsid w:val="00C5074D"/>
    <w:rsid w:val="00C50B93"/>
    <w:rsid w:val="00C52790"/>
    <w:rsid w:val="00C534F1"/>
    <w:rsid w:val="00C543DF"/>
    <w:rsid w:val="00C5758C"/>
    <w:rsid w:val="00C620EB"/>
    <w:rsid w:val="00C62753"/>
    <w:rsid w:val="00C66707"/>
    <w:rsid w:val="00C66961"/>
    <w:rsid w:val="00C67A51"/>
    <w:rsid w:val="00C71B77"/>
    <w:rsid w:val="00C73133"/>
    <w:rsid w:val="00C7584B"/>
    <w:rsid w:val="00C76780"/>
    <w:rsid w:val="00C77875"/>
    <w:rsid w:val="00C81517"/>
    <w:rsid w:val="00C8289F"/>
    <w:rsid w:val="00C82C31"/>
    <w:rsid w:val="00C8464B"/>
    <w:rsid w:val="00C84A4F"/>
    <w:rsid w:val="00C87A28"/>
    <w:rsid w:val="00C87D51"/>
    <w:rsid w:val="00C92D44"/>
    <w:rsid w:val="00C9781E"/>
    <w:rsid w:val="00C97A62"/>
    <w:rsid w:val="00CA2310"/>
    <w:rsid w:val="00CA29CF"/>
    <w:rsid w:val="00CA4E53"/>
    <w:rsid w:val="00CB0F68"/>
    <w:rsid w:val="00CB3BA1"/>
    <w:rsid w:val="00CB4765"/>
    <w:rsid w:val="00CB7C91"/>
    <w:rsid w:val="00CC01F6"/>
    <w:rsid w:val="00CC0515"/>
    <w:rsid w:val="00CC1A15"/>
    <w:rsid w:val="00CC24CD"/>
    <w:rsid w:val="00CC35AA"/>
    <w:rsid w:val="00CC4D55"/>
    <w:rsid w:val="00CC4EC5"/>
    <w:rsid w:val="00CD05B9"/>
    <w:rsid w:val="00CD35FB"/>
    <w:rsid w:val="00CE0A99"/>
    <w:rsid w:val="00CE0CC7"/>
    <w:rsid w:val="00CE10E3"/>
    <w:rsid w:val="00CE12F0"/>
    <w:rsid w:val="00CE180E"/>
    <w:rsid w:val="00CE2E14"/>
    <w:rsid w:val="00CE55B3"/>
    <w:rsid w:val="00CE67C3"/>
    <w:rsid w:val="00CE7CF8"/>
    <w:rsid w:val="00CF0A8D"/>
    <w:rsid w:val="00CF225E"/>
    <w:rsid w:val="00CF2C21"/>
    <w:rsid w:val="00CF45F3"/>
    <w:rsid w:val="00CF6475"/>
    <w:rsid w:val="00D00D1E"/>
    <w:rsid w:val="00D00FD3"/>
    <w:rsid w:val="00D030A6"/>
    <w:rsid w:val="00D05156"/>
    <w:rsid w:val="00D143DF"/>
    <w:rsid w:val="00D15D28"/>
    <w:rsid w:val="00D15EE2"/>
    <w:rsid w:val="00D1645A"/>
    <w:rsid w:val="00D16646"/>
    <w:rsid w:val="00D16864"/>
    <w:rsid w:val="00D17069"/>
    <w:rsid w:val="00D17BA7"/>
    <w:rsid w:val="00D234CE"/>
    <w:rsid w:val="00D23ACA"/>
    <w:rsid w:val="00D253BB"/>
    <w:rsid w:val="00D27CAE"/>
    <w:rsid w:val="00D323AE"/>
    <w:rsid w:val="00D33587"/>
    <w:rsid w:val="00D345EF"/>
    <w:rsid w:val="00D35FD2"/>
    <w:rsid w:val="00D418EC"/>
    <w:rsid w:val="00D43481"/>
    <w:rsid w:val="00D43C7B"/>
    <w:rsid w:val="00D45DA9"/>
    <w:rsid w:val="00D462F5"/>
    <w:rsid w:val="00D57F4E"/>
    <w:rsid w:val="00D60A35"/>
    <w:rsid w:val="00D61993"/>
    <w:rsid w:val="00D65579"/>
    <w:rsid w:val="00D70DF1"/>
    <w:rsid w:val="00D70FC9"/>
    <w:rsid w:val="00D72181"/>
    <w:rsid w:val="00D72447"/>
    <w:rsid w:val="00D724A3"/>
    <w:rsid w:val="00D734FD"/>
    <w:rsid w:val="00D77821"/>
    <w:rsid w:val="00D80E4B"/>
    <w:rsid w:val="00D82F35"/>
    <w:rsid w:val="00D83FAD"/>
    <w:rsid w:val="00D8409D"/>
    <w:rsid w:val="00D8421D"/>
    <w:rsid w:val="00D84F02"/>
    <w:rsid w:val="00D87E81"/>
    <w:rsid w:val="00D918EE"/>
    <w:rsid w:val="00D91E06"/>
    <w:rsid w:val="00D920A3"/>
    <w:rsid w:val="00D92FFD"/>
    <w:rsid w:val="00DA1A8A"/>
    <w:rsid w:val="00DA2B84"/>
    <w:rsid w:val="00DA3E52"/>
    <w:rsid w:val="00DA4773"/>
    <w:rsid w:val="00DA51E0"/>
    <w:rsid w:val="00DA662F"/>
    <w:rsid w:val="00DA717A"/>
    <w:rsid w:val="00DA7ECD"/>
    <w:rsid w:val="00DB07BF"/>
    <w:rsid w:val="00DB675E"/>
    <w:rsid w:val="00DB6AC6"/>
    <w:rsid w:val="00DC31AA"/>
    <w:rsid w:val="00DC32CB"/>
    <w:rsid w:val="00DC4E5F"/>
    <w:rsid w:val="00DD2211"/>
    <w:rsid w:val="00DD2A17"/>
    <w:rsid w:val="00DD2A96"/>
    <w:rsid w:val="00DD3518"/>
    <w:rsid w:val="00DD4129"/>
    <w:rsid w:val="00DD57F7"/>
    <w:rsid w:val="00DD6F9B"/>
    <w:rsid w:val="00DE3E57"/>
    <w:rsid w:val="00DE5120"/>
    <w:rsid w:val="00DE51BC"/>
    <w:rsid w:val="00DF193F"/>
    <w:rsid w:val="00DF3C43"/>
    <w:rsid w:val="00DF6CA7"/>
    <w:rsid w:val="00DF6FA1"/>
    <w:rsid w:val="00E02CDC"/>
    <w:rsid w:val="00E0649D"/>
    <w:rsid w:val="00E10E09"/>
    <w:rsid w:val="00E11209"/>
    <w:rsid w:val="00E125CE"/>
    <w:rsid w:val="00E12EB4"/>
    <w:rsid w:val="00E1300E"/>
    <w:rsid w:val="00E15423"/>
    <w:rsid w:val="00E179CD"/>
    <w:rsid w:val="00E20648"/>
    <w:rsid w:val="00E2096A"/>
    <w:rsid w:val="00E20D5A"/>
    <w:rsid w:val="00E23AA3"/>
    <w:rsid w:val="00E25246"/>
    <w:rsid w:val="00E26327"/>
    <w:rsid w:val="00E327CA"/>
    <w:rsid w:val="00E33A1A"/>
    <w:rsid w:val="00E34F60"/>
    <w:rsid w:val="00E36EA0"/>
    <w:rsid w:val="00E41B6B"/>
    <w:rsid w:val="00E42425"/>
    <w:rsid w:val="00E4544D"/>
    <w:rsid w:val="00E45B1C"/>
    <w:rsid w:val="00E4715E"/>
    <w:rsid w:val="00E5187F"/>
    <w:rsid w:val="00E51C2E"/>
    <w:rsid w:val="00E5241E"/>
    <w:rsid w:val="00E52C1F"/>
    <w:rsid w:val="00E57C69"/>
    <w:rsid w:val="00E64389"/>
    <w:rsid w:val="00E64BD2"/>
    <w:rsid w:val="00E650E9"/>
    <w:rsid w:val="00E6713E"/>
    <w:rsid w:val="00E70A83"/>
    <w:rsid w:val="00E73A07"/>
    <w:rsid w:val="00E73A9C"/>
    <w:rsid w:val="00E75F65"/>
    <w:rsid w:val="00E87E51"/>
    <w:rsid w:val="00E92DA3"/>
    <w:rsid w:val="00E92E8D"/>
    <w:rsid w:val="00E9346C"/>
    <w:rsid w:val="00E93A07"/>
    <w:rsid w:val="00E93AC6"/>
    <w:rsid w:val="00E96376"/>
    <w:rsid w:val="00EA1C09"/>
    <w:rsid w:val="00EA35D5"/>
    <w:rsid w:val="00EA4257"/>
    <w:rsid w:val="00EA63A9"/>
    <w:rsid w:val="00EB0011"/>
    <w:rsid w:val="00EB01C3"/>
    <w:rsid w:val="00EC0093"/>
    <w:rsid w:val="00EC0F42"/>
    <w:rsid w:val="00EC1784"/>
    <w:rsid w:val="00EC209C"/>
    <w:rsid w:val="00EC3AEE"/>
    <w:rsid w:val="00EC4411"/>
    <w:rsid w:val="00EC4FB6"/>
    <w:rsid w:val="00EC523A"/>
    <w:rsid w:val="00EC5E45"/>
    <w:rsid w:val="00EC72E2"/>
    <w:rsid w:val="00ED07ED"/>
    <w:rsid w:val="00ED0CC8"/>
    <w:rsid w:val="00ED1272"/>
    <w:rsid w:val="00ED1D3B"/>
    <w:rsid w:val="00ED36F0"/>
    <w:rsid w:val="00ED4B9D"/>
    <w:rsid w:val="00EE3CD3"/>
    <w:rsid w:val="00EE4C0F"/>
    <w:rsid w:val="00EE4FA9"/>
    <w:rsid w:val="00EF365B"/>
    <w:rsid w:val="00EF469D"/>
    <w:rsid w:val="00EF7125"/>
    <w:rsid w:val="00EF7B6B"/>
    <w:rsid w:val="00F02441"/>
    <w:rsid w:val="00F0258D"/>
    <w:rsid w:val="00F02B8A"/>
    <w:rsid w:val="00F03252"/>
    <w:rsid w:val="00F03B50"/>
    <w:rsid w:val="00F042C8"/>
    <w:rsid w:val="00F06330"/>
    <w:rsid w:val="00F07D6F"/>
    <w:rsid w:val="00F1589D"/>
    <w:rsid w:val="00F17AA9"/>
    <w:rsid w:val="00F22E98"/>
    <w:rsid w:val="00F23AE2"/>
    <w:rsid w:val="00F25F87"/>
    <w:rsid w:val="00F25FA0"/>
    <w:rsid w:val="00F303C8"/>
    <w:rsid w:val="00F307E9"/>
    <w:rsid w:val="00F311D8"/>
    <w:rsid w:val="00F3186D"/>
    <w:rsid w:val="00F31EAA"/>
    <w:rsid w:val="00F33152"/>
    <w:rsid w:val="00F356E8"/>
    <w:rsid w:val="00F401B5"/>
    <w:rsid w:val="00F40AFB"/>
    <w:rsid w:val="00F42756"/>
    <w:rsid w:val="00F44F2A"/>
    <w:rsid w:val="00F5064A"/>
    <w:rsid w:val="00F5335B"/>
    <w:rsid w:val="00F53B52"/>
    <w:rsid w:val="00F5581A"/>
    <w:rsid w:val="00F57502"/>
    <w:rsid w:val="00F57B49"/>
    <w:rsid w:val="00F57B6A"/>
    <w:rsid w:val="00F6200E"/>
    <w:rsid w:val="00F62255"/>
    <w:rsid w:val="00F62434"/>
    <w:rsid w:val="00F65376"/>
    <w:rsid w:val="00F66CD9"/>
    <w:rsid w:val="00F70B6C"/>
    <w:rsid w:val="00F72C43"/>
    <w:rsid w:val="00F736C2"/>
    <w:rsid w:val="00F7477D"/>
    <w:rsid w:val="00F75D53"/>
    <w:rsid w:val="00F80873"/>
    <w:rsid w:val="00F82AA6"/>
    <w:rsid w:val="00F847DC"/>
    <w:rsid w:val="00F87EF1"/>
    <w:rsid w:val="00F91CA5"/>
    <w:rsid w:val="00F9275F"/>
    <w:rsid w:val="00F93A3E"/>
    <w:rsid w:val="00F94982"/>
    <w:rsid w:val="00F972CD"/>
    <w:rsid w:val="00FA014B"/>
    <w:rsid w:val="00FA24FC"/>
    <w:rsid w:val="00FA6933"/>
    <w:rsid w:val="00FA7A02"/>
    <w:rsid w:val="00FA7B23"/>
    <w:rsid w:val="00FB05D5"/>
    <w:rsid w:val="00FB23E0"/>
    <w:rsid w:val="00FB306C"/>
    <w:rsid w:val="00FB32C4"/>
    <w:rsid w:val="00FB57F9"/>
    <w:rsid w:val="00FB6D6E"/>
    <w:rsid w:val="00FC196B"/>
    <w:rsid w:val="00FC29C6"/>
    <w:rsid w:val="00FC67D5"/>
    <w:rsid w:val="00FD0D12"/>
    <w:rsid w:val="00FD14C9"/>
    <w:rsid w:val="00FD44BC"/>
    <w:rsid w:val="00FD575C"/>
    <w:rsid w:val="00FE09C3"/>
    <w:rsid w:val="00FE263C"/>
    <w:rsid w:val="00FF467A"/>
    <w:rsid w:val="00FF7CF5"/>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05B7E0C5"/>
  <w14:defaultImageDpi w14:val="330"/>
  <w15:chartTrackingRefBased/>
  <w15:docId w15:val="{87B15B16-9ACC-1C48-9D27-2617C41DBDA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02BBA"/>
    <w:rPr>
      <w:rFonts w:eastAsia="Times New Roman" w:cs="Times New Roman"/>
      <w:lang w:eastAsia="en-GB"/>
    </w:rPr>
  </w:style>
  <w:style w:type="paragraph" w:styleId="Heading1">
    <w:name w:val="heading 1"/>
    <w:basedOn w:val="Normal"/>
    <w:next w:val="Normal"/>
    <w:link w:val="Heading1Char"/>
    <w:uiPriority w:val="9"/>
    <w:qFormat/>
    <w:rsid w:val="009F5A28"/>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9F5A28"/>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7A16CF"/>
    <w:pPr>
      <w:keepNext/>
      <w:keepLines/>
      <w:spacing w:before="40"/>
      <w:outlineLvl w:val="2"/>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F5A28"/>
    <w:rPr>
      <w:rFonts w:asciiTheme="majorHAnsi" w:eastAsiaTheme="majorEastAsia" w:hAnsiTheme="majorHAnsi" w:cstheme="majorBidi"/>
      <w:color w:val="2F5496" w:themeColor="accent1" w:themeShade="BF"/>
      <w:sz w:val="32"/>
      <w:szCs w:val="32"/>
    </w:rPr>
  </w:style>
  <w:style w:type="character" w:customStyle="1" w:styleId="Heading2Char">
    <w:name w:val="Heading 2 Char"/>
    <w:basedOn w:val="DefaultParagraphFont"/>
    <w:link w:val="Heading2"/>
    <w:uiPriority w:val="9"/>
    <w:rsid w:val="009F5A28"/>
    <w:rPr>
      <w:rFonts w:asciiTheme="majorHAnsi" w:eastAsiaTheme="majorEastAsia" w:hAnsiTheme="majorHAnsi" w:cstheme="majorBidi"/>
      <w:color w:val="2F5496" w:themeColor="accent1" w:themeShade="BF"/>
      <w:sz w:val="26"/>
      <w:szCs w:val="26"/>
    </w:rPr>
  </w:style>
  <w:style w:type="character" w:customStyle="1" w:styleId="Heading3Char">
    <w:name w:val="Heading 3 Char"/>
    <w:basedOn w:val="DefaultParagraphFont"/>
    <w:link w:val="Heading3"/>
    <w:uiPriority w:val="9"/>
    <w:rsid w:val="007A16CF"/>
    <w:rPr>
      <w:rFonts w:asciiTheme="majorHAnsi" w:eastAsiaTheme="majorEastAsia" w:hAnsiTheme="majorHAnsi" w:cstheme="majorBidi"/>
      <w:color w:val="1F3763" w:themeColor="accent1" w:themeShade="7F"/>
    </w:rPr>
  </w:style>
  <w:style w:type="table" w:styleId="TableGrid">
    <w:name w:val="Table Grid"/>
    <w:basedOn w:val="TableNormal"/>
    <w:uiPriority w:val="39"/>
    <w:rsid w:val="00D70FC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64BD2"/>
    <w:rPr>
      <w:sz w:val="18"/>
      <w:szCs w:val="18"/>
    </w:rPr>
  </w:style>
  <w:style w:type="character" w:customStyle="1" w:styleId="BalloonTextChar">
    <w:name w:val="Balloon Text Char"/>
    <w:basedOn w:val="DefaultParagraphFont"/>
    <w:link w:val="BalloonText"/>
    <w:uiPriority w:val="99"/>
    <w:semiHidden/>
    <w:rsid w:val="00E64BD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A7658E"/>
    <w:rPr>
      <w:sz w:val="16"/>
      <w:szCs w:val="16"/>
    </w:rPr>
  </w:style>
  <w:style w:type="paragraph" w:styleId="CommentText">
    <w:name w:val="annotation text"/>
    <w:basedOn w:val="Normal"/>
    <w:link w:val="CommentTextChar"/>
    <w:uiPriority w:val="99"/>
    <w:unhideWhenUsed/>
    <w:rsid w:val="00A7658E"/>
    <w:rPr>
      <w:sz w:val="20"/>
      <w:szCs w:val="20"/>
    </w:rPr>
  </w:style>
  <w:style w:type="character" w:customStyle="1" w:styleId="CommentTextChar">
    <w:name w:val="Comment Text Char"/>
    <w:basedOn w:val="DefaultParagraphFont"/>
    <w:link w:val="CommentText"/>
    <w:uiPriority w:val="99"/>
    <w:rsid w:val="00A7658E"/>
    <w:rPr>
      <w:sz w:val="20"/>
      <w:szCs w:val="20"/>
    </w:rPr>
  </w:style>
  <w:style w:type="paragraph" w:styleId="CommentSubject">
    <w:name w:val="annotation subject"/>
    <w:basedOn w:val="CommentText"/>
    <w:next w:val="CommentText"/>
    <w:link w:val="CommentSubjectChar"/>
    <w:uiPriority w:val="99"/>
    <w:semiHidden/>
    <w:unhideWhenUsed/>
    <w:rsid w:val="00A7658E"/>
    <w:rPr>
      <w:b/>
      <w:bCs/>
    </w:rPr>
  </w:style>
  <w:style w:type="character" w:customStyle="1" w:styleId="CommentSubjectChar">
    <w:name w:val="Comment Subject Char"/>
    <w:basedOn w:val="CommentTextChar"/>
    <w:link w:val="CommentSubject"/>
    <w:uiPriority w:val="99"/>
    <w:semiHidden/>
    <w:rsid w:val="00A7658E"/>
    <w:rPr>
      <w:b/>
      <w:bCs/>
      <w:sz w:val="20"/>
      <w:szCs w:val="20"/>
    </w:rPr>
  </w:style>
  <w:style w:type="paragraph" w:styleId="Revision">
    <w:name w:val="Revision"/>
    <w:hidden/>
    <w:uiPriority w:val="99"/>
    <w:semiHidden/>
    <w:rsid w:val="0030621E"/>
  </w:style>
  <w:style w:type="character" w:styleId="Hyperlink">
    <w:name w:val="Hyperlink"/>
    <w:basedOn w:val="DefaultParagraphFont"/>
    <w:uiPriority w:val="99"/>
    <w:unhideWhenUsed/>
    <w:rsid w:val="000611B7"/>
    <w:rPr>
      <w:color w:val="0563C1" w:themeColor="hyperlink"/>
      <w:u w:val="single"/>
    </w:rPr>
  </w:style>
  <w:style w:type="character" w:customStyle="1" w:styleId="UnresolvedMention1">
    <w:name w:val="Unresolved Mention1"/>
    <w:basedOn w:val="DefaultParagraphFont"/>
    <w:uiPriority w:val="99"/>
    <w:semiHidden/>
    <w:unhideWhenUsed/>
    <w:rsid w:val="000611B7"/>
    <w:rPr>
      <w:color w:val="605E5C"/>
      <w:shd w:val="clear" w:color="auto" w:fill="E1DFDD"/>
    </w:rPr>
  </w:style>
  <w:style w:type="numbering" w:customStyle="1" w:styleId="Singlepunch">
    <w:name w:val="Single punch"/>
    <w:rsid w:val="00DF6FA1"/>
    <w:pPr>
      <w:numPr>
        <w:numId w:val="2"/>
      </w:numPr>
    </w:pPr>
  </w:style>
  <w:style w:type="paragraph" w:styleId="ListParagraph">
    <w:name w:val="List Paragraph"/>
    <w:basedOn w:val="Normal"/>
    <w:uiPriority w:val="34"/>
    <w:qFormat/>
    <w:rsid w:val="00DF6FA1"/>
    <w:pPr>
      <w:ind w:left="720"/>
      <w:contextualSpacing/>
    </w:pPr>
  </w:style>
  <w:style w:type="character" w:styleId="FollowedHyperlink">
    <w:name w:val="FollowedHyperlink"/>
    <w:basedOn w:val="DefaultParagraphFont"/>
    <w:uiPriority w:val="99"/>
    <w:semiHidden/>
    <w:unhideWhenUsed/>
    <w:rsid w:val="00177814"/>
    <w:rPr>
      <w:color w:val="954F72" w:themeColor="followedHyperlink"/>
      <w:u w:val="single"/>
    </w:rPr>
  </w:style>
  <w:style w:type="paragraph" w:styleId="FootnoteText">
    <w:name w:val="footnote text"/>
    <w:basedOn w:val="Normal"/>
    <w:link w:val="FootnoteTextChar"/>
    <w:uiPriority w:val="99"/>
    <w:semiHidden/>
    <w:unhideWhenUsed/>
    <w:rsid w:val="009C6A1B"/>
    <w:rPr>
      <w:rFonts w:eastAsiaTheme="minorHAnsi" w:cstheme="minorBidi"/>
      <w:sz w:val="20"/>
      <w:szCs w:val="20"/>
      <w:lang w:eastAsia="en-US"/>
    </w:rPr>
  </w:style>
  <w:style w:type="character" w:customStyle="1" w:styleId="FootnoteTextChar">
    <w:name w:val="Footnote Text Char"/>
    <w:basedOn w:val="DefaultParagraphFont"/>
    <w:link w:val="FootnoteText"/>
    <w:uiPriority w:val="99"/>
    <w:semiHidden/>
    <w:rsid w:val="009C6A1B"/>
    <w:rPr>
      <w:sz w:val="20"/>
      <w:szCs w:val="20"/>
    </w:rPr>
  </w:style>
  <w:style w:type="character" w:styleId="FootnoteReference">
    <w:name w:val="footnote reference"/>
    <w:basedOn w:val="DefaultParagraphFont"/>
    <w:uiPriority w:val="99"/>
    <w:semiHidden/>
    <w:unhideWhenUsed/>
    <w:rsid w:val="009C6A1B"/>
    <w:rPr>
      <w:vertAlign w:val="superscript"/>
    </w:rPr>
  </w:style>
  <w:style w:type="paragraph" w:styleId="Header">
    <w:name w:val="header"/>
    <w:basedOn w:val="Normal"/>
    <w:link w:val="HeaderChar"/>
    <w:uiPriority w:val="99"/>
    <w:unhideWhenUsed/>
    <w:rsid w:val="00692F3C"/>
    <w:pPr>
      <w:tabs>
        <w:tab w:val="center" w:pos="4513"/>
        <w:tab w:val="right" w:pos="9026"/>
      </w:tabs>
    </w:pPr>
  </w:style>
  <w:style w:type="character" w:customStyle="1" w:styleId="HeaderChar">
    <w:name w:val="Header Char"/>
    <w:basedOn w:val="DefaultParagraphFont"/>
    <w:link w:val="Header"/>
    <w:uiPriority w:val="99"/>
    <w:rsid w:val="00692F3C"/>
    <w:rPr>
      <w:rFonts w:eastAsia="Times New Roman" w:cs="Times New Roman"/>
      <w:lang w:eastAsia="en-GB"/>
    </w:rPr>
  </w:style>
  <w:style w:type="paragraph" w:styleId="Footer">
    <w:name w:val="footer"/>
    <w:basedOn w:val="Normal"/>
    <w:link w:val="FooterChar"/>
    <w:uiPriority w:val="99"/>
    <w:unhideWhenUsed/>
    <w:rsid w:val="00692F3C"/>
    <w:pPr>
      <w:tabs>
        <w:tab w:val="center" w:pos="4513"/>
        <w:tab w:val="right" w:pos="9026"/>
      </w:tabs>
    </w:pPr>
  </w:style>
  <w:style w:type="character" w:customStyle="1" w:styleId="FooterChar">
    <w:name w:val="Footer Char"/>
    <w:basedOn w:val="DefaultParagraphFont"/>
    <w:link w:val="Footer"/>
    <w:uiPriority w:val="99"/>
    <w:rsid w:val="00692F3C"/>
    <w:rPr>
      <w:rFonts w:eastAsia="Times New Roman" w:cs="Times New Roman"/>
      <w:lang w:eastAsia="en-GB"/>
    </w:rPr>
  </w:style>
  <w:style w:type="paragraph" w:customStyle="1" w:styleId="Pa0">
    <w:name w:val="Pa0"/>
    <w:basedOn w:val="Normal"/>
    <w:next w:val="Normal"/>
    <w:uiPriority w:val="99"/>
    <w:rsid w:val="001C3CC4"/>
    <w:pPr>
      <w:autoSpaceDE w:val="0"/>
      <w:autoSpaceDN w:val="0"/>
      <w:adjustRightInd w:val="0"/>
      <w:spacing w:line="217" w:lineRule="atLeast"/>
    </w:pPr>
    <w:rPr>
      <w:rFonts w:ascii="Shaker 2 Lancet Regular" w:eastAsiaTheme="minorHAnsi" w:hAnsi="Shaker 2 Lancet Regular" w:cstheme="minorBidi"/>
      <w:lang w:eastAsia="en-US"/>
    </w:rPr>
  </w:style>
  <w:style w:type="character" w:customStyle="1" w:styleId="A1">
    <w:name w:val="A1"/>
    <w:uiPriority w:val="99"/>
    <w:rsid w:val="001C3CC4"/>
    <w:rPr>
      <w:rFonts w:cs="Shaker 2 Lancet Regular"/>
      <w:b/>
      <w:bCs/>
      <w:color w:val="000000"/>
      <w:sz w:val="18"/>
      <w:szCs w:val="18"/>
    </w:rPr>
  </w:style>
  <w:style w:type="paragraph" w:styleId="Caption">
    <w:name w:val="caption"/>
    <w:basedOn w:val="Normal"/>
    <w:next w:val="Normal"/>
    <w:uiPriority w:val="35"/>
    <w:unhideWhenUsed/>
    <w:qFormat/>
    <w:rsid w:val="001A095D"/>
    <w:pPr>
      <w:spacing w:after="200"/>
    </w:pPr>
    <w:rPr>
      <w:i/>
      <w:iCs/>
      <w:color w:val="000000" w:themeColor="text1"/>
      <w:sz w:val="20"/>
      <w:szCs w:val="18"/>
    </w:rPr>
  </w:style>
  <w:style w:type="paragraph" w:styleId="NormalWeb">
    <w:name w:val="Normal (Web)"/>
    <w:basedOn w:val="Normal"/>
    <w:uiPriority w:val="99"/>
    <w:semiHidden/>
    <w:unhideWhenUsed/>
    <w:rsid w:val="00AF3E02"/>
    <w:pPr>
      <w:spacing w:before="100" w:beforeAutospacing="1" w:after="100" w:afterAutospacing="1"/>
    </w:pPr>
    <w:rPr>
      <w:rFonts w:ascii="Times New Roman" w:hAnsi="Times New Roman"/>
    </w:rPr>
  </w:style>
  <w:style w:type="paragraph" w:customStyle="1" w:styleId="Pa4">
    <w:name w:val="Pa4"/>
    <w:basedOn w:val="Normal"/>
    <w:next w:val="Normal"/>
    <w:uiPriority w:val="99"/>
    <w:rsid w:val="00EB01C3"/>
    <w:pPr>
      <w:autoSpaceDE w:val="0"/>
      <w:autoSpaceDN w:val="0"/>
      <w:adjustRightInd w:val="0"/>
      <w:spacing w:line="187" w:lineRule="atLeast"/>
    </w:pPr>
    <w:rPr>
      <w:rFonts w:ascii="Shaker 2 Lancet Regular" w:eastAsiaTheme="minorHAnsi" w:hAnsi="Shaker 2 Lancet Regular" w:cstheme="minorBidi"/>
      <w:lang w:eastAsia="en-US"/>
    </w:rPr>
  </w:style>
  <w:style w:type="paragraph" w:customStyle="1" w:styleId="Pa1">
    <w:name w:val="Pa1"/>
    <w:basedOn w:val="Normal"/>
    <w:next w:val="Normal"/>
    <w:uiPriority w:val="99"/>
    <w:rsid w:val="00EB01C3"/>
    <w:pPr>
      <w:autoSpaceDE w:val="0"/>
      <w:autoSpaceDN w:val="0"/>
      <w:adjustRightInd w:val="0"/>
      <w:spacing w:line="167" w:lineRule="atLeast"/>
    </w:pPr>
    <w:rPr>
      <w:rFonts w:ascii="Shaker 2 Lancet Regular" w:eastAsiaTheme="minorHAnsi" w:hAnsi="Shaker 2 Lancet Regular" w:cstheme="minorBidi"/>
      <w:lang w:eastAsia="en-US"/>
    </w:rPr>
  </w:style>
  <w:style w:type="paragraph" w:customStyle="1" w:styleId="Pa13">
    <w:name w:val="Pa13"/>
    <w:basedOn w:val="Normal"/>
    <w:next w:val="Normal"/>
    <w:uiPriority w:val="99"/>
    <w:rsid w:val="00EB01C3"/>
    <w:pPr>
      <w:autoSpaceDE w:val="0"/>
      <w:autoSpaceDN w:val="0"/>
      <w:adjustRightInd w:val="0"/>
      <w:spacing w:line="187" w:lineRule="atLeast"/>
    </w:pPr>
    <w:rPr>
      <w:rFonts w:ascii="Shaker 2 Lancet Regular" w:eastAsiaTheme="minorHAnsi" w:hAnsi="Shaker 2 Lancet Regular" w:cstheme="minorBidi"/>
      <w:lang w:eastAsia="en-US"/>
    </w:rPr>
  </w:style>
  <w:style w:type="character" w:customStyle="1" w:styleId="A2">
    <w:name w:val="A2"/>
    <w:uiPriority w:val="99"/>
    <w:rsid w:val="00EB01C3"/>
    <w:rPr>
      <w:rFonts w:cs="Shaker 2 Lancet Regular"/>
      <w:color w:val="000000"/>
      <w:sz w:val="16"/>
      <w:szCs w:val="16"/>
    </w:rPr>
  </w:style>
  <w:style w:type="character" w:styleId="LineNumber">
    <w:name w:val="line number"/>
    <w:basedOn w:val="DefaultParagraphFont"/>
    <w:uiPriority w:val="99"/>
    <w:semiHidden/>
    <w:unhideWhenUsed/>
    <w:rsid w:val="00433384"/>
  </w:style>
  <w:style w:type="paragraph" w:customStyle="1" w:styleId="Default">
    <w:name w:val="Default"/>
    <w:rsid w:val="00282207"/>
    <w:pPr>
      <w:autoSpaceDE w:val="0"/>
      <w:autoSpaceDN w:val="0"/>
      <w:adjustRightInd w:val="0"/>
    </w:pPr>
    <w:rPr>
      <w:rFonts w:ascii="Calibri" w:hAnsi="Calibri" w:cs="Calibri"/>
      <w:color w:val="000000"/>
    </w:rPr>
  </w:style>
  <w:style w:type="character" w:customStyle="1" w:styleId="tooltip">
    <w:name w:val="tooltip"/>
    <w:basedOn w:val="DefaultParagraphFont"/>
    <w:rsid w:val="008839F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2742020">
      <w:bodyDiv w:val="1"/>
      <w:marLeft w:val="0"/>
      <w:marRight w:val="0"/>
      <w:marTop w:val="0"/>
      <w:marBottom w:val="0"/>
      <w:divBdr>
        <w:top w:val="none" w:sz="0" w:space="0" w:color="auto"/>
        <w:left w:val="none" w:sz="0" w:space="0" w:color="auto"/>
        <w:bottom w:val="none" w:sz="0" w:space="0" w:color="auto"/>
        <w:right w:val="none" w:sz="0" w:space="0" w:color="auto"/>
      </w:divBdr>
    </w:div>
    <w:div w:id="307630966">
      <w:bodyDiv w:val="1"/>
      <w:marLeft w:val="0"/>
      <w:marRight w:val="0"/>
      <w:marTop w:val="0"/>
      <w:marBottom w:val="0"/>
      <w:divBdr>
        <w:top w:val="none" w:sz="0" w:space="0" w:color="auto"/>
        <w:left w:val="none" w:sz="0" w:space="0" w:color="auto"/>
        <w:bottom w:val="none" w:sz="0" w:space="0" w:color="auto"/>
        <w:right w:val="none" w:sz="0" w:space="0" w:color="auto"/>
      </w:divBdr>
    </w:div>
    <w:div w:id="505022887">
      <w:bodyDiv w:val="1"/>
      <w:marLeft w:val="0"/>
      <w:marRight w:val="0"/>
      <w:marTop w:val="0"/>
      <w:marBottom w:val="0"/>
      <w:divBdr>
        <w:top w:val="none" w:sz="0" w:space="0" w:color="auto"/>
        <w:left w:val="none" w:sz="0" w:space="0" w:color="auto"/>
        <w:bottom w:val="none" w:sz="0" w:space="0" w:color="auto"/>
        <w:right w:val="none" w:sz="0" w:space="0" w:color="auto"/>
      </w:divBdr>
    </w:div>
    <w:div w:id="575751648">
      <w:bodyDiv w:val="1"/>
      <w:marLeft w:val="0"/>
      <w:marRight w:val="0"/>
      <w:marTop w:val="0"/>
      <w:marBottom w:val="0"/>
      <w:divBdr>
        <w:top w:val="none" w:sz="0" w:space="0" w:color="auto"/>
        <w:left w:val="none" w:sz="0" w:space="0" w:color="auto"/>
        <w:bottom w:val="none" w:sz="0" w:space="0" w:color="auto"/>
        <w:right w:val="none" w:sz="0" w:space="0" w:color="auto"/>
      </w:divBdr>
    </w:div>
    <w:div w:id="707946564">
      <w:bodyDiv w:val="1"/>
      <w:marLeft w:val="0"/>
      <w:marRight w:val="0"/>
      <w:marTop w:val="0"/>
      <w:marBottom w:val="0"/>
      <w:divBdr>
        <w:top w:val="none" w:sz="0" w:space="0" w:color="auto"/>
        <w:left w:val="none" w:sz="0" w:space="0" w:color="auto"/>
        <w:bottom w:val="none" w:sz="0" w:space="0" w:color="auto"/>
        <w:right w:val="none" w:sz="0" w:space="0" w:color="auto"/>
      </w:divBdr>
    </w:div>
    <w:div w:id="1058936883">
      <w:bodyDiv w:val="1"/>
      <w:marLeft w:val="0"/>
      <w:marRight w:val="0"/>
      <w:marTop w:val="0"/>
      <w:marBottom w:val="0"/>
      <w:divBdr>
        <w:top w:val="none" w:sz="0" w:space="0" w:color="auto"/>
        <w:left w:val="none" w:sz="0" w:space="0" w:color="auto"/>
        <w:bottom w:val="none" w:sz="0" w:space="0" w:color="auto"/>
        <w:right w:val="none" w:sz="0" w:space="0" w:color="auto"/>
      </w:divBdr>
    </w:div>
    <w:div w:id="1183588064">
      <w:bodyDiv w:val="1"/>
      <w:marLeft w:val="0"/>
      <w:marRight w:val="0"/>
      <w:marTop w:val="0"/>
      <w:marBottom w:val="0"/>
      <w:divBdr>
        <w:top w:val="none" w:sz="0" w:space="0" w:color="auto"/>
        <w:left w:val="none" w:sz="0" w:space="0" w:color="auto"/>
        <w:bottom w:val="none" w:sz="0" w:space="0" w:color="auto"/>
        <w:right w:val="none" w:sz="0" w:space="0" w:color="auto"/>
      </w:divBdr>
    </w:div>
    <w:div w:id="1219125975">
      <w:bodyDiv w:val="1"/>
      <w:marLeft w:val="0"/>
      <w:marRight w:val="0"/>
      <w:marTop w:val="0"/>
      <w:marBottom w:val="0"/>
      <w:divBdr>
        <w:top w:val="none" w:sz="0" w:space="0" w:color="auto"/>
        <w:left w:val="none" w:sz="0" w:space="0" w:color="auto"/>
        <w:bottom w:val="none" w:sz="0" w:space="0" w:color="auto"/>
        <w:right w:val="none" w:sz="0" w:space="0" w:color="auto"/>
      </w:divBdr>
    </w:div>
    <w:div w:id="1317147282">
      <w:bodyDiv w:val="1"/>
      <w:marLeft w:val="0"/>
      <w:marRight w:val="0"/>
      <w:marTop w:val="0"/>
      <w:marBottom w:val="0"/>
      <w:divBdr>
        <w:top w:val="none" w:sz="0" w:space="0" w:color="auto"/>
        <w:left w:val="none" w:sz="0" w:space="0" w:color="auto"/>
        <w:bottom w:val="none" w:sz="0" w:space="0" w:color="auto"/>
        <w:right w:val="none" w:sz="0" w:space="0" w:color="auto"/>
      </w:divBdr>
      <w:divsChild>
        <w:div w:id="1373651454">
          <w:marLeft w:val="0"/>
          <w:marRight w:val="0"/>
          <w:marTop w:val="0"/>
          <w:marBottom w:val="0"/>
          <w:divBdr>
            <w:top w:val="none" w:sz="0" w:space="0" w:color="auto"/>
            <w:left w:val="none" w:sz="0" w:space="0" w:color="auto"/>
            <w:bottom w:val="none" w:sz="0" w:space="0" w:color="auto"/>
            <w:right w:val="none" w:sz="0" w:space="0" w:color="auto"/>
          </w:divBdr>
          <w:divsChild>
            <w:div w:id="1575236070">
              <w:marLeft w:val="0"/>
              <w:marRight w:val="0"/>
              <w:marTop w:val="0"/>
              <w:marBottom w:val="0"/>
              <w:divBdr>
                <w:top w:val="none" w:sz="0" w:space="0" w:color="auto"/>
                <w:left w:val="none" w:sz="0" w:space="0" w:color="auto"/>
                <w:bottom w:val="none" w:sz="0" w:space="0" w:color="auto"/>
                <w:right w:val="none" w:sz="0" w:space="0" w:color="auto"/>
              </w:divBdr>
              <w:divsChild>
                <w:div w:id="264388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5691527">
      <w:bodyDiv w:val="1"/>
      <w:marLeft w:val="0"/>
      <w:marRight w:val="0"/>
      <w:marTop w:val="0"/>
      <w:marBottom w:val="0"/>
      <w:divBdr>
        <w:top w:val="none" w:sz="0" w:space="0" w:color="auto"/>
        <w:left w:val="none" w:sz="0" w:space="0" w:color="auto"/>
        <w:bottom w:val="none" w:sz="0" w:space="0" w:color="auto"/>
        <w:right w:val="none" w:sz="0" w:space="0" w:color="auto"/>
      </w:divBdr>
    </w:div>
    <w:div w:id="1622110942">
      <w:bodyDiv w:val="1"/>
      <w:marLeft w:val="0"/>
      <w:marRight w:val="0"/>
      <w:marTop w:val="0"/>
      <w:marBottom w:val="0"/>
      <w:divBdr>
        <w:top w:val="none" w:sz="0" w:space="0" w:color="auto"/>
        <w:left w:val="none" w:sz="0" w:space="0" w:color="auto"/>
        <w:bottom w:val="none" w:sz="0" w:space="0" w:color="auto"/>
        <w:right w:val="none" w:sz="0" w:space="0" w:color="auto"/>
      </w:divBdr>
    </w:div>
    <w:div w:id="1626504713">
      <w:bodyDiv w:val="1"/>
      <w:marLeft w:val="0"/>
      <w:marRight w:val="0"/>
      <w:marTop w:val="0"/>
      <w:marBottom w:val="0"/>
      <w:divBdr>
        <w:top w:val="none" w:sz="0" w:space="0" w:color="auto"/>
        <w:left w:val="none" w:sz="0" w:space="0" w:color="auto"/>
        <w:bottom w:val="none" w:sz="0" w:space="0" w:color="auto"/>
        <w:right w:val="none" w:sz="0" w:space="0" w:color="auto"/>
      </w:divBdr>
    </w:div>
    <w:div w:id="1701543034">
      <w:bodyDiv w:val="1"/>
      <w:marLeft w:val="0"/>
      <w:marRight w:val="0"/>
      <w:marTop w:val="0"/>
      <w:marBottom w:val="0"/>
      <w:divBdr>
        <w:top w:val="none" w:sz="0" w:space="0" w:color="auto"/>
        <w:left w:val="none" w:sz="0" w:space="0" w:color="auto"/>
        <w:bottom w:val="none" w:sz="0" w:space="0" w:color="auto"/>
        <w:right w:val="none" w:sz="0" w:space="0" w:color="auto"/>
      </w:divBdr>
    </w:div>
    <w:div w:id="21402184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if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osf.io/z6ps9/" TargetMode="External"/><Relationship Id="rId2" Type="http://schemas.openxmlformats.org/officeDocument/2006/relationships/numbering" Target="numbering.xml"/><Relationship Id="rId20" Type="http://schemas.microsoft.com/office/2016/09/relationships/commentsIds" Target="commentsIds.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tif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tiff"/><Relationship Id="rId19" Type="http://schemas.microsoft.com/office/2018/08/relationships/commentsExtensible" Target="commentsExtensible.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2AE1DCB-B252-4E34-B44B-EC3A303B54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37</Pages>
  <Words>38767</Words>
  <Characters>220978</Characters>
  <Application>Microsoft Office Word</Application>
  <DocSecurity>0</DocSecurity>
  <Lines>1841</Lines>
  <Paragraphs>518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259227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Alexandra Freeman</dc:creator>
  <cp:keywords/>
  <dc:description/>
  <cp:lastModifiedBy>Claudia R Schneider</cp:lastModifiedBy>
  <cp:revision>6</cp:revision>
  <cp:lastPrinted>2021-04-23T12:08:00Z</cp:lastPrinted>
  <dcterms:created xsi:type="dcterms:W3CDTF">2021-10-29T14:30:00Z</dcterms:created>
  <dcterms:modified xsi:type="dcterms:W3CDTF">2021-10-29T14:55:00Z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Recent Style Id 0_1">
    <vt:lpwstr>http://www.zotero.org/styles/american-political-science-association</vt:lpwstr>
  </property>
  <property fmtid="{D5CDD505-2E9C-101B-9397-08002B2CF9AE}" pid="3" name="Mendeley Recent Style Name 0_1">
    <vt:lpwstr>American Political Science Association</vt:lpwstr>
  </property>
  <property fmtid="{D5CDD505-2E9C-101B-9397-08002B2CF9AE}" pid="4" name="Mendeley Recent Style Id 1_1">
    <vt:lpwstr>http://www.zotero.org/styles/apa</vt:lpwstr>
  </property>
  <property fmtid="{D5CDD505-2E9C-101B-9397-08002B2CF9AE}" pid="5" name="Mendeley Recent Style Name 1_1">
    <vt:lpwstr>American Psychological Association 7th edition</vt:lpwstr>
  </property>
  <property fmtid="{D5CDD505-2E9C-101B-9397-08002B2CF9AE}" pid="6" name="Mendeley Recent Style Id 2_1">
    <vt:lpwstr>http://www.zotero.org/styles/american-sociological-association</vt:lpwstr>
  </property>
  <property fmtid="{D5CDD505-2E9C-101B-9397-08002B2CF9AE}" pid="7" name="Mendeley Recent Style Name 2_1">
    <vt:lpwstr>American Sociological Association 6th edition</vt:lpwstr>
  </property>
  <property fmtid="{D5CDD505-2E9C-101B-9397-08002B2CF9AE}" pid="8" name="Mendeley Recent Style Id 3_1">
    <vt:lpwstr>http://www.zotero.org/styles/chicago-author-date</vt:lpwstr>
  </property>
  <property fmtid="{D5CDD505-2E9C-101B-9397-08002B2CF9AE}" pid="9" name="Mendeley Recent Style Name 3_1">
    <vt:lpwstr>Chicago Manual of Style 17th edition (author-date)</vt:lpwstr>
  </property>
  <property fmtid="{D5CDD505-2E9C-101B-9397-08002B2CF9AE}" pid="10" name="Mendeley Recent Style Id 4_1">
    <vt:lpwstr>http://www.zotero.org/styles/harvard-cite-them-right</vt:lpwstr>
  </property>
  <property fmtid="{D5CDD505-2E9C-101B-9397-08002B2CF9AE}" pid="11" name="Mendeley Recent Style Name 4_1">
    <vt:lpwstr>Cite Them Right 10th edition - Harvard</vt:lpwstr>
  </property>
  <property fmtid="{D5CDD505-2E9C-101B-9397-08002B2CF9AE}" pid="12" name="Mendeley Recent Style Id 5_1">
    <vt:lpwstr>http://www.zotero.org/styles/ieee</vt:lpwstr>
  </property>
  <property fmtid="{D5CDD505-2E9C-101B-9397-08002B2CF9AE}" pid="13" name="Mendeley Recent Style Name 5_1">
    <vt:lpwstr>IEEE</vt:lpwstr>
  </property>
  <property fmtid="{D5CDD505-2E9C-101B-9397-08002B2CF9AE}" pid="14" name="Mendeley Recent Style Id 6_1">
    <vt:lpwstr>http://www.zotero.org/styles/modern-humanities-research-association</vt:lpwstr>
  </property>
  <property fmtid="{D5CDD505-2E9C-101B-9397-08002B2CF9AE}" pid="15" name="Mendeley Recent Style Name 6_1">
    <vt:lpwstr>Modern Humanities Research Association 3rd edition (note with bibliography)</vt:lpwstr>
  </property>
  <property fmtid="{D5CDD505-2E9C-101B-9397-08002B2CF9AE}" pid="16" name="Mendeley Recent Style Id 7_1">
    <vt:lpwstr>http://www.zotero.org/styles/modern-language-association</vt:lpwstr>
  </property>
  <property fmtid="{D5CDD505-2E9C-101B-9397-08002B2CF9AE}" pid="17" name="Mendeley Recent Style Name 7_1">
    <vt:lpwstr>Modern Language Association 8th edition</vt:lpwstr>
  </property>
  <property fmtid="{D5CDD505-2E9C-101B-9397-08002B2CF9AE}" pid="18" name="Mendeley Recent Style Id 8_1">
    <vt:lpwstr>http://www.zotero.org/styles/springer-vancouver</vt:lpwstr>
  </property>
  <property fmtid="{D5CDD505-2E9C-101B-9397-08002B2CF9AE}" pid="19" name="Mendeley Recent Style Name 8_1">
    <vt:lpwstr>Springer - Vancouver</vt:lpwstr>
  </property>
  <property fmtid="{D5CDD505-2E9C-101B-9397-08002B2CF9AE}" pid="20" name="Mendeley Recent Style Id 9_1">
    <vt:lpwstr>http://www.zotero.org/styles/vancouver</vt:lpwstr>
  </property>
  <property fmtid="{D5CDD505-2E9C-101B-9397-08002B2CF9AE}" pid="21" name="Mendeley Recent Style Name 9_1">
    <vt:lpwstr>Vancouver</vt:lpwstr>
  </property>
  <property fmtid="{D5CDD505-2E9C-101B-9397-08002B2CF9AE}" pid="22" name="Mendeley Document_1">
    <vt:lpwstr>True</vt:lpwstr>
  </property>
  <property fmtid="{D5CDD505-2E9C-101B-9397-08002B2CF9AE}" pid="23" name="Mendeley Unique User Id_1">
    <vt:lpwstr>76da8029-ea86-3778-89ee-9bc6d496e66d</vt:lpwstr>
  </property>
  <property fmtid="{D5CDD505-2E9C-101B-9397-08002B2CF9AE}" pid="24" name="Mendeley Citation Style_1">
    <vt:lpwstr>http://www.zotero.org/styles/springer-vancouver</vt:lpwstr>
  </property>
</Properties>
</file>