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0E6" w14:textId="7B0A5570" w:rsidR="00C94111" w:rsidRDefault="00C94111" w:rsidP="00C21E54">
      <w:pPr>
        <w:pStyle w:val="Heading1"/>
        <w:jc w:val="center"/>
        <w:rPr>
          <w:b/>
          <w:color w:val="000000" w:themeColor="text1"/>
        </w:rPr>
      </w:pPr>
      <w:r w:rsidRPr="00C21E54">
        <w:rPr>
          <w:b/>
          <w:color w:val="000000" w:themeColor="text1"/>
        </w:rPr>
        <w:t>Title: Genetic evidence for vitamin D and cardiovascular disease: choice of variants is critical</w:t>
      </w:r>
    </w:p>
    <w:p w14:paraId="567C9EF3" w14:textId="05EAB476" w:rsidR="00C21E54" w:rsidRDefault="00C21E54" w:rsidP="00C21E54"/>
    <w:p w14:paraId="7B4F98A2" w14:textId="7DB3141C" w:rsidR="00937147" w:rsidRDefault="00937147" w:rsidP="00937147">
      <w:pPr>
        <w:spacing w:line="480" w:lineRule="auto"/>
        <w:jc w:val="center"/>
        <w:rPr>
          <w:rFonts w:cstheme="minorHAnsi"/>
          <w:b/>
          <w:i/>
          <w:iCs/>
          <w:vertAlign w:val="superscript"/>
        </w:rPr>
      </w:pPr>
      <w:r w:rsidRPr="00E539A9">
        <w:rPr>
          <w:rFonts w:cstheme="minorHAnsi"/>
          <w:b/>
          <w:i/>
          <w:iCs/>
        </w:rPr>
        <w:t>Stephen Burgess PhD</w:t>
      </w:r>
      <w:r w:rsidR="00486FDE" w:rsidRPr="00486FDE">
        <w:rPr>
          <w:rFonts w:cstheme="minorHAnsi"/>
          <w:b/>
          <w:i/>
          <w:iCs/>
          <w:vertAlign w:val="superscript"/>
        </w:rPr>
        <w:t>1,2</w:t>
      </w:r>
      <w:r>
        <w:rPr>
          <w:rFonts w:cstheme="minorHAnsi"/>
          <w:b/>
          <w:i/>
          <w:iCs/>
        </w:rPr>
        <w:t xml:space="preserve">, </w:t>
      </w:r>
      <w:r w:rsidRPr="00E539A9">
        <w:rPr>
          <w:rFonts w:cstheme="minorHAnsi"/>
          <w:b/>
          <w:i/>
          <w:iCs/>
        </w:rPr>
        <w:t>D</w:t>
      </w:r>
      <w:r>
        <w:rPr>
          <w:rFonts w:cstheme="minorHAnsi"/>
          <w:b/>
          <w:i/>
          <w:iCs/>
        </w:rPr>
        <w:t xml:space="preserve">ipender </w:t>
      </w:r>
      <w:r w:rsidRPr="00E539A9">
        <w:rPr>
          <w:rFonts w:cstheme="minorHAnsi"/>
          <w:b/>
          <w:i/>
          <w:iCs/>
        </w:rPr>
        <w:t xml:space="preserve">Gill </w:t>
      </w:r>
      <w:proofErr w:type="spellStart"/>
      <w:r w:rsidRPr="00E539A9">
        <w:rPr>
          <w:rFonts w:cstheme="minorHAnsi"/>
          <w:b/>
          <w:i/>
          <w:iCs/>
        </w:rPr>
        <w:t>BMBCh</w:t>
      </w:r>
      <w:proofErr w:type="spellEnd"/>
      <w:r w:rsidRPr="00E539A9">
        <w:rPr>
          <w:rFonts w:cstheme="minorHAnsi"/>
          <w:b/>
          <w:i/>
          <w:iCs/>
        </w:rPr>
        <w:t> PhD</w:t>
      </w:r>
      <w:r w:rsidR="00486FDE" w:rsidRPr="00486FDE">
        <w:rPr>
          <w:rFonts w:cstheme="minorHAnsi"/>
          <w:b/>
          <w:i/>
          <w:iCs/>
          <w:vertAlign w:val="superscript"/>
        </w:rPr>
        <w:t>3,4,5,6</w:t>
      </w:r>
    </w:p>
    <w:p w14:paraId="07AC40C1" w14:textId="77777777" w:rsidR="000C3C2F" w:rsidRPr="00E539A9" w:rsidRDefault="000C3C2F" w:rsidP="000C3C2F">
      <w:pPr>
        <w:pStyle w:val="Heading2"/>
        <w:spacing w:line="480" w:lineRule="auto"/>
        <w:rPr>
          <w:rFonts w:asciiTheme="minorHAnsi" w:hAnsiTheme="minorHAnsi"/>
          <w:b/>
          <w:color w:val="auto"/>
          <w:sz w:val="16"/>
          <w:lang w:val="en-US"/>
        </w:rPr>
      </w:pPr>
      <w:r w:rsidRPr="0089776F">
        <w:rPr>
          <w:b/>
          <w:color w:val="auto"/>
          <w:lang w:val="en-US"/>
        </w:rPr>
        <w:t>Affiliations</w:t>
      </w:r>
    </w:p>
    <w:p w14:paraId="3FEC33C3" w14:textId="638A9D46" w:rsidR="000D03A9" w:rsidRDefault="000D03A9" w:rsidP="000D03A9">
      <w:pPr>
        <w:pStyle w:val="CommentText"/>
        <w:spacing w:after="0" w:line="480" w:lineRule="auto"/>
        <w:ind w:left="57"/>
        <w:jc w:val="both"/>
        <w:rPr>
          <w:rFonts w:cstheme="minorHAnsi"/>
          <w:sz w:val="22"/>
          <w:szCs w:val="22"/>
        </w:rPr>
      </w:pPr>
      <w:r w:rsidRPr="000D03A9">
        <w:rPr>
          <w:rFonts w:cstheme="minorHAnsi"/>
          <w:sz w:val="22"/>
          <w:szCs w:val="22"/>
          <w:vertAlign w:val="superscript"/>
        </w:rPr>
        <w:t>1</w:t>
      </w:r>
      <w:r w:rsidRPr="00145DD0">
        <w:rPr>
          <w:rFonts w:cstheme="minorHAnsi"/>
          <w:sz w:val="22"/>
          <w:szCs w:val="22"/>
        </w:rPr>
        <w:t>Medical Research Council Biostatistics Unit, University of Cambridge, Cambridge, UK.</w:t>
      </w:r>
    </w:p>
    <w:p w14:paraId="5720C8AB" w14:textId="57C073AD" w:rsidR="000D03A9" w:rsidRPr="00145DD0" w:rsidRDefault="000D03A9" w:rsidP="000D03A9">
      <w:pPr>
        <w:pStyle w:val="CommentText"/>
        <w:spacing w:after="0" w:line="480" w:lineRule="auto"/>
        <w:ind w:left="57"/>
        <w:jc w:val="both"/>
        <w:rPr>
          <w:rFonts w:cstheme="minorHAnsi"/>
          <w:sz w:val="22"/>
          <w:szCs w:val="22"/>
        </w:rPr>
      </w:pPr>
      <w:r w:rsidRPr="000D03A9">
        <w:rPr>
          <w:rFonts w:cstheme="minorHAnsi"/>
          <w:sz w:val="22"/>
          <w:szCs w:val="22"/>
          <w:vertAlign w:val="superscript"/>
        </w:rPr>
        <w:t>2</w:t>
      </w:r>
      <w:r w:rsidRPr="00145DD0">
        <w:rPr>
          <w:rFonts w:cstheme="minorHAnsi"/>
          <w:sz w:val="22"/>
          <w:szCs w:val="22"/>
        </w:rPr>
        <w:t>Department of Public Health and Primary Care, University of Cambridge, Cambridge, UK.</w:t>
      </w:r>
    </w:p>
    <w:p w14:paraId="763CE8A7" w14:textId="0D22873F" w:rsidR="000C3C2F" w:rsidRPr="00145DD0" w:rsidRDefault="000D03A9" w:rsidP="000C3C2F">
      <w:pPr>
        <w:pStyle w:val="CommentText"/>
        <w:spacing w:after="0" w:line="480" w:lineRule="auto"/>
        <w:ind w:left="57"/>
        <w:jc w:val="both"/>
        <w:rPr>
          <w:rFonts w:cstheme="minorHAnsi"/>
          <w:sz w:val="22"/>
          <w:szCs w:val="22"/>
        </w:rPr>
      </w:pPr>
      <w:r w:rsidRPr="000D03A9">
        <w:rPr>
          <w:rFonts w:cstheme="minorHAnsi"/>
          <w:sz w:val="22"/>
          <w:szCs w:val="22"/>
          <w:vertAlign w:val="superscript"/>
        </w:rPr>
        <w:t>3</w:t>
      </w:r>
      <w:r w:rsidR="000C3C2F" w:rsidRPr="00145DD0">
        <w:rPr>
          <w:rFonts w:cstheme="minorHAnsi"/>
          <w:sz w:val="22"/>
          <w:szCs w:val="22"/>
        </w:rPr>
        <w:t>Department of Epidemiology and Biostatistics, School of Public Health, Imperial College London, London, UK.</w:t>
      </w:r>
    </w:p>
    <w:p w14:paraId="19B645E2" w14:textId="00AB35BC" w:rsidR="000C3C2F" w:rsidRPr="00145DD0" w:rsidRDefault="000D03A9" w:rsidP="000C3C2F">
      <w:pPr>
        <w:pStyle w:val="CommentText"/>
        <w:spacing w:after="0" w:line="480" w:lineRule="auto"/>
        <w:ind w:left="57"/>
        <w:jc w:val="both"/>
        <w:rPr>
          <w:rFonts w:cstheme="minorHAnsi"/>
          <w:sz w:val="22"/>
          <w:szCs w:val="22"/>
        </w:rPr>
      </w:pPr>
      <w:r w:rsidRPr="000D03A9">
        <w:rPr>
          <w:rFonts w:cstheme="minorHAnsi"/>
          <w:sz w:val="22"/>
          <w:szCs w:val="22"/>
          <w:vertAlign w:val="superscript"/>
        </w:rPr>
        <w:t>4</w:t>
      </w:r>
      <w:r w:rsidR="000C3C2F" w:rsidRPr="00145DD0">
        <w:rPr>
          <w:rFonts w:cstheme="minorHAnsi"/>
          <w:sz w:val="22"/>
          <w:szCs w:val="22"/>
        </w:rPr>
        <w:t>Clinical Pharmacology and Therapeutics Section, Institute of Medical and Biomedical Education and Institute for Infection and Immunity, St George’s, University of London, London, UK.</w:t>
      </w:r>
    </w:p>
    <w:p w14:paraId="00A3A248" w14:textId="43392977" w:rsidR="000C3C2F" w:rsidRDefault="000D03A9" w:rsidP="000C3C2F">
      <w:pPr>
        <w:pStyle w:val="CommentText"/>
        <w:spacing w:after="0" w:line="480" w:lineRule="auto"/>
        <w:ind w:left="57"/>
        <w:jc w:val="both"/>
        <w:rPr>
          <w:rFonts w:cstheme="minorHAnsi"/>
          <w:sz w:val="22"/>
          <w:szCs w:val="22"/>
        </w:rPr>
      </w:pPr>
      <w:r w:rsidRPr="000D03A9">
        <w:rPr>
          <w:rFonts w:cstheme="minorHAnsi"/>
          <w:sz w:val="22"/>
          <w:szCs w:val="22"/>
          <w:vertAlign w:val="superscript"/>
        </w:rPr>
        <w:t>5</w:t>
      </w:r>
      <w:r w:rsidR="000C3C2F" w:rsidRPr="00145DD0">
        <w:rPr>
          <w:rFonts w:cstheme="minorHAnsi"/>
          <w:sz w:val="22"/>
          <w:szCs w:val="22"/>
        </w:rPr>
        <w:t>Clinical Pharmacology Group, Pharmacy and Medicines Directorate, St George’s University Hospitals NHS Foundation Trust, London, UK.</w:t>
      </w:r>
    </w:p>
    <w:p w14:paraId="209559F5" w14:textId="02F88E9B" w:rsidR="000C3C2F" w:rsidRPr="00145DD0" w:rsidRDefault="000D03A9" w:rsidP="000C3C2F">
      <w:pPr>
        <w:pStyle w:val="CommentText"/>
        <w:spacing w:after="0" w:line="480" w:lineRule="auto"/>
        <w:ind w:left="57"/>
        <w:jc w:val="both"/>
        <w:rPr>
          <w:rFonts w:cstheme="minorHAnsi"/>
          <w:sz w:val="22"/>
          <w:szCs w:val="22"/>
        </w:rPr>
      </w:pPr>
      <w:r w:rsidRPr="000D03A9">
        <w:rPr>
          <w:rFonts w:cstheme="minorHAnsi"/>
          <w:sz w:val="22"/>
          <w:szCs w:val="22"/>
          <w:vertAlign w:val="superscript"/>
        </w:rPr>
        <w:t>6</w:t>
      </w:r>
      <w:r w:rsidR="000C3C2F" w:rsidRPr="00145DD0">
        <w:rPr>
          <w:rFonts w:cstheme="minorHAnsi"/>
          <w:sz w:val="22"/>
          <w:szCs w:val="22"/>
        </w:rPr>
        <w:t>Genetics Department, Novo Nordisk Research Centre Oxford, Old Road Campus, Oxford, UK.</w:t>
      </w:r>
    </w:p>
    <w:p w14:paraId="600B7432" w14:textId="77777777" w:rsidR="000C3C2F" w:rsidRDefault="000C3C2F" w:rsidP="000C3C2F">
      <w:pPr>
        <w:pStyle w:val="CommentText"/>
        <w:spacing w:after="0" w:line="480" w:lineRule="auto"/>
        <w:ind w:left="57"/>
        <w:jc w:val="both"/>
        <w:rPr>
          <w:rFonts w:cstheme="minorHAnsi"/>
          <w:sz w:val="22"/>
          <w:szCs w:val="22"/>
        </w:rPr>
      </w:pPr>
    </w:p>
    <w:p w14:paraId="32759A9D" w14:textId="77777777" w:rsidR="000C3C2F" w:rsidRPr="0089776F" w:rsidRDefault="000C3C2F" w:rsidP="000C3C2F">
      <w:pPr>
        <w:pStyle w:val="Heading2"/>
        <w:spacing w:line="480" w:lineRule="auto"/>
        <w:rPr>
          <w:b/>
          <w:color w:val="auto"/>
          <w:lang w:val="en-US"/>
        </w:rPr>
      </w:pPr>
      <w:r>
        <w:rPr>
          <w:b/>
          <w:color w:val="auto"/>
          <w:lang w:val="en-US"/>
        </w:rPr>
        <w:t>Address for correspondence</w:t>
      </w:r>
    </w:p>
    <w:p w14:paraId="64B93F2B" w14:textId="6BEFFFC4" w:rsidR="000C3C2F" w:rsidRPr="0089776F" w:rsidRDefault="000C3C2F" w:rsidP="000C3C2F">
      <w:pPr>
        <w:pStyle w:val="NoSpacing"/>
        <w:spacing w:line="480" w:lineRule="auto"/>
        <w:rPr>
          <w:lang w:val="en-US" w:eastAsia="zh-CN"/>
        </w:rPr>
      </w:pPr>
      <w:r w:rsidRPr="0089776F">
        <w:rPr>
          <w:lang w:val="en-US" w:eastAsia="zh-CN"/>
        </w:rPr>
        <w:t xml:space="preserve">Dr </w:t>
      </w:r>
      <w:r w:rsidR="00E95623">
        <w:rPr>
          <w:lang w:val="en-US" w:eastAsia="zh-CN"/>
        </w:rPr>
        <w:t xml:space="preserve">Stephen Burgess </w:t>
      </w:r>
    </w:p>
    <w:p w14:paraId="31B92F10" w14:textId="782D0DB8" w:rsidR="000C3C2F" w:rsidRPr="0089776F" w:rsidRDefault="00015074" w:rsidP="000C3C2F">
      <w:pPr>
        <w:pStyle w:val="NoSpacing"/>
        <w:spacing w:line="480" w:lineRule="auto"/>
        <w:rPr>
          <w:lang w:val="en-US" w:eastAsia="zh-CN"/>
        </w:rPr>
      </w:pPr>
      <w:r>
        <w:rPr>
          <w:lang w:val="en-US" w:eastAsia="zh-CN"/>
        </w:rPr>
        <w:t xml:space="preserve">MRC Biostatistics Unit, </w:t>
      </w:r>
      <w:r>
        <w:t xml:space="preserve">East Forvie Building, University of Cambridge, Cambridge, CB2 0SR, UK. </w:t>
      </w:r>
    </w:p>
    <w:p w14:paraId="284F3582" w14:textId="2E1A1415" w:rsidR="000C3C2F" w:rsidRPr="0089776F" w:rsidRDefault="000C3C2F" w:rsidP="000C3C2F">
      <w:pPr>
        <w:pStyle w:val="NoSpacing"/>
        <w:spacing w:line="480" w:lineRule="auto"/>
        <w:rPr>
          <w:lang w:val="en-US" w:eastAsia="zh-CN"/>
        </w:rPr>
      </w:pPr>
      <w:r w:rsidRPr="0089776F">
        <w:rPr>
          <w:lang w:val="en-US" w:eastAsia="zh-CN"/>
        </w:rPr>
        <w:t xml:space="preserve">Telephone: </w:t>
      </w:r>
      <w:r w:rsidR="00015074">
        <w:rPr>
          <w:lang w:val="en-US" w:eastAsia="zh-CN"/>
        </w:rPr>
        <w:t>+44 (0)1223 768259</w:t>
      </w:r>
    </w:p>
    <w:p w14:paraId="01C474A7" w14:textId="2A5B54A8" w:rsidR="000C3C2F" w:rsidRDefault="000C3C2F" w:rsidP="000C3C2F">
      <w:pPr>
        <w:pStyle w:val="NoSpacing"/>
        <w:spacing w:line="480" w:lineRule="auto"/>
        <w:rPr>
          <w:rStyle w:val="Hyperlink"/>
          <w:rFonts w:cstheme="minorHAnsi"/>
          <w:lang w:val="en-US" w:eastAsia="zh-CN"/>
        </w:rPr>
      </w:pPr>
      <w:r w:rsidRPr="0089776F">
        <w:rPr>
          <w:lang w:val="en-US" w:eastAsia="zh-CN"/>
        </w:rPr>
        <w:t xml:space="preserve">E-mail: </w:t>
      </w:r>
      <w:r w:rsidR="00015074">
        <w:t>sb452@medschl.cam.ac.uk.</w:t>
      </w:r>
    </w:p>
    <w:p w14:paraId="68BBD586" w14:textId="77777777" w:rsidR="000C3C2F" w:rsidRPr="0089776F" w:rsidRDefault="000C3C2F" w:rsidP="000C3C2F">
      <w:pPr>
        <w:pStyle w:val="NoSpacing"/>
        <w:spacing w:line="480" w:lineRule="auto"/>
        <w:rPr>
          <w:lang w:val="en-US" w:eastAsia="zh-CN"/>
        </w:rPr>
      </w:pPr>
    </w:p>
    <w:p w14:paraId="08FB71FE" w14:textId="77777777" w:rsidR="000C3C2F" w:rsidRPr="00D329FA" w:rsidRDefault="000C3C2F" w:rsidP="000C3C2F">
      <w:pPr>
        <w:pStyle w:val="Heading2"/>
        <w:spacing w:line="480" w:lineRule="auto"/>
        <w:rPr>
          <w:b/>
          <w:color w:val="auto"/>
          <w:lang w:val="en-US"/>
        </w:rPr>
      </w:pPr>
      <w:r w:rsidRPr="00D329FA">
        <w:rPr>
          <w:b/>
          <w:color w:val="auto"/>
          <w:lang w:val="en-US"/>
        </w:rPr>
        <w:t>Conflicts of interest</w:t>
      </w:r>
    </w:p>
    <w:p w14:paraId="3150CE81" w14:textId="77777777" w:rsidR="000C3C2F" w:rsidRDefault="000C3C2F" w:rsidP="000C3C2F">
      <w:pPr>
        <w:spacing w:line="480" w:lineRule="auto"/>
      </w:pPr>
      <w:r w:rsidRPr="00D329FA">
        <w:rPr>
          <w:lang w:val="en-US"/>
        </w:rPr>
        <w:t>DG is employed part</w:t>
      </w:r>
      <w:r>
        <w:rPr>
          <w:lang w:val="en-US"/>
        </w:rPr>
        <w:t>-</w:t>
      </w:r>
      <w:r w:rsidRPr="00D329FA">
        <w:rPr>
          <w:lang w:val="en-US"/>
        </w:rPr>
        <w:t xml:space="preserve">time by Novo Nordisk. SB has no conflicts of interest to declare. </w:t>
      </w:r>
    </w:p>
    <w:p w14:paraId="1819C0BA" w14:textId="5DF6CD34" w:rsidR="00C21E54" w:rsidRDefault="00C21E54" w:rsidP="00C21E54"/>
    <w:p w14:paraId="602B3E3F" w14:textId="7B7960E1" w:rsidR="00695891" w:rsidRPr="00C21E54" w:rsidRDefault="00695891" w:rsidP="00C21E54">
      <w:r w:rsidRPr="00695891">
        <w:rPr>
          <w:b/>
          <w:bCs/>
        </w:rPr>
        <w:t>Word count:</w:t>
      </w:r>
      <w:r>
        <w:t xml:space="preserve"> 1290 (+ 1 Table)</w:t>
      </w:r>
    </w:p>
    <w:p w14:paraId="5CBDA8AD" w14:textId="1C53B677" w:rsidR="00BE1E9B" w:rsidRPr="001D5D37" w:rsidRDefault="00BE1E9B" w:rsidP="00BE1E9B">
      <w:r>
        <w:lastRenderedPageBreak/>
        <w:t xml:space="preserve">Mendelian randomization is an epidemiological technique that compares </w:t>
      </w:r>
      <w:r w:rsidR="008371A1">
        <w:t xml:space="preserve">disease risk in </w:t>
      </w:r>
      <w:r>
        <w:t xml:space="preserve">groups of individuals </w:t>
      </w:r>
      <w:r w:rsidR="008371A1">
        <w:t xml:space="preserve">defined </w:t>
      </w:r>
      <w:r>
        <w:t>based on their genetic variants</w:t>
      </w:r>
      <w:r w:rsidR="008371A1">
        <w:t xml:space="preserve"> to make causal inferences</w:t>
      </w:r>
      <w:r w:rsidR="001D5D37">
        <w:t xml:space="preserve"> </w:t>
      </w:r>
      <w:r w:rsidR="00E179EF" w:rsidRPr="001D5D37">
        <w:fldChar w:fldCharType="begin"/>
      </w:r>
      <w:r w:rsidR="00CB1375">
        <w:instrText xml:space="preserve"> ADDIN EN.CITE &lt;EndNote&gt;&lt;Cite&gt;&lt;Author&gt;Davey Smith&lt;/Author&gt;&lt;Year&gt;2005&lt;/Year&gt;&lt;RecNum&gt;1013&lt;/RecNum&gt;&lt;DisplayText&gt;(1)&lt;/DisplayText&gt;&lt;record&gt;&lt;rec-number&gt;1013&lt;/rec-number&gt;&lt;foreign-keys&gt;&lt;key app="EN" db-id="5wpvxsf59wvrd4evtp55ssfwt555w0f0efxp" timestamp="1636645487" guid="acaef65c-b612-4687-8abd-5102f042802c"&gt;1013&lt;/key&gt;&lt;/foreign-keys&gt;&lt;ref-type name="Journal Article"&gt;17&lt;/ref-type&gt;&lt;contributors&gt;&lt;authors&gt;&lt;author&gt;Davey Smith, George&lt;/author&gt;&lt;author&gt;Ebrahim, Shah&lt;/author&gt;&lt;/authors&gt;&lt;/contributors&gt;&lt;titles&gt;&lt;title&gt;What can mendelian randomisation tell us about modifiable behavioural and environmental exposures?&lt;/title&gt;&lt;secondary-title&gt;Brit Med J&lt;/secondary-title&gt;&lt;/titles&gt;&lt;periodical&gt;&lt;full-title&gt;Brit Med J&lt;/full-title&gt;&lt;/periodical&gt;&lt;pages&gt;1076-1079&lt;/pages&gt;&lt;volume&gt;330&lt;/volume&gt;&lt;number&gt;7499&lt;/number&gt;&lt;dates&gt;&lt;year&gt;2005&lt;/year&gt;&lt;/dates&gt;&lt;isbn&gt;0959-8138&lt;/isbn&gt;&lt;urls&gt;&lt;/urls&gt;&lt;/record&gt;&lt;/Cite&gt;&lt;/EndNote&gt;</w:instrText>
      </w:r>
      <w:r w:rsidR="00E179EF" w:rsidRPr="001D5D37">
        <w:fldChar w:fldCharType="separate"/>
      </w:r>
      <w:r w:rsidR="00861883" w:rsidRPr="001D5D37">
        <w:rPr>
          <w:noProof/>
        </w:rPr>
        <w:t>(1)</w:t>
      </w:r>
      <w:r w:rsidR="00E179EF" w:rsidRPr="001D5D37">
        <w:fldChar w:fldCharType="end"/>
      </w:r>
      <w:r w:rsidR="001D5D37">
        <w:t>.</w:t>
      </w:r>
      <w:r>
        <w:t xml:space="preserve"> Rather than comparing individuals with high levels of </w:t>
      </w:r>
      <w:r w:rsidR="00AD4694">
        <w:t xml:space="preserve">an exposure </w:t>
      </w:r>
      <w:r w:rsidR="00A607C2">
        <w:t>versus</w:t>
      </w:r>
      <w:r w:rsidR="00AD4694">
        <w:t xml:space="preserve"> those with low levels of an exposure as in a conventional epidemiological analysis, the approach compares those with genetic variants predisposing them to increased </w:t>
      </w:r>
      <w:r w:rsidR="008371A1">
        <w:t>versus</w:t>
      </w:r>
      <w:r w:rsidR="00AD4694">
        <w:t xml:space="preserve"> decreased levels of the exposure. This is analogous to the analysis of a randomized controlled trial for a treatment that increases levels of the exposure, which does not compare those with high versus low levels of the exposure after treatment, but rather compares those who were randomly assigned to </w:t>
      </w:r>
      <w:r w:rsidR="0093659B">
        <w:t xml:space="preserve">receive </w:t>
      </w:r>
      <w:r w:rsidR="00AD4694">
        <w:t xml:space="preserve">the treatment versus those who were randomly assigned to the control group. The logic is that randomization should be independent of all competing risk factors, </w:t>
      </w:r>
      <w:r w:rsidR="009227F4">
        <w:t>meaning</w:t>
      </w:r>
      <w:r w:rsidR="00AD4694">
        <w:t xml:space="preserve"> that the randomly-assigned groups only differ systematically with respect to their average levels of the treatment and any downstream consequences of the treatment. Hence, an association between randomization and the trial outcome is indicative of a causal effect of the treatment. In the same way, if genetic variants act analogously to randomization </w:t>
      </w:r>
      <w:r w:rsidR="00655C21">
        <w:t xml:space="preserve">by </w:t>
      </w:r>
      <w:r w:rsidR="00AD4694">
        <w:t xml:space="preserve">dividing the population into groups that differ systematically only with respect to the exposure and its consequences, then an association </w:t>
      </w:r>
      <w:r w:rsidR="00AD4694" w:rsidRPr="001D5D37">
        <w:t>between the genetic variants and the outcome is indicative of a causal effect of the exposure</w:t>
      </w:r>
      <w:r w:rsidR="00D902D0" w:rsidRPr="001D5D37">
        <w:t xml:space="preserve"> </w:t>
      </w:r>
      <w:r w:rsidR="00E179EF" w:rsidRPr="001D5D37">
        <w:fldChar w:fldCharType="begin"/>
      </w:r>
      <w:r w:rsidR="007D6DAF">
        <w:instrText xml:space="preserve"> ADDIN EN.CITE &lt;EndNote&gt;&lt;Cite&gt;&lt;Author&gt;Didelez&lt;/Author&gt;&lt;Year&gt;2007&lt;/Year&gt;&lt;RecNum&gt;466&lt;/RecNum&gt;&lt;DisplayText&gt;(2)&lt;/DisplayText&gt;&lt;record&gt;&lt;rec-number&gt;466&lt;/rec-number&gt;&lt;foreign-keys&gt;&lt;key app="EN" db-id="5wpvxsf59wvrd4evtp55ssfwt555w0f0efxp" timestamp="1529332952" guid="e72b64fe-6506-4378-8e0d-3a505d7795c3"&gt;466&lt;/key&gt;&lt;/foreign-keys&gt;&lt;ref-type name="Journal Article"&gt;17&lt;/ref-type&gt;&lt;contributors&gt;&lt;authors&gt;&lt;author&gt;Didelez, Vanessa&lt;/author&gt;&lt;author&gt;Sheehan, Nuala&lt;/author&gt;&lt;/authors&gt;&lt;/contributors&gt;&lt;titles&gt;&lt;title&gt;Mendelian randomization as an instrumental variable approach to causal inference&lt;/title&gt;&lt;secondary-title&gt;Statistical Methods in Medical Research&lt;/secondary-title&gt;&lt;/titles&gt;&lt;periodical&gt;&lt;full-title&gt;Statistical methods in medical research&lt;/full-title&gt;&lt;/periodical&gt;&lt;pages&gt;309-330&lt;/pages&gt;&lt;volume&gt;16&lt;/volume&gt;&lt;number&gt;4&lt;/number&gt;&lt;dates&gt;&lt;year&gt;2007&lt;/year&gt;&lt;/dates&gt;&lt;isbn&gt;0962-2802&lt;/isbn&gt;&lt;urls&gt;&lt;/urls&gt;&lt;/record&gt;&lt;/Cite&gt;&lt;/EndNote&gt;</w:instrText>
      </w:r>
      <w:r w:rsidR="00E179EF" w:rsidRPr="001D5D37">
        <w:fldChar w:fldCharType="separate"/>
      </w:r>
      <w:r w:rsidR="00E179EF" w:rsidRPr="001D5D37">
        <w:rPr>
          <w:noProof/>
        </w:rPr>
        <w:t>(2)</w:t>
      </w:r>
      <w:r w:rsidR="00E179EF" w:rsidRPr="001D5D37">
        <w:fldChar w:fldCharType="end"/>
      </w:r>
      <w:r w:rsidR="00D902D0" w:rsidRPr="001D5D37">
        <w:t>.</w:t>
      </w:r>
    </w:p>
    <w:p w14:paraId="76883A28" w14:textId="062ECEA9" w:rsidR="003B658A" w:rsidRDefault="003B658A" w:rsidP="00BE1E9B">
      <w:r>
        <w:t>Non-linear Mendelian randomization is an extension to standard Mendelian randomization that first stratifies the population based on level</w:t>
      </w:r>
      <w:r w:rsidR="00BD6188">
        <w:t>s</w:t>
      </w:r>
      <w:r>
        <w:t xml:space="preserve"> of the exposure, and then conducts separate Mendelian </w:t>
      </w:r>
      <w:r w:rsidRPr="001D5D37">
        <w:t>randomization analys</w:t>
      </w:r>
      <w:r w:rsidR="009552CF" w:rsidRPr="001D5D37">
        <w:t>e</w:t>
      </w:r>
      <w:r w:rsidRPr="001D5D37">
        <w:t xml:space="preserve">s </w:t>
      </w:r>
      <w:r w:rsidR="00655C21" w:rsidRPr="001D5D37">
        <w:t>within each stratum</w:t>
      </w:r>
      <w:r w:rsidRPr="001D5D37">
        <w:t xml:space="preserve"> </w:t>
      </w:r>
      <w:r w:rsidR="00E179EF" w:rsidRPr="001D5D37">
        <w:fldChar w:fldCharType="begin"/>
      </w:r>
      <w:r w:rsidR="007D6DAF">
        <w:instrText xml:space="preserve"> ADDIN EN.CITE &lt;EndNote&gt;&lt;Cite&gt;&lt;Author&gt;Burgess&lt;/Author&gt;&lt;Year&gt;2014&lt;/Year&gt;&lt;RecNum&gt;801&lt;/RecNum&gt;&lt;DisplayText&gt;(3, 4)&lt;/DisplayText&gt;&lt;record&gt;&lt;rec-number&gt;801&lt;/rec-number&gt;&lt;foreign-keys&gt;&lt;key app="EN" db-id="5wpvxsf59wvrd4evtp55ssfwt555w0f0efxp" timestamp="1563960819" guid="5439b065-a7a3-4a78-974f-ab086ba992b8"&gt;801&lt;/key&gt;&lt;/foreign-keys&gt;&lt;ref-type name="Journal Article"&gt;17&lt;/ref-type&gt;&lt;contributors&gt;&lt;authors&gt;&lt;author&gt;Burgess, Stephen&lt;/author&gt;&lt;author&gt;Davies, Neil M&lt;/author&gt;&lt;author&gt;Thompson, Simon G&lt;/author&gt;&lt;/authors&gt;&lt;/contributors&gt;&lt;titles&gt;&lt;title&gt;Instrumental variable analysis with a nonlinear exposure–outcome relationship&lt;/title&gt;&lt;secondary-title&gt;Epidemiology&lt;/secondary-title&gt;&lt;/titles&gt;&lt;periodical&gt;&lt;full-title&gt;Epidemiology&lt;/full-title&gt;&lt;/periodical&gt;&lt;pages&gt;877&lt;/pages&gt;&lt;volume&gt;25&lt;/volume&gt;&lt;number&gt;6&lt;/number&gt;&lt;dates&gt;&lt;year&gt;2014&lt;/year&gt;&lt;/dates&gt;&lt;urls&gt;&lt;/urls&gt;&lt;/record&gt;&lt;/Cite&gt;&lt;Cite&gt;&lt;Author&gt;Staley&lt;/Author&gt;&lt;Year&gt;2017&lt;/Year&gt;&lt;RecNum&gt;800&lt;/RecNum&gt;&lt;record&gt;&lt;rec-number&gt;800&lt;/rec-number&gt;&lt;foreign-keys&gt;&lt;key app="EN" db-id="5wpvxsf59wvrd4evtp55ssfwt555w0f0efxp" timestamp="1563960813" guid="bad11abd-58f2-4063-8c71-588cf3e73beb"&gt;800&lt;/key&gt;&lt;/foreign-keys&gt;&lt;ref-type name="Journal Article"&gt;17&lt;/ref-type&gt;&lt;contributors&gt;&lt;authors&gt;&lt;author&gt;Staley, James R&lt;/author&gt;&lt;author&gt;Burgess, Stephen&lt;/author&gt;&lt;/authors&gt;&lt;/contributors&gt;&lt;titles&gt;&lt;title&gt;Semiparametric methods for estimation of a nonlinear exposure‐outcome relationship using instrumental variables with application to Mendelian randomization&lt;/title&gt;&lt;secondary-title&gt;Genetic Epidemiology&lt;/secondary-title&gt;&lt;/titles&gt;&lt;periodical&gt;&lt;full-title&gt;Genetic epidemiology&lt;/full-title&gt;&lt;/periodical&gt;&lt;pages&gt;341-352&lt;/pages&gt;&lt;volume&gt;41&lt;/volume&gt;&lt;number&gt;4&lt;/number&gt;&lt;dates&gt;&lt;year&gt;2017&lt;/year&gt;&lt;/dates&gt;&lt;isbn&gt;0741-0395&lt;/isbn&gt;&lt;urls&gt;&lt;/urls&gt;&lt;/record&gt;&lt;/Cite&gt;&lt;/EndNote&gt;</w:instrText>
      </w:r>
      <w:r w:rsidR="00E179EF" w:rsidRPr="001D5D37">
        <w:fldChar w:fldCharType="separate"/>
      </w:r>
      <w:r w:rsidR="00E179EF" w:rsidRPr="001D5D37">
        <w:rPr>
          <w:noProof/>
        </w:rPr>
        <w:t>(3, 4)</w:t>
      </w:r>
      <w:r w:rsidR="00E179EF" w:rsidRPr="001D5D37">
        <w:fldChar w:fldCharType="end"/>
      </w:r>
      <w:r w:rsidRPr="001D5D37">
        <w:t>.</w:t>
      </w:r>
      <w:r>
        <w:t xml:space="preserve"> One important methodological point is that stratifying on the exposure directly would break randomization</w:t>
      </w:r>
      <w:r w:rsidR="008371A1">
        <w:t xml:space="preserve"> and lead to biased estimates in the strata</w:t>
      </w:r>
      <w:r w:rsidR="003A5285">
        <w:t xml:space="preserve"> </w:t>
      </w:r>
      <w:r w:rsidR="00B7738C" w:rsidRPr="003A5285">
        <w:fldChar w:fldCharType="begin"/>
      </w:r>
      <w:r w:rsidR="00CB1375" w:rsidRPr="003A5285">
        <w:instrText xml:space="preserve"> ADDIN EN.CITE &lt;EndNote&gt;&lt;Cite&gt;&lt;Author&gt;Cole&lt;/Author&gt;&lt;Year&gt;2010&lt;/Year&gt;&lt;RecNum&gt;1014&lt;/RecNum&gt;&lt;DisplayText&gt;(5)&lt;/DisplayText&gt;&lt;record&gt;&lt;rec-number&gt;1014&lt;/rec-number&gt;&lt;foreign-keys&gt;&lt;key app="EN" db-id="5wpvxsf59wvrd4evtp55ssfwt555w0f0efxp" timestamp="1636645487" guid="67f3c12a-bff7-4ea4-b3e3-ad1e30b00e46"&gt;1014&lt;/key&gt;&lt;/foreign-keys&gt;&lt;ref-type name="Journal Article"&gt;17&lt;/ref-type&gt;&lt;contributors&gt;&lt;authors&gt;&lt;author&gt;Cole, Stephen R&lt;/author&gt;&lt;author&gt;Platt, Robert W&lt;/author&gt;&lt;author&gt;Schisterman, Enrique F&lt;/author&gt;&lt;author&gt;Chu, Haitao&lt;/author&gt;&lt;author&gt;Westreich, Daniel&lt;/author&gt;&lt;author&gt;Richardson, David&lt;/author&gt;&lt;author&gt;Poole, Charles&lt;/author&gt;&lt;/authors&gt;&lt;/contributors&gt;&lt;titles&gt;&lt;title&gt;Illustrating bias due to conditioning on a collider&lt;/title&gt;&lt;secondary-title&gt;International Journal of Epidemiology&lt;/secondary-title&gt;&lt;/titles&gt;&lt;periodical&gt;&lt;full-title&gt;International journal of epidemiology&lt;/full-title&gt;&lt;/periodical&gt;&lt;pages&gt;417-420&lt;/pages&gt;&lt;volume&gt;39&lt;/volume&gt;&lt;number&gt;2&lt;/number&gt;&lt;dates&gt;&lt;year&gt;2010&lt;/year&gt;&lt;/dates&gt;&lt;isbn&gt;1464-3685&lt;/isbn&gt;&lt;urls&gt;&lt;/urls&gt;&lt;/record&gt;&lt;/Cite&gt;&lt;/EndNote&gt;</w:instrText>
      </w:r>
      <w:r w:rsidR="00B7738C" w:rsidRPr="003A5285">
        <w:fldChar w:fldCharType="separate"/>
      </w:r>
      <w:r w:rsidR="00B7738C" w:rsidRPr="003A5285">
        <w:rPr>
          <w:noProof/>
        </w:rPr>
        <w:t>(5)</w:t>
      </w:r>
      <w:r w:rsidR="00B7738C" w:rsidRPr="003A5285">
        <w:fldChar w:fldCharType="end"/>
      </w:r>
      <w:r w:rsidR="00C23127">
        <w:t>.</w:t>
      </w:r>
      <w:r w:rsidR="00BF6F31">
        <w:t xml:space="preserve"> </w:t>
      </w:r>
      <w:r w:rsidR="008371A1">
        <w:t xml:space="preserve">This is because the distribution of the genetic variants would no longer be the same within each stratum, as genetic variants predisposing individuals to higher levels of the exposure would be more common in strata with high levels of the exposure and less common in strata with low levels of the exposure. </w:t>
      </w:r>
      <w:r>
        <w:t xml:space="preserve">For this reason, it is recommended to </w:t>
      </w:r>
      <w:r w:rsidR="009552CF">
        <w:t xml:space="preserve">first </w:t>
      </w:r>
      <w:r>
        <w:t>regress the exposure on the genetic variants, and stratify on residual values of the exposure, as this “residual exposure” is independent of the genetic variants, and hence randomization still holds within strata of the residual exposure</w:t>
      </w:r>
      <w:r w:rsidR="001900E1" w:rsidRPr="001D5D37">
        <w:t xml:space="preserve"> </w:t>
      </w:r>
      <w:r w:rsidR="001900E1" w:rsidRPr="001D5D37">
        <w:fldChar w:fldCharType="begin"/>
      </w:r>
      <w:r w:rsidR="001900E1">
        <w:instrText xml:space="preserve"> ADDIN EN.CITE &lt;EndNote&gt;&lt;Cite&gt;&lt;Author&gt;Burgess&lt;/Author&gt;&lt;Year&gt;2014&lt;/Year&gt;&lt;RecNum&gt;801&lt;/RecNum&gt;&lt;DisplayText&gt;(3, 4)&lt;/DisplayText&gt;&lt;record&gt;&lt;rec-number&gt;801&lt;/rec-number&gt;&lt;foreign-keys&gt;&lt;key app="EN" db-id="5wpvxsf59wvrd4evtp55ssfwt555w0f0efxp" timestamp="1563960819" guid="5439b065-a7a3-4a78-974f-ab086ba992b8"&gt;801&lt;/key&gt;&lt;/foreign-keys&gt;&lt;ref-type name="Journal Article"&gt;17&lt;/ref-type&gt;&lt;contributors&gt;&lt;authors&gt;&lt;author&gt;Burgess, Stephen&lt;/author&gt;&lt;author&gt;Davies, Neil M&lt;/author&gt;&lt;author&gt;Thompson, Simon G&lt;/author&gt;&lt;/authors&gt;&lt;/contributors&gt;&lt;titles&gt;&lt;title&gt;Instrumental variable analysis with a nonlinear exposure–outcome relationship&lt;/title&gt;&lt;secondary-title&gt;Epidemiology&lt;/secondary-title&gt;&lt;/titles&gt;&lt;periodical&gt;&lt;full-title&gt;Epidemiology&lt;/full-title&gt;&lt;/periodical&gt;&lt;pages&gt;877&lt;/pages&gt;&lt;volume&gt;25&lt;/volume&gt;&lt;number&gt;6&lt;/number&gt;&lt;dates&gt;&lt;year&gt;2014&lt;/year&gt;&lt;/dates&gt;&lt;urls&gt;&lt;/urls&gt;&lt;/record&gt;&lt;/Cite&gt;&lt;Cite&gt;&lt;Author&gt;Staley&lt;/Author&gt;&lt;Year&gt;2017&lt;/Year&gt;&lt;RecNum&gt;800&lt;/RecNum&gt;&lt;record&gt;&lt;rec-number&gt;800&lt;/rec-number&gt;&lt;foreign-keys&gt;&lt;key app="EN" db-id="5wpvxsf59wvrd4evtp55ssfwt555w0f0efxp" timestamp="1563960813" guid="bad11abd-58f2-4063-8c71-588cf3e73beb"&gt;800&lt;/key&gt;&lt;/foreign-keys&gt;&lt;ref-type name="Journal Article"&gt;17&lt;/ref-type&gt;&lt;contributors&gt;&lt;authors&gt;&lt;author&gt;Staley, James R&lt;/author&gt;&lt;author&gt;Burgess, Stephen&lt;/author&gt;&lt;/authors&gt;&lt;/contributors&gt;&lt;titles&gt;&lt;title&gt;Semiparametric methods for estimation of a nonlinear exposure‐outcome relationship using instrumental variables with application to Mendelian randomization&lt;/title&gt;&lt;secondary-title&gt;Genetic Epidemiology&lt;/secondary-title&gt;&lt;/titles&gt;&lt;periodical&gt;&lt;full-title&gt;Genetic epidemiology&lt;/full-title&gt;&lt;/periodical&gt;&lt;pages&gt;341-352&lt;/pages&gt;&lt;volume&gt;41&lt;/volume&gt;&lt;number&gt;4&lt;/number&gt;&lt;dates&gt;&lt;year&gt;2017&lt;/year&gt;&lt;/dates&gt;&lt;isbn&gt;0741-0395&lt;/isbn&gt;&lt;urls&gt;&lt;/urls&gt;&lt;/record&gt;&lt;/Cite&gt;&lt;/EndNote&gt;</w:instrText>
      </w:r>
      <w:r w:rsidR="001900E1" w:rsidRPr="001D5D37">
        <w:fldChar w:fldCharType="separate"/>
      </w:r>
      <w:r w:rsidR="001900E1" w:rsidRPr="001D5D37">
        <w:rPr>
          <w:noProof/>
        </w:rPr>
        <w:t>(3, 4)</w:t>
      </w:r>
      <w:r w:rsidR="001900E1" w:rsidRPr="001D5D37">
        <w:fldChar w:fldCharType="end"/>
      </w:r>
      <w:r>
        <w:t>.</w:t>
      </w:r>
    </w:p>
    <w:p w14:paraId="1FC4A262" w14:textId="3D13D940" w:rsidR="00AD4694" w:rsidRDefault="00AD4694" w:rsidP="00BE1E9B">
      <w:r>
        <w:t xml:space="preserve">In </w:t>
      </w:r>
      <w:r w:rsidR="00D9193F">
        <w:t>their</w:t>
      </w:r>
      <w:r>
        <w:t xml:space="preserve"> paper, Zhao, </w:t>
      </w:r>
      <w:proofErr w:type="spellStart"/>
      <w:r w:rsidRPr="00AD4694">
        <w:t>Selvanayagam</w:t>
      </w:r>
      <w:proofErr w:type="spellEnd"/>
      <w:r>
        <w:t xml:space="preserve">, and </w:t>
      </w:r>
      <w:proofErr w:type="spellStart"/>
      <w:r w:rsidRPr="00AD4694">
        <w:t>Hyppönen</w:t>
      </w:r>
      <w:proofErr w:type="spellEnd"/>
      <w:r>
        <w:t xml:space="preserve"> considered genetic predictors of 25-hydroxyvitamin D</w:t>
      </w:r>
      <w:r w:rsidR="00FF3AE6">
        <w:t xml:space="preserve"> [25(OH)D]</w:t>
      </w:r>
      <w:r>
        <w:t xml:space="preserve">, a clinical biomarker used </w:t>
      </w:r>
      <w:r w:rsidR="0013519C">
        <w:t xml:space="preserve">to </w:t>
      </w:r>
      <w:r>
        <w:t>measure vitamin D status, and assessed whether these variants were associated with cardiovascular disease risk</w:t>
      </w:r>
      <w:r w:rsidR="00145F61">
        <w:t xml:space="preserve"> in</w:t>
      </w:r>
      <w:r w:rsidR="00C41E55">
        <w:t xml:space="preserve"> individuals of European</w:t>
      </w:r>
      <w:r w:rsidR="00145F61">
        <w:t xml:space="preserve"> </w:t>
      </w:r>
      <w:r w:rsidR="00C41E55">
        <w:t xml:space="preserve">genetic ancestry from </w:t>
      </w:r>
      <w:r w:rsidR="00145F61">
        <w:t>the UK Biobank dataset</w:t>
      </w:r>
      <w:r w:rsidR="007D6DAF">
        <w:t xml:space="preserve"> </w:t>
      </w:r>
      <w:r w:rsidR="00CB1375">
        <w:fldChar w:fldCharType="begin"/>
      </w:r>
      <w:r w:rsidR="00CB1375">
        <w:instrText xml:space="preserve"> ADDIN EN.CITE &lt;EndNote&gt;&lt;Cite&gt;&lt;Author&gt;Zhao&lt;/Author&gt;&lt;Year&gt;2021&lt;/Year&gt;&lt;RecNum&gt;1012&lt;/RecNum&gt;&lt;DisplayText&gt;(6)&lt;/DisplayText&gt;&lt;record&gt;&lt;rec-number&gt;1012&lt;/rec-number&gt;&lt;foreign-keys&gt;&lt;key app="EN" db-id="5wpvxsf59wvrd4evtp55ssfwt555w0f0efxp" timestamp="1636645410" guid="95fbbcd4-9ab9-49f1-ad3a-605077ca06fb"&gt;1012&lt;/key&gt;&lt;/foreign-keys&gt;&lt;ref-type name="Journal Article"&gt;17&lt;/ref-type&gt;&lt;contributors&gt;&lt;authors&gt;&lt;author&gt;Zhao, Ang&lt;/author&gt;&lt;author&gt;Selvanayagam, Joseph&lt;/author&gt;&lt;author&gt;Hyppönen, Elina&lt;/author&gt;&lt;/authors&gt;&lt;/contributors&gt;&lt;titles&gt;&lt;title&gt;Non-linear Mendelian randomization analyses support a role for vitamin D deficiency in cardiovascular disease risk&lt;/title&gt;&lt;secondary-title&gt;Eur Heart J&lt;/secondary-title&gt;&lt;/titles&gt;&lt;periodical&gt;&lt;full-title&gt;Eur Heart J&lt;/full-title&gt;&lt;/periodical&gt;&lt;dates&gt;&lt;year&gt;2021&lt;/year&gt;&lt;/dates&gt;&lt;urls&gt;&lt;/urls&gt;&lt;/record&gt;&lt;/Cite&gt;&lt;/EndNote&gt;</w:instrText>
      </w:r>
      <w:r w:rsidR="00CB1375">
        <w:fldChar w:fldCharType="separate"/>
      </w:r>
      <w:r w:rsidR="00CB1375">
        <w:rPr>
          <w:noProof/>
        </w:rPr>
        <w:t>(6)</w:t>
      </w:r>
      <w:r w:rsidR="00CB1375">
        <w:fldChar w:fldCharType="end"/>
      </w:r>
      <w:r>
        <w:t xml:space="preserve">. They observed </w:t>
      </w:r>
      <w:r w:rsidR="003B658A">
        <w:t xml:space="preserve">inverse </w:t>
      </w:r>
      <w:r>
        <w:t>associations</w:t>
      </w:r>
      <w:r w:rsidR="00FF3AE6">
        <w:t xml:space="preserve"> in overall analyses</w:t>
      </w:r>
      <w:r>
        <w:t xml:space="preserve">, </w:t>
      </w:r>
      <w:r w:rsidR="00FF3AE6">
        <w:t xml:space="preserve">but particularly strong </w:t>
      </w:r>
      <w:r w:rsidR="003B658A">
        <w:t>inverse associations</w:t>
      </w:r>
      <w:r w:rsidR="00FF3AE6">
        <w:t xml:space="preserve"> in non-linear analyses for strata of the population </w:t>
      </w:r>
      <w:r w:rsidR="00D9193F">
        <w:t>with</w:t>
      </w:r>
      <w:r w:rsidR="00FF3AE6">
        <w:t xml:space="preserve"> low levels of 25(OH)D. The non-linear analyses </w:t>
      </w:r>
      <w:r w:rsidR="009552CF">
        <w:t>indicated</w:t>
      </w:r>
      <w:r w:rsidR="00FF3AE6">
        <w:t xml:space="preserve"> a</w:t>
      </w:r>
      <w:r w:rsidR="003B658A">
        <w:t xml:space="preserve"> threshold-like</w:t>
      </w:r>
      <w:r w:rsidR="00FF3AE6">
        <w:t xml:space="preserve"> relationship, suggesting </w:t>
      </w:r>
      <w:r w:rsidR="0093659B">
        <w:t xml:space="preserve">greater </w:t>
      </w:r>
      <w:r w:rsidR="00FF3AE6">
        <w:t xml:space="preserve">benefit of vitamin D supplementation </w:t>
      </w:r>
      <w:r w:rsidR="008371A1">
        <w:t>for</w:t>
      </w:r>
      <w:r w:rsidR="00FF3AE6">
        <w:t xml:space="preserve"> those who are vitamin D deficient, and </w:t>
      </w:r>
      <w:r w:rsidR="0093659B">
        <w:t>less</w:t>
      </w:r>
      <w:r w:rsidR="00FF3AE6">
        <w:t xml:space="preserve"> benefit for those with adequate vitamin D levels.</w:t>
      </w:r>
    </w:p>
    <w:p w14:paraId="272EB5FC" w14:textId="761D1F46" w:rsidR="00FF3AE6" w:rsidRDefault="00FF3AE6" w:rsidP="00BE1E9B">
      <w:r>
        <w:t xml:space="preserve">Results are similar to those recently published by Sofianopoulou </w:t>
      </w:r>
      <w:r w:rsidRPr="00FF3AE6">
        <w:rPr>
          <w:i/>
          <w:iCs/>
        </w:rPr>
        <w:t>et al</w:t>
      </w:r>
      <w:r w:rsidR="0013519C">
        <w:t>, which</w:t>
      </w:r>
      <w:r>
        <w:t xml:space="preserve"> showed </w:t>
      </w:r>
      <w:r w:rsidR="003B658A">
        <w:t>threshold</w:t>
      </w:r>
      <w:r>
        <w:t xml:space="preserve"> relationship</w:t>
      </w:r>
      <w:r w:rsidR="005E6E56">
        <w:t>s</w:t>
      </w:r>
      <w:r>
        <w:t xml:space="preserve"> for all-cause </w:t>
      </w:r>
      <w:r w:rsidR="005E6E56">
        <w:t xml:space="preserve">and cardiovascular </w:t>
      </w:r>
      <w:r>
        <w:t>mortality</w:t>
      </w:r>
      <w:r w:rsidR="00145F61">
        <w:t xml:space="preserve"> </w:t>
      </w:r>
      <w:r w:rsidR="00C41E55">
        <w:t xml:space="preserve">in individuals of European genetic ancestry from </w:t>
      </w:r>
      <w:r w:rsidR="00145F61">
        <w:t>the UK Biobank dataset</w:t>
      </w:r>
      <w:r w:rsidR="008B7B15">
        <w:t xml:space="preserve"> (as well as 3 smaller datasets)</w:t>
      </w:r>
      <w:r>
        <w:t xml:space="preserve">, </w:t>
      </w:r>
      <w:r w:rsidR="009B3A26">
        <w:t>with evidence supporting a benefi</w:t>
      </w:r>
      <w:r w:rsidR="00260F83">
        <w:t>cial effect</w:t>
      </w:r>
      <w:r w:rsidR="009B3A26">
        <w:t xml:space="preserve"> of higher </w:t>
      </w:r>
      <w:r w:rsidR="009B3A26" w:rsidRPr="009B3A26">
        <w:t>25(OH)D</w:t>
      </w:r>
      <w:r w:rsidR="009B3A26">
        <w:t xml:space="preserve"> in individuals that are </w:t>
      </w:r>
      <w:r w:rsidR="00260F83">
        <w:t xml:space="preserve">vitamin D </w:t>
      </w:r>
      <w:r w:rsidR="009B3A26">
        <w:t>deficient</w:t>
      </w:r>
      <w:r w:rsidR="00C94111">
        <w:t xml:space="preserve"> up to a threshold of around 40 nmol/L,</w:t>
      </w:r>
      <w:r w:rsidR="009B3A26">
        <w:t xml:space="preserve"> but</w:t>
      </w:r>
      <w:r>
        <w:t xml:space="preserve"> </w:t>
      </w:r>
      <w:r w:rsidR="0013519C">
        <w:t>with</w:t>
      </w:r>
      <w:r>
        <w:t xml:space="preserve"> no</w:t>
      </w:r>
      <w:r w:rsidR="0013519C">
        <w:t xml:space="preserve"> </w:t>
      </w:r>
      <w:r>
        <w:t xml:space="preserve">evidence of </w:t>
      </w:r>
      <w:r w:rsidRPr="001D5D37">
        <w:t xml:space="preserve">benefit </w:t>
      </w:r>
      <w:r w:rsidR="0013519C" w:rsidRPr="001D5D37">
        <w:t xml:space="preserve">when considering the population </w:t>
      </w:r>
      <w:r w:rsidR="009B3A26" w:rsidRPr="001D5D37">
        <w:t>as a whole</w:t>
      </w:r>
      <w:r w:rsidR="001D5D37">
        <w:t xml:space="preserve"> </w:t>
      </w:r>
      <w:r w:rsidR="004C5C03" w:rsidRPr="001D5D37">
        <w:fldChar w:fldCharType="begin"/>
      </w:r>
      <w:r w:rsidR="00CB1375">
        <w:instrText xml:space="preserve"> ADDIN EN.CITE &lt;EndNote&gt;&lt;Cite&gt;&lt;Author&gt;Sofianopoulou&lt;/Author&gt;&lt;Year&gt;2021&lt;/Year&gt;&lt;RecNum&gt;1015&lt;/RecNum&gt;&lt;DisplayText&gt;(7)&lt;/DisplayText&gt;&lt;record&gt;&lt;rec-number&gt;1015&lt;/rec-number&gt;&lt;foreign-keys&gt;&lt;key app="EN" db-id="5wpvxsf59wvrd4evtp55ssfwt555w0f0efxp" timestamp="1636645487" guid="7ec57b0e-5ca3-45a7-9482-825c1d5a71c4"&gt;1015&lt;/key&gt;&lt;/foreign-keys&gt;&lt;ref-type name="Journal Article"&gt;17&lt;/ref-type&gt;&lt;contributors&gt;&lt;authors&gt;&lt;author&gt;Sofianopoulou, Eleni&lt;/author&gt;&lt;author&gt;Kaptoge, Stephen&lt;/author&gt;&lt;author&gt;Afzal, Shoaib&lt;/author&gt;&lt;author&gt;Jiang, Tao&lt;/author&gt;&lt;author&gt;Gill, Dipender&lt;/author&gt;&lt;author&gt;Gundersen, Thomas E&lt;/author&gt;&lt;author&gt;Others&lt;/author&gt;&lt;/authors&gt;&lt;/contributors&gt;&lt;titles&gt;&lt;title&gt;Estimating dose-response relationships for vitamin D with coronary heart disease, stroke, and all-cause mortality: observational and Mendelian randomisation analyses&lt;/title&gt;&lt;secondary-title&gt;Lancet Diabetes &amp;amp; Endocrinology&lt;/secondary-title&gt;&lt;/titles&gt;&lt;periodical&gt;&lt;full-title&gt;Lancet Diabetes &amp;amp; Endocrinology&lt;/full-title&gt;&lt;/periodical&gt;&lt;dates&gt;&lt;year&gt;2021&lt;/year&gt;&lt;/dates&gt;&lt;isbn&gt;2213-8587&lt;/isbn&gt;&lt;urls&gt;&lt;/urls&gt;&lt;/record&gt;&lt;/Cite&gt;&lt;/EndNote&gt;</w:instrText>
      </w:r>
      <w:r w:rsidR="004C5C03" w:rsidRPr="001D5D37">
        <w:fldChar w:fldCharType="separate"/>
      </w:r>
      <w:r w:rsidR="00CB1375">
        <w:rPr>
          <w:noProof/>
        </w:rPr>
        <w:t>(7)</w:t>
      </w:r>
      <w:r w:rsidR="004C5C03" w:rsidRPr="001D5D37">
        <w:fldChar w:fldCharType="end"/>
      </w:r>
      <w:r w:rsidRPr="001D5D37">
        <w:t>.</w:t>
      </w:r>
      <w:r w:rsidR="005E6E56">
        <w:t xml:space="preserve"> </w:t>
      </w:r>
      <w:r w:rsidR="00C41E55">
        <w:t>Although they used broadly the same data, t</w:t>
      </w:r>
      <w:r w:rsidRPr="001D5D37">
        <w:t xml:space="preserve">here are two major </w:t>
      </w:r>
      <w:r w:rsidR="00655C21">
        <w:t xml:space="preserve">methodological </w:t>
      </w:r>
      <w:r w:rsidRPr="001D5D37">
        <w:t>differences between</w:t>
      </w:r>
      <w:r>
        <w:t xml:space="preserve"> these </w:t>
      </w:r>
      <w:r w:rsidR="0093659B">
        <w:t>studies</w:t>
      </w:r>
      <w:r>
        <w:t>. First, the Zhao paper</w:t>
      </w:r>
      <w:r w:rsidR="00536B30">
        <w:t xml:space="preserve"> performed a polygenic analysis</w:t>
      </w:r>
      <w:r>
        <w:t xml:space="preserve"> consider</w:t>
      </w:r>
      <w:r w:rsidR="00536B30">
        <w:t>ing</w:t>
      </w:r>
      <w:r>
        <w:t xml:space="preserve"> 35 genetic variants from multiple gene regions</w:t>
      </w:r>
      <w:r w:rsidR="008A0F95">
        <w:t xml:space="preserve"> (referred to as a “polygenic score”)</w:t>
      </w:r>
      <w:r>
        <w:t xml:space="preserve">, whereas the Sofianopoulou paper considered variants from 4 gene regions that have </w:t>
      </w:r>
      <w:r w:rsidR="008D7921">
        <w:t>biological links to vitamin D synthesis and metabolism</w:t>
      </w:r>
      <w:r w:rsidR="00AB3E58">
        <w:t xml:space="preserve"> (referred to as a “focused score”)</w:t>
      </w:r>
      <w:r w:rsidR="008D7921">
        <w:t>. Second</w:t>
      </w:r>
      <w:r w:rsidR="00526901">
        <w:t>ly</w:t>
      </w:r>
      <w:r w:rsidR="008D7921">
        <w:t>, the Zhao paper considered a wider outcome definition</w:t>
      </w:r>
      <w:r w:rsidR="0013519C">
        <w:t>,</w:t>
      </w:r>
      <w:r w:rsidR="008D7921">
        <w:t xml:space="preserve"> incorporating coronary </w:t>
      </w:r>
      <w:r w:rsidR="005E6E56">
        <w:t>artery</w:t>
      </w:r>
      <w:r w:rsidR="008D7921">
        <w:t xml:space="preserve"> disease, stroke, and peripheral vascular disease, </w:t>
      </w:r>
      <w:r w:rsidR="008D7921">
        <w:lastRenderedPageBreak/>
        <w:t xml:space="preserve">whereas the Sofianopoulou paper considered coronary </w:t>
      </w:r>
      <w:r w:rsidR="005E6E56">
        <w:t xml:space="preserve">heart </w:t>
      </w:r>
      <w:r w:rsidR="008D7921">
        <w:t>disease and stroke as separate outcomes, as well as cardiovascular mortality.</w:t>
      </w:r>
      <w:r w:rsidR="00BB5D2F">
        <w:t xml:space="preserve"> </w:t>
      </w:r>
      <w:r w:rsidR="00145F61">
        <w:t xml:space="preserve">Analyses in the Sofianopoulou paper for coronary heart disease and stroke provided null </w:t>
      </w:r>
      <w:r w:rsidR="0019389F">
        <w:t>associations</w:t>
      </w:r>
      <w:r w:rsidR="00145F61">
        <w:t xml:space="preserve"> overall</w:t>
      </w:r>
      <w:r w:rsidR="0019389F">
        <w:t>,</w:t>
      </w:r>
      <w:r w:rsidR="00145F61">
        <w:t xml:space="preserve"> </w:t>
      </w:r>
      <w:r w:rsidR="0019389F">
        <w:t xml:space="preserve">but </w:t>
      </w:r>
      <w:r w:rsidR="00145F61">
        <w:t>inverse</w:t>
      </w:r>
      <w:r w:rsidR="0019389F">
        <w:t xml:space="preserve"> associations</w:t>
      </w:r>
      <w:r w:rsidR="00145F61">
        <w:t xml:space="preserve"> in the deficient stratum, </w:t>
      </w:r>
      <w:r w:rsidR="0017720C">
        <w:t>but</w:t>
      </w:r>
      <w:r w:rsidR="00145F61">
        <w:t xml:space="preserve"> with less statistical precision </w:t>
      </w:r>
      <w:r w:rsidR="008F0872">
        <w:t xml:space="preserve">arising from </w:t>
      </w:r>
      <w:r w:rsidR="00145F61">
        <w:t>the lower number of events</w:t>
      </w:r>
      <w:r w:rsidR="008F0872">
        <w:t xml:space="preserve"> due to considering the outcomes separately</w:t>
      </w:r>
      <w:r w:rsidR="00145F61">
        <w:t xml:space="preserve">. </w:t>
      </w:r>
      <w:r w:rsidR="00BB5D2F">
        <w:t>Table 1 summarizes differences in the methodology and results between the studies.</w:t>
      </w:r>
    </w:p>
    <w:p w14:paraId="7DFDEAE9" w14:textId="382581C2" w:rsidR="00BB5D2F" w:rsidRDefault="00BB5D2F" w:rsidP="00BE1E9B">
      <w:r>
        <w:t xml:space="preserve">One concern in the Zhao paper is potential pleiotropy via </w:t>
      </w:r>
      <w:r w:rsidR="0019389F">
        <w:t>low-density lipoprotein (LDL)</w:t>
      </w:r>
      <w:r w:rsidR="00655C21">
        <w:t>-</w:t>
      </w:r>
      <w:r>
        <w:t>cholesterol</w:t>
      </w:r>
      <w:r w:rsidR="0019389F">
        <w:t>, which is implicated in cardiovascular disease pathophysiology</w:t>
      </w:r>
      <w:r>
        <w:t xml:space="preserve">. While the authors conducted analyses to </w:t>
      </w:r>
      <w:r w:rsidR="00D9193F">
        <w:t>assess</w:t>
      </w:r>
      <w:r>
        <w:t xml:space="preserve"> pleiotropic associations with several covariates, they </w:t>
      </w:r>
      <w:r w:rsidR="009B3A26">
        <w:t>did not specifically</w:t>
      </w:r>
      <w:r>
        <w:t xml:space="preserve"> consider </w:t>
      </w:r>
      <w:r w:rsidR="00793808">
        <w:t>LDL</w:t>
      </w:r>
      <w:r>
        <w:t>-cholesterol. Taking</w:t>
      </w:r>
      <w:r w:rsidR="00485847">
        <w:t xml:space="preserve"> genetic</w:t>
      </w:r>
      <w:r>
        <w:t xml:space="preserve"> associations in White British participants from UK </w:t>
      </w:r>
      <w:r w:rsidRPr="001D5D37">
        <w:t xml:space="preserve">Biobank reported by Neale </w:t>
      </w:r>
      <w:r w:rsidRPr="001D5D37">
        <w:rPr>
          <w:i/>
          <w:iCs/>
        </w:rPr>
        <w:t>et al</w:t>
      </w:r>
      <w:r w:rsidR="001D5D37">
        <w:t xml:space="preserve"> </w:t>
      </w:r>
      <w:r w:rsidR="00F35F75" w:rsidRPr="001D5D37">
        <w:fldChar w:fldCharType="begin"/>
      </w:r>
      <w:r w:rsidR="00CB1375">
        <w:instrText xml:space="preserve"> ADDIN EN.CITE &lt;EndNote&gt;&lt;Cite ExcludeAuth="1"&gt;&lt;Author&gt;Neale&lt;/Author&gt;&lt;Year&gt;2018&lt;/Year&gt;&lt;RecNum&gt;1016&lt;/RecNum&gt;&lt;DisplayText&gt;(8)&lt;/DisplayText&gt;&lt;record&gt;&lt;rec-number&gt;1016&lt;/rec-number&gt;&lt;foreign-keys&gt;&lt;key app="EN" db-id="5wpvxsf59wvrd4evtp55ssfwt555w0f0efxp" timestamp="1636645487" guid="faa4d2ba-9a2d-4bb4-af7c-2222d5d6781e"&gt;1016&lt;/key&gt;&lt;/foreign-keys&gt;&lt;ref-type name="Web Page"&gt;12&lt;/ref-type&gt;&lt;contributors&gt;&lt;authors&gt;&lt;author&gt;Neale, Ben&lt;/author&gt;&lt;author&gt;Abbott, Liam&lt;/author&gt;&lt;author&gt;Bryant, Sam&lt;/author&gt;&lt;author&gt;Churchhouse, Claire&lt;/author&gt;&lt;author&gt;Ganna,  Andrea&lt;/author&gt;&lt;author&gt;Howrigan, Daniel&lt;/author&gt;&lt;author&gt;Palmer, Duncan&lt;/author&gt;&lt;author&gt;Walters, Raymond&lt;/author&gt;&lt;author&gt;Carey, Caitlin&lt;/author&gt;&lt;/authors&gt;&lt;/contributors&gt;&lt;titles&gt;&lt;title&gt;UK Biobank GWAS results Round 2&lt;/title&gt;&lt;/titles&gt;&lt;dates&gt;&lt;year&gt;2018&lt;/year&gt;&lt;/dates&gt;&lt;urls&gt;&lt;related-urls&gt;&lt;url&gt;http://www.nealelab.is/uk-biobank&lt;/url&gt;&lt;/related-urls&gt;&lt;/urls&gt;&lt;/record&gt;&lt;/Cite&gt;&lt;/EndNote&gt;</w:instrText>
      </w:r>
      <w:r w:rsidR="00F35F75" w:rsidRPr="001D5D37">
        <w:fldChar w:fldCharType="separate"/>
      </w:r>
      <w:r w:rsidR="00CB1375">
        <w:rPr>
          <w:noProof/>
        </w:rPr>
        <w:t>(8)</w:t>
      </w:r>
      <w:r w:rsidR="00F35F75" w:rsidRPr="001D5D37">
        <w:fldChar w:fldCharType="end"/>
      </w:r>
      <w:r w:rsidR="00CB1375">
        <w:t>,</w:t>
      </w:r>
      <w:r w:rsidRPr="001D5D37">
        <w:t xml:space="preserve"> </w:t>
      </w:r>
      <w:r w:rsidR="003A6946" w:rsidRPr="001D5D37">
        <w:t>three of the 35 variants in the Zhao paper were associated with</w:t>
      </w:r>
      <w:r w:rsidR="003A6946">
        <w:t xml:space="preserve"> LDL-cholesterol at p&lt;5</w:t>
      </w:r>
      <w:r w:rsidR="002641C2">
        <w:rPr>
          <w:rFonts w:cstheme="minorHAnsi"/>
        </w:rPr>
        <w:t>×</w:t>
      </w:r>
      <w:r w:rsidR="003A6946">
        <w:t>10</w:t>
      </w:r>
      <w:r w:rsidR="003A6946" w:rsidRPr="002641C2">
        <w:rPr>
          <w:vertAlign w:val="superscript"/>
        </w:rPr>
        <w:t>-8</w:t>
      </w:r>
      <w:r w:rsidR="003A6946">
        <w:t xml:space="preserve"> (</w:t>
      </w:r>
      <w:r w:rsidR="003A6946" w:rsidRPr="00BE1E9B">
        <w:t>rs7528419</w:t>
      </w:r>
      <w:r w:rsidR="003A6946">
        <w:t xml:space="preserve">, </w:t>
      </w:r>
      <w:r w:rsidR="003A6946" w:rsidRPr="00BE1E9B">
        <w:t>rs78151190</w:t>
      </w:r>
      <w:r w:rsidR="003A6946">
        <w:t xml:space="preserve">, and </w:t>
      </w:r>
      <w:r w:rsidR="003A6946" w:rsidRPr="00BE1E9B">
        <w:t>rs261291</w:t>
      </w:r>
      <w:r w:rsidR="003A6946">
        <w:t xml:space="preserve">), and a further four </w:t>
      </w:r>
      <w:r>
        <w:t>variants were associated at p&lt;0.005</w:t>
      </w:r>
      <w:r w:rsidR="003A6946">
        <w:t xml:space="preserve"> (</w:t>
      </w:r>
      <w:r w:rsidR="003A6946" w:rsidRPr="00BE1E9B">
        <w:t>rs6671730</w:t>
      </w:r>
      <w:r w:rsidR="003A6946">
        <w:t>, rs6123359, rs17216707, rs2585442)</w:t>
      </w:r>
      <w:r w:rsidR="007E390C">
        <w:t xml:space="preserve">. A polygenic </w:t>
      </w:r>
      <w:r w:rsidR="008A0F95">
        <w:t>score</w:t>
      </w:r>
      <w:r w:rsidR="007E390C">
        <w:t xml:space="preserve"> was also considered in the Sofianopoulou paper as a secondary analysis</w:t>
      </w:r>
      <w:r w:rsidR="001900E1">
        <w:t>; however, this analysis was also affected by pleiotropy via LDL-cholesterol. The polygenic analysis of Sofianopoulou</w:t>
      </w:r>
      <w:r w:rsidR="00E8397C">
        <w:t xml:space="preserve"> found an overall association with coronary </w:t>
      </w:r>
      <w:r w:rsidR="005E6E56">
        <w:t>artery</w:t>
      </w:r>
      <w:r w:rsidR="00E8397C">
        <w:t xml:space="preserve"> disease that attenuated in</w:t>
      </w:r>
      <w:r w:rsidR="00BD6188">
        <w:t xml:space="preserve"> a</w:t>
      </w:r>
      <w:r w:rsidR="00E8397C">
        <w:t xml:space="preserve"> multivariable Mendelian randomization </w:t>
      </w:r>
      <w:r w:rsidR="00BD6188">
        <w:t xml:space="preserve">model </w:t>
      </w:r>
      <w:r w:rsidR="00E8397C">
        <w:t xml:space="preserve">adjusting for </w:t>
      </w:r>
      <w:r w:rsidR="0019389F">
        <w:t xml:space="preserve">genetically predicted </w:t>
      </w:r>
      <w:r w:rsidR="00E8397C">
        <w:t>LDL-cholesterol and triglyceride</w:t>
      </w:r>
      <w:r w:rsidR="0019389F">
        <w:t xml:space="preserve"> level</w:t>
      </w:r>
      <w:r w:rsidR="00E8397C">
        <w:t xml:space="preserve">s. However, evidence for an inverse association with stroke in vitamin D deficient individuals </w:t>
      </w:r>
      <w:r w:rsidR="00536B30">
        <w:t xml:space="preserve">in the polygenic analysis </w:t>
      </w:r>
      <w:r w:rsidR="00E8397C">
        <w:t>persisted despite the same adjustment</w:t>
      </w:r>
      <w:r w:rsidR="00416927">
        <w:t>; while the estimate in the deficient stratum attenuated on adjustment, evidence for an inverse association remained</w:t>
      </w:r>
      <w:r w:rsidR="00E8397C">
        <w:t>.</w:t>
      </w:r>
      <w:r w:rsidR="00BD6188">
        <w:t xml:space="preserve"> This suggests that associations indicated by polygenic analyses in the deficient stratum may be robust to pleiotropy, but associations in the overall population may not be robust to pleiotropy via LDL-cholesterol.</w:t>
      </w:r>
    </w:p>
    <w:p w14:paraId="3AC8B782" w14:textId="7A3B0BAF" w:rsidR="00E8397C" w:rsidRDefault="00E8397C" w:rsidP="00BE1E9B">
      <w:r>
        <w:t xml:space="preserve">A further </w:t>
      </w:r>
      <w:r w:rsidR="00C94111">
        <w:t xml:space="preserve">potential </w:t>
      </w:r>
      <w:r>
        <w:t>concern with the Zhao paper is the presentation of population impact factors. Genetic estimates in Mendelian randomization represent differences in disease risk between groups having lifelong differences in the distribution of the exposure</w:t>
      </w:r>
      <w:r w:rsidR="001D5D37">
        <w:t xml:space="preserve"> </w:t>
      </w:r>
      <w:r w:rsidR="00F35F75" w:rsidRPr="001D5D37">
        <w:fldChar w:fldCharType="begin"/>
      </w:r>
      <w:r w:rsidR="00CB1375">
        <w:instrText xml:space="preserve"> ADDIN EN.CITE &lt;EndNote&gt;&lt;Cite&gt;&lt;Author&gt;Ference&lt;/Author&gt;&lt;Year&gt;2018&lt;/Year&gt;&lt;RecNum&gt;887&lt;/RecNum&gt;&lt;DisplayText&gt;(9)&lt;/DisplayText&gt;&lt;record&gt;&lt;rec-number&gt;887&lt;/rec-number&gt;&lt;foreign-keys&gt;&lt;key app="EN" db-id="5wpvxsf59wvrd4evtp55ssfwt555w0f0efxp" timestamp="1597266255" guid="b18a3cd6-ba61-4c12-8df9-8c73ab535a6e"&gt;887&lt;/key&gt;&lt;/foreign-keys&gt;&lt;ref-type name="Journal Article"&gt;17&lt;/ref-type&gt;&lt;contributors&gt;&lt;authors&gt;&lt;author&gt;Ference, Brian A&lt;/author&gt;&lt;/authors&gt;&lt;/contributors&gt;&lt;titles&gt;&lt;title&gt;How to use Mendelian randomization to anticipate the results of randomized trials&lt;/title&gt;&lt;secondary-title&gt;European Heart Journal&lt;/secondary-title&gt;&lt;/titles&gt;&lt;periodical&gt;&lt;full-title&gt;European Heart Journal&lt;/full-title&gt;&lt;/periodical&gt;&lt;pages&gt;360-362&lt;/pages&gt;&lt;volume&gt;39&lt;/volume&gt;&lt;number&gt;5&lt;/number&gt;&lt;dates&gt;&lt;year&gt;2018&lt;/year&gt;&lt;/dates&gt;&lt;isbn&gt;0195-668X&lt;/isbn&gt;&lt;urls&gt;&lt;/urls&gt;&lt;/record&gt;&lt;/Cite&gt;&lt;/EndNote&gt;</w:instrText>
      </w:r>
      <w:r w:rsidR="00F35F75" w:rsidRPr="001D5D37">
        <w:fldChar w:fldCharType="separate"/>
      </w:r>
      <w:r w:rsidR="00CB1375">
        <w:rPr>
          <w:noProof/>
        </w:rPr>
        <w:t>(9)</w:t>
      </w:r>
      <w:r w:rsidR="00F35F75" w:rsidRPr="001D5D37">
        <w:fldChar w:fldCharType="end"/>
      </w:r>
      <w:r>
        <w:t xml:space="preserve">. Replicating such estimates in practice would require lifelong interventions to increase 25(OH)D levels. Hence the achievable population benefit for cardiovascular risk </w:t>
      </w:r>
      <w:r w:rsidR="0019389F">
        <w:t>reduction through</w:t>
      </w:r>
      <w:r>
        <w:t xml:space="preserve"> vitamin D supplementation is </w:t>
      </w:r>
      <w:r w:rsidR="009B3A26">
        <w:t xml:space="preserve">likely </w:t>
      </w:r>
      <w:r>
        <w:t xml:space="preserve">overestimated </w:t>
      </w:r>
      <w:r w:rsidR="006232D9">
        <w:fldChar w:fldCharType="begin"/>
      </w:r>
      <w:r w:rsidR="00CB1375">
        <w:instrText xml:space="preserve"> ADDIN EN.CITE &lt;EndNote&gt;&lt;Cite&gt;&lt;Author&gt;Burgess&lt;/Author&gt;&lt;Year&gt;2012&lt;/Year&gt;&lt;RecNum&gt;465&lt;/RecNum&gt;&lt;DisplayText&gt;(10)&lt;/DisplayText&gt;&lt;record&gt;&lt;rec-number&gt;465&lt;/rec-number&gt;&lt;foreign-keys&gt;&lt;key app="EN" db-id="5wpvxsf59wvrd4evtp55ssfwt555w0f0efxp" timestamp="1529332908" guid="ef1806e0-63fb-45d9-b398-5855836b87f3"&gt;465&lt;/key&gt;&lt;/foreign-keys&gt;&lt;ref-type name="Journal Article"&gt;17&lt;/ref-type&gt;&lt;contributors&gt;&lt;authors&gt;&lt;author&gt;Burgess, Stephen&lt;/author&gt;&lt;author&gt;Butterworth, Adam&lt;/author&gt;&lt;author&gt;Malarstig, Anders&lt;/author&gt;&lt;author&gt;Thompson, Simon G&lt;/author&gt;&lt;/authors&gt;&lt;/contributors&gt;&lt;titles&gt;&lt;title&gt;Use of Mendelian randomisation to assess potential benefit of clinical intervention&lt;/title&gt;&lt;secondary-title&gt;British Medical Journal&lt;/secondary-title&gt;&lt;/titles&gt;&lt;periodical&gt;&lt;full-title&gt;British Medical Journal&lt;/full-title&gt;&lt;/periodical&gt;&lt;pages&gt;e7325&lt;/pages&gt;&lt;volume&gt;345&lt;/volume&gt;&lt;dates&gt;&lt;year&gt;2012&lt;/year&gt;&lt;/dates&gt;&lt;isbn&gt;1756-1833&lt;/isbn&gt;&lt;urls&gt;&lt;/urls&gt;&lt;/record&gt;&lt;/Cite&gt;&lt;/EndNote&gt;</w:instrText>
      </w:r>
      <w:r w:rsidR="006232D9">
        <w:fldChar w:fldCharType="separate"/>
      </w:r>
      <w:r w:rsidR="00CB1375">
        <w:rPr>
          <w:noProof/>
        </w:rPr>
        <w:t>(10)</w:t>
      </w:r>
      <w:r w:rsidR="006232D9">
        <w:fldChar w:fldCharType="end"/>
      </w:r>
      <w:r w:rsidR="001A0019">
        <w:t xml:space="preserve">. </w:t>
      </w:r>
      <w:r>
        <w:t>There are also potential harms of high levels of vitamin D supplementation for those with already adequate levels of 25(OH)D</w:t>
      </w:r>
      <w:r w:rsidR="00C23127">
        <w:t xml:space="preserve"> </w:t>
      </w:r>
      <w:r w:rsidR="005C2536" w:rsidRPr="001D5D37">
        <w:fldChar w:fldCharType="begin"/>
      </w:r>
      <w:r w:rsidR="00CB1375">
        <w:instrText xml:space="preserve"> ADDIN EN.CITE &lt;EndNote&gt;&lt;Cite&gt;&lt;Author&gt;Marcinowska-Suchowierska&lt;/Author&gt;&lt;Year&gt;2018&lt;/Year&gt;&lt;RecNum&gt;1017&lt;/RecNum&gt;&lt;DisplayText&gt;(11)&lt;/DisplayText&gt;&lt;record&gt;&lt;rec-number&gt;1017&lt;/rec-number&gt;&lt;foreign-keys&gt;&lt;key app="EN" db-id="5wpvxsf59wvrd4evtp55ssfwt555w0f0efxp" timestamp="1636645487" guid="3495250c-5dc8-4d92-b398-9700c0a415f0"&gt;1017&lt;/key&gt;&lt;/foreign-keys&gt;&lt;ref-type name="Journal Article"&gt;17&lt;/ref-type&gt;&lt;contributors&gt;&lt;authors&gt;&lt;author&gt;Marcinowska-Suchowierska,Ewa&lt;/author&gt;&lt;author&gt;Kupisz-Urbańska,Małgorzata&lt;/author&gt;&lt;author&gt;Łukaszkiewicz,Jacek&lt;/author&gt;&lt;author&gt;Płudowski,Paweł&lt;/author&gt;&lt;author&gt;Jones,Glenville&lt;/author&gt;&lt;/authors&gt;&lt;/contributors&gt;&lt;titles&gt;&lt;title&gt;Vitamin D Toxicity–A Clinical Perspective&lt;/title&gt;&lt;secondary-title&gt;Frontiers in Endocrinology&lt;/secondary-title&gt;&lt;short-title&gt;Vitamin D toxicity&lt;/short-title&gt;&lt;/titles&gt;&lt;periodical&gt;&lt;full-title&gt;Frontiers in Endocrinology&lt;/full-title&gt;&lt;/periodical&gt;&lt;pages&gt;550&lt;/pages&gt;&lt;volume&gt;9&lt;/volume&gt;&lt;keywords&gt;&lt;keyword&gt;25 (OH) D,Toxicity,clinical symptoms,Management,Vitamin D&lt;/keyword&gt;&lt;/keywords&gt;&lt;dates&gt;&lt;year&gt;2018&lt;/year&gt;&lt;pub-dates&gt;&lt;date&gt;2018-September-20&lt;/date&gt;&lt;/pub-dates&gt;&lt;/dates&gt;&lt;isbn&gt;1664-2392&lt;/isbn&gt;&lt;work-type&gt;Review&lt;/work-type&gt;&lt;urls&gt;&lt;related-urls&gt;&lt;url&gt;https://www.frontiersin.org/article/10.3389/fendo.2018.00550&lt;/url&gt;&lt;/related-urls&gt;&lt;/urls&gt;&lt;electronic-resource-num&gt;10.3389/fendo.2018.00550&lt;/electronic-resource-num&gt;&lt;language&gt;English&lt;/language&gt;&lt;/record&gt;&lt;/Cite&gt;&lt;/EndNote&gt;</w:instrText>
      </w:r>
      <w:r w:rsidR="005C2536" w:rsidRPr="001D5D37">
        <w:fldChar w:fldCharType="separate"/>
      </w:r>
      <w:r w:rsidR="00CB1375">
        <w:rPr>
          <w:noProof/>
        </w:rPr>
        <w:t>(11)</w:t>
      </w:r>
      <w:r w:rsidR="005C2536" w:rsidRPr="001D5D37">
        <w:fldChar w:fldCharType="end"/>
      </w:r>
      <w:r w:rsidR="00C23127">
        <w:t xml:space="preserve">. </w:t>
      </w:r>
      <w:r w:rsidR="00BF6F31">
        <w:t xml:space="preserve">These factors </w:t>
      </w:r>
      <w:r w:rsidR="006D2FA0">
        <w:t xml:space="preserve">suggest </w:t>
      </w:r>
      <w:r w:rsidR="00BF6F31">
        <w:t xml:space="preserve">that any </w:t>
      </w:r>
      <w:r w:rsidR="006D2FA0">
        <w:t xml:space="preserve">clinical </w:t>
      </w:r>
      <w:r w:rsidR="00BF6F31">
        <w:t>trial to demonstrate benefit</w:t>
      </w:r>
      <w:r w:rsidR="0019389F">
        <w:t>s</w:t>
      </w:r>
      <w:r w:rsidR="00BF6F31">
        <w:t xml:space="preserve"> of vitamin D supplementation </w:t>
      </w:r>
      <w:r w:rsidR="006D2FA0">
        <w:t xml:space="preserve">should </w:t>
      </w:r>
      <w:r w:rsidR="00BF6F31">
        <w:t xml:space="preserve">be </w:t>
      </w:r>
      <w:proofErr w:type="gramStart"/>
      <w:r w:rsidR="00BF6F31">
        <w:t>large in size</w:t>
      </w:r>
      <w:proofErr w:type="gramEnd"/>
      <w:r w:rsidR="00BF6F31">
        <w:t>, focused on a vitamin D deficient population, and have a long follow-up</w:t>
      </w:r>
      <w:r w:rsidR="0019389F">
        <w:t xml:space="preserve"> period</w:t>
      </w:r>
      <w:r w:rsidR="00BF6F31">
        <w:t xml:space="preserve">. Contamination by vitamin D supplementation in the control group would </w:t>
      </w:r>
      <w:r w:rsidR="0019389F">
        <w:t xml:space="preserve">further potentially </w:t>
      </w:r>
      <w:r w:rsidR="00BF6F31">
        <w:t xml:space="preserve">limit the </w:t>
      </w:r>
      <w:r w:rsidR="002C267A">
        <w:t xml:space="preserve">effectiveness </w:t>
      </w:r>
      <w:r w:rsidR="00BF6F31">
        <w:t>of the trial. Such a trial may</w:t>
      </w:r>
      <w:r w:rsidR="006D2FA0">
        <w:t xml:space="preserve"> therefore</w:t>
      </w:r>
      <w:r w:rsidR="00BF6F31">
        <w:t xml:space="preserve"> be </w:t>
      </w:r>
      <w:r w:rsidR="009B3A26">
        <w:t xml:space="preserve">difficult to </w:t>
      </w:r>
      <w:r w:rsidR="00C94111">
        <w:t>implement</w:t>
      </w:r>
      <w:r w:rsidR="009B3A26">
        <w:t xml:space="preserve"> </w:t>
      </w:r>
      <w:r w:rsidR="00BF6F31">
        <w:t>in practice.</w:t>
      </w:r>
    </w:p>
    <w:p w14:paraId="710E4B8E" w14:textId="46BA92EB" w:rsidR="00E8397C" w:rsidRDefault="00E8397C" w:rsidP="00BE1E9B">
      <w:r>
        <w:t xml:space="preserve">Overall, the </w:t>
      </w:r>
      <w:r w:rsidR="003A6946">
        <w:t>finding of the Zhao paper</w:t>
      </w:r>
      <w:r w:rsidR="00DC3A35">
        <w:t xml:space="preserve"> supporting</w:t>
      </w:r>
      <w:r w:rsidR="003A6946">
        <w:t xml:space="preserve"> that vitamin D supplementation reduces risk of cardiovascular disease for vitamin D deficient individuals is plausible, and is supported by </w:t>
      </w:r>
      <w:r w:rsidR="00695891">
        <w:t xml:space="preserve">the </w:t>
      </w:r>
      <w:r w:rsidR="0019389F">
        <w:t xml:space="preserve">existing </w:t>
      </w:r>
      <w:r w:rsidR="003A6946">
        <w:t>literature</w:t>
      </w:r>
      <w:r w:rsidR="00C23127">
        <w:t xml:space="preserve"> </w:t>
      </w:r>
      <w:r w:rsidR="00641B3C" w:rsidRPr="00536B30">
        <w:fldChar w:fldCharType="begin"/>
      </w:r>
      <w:r w:rsidR="00CB1375" w:rsidRPr="00536B30">
        <w:instrText xml:space="preserve"> ADDIN EN.CITE &lt;EndNote&gt;&lt;Cite&gt;&lt;Author&gt;Sofianopoulou&lt;/Author&gt;&lt;Year&gt;2021&lt;/Year&gt;&lt;RecNum&gt;1015&lt;/RecNum&gt;&lt;DisplayText&gt;(7)&lt;/DisplayText&gt;&lt;record&gt;&lt;rec-number&gt;1015&lt;/rec-number&gt;&lt;foreign-keys&gt;&lt;key app="EN" db-id="5wpvxsf59wvrd4evtp55ssfwt555w0f0efxp" timestamp="1636645487" guid="7ec57b0e-5ca3-45a7-9482-825c1d5a71c4"&gt;1015&lt;/key&gt;&lt;/foreign-keys&gt;&lt;ref-type name="Journal Article"&gt;17&lt;/ref-type&gt;&lt;contributors&gt;&lt;authors&gt;&lt;author&gt;Sofianopoulou, Eleni&lt;/author&gt;&lt;author&gt;Kaptoge, Stephen&lt;/author&gt;&lt;author&gt;Afzal, Shoaib&lt;/author&gt;&lt;author&gt;Jiang, Tao&lt;/author&gt;&lt;author&gt;Gill, Dipender&lt;/author&gt;&lt;author&gt;Gundersen, Thomas E&lt;/author&gt;&lt;author&gt;Others&lt;/author&gt;&lt;/authors&gt;&lt;/contributors&gt;&lt;titles&gt;&lt;title&gt;Estimating dose-response relationships for vitamin D with coronary heart disease, stroke, and all-cause mortality: observational and Mendelian randomisation analyses&lt;/title&gt;&lt;secondary-title&gt;Lancet Diabetes &amp;amp; Endocrinology&lt;/secondary-title&gt;&lt;/titles&gt;&lt;periodical&gt;&lt;full-title&gt;Lancet Diabetes &amp;amp; Endocrinology&lt;/full-title&gt;&lt;/periodical&gt;&lt;dates&gt;&lt;year&gt;2021&lt;/year&gt;&lt;/dates&gt;&lt;isbn&gt;2213-8587&lt;/isbn&gt;&lt;urls&gt;&lt;/urls&gt;&lt;/record&gt;&lt;/Cite&gt;&lt;/EndNote&gt;</w:instrText>
      </w:r>
      <w:r w:rsidR="00641B3C" w:rsidRPr="00536B30">
        <w:fldChar w:fldCharType="separate"/>
      </w:r>
      <w:r w:rsidR="00CB1375" w:rsidRPr="00536B30">
        <w:t>(7)</w:t>
      </w:r>
      <w:r w:rsidR="00641B3C" w:rsidRPr="00536B30">
        <w:fldChar w:fldCharType="end"/>
      </w:r>
      <w:r w:rsidR="00C23127">
        <w:t>.</w:t>
      </w:r>
      <w:r w:rsidR="003A6946">
        <w:t xml:space="preserve"> The association of genetically-predicted levels of 25(OH)D with cardiovascular disease risk </w:t>
      </w:r>
      <w:r w:rsidR="009552CF">
        <w:t xml:space="preserve">estimated by Zhao </w:t>
      </w:r>
      <w:r w:rsidR="00695891">
        <w:t xml:space="preserve">in deficient individuals </w:t>
      </w:r>
      <w:r w:rsidR="003A6946">
        <w:t xml:space="preserve">is </w:t>
      </w:r>
      <w:r w:rsidR="009227F4">
        <w:t>so large</w:t>
      </w:r>
      <w:r w:rsidR="003A6946">
        <w:t xml:space="preserve"> </w:t>
      </w:r>
      <w:r w:rsidR="009227F4">
        <w:t xml:space="preserve">in magnitude </w:t>
      </w:r>
      <w:r w:rsidR="003A6946">
        <w:t xml:space="preserve">that it is unlikely </w:t>
      </w:r>
      <w:r w:rsidR="0019389F">
        <w:t xml:space="preserve">to be </w:t>
      </w:r>
      <w:r w:rsidR="001900E1">
        <w:t xml:space="preserve">wholly </w:t>
      </w:r>
      <w:r w:rsidR="0019389F">
        <w:t>attributable to</w:t>
      </w:r>
      <w:r w:rsidR="003A6946">
        <w:t xml:space="preserve"> pleiotropic associations of the genetic variants in the analysis. In contrast, the </w:t>
      </w:r>
      <w:r w:rsidR="007A12BB">
        <w:t xml:space="preserve">notion </w:t>
      </w:r>
      <w:r w:rsidR="003A6946">
        <w:t xml:space="preserve">that vitamin D reduces risk of cardiovascular disease in individuals with adequate levels of 25(OH)D is more questionable, </w:t>
      </w:r>
      <w:r w:rsidR="007A12BB">
        <w:t>as findings in the genetic analyses could</w:t>
      </w:r>
      <w:r w:rsidR="003A6946">
        <w:t xml:space="preserve"> be </w:t>
      </w:r>
      <w:r w:rsidR="009E2BD9">
        <w:t xml:space="preserve">fully </w:t>
      </w:r>
      <w:r w:rsidR="003A6946">
        <w:t xml:space="preserve">explained by pleiotropic associations of variants with LDL-cholesterol. </w:t>
      </w:r>
      <w:r w:rsidR="009552CF">
        <w:t>Generally speaking, i</w:t>
      </w:r>
      <w:r w:rsidR="009227F4">
        <w:t xml:space="preserve">t is </w:t>
      </w:r>
      <w:r w:rsidR="003A6946">
        <w:t>recommend</w:t>
      </w:r>
      <w:r w:rsidR="009227F4">
        <w:t>ed</w:t>
      </w:r>
      <w:r w:rsidR="003A6946">
        <w:t xml:space="preserve"> that Mendelian randomization studies consider a biologically-informed choice of genetic variants where possible, and if not possible, consider pleiotropic associations with key determinants of disease risk</w:t>
      </w:r>
      <w:r w:rsidR="00050E19">
        <w:t xml:space="preserve"> </w:t>
      </w:r>
      <w:r w:rsidR="00641B3C" w:rsidRPr="001D5D37">
        <w:fldChar w:fldCharType="begin"/>
      </w:r>
      <w:r w:rsidR="00CB1375">
        <w:instrText xml:space="preserve"> ADDIN EN.CITE &lt;EndNote&gt;&lt;Cite&gt;&lt;Author&gt;Burgess&lt;/Author&gt;&lt;Year&gt;2019&lt;/Year&gt;&lt;RecNum&gt;1018&lt;/RecNum&gt;&lt;DisplayText&gt;(12)&lt;/DisplayText&gt;&lt;record&gt;&lt;rec-number&gt;1018&lt;/rec-number&gt;&lt;foreign-keys&gt;&lt;key app="EN" db-id="5wpvxsf59wvrd4evtp55ssfwt555w0f0efxp" timestamp="1636645487" guid="a589b220-59fd-406c-9dc4-514ac92b75e6"&gt;1018&lt;/key&gt;&lt;/foreign-keys&gt;&lt;ref-type name="Journal Article"&gt;17&lt;/ref-type&gt;&lt;contributors&gt;&lt;authors&gt;&lt;author&gt;Burgess, Stephen&lt;/author&gt;&lt;author&gt;Davey Smith, George&lt;/author&gt;&lt;author&gt;Davies, Neil M&lt;/author&gt;&lt;author&gt;Dudbridge, Frank&lt;/author&gt;&lt;author&gt;Gill, Dipender&lt;/author&gt;&lt;author&gt;Glymour, M Maria&lt;/author&gt;&lt;author&gt;Hartwig, Fernando P&lt;/author&gt;&lt;author&gt;Holmes, Michael V&lt;/author&gt;&lt;author&gt;Minelli, Cosetta&lt;/author&gt;&lt;author&gt;Relton, Caroline L&lt;/author&gt;&lt;/authors&gt;&lt;/contributors&gt;&lt;titles&gt;&lt;title&gt;Guidelines for performing Mendelian randomization investigations&lt;/title&gt;&lt;secondary-title&gt;Wellcome Open Research&lt;/secondary-title&gt;&lt;/titles&gt;&lt;periodical&gt;&lt;full-title&gt;Wellcome Open Research&lt;/full-title&gt;&lt;/periodical&gt;&lt;pages&gt;186&lt;/pages&gt;&lt;volume&gt;4&lt;/volume&gt;&lt;dates&gt;&lt;year&gt;2019&lt;/year&gt;&lt;/dates&gt;&lt;urls&gt;&lt;/urls&gt;&lt;/record&gt;&lt;/Cite&gt;&lt;/EndNote&gt;</w:instrText>
      </w:r>
      <w:r w:rsidR="00641B3C" w:rsidRPr="001D5D37">
        <w:fldChar w:fldCharType="separate"/>
      </w:r>
      <w:r w:rsidR="00CB1375">
        <w:rPr>
          <w:noProof/>
        </w:rPr>
        <w:t>(12)</w:t>
      </w:r>
      <w:r w:rsidR="00641B3C" w:rsidRPr="001D5D37">
        <w:fldChar w:fldCharType="end"/>
      </w:r>
      <w:r w:rsidR="00050E19">
        <w:t>.</w:t>
      </w:r>
      <w:r w:rsidR="003A6946">
        <w:t xml:space="preserve"> For cardiovascular disease, this should typically include LDL-cholesterol.</w:t>
      </w:r>
      <w:r w:rsidR="00526901">
        <w:t xml:space="preserve"> For this reason, we would favour </w:t>
      </w:r>
      <w:r w:rsidR="0017720C">
        <w:t xml:space="preserve">Mendelian randomization </w:t>
      </w:r>
      <w:r w:rsidR="00526901">
        <w:t xml:space="preserve">analyses with vitamin D as an exposure that use a more </w:t>
      </w:r>
      <w:r w:rsidR="00526901">
        <w:lastRenderedPageBreak/>
        <w:t>focused set of genetic variants, rather than ones that include all genome-wide significant predictors of 25(OH)D.</w:t>
      </w:r>
    </w:p>
    <w:p w14:paraId="62A4DAFE" w14:textId="120109F6" w:rsidR="001D5D37" w:rsidRDefault="00485847" w:rsidP="00BE1E9B">
      <w:r>
        <w:t xml:space="preserve">In conclusion, this investigation strengthens the evidence base for vitamin D supplementation as </w:t>
      </w:r>
      <w:r w:rsidR="009B3A26">
        <w:t xml:space="preserve">a </w:t>
      </w:r>
      <w:r>
        <w:t xml:space="preserve">beneficial </w:t>
      </w:r>
      <w:r w:rsidR="009B3A26">
        <w:t xml:space="preserve">intervention to reduce </w:t>
      </w:r>
      <w:r>
        <w:t>cardiovascular disease</w:t>
      </w:r>
      <w:r w:rsidR="009B3A26">
        <w:t xml:space="preserve"> risk</w:t>
      </w:r>
      <w:r>
        <w:t xml:space="preserve"> in individuals with low vitamin D levels. </w:t>
      </w:r>
      <w:r w:rsidR="00BF6F31">
        <w:t>Future research should aim to consider other disease outcomes and population groups, particularly those with low average levels of vitamin D.</w:t>
      </w:r>
    </w:p>
    <w:p w14:paraId="38E3199C" w14:textId="5DD0AC9E" w:rsidR="00FB662B" w:rsidRDefault="00FB662B"/>
    <w:p w14:paraId="297B0111" w14:textId="41324832" w:rsidR="00FB662B" w:rsidRDefault="00FB662B">
      <w:r>
        <w:t>FUNDING</w:t>
      </w:r>
    </w:p>
    <w:p w14:paraId="41088E9D" w14:textId="0BCC6CBC" w:rsidR="00FB662B" w:rsidRDefault="00FB662B">
      <w:r w:rsidRPr="00FB662B">
        <w:t>SB is supported by a Sir Henry Dale Fellowship jointly funded by the Wellcome Trust and the Royal Society (204623/Z/16/Z). This research was supported by the National Institute for Health Research Cambridge Biomedical Research Centre (BRC-1215-20014).</w:t>
      </w:r>
      <w:r>
        <w:t xml:space="preserve"> </w:t>
      </w:r>
      <w:r w:rsidRPr="00FB662B">
        <w:t>The views expressed are those of the authors and not necessarily those of the National Institute for Health Research or the Department of Health and Social Care.</w:t>
      </w:r>
    </w:p>
    <w:p w14:paraId="77F1A7F5" w14:textId="77777777" w:rsidR="00FB662B" w:rsidRDefault="00FB662B"/>
    <w:p w14:paraId="151E10F3" w14:textId="7B5A54E7" w:rsidR="00FB662B" w:rsidRDefault="00FB662B">
      <w:r>
        <w:t>ACKNOWLEDGEMENT</w:t>
      </w:r>
    </w:p>
    <w:p w14:paraId="53781CF3" w14:textId="3560CE22" w:rsidR="00FB662B" w:rsidRDefault="00FB662B">
      <w:r>
        <w:t>The authors would like to thank Lucy Grabiner for help with creating the graphical abstract.</w:t>
      </w:r>
    </w:p>
    <w:p w14:paraId="743C3141" w14:textId="5BE25685" w:rsidR="001D5D37" w:rsidRDefault="001D5D37">
      <w:r>
        <w:br w:type="page"/>
      </w:r>
    </w:p>
    <w:p w14:paraId="2FA967C7" w14:textId="4C5FCB54" w:rsidR="004F5EC7" w:rsidRDefault="004F5EC7" w:rsidP="004F5EC7">
      <w:r w:rsidRPr="00EB6AF4">
        <w:rPr>
          <w:b/>
        </w:rPr>
        <w:lastRenderedPageBreak/>
        <w:t>Table.</w:t>
      </w:r>
      <w:r>
        <w:t xml:space="preserve"> Differences between the Zhao and Sofianopoulou paper in methodology and results.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4536"/>
      </w:tblGrid>
      <w:tr w:rsidR="004F5EC7" w14:paraId="3DCC67E7" w14:textId="77777777" w:rsidTr="001D5D37">
        <w:tc>
          <w:tcPr>
            <w:tcW w:w="1560" w:type="dxa"/>
            <w:tcBorders>
              <w:top w:val="single" w:sz="4" w:space="0" w:color="auto"/>
              <w:bottom w:val="single" w:sz="4" w:space="0" w:color="auto"/>
            </w:tcBorders>
            <w:vAlign w:val="center"/>
          </w:tcPr>
          <w:p w14:paraId="10FF0467" w14:textId="3D0B1D85" w:rsidR="004F5EC7" w:rsidRPr="00817CAE" w:rsidRDefault="001A0019" w:rsidP="001D5D37">
            <w:pPr>
              <w:jc w:val="center"/>
              <w:rPr>
                <w:b/>
              </w:rPr>
            </w:pPr>
            <w:r>
              <w:rPr>
                <w:b/>
              </w:rPr>
              <w:t>Factor</w:t>
            </w:r>
          </w:p>
        </w:tc>
        <w:tc>
          <w:tcPr>
            <w:tcW w:w="3118" w:type="dxa"/>
            <w:tcBorders>
              <w:top w:val="single" w:sz="4" w:space="0" w:color="auto"/>
              <w:bottom w:val="single" w:sz="4" w:space="0" w:color="auto"/>
            </w:tcBorders>
            <w:vAlign w:val="center"/>
          </w:tcPr>
          <w:p w14:paraId="7D9A2FF3" w14:textId="52E4597B" w:rsidR="004F5EC7" w:rsidRPr="00817CAE" w:rsidRDefault="001A0019" w:rsidP="001D5D37">
            <w:pPr>
              <w:jc w:val="center"/>
              <w:rPr>
                <w:b/>
              </w:rPr>
            </w:pPr>
            <w:r>
              <w:rPr>
                <w:b/>
              </w:rPr>
              <w:t>Zhao paper</w:t>
            </w:r>
          </w:p>
        </w:tc>
        <w:tc>
          <w:tcPr>
            <w:tcW w:w="4536" w:type="dxa"/>
            <w:tcBorders>
              <w:top w:val="single" w:sz="4" w:space="0" w:color="auto"/>
              <w:bottom w:val="single" w:sz="4" w:space="0" w:color="auto"/>
            </w:tcBorders>
            <w:vAlign w:val="center"/>
          </w:tcPr>
          <w:p w14:paraId="2258A55B" w14:textId="0BF06D97" w:rsidR="004F5EC7" w:rsidRPr="00817CAE" w:rsidRDefault="001A0019" w:rsidP="001D5D37">
            <w:pPr>
              <w:jc w:val="center"/>
              <w:rPr>
                <w:b/>
              </w:rPr>
            </w:pPr>
            <w:r>
              <w:rPr>
                <w:b/>
              </w:rPr>
              <w:t>Sofianopoulou paper</w:t>
            </w:r>
          </w:p>
        </w:tc>
      </w:tr>
      <w:tr w:rsidR="004F5EC7" w14:paraId="15C000E0" w14:textId="77777777" w:rsidTr="001D5D37">
        <w:tc>
          <w:tcPr>
            <w:tcW w:w="1560" w:type="dxa"/>
            <w:tcBorders>
              <w:top w:val="single" w:sz="4" w:space="0" w:color="auto"/>
            </w:tcBorders>
            <w:vAlign w:val="center"/>
          </w:tcPr>
          <w:p w14:paraId="65BAEC92" w14:textId="2C75F88C" w:rsidR="004F5EC7" w:rsidRDefault="001A0019" w:rsidP="001D5D37">
            <w:pPr>
              <w:jc w:val="center"/>
            </w:pPr>
            <w:r>
              <w:t>Choice of variants</w:t>
            </w:r>
          </w:p>
        </w:tc>
        <w:tc>
          <w:tcPr>
            <w:tcW w:w="3118" w:type="dxa"/>
            <w:tcBorders>
              <w:top w:val="single" w:sz="4" w:space="0" w:color="auto"/>
            </w:tcBorders>
            <w:vAlign w:val="center"/>
          </w:tcPr>
          <w:p w14:paraId="54FB3028" w14:textId="335B6D36" w:rsidR="004F5EC7" w:rsidRDefault="001A0019" w:rsidP="001D5D37">
            <w:pPr>
              <w:jc w:val="center"/>
            </w:pPr>
            <w:r>
              <w:t>35 variants associated with 25(OH)D levels at genome-wide significant level</w:t>
            </w:r>
          </w:p>
        </w:tc>
        <w:tc>
          <w:tcPr>
            <w:tcW w:w="4536" w:type="dxa"/>
            <w:tcBorders>
              <w:top w:val="single" w:sz="4" w:space="0" w:color="auto"/>
            </w:tcBorders>
            <w:vAlign w:val="center"/>
          </w:tcPr>
          <w:p w14:paraId="4F128D35" w14:textId="2B197372" w:rsidR="004F5EC7" w:rsidRDefault="001A0019" w:rsidP="001D5D37">
            <w:pPr>
              <w:jc w:val="center"/>
            </w:pPr>
            <w:r>
              <w:t>Variants in 4 gene regions chosen due to biological link with vitamin D synthesis or metabolism</w:t>
            </w:r>
            <w:r w:rsidR="008A0F95">
              <w:t xml:space="preserve"> (“focused score”)</w:t>
            </w:r>
            <w:r>
              <w:t xml:space="preserve">; a secondary analysis using </w:t>
            </w:r>
            <w:r w:rsidR="001D5D37">
              <w:t xml:space="preserve">71 </w:t>
            </w:r>
            <w:r>
              <w:t>genome-wide significant variants was also performed</w:t>
            </w:r>
          </w:p>
        </w:tc>
      </w:tr>
      <w:tr w:rsidR="004F5EC7" w14:paraId="3816975A" w14:textId="77777777" w:rsidTr="001D5D37">
        <w:tc>
          <w:tcPr>
            <w:tcW w:w="1560" w:type="dxa"/>
            <w:vAlign w:val="center"/>
          </w:tcPr>
          <w:p w14:paraId="01EE43F5" w14:textId="5A57564B" w:rsidR="004F5EC7" w:rsidRDefault="001A0019" w:rsidP="001D5D37">
            <w:pPr>
              <w:jc w:val="center"/>
            </w:pPr>
            <w:r>
              <w:t>Pleiotropic associations</w:t>
            </w:r>
          </w:p>
        </w:tc>
        <w:tc>
          <w:tcPr>
            <w:tcW w:w="3118" w:type="dxa"/>
            <w:vAlign w:val="center"/>
          </w:tcPr>
          <w:p w14:paraId="3744E65A" w14:textId="5A996864" w:rsidR="004F5EC7" w:rsidRDefault="001A0019" w:rsidP="001D5D37">
            <w:pPr>
              <w:jc w:val="center"/>
            </w:pPr>
            <w:r>
              <w:t>Several genetic variants had pleiotropic associations with LDL-cholesterol</w:t>
            </w:r>
          </w:p>
        </w:tc>
        <w:tc>
          <w:tcPr>
            <w:tcW w:w="4536" w:type="dxa"/>
            <w:vAlign w:val="center"/>
          </w:tcPr>
          <w:p w14:paraId="2CB1B26C" w14:textId="576A6DC0" w:rsidR="004F5EC7" w:rsidRDefault="001A0019" w:rsidP="001D5D37">
            <w:pPr>
              <w:jc w:val="center"/>
            </w:pPr>
            <w:r>
              <w:t>Minimal evidence of pleiotropy for primary analysis; substantial pleiotropy via LDL-cholesterol and triglycerides for secondary analysis</w:t>
            </w:r>
            <w:r w:rsidR="001D5D37">
              <w:t xml:space="preserve"> using genome-wide variants</w:t>
            </w:r>
          </w:p>
        </w:tc>
      </w:tr>
      <w:tr w:rsidR="004F5EC7" w14:paraId="2153A462" w14:textId="77777777" w:rsidTr="001D5D37">
        <w:tc>
          <w:tcPr>
            <w:tcW w:w="1560" w:type="dxa"/>
            <w:vAlign w:val="center"/>
          </w:tcPr>
          <w:p w14:paraId="55B9386D" w14:textId="31F35C5F" w:rsidR="004F5EC7" w:rsidRDefault="001A0019" w:rsidP="001D5D37">
            <w:pPr>
              <w:jc w:val="center"/>
            </w:pPr>
            <w:r>
              <w:t>Cardiovascular outcomes</w:t>
            </w:r>
          </w:p>
        </w:tc>
        <w:tc>
          <w:tcPr>
            <w:tcW w:w="3118" w:type="dxa"/>
            <w:vAlign w:val="center"/>
          </w:tcPr>
          <w:p w14:paraId="3601B41C" w14:textId="7B0D5101" w:rsidR="004F5EC7" w:rsidRDefault="001A0019" w:rsidP="001D5D37">
            <w:pPr>
              <w:jc w:val="center"/>
            </w:pPr>
            <w:r>
              <w:t xml:space="preserve">Cardiovascular disease (combined outcome of coronary </w:t>
            </w:r>
            <w:r w:rsidR="005E6E56">
              <w:t>artery</w:t>
            </w:r>
            <w:r>
              <w:t xml:space="preserve"> disease, stroke, and peripheral vascular disease)</w:t>
            </w:r>
          </w:p>
        </w:tc>
        <w:tc>
          <w:tcPr>
            <w:tcW w:w="4536" w:type="dxa"/>
            <w:vAlign w:val="center"/>
          </w:tcPr>
          <w:p w14:paraId="3DB69A8B" w14:textId="5D6170E5" w:rsidR="004F5EC7" w:rsidRDefault="001D5D37" w:rsidP="001D5D37">
            <w:pPr>
              <w:jc w:val="center"/>
            </w:pPr>
            <w:r>
              <w:t>Separate analyses for c</w:t>
            </w:r>
            <w:r w:rsidR="001A0019">
              <w:t xml:space="preserve">oronary </w:t>
            </w:r>
            <w:r w:rsidR="005E6E56">
              <w:t>heart</w:t>
            </w:r>
            <w:r w:rsidR="001A0019">
              <w:t xml:space="preserve"> disease, stroke, and cardiovascular mortality</w:t>
            </w:r>
          </w:p>
        </w:tc>
      </w:tr>
      <w:tr w:rsidR="001A0019" w14:paraId="330D783B" w14:textId="77777777" w:rsidTr="001D5D37">
        <w:tc>
          <w:tcPr>
            <w:tcW w:w="1560" w:type="dxa"/>
            <w:tcBorders>
              <w:bottom w:val="single" w:sz="4" w:space="0" w:color="auto"/>
            </w:tcBorders>
            <w:vAlign w:val="center"/>
          </w:tcPr>
          <w:p w14:paraId="20D60DEF" w14:textId="484E6494" w:rsidR="001A0019" w:rsidRDefault="001A0019" w:rsidP="001D5D37">
            <w:pPr>
              <w:jc w:val="center"/>
            </w:pPr>
            <w:r>
              <w:t>Results</w:t>
            </w:r>
          </w:p>
        </w:tc>
        <w:tc>
          <w:tcPr>
            <w:tcW w:w="3118" w:type="dxa"/>
            <w:tcBorders>
              <w:bottom w:val="single" w:sz="4" w:space="0" w:color="auto"/>
            </w:tcBorders>
            <w:vAlign w:val="center"/>
          </w:tcPr>
          <w:p w14:paraId="6DDF0DA5" w14:textId="564C6604" w:rsidR="001A0019" w:rsidRDefault="001A0019" w:rsidP="001D5D37">
            <w:pPr>
              <w:jc w:val="center"/>
            </w:pPr>
            <w:r>
              <w:t>Strong associations of genetically-predicted 25(OH)D with outcomes in vitamin D deficient strata; weak</w:t>
            </w:r>
            <w:r w:rsidR="001D5D37">
              <w:t xml:space="preserve"> (but non-null)</w:t>
            </w:r>
            <w:r>
              <w:t xml:space="preserve"> associations overall</w:t>
            </w:r>
          </w:p>
        </w:tc>
        <w:tc>
          <w:tcPr>
            <w:tcW w:w="4536" w:type="dxa"/>
            <w:tcBorders>
              <w:bottom w:val="single" w:sz="4" w:space="0" w:color="auto"/>
            </w:tcBorders>
            <w:vAlign w:val="center"/>
          </w:tcPr>
          <w:p w14:paraId="420B264A" w14:textId="7F617CC9" w:rsidR="001A0019" w:rsidRDefault="001A0019" w:rsidP="001D5D37">
            <w:pPr>
              <w:jc w:val="center"/>
            </w:pPr>
            <w:r w:rsidRPr="001A0019">
              <w:rPr>
                <w:b/>
                <w:bCs/>
              </w:rPr>
              <w:t>Primary analys</w:t>
            </w:r>
            <w:r w:rsidR="001D5D37">
              <w:rPr>
                <w:b/>
                <w:bCs/>
              </w:rPr>
              <w:t>i</w:t>
            </w:r>
            <w:r w:rsidRPr="001A0019">
              <w:rPr>
                <w:b/>
                <w:bCs/>
              </w:rPr>
              <w:t>s:</w:t>
            </w:r>
            <w:r>
              <w:t xml:space="preserve"> Associations of genetically-predicted 25(OH)D with outcomes in vitamin D deficient strata</w:t>
            </w:r>
            <w:r w:rsidR="001D5D37">
              <w:t xml:space="preserve"> (particularly for cardiovascular mortality)</w:t>
            </w:r>
            <w:r>
              <w:t>; null associations overall</w:t>
            </w:r>
          </w:p>
          <w:p w14:paraId="4EE1447E" w14:textId="22B03BE7" w:rsidR="001A0019" w:rsidRDefault="001A0019" w:rsidP="001D5D37">
            <w:pPr>
              <w:jc w:val="center"/>
            </w:pPr>
            <w:r w:rsidRPr="001A0019">
              <w:rPr>
                <w:b/>
                <w:bCs/>
              </w:rPr>
              <w:t>Secondary analys</w:t>
            </w:r>
            <w:r w:rsidR="001D5D37">
              <w:rPr>
                <w:b/>
                <w:bCs/>
              </w:rPr>
              <w:t>i</w:t>
            </w:r>
            <w:r w:rsidRPr="001A0019">
              <w:rPr>
                <w:b/>
                <w:bCs/>
              </w:rPr>
              <w:t>s:</w:t>
            </w:r>
            <w:r>
              <w:t xml:space="preserve"> Weak </w:t>
            </w:r>
            <w:r w:rsidR="001D5D37">
              <w:t>association</w:t>
            </w:r>
            <w:r w:rsidR="00536B30">
              <w:t xml:space="preserve"> with coronary heart disease</w:t>
            </w:r>
            <w:r w:rsidR="001D5D37">
              <w:t xml:space="preserve"> in </w:t>
            </w:r>
            <w:r>
              <w:t>overall analys</w:t>
            </w:r>
            <w:r w:rsidR="00536B30">
              <w:t>i</w:t>
            </w:r>
            <w:r>
              <w:t xml:space="preserve">s that </w:t>
            </w:r>
            <w:r w:rsidR="001D5D37">
              <w:t xml:space="preserve">attenuated </w:t>
            </w:r>
            <w:r w:rsidR="00695891">
              <w:t xml:space="preserve">toward null </w:t>
            </w:r>
            <w:r w:rsidR="001D5D37">
              <w:t>on adjustment for LDL-cholesterol and triglycerides</w:t>
            </w:r>
            <w:r w:rsidR="004F7B67">
              <w:t>; stronger association with stroke in deficient stratum that persisted despite adjustment for LDL-cholesterol and triglycerides</w:t>
            </w:r>
          </w:p>
        </w:tc>
      </w:tr>
    </w:tbl>
    <w:p w14:paraId="18A77ED5" w14:textId="785D57B2" w:rsidR="001D5D37" w:rsidRDefault="001D5D37" w:rsidP="004F5EC7"/>
    <w:p w14:paraId="2FFA489E" w14:textId="77777777" w:rsidR="001D5D37" w:rsidRDefault="001D5D37">
      <w:r>
        <w:br w:type="page"/>
      </w:r>
    </w:p>
    <w:p w14:paraId="3812F34E" w14:textId="7C3A8AD9" w:rsidR="00E179EF" w:rsidRPr="00BB5EFE" w:rsidRDefault="00015074" w:rsidP="00BE1E9B">
      <w:pPr>
        <w:rPr>
          <w:b/>
          <w:bCs/>
        </w:rPr>
      </w:pPr>
      <w:r w:rsidRPr="00F74513">
        <w:rPr>
          <w:b/>
          <w:bCs/>
        </w:rPr>
        <w:lastRenderedPageBreak/>
        <w:t xml:space="preserve">References: </w:t>
      </w:r>
    </w:p>
    <w:p w14:paraId="4A91F408" w14:textId="77777777" w:rsidR="00CB1375" w:rsidRPr="00CB1375" w:rsidRDefault="00E179EF" w:rsidP="00CB1375">
      <w:pPr>
        <w:pStyle w:val="EndNoteBibliography"/>
        <w:spacing w:after="0"/>
      </w:pPr>
      <w:r>
        <w:fldChar w:fldCharType="begin"/>
      </w:r>
      <w:r>
        <w:instrText xml:space="preserve"> ADDIN EN.REFLIST </w:instrText>
      </w:r>
      <w:r>
        <w:fldChar w:fldCharType="separate"/>
      </w:r>
      <w:r w:rsidR="00CB1375" w:rsidRPr="00CB1375">
        <w:t>1.</w:t>
      </w:r>
      <w:r w:rsidR="00CB1375" w:rsidRPr="00CB1375">
        <w:tab/>
        <w:t>Davey Smith G, Ebrahim S. What can mendelian randomisation tell us about modifiable behavioural and environmental exposures? Brit Med J. 2005;330(7499):1076-9.</w:t>
      </w:r>
    </w:p>
    <w:p w14:paraId="38104C79" w14:textId="77777777" w:rsidR="00CB1375" w:rsidRPr="00CB1375" w:rsidRDefault="00CB1375" w:rsidP="00CB1375">
      <w:pPr>
        <w:pStyle w:val="EndNoteBibliography"/>
        <w:spacing w:after="0"/>
      </w:pPr>
      <w:r w:rsidRPr="00CB1375">
        <w:t>2.</w:t>
      </w:r>
      <w:r w:rsidRPr="00CB1375">
        <w:tab/>
        <w:t>Didelez V, Sheehan N. Mendelian randomization as an instrumental variable approach to causal inference. Statistical Methods in Medical Research. 2007;16(4):309-30.</w:t>
      </w:r>
    </w:p>
    <w:p w14:paraId="4F5FA13D" w14:textId="77777777" w:rsidR="00CB1375" w:rsidRPr="00CB1375" w:rsidRDefault="00CB1375" w:rsidP="00CB1375">
      <w:pPr>
        <w:pStyle w:val="EndNoteBibliography"/>
        <w:spacing w:after="0"/>
      </w:pPr>
      <w:r w:rsidRPr="00CB1375">
        <w:t>3.</w:t>
      </w:r>
      <w:r w:rsidRPr="00CB1375">
        <w:tab/>
        <w:t>Burgess S, Davies NM, Thompson SG. Instrumental variable analysis with a nonlinear exposure–outcome relationship. Epidemiology. 2014;25(6):877.</w:t>
      </w:r>
    </w:p>
    <w:p w14:paraId="4465543C" w14:textId="77777777" w:rsidR="00CB1375" w:rsidRPr="00CB1375" w:rsidRDefault="00CB1375" w:rsidP="00CB1375">
      <w:pPr>
        <w:pStyle w:val="EndNoteBibliography"/>
        <w:spacing w:after="0"/>
      </w:pPr>
      <w:r w:rsidRPr="00CB1375">
        <w:t>4.</w:t>
      </w:r>
      <w:r w:rsidRPr="00CB1375">
        <w:tab/>
        <w:t>Staley JR, Burgess S. Semiparametric methods for estimation of a nonlinear exposure‐outcome relationship using instrumental variables with application to Mendelian randomization. Genetic Epidemiology. 2017;41(4):341-52.</w:t>
      </w:r>
    </w:p>
    <w:p w14:paraId="1164BFC1" w14:textId="77777777" w:rsidR="00CB1375" w:rsidRPr="00CB1375" w:rsidRDefault="00CB1375" w:rsidP="00CB1375">
      <w:pPr>
        <w:pStyle w:val="EndNoteBibliography"/>
        <w:spacing w:after="0"/>
      </w:pPr>
      <w:r w:rsidRPr="00CB1375">
        <w:t>5.</w:t>
      </w:r>
      <w:r w:rsidRPr="00CB1375">
        <w:tab/>
        <w:t>Cole SR, Platt RW, Schisterman EF, Chu H, Westreich D, Richardson D, et al. Illustrating bias due to conditioning on a collider. International Journal of Epidemiology. 2010;39(2):417-20.</w:t>
      </w:r>
    </w:p>
    <w:p w14:paraId="7B8336CB" w14:textId="77777777" w:rsidR="00CB1375" w:rsidRPr="00CB1375" w:rsidRDefault="00CB1375" w:rsidP="00CB1375">
      <w:pPr>
        <w:pStyle w:val="EndNoteBibliography"/>
        <w:spacing w:after="0"/>
      </w:pPr>
      <w:r w:rsidRPr="00CB1375">
        <w:t>6.</w:t>
      </w:r>
      <w:r w:rsidRPr="00CB1375">
        <w:tab/>
        <w:t>Zhao A, Selvanayagam J, Hyppönen E. Non-linear Mendelian randomization analyses support a role for vitamin D deficiency in cardiovascular disease risk. Eur Heart J. 2021.</w:t>
      </w:r>
    </w:p>
    <w:p w14:paraId="1DE27E5E" w14:textId="77777777" w:rsidR="00CB1375" w:rsidRPr="00CB1375" w:rsidRDefault="00CB1375" w:rsidP="00CB1375">
      <w:pPr>
        <w:pStyle w:val="EndNoteBibliography"/>
        <w:spacing w:after="0"/>
      </w:pPr>
      <w:r w:rsidRPr="00CB1375">
        <w:t>7.</w:t>
      </w:r>
      <w:r w:rsidRPr="00CB1375">
        <w:tab/>
        <w:t>Sofianopoulou E, Kaptoge S, Afzal S, Jiang T, Gill D, Gundersen TE, et al. Estimating dose-response relationships for vitamin D with coronary heart disease, stroke, and all-cause mortality: observational and Mendelian randomisation analyses. Lancet Diabetes &amp; Endocrinology. 2021.</w:t>
      </w:r>
    </w:p>
    <w:p w14:paraId="1EF24EE4" w14:textId="1A535327" w:rsidR="00CB1375" w:rsidRPr="00CB1375" w:rsidRDefault="00CB1375" w:rsidP="00CB1375">
      <w:pPr>
        <w:pStyle w:val="EndNoteBibliography"/>
        <w:spacing w:after="0"/>
      </w:pPr>
      <w:r w:rsidRPr="00CB1375">
        <w:t>8.</w:t>
      </w:r>
      <w:r w:rsidRPr="00CB1375">
        <w:tab/>
        <w:t xml:space="preserve">Neale B, Abbott L, Bryant S, Churchhouse C, Ganna A, Howrigan D, et al. UK Biobank GWAS results Round 2 2018 [Available from: </w:t>
      </w:r>
      <w:hyperlink r:id="rId5" w:history="1">
        <w:r w:rsidRPr="00CB1375">
          <w:rPr>
            <w:rStyle w:val="Hyperlink"/>
          </w:rPr>
          <w:t>http://www.nealelab.is/uk-biobank</w:t>
        </w:r>
      </w:hyperlink>
      <w:r>
        <w:t>]</w:t>
      </w:r>
      <w:r w:rsidRPr="00CB1375">
        <w:t>.</w:t>
      </w:r>
    </w:p>
    <w:p w14:paraId="5ED06AB5" w14:textId="77777777" w:rsidR="00CB1375" w:rsidRPr="00CB1375" w:rsidRDefault="00CB1375" w:rsidP="00CB1375">
      <w:pPr>
        <w:pStyle w:val="EndNoteBibliography"/>
        <w:spacing w:after="0"/>
      </w:pPr>
      <w:r w:rsidRPr="00CB1375">
        <w:t>9.</w:t>
      </w:r>
      <w:r w:rsidRPr="00CB1375">
        <w:tab/>
        <w:t>Ference BA. How to use Mendelian randomization to anticipate the results of randomized trials. European Heart Journal. 2018;39(5):360-2.</w:t>
      </w:r>
    </w:p>
    <w:p w14:paraId="0BA46B13" w14:textId="77777777" w:rsidR="00CB1375" w:rsidRPr="00CB1375" w:rsidRDefault="00CB1375" w:rsidP="00CB1375">
      <w:pPr>
        <w:pStyle w:val="EndNoteBibliography"/>
        <w:spacing w:after="0"/>
      </w:pPr>
      <w:r w:rsidRPr="00CB1375">
        <w:t>10.</w:t>
      </w:r>
      <w:r w:rsidRPr="00CB1375">
        <w:tab/>
        <w:t>Burgess S, Butterworth A, Malarstig A, Thompson SG. Use of Mendelian randomisation to assess potential benefit of clinical intervention. British Medical Journal. 2012;345:e7325.</w:t>
      </w:r>
    </w:p>
    <w:p w14:paraId="1DE4B447" w14:textId="77777777" w:rsidR="00CB1375" w:rsidRPr="00CB1375" w:rsidRDefault="00CB1375" w:rsidP="00CB1375">
      <w:pPr>
        <w:pStyle w:val="EndNoteBibliography"/>
        <w:spacing w:after="0"/>
      </w:pPr>
      <w:r w:rsidRPr="00CB1375">
        <w:t>11.</w:t>
      </w:r>
      <w:r w:rsidRPr="00CB1375">
        <w:tab/>
        <w:t>Marcinowska-Suchowierska E, Kupisz-Urbańska M, Łukaszkiewicz J, Płudowski P, Jones G. Vitamin D Toxicity–A Clinical Perspective. Frontiers in Endocrinology. 2018;9:550.</w:t>
      </w:r>
    </w:p>
    <w:p w14:paraId="16C0D045" w14:textId="77777777" w:rsidR="00CB1375" w:rsidRPr="00CB1375" w:rsidRDefault="00CB1375" w:rsidP="00CB1375">
      <w:pPr>
        <w:pStyle w:val="EndNoteBibliography"/>
      </w:pPr>
      <w:r w:rsidRPr="00CB1375">
        <w:t>12.</w:t>
      </w:r>
      <w:r w:rsidRPr="00CB1375">
        <w:tab/>
        <w:t>Burgess S, Davey Smith G, Davies NM, Dudbridge F, Gill D, Glymour MM, et al. Guidelines for performing Mendelian randomization investigations. Wellcome Open Research. 2019;4:186.</w:t>
      </w:r>
    </w:p>
    <w:p w14:paraId="4079C244" w14:textId="620D6D04" w:rsidR="00DF4A3D" w:rsidRDefault="00E179EF" w:rsidP="00BE1E9B">
      <w:r>
        <w:fldChar w:fldCharType="end"/>
      </w:r>
    </w:p>
    <w:p w14:paraId="381C1A61" w14:textId="77777777" w:rsidR="00DF4A3D" w:rsidRDefault="00DF4A3D">
      <w:r>
        <w:br w:type="page"/>
      </w:r>
    </w:p>
    <w:p w14:paraId="2FD03852" w14:textId="39F05E16" w:rsidR="00015074" w:rsidRDefault="00DF4A3D" w:rsidP="00BE1E9B">
      <w:r>
        <w:lastRenderedPageBreak/>
        <w:t>GRAPHICAL ABSTRACT</w:t>
      </w:r>
    </w:p>
    <w:p w14:paraId="55564024" w14:textId="65602001" w:rsidR="00DF4A3D" w:rsidRDefault="00DF4A3D" w:rsidP="00BE1E9B">
      <w:r w:rsidRPr="00DF4A3D">
        <w:rPr>
          <w:noProof/>
        </w:rPr>
        <w:drawing>
          <wp:inline distT="0" distB="0" distL="0" distR="0" wp14:anchorId="33B8BE2D" wp14:editId="7E5488BF">
            <wp:extent cx="5731510" cy="3493770"/>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stretch>
                      <a:fillRect/>
                    </a:stretch>
                  </pic:blipFill>
                  <pic:spPr>
                    <a:xfrm>
                      <a:off x="0" y="0"/>
                      <a:ext cx="5731510" cy="3493770"/>
                    </a:xfrm>
                    <a:prstGeom prst="rect">
                      <a:avLst/>
                    </a:prstGeom>
                  </pic:spPr>
                </pic:pic>
              </a:graphicData>
            </a:graphic>
          </wp:inline>
        </w:drawing>
      </w:r>
    </w:p>
    <w:sectPr w:rsidR="00DF4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pvxsf59wvrd4evtp55ssfwt555w0f0efxp&quot;&gt;Main_library&lt;record-ids&gt;&lt;item&gt;465&lt;/item&gt;&lt;item&gt;466&lt;/item&gt;&lt;item&gt;800&lt;/item&gt;&lt;item&gt;801&lt;/item&gt;&lt;item&gt;887&lt;/item&gt;&lt;item&gt;1012&lt;/item&gt;&lt;item&gt;1013&lt;/item&gt;&lt;item&gt;1014&lt;/item&gt;&lt;item&gt;1015&lt;/item&gt;&lt;item&gt;1016&lt;/item&gt;&lt;item&gt;1017&lt;/item&gt;&lt;item&gt;1018&lt;/item&gt;&lt;/record-ids&gt;&lt;/item&gt;&lt;/Libraries&gt;"/>
  </w:docVars>
  <w:rsids>
    <w:rsidRoot w:val="00BE1E9B"/>
    <w:rsid w:val="00015074"/>
    <w:rsid w:val="00050E19"/>
    <w:rsid w:val="000C3C2F"/>
    <w:rsid w:val="000D03A9"/>
    <w:rsid w:val="000F4D00"/>
    <w:rsid w:val="0013519C"/>
    <w:rsid w:val="00145F61"/>
    <w:rsid w:val="0017720C"/>
    <w:rsid w:val="001900E1"/>
    <w:rsid w:val="0019389F"/>
    <w:rsid w:val="001A0019"/>
    <w:rsid w:val="001D5D37"/>
    <w:rsid w:val="00260F83"/>
    <w:rsid w:val="002641C2"/>
    <w:rsid w:val="002C210F"/>
    <w:rsid w:val="002C267A"/>
    <w:rsid w:val="003069E1"/>
    <w:rsid w:val="003A5285"/>
    <w:rsid w:val="003A6946"/>
    <w:rsid w:val="003B2A06"/>
    <w:rsid w:val="003B658A"/>
    <w:rsid w:val="00415A6B"/>
    <w:rsid w:val="00416927"/>
    <w:rsid w:val="0043055F"/>
    <w:rsid w:val="00485847"/>
    <w:rsid w:val="00486FDE"/>
    <w:rsid w:val="004B6C88"/>
    <w:rsid w:val="004C5C03"/>
    <w:rsid w:val="004F5EC7"/>
    <w:rsid w:val="004F7B67"/>
    <w:rsid w:val="00526901"/>
    <w:rsid w:val="00536B30"/>
    <w:rsid w:val="005754E1"/>
    <w:rsid w:val="005C2536"/>
    <w:rsid w:val="005E6E56"/>
    <w:rsid w:val="006232D9"/>
    <w:rsid w:val="00641B3C"/>
    <w:rsid w:val="00655C21"/>
    <w:rsid w:val="00695891"/>
    <w:rsid w:val="006D0BCB"/>
    <w:rsid w:val="006D2FA0"/>
    <w:rsid w:val="00793808"/>
    <w:rsid w:val="007A12BB"/>
    <w:rsid w:val="007B18C6"/>
    <w:rsid w:val="007D6DAF"/>
    <w:rsid w:val="007E390C"/>
    <w:rsid w:val="008371A1"/>
    <w:rsid w:val="00861883"/>
    <w:rsid w:val="008A0F95"/>
    <w:rsid w:val="008B7B15"/>
    <w:rsid w:val="008D7921"/>
    <w:rsid w:val="008F0872"/>
    <w:rsid w:val="009227F4"/>
    <w:rsid w:val="0093659B"/>
    <w:rsid w:val="00937147"/>
    <w:rsid w:val="009552CF"/>
    <w:rsid w:val="009B3A26"/>
    <w:rsid w:val="009E2BD9"/>
    <w:rsid w:val="00A607C2"/>
    <w:rsid w:val="00AB3E58"/>
    <w:rsid w:val="00AD4694"/>
    <w:rsid w:val="00AE59F1"/>
    <w:rsid w:val="00B57899"/>
    <w:rsid w:val="00B74DA9"/>
    <w:rsid w:val="00B7738C"/>
    <w:rsid w:val="00B855AE"/>
    <w:rsid w:val="00BB5D2F"/>
    <w:rsid w:val="00BB5EFE"/>
    <w:rsid w:val="00BD33CE"/>
    <w:rsid w:val="00BD6188"/>
    <w:rsid w:val="00BE1E9B"/>
    <w:rsid w:val="00BF6F31"/>
    <w:rsid w:val="00C21E54"/>
    <w:rsid w:val="00C23127"/>
    <w:rsid w:val="00C41E55"/>
    <w:rsid w:val="00C633B0"/>
    <w:rsid w:val="00C94111"/>
    <w:rsid w:val="00CB1375"/>
    <w:rsid w:val="00D902D0"/>
    <w:rsid w:val="00D9193F"/>
    <w:rsid w:val="00DB765F"/>
    <w:rsid w:val="00DC3A35"/>
    <w:rsid w:val="00DF4A3D"/>
    <w:rsid w:val="00E179EF"/>
    <w:rsid w:val="00E8397C"/>
    <w:rsid w:val="00E95623"/>
    <w:rsid w:val="00F22021"/>
    <w:rsid w:val="00F35F75"/>
    <w:rsid w:val="00F64A27"/>
    <w:rsid w:val="00FB662B"/>
    <w:rsid w:val="00FF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848F"/>
  <w15:chartTrackingRefBased/>
  <w15:docId w15:val="{76AB8008-EE1E-423A-8B28-D84D43FC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3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DA9"/>
    <w:rPr>
      <w:sz w:val="16"/>
      <w:szCs w:val="16"/>
    </w:rPr>
  </w:style>
  <w:style w:type="paragraph" w:styleId="CommentText">
    <w:name w:val="annotation text"/>
    <w:basedOn w:val="Normal"/>
    <w:link w:val="CommentTextChar"/>
    <w:uiPriority w:val="99"/>
    <w:unhideWhenUsed/>
    <w:rsid w:val="00B74DA9"/>
    <w:pPr>
      <w:spacing w:line="240" w:lineRule="auto"/>
    </w:pPr>
    <w:rPr>
      <w:sz w:val="20"/>
      <w:szCs w:val="20"/>
    </w:rPr>
  </w:style>
  <w:style w:type="character" w:customStyle="1" w:styleId="CommentTextChar">
    <w:name w:val="Comment Text Char"/>
    <w:basedOn w:val="DefaultParagraphFont"/>
    <w:link w:val="CommentText"/>
    <w:uiPriority w:val="99"/>
    <w:rsid w:val="00B74DA9"/>
    <w:rPr>
      <w:sz w:val="20"/>
      <w:szCs w:val="20"/>
    </w:rPr>
  </w:style>
  <w:style w:type="paragraph" w:styleId="CommentSubject">
    <w:name w:val="annotation subject"/>
    <w:basedOn w:val="CommentText"/>
    <w:next w:val="CommentText"/>
    <w:link w:val="CommentSubjectChar"/>
    <w:uiPriority w:val="99"/>
    <w:semiHidden/>
    <w:unhideWhenUsed/>
    <w:rsid w:val="00B74DA9"/>
    <w:rPr>
      <w:b/>
      <w:bCs/>
    </w:rPr>
  </w:style>
  <w:style w:type="character" w:customStyle="1" w:styleId="CommentSubjectChar">
    <w:name w:val="Comment Subject Char"/>
    <w:basedOn w:val="CommentTextChar"/>
    <w:link w:val="CommentSubject"/>
    <w:uiPriority w:val="99"/>
    <w:semiHidden/>
    <w:rsid w:val="00B74DA9"/>
    <w:rPr>
      <w:b/>
      <w:bCs/>
      <w:sz w:val="20"/>
      <w:szCs w:val="20"/>
    </w:rPr>
  </w:style>
  <w:style w:type="paragraph" w:styleId="BalloonText">
    <w:name w:val="Balloon Text"/>
    <w:basedOn w:val="Normal"/>
    <w:link w:val="BalloonTextChar"/>
    <w:uiPriority w:val="99"/>
    <w:semiHidden/>
    <w:unhideWhenUsed/>
    <w:rsid w:val="00B7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A9"/>
    <w:rPr>
      <w:rFonts w:ascii="Segoe UI" w:hAnsi="Segoe UI" w:cs="Segoe UI"/>
      <w:sz w:val="18"/>
      <w:szCs w:val="18"/>
    </w:rPr>
  </w:style>
  <w:style w:type="paragraph" w:styleId="Revision">
    <w:name w:val="Revision"/>
    <w:hidden/>
    <w:uiPriority w:val="99"/>
    <w:semiHidden/>
    <w:rsid w:val="003B658A"/>
    <w:pPr>
      <w:spacing w:after="0" w:line="240" w:lineRule="auto"/>
    </w:pPr>
  </w:style>
  <w:style w:type="character" w:customStyle="1" w:styleId="Heading1Char">
    <w:name w:val="Heading 1 Char"/>
    <w:basedOn w:val="DefaultParagraphFont"/>
    <w:link w:val="Heading1"/>
    <w:uiPriority w:val="9"/>
    <w:rsid w:val="00C21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3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3C2F"/>
    <w:rPr>
      <w:color w:val="0563C1" w:themeColor="hyperlink"/>
      <w:u w:val="single"/>
    </w:rPr>
  </w:style>
  <w:style w:type="paragraph" w:styleId="NoSpacing">
    <w:name w:val="No Spacing"/>
    <w:uiPriority w:val="1"/>
    <w:qFormat/>
    <w:rsid w:val="000C3C2F"/>
    <w:pPr>
      <w:spacing w:after="0" w:line="240" w:lineRule="auto"/>
    </w:pPr>
  </w:style>
  <w:style w:type="table" w:styleId="TableGrid">
    <w:name w:val="Table Grid"/>
    <w:basedOn w:val="TableNormal"/>
    <w:uiPriority w:val="39"/>
    <w:rsid w:val="004F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179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79EF"/>
    <w:rPr>
      <w:rFonts w:ascii="Calibri" w:hAnsi="Calibri" w:cs="Calibri"/>
      <w:noProof/>
      <w:lang w:val="en-US"/>
    </w:rPr>
  </w:style>
  <w:style w:type="paragraph" w:customStyle="1" w:styleId="EndNoteBibliography">
    <w:name w:val="EndNote Bibliography"/>
    <w:basedOn w:val="Normal"/>
    <w:link w:val="EndNoteBibliographyChar"/>
    <w:rsid w:val="00E179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79EF"/>
    <w:rPr>
      <w:rFonts w:ascii="Calibri" w:hAnsi="Calibri" w:cs="Calibri"/>
      <w:noProof/>
      <w:lang w:val="en-US"/>
    </w:rPr>
  </w:style>
  <w:style w:type="character" w:customStyle="1" w:styleId="UnresolvedMention1">
    <w:name w:val="Unresolved Mention1"/>
    <w:basedOn w:val="DefaultParagraphFont"/>
    <w:uiPriority w:val="99"/>
    <w:semiHidden/>
    <w:unhideWhenUsed/>
    <w:rsid w:val="00F3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8817">
      <w:bodyDiv w:val="1"/>
      <w:marLeft w:val="0"/>
      <w:marRight w:val="0"/>
      <w:marTop w:val="0"/>
      <w:marBottom w:val="0"/>
      <w:divBdr>
        <w:top w:val="none" w:sz="0" w:space="0" w:color="auto"/>
        <w:left w:val="none" w:sz="0" w:space="0" w:color="auto"/>
        <w:bottom w:val="none" w:sz="0" w:space="0" w:color="auto"/>
        <w:right w:val="none" w:sz="0" w:space="0" w:color="auto"/>
      </w:divBdr>
    </w:div>
    <w:div w:id="801385827">
      <w:bodyDiv w:val="1"/>
      <w:marLeft w:val="0"/>
      <w:marRight w:val="0"/>
      <w:marTop w:val="0"/>
      <w:marBottom w:val="0"/>
      <w:divBdr>
        <w:top w:val="none" w:sz="0" w:space="0" w:color="auto"/>
        <w:left w:val="none" w:sz="0" w:space="0" w:color="auto"/>
        <w:bottom w:val="none" w:sz="0" w:space="0" w:color="auto"/>
        <w:right w:val="none" w:sz="0" w:space="0" w:color="auto"/>
      </w:divBdr>
    </w:div>
    <w:div w:id="1674380395">
      <w:bodyDiv w:val="1"/>
      <w:marLeft w:val="0"/>
      <w:marRight w:val="0"/>
      <w:marTop w:val="0"/>
      <w:marBottom w:val="0"/>
      <w:divBdr>
        <w:top w:val="none" w:sz="0" w:space="0" w:color="auto"/>
        <w:left w:val="none" w:sz="0" w:space="0" w:color="auto"/>
        <w:bottom w:val="none" w:sz="0" w:space="0" w:color="auto"/>
        <w:right w:val="none" w:sz="0" w:space="0" w:color="auto"/>
      </w:divBdr>
    </w:div>
    <w:div w:id="1996030923">
      <w:bodyDiv w:val="1"/>
      <w:marLeft w:val="0"/>
      <w:marRight w:val="0"/>
      <w:marTop w:val="0"/>
      <w:marBottom w:val="0"/>
      <w:divBdr>
        <w:top w:val="none" w:sz="0" w:space="0" w:color="auto"/>
        <w:left w:val="none" w:sz="0" w:space="0" w:color="auto"/>
        <w:bottom w:val="none" w:sz="0" w:space="0" w:color="auto"/>
        <w:right w:val="none" w:sz="0" w:space="0" w:color="auto"/>
      </w:divBdr>
    </w:div>
    <w:div w:id="2067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nealelab.is/uk-bio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E8E5-72F3-47DB-A0B1-600FAA8B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Burgess</dc:creator>
  <cp:keywords/>
  <dc:description/>
  <cp:lastModifiedBy>Grabiner, Lucy</cp:lastModifiedBy>
  <cp:revision>2</cp:revision>
  <dcterms:created xsi:type="dcterms:W3CDTF">2021-12-09T14:08:00Z</dcterms:created>
  <dcterms:modified xsi:type="dcterms:W3CDTF">2021-12-09T14:08:00Z</dcterms:modified>
</cp:coreProperties>
</file>